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w:t>
      </w:r>
      <w:r>
        <w:rPr>
          <w:rFonts w:hint="default" w:ascii="仿宋_GB2312" w:hAnsi="宋体" w:eastAsia="仿宋_GB2312"/>
          <w:sz w:val="32"/>
          <w:szCs w:val="32"/>
          <w:u w:val="single"/>
          <w:lang w:val="en-US" w:eastAsia="zh-CN"/>
        </w:rPr>
        <w:t>5-1</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三固项目焚烧后废铁委外处置项目（重新招标）</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 xml:space="preserve">第二部分   </w:t>
      </w:r>
      <w:r>
        <w:rPr>
          <w:rStyle w:val="15"/>
          <w:rFonts w:hint="eastAsia" w:ascii="仿宋_GB2312" w:eastAsia="仿宋_GB2312"/>
          <w:b w:val="0"/>
          <w:snapToGrid w:val="0"/>
          <w:sz w:val="36"/>
          <w:lang w:eastAsia="zh-CN"/>
        </w:rPr>
        <w:t>询价</w:t>
      </w:r>
      <w:r>
        <w:rPr>
          <w:rStyle w:val="15"/>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三固项目在</w:t>
      </w:r>
      <w:r>
        <w:rPr>
          <w:rFonts w:hint="eastAsia" w:ascii="仿宋_GB2312" w:hAnsi="Times New Roman" w:eastAsia="仿宋_GB2312" w:cs="Times New Roman"/>
          <w:sz w:val="30"/>
          <w:szCs w:val="30"/>
        </w:rPr>
        <w:t>日常</w:t>
      </w:r>
      <w:r>
        <w:rPr>
          <w:rFonts w:hint="eastAsia" w:ascii="仿宋_GB2312" w:hAnsi="Times New Roman" w:eastAsia="仿宋_GB2312" w:cs="Times New Roman"/>
          <w:sz w:val="30"/>
          <w:szCs w:val="30"/>
          <w:lang w:eastAsia="zh-CN"/>
        </w:rPr>
        <w:t>运行中会产生焚烧后废铁</w:t>
      </w:r>
      <w:r>
        <w:rPr>
          <w:rFonts w:hint="eastAsia" w:ascii="仿宋_GB2312" w:hAnsi="Times New Roman" w:eastAsia="仿宋_GB2312" w:cs="Times New Roman"/>
          <w:sz w:val="30"/>
          <w:szCs w:val="30"/>
        </w:rPr>
        <w:t>，</w:t>
      </w:r>
      <w:r>
        <w:rPr>
          <w:rFonts w:hint="eastAsia" w:ascii="仿宋_GB2312" w:eastAsia="仿宋_GB2312" w:cs="Times New Roman"/>
          <w:sz w:val="30"/>
          <w:szCs w:val="30"/>
          <w:lang w:eastAsia="zh-CN"/>
        </w:rPr>
        <w:t>经磁选、筛分后，</w:t>
      </w:r>
      <w:r>
        <w:rPr>
          <w:rFonts w:hint="eastAsia" w:ascii="仿宋_GB2312" w:hAnsi="Times New Roman" w:eastAsia="仿宋_GB2312" w:cs="Times New Roman"/>
          <w:sz w:val="30"/>
          <w:szCs w:val="30"/>
          <w:lang w:eastAsia="zh-CN"/>
        </w:rPr>
        <w:t>该部分废铁经高温焚烧后具有一定的综合利用价值，现需要对焚烧后废铁委外综合处置。</w:t>
      </w:r>
      <w:r>
        <w:rPr>
          <w:rFonts w:hint="eastAsia" w:ascii="仿宋_GB2312" w:hAnsi="Times New Roman" w:eastAsia="仿宋_GB2312" w:cs="Times New Roman"/>
          <w:sz w:val="30"/>
          <w:szCs w:val="30"/>
        </w:rPr>
        <w:t>为了保护和改善环境，</w:t>
      </w:r>
      <w:r>
        <w:rPr>
          <w:rFonts w:hint="eastAsia" w:ascii="仿宋_GB2312" w:hAnsi="Times New Roman" w:eastAsia="仿宋_GB2312" w:cs="Times New Roman"/>
          <w:sz w:val="30"/>
          <w:szCs w:val="30"/>
          <w:lang w:eastAsia="zh-CN"/>
        </w:rPr>
        <w:t>招标人</w:t>
      </w:r>
      <w:r>
        <w:rPr>
          <w:rFonts w:hint="eastAsia" w:ascii="仿宋_GB2312" w:hAnsi="Times New Roman" w:eastAsia="仿宋_GB2312" w:cs="Times New Roman"/>
          <w:sz w:val="30"/>
          <w:szCs w:val="30"/>
        </w:rPr>
        <w:t>的焚烧后废</w:t>
      </w:r>
      <w:r>
        <w:rPr>
          <w:rFonts w:hint="eastAsia" w:ascii="仿宋_GB2312" w:hAnsi="Times New Roman" w:eastAsia="仿宋_GB2312" w:cs="Times New Roman"/>
          <w:sz w:val="30"/>
          <w:szCs w:val="30"/>
          <w:lang w:eastAsia="zh-CN"/>
        </w:rPr>
        <w:t>铁</w:t>
      </w:r>
      <w:r>
        <w:rPr>
          <w:rFonts w:hint="eastAsia" w:ascii="仿宋_GB2312" w:hAnsi="Times New Roman" w:eastAsia="仿宋_GB2312" w:cs="Times New Roman"/>
          <w:sz w:val="30"/>
          <w:szCs w:val="30"/>
        </w:rPr>
        <w:t>委托给</w:t>
      </w:r>
      <w:r>
        <w:rPr>
          <w:rFonts w:hint="eastAsia" w:ascii="仿宋_GB2312" w:hAnsi="Times New Roman" w:eastAsia="仿宋_GB2312" w:cs="Times New Roman"/>
          <w:sz w:val="30"/>
          <w:szCs w:val="30"/>
          <w:lang w:eastAsia="zh-CN"/>
        </w:rPr>
        <w:t>有处置资质的投标人</w:t>
      </w:r>
      <w:r>
        <w:rPr>
          <w:rFonts w:hint="eastAsia" w:ascii="仿宋_GB2312" w:hAnsi="Times New Roman" w:eastAsia="仿宋_GB2312" w:cs="Times New Roman"/>
          <w:sz w:val="30"/>
          <w:szCs w:val="30"/>
        </w:rPr>
        <w:t>安全处理</w:t>
      </w:r>
      <w:r>
        <w:rPr>
          <w:rFonts w:hint="eastAsia" w:ascii="仿宋_GB2312" w:hAnsi="Times New Roman" w:eastAsia="仿宋_GB2312" w:cs="Times New Roman"/>
          <w:sz w:val="30"/>
          <w:szCs w:val="30"/>
          <w:lang w:val="en-US" w:eastAsia="zh-CN"/>
        </w:rPr>
        <w:t>利用，投标人给与招标人部分回收补贴费用，</w:t>
      </w:r>
      <w:r>
        <w:rPr>
          <w:rFonts w:hint="eastAsia" w:ascii="仿宋_GB2312" w:hAnsi="Times New Roman" w:eastAsia="仿宋_GB2312" w:cs="Times New Roman"/>
          <w:sz w:val="30"/>
          <w:szCs w:val="30"/>
        </w:rPr>
        <w:t>欢迎符合要求的</w:t>
      </w:r>
      <w:r>
        <w:rPr>
          <w:rFonts w:hint="eastAsia" w:ascii="仿宋_GB2312" w:hAnsi="Times New Roman" w:eastAsia="仿宋_GB2312" w:cs="Times New Roman"/>
          <w:sz w:val="30"/>
          <w:szCs w:val="30"/>
          <w:lang w:eastAsia="zh-CN"/>
        </w:rPr>
        <w:t>投标人</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20210800</w:t>
      </w:r>
      <w:r>
        <w:rPr>
          <w:rFonts w:hint="default" w:ascii="仿宋_GB2312" w:eastAsia="仿宋_GB2312"/>
          <w:b w:val="0"/>
          <w:caps w:val="0"/>
          <w:sz w:val="30"/>
          <w:szCs w:val="30"/>
          <w:lang w:val="en-US" w:eastAsia="zh-CN"/>
        </w:rPr>
        <w:t>5-1</w:t>
      </w:r>
      <w:r>
        <w:rPr>
          <w:rFonts w:hint="eastAsia" w:ascii="仿宋_GB2312" w:eastAsia="仿宋_GB2312"/>
          <w:b w:val="0"/>
          <w:caps w:val="0"/>
          <w:sz w:val="30"/>
          <w:szCs w:val="30"/>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焚烧后废铁，预估年度量</w:t>
      </w:r>
      <w:r>
        <w:rPr>
          <w:rFonts w:hint="eastAsia" w:ascii="仿宋_GB2312" w:eastAsia="仿宋_GB2312"/>
          <w:b w:val="0"/>
          <w:caps w:val="0"/>
          <w:sz w:val="30"/>
          <w:szCs w:val="30"/>
          <w:lang w:val="en-US" w:eastAsia="zh-CN"/>
        </w:rPr>
        <w:t>400吨；筛分分选后吨袋包装。</w:t>
      </w:r>
    </w:p>
    <w:p>
      <w:pPr>
        <w:keepNext w:val="0"/>
        <w:keepLines w:val="0"/>
        <w:pageBreakBefore w:val="0"/>
        <w:widowControl w:val="0"/>
        <w:kinsoku/>
        <w:wordWrap/>
        <w:overflowPunct/>
        <w:topLinePunct w:val="0"/>
        <w:autoSpaceDE/>
        <w:autoSpaceDN/>
        <w:bidi w:val="0"/>
        <w:spacing w:line="360" w:lineRule="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hAnsi="Times New Roman" w:eastAsia="仿宋_GB2312" w:cs="Times New Roman"/>
          <w:b w:val="0"/>
          <w:caps w:val="0"/>
          <w:kern w:val="2"/>
          <w:sz w:val="30"/>
          <w:szCs w:val="30"/>
          <w:lang w:val="en-US" w:eastAsia="zh-CN" w:bidi="ar-SA"/>
        </w:rPr>
        <w:t>772-003-18；</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4.本项目回收补贴单价不低于350元/吨，预计年度总金额14</w:t>
      </w:r>
      <w:r>
        <w:rPr>
          <w:rFonts w:hint="eastAsia" w:ascii="仿宋_GB2312" w:hAnsi="Times New Roman" w:eastAsia="仿宋_GB2312" w:cs="Times New Roman"/>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hAnsi="Times New Roman" w:eastAsia="仿宋_GB2312" w:cs="Times New Roman"/>
          <w:b w:val="0"/>
          <w:caps w:val="0"/>
          <w:sz w:val="30"/>
          <w:szCs w:val="30"/>
          <w:lang w:val="en-US" w:eastAsia="zh-CN"/>
        </w:rPr>
      </w:pPr>
      <w:r>
        <w:rPr>
          <w:rFonts w:hint="eastAsia" w:ascii="仿宋_GB2312" w:hAnsi="Times New Roman" w:eastAsia="仿宋_GB2312" w:cs="Times New Roman"/>
          <w:b w:val="0"/>
          <w:caps w:val="0"/>
          <w:sz w:val="30"/>
          <w:szCs w:val="30"/>
          <w:lang w:val="en-US" w:eastAsia="zh-CN"/>
        </w:rPr>
        <w:t>5.相关政策：</w:t>
      </w:r>
      <w:r>
        <w:rPr>
          <w:rFonts w:hint="eastAsia" w:ascii="仿宋_GB2312" w:hAnsi="Times New Roman" w:eastAsia="仿宋_GB2312" w:cs="Times New Roman"/>
          <w:b w:val="0"/>
          <w:caps w:val="0"/>
          <w:sz w:val="30"/>
          <w:szCs w:val="30"/>
          <w:lang w:eastAsia="zh-CN"/>
        </w:rPr>
        <w:t>按国家危险废物名录（20</w:t>
      </w:r>
      <w:r>
        <w:rPr>
          <w:rFonts w:hint="eastAsia" w:ascii="仿宋_GB2312" w:hAnsi="Times New Roman" w:eastAsia="仿宋_GB2312" w:cs="Times New Roman"/>
          <w:b w:val="0"/>
          <w:caps w:val="0"/>
          <w:sz w:val="30"/>
          <w:szCs w:val="30"/>
          <w:lang w:val="en-US" w:eastAsia="zh-CN"/>
        </w:rPr>
        <w:t>21</w:t>
      </w:r>
      <w:r>
        <w:rPr>
          <w:rFonts w:hint="eastAsia" w:ascii="仿宋_GB2312" w:hAnsi="Times New Roman" w:eastAsia="仿宋_GB2312" w:cs="Times New Roman"/>
          <w:b w:val="0"/>
          <w:caps w:val="0"/>
          <w:sz w:val="30"/>
          <w:szCs w:val="30"/>
          <w:lang w:eastAsia="zh-CN"/>
        </w:rPr>
        <w:t>版）的危险废物豁免管理清单，危险废物焚烧产生的废金属（772-003-18）用于金属冶炼的利用过程不按危险废物管理。</w:t>
      </w:r>
    </w:p>
    <w:p>
      <w:pPr>
        <w:pStyle w:val="2"/>
        <w:keepNext w:val="0"/>
        <w:keepLines w:val="0"/>
        <w:pageBreakBefore w:val="0"/>
        <w:widowControl w:val="0"/>
        <w:kinsoku/>
        <w:wordWrap/>
        <w:overflowPunct/>
        <w:topLinePunct w:val="0"/>
        <w:autoSpaceDE/>
        <w:autoSpaceDN/>
        <w:bidi w:val="0"/>
        <w:spacing w:line="360" w:lineRule="auto"/>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2.投标人须具有处理</w:t>
      </w:r>
      <w:r>
        <w:rPr>
          <w:rFonts w:hint="eastAsia" w:ascii="仿宋_GB2312" w:hAnsi="Times New Roman" w:eastAsia="仿宋_GB2312" w:cs="Times New Roman"/>
          <w:b w:val="0"/>
          <w:caps w:val="0"/>
          <w:sz w:val="30"/>
          <w:szCs w:val="30"/>
          <w:lang w:eastAsia="zh-CN"/>
        </w:rPr>
        <w:t>772-003-18</w:t>
      </w:r>
      <w:r>
        <w:rPr>
          <w:rFonts w:hint="eastAsia" w:ascii="仿宋_GB2312" w:eastAsia="仿宋_GB2312" w:cs="Times New Roman"/>
          <w:b w:val="0"/>
          <w:caps w:val="0"/>
          <w:sz w:val="30"/>
          <w:szCs w:val="30"/>
          <w:lang w:eastAsia="zh-CN"/>
        </w:rPr>
        <w:t>的相应资质。</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5.投标人不得为临江环境能源有限公司不合格投标人或者在黑名单之内。</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25</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hAnsi="宋体" w:eastAsia="仿宋_GB2312"/>
          <w:sz w:val="30"/>
          <w:szCs w:val="30"/>
        </w:rPr>
      </w:pPr>
      <w:r>
        <w:rPr>
          <w:rFonts w:hint="eastAsia" w:ascii="仿宋_GB2312" w:hAnsi="宋体" w:eastAsia="仿宋_GB2312"/>
          <w:sz w:val="30"/>
          <w:szCs w:val="30"/>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报价时间：2021年</w:t>
      </w:r>
      <w:r>
        <w:rPr>
          <w:rFonts w:hint="default" w:ascii="仿宋_GB2312" w:eastAsia="仿宋_GB2312"/>
          <w:sz w:val="30"/>
          <w:szCs w:val="30"/>
          <w:lang w:val="en-US" w:eastAsia="zh-CN"/>
        </w:rPr>
        <w:t>9</w:t>
      </w:r>
      <w:r>
        <w:rPr>
          <w:rFonts w:hint="eastAsia" w:ascii="仿宋_GB2312" w:eastAsia="仿宋_GB2312"/>
          <w:sz w:val="30"/>
          <w:szCs w:val="30"/>
        </w:rPr>
        <w:t>月</w:t>
      </w:r>
      <w:r>
        <w:rPr>
          <w:rFonts w:hint="default" w:ascii="仿宋_GB2312" w:eastAsia="仿宋_GB2312"/>
          <w:sz w:val="30"/>
          <w:szCs w:val="30"/>
          <w:lang w:val="en-US" w:eastAsia="zh-CN"/>
        </w:rPr>
        <w:t>1</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投标人</w:t>
      </w:r>
      <w:r>
        <w:rPr>
          <w:rFonts w:hint="eastAsia" w:ascii="仿宋_GB2312" w:eastAsia="仿宋_GB2312"/>
          <w:sz w:val="30"/>
          <w:szCs w:val="30"/>
        </w:rPr>
        <w:t>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keepNext w:val="0"/>
        <w:keepLines w:val="0"/>
        <w:pageBreakBefore w:val="0"/>
        <w:widowControl w:val="0"/>
        <w:numPr>
          <w:ilvl w:val="0"/>
          <w:numId w:val="0"/>
        </w:numPr>
        <w:kinsoku/>
        <w:wordWrap/>
        <w:overflowPunct/>
        <w:topLinePunct w:val="0"/>
        <w:autoSpaceDE/>
        <w:autoSpaceDN/>
        <w:bidi w:val="0"/>
        <w:spacing w:line="360" w:lineRule="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20</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投标人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报价应包括运输费、税费等。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投标人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投标人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投标人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投标人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投标人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投标人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投标人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投标人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投标人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投标人</w:t>
      </w:r>
      <w:r>
        <w:rPr>
          <w:rFonts w:hint="eastAsia" w:ascii="仿宋_GB2312" w:eastAsia="仿宋_GB2312"/>
          <w:sz w:val="30"/>
          <w:szCs w:val="30"/>
        </w:rPr>
        <w:t>要求的前提下，按经评审通过后总金额最</w:t>
      </w:r>
      <w:r>
        <w:rPr>
          <w:rFonts w:hint="eastAsia" w:ascii="仿宋_GB2312" w:eastAsia="仿宋_GB2312"/>
          <w:sz w:val="30"/>
          <w:szCs w:val="30"/>
          <w:lang w:eastAsia="zh-CN"/>
        </w:rPr>
        <w:t>高</w:t>
      </w:r>
      <w:r>
        <w:rPr>
          <w:rFonts w:hint="eastAsia" w:ascii="仿宋_GB2312" w:eastAsia="仿宋_GB2312"/>
          <w:sz w:val="30"/>
          <w:szCs w:val="30"/>
        </w:rPr>
        <w:t>价成交的原则确定成交</w:t>
      </w:r>
      <w:r>
        <w:rPr>
          <w:rFonts w:hint="eastAsia" w:ascii="仿宋_GB2312" w:eastAsia="仿宋_GB2312"/>
          <w:sz w:val="30"/>
          <w:szCs w:val="30"/>
          <w:lang w:eastAsia="zh-CN"/>
        </w:rPr>
        <w:t>投标人</w:t>
      </w:r>
      <w:r>
        <w:rPr>
          <w:rFonts w:hint="eastAsia" w:ascii="仿宋_GB2312" w:eastAsia="仿宋_GB2312"/>
          <w:sz w:val="30"/>
          <w:szCs w:val="30"/>
        </w:rPr>
        <w:t>。如果出现相同总金额最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投标人</w:t>
      </w:r>
      <w:r>
        <w:rPr>
          <w:rFonts w:hint="eastAsia" w:ascii="仿宋_GB2312" w:eastAsia="仿宋_GB2312"/>
          <w:sz w:val="30"/>
          <w:szCs w:val="30"/>
        </w:rPr>
        <w:t>抽签决定成交单位</w:t>
      </w:r>
      <w:r>
        <w:rPr>
          <w:rFonts w:hint="eastAsia" w:ascii="仿宋_GB2312" w:eastAsia="仿宋_GB2312"/>
          <w:b w:val="0"/>
          <w:bCs w:val="0"/>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投标人</w:t>
      </w:r>
      <w:r>
        <w:rPr>
          <w:rFonts w:hint="eastAsia" w:ascii="仿宋_GB2312" w:eastAsia="仿宋_GB2312"/>
          <w:sz w:val="30"/>
          <w:szCs w:val="30"/>
        </w:rPr>
        <w:t>不向未成交</w:t>
      </w:r>
      <w:r>
        <w:rPr>
          <w:rFonts w:hint="eastAsia" w:ascii="仿宋_GB2312" w:eastAsia="仿宋_GB2312"/>
          <w:sz w:val="30"/>
          <w:szCs w:val="30"/>
          <w:lang w:eastAsia="zh-CN"/>
        </w:rPr>
        <w:t>投标人</w:t>
      </w:r>
      <w:r>
        <w:rPr>
          <w:rFonts w:hint="eastAsia" w:ascii="仿宋_GB2312" w:eastAsia="仿宋_GB2312"/>
          <w:sz w:val="30"/>
          <w:szCs w:val="30"/>
        </w:rPr>
        <w:t>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投标人</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投标人</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eastAsia="zh-CN"/>
        </w:rPr>
        <w:t>投标人</w:t>
      </w:r>
      <w:r>
        <w:rPr>
          <w:rFonts w:hint="eastAsia" w:ascii="仿宋_GB2312" w:eastAsia="仿宋_GB2312"/>
          <w:sz w:val="30"/>
          <w:szCs w:val="30"/>
        </w:rPr>
        <w:t>有权拒绝存在此行为的</w:t>
      </w:r>
      <w:r>
        <w:rPr>
          <w:rFonts w:hint="eastAsia" w:ascii="仿宋_GB2312" w:eastAsia="仿宋_GB2312"/>
          <w:sz w:val="30"/>
          <w:szCs w:val="30"/>
          <w:lang w:eastAsia="zh-CN"/>
        </w:rPr>
        <w:t>投标人</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0"/>
        <w:tblW w:w="9069" w:type="dxa"/>
        <w:tblInd w:w="93" w:type="dxa"/>
        <w:shd w:val="clear" w:color="auto" w:fill="auto"/>
        <w:tblLayout w:type="fixed"/>
        <w:tblCellMar>
          <w:top w:w="0" w:type="dxa"/>
          <w:left w:w="108" w:type="dxa"/>
          <w:bottom w:w="0" w:type="dxa"/>
          <w:right w:w="108" w:type="dxa"/>
        </w:tblCellMar>
      </w:tblPr>
      <w:tblGrid>
        <w:gridCol w:w="672"/>
        <w:gridCol w:w="1622"/>
        <w:gridCol w:w="2212"/>
        <w:gridCol w:w="1163"/>
        <w:gridCol w:w="1412"/>
        <w:gridCol w:w="1213"/>
        <w:gridCol w:w="775"/>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年度预估数量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包装方式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焚烧后废铁</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772-003-18</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吨袋</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7"/>
        <w:snapToGrid w:val="0"/>
        <w:spacing w:line="240" w:lineRule="auto"/>
        <w:ind w:left="0" w:leftChars="0" w:firstLine="0" w:firstLineChars="0"/>
        <w:rPr>
          <w:rFonts w:hint="eastAsia" w:ascii="仿宋_GB2312" w:eastAsia="仿宋_GB2312"/>
          <w:color w:val="auto"/>
          <w:kern w:val="2"/>
          <w:sz w:val="30"/>
          <w:szCs w:val="30"/>
        </w:rPr>
      </w:pPr>
    </w:p>
    <w:p>
      <w:pPr>
        <w:pStyle w:val="17"/>
        <w:snapToGrid w:val="0"/>
        <w:spacing w:line="240" w:lineRule="auto"/>
        <w:ind w:left="0" w:leftChars="0" w:firstLine="600" w:firstLineChars="200"/>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回收</w:t>
      </w:r>
      <w:r>
        <w:rPr>
          <w:rFonts w:hint="eastAsia" w:ascii="仿宋_GB2312" w:eastAsia="仿宋_GB2312"/>
          <w:color w:val="auto"/>
          <w:kern w:val="2"/>
          <w:sz w:val="30"/>
          <w:szCs w:val="30"/>
        </w:rPr>
        <w:t>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分批次回收</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招标人电话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安排人员和车辆到达现场装车，招标人负责装车，投标人负责车辆运输。</w:t>
      </w:r>
    </w:p>
    <w:p>
      <w:pPr>
        <w:pStyle w:val="17"/>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snapToGrid w:val="0"/>
        <w:spacing w:line="240" w:lineRule="auto"/>
        <w:ind w:left="0" w:leftChars="0" w:firstLine="0" w:firstLineChars="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17"/>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rPr>
      </w:pPr>
      <w:r>
        <w:rPr>
          <w:rFonts w:hint="eastAsia" w:ascii="仿宋_GB2312" w:hAnsi="Times New Roman" w:eastAsia="仿宋_GB2312" w:cs="Times New Roman"/>
          <w:color w:val="auto"/>
          <w:kern w:val="2"/>
          <w:sz w:val="30"/>
          <w:szCs w:val="30"/>
          <w:lang w:val="en-US" w:eastAsia="zh-CN"/>
        </w:rPr>
        <w:t>投标人应在收到招标人发票十五个工作日内将回收补贴费汇入招标人指定账户，招标人开具13%增值税专用发票。</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提供本协议约定的焚烧处理后废铁块的处置服务，不得无故拒收。</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应按照环境保护有关法律法规、标准规范的规定对焚烧处理后废铁块最终安全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提供的焚烧后废铁销售去向</w:t>
      </w:r>
      <w:r>
        <w:rPr>
          <w:rFonts w:hint="eastAsia" w:ascii="仿宋_GB2312" w:eastAsia="仿宋_GB2312"/>
          <w:color w:val="auto"/>
          <w:kern w:val="2"/>
          <w:sz w:val="30"/>
          <w:szCs w:val="30"/>
          <w:lang w:eastAsia="zh-CN"/>
        </w:rPr>
        <w:t>正规、合法</w:t>
      </w:r>
      <w:r>
        <w:rPr>
          <w:rFonts w:hint="eastAsia" w:ascii="仿宋_GB2312" w:eastAsia="仿宋_GB2312"/>
          <w:color w:val="auto"/>
          <w:kern w:val="2"/>
          <w:sz w:val="30"/>
          <w:szCs w:val="30"/>
        </w:rPr>
        <w:t>，禁止转卖给其他废品回收公司，并承担相应责任。</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必须向</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提供每批次的送货凭证，</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有权全过程监督处理环节。</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eastAsia" w:ascii="仿宋_GB2312" w:eastAsia="仿宋_GB2312"/>
          <w:sz w:val="52"/>
        </w:rPr>
        <w:t>2021年临江公司</w:t>
      </w:r>
      <w:r>
        <w:rPr>
          <w:rFonts w:hint="eastAsia" w:ascii="仿宋_GB2312" w:eastAsia="仿宋_GB2312"/>
          <w:sz w:val="52"/>
          <w:lang w:eastAsia="zh-CN"/>
        </w:rPr>
        <w:t>三固项目焚烧后废铁</w:t>
      </w:r>
    </w:p>
    <w:p>
      <w:pPr>
        <w:spacing w:line="360" w:lineRule="auto"/>
        <w:jc w:val="center"/>
        <w:rPr>
          <w:rFonts w:hint="default" w:ascii="仿宋_GB2312" w:eastAsia="仿宋_GB2312"/>
          <w:sz w:val="52"/>
          <w:lang w:val="en-US" w:eastAsia="zh-CN"/>
        </w:rPr>
      </w:pPr>
      <w:r>
        <w:rPr>
          <w:rFonts w:hint="eastAsia" w:ascii="仿宋_GB2312" w:eastAsia="仿宋_GB2312"/>
          <w:sz w:val="52"/>
          <w:lang w:eastAsia="zh-CN"/>
        </w:rPr>
        <w:t>处置</w:t>
      </w:r>
      <w:r>
        <w:rPr>
          <w:rFonts w:hint="eastAsia" w:ascii="仿宋_GB2312" w:eastAsia="仿宋_GB2312"/>
          <w:sz w:val="52"/>
        </w:rPr>
        <w:t>项目（重新招标）</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0800</w:t>
      </w:r>
      <w:r>
        <w:rPr>
          <w:rFonts w:hint="default" w:ascii="仿宋_GB2312" w:hAnsi="宋体" w:eastAsia="仿宋_GB2312"/>
          <w:sz w:val="36"/>
          <w:lang w:val="en-US" w:eastAsia="zh-CN"/>
        </w:rPr>
        <w:t>5-1</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三固项目焚烧后废铁处置项目（重新招标）</w:t>
      </w:r>
      <w:r>
        <w:rPr>
          <w:rFonts w:hint="eastAsia" w:ascii="仿宋_GB2312" w:eastAsia="仿宋_GB2312"/>
          <w:sz w:val="30"/>
        </w:rPr>
        <w:t>编号为</w:t>
      </w:r>
      <w:r>
        <w:rPr>
          <w:rFonts w:hint="eastAsia" w:ascii="仿宋_GB2312" w:eastAsia="仿宋_GB2312"/>
          <w:sz w:val="30"/>
          <w:u w:val="single"/>
          <w:lang w:val="en-US" w:eastAsia="zh-CN"/>
        </w:rPr>
        <w:t xml:space="preserve"> 20210800</w:t>
      </w:r>
      <w:r>
        <w:rPr>
          <w:rFonts w:hint="default" w:ascii="仿宋_GB2312" w:eastAsia="仿宋_GB2312"/>
          <w:sz w:val="30"/>
          <w:u w:val="single"/>
          <w:lang w:val="en-US" w:eastAsia="zh-CN"/>
        </w:rPr>
        <w:t>5-1</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2021年临江公司三固项目焚烧后废铁处置（重新招标）</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w:t>
      </w:r>
    </w:p>
    <w:tbl>
      <w:tblPr>
        <w:tblStyle w:val="10"/>
        <w:tblW w:w="9070" w:type="dxa"/>
        <w:tblInd w:w="93" w:type="dxa"/>
        <w:shd w:val="clear" w:color="auto" w:fill="auto"/>
        <w:tblLayout w:type="fixed"/>
        <w:tblCellMar>
          <w:top w:w="0" w:type="dxa"/>
          <w:left w:w="108" w:type="dxa"/>
          <w:bottom w:w="0" w:type="dxa"/>
          <w:right w:w="108" w:type="dxa"/>
        </w:tblCellMar>
      </w:tblPr>
      <w:tblGrid>
        <w:gridCol w:w="672"/>
        <w:gridCol w:w="998"/>
        <w:gridCol w:w="1487"/>
        <w:gridCol w:w="725"/>
        <w:gridCol w:w="900"/>
        <w:gridCol w:w="1208"/>
        <w:gridCol w:w="1180"/>
        <w:gridCol w:w="1050"/>
        <w:gridCol w:w="85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危废代码及包装方式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年度预估</w:t>
            </w:r>
            <w:r>
              <w:rPr>
                <w:rFonts w:hint="eastAsia" w:ascii="宋体" w:hAnsi="宋体" w:eastAsia="宋体" w:cs="宋体"/>
                <w:i w:val="0"/>
                <w:iCs w:val="0"/>
                <w:color w:val="000000"/>
                <w:kern w:val="0"/>
                <w:sz w:val="22"/>
                <w:szCs w:val="22"/>
                <w:u w:val="none"/>
                <w:lang w:val="en-US" w:eastAsia="zh-CN" w:bidi="ar"/>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回收补贴限价不低于（元/吨）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限额不低于（元）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金额（元）</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焚烧后废铁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772-003-18吨袋包装</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pStyle w:val="2"/>
        <w:rPr>
          <w:rFonts w:hint="eastAsia" w:ascii="仿宋_GB2312" w:hAnsi="Times New Roman" w:eastAsia="仿宋_GB2312" w:cs="Times New Roman"/>
          <w:b/>
          <w:bCs/>
          <w:caps w:val="0"/>
          <w:kern w:val="2"/>
          <w:sz w:val="24"/>
          <w:szCs w:val="24"/>
          <w:lang w:val="en-US" w:eastAsia="zh-CN" w:bidi="ar-SA"/>
        </w:rPr>
      </w:pPr>
      <w:r>
        <w:rPr>
          <w:rFonts w:hint="eastAsia" w:ascii="仿宋_GB2312" w:hAnsi="Times New Roman" w:eastAsia="仿宋_GB2312" w:cs="Times New Roman"/>
          <w:b/>
          <w:bCs/>
          <w:caps w:val="0"/>
          <w:kern w:val="2"/>
          <w:sz w:val="24"/>
          <w:szCs w:val="24"/>
          <w:lang w:val="en-US" w:eastAsia="zh-CN" w:bidi="ar-SA"/>
        </w:rPr>
        <w:t>备注：</w:t>
      </w:r>
    </w:p>
    <w:p>
      <w:pPr>
        <w:pStyle w:val="2"/>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1.招标人开具税率为 13%增值税专票；</w:t>
      </w:r>
    </w:p>
    <w:p>
      <w:pPr>
        <w:ind w:left="1200" w:hanging="960" w:hangingChars="40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2.以上报价含运费。招标人负责装车，投标人负责车辆运输费用。</w:t>
      </w:r>
    </w:p>
    <w:p>
      <w:pPr>
        <w:pStyle w:val="2"/>
        <w:rPr>
          <w:rFonts w:hint="eastAsia" w:ascii="仿宋_GB2312" w:hAnsi="Times New Roman" w:eastAsia="仿宋_GB2312" w:cs="Times New Roman"/>
          <w:b/>
          <w:bCs/>
          <w:caps w:val="0"/>
          <w:kern w:val="2"/>
          <w:sz w:val="24"/>
          <w:szCs w:val="24"/>
          <w:lang w:val="en-US" w:eastAsia="zh-CN" w:bidi="ar-SA"/>
        </w:rPr>
      </w:pPr>
      <w:r>
        <w:rPr>
          <w:rFonts w:hint="default" w:ascii="仿宋_GB2312" w:hAnsi="Times New Roman" w:eastAsia="仿宋_GB2312" w:cs="Times New Roman"/>
          <w:b/>
          <w:bCs/>
          <w:caps w:val="0"/>
          <w:kern w:val="2"/>
          <w:sz w:val="24"/>
          <w:szCs w:val="24"/>
          <w:lang w:val="en-US" w:eastAsia="zh-CN" w:bidi="ar-SA"/>
        </w:rPr>
        <w:t>3.</w:t>
      </w:r>
      <w:r>
        <w:rPr>
          <w:rFonts w:hint="eastAsia" w:ascii="仿宋_GB2312" w:eastAsia="仿宋_GB2312" w:cs="Times New Roman"/>
          <w:b/>
          <w:bCs/>
          <w:caps w:val="0"/>
          <w:kern w:val="2"/>
          <w:sz w:val="24"/>
          <w:szCs w:val="24"/>
          <w:lang w:val="en-US" w:eastAsia="zh-CN" w:bidi="ar-SA"/>
        </w:rPr>
        <w:t>委托处置的焚烧后废铁经过了磁选和辊筒筛分，已经除去了绝大部分杂质，上述报价中，投标人自行综合考虑杂质成份，后续结算不再另扣除杂质吨位。</w:t>
      </w:r>
    </w:p>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三固项目焚烧后废铁处置（重新招标）</w:t>
      </w:r>
      <w:r>
        <w:rPr>
          <w:rFonts w:hint="eastAsia" w:ascii="仿宋_GB2312" w:eastAsia="仿宋_GB2312"/>
          <w:sz w:val="28"/>
          <w:szCs w:val="28"/>
        </w:rPr>
        <w:t>询价采购，并作如下承诺：</w:t>
      </w:r>
      <w:bookmarkStart w:id="16" w:name="_GoBack"/>
      <w:bookmarkEnd w:id="16"/>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无故拒收焚烧处理后废铁块的处置服务。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按照环境保护有关法律法规、标准规范的规定对焚烧处理后废铁最终安全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承诺提供的焚烧后废铁销售去向</w:t>
      </w:r>
      <w:r>
        <w:rPr>
          <w:rFonts w:hint="eastAsia" w:ascii="仿宋_GB2312" w:eastAsia="仿宋_GB2312"/>
          <w:sz w:val="28"/>
          <w:szCs w:val="28"/>
          <w:lang w:eastAsia="zh-CN"/>
        </w:rPr>
        <w:t>正规合法</w:t>
      </w:r>
      <w:r>
        <w:rPr>
          <w:rFonts w:hint="eastAsia" w:ascii="仿宋_GB2312" w:eastAsia="仿宋_GB2312"/>
          <w:sz w:val="28"/>
          <w:szCs w:val="28"/>
        </w:rPr>
        <w:t>，</w:t>
      </w:r>
      <w:r>
        <w:rPr>
          <w:rFonts w:hint="eastAsia" w:ascii="仿宋_GB2312" w:eastAsia="仿宋_GB2312"/>
          <w:sz w:val="28"/>
          <w:szCs w:val="28"/>
          <w:lang w:eastAsia="zh-CN"/>
        </w:rPr>
        <w:t>不会</w:t>
      </w:r>
      <w:r>
        <w:rPr>
          <w:rFonts w:hint="eastAsia" w:ascii="仿宋_GB2312" w:eastAsia="仿宋_GB2312"/>
          <w:sz w:val="28"/>
          <w:szCs w:val="28"/>
        </w:rPr>
        <w:t>转卖给其他废品回收公司，并承担相应责任。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2"/>
      </w:pPr>
    </w:p>
    <w:p/>
    <w:p>
      <w:pPr>
        <w:pStyle w:val="2"/>
      </w:pPr>
    </w:p>
    <w:p/>
    <w:p>
      <w:pPr>
        <w:pStyle w:val="2"/>
      </w:pPr>
    </w:p>
    <w:p/>
    <w:p>
      <w:pPr>
        <w:pStyle w:val="2"/>
      </w:pPr>
    </w:p>
    <w:p/>
    <w:p>
      <w:pPr>
        <w:pStyle w:val="2"/>
      </w:pPr>
    </w:p>
    <w:p/>
    <w:p>
      <w:pPr>
        <w:pStyle w:val="2"/>
      </w:pPr>
    </w:p>
    <w:p/>
    <w:p>
      <w:pPr>
        <w:pStyle w:val="2"/>
      </w:pPr>
    </w:p>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509229875"/>
      <w:bookmarkStart w:id="14" w:name="_Toc473012596"/>
      <w:bookmarkStart w:id="15" w:name="_Toc509228412"/>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甲方在生产经营过程中会产生焚烧后废铁，危废代码772</w:t>
      </w:r>
      <w:r>
        <w:rPr>
          <w:rFonts w:hint="eastAsia" w:ascii="仿宋" w:hAnsi="仿宋" w:eastAsia="仿宋" w:cs="仿宋"/>
          <w:sz w:val="24"/>
          <w:szCs w:val="24"/>
          <w:lang w:val="en-US" w:eastAsia="zh-CN"/>
        </w:rPr>
        <w:t>-</w:t>
      </w:r>
      <w:r>
        <w:rPr>
          <w:rFonts w:hint="eastAsia" w:ascii="仿宋" w:hAnsi="仿宋" w:eastAsia="仿宋" w:cs="仿宋"/>
          <w:sz w:val="24"/>
          <w:szCs w:val="24"/>
        </w:rPr>
        <w:t>003</w:t>
      </w:r>
      <w:r>
        <w:rPr>
          <w:rFonts w:hint="eastAsia" w:ascii="仿宋" w:hAnsi="仿宋" w:eastAsia="仿宋" w:cs="仿宋"/>
          <w:sz w:val="24"/>
          <w:szCs w:val="24"/>
          <w:lang w:val="en-US" w:eastAsia="zh-CN"/>
        </w:rPr>
        <w:t>-</w:t>
      </w:r>
      <w:r>
        <w:rPr>
          <w:rFonts w:hint="eastAsia" w:ascii="仿宋" w:hAnsi="仿宋" w:eastAsia="仿宋" w:cs="仿宋"/>
          <w:sz w:val="24"/>
          <w:szCs w:val="24"/>
        </w:rPr>
        <w:t>18（以下简称焚烧后废铁块），</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可提供</w:t>
      </w:r>
      <w:r>
        <w:rPr>
          <w:rFonts w:hint="eastAsia" w:ascii="仿宋" w:hAnsi="仿宋" w:eastAsia="仿宋" w:cs="仿宋"/>
          <w:sz w:val="24"/>
          <w:szCs w:val="24"/>
          <w:lang w:eastAsia="zh-CN"/>
        </w:rPr>
        <w:t>量预计为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吨。</w:t>
      </w:r>
    </w:p>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乙方为专业危险废物处置公司，具有利用</w:t>
      </w:r>
      <w:r>
        <w:rPr>
          <w:rFonts w:hint="eastAsia" w:ascii="仿宋" w:hAnsi="仿宋" w:eastAsia="仿宋" w:cs="仿宋"/>
          <w:sz w:val="24"/>
          <w:szCs w:val="24"/>
          <w:lang w:val="en-US" w:eastAsia="zh-CN"/>
        </w:rPr>
        <w:t>工业炉窑</w:t>
      </w:r>
      <w:r>
        <w:rPr>
          <w:rFonts w:hint="eastAsia" w:ascii="仿宋" w:hAnsi="仿宋" w:eastAsia="仿宋" w:cs="仿宋"/>
          <w:sz w:val="24"/>
          <w:szCs w:val="24"/>
        </w:rPr>
        <w:t>协同处置危险废物资质，按国家危险废物名录（20</w:t>
      </w:r>
      <w:r>
        <w:rPr>
          <w:rFonts w:hint="eastAsia" w:ascii="仿宋" w:hAnsi="仿宋" w:eastAsia="仿宋" w:cs="仿宋"/>
          <w:sz w:val="24"/>
          <w:szCs w:val="24"/>
          <w:lang w:val="en-US" w:eastAsia="zh-CN"/>
        </w:rPr>
        <w:t>21</w:t>
      </w:r>
      <w:r>
        <w:rPr>
          <w:rFonts w:hint="eastAsia" w:ascii="仿宋" w:hAnsi="仿宋" w:eastAsia="仿宋" w:cs="仿宋"/>
          <w:sz w:val="24"/>
          <w:szCs w:val="24"/>
        </w:rPr>
        <w:t>版）的危险废物豁免管理清单，危险废物焚烧产生的废金属（772-003-18）用于金属冶炼的利用过程不按危险废物管理，可以处理甲方产生的焚烧后废金属。为了保护和改善环境，甲方的焚烧后废金属委托给乙方安全处理</w:t>
      </w:r>
      <w:r>
        <w:rPr>
          <w:rFonts w:hint="eastAsia" w:ascii="仿宋" w:hAnsi="仿宋" w:eastAsia="仿宋" w:cs="仿宋"/>
          <w:sz w:val="24"/>
          <w:szCs w:val="24"/>
          <w:lang w:val="en-US" w:eastAsia="zh-CN"/>
        </w:rPr>
        <w:t>利用，乙方给与甲方一定利用回收补贴费用</w:t>
      </w:r>
      <w:r>
        <w:rPr>
          <w:rFonts w:hint="eastAsia" w:ascii="仿宋" w:hAnsi="仿宋" w:eastAsia="仿宋" w:cs="仿宋"/>
          <w:sz w:val="24"/>
          <w:szCs w:val="24"/>
        </w:rPr>
        <w:t>。为明确双方责任与义务，经双方协调一致，达成如下协议：</w:t>
      </w:r>
    </w:p>
    <w:p>
      <w:pPr>
        <w:spacing w:line="560" w:lineRule="exact"/>
        <w:ind w:firstLine="480" w:firstLineChars="200"/>
        <w:rPr>
          <w:rFonts w:hint="eastAsia" w:ascii="仿宋" w:hAnsi="仿宋" w:eastAsia="仿宋" w:cs="仿宋"/>
          <w:sz w:val="24"/>
          <w:szCs w:val="24"/>
        </w:rPr>
      </w:pPr>
      <w:r>
        <w:rPr>
          <w:rFonts w:ascii="仿宋" w:hAnsi="仿宋" w:eastAsia="仿宋" w:cs="仿宋"/>
          <w:sz w:val="24"/>
          <w:szCs w:val="24"/>
        </w:rPr>
        <w:t>一、</w:t>
      </w:r>
      <w:r>
        <w:rPr>
          <w:rFonts w:hint="eastAsia" w:ascii="仿宋" w:hAnsi="仿宋" w:eastAsia="仿宋" w:cs="仿宋"/>
          <w:sz w:val="24"/>
          <w:szCs w:val="24"/>
        </w:rPr>
        <w:t>甲</w:t>
      </w:r>
      <w:r>
        <w:rPr>
          <w:rFonts w:ascii="仿宋" w:hAnsi="仿宋" w:eastAsia="仿宋" w:cs="仿宋"/>
          <w:sz w:val="24"/>
          <w:szCs w:val="24"/>
        </w:rPr>
        <w:t>方责任：</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甲方应当按照相关法律法规规定对生产经营中产生的焚烧后废铁进行</w:t>
      </w:r>
      <w:r>
        <w:rPr>
          <w:rFonts w:hint="eastAsia" w:ascii="仿宋" w:hAnsi="仿宋" w:eastAsia="仿宋" w:cs="仿宋"/>
          <w:sz w:val="24"/>
          <w:szCs w:val="24"/>
          <w:lang w:val="en-US" w:eastAsia="zh-CN"/>
        </w:rPr>
        <w:t>规范</w:t>
      </w:r>
      <w:r>
        <w:rPr>
          <w:rFonts w:hint="eastAsia" w:ascii="仿宋" w:hAnsi="仿宋" w:eastAsia="仿宋" w:cs="仿宋"/>
          <w:sz w:val="24"/>
          <w:szCs w:val="24"/>
        </w:rPr>
        <w:t>收集并包装。对于在甲方场地收集暂存的焚烧后废铁，甲方全权负责其</w:t>
      </w:r>
      <w:r>
        <w:rPr>
          <w:rFonts w:hint="eastAsia" w:ascii="仿宋" w:hAnsi="仿宋" w:eastAsia="仿宋" w:cs="仿宋"/>
          <w:sz w:val="24"/>
          <w:szCs w:val="24"/>
          <w:lang w:val="en-US" w:eastAsia="zh-CN"/>
        </w:rPr>
        <w:t>环保</w:t>
      </w:r>
      <w:r>
        <w:rPr>
          <w:rFonts w:hint="eastAsia" w:ascii="仿宋" w:hAnsi="仿宋" w:eastAsia="仿宋" w:cs="仿宋"/>
          <w:sz w:val="24"/>
          <w:szCs w:val="24"/>
        </w:rPr>
        <w:t>安全，防止污染环境，</w:t>
      </w:r>
      <w:r>
        <w:rPr>
          <w:rFonts w:hint="default" w:ascii="仿宋" w:hAnsi="仿宋" w:eastAsia="仿宋" w:cs="仿宋"/>
          <w:sz w:val="24"/>
          <w:szCs w:val="24"/>
          <w:lang w:val="en-US" w:eastAsia="zh-CN"/>
        </w:rPr>
        <w:t>否则乙方有权拒绝处置</w:t>
      </w:r>
      <w:r>
        <w:rPr>
          <w:rFonts w:hint="eastAsia" w:ascii="仿宋" w:hAnsi="仿宋" w:eastAsia="仿宋" w:cs="仿宋"/>
          <w:sz w:val="24"/>
          <w:szCs w:val="24"/>
          <w:lang w:val="en-US" w:eastAsia="zh-CN"/>
        </w:rPr>
        <w:t>，</w:t>
      </w:r>
      <w:r>
        <w:rPr>
          <w:rFonts w:hint="eastAsia" w:ascii="仿宋" w:hAnsi="仿宋" w:eastAsia="仿宋" w:cs="仿宋"/>
          <w:sz w:val="24"/>
          <w:szCs w:val="24"/>
        </w:rPr>
        <w:t>对此产生的责任均由甲方承担。</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2、甲</w:t>
      </w:r>
      <w:r>
        <w:rPr>
          <w:rFonts w:hint="eastAsia" w:ascii="仿宋" w:hAnsi="仿宋" w:eastAsia="仿宋" w:cs="仿宋"/>
          <w:sz w:val="24"/>
          <w:szCs w:val="24"/>
        </w:rPr>
        <w:t>方所送废</w:t>
      </w:r>
      <w:r>
        <w:rPr>
          <w:rFonts w:hint="eastAsia" w:ascii="仿宋" w:hAnsi="仿宋" w:eastAsia="仿宋" w:cs="仿宋"/>
          <w:sz w:val="24"/>
          <w:szCs w:val="24"/>
          <w:lang w:val="en-US" w:eastAsia="zh-CN"/>
        </w:rPr>
        <w:t>铁</w:t>
      </w:r>
      <w:r>
        <w:rPr>
          <w:rFonts w:hint="eastAsia" w:ascii="仿宋" w:hAnsi="仿宋" w:eastAsia="仿宋" w:cs="仿宋"/>
          <w:sz w:val="24"/>
          <w:szCs w:val="24"/>
        </w:rPr>
        <w:t>中</w:t>
      </w:r>
      <w:r>
        <w:rPr>
          <w:rFonts w:hint="eastAsia" w:ascii="仿宋" w:hAnsi="仿宋" w:eastAsia="仿宋" w:cs="仿宋"/>
          <w:sz w:val="24"/>
          <w:szCs w:val="24"/>
          <w:lang w:val="en-US" w:eastAsia="zh-CN"/>
        </w:rPr>
        <w:t>严禁混入易燃易爆物质和放射性物质；</w:t>
      </w:r>
      <w:r>
        <w:rPr>
          <w:rFonts w:hint="eastAsia" w:ascii="仿宋" w:hAnsi="仿宋" w:eastAsia="仿宋" w:cs="仿宋"/>
          <w:sz w:val="24"/>
          <w:szCs w:val="24"/>
        </w:rPr>
        <w:t>不得含有子弹、炮弹、炸弹、爆破管、炸药及可能混有弹药的炮筒、枪支等爆炸物；不得含有灭火器、全密封氧（煤）气瓶、皮带机滚筒、热交换器、液压缸等密闭容器，对密闭类废</w:t>
      </w:r>
      <w:r>
        <w:rPr>
          <w:rFonts w:hint="eastAsia" w:ascii="仿宋" w:hAnsi="仿宋" w:eastAsia="仿宋" w:cs="仿宋"/>
          <w:sz w:val="24"/>
          <w:szCs w:val="24"/>
          <w:lang w:val="en-US" w:eastAsia="zh-CN"/>
        </w:rPr>
        <w:t>铁</w:t>
      </w:r>
      <w:r>
        <w:rPr>
          <w:rFonts w:hint="eastAsia" w:ascii="仿宋" w:hAnsi="仿宋" w:eastAsia="仿宋" w:cs="仿宋"/>
          <w:sz w:val="24"/>
          <w:szCs w:val="24"/>
        </w:rPr>
        <w:t>在进场前，卖方须进行开口处理，且开口尺寸不低于表面积的三分之一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不得含有砖块、木条、废塑料橡胶制品等其它垃圾杂质成分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如因含密闭容器或其它杂质引起的钢厂罚款行为，将由甲方负责。</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甲方应当提前</w:t>
      </w:r>
      <w:r>
        <w:rPr>
          <w:rFonts w:hint="eastAsia" w:ascii="仿宋" w:hAnsi="仿宋" w:eastAsia="仿宋" w:cs="仿宋"/>
          <w:sz w:val="24"/>
          <w:szCs w:val="24"/>
          <w:lang w:eastAsia="zh-CN"/>
        </w:rPr>
        <w:t>七</w:t>
      </w:r>
      <w:r>
        <w:rPr>
          <w:rFonts w:hint="eastAsia" w:ascii="仿宋" w:hAnsi="仿宋" w:eastAsia="仿宋" w:cs="仿宋"/>
          <w:sz w:val="24"/>
          <w:szCs w:val="24"/>
          <w:lang w:val="en-US" w:eastAsia="zh-CN"/>
        </w:rPr>
        <w:t>个工作</w:t>
      </w:r>
      <w:r>
        <w:rPr>
          <w:rFonts w:hint="eastAsia" w:ascii="仿宋" w:hAnsi="仿宋" w:eastAsia="仿宋" w:cs="仿宋"/>
          <w:sz w:val="24"/>
          <w:szCs w:val="24"/>
        </w:rPr>
        <w:t>日通知乙方，以便乙方安排生产、做好入库准备。</w:t>
      </w:r>
    </w:p>
    <w:p>
      <w:pPr>
        <w:numPr>
          <w:ilvl w:val="0"/>
          <w:numId w:val="0"/>
        </w:num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4、甲方人员负责装车。</w:t>
      </w:r>
    </w:p>
    <w:p>
      <w:pPr>
        <w:spacing w:line="560" w:lineRule="exact"/>
        <w:ind w:left="560"/>
        <w:rPr>
          <w:rFonts w:ascii="仿宋" w:hAnsi="仿宋" w:eastAsia="仿宋" w:cs="仿宋"/>
          <w:sz w:val="24"/>
          <w:szCs w:val="24"/>
        </w:rPr>
      </w:pPr>
      <w:r>
        <w:rPr>
          <w:rFonts w:ascii="仿宋" w:hAnsi="仿宋" w:eastAsia="仿宋" w:cs="仿宋"/>
          <w:sz w:val="24"/>
          <w:szCs w:val="24"/>
        </w:rPr>
        <w:t>二、</w:t>
      </w:r>
      <w:r>
        <w:rPr>
          <w:rFonts w:hint="eastAsia" w:ascii="仿宋" w:hAnsi="仿宋" w:eastAsia="仿宋" w:cs="仿宋"/>
          <w:sz w:val="24"/>
          <w:szCs w:val="24"/>
        </w:rPr>
        <w:t>乙</w:t>
      </w:r>
      <w:r>
        <w:rPr>
          <w:rFonts w:ascii="仿宋" w:hAnsi="仿宋" w:eastAsia="仿宋" w:cs="仿宋"/>
          <w:sz w:val="24"/>
          <w:szCs w:val="24"/>
        </w:rPr>
        <w:t>方责任：</w:t>
      </w:r>
    </w:p>
    <w:p>
      <w:pPr>
        <w:pStyle w:val="2"/>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1、乙方负责安排有运输资质的车辆，并承担车辆费用。</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乙方应向甲方提供本协议约定的焚烧后废铁的处置服务，不得无故拒收。</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w:t>
      </w:r>
      <w:r>
        <w:rPr>
          <w:rFonts w:ascii="仿宋" w:hAnsi="仿宋" w:eastAsia="仿宋" w:cs="仿宋"/>
          <w:sz w:val="24"/>
          <w:szCs w:val="24"/>
        </w:rPr>
        <w:t>方应按照环境保护有关法律法规、标准规范的规定对</w:t>
      </w:r>
      <w:r>
        <w:rPr>
          <w:rFonts w:hint="eastAsia" w:ascii="仿宋" w:hAnsi="仿宋" w:eastAsia="仿宋" w:cs="仿宋"/>
          <w:sz w:val="24"/>
          <w:szCs w:val="24"/>
        </w:rPr>
        <w:t>焚烧后废铁</w:t>
      </w:r>
      <w:r>
        <w:rPr>
          <w:rFonts w:ascii="仿宋" w:hAnsi="仿宋" w:eastAsia="仿宋" w:cs="仿宋"/>
          <w:sz w:val="24"/>
          <w:szCs w:val="24"/>
        </w:rPr>
        <w:t>最终安全处置。</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乙</w:t>
      </w:r>
      <w:r>
        <w:rPr>
          <w:rFonts w:ascii="仿宋" w:hAnsi="仿宋" w:eastAsia="仿宋" w:cs="仿宋"/>
          <w:sz w:val="24"/>
          <w:szCs w:val="24"/>
        </w:rPr>
        <w:t>方</w:t>
      </w:r>
      <w:r>
        <w:rPr>
          <w:rFonts w:hint="eastAsia" w:ascii="仿宋" w:hAnsi="仿宋" w:eastAsia="仿宋" w:cs="仿宋"/>
          <w:sz w:val="24"/>
          <w:szCs w:val="24"/>
        </w:rPr>
        <w:t>承诺甲方提供的焚烧后废铁销售去向</w:t>
      </w:r>
      <w:r>
        <w:rPr>
          <w:rFonts w:hint="eastAsia" w:ascii="仿宋" w:hAnsi="仿宋" w:eastAsia="仿宋" w:cs="仿宋"/>
          <w:sz w:val="24"/>
          <w:szCs w:val="24"/>
          <w:lang w:eastAsia="zh-CN"/>
        </w:rPr>
        <w:t>正规合法</w:t>
      </w:r>
      <w:r>
        <w:rPr>
          <w:rFonts w:hint="eastAsia" w:ascii="仿宋" w:hAnsi="仿宋" w:eastAsia="仿宋" w:cs="仿宋"/>
          <w:sz w:val="24"/>
          <w:szCs w:val="24"/>
        </w:rPr>
        <w:t>，禁止转卖给其他废品回收公司，并承担相应责任</w:t>
      </w:r>
      <w:r>
        <w:rPr>
          <w:rFonts w:ascii="仿宋" w:hAnsi="仿宋" w:eastAsia="仿宋" w:cs="仿宋"/>
          <w:sz w:val="24"/>
          <w:szCs w:val="24"/>
        </w:rPr>
        <w:t>。</w:t>
      </w:r>
      <w:r>
        <w:rPr>
          <w:rFonts w:hint="eastAsia" w:ascii="仿宋" w:hAnsi="仿宋" w:eastAsia="仿宋" w:cs="仿宋"/>
          <w:sz w:val="24"/>
          <w:szCs w:val="24"/>
        </w:rPr>
        <w:t>乙方必须向甲方提供每批次的送货凭证，甲方有权全过程监督处理环节。</w:t>
      </w:r>
    </w:p>
    <w:p>
      <w:pPr>
        <w:spacing w:line="560" w:lineRule="exact"/>
        <w:ind w:left="560"/>
        <w:rPr>
          <w:rFonts w:hint="eastAsia" w:ascii="仿宋" w:hAnsi="仿宋" w:eastAsia="仿宋" w:cs="仿宋"/>
          <w:sz w:val="24"/>
          <w:szCs w:val="24"/>
        </w:rPr>
      </w:pPr>
      <w:r>
        <w:rPr>
          <w:rFonts w:ascii="仿宋" w:hAnsi="仿宋" w:eastAsia="仿宋" w:cs="仿宋"/>
          <w:sz w:val="24"/>
          <w:szCs w:val="24"/>
        </w:rPr>
        <w:t>三、</w:t>
      </w:r>
      <w:r>
        <w:rPr>
          <w:rFonts w:hint="eastAsia" w:ascii="仿宋" w:hAnsi="仿宋" w:eastAsia="仿宋" w:cs="仿宋"/>
          <w:sz w:val="24"/>
          <w:szCs w:val="24"/>
        </w:rPr>
        <w:t>焚烧处理后废铁块</w:t>
      </w:r>
      <w:r>
        <w:rPr>
          <w:rFonts w:ascii="仿宋" w:hAnsi="仿宋" w:eastAsia="仿宋" w:cs="仿宋"/>
          <w:sz w:val="24"/>
          <w:szCs w:val="24"/>
        </w:rPr>
        <w:t>计量：</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1、结算重量以甲方实际过磅为准，若双方磅差超过千分之三，双方协商处理。</w:t>
      </w:r>
    </w:p>
    <w:p>
      <w:pPr>
        <w:numPr>
          <w:ilvl w:val="0"/>
          <w:numId w:val="4"/>
        </w:numPr>
        <w:spacing w:line="560" w:lineRule="exact"/>
        <w:ind w:firstLine="570"/>
        <w:rPr>
          <w:rFonts w:ascii="仿宋" w:hAnsi="仿宋" w:eastAsia="仿宋" w:cs="仿宋"/>
          <w:sz w:val="24"/>
          <w:szCs w:val="24"/>
        </w:rPr>
      </w:pPr>
      <w:r>
        <w:rPr>
          <w:rFonts w:hint="eastAsia" w:ascii="仿宋" w:hAnsi="仿宋" w:eastAsia="仿宋" w:cs="仿宋"/>
          <w:sz w:val="24"/>
          <w:szCs w:val="24"/>
          <w:lang w:val="en-US" w:eastAsia="zh-CN"/>
        </w:rPr>
        <w:t>回收补贴</w:t>
      </w:r>
      <w:r>
        <w:rPr>
          <w:rFonts w:ascii="仿宋" w:hAnsi="仿宋" w:eastAsia="仿宋" w:cs="仿宋"/>
          <w:sz w:val="24"/>
          <w:szCs w:val="24"/>
        </w:rPr>
        <w:t>费：</w:t>
      </w:r>
    </w:p>
    <w:p>
      <w:pPr>
        <w:numPr>
          <w:ilvl w:val="0"/>
          <w:numId w:val="0"/>
        </w:numPr>
        <w:spacing w:line="560" w:lineRule="exact"/>
        <w:ind w:firstLine="480" w:firstLineChars="200"/>
        <w:rPr>
          <w:rFonts w:hint="default" w:ascii="仿宋" w:hAnsi="仿宋" w:eastAsia="仿宋" w:cs="仿宋"/>
          <w:sz w:val="24"/>
          <w:szCs w:val="24"/>
          <w:u w:val="none"/>
          <w:lang w:val="en-US"/>
        </w:rPr>
      </w:pPr>
      <w:r>
        <w:rPr>
          <w:rFonts w:hint="eastAsia" w:ascii="仿宋" w:hAnsi="仿宋" w:eastAsia="仿宋" w:cs="仿宋"/>
          <w:sz w:val="24"/>
          <w:szCs w:val="24"/>
          <w:lang w:eastAsia="zh-CN"/>
        </w:rPr>
        <w:t>废铁利用</w:t>
      </w:r>
      <w:r>
        <w:rPr>
          <w:rFonts w:hint="eastAsia" w:ascii="仿宋" w:hAnsi="仿宋" w:eastAsia="仿宋" w:cs="仿宋"/>
          <w:sz w:val="24"/>
          <w:szCs w:val="24"/>
          <w:lang w:val="en-US" w:eastAsia="zh-CN"/>
        </w:rPr>
        <w:t>回收补贴费</w:t>
      </w:r>
      <w:r>
        <w:rPr>
          <w:rFonts w:hint="eastAsia" w:ascii="仿宋" w:hAnsi="仿宋" w:eastAsia="仿宋" w:cs="仿宋"/>
          <w:sz w:val="24"/>
          <w:szCs w:val="24"/>
        </w:rPr>
        <w:t>(元/吨)含</w:t>
      </w:r>
      <w:r>
        <w:rPr>
          <w:rFonts w:hint="eastAsia" w:ascii="仿宋" w:hAnsi="仿宋" w:eastAsia="仿宋" w:cs="仿宋"/>
          <w:sz w:val="24"/>
          <w:szCs w:val="24"/>
          <w:lang w:val="en-US" w:eastAsia="zh-CN"/>
        </w:rPr>
        <w:t>13%</w:t>
      </w:r>
      <w:r>
        <w:rPr>
          <w:rFonts w:hint="eastAsia" w:ascii="仿宋" w:hAnsi="仿宋" w:eastAsia="仿宋" w:cs="仿宋"/>
          <w:sz w:val="24"/>
          <w:szCs w:val="24"/>
        </w:rPr>
        <w:t>税</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w:t>
      </w:r>
    </w:p>
    <w:p>
      <w:pPr>
        <w:spacing w:line="560" w:lineRule="exact"/>
        <w:ind w:firstLine="570"/>
        <w:rPr>
          <w:rFonts w:ascii="仿宋" w:hAnsi="仿宋" w:eastAsia="仿宋" w:cs="仿宋"/>
          <w:sz w:val="24"/>
          <w:szCs w:val="24"/>
        </w:rPr>
      </w:pPr>
      <w:r>
        <w:rPr>
          <w:rFonts w:ascii="仿宋" w:hAnsi="仿宋" w:eastAsia="仿宋" w:cs="仿宋"/>
          <w:sz w:val="24"/>
          <w:szCs w:val="24"/>
        </w:rPr>
        <w:t>五、付款方式：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乙</w:t>
      </w:r>
      <w:r>
        <w:rPr>
          <w:rFonts w:hint="eastAsia" w:ascii="仿宋" w:hAnsi="仿宋" w:eastAsia="仿宋" w:cs="仿宋"/>
          <w:sz w:val="24"/>
          <w:szCs w:val="24"/>
        </w:rPr>
        <w:t>方应在收到</w:t>
      </w:r>
      <w:r>
        <w:rPr>
          <w:rFonts w:hint="eastAsia" w:ascii="仿宋" w:hAnsi="仿宋" w:eastAsia="仿宋" w:cs="仿宋"/>
          <w:sz w:val="24"/>
          <w:szCs w:val="24"/>
          <w:lang w:eastAsia="zh-CN"/>
        </w:rPr>
        <w:t>甲</w:t>
      </w:r>
      <w:r>
        <w:rPr>
          <w:rFonts w:hint="eastAsia" w:ascii="仿宋" w:hAnsi="仿宋" w:eastAsia="仿宋" w:cs="仿宋"/>
          <w:sz w:val="24"/>
          <w:szCs w:val="24"/>
        </w:rPr>
        <w:t>方</w:t>
      </w:r>
      <w:r>
        <w:rPr>
          <w:rFonts w:hint="eastAsia" w:ascii="仿宋" w:hAnsi="仿宋" w:eastAsia="仿宋" w:cs="仿宋"/>
          <w:sz w:val="24"/>
          <w:szCs w:val="24"/>
          <w:lang w:val="en-US" w:eastAsia="zh-CN"/>
        </w:rPr>
        <w:t>13%</w:t>
      </w:r>
      <w:r>
        <w:rPr>
          <w:rFonts w:hint="eastAsia" w:ascii="仿宋" w:hAnsi="仿宋" w:eastAsia="仿宋" w:cs="仿宋"/>
          <w:sz w:val="24"/>
          <w:szCs w:val="24"/>
          <w:lang w:eastAsia="zh-CN"/>
        </w:rPr>
        <w:t>增值税专用</w:t>
      </w:r>
      <w:r>
        <w:rPr>
          <w:rFonts w:hint="eastAsia" w:ascii="仿宋" w:hAnsi="仿宋" w:eastAsia="仿宋" w:cs="仿宋"/>
          <w:sz w:val="24"/>
          <w:szCs w:val="24"/>
        </w:rPr>
        <w:t>发票</w:t>
      </w:r>
      <w:r>
        <w:rPr>
          <w:rFonts w:hint="eastAsia" w:ascii="仿宋" w:hAnsi="仿宋" w:eastAsia="仿宋" w:cs="仿宋"/>
          <w:sz w:val="24"/>
          <w:szCs w:val="24"/>
          <w:lang w:val="en-US" w:eastAsia="zh-CN"/>
        </w:rPr>
        <w:t>十五</w:t>
      </w:r>
      <w:r>
        <w:rPr>
          <w:rFonts w:hint="eastAsia" w:ascii="仿宋" w:hAnsi="仿宋" w:eastAsia="仿宋" w:cs="仿宋"/>
          <w:sz w:val="24"/>
          <w:szCs w:val="24"/>
        </w:rPr>
        <w:t>个工作日内将</w:t>
      </w:r>
      <w:r>
        <w:rPr>
          <w:rFonts w:hint="eastAsia" w:ascii="仿宋" w:hAnsi="仿宋" w:eastAsia="仿宋" w:cs="仿宋"/>
          <w:sz w:val="24"/>
          <w:szCs w:val="24"/>
          <w:lang w:eastAsia="zh-CN"/>
        </w:rPr>
        <w:t>回收</w:t>
      </w:r>
      <w:r>
        <w:rPr>
          <w:rFonts w:hint="eastAsia" w:ascii="仿宋" w:hAnsi="仿宋" w:eastAsia="仿宋" w:cs="仿宋"/>
          <w:sz w:val="24"/>
          <w:szCs w:val="24"/>
          <w:lang w:val="en-US" w:eastAsia="zh-CN"/>
        </w:rPr>
        <w:t>补贴</w:t>
      </w:r>
      <w:r>
        <w:rPr>
          <w:rFonts w:hint="eastAsia" w:ascii="仿宋" w:hAnsi="仿宋" w:eastAsia="仿宋" w:cs="仿宋"/>
          <w:sz w:val="24"/>
          <w:szCs w:val="24"/>
        </w:rPr>
        <w:t>费汇入</w:t>
      </w:r>
      <w:r>
        <w:rPr>
          <w:rFonts w:hint="eastAsia" w:ascii="仿宋" w:hAnsi="仿宋" w:eastAsia="仿宋" w:cs="仿宋"/>
          <w:sz w:val="24"/>
          <w:szCs w:val="24"/>
          <w:lang w:eastAsia="zh-CN"/>
        </w:rPr>
        <w:t>甲</w:t>
      </w:r>
      <w:r>
        <w:rPr>
          <w:rFonts w:hint="eastAsia" w:ascii="仿宋" w:hAnsi="仿宋" w:eastAsia="仿宋" w:cs="仿宋"/>
          <w:sz w:val="24"/>
          <w:szCs w:val="24"/>
        </w:rPr>
        <w:t>方指定账户。</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六、其它：</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、遇不可抗力导致合同不可履行或者不能完全履行的，可协商顺延履行期限，互不承担责任。不可抗力包括但不限于战争、恶劣天气、地震、水灾、火灾、禁运、罢工等。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本协议有效期自</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日止，双方应于协议到期前两个月内洽谈续约事宜。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、本协议未尽事宜，双方签订补充协议。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、本协议一式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份，甲乙双方各执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份。协议自双方签章起生效。</w:t>
      </w:r>
    </w:p>
    <w:p>
      <w:pPr>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七、附件</w:t>
      </w:r>
    </w:p>
    <w:p>
      <w:pPr>
        <w:spacing w:line="560" w:lineRule="exact"/>
        <w:ind w:firstLine="480" w:firstLineChars="200"/>
      </w:pPr>
      <w:r>
        <w:rPr>
          <w:rFonts w:hint="eastAsia" w:ascii="仿宋" w:hAnsi="仿宋" w:eastAsia="仿宋" w:cs="仿宋"/>
          <w:sz w:val="24"/>
          <w:szCs w:val="24"/>
          <w:lang w:val="en-US" w:eastAsia="zh-CN"/>
        </w:rPr>
        <w:t>1、乙方与</w:t>
      </w:r>
      <w:r>
        <w:rPr>
          <w:rFonts w:hint="eastAsia" w:ascii="仿宋" w:hAnsi="仿宋" w:eastAsia="仿宋" w:cs="仿宋"/>
          <w:sz w:val="24"/>
          <w:szCs w:val="24"/>
        </w:rPr>
        <w:t>正规钢铁厂</w:t>
      </w:r>
      <w:r>
        <w:rPr>
          <w:rFonts w:hint="eastAsia" w:ascii="仿宋" w:hAnsi="仿宋" w:eastAsia="仿宋" w:cs="仿宋"/>
          <w:sz w:val="24"/>
          <w:szCs w:val="24"/>
          <w:lang w:eastAsia="zh-CN"/>
        </w:rPr>
        <w:t>的签约合同复印件、乙方营业执照、乙方相关资质证书。</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B56F2"/>
    <w:multiLevelType w:val="singleLevel"/>
    <w:tmpl w:val="949B56F2"/>
    <w:lvl w:ilvl="0" w:tentative="0">
      <w:start w:val="4"/>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CF7118"/>
    <w:rsid w:val="01D22213"/>
    <w:rsid w:val="01E64923"/>
    <w:rsid w:val="02517829"/>
    <w:rsid w:val="02834D04"/>
    <w:rsid w:val="04605697"/>
    <w:rsid w:val="05D22118"/>
    <w:rsid w:val="06057AB3"/>
    <w:rsid w:val="06B63B23"/>
    <w:rsid w:val="076328DA"/>
    <w:rsid w:val="07F22E47"/>
    <w:rsid w:val="097479E0"/>
    <w:rsid w:val="0A0C6ADD"/>
    <w:rsid w:val="0A32752C"/>
    <w:rsid w:val="0A9D2C63"/>
    <w:rsid w:val="0AAC6C3B"/>
    <w:rsid w:val="0ACF5189"/>
    <w:rsid w:val="0BCC31F9"/>
    <w:rsid w:val="0CAC6F81"/>
    <w:rsid w:val="0CC44C6D"/>
    <w:rsid w:val="0CC8622A"/>
    <w:rsid w:val="0CD66DF3"/>
    <w:rsid w:val="0DC35837"/>
    <w:rsid w:val="0DE61498"/>
    <w:rsid w:val="0EDB42DA"/>
    <w:rsid w:val="110C39D4"/>
    <w:rsid w:val="11E463F5"/>
    <w:rsid w:val="11ED1A95"/>
    <w:rsid w:val="1297576D"/>
    <w:rsid w:val="12BF4C87"/>
    <w:rsid w:val="12E70A09"/>
    <w:rsid w:val="13565B98"/>
    <w:rsid w:val="13896422"/>
    <w:rsid w:val="13D43D9A"/>
    <w:rsid w:val="1590003B"/>
    <w:rsid w:val="17501286"/>
    <w:rsid w:val="17B042A1"/>
    <w:rsid w:val="1A2B7D96"/>
    <w:rsid w:val="1A6E187B"/>
    <w:rsid w:val="1BA73893"/>
    <w:rsid w:val="1BD33B78"/>
    <w:rsid w:val="1BD7056D"/>
    <w:rsid w:val="1D932740"/>
    <w:rsid w:val="1DAD7C5D"/>
    <w:rsid w:val="1E1A21EF"/>
    <w:rsid w:val="1E804109"/>
    <w:rsid w:val="1F297536"/>
    <w:rsid w:val="203B090D"/>
    <w:rsid w:val="21135480"/>
    <w:rsid w:val="214D7086"/>
    <w:rsid w:val="21BA7E4E"/>
    <w:rsid w:val="237D7CF3"/>
    <w:rsid w:val="23AE67CD"/>
    <w:rsid w:val="24130D0C"/>
    <w:rsid w:val="243A00E4"/>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FE249E"/>
    <w:rsid w:val="3464504B"/>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B176CC"/>
    <w:rsid w:val="432641C0"/>
    <w:rsid w:val="45530393"/>
    <w:rsid w:val="456F39D8"/>
    <w:rsid w:val="469F7AF8"/>
    <w:rsid w:val="46FC2223"/>
    <w:rsid w:val="475812CD"/>
    <w:rsid w:val="478F3581"/>
    <w:rsid w:val="47B96D86"/>
    <w:rsid w:val="47D615F1"/>
    <w:rsid w:val="48034DA7"/>
    <w:rsid w:val="497077D0"/>
    <w:rsid w:val="49E7480F"/>
    <w:rsid w:val="4C870D35"/>
    <w:rsid w:val="4C915365"/>
    <w:rsid w:val="4E376DB9"/>
    <w:rsid w:val="4E716394"/>
    <w:rsid w:val="4F0A3ECF"/>
    <w:rsid w:val="502844C8"/>
    <w:rsid w:val="503D2983"/>
    <w:rsid w:val="50B4466F"/>
    <w:rsid w:val="51C637C4"/>
    <w:rsid w:val="51D845E4"/>
    <w:rsid w:val="533444FB"/>
    <w:rsid w:val="55C54FE9"/>
    <w:rsid w:val="55E07717"/>
    <w:rsid w:val="57655AC5"/>
    <w:rsid w:val="58080247"/>
    <w:rsid w:val="59521202"/>
    <w:rsid w:val="5A1C766A"/>
    <w:rsid w:val="5A7B4F12"/>
    <w:rsid w:val="5C3B755B"/>
    <w:rsid w:val="5CCD7156"/>
    <w:rsid w:val="5CF528AB"/>
    <w:rsid w:val="5E9565CC"/>
    <w:rsid w:val="5F275AD2"/>
    <w:rsid w:val="5F6B7C36"/>
    <w:rsid w:val="60B7518E"/>
    <w:rsid w:val="612A3DEE"/>
    <w:rsid w:val="628F0181"/>
    <w:rsid w:val="644D1A25"/>
    <w:rsid w:val="649B6D2D"/>
    <w:rsid w:val="649C599A"/>
    <w:rsid w:val="659A7D20"/>
    <w:rsid w:val="65AB0B4B"/>
    <w:rsid w:val="65D90B29"/>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770D52"/>
    <w:rsid w:val="731A5A1C"/>
    <w:rsid w:val="732E09CE"/>
    <w:rsid w:val="74686C94"/>
    <w:rsid w:val="77D476E8"/>
    <w:rsid w:val="79C35073"/>
    <w:rsid w:val="79EE1200"/>
    <w:rsid w:val="7A500C84"/>
    <w:rsid w:val="7A686EEB"/>
    <w:rsid w:val="7B4D5F67"/>
    <w:rsid w:val="7BB73181"/>
    <w:rsid w:val="7BBF3750"/>
    <w:rsid w:val="7C0C09EB"/>
    <w:rsid w:val="7CD03426"/>
    <w:rsid w:val="7CF9506A"/>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25</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2021-08-12T01:56:00Z</cp:lastPrinted>
  <dcterms:modified xsi:type="dcterms:W3CDTF">2021-08-20T02:46:17Z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