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202112002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w:t>
      </w:r>
      <w:r>
        <w:rPr>
          <w:rFonts w:hint="eastAsia" w:ascii="仿宋_GB2312" w:eastAsia="仿宋_GB2312"/>
          <w:sz w:val="32"/>
          <w:szCs w:val="32"/>
          <w:u w:val="single"/>
          <w:lang w:val="en-US" w:eastAsia="zh-CN"/>
        </w:rPr>
        <w:t>临江公司高企申请-财务专项审计服务采购项目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现需进行高新技术企业认定财务专项审计，要求出具研发费用专项审计报告和高新技术产品（服务）收入专项审计报告，</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202112002</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高企申请-财务专项审计服务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highlight w:val="yellow"/>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投标人必须是在中华人民共和国境内注册，具有独立法人资格和独立承担民事责任的能力（提供工商注册证明）；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highlight w:val="none"/>
          <w:lang w:val="en-US" w:eastAsia="zh-CN" w:bidi="ar-SA"/>
        </w:rPr>
        <w:t>投标人必须为会计师事务所；</w:t>
      </w:r>
    </w:p>
    <w:p>
      <w:pPr>
        <w:rPr>
          <w:rFonts w:hint="default"/>
          <w:lang w:val="en-US" w:eastAsia="zh-CN"/>
        </w:rPr>
      </w:pPr>
      <w:r>
        <w:rPr>
          <w:rFonts w:hint="eastAsia" w:ascii="仿宋_GB2312" w:eastAsia="仿宋_GB2312" w:cs="Times New Roman"/>
          <w:b w:val="0"/>
          <w:caps w:val="0"/>
          <w:kern w:val="2"/>
          <w:sz w:val="30"/>
          <w:szCs w:val="30"/>
          <w:lang w:val="en-US" w:eastAsia="zh-CN" w:bidi="ar-SA"/>
        </w:rPr>
        <w:t xml:space="preserve">    4.</w:t>
      </w:r>
      <w:r>
        <w:rPr>
          <w:rFonts w:hint="eastAsia" w:ascii="仿宋_GB2312" w:eastAsia="仿宋_GB2312" w:cs="Times New Roman"/>
          <w:b w:val="0"/>
          <w:caps w:val="0"/>
          <w:kern w:val="2"/>
          <w:sz w:val="30"/>
          <w:szCs w:val="30"/>
          <w:highlight w:val="none"/>
          <w:lang w:val="en-US" w:eastAsia="zh-CN" w:bidi="ar-SA"/>
        </w:rPr>
        <w:t>公司成立时间在1年以上，且须提供近一年内</w:t>
      </w:r>
      <w:r>
        <w:rPr>
          <w:rFonts w:hint="eastAsia" w:ascii="仿宋_GB2312" w:eastAsia="仿宋_GB2312" w:cs="Times New Roman"/>
          <w:b w:val="0"/>
          <w:caps w:val="0"/>
          <w:kern w:val="2"/>
          <w:sz w:val="30"/>
          <w:szCs w:val="30"/>
          <w:lang w:val="en-US" w:eastAsia="zh-CN" w:bidi="ar-SA"/>
        </w:rPr>
        <w:t>开展过高企申报财务专项审计的合同复印件；</w:t>
      </w:r>
    </w:p>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5.本项目不接受联合体投标。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20</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报价时间：202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24</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杭州市钱塘区临江街道红十五线与观十五线交叉口杭州临江环境能源有限公司科研楼</w:t>
      </w:r>
      <w:r>
        <w:rPr>
          <w:rFonts w:hint="eastAsia" w:ascii="仿宋_GB2312" w:eastAsia="仿宋_GB2312"/>
          <w:color w:val="auto"/>
          <w:sz w:val="30"/>
          <w:szCs w:val="30"/>
        </w:rPr>
        <w:t>。</w:t>
      </w:r>
    </w:p>
    <w:p>
      <w:pPr>
        <w:pStyle w:val="2"/>
        <w:ind w:firstLine="600" w:firstLineChars="200"/>
        <w:rPr>
          <w:rFonts w:hint="eastAsia"/>
        </w:rPr>
      </w:pPr>
      <w:r>
        <w:rPr>
          <w:rFonts w:hint="eastAsia" w:ascii="仿宋_GB2312" w:hAnsi="Times New Roman" w:eastAsia="仿宋_GB2312" w:cs="Times New Roman"/>
          <w:b w:val="0"/>
          <w:caps w:val="0"/>
          <w:color w:val="auto"/>
          <w:kern w:val="2"/>
          <w:sz w:val="30"/>
          <w:szCs w:val="30"/>
          <w:lang w:val="en-US" w:eastAsia="zh-CN" w:bidi="ar-SA"/>
        </w:rPr>
        <w:t>3.相关要求：鉴于目前杭州疫情情况，为有效遏制新冠病毒的传播，做好疫情防控。本项目建议</w:t>
      </w:r>
      <w:r>
        <w:rPr>
          <w:rFonts w:hint="eastAsia" w:ascii="仿宋_GB2312" w:eastAsia="仿宋_GB2312" w:cs="Times New Roman"/>
          <w:b w:val="0"/>
          <w:caps w:val="0"/>
          <w:color w:val="auto"/>
          <w:kern w:val="2"/>
          <w:sz w:val="30"/>
          <w:szCs w:val="30"/>
          <w:lang w:val="en-US" w:eastAsia="zh-CN" w:bidi="ar-SA"/>
        </w:rPr>
        <w:t>投标人</w:t>
      </w:r>
      <w:r>
        <w:rPr>
          <w:rFonts w:hint="eastAsia" w:ascii="仿宋_GB2312" w:hAnsi="Times New Roman" w:eastAsia="仿宋_GB2312" w:cs="Times New Roman"/>
          <w:b w:val="0"/>
          <w:caps w:val="0"/>
          <w:color w:val="auto"/>
          <w:kern w:val="2"/>
          <w:sz w:val="30"/>
          <w:szCs w:val="30"/>
          <w:lang w:val="en-US" w:eastAsia="zh-CN" w:bidi="ar-SA"/>
        </w:rPr>
        <w:t>邮寄标书，无需到现场开标。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招标人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1年12月16</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招标人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招标人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招标人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招标人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1"/>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2"/>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1.采购内容：详见附件七。</w:t>
      </w:r>
    </w:p>
    <w:p>
      <w:pPr>
        <w:pStyle w:val="12"/>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2.采购用途：高效实现高新技术企业认定工作，出具采购人的研发费用专项审计报告和高新技术产品（服务）收入专项审计报告。</w:t>
      </w:r>
    </w:p>
    <w:p>
      <w:pPr>
        <w:pStyle w:val="12"/>
        <w:ind w:left="0" w:leftChars="0" w:firstLine="600" w:firstLineChars="200"/>
        <w:jc w:val="both"/>
        <w:rPr>
          <w:rFonts w:hint="eastAsia" w:ascii="仿宋_GB2312" w:eastAsia="仿宋_GB2312"/>
          <w:sz w:val="30"/>
          <w:szCs w:val="30"/>
          <w:lang w:val="en-US" w:eastAsia="zh-CN"/>
        </w:rPr>
      </w:pPr>
    </w:p>
    <w:p>
      <w:pPr>
        <w:pStyle w:val="11"/>
        <w:snapToGrid w:val="0"/>
        <w:spacing w:line="240" w:lineRule="auto"/>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1"/>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1.时间要求：2022-2024年期间，年度高新申报截止时</w:t>
      </w:r>
      <w:r>
        <w:rPr>
          <w:rFonts w:hint="eastAsia" w:ascii="仿宋_GB2312" w:eastAsia="仿宋_GB2312"/>
          <w:color w:val="auto"/>
          <w:kern w:val="2"/>
          <w:sz w:val="30"/>
          <w:szCs w:val="30"/>
          <w:highlight w:val="none"/>
          <w:lang w:val="en-US" w:eastAsia="zh-CN"/>
        </w:rPr>
        <w:t>间一个半月之前，完成该年度高企申报的所有财务专项审计工作及报告；</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highlight w:val="none"/>
          <w:lang w:val="en-US" w:eastAsia="zh-CN"/>
        </w:rPr>
        <w:t>2.成果要求：协助完成高新技术企业的评定工作，出具研</w:t>
      </w:r>
      <w:r>
        <w:rPr>
          <w:rFonts w:hint="eastAsia" w:ascii="仿宋_GB2312" w:eastAsia="仿宋_GB2312"/>
          <w:color w:val="auto"/>
          <w:kern w:val="2"/>
          <w:sz w:val="30"/>
          <w:szCs w:val="30"/>
          <w:lang w:val="en-US" w:eastAsia="zh-CN"/>
        </w:rPr>
        <w:t>发费用专项审计报告和高新技术产品（服务）收入专项审计报告；</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3.其他要求：项目工作地点位于杭州钱塘区临江街道红十五线与观十五线交叉口杭州临江环境能源有限公司，交通、食宿等审计人员相关的费用需要服务供应商自理。</w:t>
      </w:r>
    </w:p>
    <w:p>
      <w:pPr>
        <w:pStyle w:val="11"/>
        <w:snapToGrid w:val="0"/>
        <w:spacing w:line="240" w:lineRule="auto"/>
        <w:ind w:firstLine="601"/>
        <w:rPr>
          <w:rFonts w:hint="eastAsia" w:ascii="仿宋_GB2312" w:eastAsia="仿宋_GB2312"/>
          <w:color w:val="auto"/>
          <w:kern w:val="2"/>
          <w:sz w:val="30"/>
          <w:szCs w:val="30"/>
          <w:lang w:val="en-US" w:eastAsia="zh-CN"/>
        </w:rPr>
      </w:pP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1"/>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设立专门的服务小组，审计人员应具备专业胜任能力，具备高新申报审计经验。审计人员还应保持独立性和客观</w:t>
      </w:r>
      <w:r>
        <w:rPr>
          <w:rFonts w:hint="eastAsia" w:ascii="仿宋_GB2312" w:eastAsia="仿宋_GB2312"/>
          <w:color w:val="auto"/>
          <w:kern w:val="2"/>
          <w:sz w:val="30"/>
          <w:szCs w:val="30"/>
          <w:highlight w:val="none"/>
          <w:lang w:val="en-US" w:eastAsia="zh-CN"/>
        </w:rPr>
        <w:t>性，团队中至少配备一名注册会计师。</w:t>
      </w:r>
    </w:p>
    <w:p>
      <w:pPr>
        <w:pStyle w:val="11"/>
        <w:snapToGrid w:val="0"/>
        <w:spacing w:line="240" w:lineRule="auto"/>
        <w:ind w:firstLine="601"/>
        <w:rPr>
          <w:rFonts w:hint="default" w:ascii="仿宋_GB2312" w:eastAsia="仿宋_GB2312"/>
          <w:color w:val="auto"/>
          <w:kern w:val="2"/>
          <w:sz w:val="30"/>
          <w:szCs w:val="30"/>
          <w:lang w:val="en-US" w:eastAsia="zh-CN"/>
        </w:rPr>
      </w:pPr>
    </w:p>
    <w:p>
      <w:pPr>
        <w:pStyle w:val="11"/>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四</w:t>
      </w:r>
      <w:r>
        <w:rPr>
          <w:rFonts w:hint="eastAsia" w:ascii="仿宋_GB2312" w:eastAsia="仿宋_GB2312"/>
          <w:color w:val="auto"/>
          <w:kern w:val="2"/>
          <w:sz w:val="30"/>
          <w:szCs w:val="30"/>
        </w:rPr>
        <w:t>、付款方式</w:t>
      </w:r>
    </w:p>
    <w:p>
      <w:pPr>
        <w:pStyle w:val="11"/>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11"/>
        <w:snapToGrid w:val="0"/>
        <w:spacing w:line="240" w:lineRule="auto"/>
        <w:ind w:firstLine="601"/>
        <w:rPr>
          <w:rFonts w:hint="eastAsia" w:ascii="仿宋_GB2312" w:eastAsia="仿宋_GB2312"/>
          <w:color w:val="auto"/>
          <w:kern w:val="2"/>
          <w:sz w:val="30"/>
          <w:szCs w:val="30"/>
        </w:rPr>
      </w:pPr>
    </w:p>
    <w:p>
      <w:pPr>
        <w:pStyle w:val="11"/>
        <w:numPr>
          <w:ilvl w:val="0"/>
          <w:numId w:val="3"/>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验收标准</w:t>
      </w:r>
    </w:p>
    <w:p>
      <w:pPr>
        <w:pStyle w:val="11"/>
        <w:numPr>
          <w:ilvl w:val="0"/>
          <w:numId w:val="0"/>
        </w:numPr>
        <w:snapToGrid w:val="0"/>
        <w:spacing w:line="240" w:lineRule="auto"/>
        <w:ind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见附件八。</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val="en-US" w:eastAsia="zh-CN"/>
        </w:rPr>
        <w:t>高企申请-财务专项审计服务采购项目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202112002</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val="en-US" w:eastAsia="zh-CN"/>
        </w:rPr>
        <w:t>高企申请-财务专项审计服务采购项目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202112002</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2021年临江公司高企申请-财务专项审计服务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5"/>
        <w:spacing w:line="240" w:lineRule="auto"/>
        <w:ind w:left="0" w:leftChars="0" w:firstLine="0" w:firstLineChars="0"/>
        <w:rPr>
          <w:rFonts w:hint="eastAsia" w:ascii="仿宋_GB2312" w:hAnsi="仿宋_GB2312" w:eastAsia="仿宋_GB2312" w:cs="仿宋_GB2312"/>
          <w:sz w:val="32"/>
          <w:szCs w:val="30"/>
        </w:rPr>
      </w:pPr>
    </w:p>
    <w:tbl>
      <w:tblPr>
        <w:tblStyle w:val="7"/>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10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临江公司</w:t>
            </w:r>
            <w:r>
              <w:rPr>
                <w:rFonts w:hint="eastAsia" w:ascii="仿宋_GB2312" w:eastAsia="仿宋_GB2312" w:cs="Times New Roman"/>
                <w:b w:val="0"/>
                <w:caps w:val="0"/>
                <w:kern w:val="2"/>
                <w:sz w:val="30"/>
                <w:szCs w:val="30"/>
                <w:lang w:val="en-US" w:eastAsia="zh-CN" w:bidi="ar-SA"/>
              </w:rPr>
              <w:t>高企申请-财务</w:t>
            </w:r>
            <w:r>
              <w:rPr>
                <w:rFonts w:hint="eastAsia" w:ascii="仿宋_GB2312" w:hAnsi="Times New Roman" w:eastAsia="仿宋_GB2312" w:cs="Times New Roman"/>
                <w:b w:val="0"/>
                <w:caps w:val="0"/>
                <w:kern w:val="2"/>
                <w:sz w:val="30"/>
                <w:szCs w:val="30"/>
                <w:lang w:val="en-US" w:eastAsia="zh-CN" w:bidi="ar-SA"/>
              </w:rPr>
              <w:t>专项审计服务</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1063" w:type="dxa"/>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、设备、保险、税费、验收及知识产权等一切费用</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2021年临江公司</w:t>
      </w:r>
      <w:r>
        <w:rPr>
          <w:rFonts w:hint="eastAsia" w:ascii="仿宋_GB2312" w:eastAsia="仿宋_GB2312"/>
          <w:sz w:val="30"/>
          <w:szCs w:val="30"/>
          <w:u w:val="single"/>
          <w:lang w:val="en-US" w:eastAsia="zh-CN"/>
        </w:rPr>
        <w:t>高企申请-财务专项审计服务</w:t>
      </w:r>
      <w:r>
        <w:rPr>
          <w:rFonts w:hint="eastAsia" w:ascii="仿宋_GB2312" w:eastAsia="仿宋_GB2312"/>
          <w:sz w:val="30"/>
          <w:szCs w:val="30"/>
        </w:rPr>
        <w:t>询价采购，并作如下承诺：</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我公司保证按照询价文件的服务要求、成果要求和人员要求提供相应的服务，同时保证提供的服务符合国家或行业规定的标准；</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我公司保证未经采购方事先书面同意，不得将由甲方提供的有关</w:t>
      </w:r>
      <w:r>
        <w:rPr>
          <w:rFonts w:hint="eastAsia" w:ascii="仿宋_GB2312" w:eastAsia="仿宋_GB2312" w:cs="Times New Roman"/>
          <w:b w:val="0"/>
          <w:caps w:val="0"/>
          <w:kern w:val="2"/>
          <w:sz w:val="30"/>
          <w:szCs w:val="30"/>
          <w:lang w:val="en-US" w:eastAsia="zh-CN" w:bidi="ar-SA"/>
        </w:rPr>
        <w:t>财务报告及相关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w:t>
      </w:r>
      <w:r>
        <w:rPr>
          <w:rFonts w:hint="eastAsia" w:ascii="仿宋_GB2312" w:eastAsia="仿宋_GB2312" w:cs="Times New Roman"/>
          <w:b w:val="0"/>
          <w:caps w:val="0"/>
          <w:kern w:val="2"/>
          <w:sz w:val="30"/>
          <w:szCs w:val="30"/>
          <w:lang w:val="en-US" w:eastAsia="zh-CN" w:bidi="ar-SA"/>
        </w:rPr>
        <w:t>合同的必需范围；</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我公司保证在采购人要求的时间内完成所有高企申请-财务专项审计工作；</w:t>
      </w: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3"/>
          <w:rFonts w:ascii="仿宋_GB2312" w:eastAsia="仿宋_GB2312"/>
          <w:sz w:val="30"/>
        </w:rPr>
      </w:pPr>
      <w:r>
        <w:rPr>
          <w:rStyle w:val="13"/>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Style w:val="13"/>
          <w:rFonts w:hint="eastAsia" w:ascii="仿宋_GB2312" w:eastAsia="仿宋_GB2312"/>
          <w:sz w:val="30"/>
          <w:lang w:val="en-US"/>
        </w:rPr>
      </w:pPr>
      <w:r>
        <w:rPr>
          <w:rStyle w:val="13"/>
          <w:rFonts w:hint="eastAsia" w:ascii="仿宋_GB2312" w:eastAsia="仿宋_GB2312"/>
          <w:sz w:val="30"/>
        </w:rPr>
        <w:t>附件</w:t>
      </w:r>
      <w:r>
        <w:rPr>
          <w:rStyle w:val="13"/>
          <w:rFonts w:hint="eastAsia" w:ascii="仿宋_GB2312" w:eastAsia="仿宋_GB2312"/>
          <w:sz w:val="30"/>
          <w:lang w:val="en-US"/>
        </w:rPr>
        <w:t>六</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ind w:firstLine="1767" w:firstLineChars="400"/>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注册会计师证证明文件（复印件）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rPr>
          <w:rFonts w:hint="eastAsia" w:ascii="仿宋_GB2312" w:eastAsia="仿宋_GB2312"/>
          <w:b/>
          <w:bCs/>
          <w:sz w:val="30"/>
          <w:szCs w:val="22"/>
          <w:lang w:val="en-US" w:eastAsia="zh-CN"/>
        </w:rPr>
      </w:pPr>
    </w:p>
    <w:p>
      <w:pPr>
        <w:jc w:val="both"/>
        <w:rPr>
          <w:rFonts w:hint="eastAsia" w:ascii="仿宋_GB2312" w:eastAsia="仿宋_GB2312"/>
          <w:b/>
          <w:bCs/>
          <w:sz w:val="30"/>
          <w:szCs w:val="22"/>
          <w:lang w:val="en-US" w:eastAsia="zh-CN"/>
        </w:rPr>
      </w:pPr>
      <w:r>
        <w:rPr>
          <w:rFonts w:hint="eastAsia" w:ascii="仿宋_GB2312" w:eastAsia="仿宋_GB2312"/>
          <w:b/>
          <w:bCs/>
          <w:sz w:val="30"/>
          <w:szCs w:val="22"/>
          <w:lang w:val="en-US" w:eastAsia="zh-CN"/>
        </w:rPr>
        <w:t>附件七</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高企专项审计工作内容</w:t>
      </w:r>
    </w:p>
    <w:p>
      <w:pPr>
        <w:pStyle w:val="2"/>
        <w:rPr>
          <w:rFonts w:hint="eastAsia" w:ascii="仿宋_GB2312" w:hAnsi="仿宋_GB2312" w:eastAsia="仿宋_GB2312" w:cs="仿宋_GB2312"/>
          <w:b/>
          <w:bCs/>
          <w:sz w:val="44"/>
          <w:szCs w:val="44"/>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对公司近三个会计年度的研发费用和近一个会计年度的高新技术产品（服务）收入进行审计，并出具相关的专项审计报告。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审计目的：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为确保公司高水平实现三年认定高新技术企业的目标</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审计</w:t>
      </w:r>
      <w:r>
        <w:rPr>
          <w:rFonts w:hint="eastAsia" w:ascii="仿宋_GB2312" w:hAnsi="仿宋_GB2312" w:eastAsia="仿宋_GB2312" w:cs="仿宋_GB2312"/>
          <w:sz w:val="30"/>
          <w:szCs w:val="30"/>
          <w:lang w:val="en-US" w:eastAsia="zh-CN"/>
        </w:rPr>
        <w:t>报告要求</w:t>
      </w:r>
      <w:r>
        <w:rPr>
          <w:rFonts w:hint="eastAsia" w:ascii="仿宋_GB2312" w:hAnsi="仿宋_GB2312" w:eastAsia="仿宋_GB2312" w:cs="仿宋_GB2312"/>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sz w:val="30"/>
          <w:szCs w:val="30"/>
          <w:lang w:val="en-US" w:eastAsia="zh-CN"/>
        </w:rPr>
      </w:pPr>
      <w:r>
        <w:rPr>
          <w:rFonts w:hint="eastAsia" w:ascii="仿宋_GB2312" w:hAnsi="仿宋_GB2312" w:eastAsia="仿宋_GB2312" w:cs="仿宋_GB2312"/>
          <w:sz w:val="30"/>
          <w:szCs w:val="30"/>
          <w:lang w:val="en-US" w:eastAsia="zh-CN"/>
        </w:rPr>
        <w:t>1、高新技术产品（服务）收入专项审计：（1）高新技术产品（服务）收入及其分项明细（2）技术性收入及其分项明细（3）高新技术产品（服务）收入与技术性收入之和（4）高新技术产品（服务）收入与技术性收入之和占企业当年总收入的比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2、近三个会计年度的研发费用分年度分项审计：（1）近三个会计年度的研发总费用（2）近三个会计年度的研究开发费用总额占销售收入总额的比例（3）研究开发经费及其分年度分项明细。</w:t>
      </w:r>
    </w:p>
    <w:p>
      <w:pPr>
        <w:pStyle w:val="2"/>
        <w:ind w:firstLine="64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附件八</w:t>
      </w:r>
    </w:p>
    <w:p>
      <w:pPr>
        <w:pStyle w:val="2"/>
        <w:rPr>
          <w:rFonts w:hint="eastAsia" w:ascii="仿宋_GB2312" w:eastAsia="仿宋_GB2312"/>
          <w:b/>
          <w:bCs/>
          <w:sz w:val="30"/>
          <w:szCs w:val="22"/>
          <w:lang w:val="en-US" w:eastAsia="zh-CN"/>
        </w:rPr>
      </w:pPr>
    </w:p>
    <w:p>
      <w:pPr>
        <w:jc w:val="center"/>
        <w:rPr>
          <w:rFonts w:hint="eastAsia" w:ascii="仿宋_GB2312" w:hAnsi="Times New Roman" w:eastAsia="仿宋_GB2312" w:cs="Times New Roman"/>
          <w:b/>
          <w:sz w:val="44"/>
          <w:szCs w:val="22"/>
          <w:lang w:eastAsia="zh-CN"/>
        </w:rPr>
      </w:pPr>
      <w:r>
        <w:rPr>
          <w:rFonts w:hint="eastAsia" w:ascii="仿宋_GB2312" w:hAnsi="Times New Roman" w:eastAsia="仿宋_GB2312" w:cs="Times New Roman"/>
          <w:b/>
          <w:sz w:val="44"/>
          <w:szCs w:val="22"/>
          <w:lang w:eastAsia="zh-CN"/>
        </w:rPr>
        <w:t>服务质量验收标准</w:t>
      </w:r>
    </w:p>
    <w:tbl>
      <w:tblPr>
        <w:tblStyle w:val="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702"/>
        <w:gridCol w:w="869"/>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957" w:type="dxa"/>
            <w:gridSpan w:val="3"/>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验收指标</w:t>
            </w:r>
          </w:p>
        </w:tc>
        <w:tc>
          <w:tcPr>
            <w:tcW w:w="5322"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86"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服务过程</w:t>
            </w: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工作能力</w:t>
            </w:r>
          </w:p>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工作效率</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1、按时提交初稿、修订稿、正式稿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2、能够按照计划进度开展工作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noWrap w:val="0"/>
            <w:vAlign w:val="top"/>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胜任能力</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3、现场审计期间，审计力量达到委托要求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配合程度</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沟通能力</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4、及时就项目开展进度、情况进行沟通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5、在对重大事项下结论前能与被审计单位进行充分沟通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职业操守</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工作态度</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6、审计组对事项的描述、问题的定性和数据的确定等是否谨慎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7、审计组对事项的描述、问题的定性和数据的确定等是否客观真实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职业道德</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8、审计人员能对职业过程中获得的信息保密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9、审计人员能坚持独立、客观、公正的立场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86"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服务成果</w:t>
            </w: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工作规范性</w:t>
            </w:r>
          </w:p>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审计程序与审计方法</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10、审计组采取的审计程序是否规范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11、有关专业方法（指审计或评价方法等）运用是否恰当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工作完整性</w:t>
            </w:r>
          </w:p>
        </w:tc>
        <w:tc>
          <w:tcPr>
            <w:tcW w:w="869"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审计内容与审计报告</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12、揭示流程中存在的重大风险隐患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工作建设性</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分析与建议</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13、具有较深入的情况分析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14、不存在问题定性含糊不清或不客观真实的情况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15、不存在简单罗列数据进行情况说明，描述审计发现，提出审计建议的情况</w:t>
            </w:r>
          </w:p>
        </w:tc>
      </w:tr>
    </w:tbl>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pPr>
    </w:p>
    <w:p/>
    <w:p>
      <w:pPr>
        <w:jc w:val="left"/>
        <w:rPr>
          <w:rStyle w:val="13"/>
          <w:rFonts w:hint="default" w:ascii="仿宋_GB2312" w:eastAsia="仿宋_GB2312"/>
          <w:sz w:val="30"/>
          <w:szCs w:val="22"/>
          <w:lang w:val="en-US"/>
        </w:rPr>
      </w:pPr>
      <w:r>
        <w:rPr>
          <w:rStyle w:val="13"/>
          <w:rFonts w:hint="eastAsia" w:ascii="仿宋_GB2312" w:eastAsia="仿宋_GB2312"/>
          <w:sz w:val="30"/>
          <w:szCs w:val="22"/>
          <w:lang w:val="en-GB"/>
        </w:rPr>
        <w:t>附件</w:t>
      </w:r>
      <w:r>
        <w:rPr>
          <w:rStyle w:val="13"/>
          <w:rFonts w:hint="eastAsia" w:ascii="仿宋_GB2312" w:eastAsia="仿宋_GB2312"/>
          <w:sz w:val="30"/>
          <w:szCs w:val="22"/>
          <w:lang w:val="en-US"/>
        </w:rPr>
        <w:t>九</w:t>
      </w:r>
    </w:p>
    <w:p>
      <w:pPr>
        <w:pStyle w:val="5"/>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rPr>
        <w:t>财务专项</w:t>
      </w:r>
      <w:r>
        <w:rPr>
          <w:rStyle w:val="13"/>
          <w:rFonts w:hint="eastAsia" w:ascii="仿宋_GB2312" w:eastAsia="仿宋_GB2312"/>
          <w:b/>
          <w:spacing w:val="0"/>
          <w:sz w:val="44"/>
          <w:szCs w:val="22"/>
          <w:lang w:val="en-GB"/>
        </w:rPr>
        <w:t>审计服务</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要求，甲乙双方经询价、报价并协商一致，就甲方委托乙方提供财务专项审计服务事项达成</w:t>
      </w:r>
      <w:r>
        <w:rPr>
          <w:rFonts w:hint="eastAsia" w:ascii="仿宋_GB2312" w:eastAsia="仿宋_GB2312"/>
          <w:sz w:val="24"/>
          <w:szCs w:val="24"/>
        </w:rPr>
        <w:t>如下条款：</w:t>
      </w:r>
    </w:p>
    <w:p>
      <w:pPr>
        <w:numPr>
          <w:ilvl w:val="0"/>
          <w:numId w:val="5"/>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6"/>
        <w:tblpPr w:leftFromText="180" w:rightFromText="180" w:vertAnchor="text" w:horzAnchor="page" w:tblpX="1948"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292"/>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服务要求</w:t>
            </w:r>
          </w:p>
        </w:tc>
        <w:tc>
          <w:tcPr>
            <w:tcW w:w="106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临江公司</w:t>
            </w:r>
            <w:r>
              <w:rPr>
                <w:rFonts w:hint="eastAsia" w:ascii="仿宋_GB2312" w:eastAsia="仿宋_GB2312"/>
                <w:bCs/>
                <w:sz w:val="24"/>
                <w:szCs w:val="24"/>
                <w:lang w:val="en-US" w:eastAsia="zh-CN"/>
              </w:rPr>
              <w:t>高企</w:t>
            </w:r>
            <w:r>
              <w:rPr>
                <w:rFonts w:hint="eastAsia" w:ascii="仿宋_GB2312" w:eastAsia="仿宋_GB2312"/>
                <w:bCs/>
                <w:sz w:val="24"/>
                <w:szCs w:val="24"/>
              </w:rPr>
              <w:t>申请-财务专项审计</w:t>
            </w:r>
            <w:r>
              <w:rPr>
                <w:rFonts w:hint="eastAsia" w:ascii="仿宋_GB2312" w:eastAsia="仿宋_GB2312"/>
                <w:bCs/>
                <w:caps w:val="0"/>
                <w:sz w:val="24"/>
                <w:szCs w:val="24"/>
              </w:rPr>
              <w:t>服务</w:t>
            </w:r>
            <w:bookmarkStart w:id="13" w:name="_GoBack"/>
            <w:bookmarkEnd w:id="13"/>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以询价文件为准</w:t>
            </w:r>
          </w:p>
        </w:tc>
        <w:tc>
          <w:tcPr>
            <w:tcW w:w="1063" w:type="dxa"/>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注：以上合同总价应为含税全包价，包括与提供服务相关的人工、设备、保险、税费、验收及知识产权等一切费用。</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乙方应按询价文件规定的技术要求、质量标准向甲方提供服务，同时乙方保证提供的服务符合国家或行业规定的标准。</w:t>
      </w:r>
    </w:p>
    <w:p>
      <w:pPr>
        <w:pStyle w:val="2"/>
        <w:spacing w:line="360" w:lineRule="auto"/>
        <w:ind w:left="456" w:leftChars="217"/>
        <w:rPr>
          <w:rFonts w:ascii="仿宋_GB2312" w:eastAsia="仿宋_GB2312"/>
          <w:b w:val="0"/>
          <w:caps w:val="0"/>
          <w:sz w:val="24"/>
          <w:szCs w:val="24"/>
        </w:rPr>
      </w:pPr>
      <w:r>
        <w:rPr>
          <w:rFonts w:hint="eastAsia" w:ascii="仿宋_GB2312" w:eastAsia="仿宋_GB2312"/>
          <w:b w:val="0"/>
          <w:caps w:val="0"/>
          <w:sz w:val="24"/>
          <w:szCs w:val="24"/>
        </w:rPr>
        <w:t>三、知识产权。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乙方应保证所提供的服务或其任何一部分均不会侵犯任何第三方的知识产权。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四、转包或分包。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将审计服务转包或分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五、履约保证金。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20" w:firstLineChars="200"/>
        <w:rPr>
          <w:rFonts w:ascii="仿宋_GB2312" w:eastAsia="仿宋_GB2312"/>
          <w:sz w:val="24"/>
          <w:szCs w:val="24"/>
        </w:rPr>
      </w:pPr>
      <w:r>
        <w:rPr>
          <w:rFonts w:hint="eastAsia"/>
        </w:rPr>
        <w:t>六、</w:t>
      </w:r>
      <w:r>
        <w:rPr>
          <w:rFonts w:hint="eastAsia" w:ascii="仿宋_GB2312" w:eastAsia="仿宋_GB2312"/>
          <w:sz w:val="24"/>
          <w:szCs w:val="24"/>
        </w:rPr>
        <w:t>服务期限和服务地点。</w:t>
      </w:r>
    </w:p>
    <w:p>
      <w:pPr>
        <w:pStyle w:val="2"/>
        <w:numPr>
          <w:ilvl w:val="0"/>
          <w:numId w:val="6"/>
        </w:numPr>
        <w:spacing w:line="360" w:lineRule="auto"/>
        <w:rPr>
          <w:rFonts w:ascii="仿宋_GB2312" w:eastAsia="仿宋_GB2312"/>
          <w:b w:val="0"/>
          <w:caps w:val="0"/>
          <w:sz w:val="24"/>
          <w:szCs w:val="24"/>
        </w:rPr>
      </w:pPr>
      <w:r>
        <w:rPr>
          <w:rFonts w:hint="eastAsia" w:ascii="仿宋_GB2312" w:eastAsia="仿宋_GB2312"/>
          <w:b w:val="0"/>
          <w:caps w:val="0"/>
          <w:sz w:val="24"/>
          <w:szCs w:val="24"/>
        </w:rPr>
        <w:t>服务期限：2022-2024年期间，年度高新申报截止时间一个半月之前，完成该年度高企申报的所有工作</w:t>
      </w:r>
      <w:r>
        <w:rPr>
          <w:rFonts w:hint="eastAsia" w:ascii="仿宋_GB2312" w:eastAsia="仿宋_GB2312"/>
          <w:sz w:val="24"/>
          <w:szCs w:val="24"/>
        </w:rPr>
        <w:t>。</w:t>
      </w:r>
    </w:p>
    <w:p>
      <w:pPr>
        <w:numPr>
          <w:ilvl w:val="0"/>
          <w:numId w:val="6"/>
        </w:numPr>
        <w:spacing w:line="360" w:lineRule="auto"/>
        <w:rPr>
          <w:rFonts w:ascii="仿宋_GB2312" w:eastAsia="仿宋_GB2312"/>
          <w:sz w:val="24"/>
          <w:szCs w:val="24"/>
        </w:rPr>
      </w:pPr>
      <w:r>
        <w:rPr>
          <w:rFonts w:hint="eastAsia" w:ascii="仿宋_GB2312" w:eastAsia="仿宋_GB2312"/>
          <w:sz w:val="24"/>
          <w:szCs w:val="24"/>
        </w:rPr>
        <w:t>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七、合同款支付。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在合同生效后的5日内，甲方向乙方支付合同总金额30%的预付款。</w:t>
      </w:r>
      <w:r>
        <w:rPr>
          <w:rFonts w:hint="eastAsia" w:ascii="仿宋_GB2312" w:eastAsia="仿宋_GB2312"/>
          <w:b w:val="0"/>
          <w:bCs/>
          <w:caps w:val="0"/>
          <w:sz w:val="24"/>
          <w:szCs w:val="24"/>
        </w:rPr>
        <w:t>审计服务工作全部完成并经验收合格后，甲方收到发票15日内支付剩余服务费。</w:t>
      </w:r>
    </w:p>
    <w:p>
      <w:pPr>
        <w:spacing w:line="360" w:lineRule="auto"/>
        <w:ind w:left="456" w:leftChars="217"/>
        <w:rPr>
          <w:rFonts w:ascii="仿宋_GB2312" w:eastAsia="仿宋_GB2312"/>
          <w:sz w:val="24"/>
          <w:szCs w:val="24"/>
        </w:rPr>
      </w:pPr>
      <w:r>
        <w:rPr>
          <w:rFonts w:hint="eastAsia" w:ascii="仿宋_GB2312" w:eastAsia="仿宋_GB2312"/>
          <w:sz w:val="24"/>
          <w:szCs w:val="24"/>
        </w:rPr>
        <w:t>八、甲、乙方的权利和义务。</w:t>
      </w:r>
    </w:p>
    <w:p>
      <w:pPr>
        <w:numPr>
          <w:ilvl w:val="0"/>
          <w:numId w:val="7"/>
        </w:numPr>
        <w:spacing w:line="360" w:lineRule="auto"/>
        <w:rPr>
          <w:rFonts w:ascii="仿宋_GB2312" w:eastAsia="仿宋_GB2312"/>
          <w:sz w:val="24"/>
          <w:szCs w:val="24"/>
        </w:rPr>
      </w:pPr>
      <w:r>
        <w:rPr>
          <w:rFonts w:hint="eastAsia" w:ascii="仿宋_GB2312" w:eastAsia="仿宋_GB2312"/>
          <w:sz w:val="24"/>
          <w:szCs w:val="24"/>
        </w:rPr>
        <w:t>甲方权利和义务。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（1）检查、监督乙方根据询价文件的规定及报价文件的承诺进行审计服务；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（2）为乙方提供必要的办公场所和文档、电子资料等；</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（3）对乙方违反法规、规章的行为，提请有关部门处理；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（4）负责对乙方审计服务工作质量的考核，考核标准详见询价文件；</w:t>
      </w:r>
    </w:p>
    <w:p>
      <w:pPr>
        <w:pStyle w:val="2"/>
        <w:spacing w:line="360" w:lineRule="auto"/>
        <w:ind w:firstLine="480" w:firstLineChars="200"/>
        <w:jc w:val="both"/>
        <w:rPr>
          <w:rFonts w:ascii="仿宋_GB2312" w:eastAsia="仿宋_GB2312"/>
          <w:b w:val="0"/>
          <w:caps w:val="0"/>
          <w:sz w:val="24"/>
          <w:szCs w:val="24"/>
        </w:rPr>
      </w:pPr>
      <w:r>
        <w:rPr>
          <w:rFonts w:hint="eastAsia" w:ascii="仿宋_GB2312" w:eastAsia="仿宋_GB2312"/>
          <w:b w:val="0"/>
          <w:caps w:val="0"/>
          <w:sz w:val="24"/>
          <w:szCs w:val="24"/>
        </w:rPr>
        <w:t>（5）按本合同的要求对乙方的履约质量进行验收；</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（6）按本合同的约定按时支付费用。</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（1）根据有关法律、法规及本合同的约定，按报价文件的承诺履约，接受甲方对服务质量进行验收考核；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（2）认真听取甲方提出的建议和意见，并付诸整改实施；</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（3）对服务人员违反法规、规章的行为，根据情节轻重，采取批评、规劝、警告、制止等措施或提请有关部门处理；</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（4）乙方没有甲方事先书面同意，不得将由甲方提供的有关合同或任何合同条文或资料提供给履行本合同无关的任何其他人。即使向履行本合同有关的人员提供，也应注意保密并限于履行合同的必需范围。</w:t>
      </w:r>
    </w:p>
    <w:p>
      <w:pPr>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（5）乙方工作人员在服务过程中，因其工作失职造成甲方损失的，乙方应承担全部责任并负责赔偿；</w:t>
      </w:r>
    </w:p>
    <w:p>
      <w:pPr>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（6）乙方因工作疏忽而造成甲方财产损失的，乙方应按损失的价值照价赔偿；</w:t>
      </w:r>
    </w:p>
    <w:p>
      <w:pPr>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（7）乙方派遣至甲方的所有工作人员，乙方均应为其做好人身意外伤害保险或工伤保险等保障。</w:t>
      </w:r>
    </w:p>
    <w:p/>
    <w:p>
      <w:pPr>
        <w:spacing w:line="360" w:lineRule="auto"/>
        <w:ind w:firstLine="520" w:firstLineChars="217"/>
        <w:rPr>
          <w:rFonts w:ascii="仿宋_GB2312" w:eastAsia="仿宋_GB2312"/>
          <w:sz w:val="24"/>
          <w:szCs w:val="24"/>
        </w:rPr>
      </w:pPr>
      <w:r>
        <w:rPr>
          <w:rFonts w:hint="eastAsia" w:ascii="仿宋_GB2312" w:eastAsia="仿宋_GB2312"/>
          <w:sz w:val="24"/>
          <w:szCs w:val="24"/>
        </w:rPr>
        <w:t>九、违约责任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1.乙方逾期完成</w:t>
      </w:r>
      <w:r>
        <w:rPr>
          <w:rFonts w:hint="eastAsia" w:ascii="仿宋_GB2312" w:eastAsia="仿宋_GB2312"/>
          <w:caps/>
          <w:sz w:val="24"/>
          <w:szCs w:val="24"/>
        </w:rPr>
        <w:t>审计服务工作</w:t>
      </w:r>
      <w:r>
        <w:rPr>
          <w:rFonts w:hint="eastAsia" w:ascii="仿宋_GB2312" w:eastAsia="仿宋_GB2312"/>
          <w:sz w:val="24"/>
          <w:szCs w:val="24"/>
        </w:rPr>
        <w:t>的，自逾期之日起，向甲方每日偿付合同价款0.2%的违约金；乙方逾期10日未完成</w:t>
      </w:r>
      <w:r>
        <w:rPr>
          <w:rFonts w:hint="eastAsia" w:ascii="仿宋_GB2312" w:eastAsia="仿宋_GB2312"/>
          <w:bCs/>
          <w:caps/>
          <w:sz w:val="24"/>
          <w:szCs w:val="24"/>
        </w:rPr>
        <w:t>审计服务工作</w:t>
      </w:r>
      <w:r>
        <w:rPr>
          <w:rFonts w:hint="eastAsia" w:ascii="仿宋_GB2312" w:eastAsia="仿宋_GB2312"/>
          <w:sz w:val="24"/>
          <w:szCs w:val="24"/>
        </w:rPr>
        <w:t>的，自逾期的第11日起，向甲方每日偿付合同价款0.4%的违约金，同时甲方有权终止合同，并没收乙方的履约保证金。</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8"/>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Style w:val="2"/>
        <w:ind w:firstLine="480" w:firstLineChars="200"/>
        <w:rPr>
          <w:rFonts w:ascii="仿宋_GB2312" w:hAnsi="宋体" w:eastAsia="仿宋_GB2312"/>
          <w:b w:val="0"/>
          <w:bCs/>
          <w:caps w:val="0"/>
          <w:sz w:val="24"/>
          <w:szCs w:val="24"/>
        </w:rPr>
      </w:pPr>
      <w:r>
        <w:rPr>
          <w:rFonts w:hint="eastAsia" w:ascii="仿宋_GB2312" w:hAnsi="宋体" w:eastAsia="仿宋_GB2312"/>
          <w:b w:val="0"/>
          <w:bCs/>
          <w:caps w:val="0"/>
          <w:sz w:val="24"/>
          <w:szCs w:val="24"/>
        </w:rPr>
        <w:t>签订日期：                                 签订日期：</w:t>
      </w:r>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CA6E706E"/>
    <w:multiLevelType w:val="singleLevel"/>
    <w:tmpl w:val="CA6E706E"/>
    <w:lvl w:ilvl="0" w:tentative="0">
      <w:start w:val="6"/>
      <w:numFmt w:val="chineseCounting"/>
      <w:suff w:val="nothing"/>
      <w:lvlText w:val="%1、"/>
      <w:lvlJc w:val="left"/>
      <w:rPr>
        <w:rFonts w:hint="eastAsia"/>
      </w:rPr>
    </w:lvl>
  </w:abstractNum>
  <w:abstractNum w:abstractNumId="4">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6">
    <w:nsid w:val="64E824FF"/>
    <w:multiLevelType w:val="singleLevel"/>
    <w:tmpl w:val="64E824FF"/>
    <w:lvl w:ilvl="0" w:tentative="0">
      <w:start w:val="5"/>
      <w:numFmt w:val="chineseCounting"/>
      <w:suff w:val="nothing"/>
      <w:lvlText w:val="%1、"/>
      <w:lvlJc w:val="left"/>
      <w:rPr>
        <w:rFonts w:hint="eastAsia"/>
      </w:rPr>
    </w:lvl>
  </w:abstractNum>
  <w:abstractNum w:abstractNumId="7">
    <w:nsid w:val="74908B12"/>
    <w:multiLevelType w:val="singleLevel"/>
    <w:tmpl w:val="74908B12"/>
    <w:lvl w:ilvl="0" w:tentative="0">
      <w:start w:val="2"/>
      <w:numFmt w:val="decimal"/>
      <w:suff w:val="nothing"/>
      <w:lvlText w:val="（%1）"/>
      <w:lvlJc w:val="left"/>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B190C"/>
    <w:rsid w:val="073D57C2"/>
    <w:rsid w:val="22BF59F6"/>
    <w:rsid w:val="23227314"/>
    <w:rsid w:val="2B2A31B0"/>
    <w:rsid w:val="31F3543E"/>
    <w:rsid w:val="378C14DA"/>
    <w:rsid w:val="4CAE6E27"/>
    <w:rsid w:val="500B190C"/>
    <w:rsid w:val="5131023E"/>
    <w:rsid w:val="533410C2"/>
    <w:rsid w:val="58C8365C"/>
    <w:rsid w:val="7C4B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2021-12-16T01:25:03Z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F0FC53D261974FE69B22B36B6D8B3F51</vt:lpwstr>
  </property>
</Properties>
</file>