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202204002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固定测速仪采购项目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5"/>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5"/>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5"/>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5"/>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0</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需对园区内的运输车辆进行测速，现需采购固定测速仪设备一批，</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202204002</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固定测速仪</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10.8</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1.供应商必须是在中华人民共和国境内注册，具有独立法人资格和独立承担民事责任的能力；</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5"/>
        <w:ind w:firstLine="60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lang w:val="en-US" w:eastAsia="zh-CN" w:bidi="ar-SA"/>
        </w:rPr>
        <w:t>供应商</w:t>
      </w:r>
      <w:r>
        <w:rPr>
          <w:rFonts w:hint="eastAsia" w:ascii="仿宋_GB2312" w:hAnsi="Times New Roman" w:eastAsia="仿宋_GB2312" w:cs="Times New Roman"/>
          <w:b w:val="0"/>
          <w:caps w:val="0"/>
          <w:kern w:val="2"/>
          <w:sz w:val="30"/>
          <w:szCs w:val="30"/>
          <w:lang w:val="en-US" w:eastAsia="zh-CN" w:bidi="ar-SA"/>
        </w:rPr>
        <w:t>营业执照经营范围须</w:t>
      </w:r>
      <w:r>
        <w:rPr>
          <w:rFonts w:hint="eastAsia" w:ascii="仿宋_GB2312" w:eastAsia="仿宋_GB2312" w:cs="Times New Roman"/>
          <w:b w:val="0"/>
          <w:caps w:val="0"/>
          <w:kern w:val="2"/>
          <w:sz w:val="30"/>
          <w:szCs w:val="30"/>
          <w:lang w:val="en-US" w:eastAsia="zh-CN" w:bidi="ar-SA"/>
        </w:rPr>
        <w:t>包含</w:t>
      </w:r>
      <w:r>
        <w:rPr>
          <w:rFonts w:hint="eastAsia" w:ascii="仿宋_GB2312" w:eastAsia="仿宋_GB2312" w:cs="Times New Roman"/>
          <w:b w:val="0"/>
          <w:caps w:val="0"/>
          <w:kern w:val="2"/>
          <w:sz w:val="30"/>
          <w:szCs w:val="30"/>
          <w:highlight w:val="none"/>
          <w:lang w:val="en-US" w:eastAsia="zh-CN" w:bidi="ar-SA"/>
        </w:rPr>
        <w:t>监控设备</w:t>
      </w:r>
      <w:r>
        <w:rPr>
          <w:rFonts w:hint="eastAsia" w:ascii="仿宋_GB2312" w:hAnsi="Times New Roman" w:eastAsia="仿宋_GB2312" w:cs="Times New Roman"/>
          <w:b w:val="0"/>
          <w:caps w:val="0"/>
          <w:kern w:val="2"/>
          <w:sz w:val="30"/>
          <w:szCs w:val="30"/>
          <w:highlight w:val="none"/>
          <w:lang w:val="en-US" w:eastAsia="zh-CN" w:bidi="ar-SA"/>
        </w:rPr>
        <w:t>生产或销售等相关资质</w:t>
      </w:r>
      <w:r>
        <w:rPr>
          <w:rFonts w:hint="eastAsia" w:ascii="仿宋_GB2312" w:hAnsi="Times New Roman" w:eastAsia="仿宋_GB2312" w:cs="Times New Roman"/>
          <w:b w:val="0"/>
          <w:caps w:val="0"/>
          <w:kern w:val="2"/>
          <w:sz w:val="30"/>
          <w:szCs w:val="30"/>
          <w:lang w:val="en-US" w:eastAsia="zh-CN" w:bidi="ar-SA"/>
        </w:rPr>
        <w:t>；</w:t>
      </w:r>
    </w:p>
    <w:p>
      <w:pPr>
        <w:pStyle w:val="5"/>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4.本项目不接受联合体投标。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联系方式发送至315004173@qq.com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报价时间：202</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29</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杭州市钱塘区临江街道红十五线与观十五线交叉口杭州临江环境能源有限公司科研楼投资发展部</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3.相关要求：鉴于目前杭州疫情情况，为有效遏制新冠病毒的传播，做好疫情防控。本项目建议供应商邮寄标书，无需到现场开标。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供应商</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庄</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联系电话：15268125337</w:t>
      </w:r>
      <w:r>
        <w:rPr>
          <w:rFonts w:hint="eastAsia" w:ascii="仿宋_GB2312" w:eastAsia="仿宋_GB2312"/>
          <w:color w:val="auto"/>
          <w:sz w:val="30"/>
          <w:szCs w:val="30"/>
          <w:lang w:val="en-US" w:eastAsia="zh-CN"/>
        </w:rPr>
        <w:t xml:space="preserve"> </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 xml:space="preserve">审计部    联系人：范波            </w:t>
      </w:r>
      <w:r>
        <w:rPr>
          <w:rFonts w:hint="eastAsia" w:ascii="仿宋_GB2312" w:hAnsi="Times New Roman" w:eastAsia="仿宋_GB2312" w:cs="Times New Roman"/>
          <w:b w:val="0"/>
          <w:caps w:val="0"/>
          <w:kern w:val="2"/>
          <w:sz w:val="30"/>
          <w:szCs w:val="30"/>
          <w:lang w:val="en-US" w:eastAsia="zh-CN" w:bidi="ar-SA"/>
        </w:rPr>
        <w:t>联系电话：</w:t>
      </w:r>
      <w:r>
        <w:rPr>
          <w:rFonts w:hint="eastAsia" w:ascii="仿宋_GB2312" w:eastAsia="仿宋_GB2312" w:cs="Times New Roman"/>
          <w:b w:val="0"/>
          <w:caps w:val="0"/>
          <w:kern w:val="2"/>
          <w:sz w:val="30"/>
          <w:szCs w:val="30"/>
          <w:lang w:val="en-US" w:eastAsia="zh-CN" w:bidi="ar-SA"/>
        </w:rPr>
        <w:t>13867172350</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1"/>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供应商</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1.固定测速仪设备采购内容明细</w:t>
      </w:r>
    </w:p>
    <w:tbl>
      <w:tblPr>
        <w:tblStyle w:val="7"/>
        <w:tblW w:w="5343" w:type="pct"/>
        <w:tblInd w:w="-346" w:type="dxa"/>
        <w:shd w:val="clear" w:color="auto" w:fill="auto"/>
        <w:tblLayout w:type="autofit"/>
        <w:tblCellMar>
          <w:top w:w="0" w:type="dxa"/>
          <w:left w:w="0" w:type="dxa"/>
          <w:bottom w:w="0" w:type="dxa"/>
          <w:right w:w="0" w:type="dxa"/>
        </w:tblCellMar>
      </w:tblPr>
      <w:tblGrid>
        <w:gridCol w:w="560"/>
        <w:gridCol w:w="1576"/>
        <w:gridCol w:w="1849"/>
        <w:gridCol w:w="1022"/>
        <w:gridCol w:w="695"/>
        <w:gridCol w:w="4022"/>
      </w:tblGrid>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8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预计使用</w:t>
            </w:r>
            <w:r>
              <w:rPr>
                <w:rFonts w:hint="eastAsia" w:ascii="宋体" w:hAnsi="宋体" w:eastAsia="宋体" w:cs="宋体"/>
                <w:b/>
                <w:i w:val="0"/>
                <w:color w:val="000000"/>
                <w:kern w:val="0"/>
                <w:sz w:val="22"/>
                <w:szCs w:val="22"/>
                <w:u w:val="none"/>
                <w:lang w:val="en-US" w:eastAsia="zh-CN" w:bidi="ar"/>
              </w:rPr>
              <w:t>数量</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700万像素摄像机</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DH-ITC602</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大华</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含管理软件</w:t>
            </w:r>
          </w:p>
          <w:p>
            <w:pPr>
              <w:pStyle w:val="2"/>
              <w:numPr>
                <w:ilvl w:val="0"/>
                <w:numId w:val="0"/>
              </w:numPr>
              <w:spacing w:before="0" w:after="0" w:line="0" w:lineRule="atLeast"/>
              <w:jc w:val="left"/>
              <w:rPr>
                <w:rFonts w:hint="eastAsia"/>
                <w:lang w:val="en-US" w:eastAsia="zh-CN"/>
              </w:rPr>
            </w:pPr>
            <w:r>
              <w:rPr>
                <w:rFonts w:hint="eastAsia" w:ascii="宋体" w:hAnsi="宋体" w:cs="宋体"/>
                <w:kern w:val="0"/>
                <w:sz w:val="21"/>
                <w:szCs w:val="21"/>
              </w:rPr>
              <w:t>传输方式：千兆以太网 </w:t>
            </w:r>
            <w:r>
              <w:rPr>
                <w:rFonts w:hint="eastAsia" w:ascii="宋体" w:hAnsi="宋体" w:cs="宋体"/>
                <w:kern w:val="0"/>
                <w:sz w:val="21"/>
                <w:szCs w:val="21"/>
              </w:rPr>
              <w:br w:type="textWrapping"/>
            </w:r>
            <w:r>
              <w:rPr>
                <w:rFonts w:hint="eastAsia" w:ascii="宋体" w:hAnsi="宋体" w:cs="宋体"/>
                <w:kern w:val="0"/>
                <w:sz w:val="21"/>
                <w:szCs w:val="21"/>
              </w:rPr>
              <w:t>幅面：</w:t>
            </w:r>
            <w:r>
              <w:rPr>
                <w:rFonts w:hint="eastAsia" w:ascii="宋体" w:hAnsi="宋体" w:cs="宋体"/>
                <w:kern w:val="0"/>
                <w:sz w:val="21"/>
                <w:szCs w:val="21"/>
                <w:lang w:val="en-US" w:eastAsia="zh-CN"/>
              </w:rPr>
              <w:t>3392</w:t>
            </w:r>
            <w:r>
              <w:rPr>
                <w:rFonts w:hint="eastAsia" w:ascii="宋体" w:hAnsi="宋体" w:cs="宋体"/>
                <w:kern w:val="0"/>
                <w:sz w:val="21"/>
                <w:szCs w:val="21"/>
              </w:rPr>
              <w:t>(H)×</w:t>
            </w:r>
            <w:r>
              <w:rPr>
                <w:rFonts w:hint="eastAsia" w:ascii="宋体" w:hAnsi="宋体" w:cs="宋体"/>
                <w:kern w:val="0"/>
                <w:sz w:val="21"/>
                <w:szCs w:val="21"/>
                <w:lang w:val="en-US" w:eastAsia="zh-CN"/>
              </w:rPr>
              <w:t>2008</w:t>
            </w:r>
            <w:r>
              <w:rPr>
                <w:rFonts w:hint="eastAsia" w:ascii="宋体" w:hAnsi="宋体" w:cs="宋体"/>
                <w:kern w:val="0"/>
                <w:sz w:val="21"/>
                <w:szCs w:val="21"/>
              </w:rPr>
              <w:t>(V) </w:t>
            </w:r>
            <w:r>
              <w:rPr>
                <w:rFonts w:hint="eastAsia" w:ascii="宋体" w:hAnsi="宋体" w:cs="宋体"/>
                <w:kern w:val="0"/>
                <w:sz w:val="21"/>
                <w:szCs w:val="21"/>
              </w:rPr>
              <w:br w:type="textWrapping"/>
            </w:r>
            <w:r>
              <w:rPr>
                <w:rFonts w:hint="eastAsia" w:ascii="宋体" w:hAnsi="宋体" w:cs="宋体"/>
                <w:kern w:val="0"/>
                <w:sz w:val="21"/>
                <w:szCs w:val="21"/>
              </w:rPr>
              <w:t>帧率：30fps </w:t>
            </w:r>
            <w:r>
              <w:rPr>
                <w:rFonts w:hint="eastAsia" w:ascii="宋体" w:hAnsi="宋体" w:cs="宋体"/>
                <w:kern w:val="0"/>
                <w:sz w:val="21"/>
                <w:szCs w:val="21"/>
              </w:rPr>
              <w:br w:type="textWrapping"/>
            </w:r>
            <w:r>
              <w:rPr>
                <w:rFonts w:hint="eastAsia" w:ascii="宋体" w:hAnsi="宋体" w:cs="宋体"/>
                <w:kern w:val="0"/>
                <w:sz w:val="21"/>
                <w:szCs w:val="21"/>
              </w:rPr>
              <w:t>光学尺寸：2/3英寸 </w:t>
            </w:r>
            <w:r>
              <w:rPr>
                <w:rFonts w:hint="eastAsia" w:ascii="宋体" w:hAnsi="宋体" w:cs="宋体"/>
                <w:kern w:val="0"/>
                <w:sz w:val="21"/>
                <w:szCs w:val="21"/>
              </w:rPr>
              <w:br w:type="textWrapping"/>
            </w:r>
            <w:r>
              <w:rPr>
                <w:rFonts w:hint="eastAsia" w:ascii="宋体" w:hAnsi="宋体" w:cs="宋体"/>
                <w:kern w:val="0"/>
                <w:sz w:val="21"/>
                <w:szCs w:val="21"/>
              </w:rPr>
              <w:t>最小照度：0.1 lux(Mono)/0.5 lux(Color) </w:t>
            </w:r>
            <w:r>
              <w:rPr>
                <w:rFonts w:hint="eastAsia" w:ascii="宋体" w:hAnsi="宋体" w:cs="宋体"/>
                <w:kern w:val="0"/>
                <w:sz w:val="21"/>
                <w:szCs w:val="21"/>
              </w:rPr>
              <w:br w:type="textWrapping"/>
            </w:r>
            <w:r>
              <w:rPr>
                <w:rFonts w:hint="eastAsia" w:ascii="宋体" w:hAnsi="宋体" w:cs="宋体"/>
                <w:kern w:val="0"/>
                <w:sz w:val="21"/>
                <w:szCs w:val="21"/>
              </w:rPr>
              <w:t>采集方式：连续采集，异步复位 </w:t>
            </w:r>
            <w:r>
              <w:rPr>
                <w:rFonts w:hint="eastAsia" w:ascii="宋体" w:hAnsi="宋体" w:cs="宋体"/>
                <w:kern w:val="0"/>
                <w:sz w:val="21"/>
                <w:szCs w:val="21"/>
              </w:rPr>
              <w:br w:type="textWrapping"/>
            </w:r>
            <w:r>
              <w:rPr>
                <w:rFonts w:hint="eastAsia" w:ascii="宋体" w:hAnsi="宋体" w:cs="宋体"/>
                <w:kern w:val="0"/>
                <w:sz w:val="21"/>
                <w:szCs w:val="21"/>
              </w:rPr>
              <w:t>快门方式：电子快门 </w:t>
            </w:r>
            <w:r>
              <w:rPr>
                <w:rFonts w:hint="eastAsia" w:ascii="宋体" w:hAnsi="宋体" w:cs="宋体"/>
                <w:kern w:val="0"/>
                <w:sz w:val="21"/>
                <w:szCs w:val="21"/>
              </w:rPr>
              <w:br w:type="textWrapping"/>
            </w:r>
            <w:r>
              <w:rPr>
                <w:rFonts w:hint="eastAsia" w:ascii="宋体" w:hAnsi="宋体" w:cs="宋体"/>
                <w:kern w:val="0"/>
                <w:sz w:val="21"/>
                <w:szCs w:val="21"/>
              </w:rPr>
              <w:t>快门速度：1/16～1/40000 秒 </w:t>
            </w:r>
            <w:r>
              <w:rPr>
                <w:rFonts w:hint="eastAsia" w:ascii="宋体" w:hAnsi="宋体" w:cs="宋体"/>
                <w:kern w:val="0"/>
                <w:sz w:val="21"/>
                <w:szCs w:val="21"/>
              </w:rPr>
              <w:br w:type="textWrapping"/>
            </w:r>
            <w:r>
              <w:rPr>
                <w:rFonts w:hint="eastAsia" w:ascii="宋体" w:hAnsi="宋体" w:cs="宋体"/>
                <w:kern w:val="0"/>
                <w:sz w:val="21"/>
                <w:szCs w:val="21"/>
              </w:rPr>
              <w:t>镜头接口：C/CS </w:t>
            </w:r>
            <w:r>
              <w:rPr>
                <w:rFonts w:hint="eastAsia" w:ascii="宋体" w:hAnsi="宋体" w:cs="宋体"/>
                <w:kern w:val="0"/>
                <w:sz w:val="21"/>
                <w:szCs w:val="21"/>
              </w:rPr>
              <w:br w:type="textWrapping"/>
            </w:r>
            <w:r>
              <w:rPr>
                <w:rFonts w:hint="eastAsia" w:ascii="宋体" w:hAnsi="宋体" w:cs="宋体"/>
                <w:kern w:val="0"/>
                <w:sz w:val="21"/>
                <w:szCs w:val="21"/>
              </w:rPr>
              <w:t>CPU占用：&lt;1%（传输） </w:t>
            </w:r>
            <w:r>
              <w:rPr>
                <w:rFonts w:hint="eastAsia" w:ascii="宋体" w:hAnsi="宋体" w:cs="宋体"/>
                <w:kern w:val="0"/>
                <w:sz w:val="21"/>
                <w:szCs w:val="21"/>
              </w:rPr>
              <w:br w:type="textWrapping"/>
            </w:r>
            <w:r>
              <w:rPr>
                <w:rFonts w:hint="eastAsia" w:ascii="宋体" w:hAnsi="宋体" w:cs="宋体"/>
                <w:kern w:val="0"/>
                <w:sz w:val="21"/>
                <w:szCs w:val="21"/>
              </w:rPr>
              <w:t>种类：彩色（Bayer RGB），黑白 </w:t>
            </w:r>
            <w:r>
              <w:rPr>
                <w:rFonts w:hint="eastAsia" w:ascii="宋体" w:hAnsi="宋体" w:cs="宋体"/>
                <w:kern w:val="0"/>
                <w:sz w:val="21"/>
                <w:szCs w:val="21"/>
              </w:rPr>
              <w:br w:type="textWrapping"/>
            </w:r>
            <w:r>
              <w:rPr>
                <w:rFonts w:hint="eastAsia" w:ascii="宋体" w:hAnsi="宋体" w:cs="宋体"/>
                <w:kern w:val="0"/>
                <w:sz w:val="21"/>
                <w:szCs w:val="21"/>
              </w:rPr>
              <w:t>供电方式：单独+12V供电 </w:t>
            </w:r>
            <w:r>
              <w:rPr>
                <w:rFonts w:hint="eastAsia" w:ascii="宋体" w:hAnsi="宋体" w:cs="宋体"/>
                <w:kern w:val="0"/>
                <w:sz w:val="21"/>
                <w:szCs w:val="21"/>
              </w:rPr>
              <w:br w:type="textWrapping"/>
            </w:r>
            <w:r>
              <w:rPr>
                <w:rFonts w:hint="eastAsia" w:ascii="宋体" w:hAnsi="宋体" w:cs="宋体"/>
                <w:kern w:val="0"/>
                <w:sz w:val="21"/>
                <w:szCs w:val="21"/>
              </w:rPr>
              <w:t>工作温度：-30°C～70°C</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0" w:type="pct"/>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激光雷达</w:t>
            </w:r>
          </w:p>
        </w:tc>
        <w:tc>
          <w:tcPr>
            <w:tcW w:w="95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MAX-2</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
              <w:spacing w:before="0" w:after="0" w:line="0" w:lineRule="atLeast"/>
              <w:ind w:firstLine="0" w:firstLineChars="0"/>
              <w:jc w:val="left"/>
              <w:rPr>
                <w:rFonts w:hint="eastAsia" w:ascii="宋体" w:hAnsi="宋体" w:eastAsia="宋体" w:cs="宋体"/>
                <w:i w:val="0"/>
                <w:color w:val="000000"/>
                <w:sz w:val="22"/>
                <w:szCs w:val="22"/>
                <w:u w:val="none"/>
              </w:rPr>
            </w:pPr>
            <w:r>
              <w:rPr>
                <w:rFonts w:hint="eastAsia" w:ascii="宋体" w:hAnsi="宋体" w:cs="宋体"/>
                <w:kern w:val="0"/>
                <w:sz w:val="21"/>
                <w:szCs w:val="21"/>
              </w:rPr>
              <w:t>工作频率：</w:t>
            </w:r>
            <w:r>
              <w:rPr>
                <w:rFonts w:hint="eastAsia" w:ascii="宋体" w:hAnsi="宋体" w:cs="宋体"/>
                <w:kern w:val="0"/>
                <w:sz w:val="21"/>
                <w:szCs w:val="21"/>
                <w:lang w:val="en-US" w:eastAsia="zh-CN"/>
              </w:rPr>
              <w:t>35.10</w:t>
            </w:r>
            <w:r>
              <w:rPr>
                <w:rFonts w:hint="eastAsia" w:ascii="宋体" w:hAnsi="宋体" w:cs="宋体"/>
                <w:kern w:val="0"/>
                <w:sz w:val="21"/>
                <w:szCs w:val="21"/>
              </w:rPr>
              <w:t>GHz</w:t>
            </w:r>
            <w:r>
              <w:rPr>
                <w:rFonts w:hint="eastAsia" w:ascii="宋体" w:hAnsi="宋体" w:cs="宋体"/>
                <w:kern w:val="0"/>
                <w:sz w:val="21"/>
                <w:szCs w:val="21"/>
              </w:rPr>
              <w:br w:type="textWrapping"/>
            </w:r>
            <w:r>
              <w:rPr>
                <w:rFonts w:hint="eastAsia" w:ascii="宋体" w:hAnsi="宋体" w:cs="宋体"/>
                <w:kern w:val="0"/>
                <w:sz w:val="21"/>
                <w:szCs w:val="21"/>
              </w:rPr>
              <w:t>频率偏离误差：≤±45 MHz</w:t>
            </w:r>
            <w:r>
              <w:rPr>
                <w:rFonts w:hint="eastAsia" w:ascii="宋体" w:hAnsi="宋体" w:cs="宋体"/>
                <w:kern w:val="0"/>
                <w:sz w:val="21"/>
                <w:szCs w:val="21"/>
              </w:rPr>
              <w:br w:type="textWrapping"/>
            </w:r>
            <w:r>
              <w:rPr>
                <w:rFonts w:hint="eastAsia" w:ascii="宋体" w:hAnsi="宋体" w:cs="宋体"/>
                <w:kern w:val="0"/>
                <w:sz w:val="21"/>
                <w:szCs w:val="21"/>
              </w:rPr>
              <w:t>天线波束宽度:7°×9°</w:t>
            </w:r>
            <w:r>
              <w:rPr>
                <w:rFonts w:hint="eastAsia" w:ascii="宋体" w:hAnsi="宋体" w:cs="宋体"/>
                <w:kern w:val="0"/>
                <w:sz w:val="21"/>
                <w:szCs w:val="21"/>
              </w:rPr>
              <w:br w:type="textWrapping"/>
            </w:r>
            <w:r>
              <w:rPr>
                <w:rFonts w:hint="eastAsia" w:ascii="宋体" w:hAnsi="宋体" w:cs="宋体"/>
                <w:kern w:val="0"/>
                <w:sz w:val="21"/>
                <w:szCs w:val="21"/>
              </w:rPr>
              <w:t>发射功率：5mW</w:t>
            </w:r>
            <w:r>
              <w:rPr>
                <w:rFonts w:hint="eastAsia" w:ascii="宋体" w:hAnsi="宋体" w:cs="宋体"/>
                <w:kern w:val="0"/>
                <w:sz w:val="21"/>
                <w:szCs w:val="21"/>
              </w:rPr>
              <w:br w:type="textWrapping"/>
            </w:r>
            <w:r>
              <w:rPr>
                <w:rFonts w:hint="eastAsia" w:ascii="宋体" w:hAnsi="宋体" w:cs="宋体"/>
                <w:kern w:val="0"/>
                <w:sz w:val="21"/>
                <w:szCs w:val="21"/>
              </w:rPr>
              <w:t>工作温度范围：－20℃～＋60℃</w:t>
            </w:r>
            <w:r>
              <w:rPr>
                <w:rFonts w:hint="eastAsia" w:ascii="宋体" w:hAnsi="宋体" w:cs="宋体"/>
                <w:kern w:val="0"/>
                <w:sz w:val="21"/>
                <w:szCs w:val="21"/>
              </w:rPr>
              <w:br w:type="textWrapping"/>
            </w:r>
            <w:r>
              <w:rPr>
                <w:rFonts w:hint="eastAsia" w:ascii="宋体" w:hAnsi="宋体" w:cs="宋体"/>
                <w:kern w:val="0"/>
                <w:sz w:val="21"/>
                <w:szCs w:val="21"/>
              </w:rPr>
              <w:t>工作湿度范围：5%RH~95%RH</w:t>
            </w:r>
            <w:r>
              <w:rPr>
                <w:rFonts w:hint="eastAsia" w:ascii="宋体" w:hAnsi="宋体" w:cs="宋体"/>
                <w:kern w:val="0"/>
                <w:sz w:val="21"/>
                <w:szCs w:val="21"/>
              </w:rPr>
              <w:br w:type="textWrapping"/>
            </w:r>
            <w:r>
              <w:rPr>
                <w:rFonts w:hint="eastAsia" w:ascii="宋体" w:hAnsi="宋体" w:cs="宋体"/>
                <w:kern w:val="0"/>
                <w:sz w:val="21"/>
                <w:szCs w:val="21"/>
              </w:rPr>
              <w:t>测速范围：（5～240）km/h</w:t>
            </w:r>
            <w:r>
              <w:rPr>
                <w:rFonts w:hint="eastAsia" w:ascii="宋体" w:hAnsi="宋体" w:cs="宋体"/>
                <w:kern w:val="0"/>
                <w:sz w:val="21"/>
                <w:szCs w:val="21"/>
              </w:rPr>
              <w:br w:type="textWrapping"/>
            </w:r>
            <w:r>
              <w:rPr>
                <w:rFonts w:hint="eastAsia" w:ascii="宋体" w:hAnsi="宋体" w:cs="宋体"/>
                <w:kern w:val="0"/>
                <w:sz w:val="21"/>
                <w:szCs w:val="21"/>
              </w:rPr>
              <w:t>测速准确度：≤±1km/h  </w:t>
            </w:r>
            <w:r>
              <w:rPr>
                <w:rFonts w:hint="eastAsia" w:ascii="宋体" w:hAnsi="宋体" w:cs="宋体"/>
                <w:kern w:val="0"/>
                <w:sz w:val="21"/>
                <w:szCs w:val="21"/>
              </w:rPr>
              <w:br w:type="textWrapping"/>
            </w:r>
            <w:r>
              <w:rPr>
                <w:rFonts w:hint="eastAsia" w:ascii="宋体" w:hAnsi="宋体" w:cs="宋体"/>
                <w:kern w:val="0"/>
                <w:sz w:val="21"/>
                <w:szCs w:val="21"/>
              </w:rPr>
              <w:t>反应时间：26ms</w:t>
            </w:r>
            <w:r>
              <w:rPr>
                <w:rFonts w:hint="eastAsia" w:ascii="宋体" w:hAnsi="宋体" w:cs="宋体"/>
                <w:kern w:val="0"/>
                <w:sz w:val="21"/>
                <w:szCs w:val="21"/>
              </w:rPr>
              <w:br w:type="textWrapping"/>
            </w:r>
            <w:r>
              <w:rPr>
                <w:rFonts w:hint="eastAsia" w:ascii="宋体" w:hAnsi="宋体" w:cs="宋体"/>
                <w:kern w:val="0"/>
                <w:sz w:val="21"/>
                <w:szCs w:val="21"/>
              </w:rPr>
              <w:t>电源：12VDC</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环保疝气闪光灯</w:t>
            </w:r>
          </w:p>
        </w:tc>
        <w:tc>
          <w:tcPr>
            <w:tcW w:w="9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G300F</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光宝</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r>
              <w:rPr>
                <w:rFonts w:hint="eastAsia" w:ascii="宋体" w:hAnsi="宋体" w:cs="宋体"/>
                <w:kern w:val="0"/>
                <w:sz w:val="21"/>
                <w:szCs w:val="21"/>
              </w:rPr>
              <w:t>12V氙气闪光灯，支持高速同步、曝光补偿、曝光包围、曝光锁定、后帘同步、光圈预览造影闪光，发出的光接近非常完美的太阳光,采用摄像机专用防水护罩</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1300万像素高清镜头</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MVL-KF2524M-25MP</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海康威视</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cs="宋体"/>
                <w:kern w:val="0"/>
                <w:sz w:val="21"/>
                <w:szCs w:val="21"/>
              </w:rPr>
              <w:t>最小物距MOD 500mm，焦距25mm，光圈范围F1.8～F16～C，C接口，规格2/3”</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测速显示屏</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csp8</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pStyle w:val="2"/>
              <w:numPr>
                <w:ilvl w:val="0"/>
                <w:numId w:val="0"/>
              </w:numPr>
              <w:spacing w:before="0" w:after="0" w:line="0" w:lineRule="atLeast"/>
              <w:jc w:val="left"/>
              <w:rPr>
                <w:rFonts w:hint="eastAsia" w:ascii="宋体" w:hAnsi="宋体" w:cs="宋体"/>
                <w:kern w:val="0"/>
                <w:sz w:val="21"/>
                <w:szCs w:val="21"/>
              </w:rPr>
            </w:pPr>
            <w:r>
              <w:rPr>
                <w:rFonts w:hint="eastAsia" w:ascii="宋体" w:hAnsi="宋体" w:cs="宋体"/>
                <w:kern w:val="0"/>
                <w:sz w:val="21"/>
                <w:szCs w:val="21"/>
              </w:rPr>
              <w:t xml:space="preserve">显示方式： </w:t>
            </w:r>
            <w:r>
              <w:rPr>
                <w:rFonts w:hint="eastAsia" w:ascii="宋体" w:hAnsi="宋体" w:cs="宋体"/>
                <w:kern w:val="0"/>
                <w:sz w:val="21"/>
                <w:szCs w:val="21"/>
                <w:lang w:val="en-US" w:eastAsia="zh-CN"/>
              </w:rPr>
              <w:t>实时车速</w:t>
            </w:r>
          </w:p>
          <w:p>
            <w:pPr>
              <w:pStyle w:val="2"/>
              <w:numPr>
                <w:ilvl w:val="0"/>
                <w:numId w:val="0"/>
              </w:numPr>
              <w:spacing w:before="0" w:after="0" w:line="0" w:lineRule="atLeast"/>
              <w:ind w:leftChars="0"/>
              <w:jc w:val="left"/>
              <w:rPr>
                <w:rFonts w:hint="eastAsia" w:ascii="宋体" w:hAnsi="宋体" w:cs="宋体"/>
                <w:kern w:val="0"/>
                <w:sz w:val="21"/>
                <w:szCs w:val="21"/>
              </w:rPr>
            </w:pPr>
            <w:r>
              <w:rPr>
                <w:rFonts w:hint="eastAsia" w:ascii="宋体" w:hAnsi="宋体" w:cs="宋体"/>
                <w:kern w:val="0"/>
                <w:sz w:val="21"/>
                <w:szCs w:val="21"/>
              </w:rPr>
              <w:t>供电方式：可使用220V市电供电。</w:t>
            </w:r>
          </w:p>
          <w:p>
            <w:pPr>
              <w:pStyle w:val="2"/>
              <w:numPr>
                <w:ilvl w:val="0"/>
                <w:numId w:val="0"/>
              </w:numPr>
              <w:spacing w:before="0" w:after="0" w:line="0" w:lineRule="atLeast"/>
              <w:ind w:leftChars="0"/>
              <w:jc w:val="left"/>
              <w:rPr>
                <w:rFonts w:hint="eastAsia" w:ascii="宋体" w:hAnsi="宋体" w:cs="宋体"/>
                <w:kern w:val="0"/>
                <w:sz w:val="21"/>
                <w:szCs w:val="21"/>
              </w:rPr>
            </w:pPr>
            <w:r>
              <w:rPr>
                <w:rFonts w:hint="eastAsia" w:ascii="宋体" w:hAnsi="宋体" w:cs="宋体"/>
                <w:kern w:val="0"/>
                <w:sz w:val="21"/>
                <w:szCs w:val="21"/>
                <w:lang w:val="en-US" w:eastAsia="zh-CN"/>
              </w:rPr>
              <w:t>显示尺寸：36CM宽*45CM高</w:t>
            </w:r>
          </w:p>
          <w:p>
            <w:pPr>
              <w:pStyle w:val="2"/>
              <w:numPr>
                <w:ilvl w:val="0"/>
                <w:numId w:val="0"/>
              </w:numPr>
              <w:spacing w:before="0" w:after="0" w:line="0" w:lineRule="atLeast"/>
              <w:jc w:val="left"/>
              <w:rPr>
                <w:rFonts w:hint="eastAsia" w:ascii="宋体" w:hAnsi="宋体" w:cs="宋体"/>
                <w:kern w:val="0"/>
                <w:sz w:val="21"/>
                <w:szCs w:val="21"/>
              </w:rPr>
            </w:pPr>
            <w:r>
              <w:rPr>
                <w:rFonts w:hint="eastAsia" w:ascii="宋体" w:hAnsi="宋体" w:cs="宋体"/>
                <w:kern w:val="0"/>
                <w:sz w:val="21"/>
                <w:szCs w:val="21"/>
              </w:rPr>
              <w:t>工作电气参数：工作电压：12V ; 工作电流：1.5A ; 最大显示车速：99公里/小时。</w:t>
            </w:r>
          </w:p>
          <w:p>
            <w:pPr>
              <w:pStyle w:val="2"/>
              <w:numPr>
                <w:ilvl w:val="0"/>
                <w:numId w:val="0"/>
              </w:numPr>
              <w:spacing w:before="0" w:after="0" w:line="0" w:lineRule="atLeast"/>
              <w:jc w:val="left"/>
              <w:rPr>
                <w:rFonts w:hint="eastAsia" w:ascii="宋体" w:hAnsi="宋体" w:cs="宋体"/>
                <w:kern w:val="0"/>
                <w:sz w:val="21"/>
                <w:szCs w:val="21"/>
              </w:rPr>
            </w:pPr>
            <w:r>
              <w:rPr>
                <w:rFonts w:hint="eastAsia" w:ascii="宋体" w:hAnsi="宋体" w:cs="宋体"/>
                <w:kern w:val="0"/>
                <w:sz w:val="21"/>
                <w:szCs w:val="21"/>
              </w:rPr>
              <w:t>提示限速显示模式：可自定义19种车速，安全速度内显示为绿色数字，超速时显示红色数字。</w:t>
            </w:r>
          </w:p>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cs="宋体"/>
                <w:kern w:val="0"/>
                <w:sz w:val="21"/>
                <w:szCs w:val="21"/>
              </w:rPr>
              <w:t>雷达频率:k波段（24.150G），</w:t>
            </w:r>
            <w:r>
              <w:rPr>
                <w:rFonts w:hint="eastAsia" w:ascii="宋体" w:hAnsi="宋体" w:cs="宋体"/>
                <w:kern w:val="0"/>
                <w:sz w:val="21"/>
                <w:szCs w:val="21"/>
                <w:lang w:val="en-US" w:eastAsia="zh-CN"/>
              </w:rPr>
              <w:t>可探测距离</w:t>
            </w:r>
            <w:r>
              <w:rPr>
                <w:rFonts w:hint="eastAsia" w:ascii="宋体" w:hAnsi="宋体" w:cs="宋体"/>
                <w:kern w:val="0"/>
                <w:sz w:val="21"/>
                <w:szCs w:val="21"/>
              </w:rPr>
              <w:t>:0~200m，响应时间:≤5ms。</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设备箱</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sz w:val="21"/>
                <w:szCs w:val="21"/>
              </w:rPr>
              <w:t>金属材质，表面烤漆。配开锁钥匙</w:t>
            </w: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电线及PVC辅材</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2*1.5mm</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超5类</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7"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杆子</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2.5米T</w:t>
            </w:r>
            <w:r>
              <w:rPr>
                <w:rFonts w:hint="eastAsia" w:ascii="宋体" w:hAnsi="宋体" w:cs="宋体"/>
                <w:i w:val="0"/>
                <w:iCs w:val="0"/>
                <w:color w:val="000000"/>
                <w:kern w:val="0"/>
                <w:sz w:val="22"/>
                <w:szCs w:val="22"/>
                <w:u w:val="none"/>
                <w:lang w:val="en-US" w:eastAsia="zh-CN" w:bidi="ar"/>
              </w:rPr>
              <w:t>型</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横杆</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1米横杆</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10"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8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工业级千兆交换机</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4口</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60" w:hRule="atLeast"/>
        </w:trPr>
        <w:tc>
          <w:tcPr>
            <w:tcW w:w="28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13</w:t>
            </w:r>
          </w:p>
        </w:tc>
        <w:tc>
          <w:tcPr>
            <w:tcW w:w="81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无线网桥</w:t>
            </w:r>
          </w:p>
        </w:tc>
        <w:tc>
          <w:tcPr>
            <w:tcW w:w="950"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千兆</w:t>
            </w:r>
          </w:p>
        </w:tc>
        <w:tc>
          <w:tcPr>
            <w:tcW w:w="52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TPlink</w:t>
            </w:r>
          </w:p>
        </w:tc>
        <w:tc>
          <w:tcPr>
            <w:tcW w:w="35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06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pStyle w:val="11"/>
        <w:snapToGrid w:val="0"/>
        <w:spacing w:line="240" w:lineRule="auto"/>
        <w:ind w:left="0" w:leftChars="0" w:firstLine="0" w:firstLineChars="0"/>
        <w:rPr>
          <w:rFonts w:hint="eastAsia" w:ascii="仿宋_GB2312" w:hAnsi="Times New Roman" w:eastAsia="仿宋_GB2312" w:cs="Times New Roman"/>
          <w:color w:val="auto"/>
          <w:kern w:val="2"/>
          <w:sz w:val="30"/>
          <w:szCs w:val="30"/>
          <w:lang w:val="en-US" w:eastAsia="zh-CN" w:bidi="ar-SA"/>
        </w:rPr>
      </w:pP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 相关技术参数要求</w:t>
      </w:r>
    </w:p>
    <w:p>
      <w:pPr>
        <w:pStyle w:val="12"/>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2.1主要实现功能：高清雷达测速仪，检测到超速车辆自动抓拍，并在照片叠加超速字符信息，可实时查看画面及抓拍到的照片。过往车辆速度实时显示，超速红色显示速度值，未超速绿色显示速度值。测速范围：5-250km/h，测速精度：-1km/h；限高、低速功能。</w:t>
      </w:r>
    </w:p>
    <w:p>
      <w:pPr>
        <w:pStyle w:val="12"/>
        <w:ind w:left="0" w:leftChars="0" w:firstLine="600" w:firstLineChars="200"/>
        <w:jc w:val="both"/>
        <w:rPr>
          <w:rFonts w:hint="default" w:ascii="仿宋_GB2312" w:eastAsia="宋体"/>
          <w:sz w:val="30"/>
          <w:szCs w:val="30"/>
          <w:lang w:val="en-US" w:eastAsia="zh-CN"/>
        </w:rPr>
      </w:pPr>
      <w:r>
        <w:rPr>
          <w:rFonts w:hint="eastAsia" w:ascii="仿宋_GB2312" w:eastAsia="仿宋_GB2312"/>
          <w:sz w:val="30"/>
          <w:szCs w:val="30"/>
          <w:lang w:val="en-US" w:eastAsia="zh-CN"/>
        </w:rPr>
        <w:t>2.2设备要求：①具备单向、双向自动测速抓拍超速照片的功能；平板窄波束雷达，角度小，定位准；②支持脱机工作（无需连接电脑也可正常工作）；同向测速，避免反向速度的干扰；③全天候作业，车辆检测、识别、雷达测速、图片抓拍取证等工作都由智能摄像机瞬间自动完成。系统可以无人值守、自动工作；④摄像机抓拍的图片上自动叠加上抓拍时间、违法地点、行驶方向、限速、行驶速度、超速百分比等信息，无须电脑协作，支持自定义叠加的字符信息；⑤支持录像；⑥双向测速（来车抓拍车头，去车抓拍车尾部）；⑦超速提醒并抓拍，通过网线或者光纤上传到后台电脑查看抓拍照片，一台电脑可以同时监控；⑧LED测速显示屏，2位数显示，超速显示红色，安全显示绿色，外框尺寸130*60cm，显示部分尺寸36*45cm（显示屏款式可根据实际需求定制）。</w:t>
      </w:r>
    </w:p>
    <w:p>
      <w:pPr>
        <w:pStyle w:val="12"/>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二、服务要求</w:t>
      </w:r>
    </w:p>
    <w:p>
      <w:pPr>
        <w:pStyle w:val="11"/>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1.时间要求：双方签订合同后，根据采购人</w:t>
      </w:r>
      <w:r>
        <w:rPr>
          <w:rFonts w:hint="eastAsia" w:ascii="仿宋_GB2312" w:eastAsia="仿宋_GB2312" w:cs="Times New Roman"/>
          <w:color w:val="auto"/>
          <w:kern w:val="2"/>
          <w:sz w:val="30"/>
          <w:szCs w:val="30"/>
          <w:lang w:val="en-US" w:eastAsia="zh-CN" w:bidi="ar-SA"/>
        </w:rPr>
        <w:t>实际需求</w:t>
      </w:r>
      <w:r>
        <w:rPr>
          <w:rFonts w:hint="eastAsia" w:ascii="仿宋_GB2312" w:hAnsi="Times New Roman" w:eastAsia="仿宋_GB2312" w:cs="Times New Roman"/>
          <w:color w:val="auto"/>
          <w:kern w:val="2"/>
          <w:sz w:val="30"/>
          <w:szCs w:val="30"/>
          <w:lang w:val="en-US" w:eastAsia="zh-CN" w:bidi="ar-SA"/>
        </w:rPr>
        <w:t>确定送货数量，</w:t>
      </w:r>
      <w:r>
        <w:rPr>
          <w:rFonts w:hint="eastAsia" w:ascii="仿宋_GB2312" w:eastAsia="仿宋_GB2312" w:cs="Times New Roman"/>
          <w:color w:val="auto"/>
          <w:kern w:val="2"/>
          <w:sz w:val="30"/>
          <w:szCs w:val="30"/>
          <w:lang w:val="en-US" w:eastAsia="zh-CN" w:bidi="ar-SA"/>
        </w:rPr>
        <w:t>15</w:t>
      </w:r>
      <w:r>
        <w:rPr>
          <w:rFonts w:hint="eastAsia" w:ascii="仿宋_GB2312" w:hAnsi="Times New Roman" w:eastAsia="仿宋_GB2312" w:cs="Times New Roman"/>
          <w:color w:val="auto"/>
          <w:kern w:val="2"/>
          <w:sz w:val="30"/>
          <w:szCs w:val="30"/>
          <w:lang w:val="en-US" w:eastAsia="zh-CN" w:bidi="ar-SA"/>
        </w:rPr>
        <w:t>个工作日内完成供货安装。送货地点为杭州临江环境能源有限公司，</w:t>
      </w:r>
      <w:r>
        <w:rPr>
          <w:rFonts w:hint="eastAsia" w:ascii="仿宋_GB2312" w:eastAsia="仿宋_GB2312" w:cs="Times New Roman"/>
          <w:color w:val="auto"/>
          <w:kern w:val="2"/>
          <w:sz w:val="30"/>
          <w:szCs w:val="30"/>
          <w:lang w:val="en-US" w:eastAsia="zh-CN" w:bidi="ar-SA"/>
        </w:rPr>
        <w:t>供应商</w:t>
      </w:r>
      <w:r>
        <w:rPr>
          <w:rFonts w:hint="eastAsia" w:ascii="仿宋_GB2312" w:hAnsi="Times New Roman" w:eastAsia="仿宋_GB2312" w:cs="Times New Roman"/>
          <w:color w:val="auto"/>
          <w:kern w:val="2"/>
          <w:sz w:val="30"/>
          <w:szCs w:val="30"/>
          <w:lang w:val="en-US" w:eastAsia="zh-CN" w:bidi="ar-SA"/>
        </w:rPr>
        <w:t>须将设备安装至</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指定</w:t>
      </w:r>
      <w:r>
        <w:rPr>
          <w:rFonts w:hint="eastAsia" w:ascii="仿宋_GB2312" w:eastAsia="仿宋_GB2312" w:cs="Times New Roman"/>
          <w:color w:val="auto"/>
          <w:kern w:val="2"/>
          <w:sz w:val="30"/>
          <w:szCs w:val="30"/>
          <w:lang w:val="en-US" w:eastAsia="zh-CN" w:bidi="ar-SA"/>
        </w:rPr>
        <w:t>地点</w:t>
      </w:r>
      <w:r>
        <w:rPr>
          <w:rFonts w:hint="eastAsia" w:ascii="仿宋_GB2312" w:hAnsi="Times New Roman" w:eastAsia="仿宋_GB2312" w:cs="Times New Roman"/>
          <w:color w:val="auto"/>
          <w:kern w:val="2"/>
          <w:sz w:val="30"/>
          <w:szCs w:val="30"/>
          <w:lang w:val="en-US" w:eastAsia="zh-CN" w:bidi="ar-SA"/>
        </w:rPr>
        <w:t>；</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w:t>
      </w:r>
      <w:r>
        <w:rPr>
          <w:rFonts w:hint="eastAsia" w:ascii="仿宋_GB2312" w:eastAsia="仿宋_GB2312" w:cs="Times New Roman"/>
          <w:color w:val="auto"/>
          <w:kern w:val="2"/>
          <w:sz w:val="30"/>
          <w:szCs w:val="30"/>
          <w:lang w:val="en-US" w:eastAsia="zh-CN" w:bidi="ar-SA"/>
        </w:rPr>
        <w:t>安装要求</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供应商需安排专业技术人员现场安装、调试设备，需保证调试完成后整个测速系统正常运行。</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3.提供一年的免费售后服务。</w:t>
      </w:r>
    </w:p>
    <w:p>
      <w:pPr>
        <w:pStyle w:val="11"/>
        <w:snapToGrid w:val="0"/>
        <w:spacing w:line="240" w:lineRule="auto"/>
        <w:ind w:firstLine="601"/>
        <w:rPr>
          <w:rFonts w:hint="default" w:ascii="仿宋_GB2312" w:eastAsia="仿宋_GB2312" w:cs="Times New Roman"/>
          <w:color w:val="auto"/>
          <w:kern w:val="2"/>
          <w:sz w:val="30"/>
          <w:szCs w:val="30"/>
          <w:lang w:val="en-US" w:eastAsia="zh-CN" w:bidi="ar-SA"/>
        </w:rPr>
      </w:pPr>
    </w:p>
    <w:p>
      <w:pPr>
        <w:pStyle w:val="11"/>
        <w:numPr>
          <w:ilvl w:val="0"/>
          <w:numId w:val="3"/>
        </w:numPr>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质量要求</w:t>
      </w:r>
    </w:p>
    <w:p>
      <w:pPr>
        <w:pStyle w:val="11"/>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1.供货产品质量须达到或超过相关国家标准或生产企业标准，符合产品吊牌说明书；</w:t>
      </w:r>
    </w:p>
    <w:p>
      <w:pPr>
        <w:pStyle w:val="11"/>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2.供货产品须附带设备合格证书，涉及设备的产品应具备生产许可证、产品合格证、生产合格标志</w:t>
      </w:r>
      <w:r>
        <w:rPr>
          <w:rFonts w:hint="eastAsia" w:ascii="仿宋_GB2312" w:eastAsia="仿宋_GB2312" w:cs="Times New Roman"/>
          <w:color w:val="auto"/>
          <w:kern w:val="2"/>
          <w:sz w:val="30"/>
          <w:szCs w:val="30"/>
          <w:lang w:val="en-US" w:eastAsia="zh-CN" w:bidi="ar-SA"/>
        </w:rPr>
        <w:t>等</w:t>
      </w:r>
      <w:r>
        <w:rPr>
          <w:rFonts w:hint="eastAsia" w:ascii="仿宋_GB2312" w:hAnsi="Times New Roman" w:eastAsia="仿宋_GB2312" w:cs="Times New Roman"/>
          <w:color w:val="auto"/>
          <w:kern w:val="2"/>
          <w:sz w:val="30"/>
          <w:szCs w:val="30"/>
          <w:lang w:val="en-US" w:eastAsia="zh-CN" w:bidi="ar-SA"/>
        </w:rPr>
        <w:t>；</w:t>
      </w:r>
    </w:p>
    <w:p>
      <w:pPr>
        <w:pStyle w:val="11"/>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四、售后要求：对于出现不符合采购人要求的设备产品，</w:t>
      </w:r>
      <w:r>
        <w:rPr>
          <w:rFonts w:hint="eastAsia" w:ascii="仿宋_GB2312" w:eastAsia="仿宋_GB2312" w:cs="Times New Roman"/>
          <w:color w:val="auto"/>
          <w:kern w:val="2"/>
          <w:sz w:val="30"/>
          <w:szCs w:val="30"/>
          <w:lang w:val="en-US" w:eastAsia="zh-CN" w:bidi="ar-SA"/>
        </w:rPr>
        <w:t>供应商</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反馈后两个工作日内予以无条件退货、更换。</w:t>
      </w:r>
    </w:p>
    <w:p>
      <w:pPr>
        <w:pStyle w:val="11"/>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五、保密要求</w:t>
      </w:r>
    </w:p>
    <w:p>
      <w:pPr>
        <w:pStyle w:val="11"/>
        <w:snapToGrid w:val="0"/>
        <w:spacing w:line="240" w:lineRule="auto"/>
        <w:ind w:firstLine="601"/>
        <w:rPr>
          <w:rFonts w:hint="default"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供应商</w:t>
      </w:r>
      <w:r>
        <w:rPr>
          <w:rFonts w:hint="eastAsia" w:ascii="仿宋_GB2312" w:hAnsi="Times New Roman" w:eastAsia="仿宋_GB2312" w:cs="Times New Roman"/>
          <w:color w:val="auto"/>
          <w:kern w:val="2"/>
          <w:sz w:val="30"/>
          <w:szCs w:val="30"/>
          <w:lang w:val="en-US" w:eastAsia="zh-CN" w:bidi="ar-SA"/>
        </w:rPr>
        <w:t>应严格遵守采购人关于保密方面的规定，自觉保守采购人的商业秘密。采购人为方便项目实施所提供给中标人的工作流程、管理模式、规程、程序等相关文档资料、文档、数据均属于采购人所有。未经采购人授权同意，中标人不得另作他用。因中标人原因导致上诉资料、文档、数据或投标方商业秘密泄露的，采购人有权要求中标人采取措施消除影响并赔偿招标方损失。</w:t>
      </w: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p>
    <w:p>
      <w:pPr>
        <w:pStyle w:val="11"/>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六</w:t>
      </w:r>
      <w:r>
        <w:rPr>
          <w:rFonts w:hint="eastAsia" w:ascii="仿宋_GB2312" w:hAnsi="Times New Roman" w:eastAsia="仿宋_GB2312" w:cs="Times New Roman"/>
          <w:color w:val="auto"/>
          <w:kern w:val="2"/>
          <w:sz w:val="30"/>
          <w:szCs w:val="30"/>
          <w:lang w:val="en-US" w:eastAsia="zh-CN" w:bidi="ar-SA"/>
        </w:rPr>
        <w:t>、付款方式</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供应商</w:t>
      </w:r>
      <w:r>
        <w:rPr>
          <w:rFonts w:hint="eastAsia" w:ascii="仿宋_GB2312" w:hAnsi="Times New Roman" w:eastAsia="仿宋_GB2312" w:cs="Times New Roman"/>
          <w:color w:val="auto"/>
          <w:kern w:val="2"/>
          <w:sz w:val="30"/>
          <w:szCs w:val="30"/>
          <w:lang w:val="en-US" w:eastAsia="zh-CN" w:bidi="ar-SA"/>
        </w:rPr>
        <w:t>提供经双方确认的送货清单及增值税专用发票，采购人自收到准确清单和发票后，于30日内支付</w:t>
      </w:r>
      <w:r>
        <w:rPr>
          <w:rFonts w:hint="eastAsia" w:ascii="仿宋_GB2312" w:eastAsia="仿宋_GB2312" w:cs="Times New Roman"/>
          <w:color w:val="auto"/>
          <w:kern w:val="2"/>
          <w:sz w:val="30"/>
          <w:szCs w:val="30"/>
          <w:lang w:val="en-US" w:eastAsia="zh-CN" w:bidi="ar-SA"/>
        </w:rPr>
        <w:t>货款。</w:t>
      </w:r>
    </w:p>
    <w:p>
      <w:pPr>
        <w:pStyle w:val="11"/>
        <w:snapToGrid w:val="0"/>
        <w:spacing w:line="240" w:lineRule="auto"/>
        <w:ind w:firstLine="601"/>
        <w:rPr>
          <w:rFonts w:hint="eastAsia" w:ascii="仿宋_GB2312" w:eastAsia="仿宋_GB2312" w:cs="Times New Roman"/>
          <w:color w:val="auto"/>
          <w:kern w:val="2"/>
          <w:sz w:val="30"/>
          <w:szCs w:val="30"/>
          <w:lang w:val="en-US" w:eastAsia="zh-CN" w:bidi="ar-SA"/>
        </w:rPr>
      </w:pPr>
    </w:p>
    <w:p>
      <w:pPr>
        <w:pStyle w:val="11"/>
        <w:numPr>
          <w:ilvl w:val="0"/>
          <w:numId w:val="0"/>
        </w:numPr>
        <w:snapToGrid w:val="0"/>
        <w:spacing w:line="240" w:lineRule="auto"/>
        <w:ind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七</w:t>
      </w:r>
      <w:r>
        <w:rPr>
          <w:rFonts w:hint="eastAsia" w:ascii="仿宋_GB2312" w:hAnsi="Times New Roman" w:eastAsia="仿宋_GB2312" w:cs="Times New Roman"/>
          <w:color w:val="auto"/>
          <w:kern w:val="2"/>
          <w:sz w:val="30"/>
          <w:szCs w:val="30"/>
          <w:lang w:val="en-US" w:eastAsia="zh-CN" w:bidi="ar-SA"/>
        </w:rPr>
        <w:t>、验收标准</w:t>
      </w:r>
    </w:p>
    <w:p>
      <w:pPr>
        <w:pStyle w:val="11"/>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每一批次货物需提供相应的货物清单及相应的合格认证凭据。</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固定测速仪采购项目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202204002</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固定测速仪采购项目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202204002</w:t>
      </w:r>
      <w:bookmarkStart w:id="13" w:name="_GoBack"/>
      <w:bookmarkEnd w:id="13"/>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2022年临江公司固定测速仪采购项目</w:t>
      </w:r>
      <w:r>
        <w:rPr>
          <w:rFonts w:hint="eastAsia" w:ascii="仿宋_GB2312" w:eastAsia="仿宋_GB2312"/>
          <w:sz w:val="28"/>
          <w:szCs w:val="28"/>
          <w:u w:val="none"/>
          <w:lang w:val="en-US" w:eastAsia="zh-CN"/>
        </w:rPr>
        <w:t>。</w:t>
      </w:r>
    </w:p>
    <w:p>
      <w:pPr>
        <w:snapToGrid w:val="0"/>
        <w:ind w:firstLine="560" w:firstLineChars="200"/>
        <w:jc w:val="left"/>
        <w:rPr>
          <w:rFonts w:hint="eastAsia" w:ascii="仿宋_GB2312" w:hAnsi="仿宋_GB2312" w:eastAsia="仿宋_GB2312" w:cs="仿宋_GB2312"/>
          <w:sz w:val="32"/>
          <w:szCs w:val="30"/>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r>
        <w:rPr>
          <w:rFonts w:hint="eastAsia" w:ascii="仿宋_GB2312" w:eastAsia="仿宋_GB2312"/>
          <w:sz w:val="28"/>
          <w:szCs w:val="28"/>
          <w:lang w:val="en-US" w:eastAsia="zh-CN"/>
        </w:rPr>
        <w:t xml:space="preserve"> </w:t>
      </w:r>
    </w:p>
    <w:tbl>
      <w:tblPr>
        <w:tblStyle w:val="7"/>
        <w:tblpPr w:leftFromText="180" w:rightFromText="180" w:vertAnchor="text" w:horzAnchor="page" w:tblpXSpec="center" w:tblpY="137"/>
        <w:tblOverlap w:val="never"/>
        <w:tblW w:w="4250" w:type="pct"/>
        <w:jc w:val="center"/>
        <w:shd w:val="clear" w:color="auto" w:fill="auto"/>
        <w:tblLayout w:type="fixed"/>
        <w:tblCellMar>
          <w:top w:w="0" w:type="dxa"/>
          <w:left w:w="0" w:type="dxa"/>
          <w:bottom w:w="0" w:type="dxa"/>
          <w:right w:w="0" w:type="dxa"/>
        </w:tblCellMar>
      </w:tblPr>
      <w:tblGrid>
        <w:gridCol w:w="575"/>
        <w:gridCol w:w="1705"/>
        <w:gridCol w:w="1582"/>
        <w:gridCol w:w="1107"/>
        <w:gridCol w:w="825"/>
        <w:gridCol w:w="869"/>
        <w:gridCol w:w="1075"/>
      </w:tblGrid>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型号</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品牌</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cs="宋体"/>
                <w:b/>
                <w:i w:val="0"/>
                <w:color w:val="000000"/>
                <w:kern w:val="0"/>
                <w:sz w:val="22"/>
                <w:szCs w:val="22"/>
                <w:u w:val="none"/>
                <w:lang w:val="en-US" w:eastAsia="zh-CN" w:bidi="ar"/>
              </w:rPr>
              <w:t>预计使用</w:t>
            </w:r>
            <w:r>
              <w:rPr>
                <w:rFonts w:hint="eastAsia" w:ascii="宋体" w:hAnsi="宋体" w:eastAsia="宋体" w:cs="宋体"/>
                <w:b/>
                <w:i w:val="0"/>
                <w:color w:val="000000"/>
                <w:kern w:val="0"/>
                <w:sz w:val="22"/>
                <w:szCs w:val="22"/>
                <w:u w:val="none"/>
                <w:lang w:val="en-US" w:eastAsia="zh-CN" w:bidi="ar"/>
              </w:rPr>
              <w:t>数量</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单价</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cs="宋体"/>
                <w:b/>
                <w:i w:val="0"/>
                <w:color w:val="000000"/>
                <w:kern w:val="0"/>
                <w:sz w:val="22"/>
                <w:szCs w:val="22"/>
                <w:u w:val="none"/>
                <w:lang w:val="en-US" w:eastAsia="zh-CN" w:bidi="ar"/>
              </w:rPr>
              <w:t>总价</w:t>
            </w: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700万像素摄像机</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DH-ITC602</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宋体" w:hAnsi="宋体" w:cs="宋体"/>
                <w:i w:val="0"/>
                <w:color w:val="000000"/>
                <w:sz w:val="22"/>
                <w:szCs w:val="22"/>
                <w:u w:val="none"/>
                <w:lang w:val="en-US" w:eastAsia="zh-CN"/>
              </w:rPr>
              <w:t>大华</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101" w:type="pct"/>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激光雷达</w:t>
            </w:r>
          </w:p>
        </w:tc>
        <w:tc>
          <w:tcPr>
            <w:tcW w:w="102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MAX-2</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1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环保疝气闪光灯</w:t>
            </w:r>
          </w:p>
        </w:tc>
        <w:tc>
          <w:tcPr>
            <w:tcW w:w="10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G300F</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宋体" w:hAnsi="宋体" w:cs="宋体"/>
                <w:i w:val="0"/>
                <w:color w:val="000000"/>
                <w:kern w:val="0"/>
                <w:sz w:val="22"/>
                <w:szCs w:val="22"/>
                <w:u w:val="none"/>
                <w:lang w:val="en-US" w:eastAsia="zh-CN" w:bidi="ar"/>
              </w:rPr>
              <w:t>光宝</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1300万像素高清镜头</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MVL-KF2524M-25MP</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宋体" w:hAnsi="宋体" w:eastAsia="宋体" w:cs="宋体"/>
                <w:i w:val="0"/>
                <w:color w:val="000000"/>
                <w:kern w:val="0"/>
                <w:sz w:val="22"/>
                <w:szCs w:val="22"/>
                <w:u w:val="none"/>
                <w:lang w:val="en-US" w:eastAsia="zh-CN" w:bidi="ar"/>
              </w:rPr>
              <w:t>海康威视</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测速显示屏</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csp8</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设备箱</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配套</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电线及PVC辅材</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2*1.5mm</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网线</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超5类</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杆子</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2.5米T字甘</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横杆</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1米横杆</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360"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1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插座</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8口</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shd w:val="clear" w:color="auto" w:fill="auto"/>
          <w:tblCellMar>
            <w:top w:w="0" w:type="dxa"/>
            <w:left w:w="0" w:type="dxa"/>
            <w:bottom w:w="0" w:type="dxa"/>
            <w:right w:w="0" w:type="dxa"/>
          </w:tblCellMar>
        </w:tblPrEx>
        <w:trPr>
          <w:trHeight w:val="921"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1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工业级千兆交换机</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4口</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lang w:val="en-US" w:eastAsia="zh-CN"/>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p>
        </w:tc>
      </w:tr>
      <w:tr>
        <w:tblPrEx>
          <w:shd w:val="clear" w:color="auto" w:fill="auto"/>
          <w:tblCellMar>
            <w:top w:w="0" w:type="dxa"/>
            <w:left w:w="0" w:type="dxa"/>
            <w:bottom w:w="0" w:type="dxa"/>
            <w:right w:w="0" w:type="dxa"/>
          </w:tblCellMar>
        </w:tblPrEx>
        <w:trPr>
          <w:trHeight w:val="921" w:hRule="atLeast"/>
          <w:jc w:val="center"/>
        </w:trPr>
        <w:tc>
          <w:tcPr>
            <w:tcW w:w="37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13</w:t>
            </w:r>
          </w:p>
        </w:tc>
        <w:tc>
          <w:tcPr>
            <w:tcW w:w="11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无线网桥</w:t>
            </w:r>
          </w:p>
        </w:tc>
        <w:tc>
          <w:tcPr>
            <w:tcW w:w="102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千兆</w:t>
            </w:r>
          </w:p>
        </w:tc>
        <w:tc>
          <w:tcPr>
            <w:tcW w:w="7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TPlink</w:t>
            </w:r>
          </w:p>
        </w:tc>
        <w:tc>
          <w:tcPr>
            <w:tcW w:w="53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5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i w:val="0"/>
                <w:color w:val="000000"/>
                <w:sz w:val="21"/>
                <w:szCs w:val="21"/>
                <w:u w:val="none"/>
                <w:lang w:val="en-US" w:eastAsia="zh-CN"/>
              </w:rPr>
            </w:pP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p>
        </w:tc>
      </w:tr>
      <w:tr>
        <w:tblPrEx>
          <w:shd w:val="clear" w:color="auto" w:fill="auto"/>
          <w:tblCellMar>
            <w:top w:w="0" w:type="dxa"/>
            <w:left w:w="0" w:type="dxa"/>
            <w:bottom w:w="0" w:type="dxa"/>
            <w:right w:w="0" w:type="dxa"/>
          </w:tblCellMar>
        </w:tblPrEx>
        <w:trPr>
          <w:trHeight w:val="630" w:hRule="atLeast"/>
          <w:jc w:val="center"/>
        </w:trPr>
        <w:tc>
          <w:tcPr>
            <w:tcW w:w="4305" w:type="pct"/>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合计</w:t>
            </w:r>
          </w:p>
        </w:tc>
        <w:tc>
          <w:tcPr>
            <w:tcW w:w="6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eastAsia="zh-CN"/>
              </w:rPr>
            </w:pPr>
          </w:p>
        </w:tc>
      </w:tr>
    </w:tbl>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w:t>
      </w: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w:t>
      </w:r>
      <w:r>
        <w:rPr>
          <w:rFonts w:hint="eastAsia" w:ascii="仿宋_GB2312" w:eastAsia="仿宋_GB2312" w:cs="Times New Roman"/>
          <w:b w:val="0"/>
          <w:caps w:val="0"/>
          <w:kern w:val="2"/>
          <w:sz w:val="24"/>
          <w:szCs w:val="24"/>
          <w:lang w:val="en-US" w:eastAsia="zh-CN" w:bidi="ar-SA"/>
        </w:rPr>
        <w:t>安装调试费、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numPr>
          <w:ilvl w:val="0"/>
          <w:numId w:val="4"/>
        </w:numPr>
        <w:snapToGrid w:val="0"/>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提供一年的免费售后服务。</w:t>
      </w:r>
    </w:p>
    <w:p>
      <w:pPr>
        <w:pStyle w:val="2"/>
        <w:numPr>
          <w:ilvl w:val="0"/>
          <w:numId w:val="0"/>
        </w:numPr>
        <w:rPr>
          <w:rFonts w:hint="eastAsia"/>
          <w:lang w:val="en-US" w:eastAsia="zh-CN"/>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w:t>
      </w:r>
      <w:r>
        <w:rPr>
          <w:rFonts w:hint="eastAsia" w:ascii="仿宋_GB2312" w:eastAsia="仿宋_GB2312"/>
          <w:sz w:val="28"/>
          <w:szCs w:val="28"/>
          <w:u w:val="single"/>
          <w:lang w:eastAsia="zh-CN"/>
        </w:rPr>
        <w:t>临江公司</w:t>
      </w:r>
      <w:r>
        <w:rPr>
          <w:rFonts w:hint="eastAsia" w:ascii="仿宋_GB2312" w:eastAsia="仿宋_GB2312"/>
          <w:sz w:val="28"/>
          <w:szCs w:val="28"/>
          <w:u w:val="single"/>
          <w:lang w:val="en-US" w:eastAsia="zh-CN"/>
        </w:rPr>
        <w:t>固定测速仪采购项目</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w:t>
      </w:r>
      <w:r>
        <w:rPr>
          <w:rFonts w:hint="eastAsia" w:ascii="仿宋_GB2312" w:eastAsia="仿宋_GB2312"/>
          <w:sz w:val="28"/>
          <w:szCs w:val="28"/>
          <w:lang w:val="en-US" w:eastAsia="zh-CN"/>
        </w:rPr>
        <w:t>质量问题</w:t>
      </w:r>
      <w:r>
        <w:rPr>
          <w:rFonts w:hint="eastAsia" w:ascii="仿宋_GB2312" w:eastAsia="仿宋_GB2312"/>
          <w:sz w:val="28"/>
          <w:szCs w:val="28"/>
        </w:rPr>
        <w:t>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5"/>
        <w:rPr>
          <w:rFonts w:hint="eastAsia"/>
        </w:rPr>
      </w:pPr>
    </w:p>
    <w:p>
      <w:pPr>
        <w:pStyle w:val="5"/>
        <w:rPr>
          <w:rFonts w:hint="eastAsia" w:ascii="仿宋_GB2312" w:eastAsia="仿宋_GB2312"/>
          <w:sz w:val="28"/>
          <w:szCs w:val="28"/>
        </w:rPr>
      </w:pPr>
    </w:p>
    <w:p/>
    <w:p>
      <w:pPr>
        <w:pStyle w:val="5"/>
      </w:pPr>
    </w:p>
    <w:p>
      <w:pPr>
        <w:jc w:val="left"/>
        <w:rPr>
          <w:rStyle w:val="13"/>
          <w:rFonts w:ascii="仿宋_GB2312" w:eastAsia="仿宋_GB2312"/>
          <w:sz w:val="30"/>
        </w:rPr>
      </w:pPr>
      <w:r>
        <w:rPr>
          <w:rStyle w:val="13"/>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5"/>
        <w:rPr>
          <w:rFonts w:ascii="仿宋_GB2312" w:eastAsia="仿宋_GB2312"/>
          <w:sz w:val="30"/>
          <w:szCs w:val="22"/>
        </w:rPr>
      </w:pPr>
    </w:p>
    <w:p>
      <w:pPr>
        <w:rPr>
          <w:rFonts w:ascii="仿宋_GB2312" w:eastAsia="仿宋_GB2312"/>
          <w:sz w:val="30"/>
          <w:szCs w:val="22"/>
        </w:rPr>
      </w:pPr>
    </w:p>
    <w:p>
      <w:pPr>
        <w:pStyle w:val="5"/>
        <w:rPr>
          <w:rFonts w:ascii="仿宋_GB2312" w:eastAsia="仿宋_GB2312"/>
          <w:sz w:val="30"/>
          <w:szCs w:val="22"/>
        </w:rPr>
      </w:pPr>
    </w:p>
    <w:p>
      <w:pPr>
        <w:rPr>
          <w:rFonts w:ascii="仿宋_GB2312" w:eastAsia="仿宋_GB2312"/>
          <w:sz w:val="30"/>
          <w:szCs w:val="22"/>
        </w:rPr>
      </w:pPr>
    </w:p>
    <w:p>
      <w:pPr>
        <w:pStyle w:val="5"/>
        <w:rPr>
          <w:rFonts w:ascii="仿宋_GB2312" w:eastAsia="仿宋_GB2312"/>
          <w:sz w:val="30"/>
          <w:szCs w:val="22"/>
        </w:rPr>
      </w:pPr>
    </w:p>
    <w:p/>
    <w:p>
      <w:pPr>
        <w:pStyle w:val="5"/>
        <w:rPr>
          <w:rFonts w:ascii="仿宋_GB2312" w:eastAsia="仿宋_GB2312"/>
          <w:sz w:val="30"/>
          <w:szCs w:val="22"/>
        </w:rPr>
      </w:pPr>
    </w:p>
    <w:p>
      <w:pPr>
        <w:rPr>
          <w:rFonts w:ascii="仿宋_GB2312" w:eastAsia="仿宋_GB2312"/>
          <w:sz w:val="30"/>
          <w:szCs w:val="22"/>
        </w:rPr>
      </w:pPr>
    </w:p>
    <w:p>
      <w:pPr>
        <w:pStyle w:val="5"/>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w:t>
      </w:r>
      <w:r>
        <w:rPr>
          <w:rFonts w:hint="eastAsia" w:ascii="仿宋_GB2312" w:eastAsia="仿宋_GB2312"/>
          <w:sz w:val="30"/>
          <w:szCs w:val="22"/>
          <w:lang w:val="en-US" w:eastAsia="zh-CN"/>
        </w:rPr>
        <w:t>2</w:t>
      </w:r>
      <w:r>
        <w:rPr>
          <w:rFonts w:hint="eastAsia" w:ascii="仿宋_GB2312" w:eastAsia="仿宋_GB2312"/>
          <w:sz w:val="30"/>
          <w:szCs w:val="22"/>
        </w:rPr>
        <w:t>年    月    日</w:t>
      </w:r>
    </w:p>
    <w:p>
      <w:pPr>
        <w:pStyle w:val="5"/>
        <w:rPr>
          <w:rFonts w:ascii="仿宋_GB2312" w:eastAsia="仿宋_GB2312"/>
          <w:b w:val="0"/>
          <w:caps w:val="0"/>
          <w:sz w:val="30"/>
          <w:szCs w:val="22"/>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5"/>
        <w:rPr>
          <w:rFonts w:hint="eastAsia" w:ascii="仿宋_GB2312" w:eastAsia="仿宋_GB2312"/>
          <w:b/>
          <w:bCs/>
          <w:sz w:val="30"/>
          <w:szCs w:val="22"/>
          <w:lang w:val="en-US" w:eastAsia="zh-CN"/>
        </w:rPr>
      </w:pPr>
    </w:p>
    <w:p>
      <w:pPr>
        <w:rPr>
          <w:rFonts w:hint="eastAsia"/>
          <w:lang w:val="en-US" w:eastAsia="zh-CN"/>
        </w:rPr>
      </w:pPr>
    </w:p>
    <w:p>
      <w:pPr>
        <w:rPr>
          <w:rFonts w:hint="eastAsia" w:ascii="仿宋_GB2312" w:eastAsia="仿宋_GB2312"/>
          <w:b/>
          <w:bCs/>
          <w:sz w:val="30"/>
          <w:szCs w:val="22"/>
          <w:lang w:val="en-US" w:eastAsia="zh-CN"/>
        </w:rPr>
      </w:pPr>
    </w:p>
    <w:p>
      <w:pPr>
        <w:pStyle w:val="5"/>
      </w:pPr>
    </w:p>
    <w:p/>
    <w:p>
      <w:pPr>
        <w:jc w:val="left"/>
        <w:rPr>
          <w:rStyle w:val="13"/>
          <w:rFonts w:hint="default" w:ascii="仿宋_GB2312" w:eastAsia="仿宋_GB2312"/>
          <w:sz w:val="30"/>
          <w:szCs w:val="22"/>
          <w:lang w:val="en-US"/>
        </w:rPr>
      </w:pPr>
      <w:r>
        <w:rPr>
          <w:rStyle w:val="13"/>
          <w:rFonts w:hint="eastAsia" w:ascii="仿宋_GB2312" w:eastAsia="仿宋_GB2312"/>
          <w:sz w:val="30"/>
          <w:szCs w:val="22"/>
          <w:lang w:val="en-GB"/>
        </w:rPr>
        <w:t>附件</w:t>
      </w:r>
      <w:r>
        <w:rPr>
          <w:rStyle w:val="13"/>
          <w:rFonts w:hint="eastAsia" w:ascii="仿宋_GB2312" w:eastAsia="仿宋_GB2312"/>
          <w:sz w:val="30"/>
          <w:szCs w:val="22"/>
          <w:lang w:val="en-US"/>
        </w:rPr>
        <w:t>六</w:t>
      </w:r>
    </w:p>
    <w:p>
      <w:pPr>
        <w:pStyle w:val="6"/>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szCs w:val="22"/>
          <w:lang w:val="en-US"/>
        </w:rPr>
        <w:t>固定测速仪</w:t>
      </w:r>
      <w:r>
        <w:rPr>
          <w:rStyle w:val="13"/>
          <w:rFonts w:hint="eastAsia" w:ascii="仿宋_GB2312" w:eastAsia="仿宋_GB2312"/>
          <w:b/>
          <w:spacing w:val="0"/>
          <w:sz w:val="44"/>
          <w:szCs w:val="22"/>
        </w:rPr>
        <w:t>采购</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val="en-US" w:eastAsia="zh-CN"/>
        </w:rPr>
        <w:t>固定测速仪</w:t>
      </w:r>
      <w:r>
        <w:rPr>
          <w:rFonts w:hint="eastAsia" w:ascii="仿宋_GB2312" w:hAnsi="宋体" w:eastAsia="仿宋_GB2312" w:cs="宋体"/>
          <w:kern w:val="0"/>
          <w:sz w:val="24"/>
          <w:szCs w:val="24"/>
        </w:rPr>
        <w:t>事项达成</w:t>
      </w:r>
      <w:r>
        <w:rPr>
          <w:rFonts w:hint="eastAsia" w:ascii="仿宋_GB2312" w:eastAsia="仿宋_GB2312"/>
          <w:sz w:val="24"/>
          <w:szCs w:val="24"/>
        </w:rPr>
        <w:t>如下条款：</w:t>
      </w:r>
    </w:p>
    <w:p>
      <w:pPr>
        <w:numPr>
          <w:ilvl w:val="0"/>
          <w:numId w:val="5"/>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7"/>
        <w:tblW w:w="4174" w:type="pct"/>
        <w:jc w:val="center"/>
        <w:tblLayout w:type="fixed"/>
        <w:tblCellMar>
          <w:top w:w="0" w:type="dxa"/>
          <w:left w:w="0" w:type="dxa"/>
          <w:bottom w:w="0" w:type="dxa"/>
          <w:right w:w="0" w:type="dxa"/>
        </w:tblCellMar>
      </w:tblPr>
      <w:tblGrid>
        <w:gridCol w:w="726"/>
        <w:gridCol w:w="1600"/>
        <w:gridCol w:w="1681"/>
        <w:gridCol w:w="954"/>
        <w:gridCol w:w="825"/>
        <w:gridCol w:w="909"/>
        <w:gridCol w:w="902"/>
      </w:tblGrid>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05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名称</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型号</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数量</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单价</w:t>
            </w: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总价</w:t>
            </w: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700万像素摄像机</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DH-ITC602</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r>
              <w:rPr>
                <w:rFonts w:hint="eastAsia" w:ascii="宋体" w:hAnsi="宋体" w:cs="宋体"/>
                <w:i w:val="0"/>
                <w:color w:val="000000"/>
                <w:sz w:val="22"/>
                <w:szCs w:val="22"/>
                <w:u w:val="none"/>
                <w:lang w:val="en-US" w:eastAsia="zh-CN"/>
              </w:rPr>
              <w:t>大华</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053" w:type="pct"/>
            <w:tcBorders>
              <w:top w:val="nil"/>
              <w:left w:val="nil"/>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激光雷达</w:t>
            </w:r>
          </w:p>
        </w:tc>
        <w:tc>
          <w:tcPr>
            <w:tcW w:w="1106"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MAX-2</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10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环保疝气闪光灯</w:t>
            </w:r>
          </w:p>
        </w:tc>
        <w:tc>
          <w:tcPr>
            <w:tcW w:w="11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G300F</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r>
              <w:rPr>
                <w:rFonts w:hint="eastAsia" w:ascii="宋体" w:hAnsi="宋体" w:cs="宋体"/>
                <w:i w:val="0"/>
                <w:color w:val="000000"/>
                <w:kern w:val="0"/>
                <w:sz w:val="22"/>
                <w:szCs w:val="22"/>
                <w:u w:val="none"/>
                <w:lang w:val="en-US" w:eastAsia="zh-CN" w:bidi="ar"/>
              </w:rPr>
              <w:t>光宝</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1300万像素高清镜头</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MVL-KF2524M-25MP</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r>
              <w:rPr>
                <w:rFonts w:hint="eastAsia" w:ascii="宋体" w:hAnsi="宋体" w:eastAsia="宋体" w:cs="宋体"/>
                <w:i w:val="0"/>
                <w:color w:val="000000"/>
                <w:kern w:val="0"/>
                <w:sz w:val="22"/>
                <w:szCs w:val="22"/>
                <w:u w:val="none"/>
                <w:lang w:val="en-US" w:eastAsia="zh-CN" w:bidi="ar"/>
              </w:rPr>
              <w:t>海康威视</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测速显示屏</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csp8</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设备箱</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配套</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电线及PVC辅材</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2*1.5mm</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200</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网线</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超5类</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200</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杆子</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2.5米T字甘</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3</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横杆</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1米横杆</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2</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3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w:t>
            </w:r>
          </w:p>
        </w:tc>
        <w:tc>
          <w:tcPr>
            <w:tcW w:w="1053"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插座</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8口</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r>
        <w:tblPrEx>
          <w:tblCellMar>
            <w:top w:w="0" w:type="dxa"/>
            <w:left w:w="0" w:type="dxa"/>
            <w:bottom w:w="0" w:type="dxa"/>
            <w:right w:w="0" w:type="dxa"/>
          </w:tblCellMar>
        </w:tblPrEx>
        <w:trPr>
          <w:trHeight w:val="7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w:t>
            </w:r>
          </w:p>
        </w:tc>
        <w:tc>
          <w:tcPr>
            <w:tcW w:w="105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工业级千兆交换机</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4口</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 w:hAnsi="仿宋" w:eastAsia="仿宋" w:cs="仿宋"/>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TPlink</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p>
        </w:tc>
      </w:tr>
      <w:tr>
        <w:tblPrEx>
          <w:tblCellMar>
            <w:top w:w="0" w:type="dxa"/>
            <w:left w:w="0" w:type="dxa"/>
            <w:bottom w:w="0" w:type="dxa"/>
            <w:right w:w="0" w:type="dxa"/>
          </w:tblCellMar>
        </w:tblPrEx>
        <w:trPr>
          <w:trHeight w:val="760" w:hRule="atLeast"/>
          <w:jc w:val="center"/>
        </w:trPr>
        <w:tc>
          <w:tcPr>
            <w:tcW w:w="47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val="en-US" w:eastAsia="zh-CN" w:bidi="ar"/>
              </w:rPr>
              <w:t>13</w:t>
            </w:r>
          </w:p>
        </w:tc>
        <w:tc>
          <w:tcPr>
            <w:tcW w:w="105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无线网桥</w:t>
            </w:r>
          </w:p>
        </w:tc>
        <w:tc>
          <w:tcPr>
            <w:tcW w:w="110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千兆</w:t>
            </w:r>
          </w:p>
        </w:tc>
        <w:tc>
          <w:tcPr>
            <w:tcW w:w="62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TPlink</w:t>
            </w:r>
          </w:p>
        </w:tc>
        <w:tc>
          <w:tcPr>
            <w:tcW w:w="54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Cs w:val="21"/>
              </w:rPr>
            </w:pPr>
            <w:r>
              <w:rPr>
                <w:rFonts w:hint="eastAsia" w:ascii="宋体" w:hAnsi="宋体" w:eastAsia="宋体" w:cs="宋体"/>
                <w:i w:val="0"/>
                <w:iCs w:val="0"/>
                <w:color w:val="000000"/>
                <w:kern w:val="0"/>
                <w:sz w:val="22"/>
                <w:szCs w:val="22"/>
                <w:u w:val="none"/>
                <w:lang w:val="en-US" w:eastAsia="zh-CN" w:bidi="ar"/>
              </w:rPr>
              <w:t>1</w:t>
            </w:r>
          </w:p>
        </w:tc>
        <w:tc>
          <w:tcPr>
            <w:tcW w:w="598"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仿宋" w:hAnsi="仿宋" w:eastAsia="仿宋" w:cs="仿宋"/>
                <w:color w:val="000000"/>
                <w:szCs w:val="21"/>
              </w:rPr>
            </w:pPr>
          </w:p>
        </w:tc>
        <w:tc>
          <w:tcPr>
            <w:tcW w:w="593"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p>
        </w:tc>
      </w:tr>
    </w:tbl>
    <w:p>
      <w:pPr>
        <w:pStyle w:val="5"/>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运费、安装调试费、税费等一切费用</w:t>
      </w:r>
      <w:r>
        <w:rPr>
          <w:rFonts w:hint="eastAsia" w:ascii="仿宋_GB2312" w:hAnsi="宋体" w:eastAsia="仿宋_GB2312"/>
          <w:sz w:val="24"/>
          <w:szCs w:val="24"/>
        </w:rPr>
        <w:t>。</w:t>
      </w:r>
    </w:p>
    <w:p>
      <w:pPr>
        <w:pStyle w:val="5"/>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w:t>
      </w:r>
      <w:r>
        <w:rPr>
          <w:rFonts w:hint="eastAsia" w:ascii="仿宋_GB2312" w:hAnsi="Times New Roman" w:eastAsia="仿宋_GB2312" w:cs="Times New Roman"/>
          <w:b w:val="0"/>
          <w:caps w:val="0"/>
          <w:kern w:val="2"/>
          <w:sz w:val="24"/>
          <w:szCs w:val="24"/>
          <w:lang w:val="en-US" w:eastAsia="zh-CN" w:bidi="ar-SA"/>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
      <w:pPr>
        <w:pStyle w:val="5"/>
        <w:numPr>
          <w:ilvl w:val="0"/>
          <w:numId w:val="5"/>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1.乙方保证所供货物须符合甲方询价文件所规定的采购内容及相关要求，接受甲方对所供货物进行验收，对不符合要求的产品，甲方有权要求乙方调换。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pStyle w:val="5"/>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5"/>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元（合同总价的5%）作为履约保证金。待供货期满后甲方原额无息退还履约保证金。</w:t>
      </w:r>
    </w:p>
    <w:p>
      <w:pPr>
        <w:pStyle w:val="5"/>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四、交货数量、时间、地点及验收。</w:t>
      </w:r>
    </w:p>
    <w:p>
      <w:pPr>
        <w:pStyle w:val="5"/>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1.乙方根据甲方确定的送货数量及要求进行送货，乙方负责在接到甲方电话或书面通知后</w:t>
      </w:r>
      <w:r>
        <w:rPr>
          <w:rFonts w:hint="eastAsia" w:ascii="仿宋_GB2312" w:eastAsia="仿宋_GB2312"/>
          <w:b w:val="0"/>
          <w:caps w:val="0"/>
          <w:sz w:val="24"/>
          <w:szCs w:val="24"/>
          <w:lang w:val="en-US" w:eastAsia="zh-CN"/>
        </w:rPr>
        <w:t>15</w:t>
      </w:r>
      <w:r>
        <w:rPr>
          <w:rFonts w:hint="eastAsia" w:ascii="仿宋_GB2312" w:eastAsia="仿宋_GB2312"/>
          <w:b w:val="0"/>
          <w:caps w:val="0"/>
          <w:sz w:val="24"/>
          <w:szCs w:val="24"/>
        </w:rPr>
        <w:t>个工作日内完成每批次供货及安装调试。乙方须配合甲方做好货物的到货数量清点及安装调试的验收工作；</w:t>
      </w:r>
    </w:p>
    <w:p>
      <w:pPr>
        <w:pStyle w:val="5"/>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2.乙方将货物运达甲方指定交货地点后,双方指定人员现场确认送货数量，并在安装调试验收合格后由双方在《</w:t>
      </w:r>
      <w:r>
        <w:rPr>
          <w:rFonts w:hint="eastAsia" w:ascii="仿宋_GB2312" w:eastAsia="仿宋_GB2312"/>
          <w:b w:val="0"/>
          <w:caps w:val="0"/>
          <w:sz w:val="24"/>
          <w:szCs w:val="24"/>
          <w:lang w:val="en-US" w:eastAsia="zh-CN"/>
        </w:rPr>
        <w:t>送货单</w:t>
      </w:r>
      <w:r>
        <w:rPr>
          <w:rFonts w:hint="eastAsia" w:ascii="仿宋_GB2312" w:eastAsia="仿宋_GB2312"/>
          <w:b w:val="0"/>
          <w:caps w:val="0"/>
          <w:sz w:val="24"/>
          <w:szCs w:val="24"/>
        </w:rPr>
        <w:t>》上签字确认。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5"/>
        <w:spacing w:line="360" w:lineRule="auto"/>
        <w:ind w:firstLine="480" w:firstLineChars="200"/>
        <w:rPr>
          <w:rFonts w:hint="default" w:ascii="仿宋_GB2312" w:hAnsi="宋体" w:eastAsia="仿宋_GB2312"/>
          <w:b w:val="0"/>
          <w:caps w:val="0"/>
          <w:sz w:val="24"/>
          <w:szCs w:val="24"/>
          <w:lang w:val="en-US" w:eastAsia="zh-CN"/>
        </w:rPr>
      </w:pPr>
      <w:r>
        <w:rPr>
          <w:rFonts w:hint="eastAsia" w:ascii="仿宋_GB2312" w:hAnsi="宋体" w:eastAsia="仿宋_GB2312"/>
          <w:b w:val="0"/>
          <w:caps w:val="0"/>
          <w:sz w:val="24"/>
          <w:szCs w:val="24"/>
        </w:rPr>
        <w:t>货物安装调试验收合格后，乙方提供经双方确认的送货清单及13%增值税专用发票，甲方收到乙方准确清单和发票后，于30日内</w:t>
      </w:r>
      <w:r>
        <w:rPr>
          <w:rFonts w:hint="eastAsia" w:ascii="仿宋_GB2312" w:hAnsi="宋体" w:eastAsia="仿宋_GB2312"/>
          <w:b w:val="0"/>
          <w:caps w:val="0"/>
          <w:sz w:val="24"/>
          <w:szCs w:val="24"/>
          <w:lang w:val="en-US" w:eastAsia="zh-CN"/>
        </w:rPr>
        <w:t>支付货款。</w:t>
      </w:r>
    </w:p>
    <w:p>
      <w:pPr>
        <w:spacing w:line="360" w:lineRule="auto"/>
        <w:ind w:left="456" w:leftChars="217"/>
        <w:rPr>
          <w:rFonts w:ascii="仿宋_GB2312" w:eastAsia="仿宋_GB2312"/>
          <w:sz w:val="24"/>
          <w:szCs w:val="24"/>
        </w:rPr>
      </w:pPr>
      <w:r>
        <w:rPr>
          <w:rFonts w:hint="eastAsia" w:ascii="仿宋_GB2312"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应保证其提供的货物在正确安装、正常使用和保养的条件下，在其使用寿命内具有良好的性能。货物验收合格后，甲方如在使用过程中发现质量问题的（人为因素除外），乙方应及时响应，并在接到甲方通知之日2日内完成修复或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提供的货物自验收合格之日起一个月内有质量问题由乙方负责包换，甲方享受一年的保修服务；保修期内，如需乙方维修的，乙方免收维修材料费和人工费。保修期满后，如需乙方维修的，则乙方根据损坏程度收取维修成本费；</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3.软件故障乙方应在24小时内进行远程或派人员现场协助解决。</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并完成安装调试（以下简称交付）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2.乙方违反询价文件及合同约定的售后服务承诺的，每次应向甲方承担1000元的违约金，并继续履行售后服务义务。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八、保密条款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乙方应当保护甲方车辆位置的隐私，不得以任何形式向第三方公开，、提供甲方车辆位置信息。</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5"/>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5"/>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6E706E"/>
    <w:multiLevelType w:val="singleLevel"/>
    <w:tmpl w:val="CA6E706E"/>
    <w:lvl w:ilvl="0" w:tentative="0">
      <w:start w:val="6"/>
      <w:numFmt w:val="chineseCounting"/>
      <w:suff w:val="nothing"/>
      <w:lvlText w:val="%1、"/>
      <w:lvlJc w:val="left"/>
      <w:rPr>
        <w:rFonts w:hint="eastAsia"/>
      </w:rPr>
    </w:lvl>
  </w:abstractNum>
  <w:abstractNum w:abstractNumId="2">
    <w:nsid w:val="D8698BF4"/>
    <w:multiLevelType w:val="singleLevel"/>
    <w:tmpl w:val="D8698BF4"/>
    <w:lvl w:ilvl="0" w:tentative="0">
      <w:start w:val="3"/>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73D388E"/>
    <w:multiLevelType w:val="singleLevel"/>
    <w:tmpl w:val="073D388E"/>
    <w:lvl w:ilvl="0" w:tentative="0">
      <w:start w:val="2"/>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62CA4"/>
    <w:rsid w:val="05F7300D"/>
    <w:rsid w:val="070317C9"/>
    <w:rsid w:val="1C4E6D8E"/>
    <w:rsid w:val="20AF45AF"/>
    <w:rsid w:val="20BD3FB9"/>
    <w:rsid w:val="219B21F0"/>
    <w:rsid w:val="231223A1"/>
    <w:rsid w:val="25361074"/>
    <w:rsid w:val="41A6026A"/>
    <w:rsid w:val="46334724"/>
    <w:rsid w:val="48762CA4"/>
    <w:rsid w:val="531B1ED8"/>
    <w:rsid w:val="60BD0047"/>
    <w:rsid w:val="61C728A0"/>
    <w:rsid w:val="7BAE2545"/>
    <w:rsid w:val="7BE04CFB"/>
    <w:rsid w:val="7E4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beforeLines="0" w:after="156" w:afterLines="0"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39"/>
    <w:pPr>
      <w:jc w:val="left"/>
    </w:pPr>
    <w:rPr>
      <w:b/>
      <w:caps/>
    </w:rPr>
  </w:style>
  <w:style w:type="paragraph" w:styleId="6">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6618</Words>
  <Characters>7213</Characters>
  <Lines>0</Lines>
  <Paragraphs>0</Paragraphs>
  <TotalTime>7</TotalTime>
  <ScaleCrop>false</ScaleCrop>
  <LinksUpToDate>false</LinksUpToDate>
  <CharactersWithSpaces>7702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2021-10-08T06:08:00Z</dcterms:created>
  <dc:creator>turning</dc:creator>
  <cp:lastModifiedBy>turning</cp:lastModifiedBy>
  <dcterms:modified xsi:type="dcterms:W3CDTF">2022-04-20T05:52:26Z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4489D0823A86423794E391B67FB1FD47</vt:lpwstr>
  </property>
</Properties>
</file>