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lang w:val="en-US" w:eastAsia="zh-CN"/>
        </w:rPr>
      </w:pPr>
      <w:r>
        <w:rPr>
          <w:rFonts w:hint="eastAsia" w:ascii="仿宋_GB2312" w:eastAsia="仿宋_GB2312"/>
          <w:sz w:val="72"/>
          <w:lang w:val="en-US" w:eastAsia="zh-CN"/>
        </w:rPr>
        <w:t xml:space="preserve"> </w:t>
      </w: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205006</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2022年临江公司环保设施取证服务采购项目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五</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杭州临江环境能源有限公司三固事业部因日常生产运营需要，需聘请第三方机构提供相关的专业服务</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1"/>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1.项目编号：20220500</w:t>
      </w:r>
      <w:r>
        <w:rPr>
          <w:rFonts w:hint="eastAsia" w:ascii="仿宋_GB2312" w:eastAsia="仿宋_GB2312" w:cs="Times New Roman"/>
          <w:b w:val="0"/>
          <w:caps w:val="0"/>
          <w:kern w:val="2"/>
          <w:sz w:val="30"/>
          <w:szCs w:val="30"/>
          <w:lang w:val="en-US" w:eastAsia="zh-CN" w:bidi="ar-SA"/>
        </w:rPr>
        <w:t>6</w:t>
      </w:r>
    </w:p>
    <w:p>
      <w:pPr>
        <w:pStyle w:val="11"/>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1"/>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3.本项目采购总金额限价为28万元。</w:t>
      </w:r>
    </w:p>
    <w:p>
      <w:pPr>
        <w:snapToGrid w:val="0"/>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ind w:firstLine="585"/>
        <w:jc w:val="left"/>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2.投标人营业执照经营范围须有环保咨询；</w:t>
      </w:r>
    </w:p>
    <w:p>
      <w:pPr>
        <w:snapToGrid w:val="0"/>
        <w:ind w:firstLine="585"/>
        <w:jc w:val="left"/>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3.投标人拟派项目负责人具有高级职称。</w:t>
      </w:r>
    </w:p>
    <w:p>
      <w:pPr>
        <w:snapToGrid w:val="0"/>
        <w:ind w:firstLine="585"/>
        <w:jc w:val="left"/>
        <w:rPr>
          <w:rFonts w:hint="eastAsia"/>
          <w:highlight w:val="none"/>
          <w:lang w:val="en-US" w:eastAsia="zh-CN"/>
        </w:rPr>
      </w:pPr>
      <w:r>
        <w:rPr>
          <w:rFonts w:hint="eastAsia" w:ascii="仿宋_GB2312" w:hAnsi="Times New Roman" w:eastAsia="仿宋_GB2312" w:cs="Times New Roman"/>
          <w:sz w:val="30"/>
          <w:szCs w:val="30"/>
          <w:highlight w:val="none"/>
          <w:lang w:val="en-US" w:eastAsia="zh-CN"/>
        </w:rPr>
        <w:t>4.投标人在2年内完成过①一个危废项目换证业绩；②一个突发环境事件应急预案修编业绩；（提供合同复印件，原件备查）</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6.投标人不得为临江环境能源有限公司不合格供应商或者在黑名单之内。</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7.投标单位负责人为同一人或者存在控股、管理关系的不同单位，不得同时参加本项目。  </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8.投标人须提供其股东信息及出资比例信息。</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9.本项目不接受联合体投标。</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10.投标保证金8000元，请投标人在投标截止前汇入以下账户并注明采购项目名称：</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单位名称：杭州临江环境能源有限公司</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账号：571911871110866</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开户行：招商银行杭州分行滨江支行</w:t>
      </w:r>
    </w:p>
    <w:p>
      <w:pPr>
        <w:snapToGrid w:val="0"/>
        <w:ind w:firstLine="585"/>
        <w:jc w:val="left"/>
        <w:rPr>
          <w:rFonts w:hint="eastAsia"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23</w:t>
      </w:r>
      <w:r>
        <w:rPr>
          <w:rFonts w:hint="eastAsia" w:ascii="仿宋_GB2312" w:eastAsia="仿宋_GB2312"/>
          <w:sz w:val="30"/>
          <w:szCs w:val="30"/>
          <w:highlight w:val="none"/>
        </w:rPr>
        <w:t>日</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四 、报价时间及地点。</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1.</w:t>
      </w:r>
      <w:r>
        <w:rPr>
          <w:rFonts w:hint="eastAsia" w:ascii="仿宋_GB2312" w:hAnsi="宋体" w:eastAsia="仿宋_GB2312" w:cs="Times New Roman"/>
          <w:color w:val="000000"/>
          <w:sz w:val="30"/>
          <w:szCs w:val="30"/>
          <w:highlight w:val="none"/>
          <w:shd w:val="clear" w:color="auto" w:fill="auto"/>
          <w:lang w:eastAsia="zh-CN"/>
        </w:rPr>
        <w:t>报价时间：202</w:t>
      </w: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年</w:t>
      </w:r>
      <w:r>
        <w:rPr>
          <w:rFonts w:hint="eastAsia" w:ascii="仿宋_GB2312" w:hAnsi="宋体" w:eastAsia="仿宋_GB2312" w:cs="Times New Roman"/>
          <w:color w:val="000000"/>
          <w:sz w:val="30"/>
          <w:szCs w:val="30"/>
          <w:highlight w:val="none"/>
          <w:shd w:val="clear" w:color="auto" w:fill="auto"/>
          <w:lang w:val="en-US" w:eastAsia="zh-CN"/>
        </w:rPr>
        <w:t>5</w:t>
      </w:r>
      <w:r>
        <w:rPr>
          <w:rFonts w:hint="eastAsia" w:ascii="仿宋_GB2312" w:hAnsi="宋体" w:eastAsia="仿宋_GB2312" w:cs="Times New Roman"/>
          <w:color w:val="000000"/>
          <w:sz w:val="30"/>
          <w:szCs w:val="30"/>
          <w:highlight w:val="none"/>
          <w:shd w:val="clear" w:color="auto" w:fill="auto"/>
          <w:lang w:eastAsia="zh-CN"/>
        </w:rPr>
        <w:t>月</w:t>
      </w:r>
      <w:r>
        <w:rPr>
          <w:rFonts w:hint="eastAsia" w:ascii="仿宋_GB2312" w:hAnsi="宋体" w:eastAsia="仿宋_GB2312" w:cs="Times New Roman"/>
          <w:color w:val="000000"/>
          <w:sz w:val="30"/>
          <w:szCs w:val="30"/>
          <w:highlight w:val="none"/>
          <w:shd w:val="clear" w:color="auto" w:fill="auto"/>
          <w:lang w:val="en-US" w:eastAsia="zh-CN"/>
        </w:rPr>
        <w:t>24</w:t>
      </w:r>
      <w:r>
        <w:rPr>
          <w:rFonts w:hint="eastAsia" w:ascii="仿宋_GB2312" w:hAnsi="宋体" w:eastAsia="仿宋_GB2312" w:cs="Times New Roman"/>
          <w:color w:val="000000"/>
          <w:sz w:val="30"/>
          <w:szCs w:val="30"/>
          <w:highlight w:val="none"/>
          <w:shd w:val="clear" w:color="auto" w:fill="auto"/>
          <w:lang w:eastAsia="zh-CN"/>
        </w:rPr>
        <w:t>日10:</w:t>
      </w:r>
      <w:r>
        <w:rPr>
          <w:rFonts w:hint="eastAsia" w:ascii="仿宋_GB2312" w:hAnsi="宋体" w:eastAsia="仿宋_GB2312" w:cs="Times New Roman"/>
          <w:color w:val="000000"/>
          <w:sz w:val="30"/>
          <w:szCs w:val="30"/>
          <w:highlight w:val="none"/>
          <w:shd w:val="clear" w:color="auto" w:fill="auto"/>
          <w:lang w:val="en-US" w:eastAsia="zh-CN"/>
        </w:rPr>
        <w:t>3</w:t>
      </w:r>
      <w:r>
        <w:rPr>
          <w:rFonts w:hint="eastAsia" w:ascii="仿宋_GB2312" w:hAnsi="宋体" w:eastAsia="仿宋_GB2312" w:cs="Times New Roman"/>
          <w:color w:val="000000"/>
          <w:sz w:val="30"/>
          <w:szCs w:val="30"/>
          <w:highlight w:val="none"/>
          <w:shd w:val="clear" w:color="auto" w:fill="auto"/>
          <w:lang w:eastAsia="zh-CN"/>
        </w:rPr>
        <w:t>0。</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报价地点：杭州临江环境能源有限公司（杭州市钱塘区红十五线与观十五线交叉口）。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五、报价文件的提交</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根据杭州市公共资源交易中心发布的《关于疫情期间综合交易（国企）类项目试行“不见面”交易通知》，现对报价文件递交作以下要求：</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1.报价文件递交：考虑目前疫情形势，本次采购项目采用邮寄（快递）递交方式，暂不接受现场递交。供应商在报价文件寄出后，应将邮寄信息及时反馈给采购人收件人。</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 xml:space="preserve">邮寄地址：杭州市钱塘区临江街道红十五线与观十五线交叉口杭州临江环境能源有限公司科研楼投资发展部    庄工   15265125337 </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3.报价文件邮递递交截止时间：以邮寄签收时间为准，因邮寄原因导致报价文件不能如期送达等风险由供应商自行承担。</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六</w:t>
      </w:r>
      <w:r>
        <w:rPr>
          <w:rFonts w:hint="eastAsia" w:ascii="仿宋_GB2312" w:hAnsi="Times New Roman" w:eastAsia="仿宋_GB2312" w:cs="Times New Roman"/>
          <w:sz w:val="30"/>
          <w:szCs w:val="30"/>
          <w:highlight w:val="none"/>
        </w:rPr>
        <w:t>、质疑。</w:t>
      </w:r>
    </w:p>
    <w:p>
      <w:pPr>
        <w:snapToGrid w:val="0"/>
        <w:ind w:firstLine="585"/>
        <w:jc w:val="left"/>
        <w:rPr>
          <w:rFonts w:hint="eastAsia"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七</w:t>
      </w:r>
      <w:r>
        <w:rPr>
          <w:rFonts w:hint="eastAsia" w:ascii="仿宋_GB2312" w:eastAsia="仿宋_GB2312"/>
          <w:sz w:val="30"/>
          <w:szCs w:val="30"/>
          <w:highlight w:val="none"/>
        </w:rPr>
        <w:t>、联系人：</w:t>
      </w:r>
      <w:r>
        <w:rPr>
          <w:rFonts w:hint="eastAsia" w:ascii="仿宋_GB2312" w:hAnsi="宋体" w:eastAsia="仿宋_GB2312" w:cs="Times New Roman"/>
          <w:color w:val="000000"/>
          <w:sz w:val="30"/>
          <w:szCs w:val="30"/>
          <w:highlight w:val="none"/>
          <w:shd w:val="clear" w:color="auto" w:fill="auto"/>
          <w:lang w:val="en-US" w:eastAsia="zh-CN"/>
        </w:rPr>
        <w:t>庄工</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联系电话：</w:t>
      </w:r>
      <w:r>
        <w:rPr>
          <w:rFonts w:hint="eastAsia" w:ascii="仿宋_GB2312" w:hAnsi="宋体" w:eastAsia="仿宋_GB2312" w:cs="Times New Roman"/>
          <w:color w:val="000000"/>
          <w:sz w:val="30"/>
          <w:szCs w:val="30"/>
          <w:highlight w:val="none"/>
          <w:shd w:val="clear" w:color="auto" w:fill="auto"/>
          <w:lang w:val="en-US" w:eastAsia="zh-CN"/>
        </w:rPr>
        <w:t>15265125337</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八、监督部门：临江公司监察审计部</w:t>
      </w:r>
    </w:p>
    <w:p>
      <w:pPr>
        <w:pStyle w:val="2"/>
        <w:rPr>
          <w:rFonts w:hint="default"/>
          <w:sz w:val="30"/>
          <w:szCs w:val="30"/>
          <w:lang w:val="en-US" w:eastAsia="zh-CN"/>
        </w:rPr>
      </w:pPr>
      <w:r>
        <w:rPr>
          <w:rFonts w:hint="eastAsia" w:ascii="仿宋_GB2312" w:eastAsia="仿宋_GB2312"/>
          <w:sz w:val="30"/>
          <w:szCs w:val="30"/>
          <w:lang w:val="en-US" w:eastAsia="zh-CN"/>
        </w:rPr>
        <w:t xml:space="preserve">    联系人：范波                  联系电话：13867172350</w:t>
      </w:r>
    </w:p>
    <w:p>
      <w:pPr>
        <w:snapToGrid w:val="0"/>
        <w:ind w:firstLine="600" w:firstLineChars="200"/>
        <w:jc w:val="left"/>
        <w:rPr>
          <w:rFonts w:hint="eastAsia" w:ascii="仿宋_GB2312" w:eastAsia="仿宋_GB2312"/>
          <w:sz w:val="30"/>
          <w:szCs w:val="30"/>
        </w:rPr>
      </w:pPr>
    </w:p>
    <w:p>
      <w:pPr>
        <w:snapToGrid w:val="0"/>
        <w:ind w:firstLine="600" w:firstLineChars="200"/>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center"/>
        <w:rPr>
          <w:rFonts w:ascii="仿宋_GB2312" w:eastAsia="仿宋_GB2312"/>
          <w:snapToGrid w:val="0"/>
          <w:sz w:val="24"/>
          <w:szCs w:val="24"/>
        </w:rPr>
      </w:pPr>
      <w:r>
        <w:rPr>
          <w:rFonts w:hint="eastAsia" w:ascii="仿宋_GB2312" w:eastAsia="仿宋_GB2312"/>
          <w:sz w:val="30"/>
          <w:szCs w:val="30"/>
          <w:lang w:val="en-US" w:eastAsia="zh-CN"/>
        </w:rPr>
        <w:t xml:space="preserve">                                         </w:t>
      </w:r>
      <w:r>
        <w:rPr>
          <w:rFonts w:hint="eastAsia" w:ascii="仿宋_GB2312" w:eastAsia="仿宋_GB2312"/>
          <w:sz w:val="30"/>
          <w:szCs w:val="30"/>
        </w:rPr>
        <w:t>20</w:t>
      </w:r>
      <w:r>
        <w:rPr>
          <w:rFonts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20</w:t>
      </w:r>
      <w:r>
        <w:rPr>
          <w:rFonts w:hint="eastAsia" w:ascii="仿宋_GB2312" w:eastAsia="仿宋_GB2312"/>
          <w:sz w:val="30"/>
          <w:szCs w:val="30"/>
          <w:highlight w:val="none"/>
        </w:rPr>
        <w:t>日</w:t>
      </w: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（一）“采购人”系指杭州临江环境</w:t>
      </w:r>
      <w:r>
        <w:rPr>
          <w:rFonts w:ascii="仿宋_GB2312" w:hAnsi="宋体" w:eastAsia="仿宋_GB2312"/>
          <w:sz w:val="30"/>
          <w:szCs w:val="30"/>
        </w:rPr>
        <w:t>能源</w:t>
      </w:r>
      <w:r>
        <w:rPr>
          <w:rFonts w:hint="eastAsia" w:ascii="仿宋_GB2312" w:hAnsi="宋体" w:eastAsia="仿宋_GB2312"/>
          <w:sz w:val="30"/>
          <w:szCs w:val="30"/>
        </w:rPr>
        <w:t>有限公司。</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hint="eastAsia"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四</w:t>
      </w:r>
      <w:r>
        <w:rPr>
          <w:rFonts w:hint="eastAsia" w:ascii="仿宋_GB2312" w:eastAsia="仿宋_GB2312"/>
          <w:sz w:val="30"/>
          <w:szCs w:val="30"/>
        </w:rPr>
        <w:t>、报价有效期。</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（二）特殊情况下，采购人可与供应商协商延缓报价有效期，这种要求和答复均以书面形式进行。在这种情况下，保证金的有效期也相应延长。</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（三）供应商可拒绝接受延期要求而不会导致保证金被没收，同意延长有效期的供应商不能修改报价文件。</w:t>
      </w:r>
    </w:p>
    <w:p>
      <w:pPr>
        <w:snapToGrid w:val="0"/>
        <w:ind w:firstLine="600" w:firstLineChars="200"/>
        <w:jc w:val="left"/>
        <w:rPr>
          <w:rFonts w:hint="eastAsia" w:ascii="仿宋_GB2312" w:eastAsia="仿宋_GB2312"/>
          <w:bCs/>
          <w:sz w:val="30"/>
          <w:szCs w:val="30"/>
        </w:rPr>
      </w:pPr>
      <w:r>
        <w:rPr>
          <w:rFonts w:hint="eastAsia" w:ascii="仿宋_GB2312" w:eastAsia="仿宋_GB2312"/>
          <w:bCs/>
          <w:sz w:val="30"/>
          <w:szCs w:val="30"/>
          <w:lang w:eastAsia="zh-CN"/>
        </w:rPr>
        <w:t>五</w:t>
      </w:r>
      <w:r>
        <w:rPr>
          <w:rFonts w:hint="eastAsia" w:ascii="仿宋_GB2312" w:eastAsia="仿宋_GB2312"/>
          <w:bCs/>
          <w:sz w:val="30"/>
          <w:szCs w:val="30"/>
        </w:rPr>
        <w:t>、报价文件的组成。</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1.报价文件封面（附件一）；</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2.法定代表人授权书（附件二）；</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eastAsia="仿宋_GB2312"/>
          <w:bCs/>
          <w:sz w:val="30"/>
          <w:szCs w:val="30"/>
        </w:rPr>
        <w:t>3</w:t>
      </w:r>
      <w:r>
        <w:rPr>
          <w:rFonts w:hint="eastAsia" w:ascii="仿宋_GB2312" w:hAnsi="Times New Roman" w:eastAsia="仿宋_GB2312" w:cs="Times New Roman"/>
          <w:bCs/>
          <w:sz w:val="30"/>
          <w:szCs w:val="30"/>
        </w:rPr>
        <w:t>.报价一览表（附件三）；</w:t>
      </w:r>
    </w:p>
    <w:p>
      <w:pPr>
        <w:snapToGrid w:val="0"/>
        <w:ind w:firstLine="576" w:firstLineChars="192"/>
        <w:jc w:val="left"/>
        <w:rPr>
          <w:rFonts w:hint="default" w:ascii="仿宋_GB2312" w:hAnsi="Times New Roman" w:eastAsia="仿宋_GB2312" w:cs="Times New Roman"/>
          <w:bCs/>
          <w:sz w:val="30"/>
          <w:szCs w:val="30"/>
          <w:lang w:val="en-US" w:eastAsia="zh-CN"/>
        </w:rPr>
      </w:pPr>
      <w:r>
        <w:rPr>
          <w:rFonts w:hint="eastAsia" w:ascii="仿宋_GB2312" w:hAnsi="Times New Roman" w:eastAsia="仿宋_GB2312" w:cs="Times New Roman"/>
          <w:bCs/>
          <w:sz w:val="30"/>
          <w:szCs w:val="30"/>
          <w:lang w:val="en-US" w:eastAsia="zh-CN"/>
        </w:rPr>
        <w:t>4.投标人基本情况表、负责人情况表（附件四）</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5.股权信息及出资比例信息（附件五）</w:t>
      </w:r>
      <w:r>
        <w:rPr>
          <w:rFonts w:hint="eastAsia" w:ascii="仿宋_GB2312" w:hAnsi="Times New Roman" w:eastAsia="仿宋_GB2312" w:cs="Times New Roman"/>
          <w:bCs/>
          <w:sz w:val="30"/>
          <w:szCs w:val="30"/>
        </w:rPr>
        <w:t>；</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6</w:t>
      </w:r>
      <w:r>
        <w:rPr>
          <w:rFonts w:hint="eastAsia" w:ascii="仿宋_GB2312" w:hAnsi="Times New Roman" w:eastAsia="仿宋_GB2312" w:cs="Times New Roman"/>
          <w:bCs/>
          <w:sz w:val="30"/>
          <w:szCs w:val="30"/>
        </w:rPr>
        <w:t>.有效资质证明并加盖公章：通过年检的营业执照复印件。</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7.投标保证金银行汇款单复印件</w:t>
      </w:r>
    </w:p>
    <w:p>
      <w:pPr>
        <w:snapToGrid w:val="0"/>
        <w:ind w:firstLine="576" w:firstLineChars="192"/>
        <w:jc w:val="left"/>
        <w:rPr>
          <w:rFonts w:hint="eastAsia" w:ascii="仿宋_GB2312" w:eastAsia="仿宋_GB2312"/>
          <w:bCs/>
          <w:sz w:val="30"/>
          <w:szCs w:val="30"/>
        </w:rPr>
      </w:pPr>
      <w:r>
        <w:rPr>
          <w:rFonts w:hint="eastAsia" w:ascii="仿宋_GB2312" w:hAnsi="Times New Roman" w:eastAsia="仿宋_GB2312" w:cs="Times New Roman"/>
          <w:bCs/>
          <w:sz w:val="30"/>
          <w:szCs w:val="30"/>
        </w:rPr>
        <w:t>报价文件装订密封，并在封皮上注明：</w:t>
      </w:r>
      <w:r>
        <w:rPr>
          <w:rFonts w:hint="eastAsia" w:ascii="仿宋_GB2312" w:eastAsia="仿宋_GB2312"/>
          <w:bCs/>
          <w:sz w:val="30"/>
          <w:szCs w:val="30"/>
        </w:rPr>
        <w:t>采购项目名称、采购项目编号、报价单位名称、</w:t>
      </w:r>
      <w:r>
        <w:rPr>
          <w:rFonts w:hint="eastAsia" w:ascii="仿宋_GB2312" w:eastAsia="仿宋_GB2312"/>
          <w:bCs/>
          <w:sz w:val="30"/>
          <w:szCs w:val="30"/>
          <w:lang w:val="en-US" w:eastAsia="zh-CN"/>
        </w:rPr>
        <w:t>授权</w:t>
      </w:r>
      <w:r>
        <w:rPr>
          <w:rFonts w:hint="eastAsia" w:ascii="仿宋_GB2312" w:eastAsia="仿宋_GB2312"/>
          <w:bCs/>
          <w:sz w:val="30"/>
          <w:szCs w:val="30"/>
        </w:rPr>
        <w:t>代表姓名。</w:t>
      </w:r>
    </w:p>
    <w:p>
      <w:pPr>
        <w:snapToGrid w:val="0"/>
        <w:ind w:left="-178" w:leftChars="-85" w:firstLine="771" w:firstLineChars="257"/>
        <w:jc w:val="left"/>
        <w:rPr>
          <w:rFonts w:hint="eastAsia" w:ascii="仿宋_GB2312" w:eastAsia="仿宋_GB2312"/>
          <w:sz w:val="30"/>
          <w:szCs w:val="30"/>
        </w:rPr>
      </w:pPr>
      <w:r>
        <w:rPr>
          <w:rFonts w:hint="eastAsia" w:ascii="仿宋_GB2312" w:eastAsia="仿宋_GB2312"/>
          <w:bCs/>
          <w:sz w:val="30"/>
          <w:szCs w:val="30"/>
          <w:lang w:eastAsia="zh-CN"/>
        </w:rPr>
        <w:t>六</w:t>
      </w:r>
      <w:r>
        <w:rPr>
          <w:rFonts w:hint="eastAsia" w:ascii="仿宋_GB2312" w:eastAsia="仿宋_GB2312"/>
          <w:bCs/>
          <w:sz w:val="30"/>
          <w:szCs w:val="30"/>
        </w:rPr>
        <w:t>、报价文件的签署和份</w:t>
      </w:r>
      <w:r>
        <w:rPr>
          <w:rFonts w:hint="eastAsia" w:ascii="仿宋_GB2312" w:eastAsia="仿宋_GB2312"/>
          <w:sz w:val="30"/>
          <w:szCs w:val="30"/>
        </w:rPr>
        <w:t>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val="en-US" w:eastAsia="zh-CN"/>
        </w:rPr>
        <w:t>授权</w:t>
      </w:r>
      <w:r>
        <w:rPr>
          <w:rFonts w:hint="eastAsia" w:ascii="仿宋_GB2312" w:eastAsia="仿宋_GB2312"/>
          <w:sz w:val="30"/>
          <w:szCs w:val="30"/>
        </w:rPr>
        <w:t>代表签署，供应商单位应写全称。</w:t>
      </w:r>
    </w:p>
    <w:p>
      <w:pPr>
        <w:snapToGrid w:val="0"/>
        <w:ind w:firstLine="615" w:firstLineChars="205"/>
        <w:jc w:val="left"/>
        <w:rPr>
          <w:rFonts w:hint="eastAsia"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hint="eastAsia" w:ascii="仿宋_GB2312" w:eastAsia="仿宋_GB2312"/>
          <w:sz w:val="30"/>
          <w:szCs w:val="30"/>
        </w:rPr>
      </w:pPr>
      <w:r>
        <w:rPr>
          <w:rFonts w:hint="eastAsia" w:ascii="仿宋_GB2312" w:eastAsia="仿宋_GB2312"/>
          <w:sz w:val="30"/>
          <w:szCs w:val="30"/>
          <w:lang w:eastAsia="zh-CN"/>
        </w:rPr>
        <w:t>七</w:t>
      </w:r>
      <w:r>
        <w:rPr>
          <w:rFonts w:hint="eastAsia" w:ascii="仿宋_GB2312" w:eastAsia="仿宋_GB2312"/>
          <w:sz w:val="30"/>
          <w:szCs w:val="30"/>
        </w:rPr>
        <w:t>、报价文件的递交。</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（四）未按规定缴纳保证金的。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（五）供应商法定代表人或</w:t>
      </w:r>
      <w:r>
        <w:rPr>
          <w:rFonts w:hint="eastAsia" w:ascii="仿宋_GB2312" w:eastAsia="仿宋_GB2312"/>
          <w:sz w:val="30"/>
          <w:szCs w:val="30"/>
          <w:lang w:val="en-US" w:eastAsia="zh-CN"/>
        </w:rPr>
        <w:t>授权</w:t>
      </w:r>
      <w:r>
        <w:rPr>
          <w:rFonts w:hint="eastAsia" w:ascii="仿宋_GB2312" w:eastAsia="仿宋_GB2312"/>
          <w:sz w:val="30"/>
          <w:szCs w:val="30"/>
        </w:rPr>
        <w:t>代表未到询价报价现场或不能提供相应身份证明的。</w:t>
      </w:r>
    </w:p>
    <w:p>
      <w:pPr>
        <w:snapToGrid w:val="0"/>
        <w:jc w:val="left"/>
        <w:rPr>
          <w:rFonts w:hint="eastAsia" w:ascii="仿宋_GB2312" w:eastAsia="仿宋_GB2312"/>
          <w:sz w:val="30"/>
          <w:szCs w:val="30"/>
        </w:rPr>
      </w:pPr>
      <w:r>
        <w:rPr>
          <w:rFonts w:hint="eastAsia" w:ascii="仿宋_GB2312" w:eastAsia="仿宋_GB2312"/>
          <w:sz w:val="30"/>
          <w:szCs w:val="30"/>
        </w:rPr>
        <w:t xml:space="preserve">    （六）报价超过最高限价的。</w:t>
      </w:r>
    </w:p>
    <w:p>
      <w:pPr>
        <w:snapToGrid w:val="0"/>
        <w:jc w:val="left"/>
        <w:rPr>
          <w:rFonts w:hint="eastAsia" w:ascii="仿宋_GB2312" w:eastAsia="仿宋_GB2312"/>
          <w:sz w:val="30"/>
          <w:szCs w:val="30"/>
        </w:rPr>
      </w:pPr>
      <w:r>
        <w:rPr>
          <w:rFonts w:hint="eastAsia" w:ascii="仿宋_GB2312" w:eastAsia="仿宋_GB2312"/>
          <w:sz w:val="30"/>
          <w:szCs w:val="30"/>
        </w:rPr>
        <w:t xml:space="preserve">    （七）所提供的资料存在弄虚作假的。</w:t>
      </w:r>
    </w:p>
    <w:p>
      <w:pPr>
        <w:snapToGrid w:val="0"/>
        <w:jc w:val="left"/>
        <w:rPr>
          <w:rFonts w:hint="eastAsia" w:ascii="仿宋_GB2312" w:eastAsia="仿宋_GB2312"/>
          <w:b/>
          <w:sz w:val="30"/>
          <w:szCs w:val="30"/>
        </w:rPr>
      </w:pPr>
      <w:r>
        <w:rPr>
          <w:rFonts w:hint="eastAsia" w:ascii="仿宋_GB2312" w:eastAsia="仿宋_GB2312"/>
          <w:sz w:val="30"/>
          <w:szCs w:val="30"/>
        </w:rPr>
        <w:t xml:space="preserve">    （八）不符合法律、法规和本询价文件规定的其他要求的。</w:t>
      </w:r>
    </w:p>
    <w:p>
      <w:pPr>
        <w:snapToGrid w:val="0"/>
        <w:ind w:right="-176" w:rightChars="-84"/>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snapToGrid w:val="0"/>
        <w:jc w:val="left"/>
        <w:rPr>
          <w:rFonts w:hint="eastAsia" w:ascii="仿宋_GB2312" w:eastAsia="仿宋_GB2312"/>
          <w:sz w:val="30"/>
          <w:szCs w:val="30"/>
        </w:rPr>
      </w:pPr>
      <w:r>
        <w:rPr>
          <w:rFonts w:hint="eastAsia" w:ascii="仿宋_GB2312" w:eastAsia="仿宋_GB2312"/>
          <w:sz w:val="30"/>
          <w:szCs w:val="30"/>
        </w:rPr>
        <w:t xml:space="preserve">    （一）采购人组织3人组成询价评审小组。</w:t>
      </w:r>
    </w:p>
    <w:p>
      <w:pPr>
        <w:snapToGrid w:val="0"/>
        <w:jc w:val="left"/>
        <w:rPr>
          <w:rFonts w:hint="eastAsia" w:ascii="仿宋_GB2312" w:eastAsia="仿宋_GB2312"/>
          <w:sz w:val="30"/>
          <w:szCs w:val="30"/>
        </w:rPr>
      </w:pPr>
      <w:r>
        <w:rPr>
          <w:rFonts w:hint="eastAsia" w:ascii="仿宋_GB2312" w:eastAsia="仿宋_GB2312"/>
          <w:sz w:val="30"/>
          <w:szCs w:val="30"/>
        </w:rPr>
        <w:t xml:space="preserve">    （二）采购人在询价文件规定的时间和地点公开询价。供应商的法定代表人或</w:t>
      </w:r>
      <w:r>
        <w:rPr>
          <w:rFonts w:hint="eastAsia" w:ascii="仿宋_GB2312" w:eastAsia="仿宋_GB2312"/>
          <w:sz w:val="30"/>
          <w:szCs w:val="30"/>
          <w:lang w:val="en-US" w:eastAsia="zh-CN"/>
        </w:rPr>
        <w:t>授权</w:t>
      </w:r>
      <w:r>
        <w:rPr>
          <w:rFonts w:hint="eastAsia" w:ascii="仿宋_GB2312" w:eastAsia="仿宋_GB2312"/>
          <w:sz w:val="30"/>
          <w:szCs w:val="30"/>
        </w:rPr>
        <w:t>代表必须参加，负责解答有关事宜，并携带身份证。</w:t>
      </w:r>
    </w:p>
    <w:p>
      <w:pPr>
        <w:snapToGrid w:val="0"/>
        <w:jc w:val="left"/>
        <w:rPr>
          <w:rFonts w:hint="eastAsia" w:ascii="仿宋_GB2312" w:eastAsia="仿宋_GB2312"/>
          <w:sz w:val="30"/>
          <w:szCs w:val="30"/>
        </w:rPr>
      </w:pPr>
      <w:r>
        <w:rPr>
          <w:rFonts w:hint="eastAsia" w:ascii="仿宋_GB2312" w:eastAsia="仿宋_GB2312"/>
          <w:sz w:val="30"/>
          <w:szCs w:val="30"/>
        </w:rPr>
        <w:t>　　（三）询价时，采购人将查验报价文件密封情况，确认无误后公开拆封报价文件报价。</w:t>
      </w:r>
    </w:p>
    <w:p>
      <w:pPr>
        <w:snapToGrid w:val="0"/>
        <w:ind w:right="-176" w:rightChars="-84"/>
        <w:rPr>
          <w:rFonts w:hint="eastAsia"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（二）采购人不向未成交供应商人解释未成交原因，不退还报价文件。</w:t>
      </w:r>
    </w:p>
    <w:p>
      <w:pPr>
        <w:pStyle w:val="21"/>
        <w:widowControl w:val="0"/>
        <w:snapToGrid w:val="0"/>
        <w:spacing w:line="240" w:lineRule="auto"/>
        <w:ind w:firstLine="601"/>
        <w:rPr>
          <w:rFonts w:hint="eastAsia"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10个工作日内与采购人</w:t>
      </w:r>
      <w:r>
        <w:rPr>
          <w:rFonts w:hint="eastAsia" w:ascii="仿宋_GB2312" w:eastAsia="仿宋_GB2312"/>
          <w:sz w:val="30"/>
          <w:szCs w:val="30"/>
          <w:highlight w:val="none"/>
        </w:rPr>
        <w:t>签订采购合同</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签约</w:t>
      </w:r>
      <w:r>
        <w:rPr>
          <w:rFonts w:hint="eastAsia" w:ascii="仿宋_GB2312" w:eastAsia="仿宋_GB2312"/>
          <w:sz w:val="30"/>
          <w:szCs w:val="30"/>
        </w:rPr>
        <w:t>单位为杭州临江环境</w:t>
      </w:r>
      <w:r>
        <w:rPr>
          <w:rFonts w:ascii="仿宋_GB2312" w:eastAsia="仿宋_GB2312"/>
          <w:sz w:val="30"/>
          <w:szCs w:val="30"/>
        </w:rPr>
        <w:t>能源</w:t>
      </w:r>
      <w:r>
        <w:rPr>
          <w:rFonts w:hint="eastAsia" w:ascii="仿宋_GB2312" w:eastAsia="仿宋_GB2312"/>
          <w:sz w:val="30"/>
          <w:szCs w:val="30"/>
        </w:rPr>
        <w:t>有限公司。</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（二）履约保证金：合同签订的同时，成交供应商应支付相当于合同总价</w:t>
      </w:r>
      <w:r>
        <w:rPr>
          <w:rFonts w:hint="eastAsia" w:ascii="仿宋_GB2312" w:eastAsia="仿宋_GB2312"/>
          <w:sz w:val="30"/>
          <w:szCs w:val="30"/>
          <w:lang w:val="en-US" w:eastAsia="zh-CN"/>
        </w:rPr>
        <w:t>5</w:t>
      </w:r>
      <w:r>
        <w:rPr>
          <w:rFonts w:hint="eastAsia" w:ascii="仿宋_GB2312" w:eastAsia="仿宋_GB2312"/>
          <w:sz w:val="30"/>
          <w:szCs w:val="30"/>
        </w:rPr>
        <w:t>%的履约保证金。合同到期按合同规定时间内，履约保证金原额退还。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十二、</w:t>
      </w: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lang w:val="en-US" w:eastAsia="zh-CN"/>
        </w:rPr>
      </w:pPr>
      <w:r>
        <w:rPr>
          <w:rFonts w:hint="eastAsia" w:ascii="仿宋_GB2312" w:eastAsia="仿宋_GB2312"/>
          <w:sz w:val="30"/>
          <w:szCs w:val="30"/>
        </w:rPr>
        <w:t>（4）法律、法规规定的其他情形。</w:t>
      </w:r>
    </w:p>
    <w:p>
      <w:pPr>
        <w:snapToGrid w:val="0"/>
        <w:ind w:firstLine="615" w:firstLineChars="205"/>
        <w:jc w:val="left"/>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r>
        <w:rPr>
          <w:rFonts w:hint="eastAsia" w:ascii="仿宋_GB2312" w:eastAsia="仿宋_GB2312"/>
          <w:color w:val="auto"/>
          <w:sz w:val="30"/>
          <w:szCs w:val="30"/>
          <w:highlight w:val="none"/>
          <w:lang w:eastAsia="zh-CN"/>
        </w:rPr>
        <w:t>两年不得参加公司采购活动。</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hint="eastAsia" w:ascii="仿宋_GB2312" w:eastAsia="仿宋_GB2312"/>
          <w:sz w:val="24"/>
          <w:szCs w:val="24"/>
        </w:rPr>
      </w:pPr>
      <w:r>
        <w:rPr>
          <w:rFonts w:hint="eastAsia" w:ascii="仿宋_GB2312" w:eastAsia="仿宋_GB2312"/>
          <w:sz w:val="30"/>
          <w:szCs w:val="30"/>
        </w:rPr>
        <w:t>（三）凡涉及本次询价的解释权均属于杭州临江环境</w:t>
      </w:r>
      <w:r>
        <w:rPr>
          <w:rFonts w:ascii="仿宋_GB2312" w:eastAsia="仿宋_GB2312"/>
          <w:sz w:val="30"/>
          <w:szCs w:val="30"/>
        </w:rPr>
        <w:t>能源</w:t>
      </w:r>
      <w:r>
        <w:rPr>
          <w:rFonts w:hint="eastAsia" w:ascii="仿宋_GB2312" w:eastAsia="仿宋_GB2312"/>
          <w:sz w:val="30"/>
          <w:szCs w:val="30"/>
        </w:rPr>
        <w:t>有限公司。</w:t>
      </w:r>
    </w:p>
    <w:p>
      <w:pPr>
        <w:pStyle w:val="4"/>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2"/>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pStyle w:val="12"/>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本项目属于杭州市第三固废处置中心一期项目的补充，（柔性填埋厂扩建及刚性填埋场建设项目）主要生产设施中，填埋场是杭州三固一期项目服务年限的延续，处理规模与一期项目一致，进入安全填埋场填埋的危险废物总量为62900t/a，其中进入刚性填埋场的危险废物量暂按5000t/a计，进入柔性填埋场的危险废物量按57900t/a计；折算为平均日处理废物约190.6t/d，其中刚性填埋场容重1.25t/m</w:t>
      </w:r>
      <w:r>
        <w:rPr>
          <w:rFonts w:hint="eastAsia" w:ascii="仿宋_GB2312" w:hAnsi="Times New Roman" w:eastAsia="仿宋_GB2312" w:cs="Times New Roman"/>
          <w:b w:val="0"/>
          <w:bCs w:val="0"/>
          <w:color w:val="auto"/>
          <w:kern w:val="2"/>
          <w:sz w:val="30"/>
          <w:szCs w:val="30"/>
          <w:u w:color="000000"/>
          <w:vertAlign w:val="superscript"/>
          <w:lang w:val="en-US" w:eastAsia="zh-CN" w:bidi="ar-SA"/>
        </w:rPr>
        <w:t>3</w:t>
      </w:r>
      <w:r>
        <w:rPr>
          <w:rFonts w:hint="eastAsia" w:ascii="仿宋_GB2312" w:hAnsi="Times New Roman" w:eastAsia="仿宋_GB2312" w:cs="Times New Roman"/>
          <w:b w:val="0"/>
          <w:bCs w:val="0"/>
          <w:color w:val="auto"/>
          <w:kern w:val="2"/>
          <w:sz w:val="30"/>
          <w:szCs w:val="30"/>
          <w:u w:color="000000"/>
          <w:lang w:val="en-US" w:eastAsia="zh-CN" w:bidi="ar-SA"/>
        </w:rPr>
        <w:t>，柔性填埋场1.5 t/m</w:t>
      </w:r>
      <w:r>
        <w:rPr>
          <w:rFonts w:hint="eastAsia" w:ascii="仿宋_GB2312" w:hAnsi="Times New Roman" w:eastAsia="仿宋_GB2312" w:cs="Times New Roman"/>
          <w:b w:val="0"/>
          <w:bCs w:val="0"/>
          <w:color w:val="auto"/>
          <w:kern w:val="2"/>
          <w:sz w:val="30"/>
          <w:szCs w:val="30"/>
          <w:u w:color="000000"/>
          <w:vertAlign w:val="superscript"/>
          <w:lang w:val="en-US" w:eastAsia="zh-CN" w:bidi="ar-SA"/>
        </w:rPr>
        <w:t>3</w:t>
      </w:r>
      <w:r>
        <w:rPr>
          <w:rFonts w:hint="eastAsia" w:ascii="仿宋_GB2312" w:hAnsi="Times New Roman" w:eastAsia="仿宋_GB2312" w:cs="Times New Roman"/>
          <w:b w:val="0"/>
          <w:bCs w:val="0"/>
          <w:color w:val="auto"/>
          <w:kern w:val="2"/>
          <w:sz w:val="30"/>
          <w:szCs w:val="30"/>
          <w:u w:color="000000"/>
          <w:lang w:val="en-US" w:eastAsia="zh-CN" w:bidi="ar-SA"/>
        </w:rPr>
        <w:t>，即每天处理废物体积约为129.1m³/d。 柔性填埋场二期总库容约为44万m</w:t>
      </w:r>
      <w:r>
        <w:rPr>
          <w:rFonts w:hint="eastAsia" w:ascii="仿宋_GB2312" w:hAnsi="Times New Roman" w:eastAsia="仿宋_GB2312" w:cs="Times New Roman"/>
          <w:b w:val="0"/>
          <w:bCs w:val="0"/>
          <w:color w:val="auto"/>
          <w:kern w:val="2"/>
          <w:sz w:val="30"/>
          <w:szCs w:val="30"/>
          <w:u w:color="000000"/>
          <w:vertAlign w:val="superscript"/>
          <w:lang w:val="en-US" w:eastAsia="zh-CN" w:bidi="ar-SA"/>
        </w:rPr>
        <w:t>3</w:t>
      </w:r>
      <w:r>
        <w:rPr>
          <w:rFonts w:hint="eastAsia" w:ascii="仿宋_GB2312" w:hAnsi="Times New Roman" w:eastAsia="仿宋_GB2312" w:cs="Times New Roman"/>
          <w:b w:val="0"/>
          <w:bCs w:val="0"/>
          <w:color w:val="auto"/>
          <w:kern w:val="2"/>
          <w:sz w:val="30"/>
          <w:szCs w:val="30"/>
          <w:u w:color="000000"/>
          <w:lang w:val="en-US" w:eastAsia="zh-CN" w:bidi="ar-SA"/>
        </w:rPr>
        <w:t>，有效库容约38.0万m</w:t>
      </w:r>
      <w:r>
        <w:rPr>
          <w:rFonts w:hint="eastAsia" w:ascii="仿宋_GB2312" w:hAnsi="Times New Roman" w:eastAsia="仿宋_GB2312" w:cs="Times New Roman"/>
          <w:b w:val="0"/>
          <w:bCs w:val="0"/>
          <w:color w:val="auto"/>
          <w:kern w:val="2"/>
          <w:sz w:val="30"/>
          <w:szCs w:val="30"/>
          <w:u w:color="000000"/>
          <w:vertAlign w:val="superscript"/>
          <w:lang w:val="en-US" w:eastAsia="zh-CN" w:bidi="ar-SA"/>
        </w:rPr>
        <w:t>3</w:t>
      </w:r>
      <w:r>
        <w:rPr>
          <w:rFonts w:hint="eastAsia" w:ascii="仿宋_GB2312" w:hAnsi="Times New Roman" w:eastAsia="仿宋_GB2312" w:cs="Times New Roman"/>
          <w:b w:val="0"/>
          <w:bCs w:val="0"/>
          <w:color w:val="auto"/>
          <w:kern w:val="2"/>
          <w:sz w:val="30"/>
          <w:szCs w:val="30"/>
          <w:u w:color="000000"/>
          <w:lang w:val="en-US" w:eastAsia="zh-CN" w:bidi="ar-SA"/>
        </w:rPr>
        <w:t>。 刚性填埋场（一期）总库容约1.375×10</w:t>
      </w:r>
      <w:r>
        <w:rPr>
          <w:rFonts w:hint="eastAsia" w:ascii="仿宋_GB2312" w:hAnsi="Times New Roman" w:eastAsia="仿宋_GB2312" w:cs="Times New Roman"/>
          <w:b w:val="0"/>
          <w:bCs w:val="0"/>
          <w:color w:val="auto"/>
          <w:kern w:val="2"/>
          <w:sz w:val="28"/>
          <w:szCs w:val="28"/>
          <w:u w:color="000000"/>
          <w:vertAlign w:val="superscript"/>
          <w:lang w:val="en-US" w:eastAsia="zh-CN" w:bidi="ar-SA"/>
        </w:rPr>
        <w:t>4</w:t>
      </w:r>
      <w:r>
        <w:rPr>
          <w:rFonts w:hint="eastAsia" w:ascii="仿宋_GB2312" w:hAnsi="Times New Roman" w:eastAsia="仿宋_GB2312" w:cs="Times New Roman"/>
          <w:b w:val="0"/>
          <w:bCs w:val="0"/>
          <w:color w:val="auto"/>
          <w:kern w:val="2"/>
          <w:sz w:val="30"/>
          <w:szCs w:val="30"/>
          <w:u w:color="000000"/>
          <w:lang w:val="en-US" w:eastAsia="zh-CN" w:bidi="ar-SA"/>
        </w:rPr>
        <w:t>m</w:t>
      </w:r>
      <w:r>
        <w:rPr>
          <w:rFonts w:hint="eastAsia" w:ascii="仿宋_GB2312" w:hAnsi="Times New Roman" w:eastAsia="仿宋_GB2312" w:cs="Times New Roman"/>
          <w:b w:val="0"/>
          <w:bCs w:val="0"/>
          <w:color w:val="auto"/>
          <w:kern w:val="2"/>
          <w:sz w:val="30"/>
          <w:szCs w:val="30"/>
          <w:u w:color="000000"/>
          <w:vertAlign w:val="superscript"/>
          <w:lang w:val="en-US" w:eastAsia="zh-CN" w:bidi="ar-SA"/>
        </w:rPr>
        <w:t>3</w:t>
      </w:r>
      <w:r>
        <w:rPr>
          <w:rFonts w:hint="eastAsia" w:ascii="仿宋_GB2312" w:hAnsi="Times New Roman" w:eastAsia="仿宋_GB2312" w:cs="Times New Roman"/>
          <w:b w:val="0"/>
          <w:bCs w:val="0"/>
          <w:color w:val="auto"/>
          <w:kern w:val="2"/>
          <w:sz w:val="30"/>
          <w:szCs w:val="30"/>
          <w:u w:color="000000"/>
          <w:lang w:val="en-US" w:eastAsia="zh-CN" w:bidi="ar-SA"/>
        </w:rPr>
        <w:t>。</w:t>
      </w:r>
    </w:p>
    <w:p>
      <w:pPr>
        <w:pStyle w:val="12"/>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10"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10"/>
      <w:r>
        <w:rPr>
          <w:rFonts w:hint="eastAsia" w:ascii="仿宋_GB2312" w:hAnsi="Times New Roman" w:eastAsia="仿宋_GB2312" w:cs="Times New Roman"/>
          <w:b w:val="0"/>
          <w:bCs w:val="0"/>
          <w:color w:val="auto"/>
          <w:kern w:val="2"/>
          <w:sz w:val="30"/>
          <w:szCs w:val="30"/>
          <w:u w:color="000000"/>
          <w:lang w:val="en-US" w:eastAsia="zh-CN" w:bidi="ar-SA"/>
        </w:rPr>
        <w:t>服务要求</w:t>
      </w:r>
    </w:p>
    <w:p>
      <w:pPr>
        <w:pStyle w:val="12"/>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（1）危险废物经营许可核查前期工作（出具核查取证工作计划表，组织危险废物经营核查相关工作）同步进行排污许可证变更、突发环境应急预案修编评审备案；</w:t>
      </w:r>
    </w:p>
    <w:p>
      <w:pPr>
        <w:pStyle w:val="12"/>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（2）危险废物经营许可证取证咨询及资料收集整理等专业服务，（包括提出换证计划、换证资料编制、危险废物经营许可证经营活动情况总结报告），组织专家审查会等工作，协调取证审批部门对接审查工作；</w:t>
      </w:r>
    </w:p>
    <w:p>
      <w:pPr>
        <w:pStyle w:val="12"/>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（3）本项目涉及的所有资料须由中标单位牵头编制，涉及所有费用由中标单位负责。</w:t>
      </w:r>
    </w:p>
    <w:p>
      <w:pPr>
        <w:pStyle w:val="12"/>
        <w:spacing w:before="0" w:after="0" w:line="360" w:lineRule="auto"/>
        <w:ind w:firstLine="600" w:firstLineChars="200"/>
        <w:jc w:val="left"/>
        <w:rPr>
          <w:rFonts w:hint="eastAsia" w:ascii="仿宋_GB2312" w:eastAsia="仿宋_GB2312"/>
          <w:color w:val="auto"/>
          <w:kern w:val="2"/>
          <w:sz w:val="24"/>
          <w:szCs w:val="24"/>
        </w:rPr>
      </w:pPr>
      <w:r>
        <w:rPr>
          <w:rFonts w:hint="eastAsia" w:ascii="仿宋_GB2312" w:hAnsi="Times New Roman" w:eastAsia="仿宋_GB2312" w:cs="Times New Roman"/>
          <w:b w:val="0"/>
          <w:bCs w:val="0"/>
          <w:color w:val="auto"/>
          <w:kern w:val="2"/>
          <w:sz w:val="30"/>
          <w:szCs w:val="30"/>
          <w:u w:color="000000"/>
          <w:lang w:val="en-US" w:eastAsia="zh-CN" w:bidi="ar-SA"/>
        </w:rPr>
        <w:t>（4）采购人提供有关的数据和资料后，中标单位需在20个工作日内完成所有服务。</w:t>
      </w:r>
    </w:p>
    <w:p>
      <w:pPr>
        <w:pStyle w:val="21"/>
        <w:snapToGrid w:val="0"/>
        <w:spacing w:line="240" w:lineRule="auto"/>
        <w:ind w:firstLine="720" w:firstLineChars="300"/>
        <w:rPr>
          <w:rFonts w:hint="eastAsia" w:ascii="仿宋_GB2312" w:eastAsia="仿宋_GB2312"/>
          <w:color w:val="auto"/>
          <w:kern w:val="2"/>
          <w:sz w:val="24"/>
          <w:szCs w:val="24"/>
        </w:rPr>
      </w:pPr>
    </w:p>
    <w:p>
      <w:pPr>
        <w:pStyle w:val="21"/>
        <w:snapToGrid w:val="0"/>
        <w:spacing w:line="240" w:lineRule="auto"/>
        <w:ind w:firstLine="720" w:firstLineChars="30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rPr>
      </w:pPr>
      <w:r>
        <w:rPr>
          <w:rFonts w:hint="eastAsia" w:ascii="仿宋_GB2312" w:eastAsia="仿宋_GB2312"/>
          <w:sz w:val="52"/>
          <w:highlight w:val="none"/>
        </w:rPr>
        <w:t>2022年临江公司环保设施取证服务采购项目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202205006</w:t>
      </w:r>
      <w:bookmarkStart w:id="29" w:name="_GoBack"/>
      <w:bookmarkEnd w:id="29"/>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2"/>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22</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2"/>
          <w:rFonts w:ascii="仿宋_GB2312" w:eastAsia="仿宋_GB2312"/>
          <w:sz w:val="30"/>
        </w:rPr>
        <w:br w:type="page"/>
      </w:r>
      <w:r>
        <w:rPr>
          <w:rStyle w:val="2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代表，参加贵方组织的</w:t>
      </w:r>
      <w:r>
        <w:rPr>
          <w:rFonts w:hint="eastAsia" w:ascii="仿宋_GB2312" w:eastAsia="仿宋_GB2312"/>
          <w:sz w:val="30"/>
          <w:u w:val="single"/>
        </w:rPr>
        <w:t xml:space="preserve"> </w:t>
      </w:r>
      <w:r>
        <w:rPr>
          <w:rFonts w:hint="eastAsia" w:ascii="仿宋_GB2312" w:hAnsi="宋体" w:eastAsia="仿宋_GB2312"/>
          <w:sz w:val="32"/>
          <w:szCs w:val="32"/>
          <w:u w:val="single"/>
        </w:rPr>
        <w:t>2022年临江公司环保设施取证服务采购项目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202205006</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2"/>
          <w:rFonts w:hint="eastAsia"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22"/>
          <w:rFonts w:hint="eastAsia" w:ascii="仿宋_GB2312" w:eastAsia="仿宋_GB2312"/>
          <w:sz w:val="30"/>
        </w:rPr>
      </w:pPr>
      <w:r>
        <w:rPr>
          <w:rStyle w:val="22"/>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8"/>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11" w:name="_Toc413966573"/>
      <w:bookmarkStart w:id="12" w:name="_Toc413943311"/>
      <w:bookmarkStart w:id="13" w:name="_Toc413939394"/>
      <w:bookmarkStart w:id="14" w:name="_Toc414541440"/>
      <w:bookmarkStart w:id="15" w:name="_Toc413938876"/>
      <w:bookmarkStart w:id="16" w:name="_Toc355877114"/>
      <w:r>
        <w:rPr>
          <w:sz w:val="30"/>
          <w:szCs w:val="30"/>
        </w:rPr>
        <w:t>投标人基本情况表</w:t>
      </w:r>
      <w:bookmarkEnd w:id="11"/>
      <w:bookmarkEnd w:id="12"/>
      <w:bookmarkEnd w:id="13"/>
      <w:bookmarkEnd w:id="14"/>
      <w:bookmarkEnd w:id="15"/>
      <w:bookmarkEnd w:id="1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投标单位简介：（可另附页说明）</w:t>
            </w: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3"/>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3"/>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3"/>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3"/>
              <w:rPr>
                <w:rFonts w:ascii="Times New Roman" w:hAnsi="Times New Roman"/>
                <w:sz w:val="21"/>
                <w:szCs w:val="21"/>
              </w:rPr>
            </w:pPr>
          </w:p>
        </w:tc>
        <w:tc>
          <w:tcPr>
            <w:tcW w:w="3433" w:type="dxa"/>
            <w:noWrap w:val="0"/>
            <w:vAlign w:val="top"/>
          </w:tcPr>
          <w:p>
            <w:pPr>
              <w:pStyle w:val="13"/>
              <w:rPr>
                <w:rFonts w:ascii="Times New Roman" w:hAnsi="Times New Roman"/>
                <w:sz w:val="21"/>
                <w:szCs w:val="21"/>
              </w:rPr>
            </w:pPr>
          </w:p>
        </w:tc>
        <w:tc>
          <w:tcPr>
            <w:tcW w:w="1559" w:type="dxa"/>
            <w:noWrap w:val="0"/>
            <w:vAlign w:val="top"/>
          </w:tcPr>
          <w:p>
            <w:pPr>
              <w:pStyle w:val="13"/>
              <w:rPr>
                <w:rFonts w:ascii="Times New Roman" w:hAnsi="Times New Roman"/>
                <w:sz w:val="21"/>
                <w:szCs w:val="21"/>
              </w:rPr>
            </w:pPr>
          </w:p>
        </w:tc>
        <w:tc>
          <w:tcPr>
            <w:tcW w:w="1392" w:type="dxa"/>
            <w:noWrap w:val="0"/>
            <w:vAlign w:val="top"/>
          </w:tcPr>
          <w:p>
            <w:pPr>
              <w:pStyle w:val="13"/>
              <w:rPr>
                <w:rFonts w:ascii="Times New Roman" w:hAnsi="Times New Roman"/>
                <w:sz w:val="21"/>
                <w:szCs w:val="21"/>
              </w:rPr>
            </w:pPr>
          </w:p>
        </w:tc>
        <w:tc>
          <w:tcPr>
            <w:tcW w:w="1210" w:type="dxa"/>
            <w:noWrap w:val="0"/>
            <w:vAlign w:val="top"/>
          </w:tcPr>
          <w:p>
            <w:pPr>
              <w:pStyle w:val="13"/>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7"/>
        <w:ind w:firstLine="0" w:firstLineChars="0"/>
        <w:rPr>
          <w:rFonts w:ascii="Times New Roman"/>
        </w:rPr>
      </w:pPr>
      <w:r>
        <w:rPr>
          <w:rFonts w:ascii="Times New Roman"/>
        </w:rPr>
        <w:t>投标人（盖公章）：</w:t>
      </w:r>
    </w:p>
    <w:p>
      <w:pPr>
        <w:pStyle w:val="27"/>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1"/>
        <w:rPr>
          <w:sz w:val="24"/>
        </w:rPr>
      </w:pPr>
    </w:p>
    <w:p>
      <w:pPr>
        <w:rPr>
          <w:sz w:val="24"/>
        </w:rPr>
      </w:pPr>
    </w:p>
    <w:p>
      <w:pPr>
        <w:pStyle w:val="11"/>
      </w:pPr>
    </w:p>
    <w:p>
      <w:pPr>
        <w:spacing w:line="360" w:lineRule="auto"/>
        <w:rPr>
          <w:sz w:val="24"/>
        </w:rPr>
      </w:pPr>
    </w:p>
    <w:p>
      <w:pPr>
        <w:jc w:val="center"/>
        <w:rPr>
          <w:sz w:val="30"/>
          <w:szCs w:val="30"/>
        </w:rPr>
      </w:pPr>
      <w:bookmarkStart w:id="17" w:name="_Toc413939396"/>
      <w:bookmarkStart w:id="18" w:name="_Toc413938878"/>
      <w:bookmarkStart w:id="19" w:name="_Toc413943313"/>
      <w:bookmarkStart w:id="20" w:name="_Toc414541441"/>
      <w:bookmarkStart w:id="21" w:name="_Toc413966574"/>
      <w:bookmarkStart w:id="22" w:name="_Toc354649937"/>
      <w:r>
        <w:rPr>
          <w:sz w:val="30"/>
          <w:szCs w:val="30"/>
        </w:rPr>
        <w:t>项目负责人情况表</w:t>
      </w:r>
      <w:bookmarkEnd w:id="17"/>
      <w:bookmarkEnd w:id="18"/>
      <w:bookmarkEnd w:id="19"/>
      <w:bookmarkEnd w:id="20"/>
      <w:bookmarkEnd w:id="21"/>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7"/>
        <w:ind w:firstLine="0" w:firstLineChars="0"/>
        <w:rPr>
          <w:rFonts w:ascii="Times New Roman"/>
        </w:rPr>
      </w:pPr>
      <w:r>
        <w:rPr>
          <w:rFonts w:ascii="Times New Roman"/>
        </w:rPr>
        <w:t>投标人（盖公章）：</w:t>
      </w:r>
    </w:p>
    <w:p>
      <w:pPr>
        <w:pStyle w:val="27"/>
        <w:ind w:firstLine="0" w:firstLineChars="0"/>
        <w:rPr>
          <w:rFonts w:ascii="Times New Roman"/>
        </w:rPr>
      </w:pPr>
      <w:r>
        <w:rPr>
          <w:rFonts w:ascii="Times New Roman"/>
          <w:szCs w:val="21"/>
        </w:rPr>
        <w:t>法定代表人或授权代表</w:t>
      </w:r>
      <w:r>
        <w:rPr>
          <w:rFonts w:ascii="Times New Roman"/>
        </w:rPr>
        <w:t>（签字或盖章）：</w:t>
      </w:r>
    </w:p>
    <w:p>
      <w:pPr>
        <w:pStyle w:val="27"/>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7"/>
        <w:ind w:firstLine="0" w:firstLineChars="0"/>
        <w:rPr>
          <w:rFonts w:ascii="Times New Roman"/>
        </w:rPr>
      </w:pPr>
    </w:p>
    <w:p>
      <w:pPr>
        <w:pStyle w:val="27"/>
        <w:ind w:firstLine="0" w:firstLineChars="0"/>
        <w:rPr>
          <w:rFonts w:ascii="Times New Roman"/>
        </w:rPr>
      </w:pPr>
    </w:p>
    <w:p>
      <w:pPr>
        <w:pStyle w:val="27"/>
        <w:ind w:firstLine="0" w:firstLineChars="0"/>
        <w:rPr>
          <w:rFonts w:ascii="Times New Roman"/>
        </w:rPr>
      </w:pPr>
    </w:p>
    <w:p>
      <w:pPr>
        <w:jc w:val="center"/>
        <w:rPr>
          <w:sz w:val="30"/>
          <w:szCs w:val="30"/>
        </w:rPr>
      </w:pPr>
      <w:bookmarkStart w:id="23" w:name="_Toc354649938"/>
      <w:bookmarkStart w:id="24" w:name="_Toc414541442"/>
      <w:bookmarkStart w:id="25" w:name="_Toc413939397"/>
      <w:bookmarkStart w:id="26" w:name="_Toc413938879"/>
      <w:bookmarkStart w:id="27" w:name="_Toc413966575"/>
      <w:bookmarkStart w:id="28" w:name="_Toc413943314"/>
      <w:r>
        <w:rPr>
          <w:sz w:val="30"/>
          <w:szCs w:val="30"/>
        </w:rPr>
        <w:t>本项目主要技术人员一览表</w:t>
      </w:r>
      <w:bookmarkEnd w:id="23"/>
      <w:bookmarkEnd w:id="24"/>
      <w:bookmarkEnd w:id="25"/>
      <w:bookmarkEnd w:id="26"/>
      <w:bookmarkEnd w:id="27"/>
      <w:bookmarkEnd w:id="2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7"/>
        <w:ind w:firstLine="0" w:firstLineChars="0"/>
        <w:rPr>
          <w:rFonts w:ascii="Times New Roman"/>
        </w:rPr>
      </w:pPr>
      <w:r>
        <w:rPr>
          <w:rFonts w:ascii="Times New Roman"/>
        </w:rPr>
        <w:t>投标人（盖公章）：</w:t>
      </w:r>
    </w:p>
    <w:p>
      <w:pPr>
        <w:pStyle w:val="27"/>
        <w:ind w:firstLine="0" w:firstLineChars="0"/>
        <w:rPr>
          <w:rFonts w:ascii="Times New Roman"/>
        </w:rPr>
      </w:pPr>
      <w:r>
        <w:rPr>
          <w:rFonts w:ascii="Times New Roman"/>
          <w:szCs w:val="21"/>
        </w:rPr>
        <w:t>法定代表人或授权代表</w:t>
      </w:r>
      <w:r>
        <w:rPr>
          <w:rFonts w:ascii="Times New Roman"/>
        </w:rPr>
        <w:t>（签字或盖章）：</w:t>
      </w:r>
    </w:p>
    <w:p>
      <w:pPr>
        <w:pStyle w:val="27"/>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szCs w:val="24"/>
        </w:rPr>
        <w:sectPr>
          <w:footerReference r:id="rId4"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w:t>
      </w:r>
    </w:p>
    <w:p>
      <w:pPr>
        <w:snapToGrid w:val="0"/>
        <w:rPr>
          <w:rFonts w:hint="default"/>
          <w:lang w:val="en-US" w:eastAsia="zh-CN"/>
        </w:rPr>
      </w:pPr>
    </w:p>
    <w:p>
      <w:pPr>
        <w:pStyle w:val="28"/>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28"/>
        <w:rPr>
          <w:rFonts w:hint="default"/>
          <w:lang w:val="en-US" w:eastAsia="zh-CN"/>
        </w:rPr>
      </w:pPr>
      <w:r>
        <w:rPr>
          <w:rFonts w:hint="default"/>
          <w:lang w:val="en-US" w:eastAsia="zh-CN"/>
        </w:rPr>
        <w:t xml:space="preserve">   </w:t>
      </w:r>
    </w:p>
    <w:p>
      <w:pPr>
        <w:pStyle w:val="11"/>
        <w:jc w:val="center"/>
        <w:rPr>
          <w:rFonts w:hint="default"/>
          <w:lang w:val="en-US" w:eastAsia="zh-CN"/>
        </w:rPr>
      </w:pPr>
      <w:r>
        <w:rPr>
          <w:rStyle w:val="22"/>
          <w:rFonts w:hint="default" w:ascii="仿宋_GB2312" w:hAnsi="Times New Roman" w:eastAsia="仿宋_GB2312" w:cs="Times New Roman"/>
          <w:b/>
          <w:caps/>
          <w:spacing w:val="0"/>
          <w:sz w:val="44"/>
          <w:lang w:val="en-US" w:eastAsia="zh-CN"/>
        </w:rPr>
        <w:t>股东信息及出资比例信息</w:t>
      </w:r>
    </w:p>
    <w:p>
      <w:pPr>
        <w:pStyle w:val="28"/>
        <w:rPr>
          <w:rFonts w:hint="default"/>
          <w:lang w:val="en-US" w:eastAsia="zh-CN"/>
        </w:rPr>
      </w:pPr>
      <w:r>
        <w:rPr>
          <w:rFonts w:hint="default"/>
          <w:lang w:val="en-US" w:eastAsia="zh-CN"/>
        </w:rPr>
        <w:t xml:space="preserve">                  </w:t>
      </w:r>
      <w:r>
        <w:rPr>
          <w:rFonts w:hint="eastAsia"/>
          <w:lang w:val="en-US" w:eastAsia="zh-CN"/>
        </w:rPr>
        <w:t xml:space="preserve">       </w:t>
      </w:r>
      <w:r>
        <w:rPr>
          <w:rFonts w:hint="default"/>
          <w:sz w:val="30"/>
          <w:szCs w:val="30"/>
          <w:lang w:val="en-US" w:eastAsia="zh-CN"/>
        </w:rPr>
        <w:t>（投标人需要提供）</w:t>
      </w: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8"/>
        <w:rPr>
          <w:rFonts w:hint="default"/>
          <w:lang w:val="en-US" w:eastAsia="zh-CN"/>
        </w:rPr>
      </w:pPr>
    </w:p>
    <w:p>
      <w:pPr>
        <w:pStyle w:val="21"/>
        <w:snapToGrid w:val="0"/>
        <w:spacing w:line="240" w:lineRule="auto"/>
        <w:ind w:firstLine="720" w:firstLineChars="300"/>
        <w:rPr>
          <w:rFonts w:hint="eastAsia" w:ascii="仿宋_GB2312" w:eastAsia="仿宋_GB2312"/>
          <w:color w:val="auto"/>
          <w:kern w:val="2"/>
          <w:sz w:val="24"/>
          <w:szCs w:val="24"/>
        </w:rPr>
      </w:pPr>
    </w:p>
    <w:p>
      <w:pPr>
        <w:adjustRightInd w:val="0"/>
        <w:snapToGrid w:val="0"/>
        <w:spacing w:line="360" w:lineRule="auto"/>
      </w:pPr>
    </w:p>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firstLine="420" w:firstLineChars="200"/>
        <w:rPr>
          <w:rFonts w:ascii="Arial" w:hAnsi="Arial" w:cs="Arial"/>
          <w:szCs w:val="21"/>
        </w:rPr>
      </w:pPr>
      <w:r>
        <w:rPr>
          <w:rFonts w:hint="eastAsia" w:ascii="Arial" w:hAnsi="Arial" w:cs="Arial"/>
          <w:szCs w:val="21"/>
        </w:rPr>
        <w:t>根据相关法律、规范要求对本项目（危废经营许可核查报告）进行全面技术咨询服务，并编制报告。（包括排污许可证变更、突发环境应急预案修编评审备案）并取得危险废物经营许可证。</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hint="eastAsia" w:ascii="Arial" w:hAnsi="Arial" w:cs="Arial"/>
          <w:color w:val="000000"/>
          <w:szCs w:val="21"/>
          <w:u w:val="single"/>
        </w:rPr>
        <w:t>10</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1、履行期限：</w:t>
      </w:r>
    </w:p>
    <w:p>
      <w:pPr>
        <w:tabs>
          <w:tab w:val="left" w:pos="180"/>
        </w:tabs>
        <w:spacing w:line="440" w:lineRule="exact"/>
        <w:ind w:firstLine="420" w:firstLineChars="200"/>
        <w:rPr>
          <w:rFonts w:ascii="Arial" w:hAnsi="Arial" w:cs="Arial"/>
          <w:color w:val="000000"/>
          <w:szCs w:val="21"/>
        </w:rPr>
      </w:pPr>
      <w:r>
        <w:rPr>
          <w:rFonts w:hint="eastAsia" w:ascii="Arial" w:hAnsi="Arial" w:cs="Arial"/>
          <w:bCs/>
          <w:szCs w:val="21"/>
        </w:rPr>
        <w:t>2022年</w:t>
      </w:r>
      <w:r>
        <w:rPr>
          <w:rFonts w:hint="eastAsia" w:ascii="Arial" w:hAnsi="Arial" w:cs="Arial"/>
          <w:color w:val="000000"/>
          <w:szCs w:val="21"/>
        </w:rPr>
        <w:t xml:space="preserve">  月  日前完成危险废物经营许可核查报告并提交生态环境局。并取得危险废物经营许可证取证；</w:t>
      </w:r>
    </w:p>
    <w:p>
      <w:pPr>
        <w:tabs>
          <w:tab w:val="left" w:pos="180"/>
        </w:tabs>
        <w:spacing w:line="440" w:lineRule="exact"/>
        <w:ind w:firstLine="420" w:firstLineChars="200"/>
        <w:rPr>
          <w:rFonts w:ascii="Arial" w:hAnsi="Arial" w:cs="Arial"/>
          <w:color w:val="000000"/>
          <w:szCs w:val="21"/>
        </w:rPr>
      </w:pPr>
      <w:r>
        <w:rPr>
          <w:rFonts w:hint="eastAsia" w:ascii="Arial" w:hAnsi="Arial" w:cs="Arial"/>
          <w:bCs/>
          <w:szCs w:val="21"/>
        </w:rPr>
        <w:t>2022年</w:t>
      </w:r>
      <w:r>
        <w:rPr>
          <w:rFonts w:hint="eastAsia" w:ascii="Arial" w:hAnsi="Arial" w:cs="Arial"/>
          <w:color w:val="000000"/>
          <w:szCs w:val="21"/>
        </w:rPr>
        <w:t xml:space="preserve">  月  日前完成排污许可证变更、突发环境应急预案修编评审备案。</w:t>
      </w:r>
    </w:p>
    <w:p>
      <w:pPr>
        <w:pStyle w:val="2"/>
        <w:spacing w:line="440" w:lineRule="exact"/>
        <w:ind w:firstLine="420"/>
        <w:rPr>
          <w:rFonts w:ascii="Arial" w:hAnsi="Arial" w:cs="Arial"/>
          <w:color w:val="000000"/>
          <w:sz w:val="21"/>
          <w:szCs w:val="21"/>
        </w:rPr>
      </w:pPr>
      <w:r>
        <w:rPr>
          <w:rFonts w:hint="eastAsia" w:ascii="Arial" w:hAnsi="Arial" w:cs="Arial"/>
          <w:color w:val="000000"/>
          <w:sz w:val="21"/>
          <w:szCs w:val="21"/>
        </w:rPr>
        <w:pict>
          <v:rect id="矩形 2" o:spid="_x0000_s1027"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fUdFnYAAAACQEAAA8AAAAAAAAAAQAgAAAAIgAAAGRycy9kb3ducmV2&#10;LnhtbFBLAQIUABQAAAAIAIdO4kBwyzpUwwEAAIADAAAOAAAAAAAAAAEAIAAAACcBAABkcnMvZTJv&#10;RG9jLnhtbFBLBQYAAAAABgAGAFkBAABcBQAAAAA=&#10;">
            <v:path/>
            <v:fill on="f" focussize="0,0"/>
            <v:stroke on="f"/>
            <v:imagedata o:title=""/>
            <o:lock v:ext="edit" aspectratio="f"/>
            <v:textbox style="mso-fit-shape-to-text:t;">
              <w:txbxContent>
                <w:p/>
              </w:txbxContent>
            </v:textbox>
          </v:rect>
        </w:pict>
      </w:r>
      <w:r>
        <w:rPr>
          <w:rFonts w:hint="eastAsia" w:ascii="Arial" w:hAnsi="Arial" w:cs="Arial"/>
          <w:color w:val="000000"/>
          <w:sz w:val="21"/>
          <w:szCs w:val="21"/>
        </w:rPr>
        <w:t>2、履行地点：杭州市钱塘区</w:t>
      </w:r>
    </w:p>
    <w:p>
      <w:pPr>
        <w:tabs>
          <w:tab w:val="left" w:pos="180"/>
        </w:tabs>
        <w:spacing w:line="440" w:lineRule="exact"/>
        <w:ind w:firstLine="420" w:firstLineChars="200"/>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shd w:val="pct10" w:color="auto" w:fill="FFFFFF"/>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技术服务以</w:t>
      </w:r>
      <w:r>
        <w:rPr>
          <w:rFonts w:hint="eastAsia" w:ascii="Arial" w:hAnsi="Arial" w:cs="Arial"/>
          <w:bCs/>
          <w:szCs w:val="21"/>
        </w:rPr>
        <w:t>取得危废经营许可证及排污许可证</w:t>
      </w:r>
      <w:r>
        <w:rPr>
          <w:rFonts w:ascii="Arial" w:hAnsi="Arial" w:cs="Arial"/>
          <w:bCs/>
          <w:szCs w:val="21"/>
        </w:rPr>
        <w:t>为</w:t>
      </w:r>
      <w:r>
        <w:rPr>
          <w:rFonts w:ascii="Arial" w:hAnsi="Arial" w:cs="Arial"/>
          <w:color w:val="000000"/>
          <w:szCs w:val="21"/>
        </w:rPr>
        <w:t>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w:t>
      </w:r>
      <w:r>
        <w:rPr>
          <w:rFonts w:hint="eastAsia" w:ascii="Arial" w:hAnsi="Arial" w:cs="Arial"/>
          <w:color w:val="000000"/>
          <w:szCs w:val="21"/>
        </w:rPr>
        <w:t>合同</w:t>
      </w:r>
      <w:r>
        <w:rPr>
          <w:rFonts w:ascii="Arial" w:hAnsi="Arial" w:cs="Arial"/>
          <w:color w:val="000000"/>
          <w:szCs w:val="21"/>
        </w:rPr>
        <w:t>采用固定总价，合同价为（大写）</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rPr>
        <w:t>）</w:t>
      </w:r>
      <w:r>
        <w:rPr>
          <w:rFonts w:hint="eastAsia" w:ascii="Arial" w:hAnsi="Arial" w:cs="Arial"/>
          <w:color w:val="000000"/>
          <w:szCs w:val="21"/>
        </w:rPr>
        <w:t>。</w:t>
      </w:r>
      <w:r>
        <w:rPr>
          <w:rFonts w:ascii="Arial" w:hAnsi="Arial" w:cs="Arial"/>
          <w:color w:val="000000"/>
          <w:szCs w:val="21"/>
        </w:rPr>
        <w:t>（包括</w:t>
      </w:r>
      <w:r>
        <w:rPr>
          <w:rFonts w:hint="eastAsia" w:ascii="Arial" w:hAnsi="Arial" w:cs="Arial"/>
          <w:color w:val="000000"/>
          <w:szCs w:val="21"/>
        </w:rPr>
        <w:t>报告的编制，专家评审、评估、公参说明编制及公参调查、委派专家有关本项目环保方面的解析、税费</w:t>
      </w:r>
      <w:r>
        <w:rPr>
          <w:rFonts w:ascii="Arial" w:hAnsi="Arial" w:cs="Arial"/>
          <w:color w:val="000000"/>
          <w:szCs w:val="21"/>
        </w:rPr>
        <w:t>等所有</w:t>
      </w:r>
      <w:r>
        <w:rPr>
          <w:rFonts w:hint="eastAsia" w:ascii="Arial" w:hAnsi="Arial" w:cs="Arial"/>
          <w:color w:val="000000"/>
          <w:szCs w:val="21"/>
        </w:rPr>
        <w:t>乙方完成本合同全部内容所需的费</w:t>
      </w:r>
      <w:r>
        <w:rPr>
          <w:rFonts w:ascii="Arial" w:hAnsi="Arial" w:cs="Arial"/>
          <w:color w:val="000000"/>
          <w:szCs w:val="21"/>
        </w:rPr>
        <w:t>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、付款方式：</w:t>
      </w:r>
    </w:p>
    <w:p>
      <w:pPr>
        <w:spacing w:line="440" w:lineRule="exact"/>
        <w:ind w:firstLine="420" w:firstLineChars="200"/>
        <w:rPr>
          <w:rFonts w:ascii="Arial" w:hAnsi="Arial" w:cs="Arial"/>
          <w:sz w:val="24"/>
        </w:rPr>
      </w:pPr>
      <w:r>
        <w:rPr>
          <w:rFonts w:hint="eastAsia" w:ascii="Arial" w:hAnsi="Arial" w:cs="Arial"/>
          <w:bCs/>
          <w:szCs w:val="21"/>
        </w:rPr>
        <w:t>1、完成危险废物经营许可核查报告通过专家评审并报生态环境局及排污许可证变更、应急预案备案，且甲</w:t>
      </w:r>
      <w:r>
        <w:rPr>
          <w:rFonts w:hint="eastAsia" w:ascii="Arial" w:hAnsi="Arial" w:cs="Arial"/>
          <w:color w:val="000000"/>
          <w:szCs w:val="21"/>
        </w:rPr>
        <w:t>方取得环保行政主管部门出具的危险废物经营许可证，经甲方验收无异议提交足额且可供抵扣的增值税专用发票后，十五个工作日内一次性支付      元</w:t>
      </w:r>
      <w:r>
        <w:rPr>
          <w:rFonts w:hint="eastAsia" w:ascii="Arial" w:hAnsi="Arial" w:cs="Arial"/>
          <w:bCs/>
          <w:sz w:val="24"/>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rPr>
        <w:t>中华人民共和国民法典</w:t>
      </w:r>
      <w:r>
        <w:rPr>
          <w:rFonts w:ascii="Arial" w:hAnsi="Arial" w:cs="Arial"/>
          <w:color w:val="000000"/>
          <w:szCs w:val="21"/>
        </w:rPr>
        <w:t>》</w:t>
      </w:r>
      <w:r>
        <w:rPr>
          <w:rFonts w:hint="eastAsia" w:ascii="Arial" w:hAnsi="Arial" w:cs="Arial"/>
          <w:color w:val="000000"/>
          <w:szCs w:val="21"/>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w:t>
      </w:r>
      <w:r>
        <w:rPr>
          <w:rFonts w:ascii="Arial" w:hAnsi="Arial" w:cs="Arial"/>
          <w:szCs w:val="21"/>
        </w:rPr>
        <w:t>，</w:t>
      </w:r>
      <w:r>
        <w:rPr>
          <w:rFonts w:hint="eastAsia" w:ascii="Arial" w:hAnsi="Arial" w:cs="Arial"/>
          <w:szCs w:val="21"/>
        </w:rPr>
        <w:t>应当按照</w:t>
      </w:r>
      <w:r>
        <w:rPr>
          <w:rFonts w:ascii="Arial" w:hAnsi="Arial" w:cs="Arial"/>
          <w:szCs w:val="21"/>
        </w:rPr>
        <w:t>乙方已完成</w:t>
      </w:r>
      <w:r>
        <w:rPr>
          <w:rFonts w:hint="eastAsia" w:ascii="Arial" w:hAnsi="Arial" w:cs="Arial"/>
          <w:szCs w:val="21"/>
        </w:rPr>
        <w:t>的</w:t>
      </w:r>
      <w:r>
        <w:rPr>
          <w:rFonts w:ascii="Arial" w:hAnsi="Arial" w:cs="Arial"/>
          <w:szCs w:val="21"/>
        </w:rPr>
        <w:t>工作</w:t>
      </w:r>
      <w:r>
        <w:rPr>
          <w:rFonts w:hint="eastAsia" w:ascii="Arial" w:hAnsi="Arial" w:cs="Arial"/>
          <w:szCs w:val="21"/>
        </w:rPr>
        <w:t>量向乙方支付服务费。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hint="eastAsia"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w:t>
      </w:r>
      <w:r>
        <w:rPr>
          <w:rFonts w:ascii="Arial" w:hAnsi="Arial" w:cs="Arial"/>
          <w:color w:val="000000"/>
          <w:szCs w:val="21"/>
        </w:rPr>
        <w:t>（自然灾害和人力不可抗拒的因素除外）</w:t>
      </w:r>
      <w:r>
        <w:rPr>
          <w:rFonts w:hint="eastAsia" w:ascii="Arial" w:hAnsi="Arial" w:cs="Arial"/>
          <w:color w:val="000000"/>
          <w:szCs w:val="21"/>
        </w:rPr>
        <w:t>的</w:t>
      </w:r>
      <w:r>
        <w:rPr>
          <w:rFonts w:ascii="Arial" w:hAnsi="Arial" w:cs="Arial"/>
          <w:color w:val="000000"/>
          <w:szCs w:val="21"/>
        </w:rPr>
        <w:t>，乙方应向甲方支付违约金，每延期一天，支</w:t>
      </w:r>
      <w:r>
        <w:rPr>
          <w:rFonts w:ascii="Arial" w:hAnsi="Arial" w:cs="Arial"/>
          <w:szCs w:val="21"/>
        </w:rPr>
        <w:t>付</w:t>
      </w:r>
      <w:r>
        <w:rPr>
          <w:rFonts w:hint="eastAsia" w:ascii="Arial" w:hAnsi="Arial" w:cs="Arial"/>
          <w:szCs w:val="21"/>
        </w:rPr>
        <w:t>合同总价</w:t>
      </w:r>
      <w:r>
        <w:rPr>
          <w:rFonts w:ascii="Arial" w:hAnsi="Arial" w:cs="Arial"/>
          <w:szCs w:val="21"/>
        </w:rPr>
        <w:t>的</w:t>
      </w:r>
      <w:r>
        <w:rPr>
          <w:rFonts w:hint="eastAsia" w:ascii="Arial" w:hAnsi="Arial" w:cs="Arial"/>
          <w:szCs w:val="21"/>
        </w:rPr>
        <w:t>千</w:t>
      </w:r>
      <w:r>
        <w:rPr>
          <w:rFonts w:ascii="Arial" w:hAnsi="Arial" w:cs="Arial"/>
          <w:szCs w:val="21"/>
        </w:rPr>
        <w:t>分之</w:t>
      </w:r>
      <w:r>
        <w:rPr>
          <w:rFonts w:hint="eastAsia" w:ascii="Arial" w:hAnsi="Arial" w:cs="Arial"/>
          <w:szCs w:val="21"/>
        </w:rPr>
        <w:t>三</w:t>
      </w:r>
      <w:r>
        <w:rPr>
          <w:rFonts w:ascii="Arial" w:hAnsi="Arial" w:cs="Arial"/>
          <w:color w:val="000000"/>
          <w:szCs w:val="21"/>
        </w:rPr>
        <w:t>。</w:t>
      </w:r>
      <w:r>
        <w:rPr>
          <w:rFonts w:hint="eastAsia" w:ascii="Arial" w:hAnsi="Arial" w:cs="Arial"/>
          <w:color w:val="000000"/>
          <w:szCs w:val="21"/>
        </w:rPr>
        <w:t>逾期超过十天的，甲方有权解除合同，乙方应当退还甲方支付的全部费用并按照合同总价2</w:t>
      </w:r>
      <w:r>
        <w:rPr>
          <w:rFonts w:ascii="Arial" w:hAnsi="Arial" w:cs="Arial"/>
          <w:color w:val="000000"/>
          <w:szCs w:val="21"/>
        </w:rPr>
        <w:t>0%</w:t>
      </w:r>
      <w:r>
        <w:rPr>
          <w:rFonts w:hint="eastAsia" w:ascii="Arial" w:hAnsi="Arial" w:cs="Arial"/>
          <w:color w:val="000000"/>
          <w:szCs w:val="21"/>
        </w:rPr>
        <w:t>承担违约金。</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若因乙方原因使该报告审查不合格或需补充完善，乙方无偿补作，直到审批通过。</w:t>
      </w:r>
      <w:r>
        <w:rPr>
          <w:rFonts w:hint="eastAsia" w:ascii="Arial" w:hAnsi="Arial" w:cs="Arial"/>
          <w:color w:val="000000"/>
          <w:szCs w:val="21"/>
        </w:rPr>
        <w:t>因前述原因导致验收延期的，按本款第1）项承担违约责任。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w:t>
      </w:r>
      <w:r>
        <w:rPr>
          <w:rFonts w:hint="eastAsia" w:ascii="Arial" w:hAnsi="Arial" w:cs="Arial"/>
          <w:bCs/>
          <w:szCs w:val="21"/>
        </w:rPr>
        <w:t>各</w:t>
      </w:r>
      <w:r>
        <w:rPr>
          <w:rFonts w:ascii="Arial" w:hAnsi="Arial" w:cs="Arial"/>
          <w:color w:val="000000"/>
          <w:szCs w:val="21"/>
        </w:rPr>
        <w:t>一式</w:t>
      </w:r>
      <w:r>
        <w:rPr>
          <w:rFonts w:ascii="Arial" w:hAnsi="Arial" w:cs="Arial"/>
          <w:color w:val="000000"/>
          <w:szCs w:val="21"/>
          <w:u w:val="single"/>
        </w:rPr>
        <w:t xml:space="preserve"> </w:t>
      </w:r>
      <w:r>
        <w:rPr>
          <w:rFonts w:hint="eastAsia" w:ascii="Arial" w:hAnsi="Arial" w:cs="Arial"/>
          <w:color w:val="000000"/>
          <w:szCs w:val="21"/>
          <w:u w:val="single"/>
        </w:rPr>
        <w:t>8</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本合同签订的同时，乙方需缴纳履约保证金，即合同价的5%。待乙方完成所有服务，扣除违约金（如有）后，余额（无息）与报酬同日归还。</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w:t>
      </w:r>
      <w:r>
        <w:rPr>
          <w:rFonts w:hint="eastAsia" w:ascii="Arial" w:hAnsi="Arial" w:cs="Arial"/>
          <w:bCs/>
          <w:szCs w:val="21"/>
        </w:rPr>
        <w:t>合同</w:t>
      </w:r>
      <w:r>
        <w:rPr>
          <w:rFonts w:ascii="Arial" w:hAnsi="Arial" w:cs="Arial"/>
          <w:color w:val="000000"/>
          <w:szCs w:val="21"/>
        </w:rPr>
        <w:t>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b/>
          <w:color w:val="0070C0"/>
          <w:szCs w:val="21"/>
        </w:rPr>
      </w:pPr>
      <w:r>
        <w:rPr>
          <w:rFonts w:ascii="Arial" w:hAnsi="Arial" w:cs="Arial"/>
          <w:szCs w:val="21"/>
        </w:rPr>
        <w:t>1、本合同由双方加盖双方公章或合同专用章即生效。</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pStyle w:val="2"/>
        <w:ind w:left="0" w:leftChars="0" w:firstLine="0" w:firstLineChars="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pPr>
      <w:r>
        <w:rPr>
          <w:rFonts w:ascii="Arial" w:hAnsi="Arial" w:cs="Arial"/>
          <w:szCs w:val="21"/>
        </w:rPr>
        <w:t>合同</w:t>
      </w:r>
      <w:r>
        <w:rPr>
          <w:rFonts w:hint="eastAsia" w:ascii="Arial" w:hAnsi="Arial" w:cs="Arial"/>
          <w:szCs w:val="21"/>
        </w:rPr>
        <w:t>签订</w:t>
      </w:r>
      <w:r>
        <w:rPr>
          <w:rFonts w:ascii="Arial" w:hAnsi="Arial" w:cs="Arial"/>
          <w:szCs w:val="21"/>
        </w:rPr>
        <w:t xml:space="preserve">时间： </w:t>
      </w:r>
    </w:p>
    <w:p>
      <w:pPr>
        <w:tabs>
          <w:tab w:val="left" w:pos="2996"/>
        </w:tabs>
        <w:spacing w:line="440" w:lineRule="exact"/>
      </w:pPr>
    </w:p>
    <w:sectPr>
      <w:footerReference r:id="rId5"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926A3"/>
    <w:rsid w:val="008746A5"/>
    <w:rsid w:val="00B574EC"/>
    <w:rsid w:val="015050D6"/>
    <w:rsid w:val="01D22213"/>
    <w:rsid w:val="02214925"/>
    <w:rsid w:val="04605697"/>
    <w:rsid w:val="05D22118"/>
    <w:rsid w:val="06057AB3"/>
    <w:rsid w:val="0A0C6ADD"/>
    <w:rsid w:val="0A32752C"/>
    <w:rsid w:val="0BCC31F9"/>
    <w:rsid w:val="0D322C8D"/>
    <w:rsid w:val="0DC35837"/>
    <w:rsid w:val="0DE61498"/>
    <w:rsid w:val="110C39D4"/>
    <w:rsid w:val="1297576D"/>
    <w:rsid w:val="12AD7B51"/>
    <w:rsid w:val="12BF4C87"/>
    <w:rsid w:val="12E70A09"/>
    <w:rsid w:val="17565C7A"/>
    <w:rsid w:val="1A2B7D96"/>
    <w:rsid w:val="1BD33B78"/>
    <w:rsid w:val="1E1A21EF"/>
    <w:rsid w:val="203B090D"/>
    <w:rsid w:val="21135480"/>
    <w:rsid w:val="214D7086"/>
    <w:rsid w:val="219914E7"/>
    <w:rsid w:val="23984212"/>
    <w:rsid w:val="24130D0C"/>
    <w:rsid w:val="2512051E"/>
    <w:rsid w:val="26F76768"/>
    <w:rsid w:val="27333604"/>
    <w:rsid w:val="29F704EF"/>
    <w:rsid w:val="2AC220DE"/>
    <w:rsid w:val="2ADB5E21"/>
    <w:rsid w:val="2ADF08BA"/>
    <w:rsid w:val="2B644812"/>
    <w:rsid w:val="2EB2531B"/>
    <w:rsid w:val="2F3D045F"/>
    <w:rsid w:val="2F7D3F84"/>
    <w:rsid w:val="2F844FB7"/>
    <w:rsid w:val="3464504B"/>
    <w:rsid w:val="354D4C9A"/>
    <w:rsid w:val="3C8F1889"/>
    <w:rsid w:val="3D7933CA"/>
    <w:rsid w:val="3DAC3CC7"/>
    <w:rsid w:val="3E16524F"/>
    <w:rsid w:val="3F2D02B4"/>
    <w:rsid w:val="407E15A7"/>
    <w:rsid w:val="40AA3B81"/>
    <w:rsid w:val="40FE6FE3"/>
    <w:rsid w:val="411C5733"/>
    <w:rsid w:val="45530393"/>
    <w:rsid w:val="462B6949"/>
    <w:rsid w:val="469F7AF8"/>
    <w:rsid w:val="478F3581"/>
    <w:rsid w:val="47B96D86"/>
    <w:rsid w:val="47D615F1"/>
    <w:rsid w:val="48034DA7"/>
    <w:rsid w:val="49E7480F"/>
    <w:rsid w:val="4B8E3F29"/>
    <w:rsid w:val="4C870D35"/>
    <w:rsid w:val="4E376DB9"/>
    <w:rsid w:val="4E716394"/>
    <w:rsid w:val="4F0A3ECF"/>
    <w:rsid w:val="502844C8"/>
    <w:rsid w:val="51D845E4"/>
    <w:rsid w:val="524E7723"/>
    <w:rsid w:val="533444FB"/>
    <w:rsid w:val="54F52B08"/>
    <w:rsid w:val="55C54FE9"/>
    <w:rsid w:val="55E07717"/>
    <w:rsid w:val="57303F87"/>
    <w:rsid w:val="58080247"/>
    <w:rsid w:val="58E30CBE"/>
    <w:rsid w:val="5A1C766A"/>
    <w:rsid w:val="5B8B1D7B"/>
    <w:rsid w:val="612A3DEE"/>
    <w:rsid w:val="649C599A"/>
    <w:rsid w:val="66B027B6"/>
    <w:rsid w:val="67B628F5"/>
    <w:rsid w:val="6B656B47"/>
    <w:rsid w:val="6B700A0F"/>
    <w:rsid w:val="6C714475"/>
    <w:rsid w:val="6CDB032D"/>
    <w:rsid w:val="6D1F10D1"/>
    <w:rsid w:val="6E5526FF"/>
    <w:rsid w:val="6F2B1820"/>
    <w:rsid w:val="710D0440"/>
    <w:rsid w:val="71C5585F"/>
    <w:rsid w:val="73252A0A"/>
    <w:rsid w:val="76C61492"/>
    <w:rsid w:val="77AF2B30"/>
    <w:rsid w:val="77D476E8"/>
    <w:rsid w:val="7A500C84"/>
    <w:rsid w:val="7AF96EC6"/>
    <w:rsid w:val="7CD03426"/>
    <w:rsid w:val="7E29266C"/>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jc w:val="left"/>
    </w:pPr>
    <w:rPr>
      <w:sz w:val="24"/>
    </w:rPr>
  </w:style>
  <w:style w:type="paragraph" w:styleId="3">
    <w:name w:val="Body Text"/>
    <w:basedOn w:val="1"/>
    <w:qFormat/>
    <w:uiPriority w:val="0"/>
    <w:pPr>
      <w:spacing w:after="120" w:afterLines="0" w:afterAutospacing="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character" w:styleId="17">
    <w:name w:val="page number"/>
    <w:basedOn w:val="16"/>
    <w:qFormat/>
    <w:uiPriority w:val="0"/>
  </w:style>
  <w:style w:type="character" w:styleId="18">
    <w:name w:val="FollowedHyperlink"/>
    <w:basedOn w:val="16"/>
    <w:qFormat/>
    <w:uiPriority w:val="0"/>
    <w:rPr>
      <w:color w:val="2490F8"/>
      <w:u w:val="single"/>
    </w:rPr>
  </w:style>
  <w:style w:type="character" w:styleId="19">
    <w:name w:val="Hyperlink"/>
    <w:basedOn w:val="16"/>
    <w:qFormat/>
    <w:uiPriority w:val="99"/>
    <w:rPr>
      <w:color w:val="2490F8"/>
      <w:u w:val="single"/>
    </w:rPr>
  </w:style>
  <w:style w:type="character" w:styleId="20">
    <w:name w:val="annotation reference"/>
    <w:basedOn w:val="16"/>
    <w:qFormat/>
    <w:uiPriority w:val="0"/>
    <w:rPr>
      <w:sz w:val="21"/>
      <w:szCs w:val="21"/>
    </w:rPr>
  </w:style>
  <w:style w:type="paragraph" w:customStyle="1" w:styleId="2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2">
    <w:name w:val="标题 1 Char Char"/>
    <w:qFormat/>
    <w:uiPriority w:val="0"/>
    <w:rPr>
      <w:rFonts w:eastAsia="宋体"/>
      <w:b/>
      <w:spacing w:val="-2"/>
      <w:sz w:val="24"/>
      <w:lang w:val="en-US" w:eastAsia="zh-CN"/>
    </w:rPr>
  </w:style>
  <w:style w:type="paragraph" w:customStyle="1" w:styleId="23">
    <w:name w:val="一、标题"/>
    <w:basedOn w:val="1"/>
    <w:qFormat/>
    <w:uiPriority w:val="0"/>
    <w:rPr>
      <w:b/>
      <w:sz w:val="28"/>
    </w:rPr>
  </w:style>
  <w:style w:type="paragraph" w:styleId="24">
    <w:name w:val="List Paragraph"/>
    <w:basedOn w:val="1"/>
    <w:qFormat/>
    <w:uiPriority w:val="34"/>
    <w:pPr>
      <w:ind w:firstLine="420" w:firstLineChars="200"/>
    </w:pPr>
  </w:style>
  <w:style w:type="character" w:customStyle="1" w:styleId="25">
    <w:name w:val="页眉 Char"/>
    <w:basedOn w:val="16"/>
    <w:link w:val="10"/>
    <w:qFormat/>
    <w:uiPriority w:val="0"/>
    <w:rPr>
      <w:kern w:val="2"/>
      <w:sz w:val="18"/>
      <w:szCs w:val="18"/>
    </w:rPr>
  </w:style>
  <w:style w:type="character" w:customStyle="1" w:styleId="26">
    <w:name w:val="批注框文本 Char"/>
    <w:basedOn w:val="16"/>
    <w:link w:val="8"/>
    <w:qFormat/>
    <w:uiPriority w:val="0"/>
    <w:rPr>
      <w:kern w:val="2"/>
      <w:sz w:val="18"/>
      <w:szCs w:val="18"/>
    </w:rPr>
  </w:style>
  <w:style w:type="paragraph" w:customStyle="1" w:styleId="27">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9">
    <w:name w:val="icontext2"/>
    <w:basedOn w:val="16"/>
    <w:uiPriority w:val="0"/>
  </w:style>
  <w:style w:type="character" w:customStyle="1" w:styleId="30">
    <w:name w:val="cdropright"/>
    <w:basedOn w:val="16"/>
    <w:qFormat/>
    <w:uiPriority w:val="0"/>
  </w:style>
  <w:style w:type="character" w:customStyle="1" w:styleId="31">
    <w:name w:val="active5"/>
    <w:basedOn w:val="16"/>
    <w:qFormat/>
    <w:uiPriority w:val="0"/>
    <w:rPr>
      <w:color w:val="00FF00"/>
      <w:shd w:val="clear" w:fill="111111"/>
    </w:rPr>
  </w:style>
  <w:style w:type="character" w:customStyle="1" w:styleId="32">
    <w:name w:val="cy"/>
    <w:basedOn w:val="16"/>
    <w:uiPriority w:val="0"/>
  </w:style>
  <w:style w:type="character" w:customStyle="1" w:styleId="33">
    <w:name w:val="iconline2"/>
    <w:basedOn w:val="16"/>
    <w:qFormat/>
    <w:uiPriority w:val="0"/>
  </w:style>
  <w:style w:type="character" w:customStyle="1" w:styleId="34">
    <w:name w:val="iconline21"/>
    <w:basedOn w:val="16"/>
    <w:qFormat/>
    <w:uiPriority w:val="0"/>
  </w:style>
  <w:style w:type="character" w:customStyle="1" w:styleId="35">
    <w:name w:val="after"/>
    <w:basedOn w:val="16"/>
    <w:qFormat/>
    <w:uiPriority w:val="0"/>
    <w:rPr>
      <w:sz w:val="0"/>
      <w:szCs w:val="0"/>
    </w:rPr>
  </w:style>
  <w:style w:type="character" w:customStyle="1" w:styleId="36">
    <w:name w:val="layui-layer-tabnow"/>
    <w:basedOn w:val="16"/>
    <w:qFormat/>
    <w:uiPriority w:val="0"/>
    <w:rPr>
      <w:bdr w:val="single" w:color="CCCCCC" w:sz="6" w:space="0"/>
      <w:shd w:val="clear" w:fill="FFFFFF"/>
    </w:rPr>
  </w:style>
  <w:style w:type="character" w:customStyle="1" w:styleId="37">
    <w:name w:val="w32"/>
    <w:basedOn w:val="16"/>
    <w:qFormat/>
    <w:uiPriority w:val="0"/>
  </w:style>
  <w:style w:type="character" w:customStyle="1" w:styleId="38">
    <w:name w:val="icontext3"/>
    <w:basedOn w:val="16"/>
    <w:qFormat/>
    <w:uiPriority w:val="0"/>
  </w:style>
  <w:style w:type="character" w:customStyle="1" w:styleId="39">
    <w:name w:val="icontext1"/>
    <w:basedOn w:val="16"/>
    <w:qFormat/>
    <w:uiPriority w:val="0"/>
  </w:style>
  <w:style w:type="character" w:customStyle="1" w:styleId="40">
    <w:name w:val="icontext11"/>
    <w:basedOn w:val="16"/>
    <w:qFormat/>
    <w:uiPriority w:val="0"/>
  </w:style>
  <w:style w:type="character" w:customStyle="1" w:styleId="41">
    <w:name w:val="icontext12"/>
    <w:basedOn w:val="16"/>
    <w:qFormat/>
    <w:uiPriority w:val="0"/>
  </w:style>
  <w:style w:type="character" w:customStyle="1" w:styleId="42">
    <w:name w:val="cdropleft"/>
    <w:basedOn w:val="16"/>
    <w:qFormat/>
    <w:uiPriority w:val="0"/>
  </w:style>
  <w:style w:type="character" w:customStyle="1" w:styleId="43">
    <w:name w:val="pagechatarealistclose_box"/>
    <w:basedOn w:val="16"/>
    <w:qFormat/>
    <w:uiPriority w:val="0"/>
  </w:style>
  <w:style w:type="character" w:customStyle="1" w:styleId="44">
    <w:name w:val="pagechatarealistclose_box1"/>
    <w:basedOn w:val="16"/>
    <w:uiPriority w:val="0"/>
  </w:style>
  <w:style w:type="character" w:customStyle="1" w:styleId="45">
    <w:name w:val="tmpztreemove_arrow"/>
    <w:basedOn w:val="16"/>
    <w:uiPriority w:val="0"/>
  </w:style>
  <w:style w:type="character" w:customStyle="1" w:styleId="46">
    <w:name w:val="button4"/>
    <w:basedOn w:val="16"/>
    <w:qFormat/>
    <w:uiPriority w:val="0"/>
  </w:style>
  <w:style w:type="character" w:customStyle="1" w:styleId="47">
    <w:name w:val="hilite6"/>
    <w:basedOn w:val="16"/>
    <w:uiPriority w:val="0"/>
    <w:rPr>
      <w:color w:val="FFFFFF"/>
      <w:shd w:val="clear" w:fill="666666"/>
    </w:rPr>
  </w:style>
  <w:style w:type="character" w:customStyle="1" w:styleId="48">
    <w:name w:val="drapbtn"/>
    <w:basedOn w:val="16"/>
    <w:uiPriority w:val="0"/>
  </w:style>
  <w:style w:type="character" w:customStyle="1" w:styleId="49">
    <w:name w:val="ico1654"/>
    <w:basedOn w:val="16"/>
    <w:qFormat/>
    <w:uiPriority w:val="0"/>
  </w:style>
  <w:style w:type="character" w:customStyle="1" w:styleId="50">
    <w:name w:val="ico1655"/>
    <w:basedOn w:val="16"/>
    <w:qFormat/>
    <w:uiPriority w:val="0"/>
  </w:style>
  <w:style w:type="character" w:customStyle="1" w:styleId="51">
    <w:name w:val="associateddata"/>
    <w:basedOn w:val="16"/>
    <w:qFormat/>
    <w:uiPriority w:val="0"/>
    <w:rPr>
      <w:shd w:val="clear" w:fill="50A6F9"/>
    </w:rPr>
  </w:style>
  <w:style w:type="character" w:customStyle="1" w:styleId="52">
    <w:name w:val="first-child"/>
    <w:basedOn w:val="16"/>
    <w:qFormat/>
    <w:uiPriority w:val="0"/>
  </w:style>
  <w:style w:type="character" w:customStyle="1" w:styleId="53">
    <w:name w:val="button"/>
    <w:basedOn w:val="16"/>
    <w:qFormat/>
    <w:uiPriority w:val="0"/>
  </w:style>
  <w:style w:type="character" w:customStyle="1" w:styleId="54">
    <w:name w:val="hilite4"/>
    <w:basedOn w:val="16"/>
    <w:uiPriority w:val="0"/>
    <w:rPr>
      <w:color w:val="FFFFFF"/>
      <w:shd w:val="clear" w:fill="666666"/>
    </w:rPr>
  </w:style>
  <w:style w:type="character" w:customStyle="1" w:styleId="55">
    <w:name w:val="active4"/>
    <w:basedOn w:val="16"/>
    <w:uiPriority w:val="0"/>
    <w:rPr>
      <w:color w:val="00FF00"/>
      <w:shd w:val="clear" w:fill="111111"/>
    </w:rPr>
  </w:style>
  <w:style w:type="character" w:customStyle="1" w:styleId="56">
    <w:name w:val="hilite"/>
    <w:basedOn w:val="16"/>
    <w:uiPriority w:val="0"/>
    <w:rPr>
      <w:color w:val="FFFFFF"/>
      <w:shd w:val="clear" w:fill="666666"/>
    </w:rPr>
  </w:style>
  <w:style w:type="character" w:customStyle="1" w:styleId="57">
    <w:name w:val="ico16"/>
    <w:basedOn w:val="16"/>
    <w:qFormat/>
    <w:uiPriority w:val="0"/>
  </w:style>
  <w:style w:type="character" w:customStyle="1" w:styleId="58">
    <w:name w:val="ico161"/>
    <w:basedOn w:val="16"/>
    <w:qFormat/>
    <w:uiPriority w:val="0"/>
  </w:style>
  <w:style w:type="character" w:customStyle="1" w:styleId="59">
    <w:name w:val="active7"/>
    <w:basedOn w:val="16"/>
    <w:qFormat/>
    <w:uiPriority w:val="0"/>
    <w:rPr>
      <w:color w:val="00FF00"/>
      <w:shd w:val="clear" w:fill="111111"/>
    </w:rPr>
  </w:style>
  <w:style w:type="character" w:customStyle="1" w:styleId="60">
    <w:name w:val="active2"/>
    <w:basedOn w:val="16"/>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6637</Words>
  <Characters>6903</Characters>
  <Lines>53</Lines>
  <Paragraphs>15</Paragraphs>
  <TotalTime>24</TotalTime>
  <ScaleCrop>false</ScaleCrop>
  <LinksUpToDate>false</LinksUpToDate>
  <CharactersWithSpaces>7812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2022-05-20T08:26:54Z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C2FFBC1E2E5F40B4971C37757D79728B</vt:lpwstr>
  </property>
</Properties>
</file>