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lang w:val="en-US" w:eastAsia="zh-CN"/>
        </w:rPr>
      </w:pPr>
      <w:r>
        <w:rPr>
          <w:rFonts w:hint="eastAsia" w:ascii="仿宋_GB2312" w:eastAsia="仿宋_GB2312"/>
          <w:sz w:val="72"/>
          <w:lang w:val="en-US" w:eastAsia="zh-CN"/>
        </w:rPr>
        <w:t xml:space="preserve"> </w:t>
      </w: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rPr>
        <w:t>202</w:t>
      </w:r>
      <w:r>
        <w:rPr>
          <w:rFonts w:hint="eastAsia" w:ascii="仿宋_GB2312" w:hAnsi="宋体" w:eastAsia="仿宋_GB2312"/>
          <w:sz w:val="32"/>
          <w:szCs w:val="32"/>
          <w:highlight w:val="none"/>
          <w:u w:val="single"/>
          <w:lang w:val="en-US" w:eastAsia="zh-CN"/>
        </w:rPr>
        <w:t>206014</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2022年临江公司实验室仪器备件采购项目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20"/>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20"/>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20"/>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20"/>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20"/>
          <w:rFonts w:hint="eastAsia" w:ascii="仿宋_GB2312" w:eastAsia="仿宋_GB2312"/>
          <w:b w:val="0"/>
          <w:snapToGrid w:val="0"/>
          <w:color w:val="auto"/>
          <w:sz w:val="32"/>
          <w:szCs w:val="32"/>
          <w:u w:val="none"/>
        </w:rPr>
        <w:t>第</w:t>
      </w:r>
      <w:r>
        <w:rPr>
          <w:rStyle w:val="20"/>
          <w:rFonts w:hint="eastAsia" w:ascii="仿宋_GB2312" w:eastAsia="仿宋_GB2312"/>
          <w:b w:val="0"/>
          <w:snapToGrid w:val="0"/>
          <w:color w:val="auto"/>
          <w:sz w:val="32"/>
          <w:szCs w:val="32"/>
          <w:u w:val="none"/>
          <w:lang w:eastAsia="zh-CN"/>
        </w:rPr>
        <w:t>五</w:t>
      </w:r>
      <w:r>
        <w:rPr>
          <w:rStyle w:val="20"/>
          <w:rFonts w:hint="eastAsia" w:ascii="仿宋_GB2312" w:eastAsia="仿宋_GB2312"/>
          <w:b w:val="0"/>
          <w:snapToGrid w:val="0"/>
          <w:color w:val="auto"/>
          <w:sz w:val="32"/>
          <w:szCs w:val="32"/>
          <w:u w:val="none"/>
        </w:rPr>
        <w:t xml:space="preserve">部分   </w:t>
      </w:r>
      <w:r>
        <w:rPr>
          <w:rStyle w:val="20"/>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为保障临江公司实验室仪器设备正常运行，需采购一批仪器备件。欢迎符合要求的供应商积极参与。</w:t>
      </w:r>
    </w:p>
    <w:p>
      <w:pPr>
        <w:numPr>
          <w:ilvl w:val="0"/>
          <w:numId w:val="0"/>
        </w:numPr>
        <w:adjustRightInd w:val="0"/>
        <w:snapToGrid w:val="0"/>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ind w:left="600"/>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1.项目编号：20220</w:t>
      </w:r>
      <w:r>
        <w:rPr>
          <w:rFonts w:hint="eastAsia" w:ascii="仿宋_GB2312" w:eastAsia="仿宋_GB2312" w:cs="Times New Roman"/>
          <w:b w:val="0"/>
          <w:caps w:val="0"/>
          <w:kern w:val="2"/>
          <w:sz w:val="30"/>
          <w:szCs w:val="30"/>
          <w:lang w:val="en-US" w:eastAsia="zh-CN" w:bidi="ar-SA"/>
        </w:rPr>
        <w:t>6</w:t>
      </w:r>
      <w:r>
        <w:rPr>
          <w:rFonts w:hint="eastAsia" w:ascii="仿宋_GB2312" w:hAnsi="Times New Roman" w:eastAsia="仿宋_GB2312" w:cs="Times New Roman"/>
          <w:b w:val="0"/>
          <w:caps w:val="0"/>
          <w:kern w:val="2"/>
          <w:sz w:val="30"/>
          <w:szCs w:val="30"/>
          <w:lang w:val="en-US" w:eastAsia="zh-CN" w:bidi="ar-SA"/>
        </w:rPr>
        <w:t>0</w:t>
      </w:r>
      <w:r>
        <w:rPr>
          <w:rFonts w:hint="eastAsia" w:ascii="仿宋_GB2312" w:eastAsia="仿宋_GB2312" w:cs="Times New Roman"/>
          <w:b w:val="0"/>
          <w:caps w:val="0"/>
          <w:kern w:val="2"/>
          <w:sz w:val="30"/>
          <w:szCs w:val="30"/>
          <w:lang w:val="en-US" w:eastAsia="zh-CN" w:bidi="ar-SA"/>
        </w:rPr>
        <w:t>14</w:t>
      </w:r>
    </w:p>
    <w:p>
      <w:pPr>
        <w:pStyle w:val="2"/>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ind w:left="600"/>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3.本项目采购总金额限价为</w:t>
      </w:r>
      <w:r>
        <w:rPr>
          <w:rFonts w:hint="eastAsia" w:ascii="仿宋_GB2312" w:eastAsia="仿宋_GB2312" w:cs="Times New Roman"/>
          <w:b w:val="0"/>
          <w:caps w:val="0"/>
          <w:kern w:val="2"/>
          <w:sz w:val="30"/>
          <w:szCs w:val="30"/>
          <w:lang w:val="en-US" w:eastAsia="zh-CN" w:bidi="ar-SA"/>
        </w:rPr>
        <w:t>19.7017</w:t>
      </w:r>
      <w:r>
        <w:rPr>
          <w:rFonts w:hint="eastAsia" w:ascii="仿宋_GB2312" w:hAnsi="Times New Roman" w:eastAsia="仿宋_GB2312" w:cs="Times New Roman"/>
          <w:b w:val="0"/>
          <w:caps w:val="0"/>
          <w:kern w:val="2"/>
          <w:sz w:val="30"/>
          <w:szCs w:val="30"/>
          <w:lang w:val="en-US" w:eastAsia="zh-CN" w:bidi="ar-SA"/>
        </w:rPr>
        <w:t>万元。</w:t>
      </w:r>
    </w:p>
    <w:p>
      <w:pPr>
        <w:snapToGrid w:val="0"/>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1.投标人必须是在中华人民共和国境内注册，注册资本金50万元，具有独立法人资格和独立承担民事责任的能力；</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3.投标人营业执照经营范围须含有询价文件所需货物的生产、销售资质。</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7.本项目不接受联合体投标。</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8.投标保证金3800元，请投标人在投标截止前汇入以下账户并注明采购项目名称：</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单位名称：杭州临江环境能源有限公司</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账号：571911871110866</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开户行：招商银行杭州分行滨江支行</w:t>
      </w:r>
    </w:p>
    <w:p>
      <w:pPr>
        <w:snapToGrid w:val="0"/>
        <w:ind w:firstLine="585"/>
        <w:jc w:val="left"/>
        <w:rPr>
          <w:rFonts w:hint="eastAsia" w:ascii="仿宋_GB2312" w:eastAsia="仿宋_GB2312"/>
          <w:sz w:val="30"/>
          <w:szCs w:val="30"/>
        </w:rPr>
      </w:pPr>
      <w:r>
        <w:rPr>
          <w:rFonts w:hint="eastAsia" w:ascii="仿宋_GB2312" w:eastAsia="仿宋_GB2312"/>
          <w:sz w:val="30"/>
          <w:szCs w:val="30"/>
        </w:rPr>
        <w:t>三、报名方式：202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22</w:t>
      </w:r>
      <w:r>
        <w:rPr>
          <w:rFonts w:hint="eastAsia" w:ascii="仿宋_GB2312" w:eastAsia="仿宋_GB2312"/>
          <w:sz w:val="30"/>
          <w:szCs w:val="30"/>
          <w:highlight w:val="none"/>
        </w:rPr>
        <w:t>日</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四 、报价时间及地点。</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1.</w:t>
      </w:r>
      <w:r>
        <w:rPr>
          <w:rFonts w:hint="eastAsia" w:ascii="仿宋_GB2312" w:hAnsi="宋体" w:eastAsia="仿宋_GB2312" w:cs="Times New Roman"/>
          <w:color w:val="000000"/>
          <w:sz w:val="30"/>
          <w:szCs w:val="30"/>
          <w:highlight w:val="none"/>
          <w:shd w:val="clear" w:color="auto" w:fill="auto"/>
          <w:lang w:eastAsia="zh-CN"/>
        </w:rPr>
        <w:t>报价时间：202</w:t>
      </w: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年</w:t>
      </w:r>
      <w:r>
        <w:rPr>
          <w:rFonts w:hint="eastAsia" w:ascii="仿宋_GB2312" w:hAnsi="宋体" w:eastAsia="仿宋_GB2312" w:cs="Times New Roman"/>
          <w:color w:val="000000"/>
          <w:sz w:val="30"/>
          <w:szCs w:val="30"/>
          <w:highlight w:val="none"/>
          <w:shd w:val="clear" w:color="auto" w:fill="auto"/>
          <w:lang w:val="en-US" w:eastAsia="zh-CN"/>
        </w:rPr>
        <w:t>6</w:t>
      </w:r>
      <w:r>
        <w:rPr>
          <w:rFonts w:hint="eastAsia" w:ascii="仿宋_GB2312" w:hAnsi="宋体" w:eastAsia="仿宋_GB2312" w:cs="Times New Roman"/>
          <w:color w:val="000000"/>
          <w:sz w:val="30"/>
          <w:szCs w:val="30"/>
          <w:highlight w:val="none"/>
          <w:shd w:val="clear" w:color="auto" w:fill="auto"/>
          <w:lang w:eastAsia="zh-CN"/>
        </w:rPr>
        <w:t>月</w:t>
      </w:r>
      <w:r>
        <w:rPr>
          <w:rFonts w:hint="eastAsia" w:ascii="仿宋_GB2312" w:hAnsi="宋体" w:eastAsia="仿宋_GB2312" w:cs="Times New Roman"/>
          <w:color w:val="000000"/>
          <w:sz w:val="30"/>
          <w:szCs w:val="30"/>
          <w:highlight w:val="none"/>
          <w:shd w:val="clear" w:color="auto" w:fill="auto"/>
          <w:lang w:val="en-US" w:eastAsia="zh-CN"/>
        </w:rPr>
        <w:t>28</w:t>
      </w:r>
      <w:r>
        <w:rPr>
          <w:rFonts w:hint="eastAsia" w:ascii="仿宋_GB2312" w:hAnsi="宋体" w:eastAsia="仿宋_GB2312" w:cs="Times New Roman"/>
          <w:color w:val="000000"/>
          <w:sz w:val="30"/>
          <w:szCs w:val="30"/>
          <w:highlight w:val="none"/>
          <w:shd w:val="clear" w:color="auto" w:fill="auto"/>
          <w:lang w:eastAsia="zh-CN"/>
        </w:rPr>
        <w:t>日10:</w:t>
      </w:r>
      <w:r>
        <w:rPr>
          <w:rFonts w:hint="eastAsia" w:ascii="仿宋_GB2312" w:hAnsi="宋体" w:eastAsia="仿宋_GB2312" w:cs="Times New Roman"/>
          <w:color w:val="000000"/>
          <w:sz w:val="30"/>
          <w:szCs w:val="30"/>
          <w:highlight w:val="none"/>
          <w:shd w:val="clear" w:color="auto" w:fill="auto"/>
          <w:lang w:val="en-US" w:eastAsia="zh-CN"/>
        </w:rPr>
        <w:t>0</w:t>
      </w:r>
      <w:r>
        <w:rPr>
          <w:rFonts w:hint="eastAsia" w:ascii="仿宋_GB2312" w:hAnsi="宋体" w:eastAsia="仿宋_GB2312" w:cs="Times New Roman"/>
          <w:color w:val="000000"/>
          <w:sz w:val="30"/>
          <w:szCs w:val="30"/>
          <w:highlight w:val="none"/>
          <w:shd w:val="clear" w:color="auto" w:fill="auto"/>
          <w:lang w:eastAsia="zh-CN"/>
        </w:rPr>
        <w:t>0。</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报价地点：杭州临江环境能源有限公司（杭州市钱塘区红十五线与观十五线交叉口）。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五、报价文件的提交</w:t>
      </w:r>
    </w:p>
    <w:p>
      <w:pPr>
        <w:snapToGrid w:val="0"/>
        <w:ind w:firstLine="585"/>
        <w:jc w:val="left"/>
        <w:rPr>
          <w:rFonts w:hint="eastAsia" w:ascii="仿宋_GB2312" w:hAnsi="宋体" w:eastAsia="仿宋_GB2312" w:cs="Times New Roman"/>
          <w:b/>
          <w:bCs/>
          <w:color w:val="000000"/>
          <w:sz w:val="30"/>
          <w:szCs w:val="30"/>
          <w:highlight w:val="none"/>
          <w:shd w:val="clear" w:color="auto" w:fill="auto"/>
          <w:lang w:val="en-US" w:eastAsia="zh-CN"/>
        </w:rPr>
      </w:pPr>
      <w:r>
        <w:rPr>
          <w:rFonts w:hint="eastAsia" w:ascii="仿宋_GB2312" w:hAnsi="宋体" w:eastAsia="仿宋_GB2312" w:cs="Times New Roman"/>
          <w:b/>
          <w:bCs/>
          <w:color w:val="000000"/>
          <w:sz w:val="30"/>
          <w:szCs w:val="30"/>
          <w:highlight w:val="none"/>
          <w:shd w:val="clear" w:color="auto" w:fill="auto"/>
          <w:lang w:val="en-US" w:eastAsia="zh-CN"/>
        </w:rPr>
        <w:t>1.邀请所有投标人参与现场开标，现场提交投标文件。若投标人放弃参与开标的权利而采用邮寄方式递交投标文件，则视同认可开标过程及结果，不得提出疑议。</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2.邮寄地址：杭州市钱塘区临江街道红十五线与观十五线交叉口杭州临江环境能源有限公司科研楼投资发展部 </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 庄工  15268125337</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3.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4.报价文件邮递递交截止时间：以邮寄签收时间为准，因邮寄原因导致报价文件不能如期送达等风险由供应商自行承担。</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六</w:t>
      </w:r>
      <w:r>
        <w:rPr>
          <w:rFonts w:hint="eastAsia" w:ascii="仿宋_GB2312" w:hAnsi="Times New Roman" w:eastAsia="仿宋_GB2312" w:cs="Times New Roman"/>
          <w:sz w:val="30"/>
          <w:szCs w:val="30"/>
          <w:highlight w:val="none"/>
        </w:rPr>
        <w:t>、质疑。</w:t>
      </w:r>
    </w:p>
    <w:p>
      <w:pPr>
        <w:snapToGrid w:val="0"/>
        <w:ind w:firstLine="585"/>
        <w:jc w:val="left"/>
        <w:rPr>
          <w:rFonts w:hint="eastAsia"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七</w:t>
      </w:r>
      <w:r>
        <w:rPr>
          <w:rFonts w:hint="eastAsia" w:ascii="仿宋_GB2312" w:eastAsia="仿宋_GB2312"/>
          <w:sz w:val="30"/>
          <w:szCs w:val="30"/>
          <w:highlight w:val="none"/>
        </w:rPr>
        <w:t>、联系人：</w:t>
      </w:r>
      <w:r>
        <w:rPr>
          <w:rFonts w:hint="eastAsia" w:ascii="仿宋_GB2312" w:hAnsi="宋体" w:eastAsia="仿宋_GB2312" w:cs="Times New Roman"/>
          <w:color w:val="000000"/>
          <w:sz w:val="30"/>
          <w:szCs w:val="30"/>
          <w:highlight w:val="none"/>
          <w:shd w:val="clear" w:color="auto" w:fill="auto"/>
          <w:lang w:val="en-US" w:eastAsia="zh-CN"/>
        </w:rPr>
        <w:t>庄工</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联系电话：</w:t>
      </w:r>
      <w:r>
        <w:rPr>
          <w:rFonts w:hint="eastAsia" w:ascii="仿宋_GB2312" w:hAnsi="宋体" w:eastAsia="仿宋_GB2312" w:cs="Times New Roman"/>
          <w:color w:val="000000"/>
          <w:sz w:val="30"/>
          <w:szCs w:val="30"/>
          <w:highlight w:val="none"/>
          <w:shd w:val="clear" w:color="auto" w:fill="auto"/>
          <w:lang w:val="en-US" w:eastAsia="zh-CN"/>
        </w:rPr>
        <w:t>15268125337</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八、监督部门：临江公司监察审计部</w:t>
      </w:r>
    </w:p>
    <w:p>
      <w:pPr>
        <w:pStyle w:val="14"/>
        <w:rPr>
          <w:rFonts w:hint="default"/>
          <w:sz w:val="30"/>
          <w:szCs w:val="30"/>
          <w:lang w:val="en-US" w:eastAsia="zh-CN"/>
        </w:rPr>
      </w:pPr>
      <w:r>
        <w:rPr>
          <w:rFonts w:hint="eastAsia" w:ascii="仿宋_GB2312" w:eastAsia="仿宋_GB2312"/>
          <w:sz w:val="30"/>
          <w:szCs w:val="30"/>
          <w:lang w:val="en-US" w:eastAsia="zh-CN"/>
        </w:rPr>
        <w:t xml:space="preserve">    联系人：李文拓                联系电话：13867172350</w:t>
      </w:r>
    </w:p>
    <w:p>
      <w:pPr>
        <w:snapToGrid w:val="0"/>
        <w:ind w:firstLine="600" w:firstLineChars="200"/>
        <w:jc w:val="left"/>
        <w:rPr>
          <w:rFonts w:hint="eastAsia" w:ascii="仿宋_GB2312" w:eastAsia="仿宋_GB2312"/>
          <w:sz w:val="30"/>
          <w:szCs w:val="30"/>
        </w:rPr>
      </w:pPr>
    </w:p>
    <w:p>
      <w:pPr>
        <w:snapToGrid w:val="0"/>
        <w:ind w:firstLine="600" w:firstLineChars="200"/>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杭州临江环境</w:t>
      </w:r>
      <w:r>
        <w:rPr>
          <w:rFonts w:ascii="仿宋_GB2312" w:eastAsia="仿宋_GB2312"/>
          <w:sz w:val="30"/>
          <w:szCs w:val="30"/>
        </w:rPr>
        <w:t>能源有公司</w:t>
      </w:r>
    </w:p>
    <w:p>
      <w:pPr>
        <w:snapToGrid w:val="0"/>
        <w:ind w:firstLine="585"/>
        <w:jc w:val="center"/>
        <w:rPr>
          <w:rFonts w:ascii="仿宋_GB2312" w:eastAsia="仿宋_GB2312"/>
          <w:snapToGrid w:val="0"/>
          <w:sz w:val="24"/>
          <w:szCs w:val="24"/>
        </w:rPr>
      </w:pPr>
      <w:r>
        <w:rPr>
          <w:rFonts w:hint="eastAsia" w:ascii="仿宋_GB2312" w:eastAsia="仿宋_GB2312"/>
          <w:sz w:val="30"/>
          <w:szCs w:val="30"/>
          <w:lang w:val="en-US" w:eastAsia="zh-CN"/>
        </w:rPr>
        <w:t xml:space="preserve">                                         </w:t>
      </w:r>
      <w:r>
        <w:rPr>
          <w:rFonts w:hint="eastAsia" w:ascii="仿宋_GB2312" w:eastAsia="仿宋_GB2312"/>
          <w:sz w:val="30"/>
          <w:szCs w:val="30"/>
        </w:rPr>
        <w:t>20</w:t>
      </w:r>
      <w:r>
        <w:rPr>
          <w:rFonts w:ascii="仿宋_GB2312" w:eastAsia="仿宋_GB2312"/>
          <w:sz w:val="30"/>
          <w:szCs w:val="30"/>
        </w:rPr>
        <w:t>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16</w:t>
      </w:r>
      <w:r>
        <w:rPr>
          <w:rFonts w:hint="eastAsia" w:ascii="仿宋_GB2312" w:eastAsia="仿宋_GB2312"/>
          <w:sz w:val="30"/>
          <w:szCs w:val="30"/>
          <w:highlight w:val="none"/>
        </w:rPr>
        <w:t>日</w:t>
      </w: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（一）“采购人”系指杭州临江环境</w:t>
      </w:r>
      <w:r>
        <w:rPr>
          <w:rFonts w:ascii="仿宋_GB2312" w:hAnsi="宋体" w:eastAsia="仿宋_GB2312"/>
          <w:sz w:val="30"/>
          <w:szCs w:val="30"/>
        </w:rPr>
        <w:t>能源</w:t>
      </w:r>
      <w:r>
        <w:rPr>
          <w:rFonts w:hint="eastAsia" w:ascii="仿宋_GB2312" w:hAnsi="宋体" w:eastAsia="仿宋_GB2312"/>
          <w:sz w:val="30"/>
          <w:szCs w:val="30"/>
        </w:rPr>
        <w:t>有限公司。</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hint="eastAsia"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四</w:t>
      </w:r>
      <w:r>
        <w:rPr>
          <w:rFonts w:hint="eastAsia" w:ascii="仿宋_GB2312" w:eastAsia="仿宋_GB2312"/>
          <w:sz w:val="30"/>
          <w:szCs w:val="30"/>
        </w:rPr>
        <w:t>、报价有效期。</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（二）特殊情况下，采购人可与供应商协商延缓报价有效期，这种要求和答复均以书面形式进行。在这种情况下，保证金的有效期也相应延长。</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（三）供应商可拒绝接受延期要求而不会导致保证金被没收，同意延长有效期的供应商不能修改报价文件。</w:t>
      </w:r>
    </w:p>
    <w:p>
      <w:pPr>
        <w:snapToGrid w:val="0"/>
        <w:ind w:firstLine="600" w:firstLineChars="200"/>
        <w:jc w:val="left"/>
        <w:rPr>
          <w:rFonts w:hint="eastAsia" w:ascii="仿宋_GB2312" w:eastAsia="仿宋_GB2312"/>
          <w:bCs/>
          <w:sz w:val="30"/>
          <w:szCs w:val="30"/>
        </w:rPr>
      </w:pPr>
      <w:r>
        <w:rPr>
          <w:rFonts w:hint="eastAsia" w:ascii="仿宋_GB2312" w:eastAsia="仿宋_GB2312"/>
          <w:bCs/>
          <w:sz w:val="30"/>
          <w:szCs w:val="30"/>
          <w:lang w:eastAsia="zh-CN"/>
        </w:rPr>
        <w:t>五</w:t>
      </w:r>
      <w:r>
        <w:rPr>
          <w:rFonts w:hint="eastAsia" w:ascii="仿宋_GB2312" w:eastAsia="仿宋_GB2312"/>
          <w:bCs/>
          <w:sz w:val="30"/>
          <w:szCs w:val="30"/>
        </w:rPr>
        <w:t>、报价文件的组成。</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1.报价文件封面（附件一）；</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2.法定代表人授权书（附件二）；</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eastAsia="仿宋_GB2312"/>
          <w:bCs/>
          <w:sz w:val="30"/>
          <w:szCs w:val="30"/>
        </w:rPr>
        <w:t>3</w:t>
      </w:r>
      <w:r>
        <w:rPr>
          <w:rFonts w:hint="eastAsia" w:ascii="仿宋_GB2312" w:hAnsi="Times New Roman" w:eastAsia="仿宋_GB2312" w:cs="Times New Roman"/>
          <w:bCs/>
          <w:sz w:val="30"/>
          <w:szCs w:val="30"/>
        </w:rPr>
        <w:t>.报价一览表（附件三）；</w:t>
      </w:r>
    </w:p>
    <w:p>
      <w:pPr>
        <w:snapToGrid w:val="0"/>
        <w:ind w:firstLine="576" w:firstLineChars="192"/>
        <w:jc w:val="left"/>
        <w:rPr>
          <w:rFonts w:hint="default" w:ascii="仿宋_GB2312" w:hAnsi="Times New Roman" w:eastAsia="仿宋_GB2312" w:cs="Times New Roman"/>
          <w:bCs/>
          <w:sz w:val="30"/>
          <w:szCs w:val="30"/>
          <w:lang w:val="en-US" w:eastAsia="zh-CN"/>
        </w:rPr>
      </w:pPr>
      <w:r>
        <w:rPr>
          <w:rFonts w:hint="eastAsia" w:ascii="仿宋_GB2312" w:hAnsi="Times New Roman" w:eastAsia="仿宋_GB2312" w:cs="Times New Roman"/>
          <w:bCs/>
          <w:sz w:val="30"/>
          <w:szCs w:val="30"/>
          <w:lang w:val="en-US" w:eastAsia="zh-CN"/>
        </w:rPr>
        <w:t>4.</w:t>
      </w:r>
      <w:r>
        <w:rPr>
          <w:rFonts w:hint="eastAsia" w:ascii="仿宋_GB2312" w:eastAsia="仿宋_GB2312" w:cs="Times New Roman"/>
          <w:bCs/>
          <w:sz w:val="30"/>
          <w:szCs w:val="30"/>
          <w:lang w:val="en-US" w:eastAsia="zh-CN"/>
        </w:rPr>
        <w:t>服务质量保证承诺函</w:t>
      </w:r>
      <w:r>
        <w:rPr>
          <w:rFonts w:hint="eastAsia" w:ascii="仿宋_GB2312" w:hAnsi="Times New Roman" w:eastAsia="仿宋_GB2312" w:cs="Times New Roman"/>
          <w:bCs/>
          <w:sz w:val="30"/>
          <w:szCs w:val="30"/>
          <w:lang w:val="en-US" w:eastAsia="zh-CN"/>
        </w:rPr>
        <w:t>附件四）</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5.股权信息及出资比例信息（附件五）</w:t>
      </w:r>
      <w:r>
        <w:rPr>
          <w:rFonts w:hint="eastAsia" w:ascii="仿宋_GB2312" w:hAnsi="Times New Roman" w:eastAsia="仿宋_GB2312" w:cs="Times New Roman"/>
          <w:bCs/>
          <w:sz w:val="30"/>
          <w:szCs w:val="30"/>
        </w:rPr>
        <w:t>；</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6</w:t>
      </w:r>
      <w:r>
        <w:rPr>
          <w:rFonts w:hint="eastAsia" w:ascii="仿宋_GB2312" w:hAnsi="Times New Roman" w:eastAsia="仿宋_GB2312" w:cs="Times New Roman"/>
          <w:bCs/>
          <w:sz w:val="30"/>
          <w:szCs w:val="30"/>
        </w:rPr>
        <w:t>.有效资质证明并加盖公章：通过年检的营业执照复印件。</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7.投标保证金银行汇款单复印件</w:t>
      </w:r>
    </w:p>
    <w:p>
      <w:pPr>
        <w:snapToGrid w:val="0"/>
        <w:ind w:firstLine="576" w:firstLineChars="192"/>
        <w:jc w:val="left"/>
        <w:rPr>
          <w:rFonts w:hint="eastAsia" w:ascii="仿宋_GB2312" w:eastAsia="仿宋_GB2312"/>
          <w:bCs/>
          <w:sz w:val="30"/>
          <w:szCs w:val="30"/>
        </w:rPr>
      </w:pPr>
      <w:r>
        <w:rPr>
          <w:rFonts w:hint="eastAsia" w:ascii="仿宋_GB2312" w:hAnsi="Times New Roman" w:eastAsia="仿宋_GB2312" w:cs="Times New Roman"/>
          <w:bCs/>
          <w:sz w:val="30"/>
          <w:szCs w:val="30"/>
        </w:rPr>
        <w:t>报价文件装订密封，并在封皮上注明：</w:t>
      </w:r>
      <w:r>
        <w:rPr>
          <w:rFonts w:hint="eastAsia" w:ascii="仿宋_GB2312" w:eastAsia="仿宋_GB2312"/>
          <w:bCs/>
          <w:sz w:val="30"/>
          <w:szCs w:val="30"/>
        </w:rPr>
        <w:t>采购项目名称、采购项目编号、报价单位名称、</w:t>
      </w:r>
      <w:r>
        <w:rPr>
          <w:rFonts w:hint="eastAsia" w:ascii="仿宋_GB2312" w:eastAsia="仿宋_GB2312"/>
          <w:bCs/>
          <w:sz w:val="30"/>
          <w:szCs w:val="30"/>
          <w:lang w:val="en-US" w:eastAsia="zh-CN"/>
        </w:rPr>
        <w:t>授权</w:t>
      </w:r>
      <w:r>
        <w:rPr>
          <w:rFonts w:hint="eastAsia" w:ascii="仿宋_GB2312" w:eastAsia="仿宋_GB2312"/>
          <w:bCs/>
          <w:sz w:val="30"/>
          <w:szCs w:val="30"/>
        </w:rPr>
        <w:t>代表姓名。</w:t>
      </w:r>
    </w:p>
    <w:p>
      <w:pPr>
        <w:snapToGrid w:val="0"/>
        <w:ind w:left="-178" w:leftChars="-85" w:firstLine="771" w:firstLineChars="257"/>
        <w:jc w:val="left"/>
        <w:rPr>
          <w:rFonts w:hint="eastAsia" w:ascii="仿宋_GB2312" w:eastAsia="仿宋_GB2312"/>
          <w:sz w:val="30"/>
          <w:szCs w:val="30"/>
        </w:rPr>
      </w:pPr>
      <w:r>
        <w:rPr>
          <w:rFonts w:hint="eastAsia" w:ascii="仿宋_GB2312" w:eastAsia="仿宋_GB2312"/>
          <w:bCs/>
          <w:sz w:val="30"/>
          <w:szCs w:val="30"/>
          <w:lang w:eastAsia="zh-CN"/>
        </w:rPr>
        <w:t>六</w:t>
      </w:r>
      <w:r>
        <w:rPr>
          <w:rFonts w:hint="eastAsia" w:ascii="仿宋_GB2312" w:eastAsia="仿宋_GB2312"/>
          <w:bCs/>
          <w:sz w:val="30"/>
          <w:szCs w:val="30"/>
        </w:rPr>
        <w:t>、报价文件的签署和份</w:t>
      </w:r>
      <w:r>
        <w:rPr>
          <w:rFonts w:hint="eastAsia" w:ascii="仿宋_GB2312" w:eastAsia="仿宋_GB2312"/>
          <w:sz w:val="30"/>
          <w:szCs w:val="30"/>
        </w:rPr>
        <w:t>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val="en-US" w:eastAsia="zh-CN"/>
        </w:rPr>
        <w:t>授权</w:t>
      </w:r>
      <w:r>
        <w:rPr>
          <w:rFonts w:hint="eastAsia" w:ascii="仿宋_GB2312" w:eastAsia="仿宋_GB2312"/>
          <w:sz w:val="30"/>
          <w:szCs w:val="30"/>
        </w:rPr>
        <w:t>代表签署，供应商单位应写全称。</w:t>
      </w:r>
    </w:p>
    <w:p>
      <w:pPr>
        <w:snapToGrid w:val="0"/>
        <w:ind w:firstLine="615" w:firstLineChars="205"/>
        <w:jc w:val="left"/>
        <w:rPr>
          <w:rFonts w:hint="eastAsia"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hint="eastAsia" w:ascii="仿宋_GB2312" w:eastAsia="仿宋_GB2312"/>
          <w:sz w:val="30"/>
          <w:szCs w:val="30"/>
        </w:rPr>
      </w:pPr>
      <w:r>
        <w:rPr>
          <w:rFonts w:hint="eastAsia" w:ascii="仿宋_GB2312" w:eastAsia="仿宋_GB2312"/>
          <w:sz w:val="30"/>
          <w:szCs w:val="30"/>
          <w:lang w:eastAsia="zh-CN"/>
        </w:rPr>
        <w:t>七</w:t>
      </w:r>
      <w:r>
        <w:rPr>
          <w:rFonts w:hint="eastAsia" w:ascii="仿宋_GB2312" w:eastAsia="仿宋_GB2312"/>
          <w:sz w:val="30"/>
          <w:szCs w:val="30"/>
        </w:rPr>
        <w:t>、报价文件的递交。</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lang w:eastAsia="zh-CN"/>
        </w:rPr>
        <w:t>八</w:t>
      </w:r>
      <w:r>
        <w:rPr>
          <w:rFonts w:hint="eastAsia" w:ascii="仿宋_GB2312" w:eastAsia="仿宋_GB2312"/>
          <w:sz w:val="30"/>
          <w:szCs w:val="30"/>
        </w:rPr>
        <w:t>、无效报价</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（四）未按规定缴纳保证金的。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（五）供应商法定代表人或</w:t>
      </w:r>
      <w:r>
        <w:rPr>
          <w:rFonts w:hint="eastAsia" w:ascii="仿宋_GB2312" w:eastAsia="仿宋_GB2312"/>
          <w:sz w:val="30"/>
          <w:szCs w:val="30"/>
          <w:lang w:val="en-US" w:eastAsia="zh-CN"/>
        </w:rPr>
        <w:t>授权</w:t>
      </w:r>
      <w:r>
        <w:rPr>
          <w:rFonts w:hint="eastAsia" w:ascii="仿宋_GB2312" w:eastAsia="仿宋_GB2312"/>
          <w:sz w:val="30"/>
          <w:szCs w:val="30"/>
        </w:rPr>
        <w:t>代表未到询价报价现场或不能提供相应身份证明的。</w:t>
      </w:r>
    </w:p>
    <w:p>
      <w:pPr>
        <w:snapToGrid w:val="0"/>
        <w:jc w:val="left"/>
        <w:rPr>
          <w:rFonts w:hint="eastAsia" w:ascii="仿宋_GB2312" w:eastAsia="仿宋_GB2312"/>
          <w:sz w:val="30"/>
          <w:szCs w:val="30"/>
        </w:rPr>
      </w:pPr>
      <w:r>
        <w:rPr>
          <w:rFonts w:hint="eastAsia" w:ascii="仿宋_GB2312" w:eastAsia="仿宋_GB2312"/>
          <w:sz w:val="30"/>
          <w:szCs w:val="30"/>
        </w:rPr>
        <w:t xml:space="preserve">    （六）报价超过最高限价的。</w:t>
      </w:r>
    </w:p>
    <w:p>
      <w:pPr>
        <w:snapToGrid w:val="0"/>
        <w:jc w:val="left"/>
        <w:rPr>
          <w:rFonts w:hint="eastAsia" w:ascii="仿宋_GB2312" w:eastAsia="仿宋_GB2312"/>
          <w:sz w:val="30"/>
          <w:szCs w:val="30"/>
        </w:rPr>
      </w:pPr>
      <w:r>
        <w:rPr>
          <w:rFonts w:hint="eastAsia" w:ascii="仿宋_GB2312" w:eastAsia="仿宋_GB2312"/>
          <w:sz w:val="30"/>
          <w:szCs w:val="30"/>
        </w:rPr>
        <w:t xml:space="preserve">    （七）所提供的资料存在弄虚作假的。</w:t>
      </w:r>
    </w:p>
    <w:p>
      <w:pPr>
        <w:snapToGrid w:val="0"/>
        <w:jc w:val="left"/>
        <w:rPr>
          <w:rFonts w:hint="eastAsia" w:ascii="仿宋_GB2312" w:eastAsia="仿宋_GB2312"/>
          <w:b/>
          <w:sz w:val="30"/>
          <w:szCs w:val="30"/>
        </w:rPr>
      </w:pPr>
      <w:r>
        <w:rPr>
          <w:rFonts w:hint="eastAsia" w:ascii="仿宋_GB2312" w:eastAsia="仿宋_GB2312"/>
          <w:sz w:val="30"/>
          <w:szCs w:val="30"/>
        </w:rPr>
        <w:t xml:space="preserve">    （八）不符合法律、法规和本询价文件规定的其他要求的。</w:t>
      </w:r>
    </w:p>
    <w:p>
      <w:pPr>
        <w:snapToGrid w:val="0"/>
        <w:ind w:right="-176" w:rightChars="-84"/>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snapToGrid w:val="0"/>
        <w:jc w:val="left"/>
        <w:rPr>
          <w:rFonts w:hint="eastAsia" w:ascii="仿宋_GB2312" w:eastAsia="仿宋_GB2312"/>
          <w:sz w:val="30"/>
          <w:szCs w:val="30"/>
        </w:rPr>
      </w:pPr>
      <w:r>
        <w:rPr>
          <w:rFonts w:hint="eastAsia" w:ascii="仿宋_GB2312" w:eastAsia="仿宋_GB2312"/>
          <w:sz w:val="30"/>
          <w:szCs w:val="30"/>
        </w:rPr>
        <w:t xml:space="preserve">    （一）采购人组织3人组成询价评审小组。</w:t>
      </w:r>
    </w:p>
    <w:p>
      <w:pPr>
        <w:snapToGrid w:val="0"/>
        <w:jc w:val="left"/>
        <w:rPr>
          <w:rFonts w:hint="eastAsia" w:ascii="仿宋_GB2312" w:eastAsia="仿宋_GB2312"/>
          <w:sz w:val="30"/>
          <w:szCs w:val="30"/>
        </w:rPr>
      </w:pPr>
      <w:r>
        <w:rPr>
          <w:rFonts w:hint="eastAsia" w:ascii="仿宋_GB2312" w:eastAsia="仿宋_GB2312"/>
          <w:sz w:val="30"/>
          <w:szCs w:val="30"/>
        </w:rPr>
        <w:t xml:space="preserve">    （二）采购人在询价文件规定的时间和地点公开询价。供应商的法定代表人或</w:t>
      </w:r>
      <w:r>
        <w:rPr>
          <w:rFonts w:hint="eastAsia" w:ascii="仿宋_GB2312" w:eastAsia="仿宋_GB2312"/>
          <w:sz w:val="30"/>
          <w:szCs w:val="30"/>
          <w:lang w:val="en-US" w:eastAsia="zh-CN"/>
        </w:rPr>
        <w:t>授权</w:t>
      </w:r>
      <w:r>
        <w:rPr>
          <w:rFonts w:hint="eastAsia" w:ascii="仿宋_GB2312" w:eastAsia="仿宋_GB2312"/>
          <w:sz w:val="30"/>
          <w:szCs w:val="30"/>
        </w:rPr>
        <w:t>代表必须参加，负责解答有关事宜，并携带身份证。</w:t>
      </w:r>
    </w:p>
    <w:p>
      <w:pPr>
        <w:snapToGrid w:val="0"/>
        <w:jc w:val="left"/>
        <w:rPr>
          <w:rFonts w:hint="eastAsia" w:ascii="仿宋_GB2312" w:eastAsia="仿宋_GB2312"/>
          <w:sz w:val="30"/>
          <w:szCs w:val="30"/>
        </w:rPr>
      </w:pPr>
      <w:r>
        <w:rPr>
          <w:rFonts w:hint="eastAsia" w:ascii="仿宋_GB2312" w:eastAsia="仿宋_GB2312"/>
          <w:sz w:val="30"/>
          <w:szCs w:val="30"/>
        </w:rPr>
        <w:t>　　（三）询价时，采购人将查验报价文件密封情况，确认无误后公开拆封报价文件报价。</w:t>
      </w:r>
    </w:p>
    <w:p>
      <w:pPr>
        <w:snapToGrid w:val="0"/>
        <w:ind w:right="-176" w:rightChars="-84"/>
        <w:rPr>
          <w:rFonts w:hint="eastAsia"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（二）采购人不向未成交供应商人解释未成交原因，不退还报价文件。</w:t>
      </w:r>
    </w:p>
    <w:p>
      <w:pPr>
        <w:pStyle w:val="22"/>
        <w:widowControl w:val="0"/>
        <w:snapToGrid w:val="0"/>
        <w:spacing w:line="240" w:lineRule="auto"/>
        <w:ind w:firstLine="601"/>
        <w:rPr>
          <w:rFonts w:hint="eastAsia"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eastAsia="zh-CN"/>
        </w:rPr>
        <w:t>一</w:t>
      </w:r>
      <w:r>
        <w:rPr>
          <w:rFonts w:hint="eastAsia" w:ascii="仿宋_GB2312" w:eastAsia="仿宋_GB2312"/>
          <w:sz w:val="30"/>
          <w:szCs w:val="30"/>
        </w:rPr>
        <w:t>、合同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10个工作日内与采购人</w:t>
      </w:r>
      <w:r>
        <w:rPr>
          <w:rFonts w:hint="eastAsia" w:ascii="仿宋_GB2312" w:eastAsia="仿宋_GB2312"/>
          <w:sz w:val="30"/>
          <w:szCs w:val="30"/>
          <w:highlight w:val="none"/>
        </w:rPr>
        <w:t>签订采购合同</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签约</w:t>
      </w:r>
      <w:r>
        <w:rPr>
          <w:rFonts w:hint="eastAsia" w:ascii="仿宋_GB2312" w:eastAsia="仿宋_GB2312"/>
          <w:sz w:val="30"/>
          <w:szCs w:val="30"/>
        </w:rPr>
        <w:t>单位为杭州临江环境</w:t>
      </w:r>
      <w:r>
        <w:rPr>
          <w:rFonts w:ascii="仿宋_GB2312" w:eastAsia="仿宋_GB2312"/>
          <w:sz w:val="30"/>
          <w:szCs w:val="30"/>
        </w:rPr>
        <w:t>能源</w:t>
      </w:r>
      <w:r>
        <w:rPr>
          <w:rFonts w:hint="eastAsia" w:ascii="仿宋_GB2312" w:eastAsia="仿宋_GB2312"/>
          <w:sz w:val="30"/>
          <w:szCs w:val="30"/>
        </w:rPr>
        <w:t>有限公司。</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（二）履约保证金：合同签订的同时，成交供应商应支付相当于合同总价</w:t>
      </w:r>
      <w:r>
        <w:rPr>
          <w:rFonts w:hint="eastAsia" w:ascii="仿宋_GB2312" w:eastAsia="仿宋_GB2312"/>
          <w:sz w:val="30"/>
          <w:szCs w:val="30"/>
          <w:lang w:val="en-US" w:eastAsia="zh-CN"/>
        </w:rPr>
        <w:t>5</w:t>
      </w:r>
      <w:r>
        <w:rPr>
          <w:rFonts w:hint="eastAsia" w:ascii="仿宋_GB2312" w:eastAsia="仿宋_GB2312"/>
          <w:sz w:val="30"/>
          <w:szCs w:val="30"/>
        </w:rPr>
        <w:t>%的履约保证金。合同到期按合同规定时间内，履约保证金原额退还。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十二、</w:t>
      </w: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lang w:eastAsia="zh-CN"/>
        </w:rPr>
        <w:t>（</w:t>
      </w:r>
      <w:r>
        <w:rPr>
          <w:rFonts w:hint="eastAsia" w:ascii="仿宋_GB2312" w:eastAsia="仿宋_GB2312"/>
          <w:sz w:val="30"/>
          <w:szCs w:val="30"/>
          <w:lang w:val="en-US" w:eastAsia="zh-CN"/>
        </w:rPr>
        <w:t>详见附件六</w:t>
      </w:r>
      <w:r>
        <w:rPr>
          <w:rFonts w:hint="eastAsia" w:ascii="仿宋_GB2312" w:eastAsia="仿宋_GB2312"/>
          <w:sz w:val="30"/>
          <w:szCs w:val="30"/>
          <w:lang w:eastAsia="zh-CN"/>
        </w:rPr>
        <w:t>）</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lang w:val="en-US" w:eastAsia="zh-CN"/>
        </w:rPr>
      </w:pPr>
      <w:r>
        <w:rPr>
          <w:rFonts w:hint="eastAsia" w:ascii="仿宋_GB2312" w:eastAsia="仿宋_GB2312"/>
          <w:sz w:val="30"/>
          <w:szCs w:val="30"/>
        </w:rPr>
        <w:t>（4）法律、法规规定的其他情形。</w:t>
      </w:r>
    </w:p>
    <w:p>
      <w:pPr>
        <w:snapToGrid w:val="0"/>
        <w:ind w:firstLine="615" w:firstLineChars="205"/>
        <w:jc w:val="left"/>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r>
        <w:rPr>
          <w:rFonts w:hint="eastAsia" w:ascii="仿宋_GB2312" w:eastAsia="仿宋_GB2312"/>
          <w:color w:val="auto"/>
          <w:sz w:val="30"/>
          <w:szCs w:val="30"/>
          <w:highlight w:val="none"/>
          <w:lang w:eastAsia="zh-CN"/>
        </w:rPr>
        <w:t>两年不得参加公司采购活动。</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hint="eastAsia" w:ascii="仿宋_GB2312" w:eastAsia="仿宋_GB2312"/>
          <w:sz w:val="24"/>
          <w:szCs w:val="24"/>
        </w:rPr>
      </w:pPr>
      <w:r>
        <w:rPr>
          <w:rFonts w:hint="eastAsia" w:ascii="仿宋_GB2312" w:eastAsia="仿宋_GB2312"/>
          <w:sz w:val="30"/>
          <w:szCs w:val="30"/>
        </w:rPr>
        <w:t>（三）凡涉及本次询价的解释权均属于杭州临江环境</w:t>
      </w:r>
      <w:r>
        <w:rPr>
          <w:rFonts w:ascii="仿宋_GB2312" w:eastAsia="仿宋_GB2312"/>
          <w:sz w:val="30"/>
          <w:szCs w:val="30"/>
        </w:rPr>
        <w:t>能源</w:t>
      </w:r>
      <w:r>
        <w:rPr>
          <w:rFonts w:hint="eastAsia" w:ascii="仿宋_GB2312" w:eastAsia="仿宋_GB2312"/>
          <w:sz w:val="30"/>
          <w:szCs w:val="30"/>
        </w:rPr>
        <w:t>有限公司。</w:t>
      </w: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tbl>
      <w:tblPr>
        <w:tblStyle w:val="15"/>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3450"/>
        <w:gridCol w:w="1111"/>
        <w:gridCol w:w="825"/>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2468" w:type="dxa"/>
            <w:shd w:val="clear" w:color="auto" w:fill="D9D9D9"/>
            <w:noWrap w:val="0"/>
            <w:vAlign w:val="center"/>
          </w:tcPr>
          <w:p>
            <w:pPr>
              <w:snapToGrid w:val="0"/>
              <w:jc w:val="center"/>
              <w:rPr>
                <w:rFonts w:hint="eastAsia" w:ascii="仿宋_GB2312" w:eastAsia="仿宋_GB2312"/>
                <w:sz w:val="24"/>
                <w:szCs w:val="24"/>
                <w:lang w:eastAsia="zh-CN"/>
              </w:rPr>
            </w:pPr>
            <w:r>
              <w:rPr>
                <w:rFonts w:hint="eastAsia" w:ascii="仿宋_GB2312" w:eastAsia="仿宋_GB2312"/>
                <w:sz w:val="24"/>
                <w:szCs w:val="24"/>
                <w:lang w:val="en-US" w:eastAsia="zh-CN"/>
              </w:rPr>
              <w:t>名称</w:t>
            </w:r>
          </w:p>
        </w:tc>
        <w:tc>
          <w:tcPr>
            <w:tcW w:w="3450"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品牌及型号</w:t>
            </w:r>
          </w:p>
        </w:tc>
        <w:tc>
          <w:tcPr>
            <w:tcW w:w="1111"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单位</w:t>
            </w:r>
          </w:p>
        </w:tc>
        <w:tc>
          <w:tcPr>
            <w:tcW w:w="825"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数量</w:t>
            </w:r>
          </w:p>
        </w:tc>
        <w:tc>
          <w:tcPr>
            <w:tcW w:w="2466" w:type="dxa"/>
            <w:shd w:val="clear" w:color="auto" w:fill="D9D9D9"/>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2468" w:type="dxa"/>
            <w:noWrap w:val="0"/>
            <w:vAlign w:val="center"/>
          </w:tcPr>
          <w:p>
            <w:pPr>
              <w:snapToGrid w:val="0"/>
              <w:spacing w:line="24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pH电极</w:t>
            </w:r>
          </w:p>
          <w:p>
            <w:pPr>
              <w:snapToGrid w:val="0"/>
              <w:spacing w:line="240" w:lineRule="auto"/>
              <w:jc w:val="center"/>
              <w:rPr>
                <w:rFonts w:hint="eastAsia" w:ascii="仿宋_GB2312" w:eastAsia="仿宋_GB2312"/>
                <w:sz w:val="24"/>
                <w:szCs w:val="24"/>
                <w:lang w:val="en-US" w:eastAsia="zh-CN"/>
              </w:rPr>
            </w:pPr>
          </w:p>
          <w:p>
            <w:pPr>
              <w:snapToGrid w:val="0"/>
              <w:spacing w:line="240" w:lineRule="auto"/>
              <w:jc w:val="center"/>
              <w:rPr>
                <w:rFonts w:hint="eastAsia" w:ascii="仿宋_GB2312" w:eastAsia="仿宋_GB2312"/>
                <w:sz w:val="24"/>
                <w:szCs w:val="24"/>
                <w:lang w:val="en-US" w:eastAsia="zh-CN"/>
              </w:rPr>
            </w:pPr>
          </w:p>
        </w:tc>
        <w:tc>
          <w:tcPr>
            <w:tcW w:w="345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雷磁</w:t>
            </w:r>
          </w:p>
        </w:tc>
        <w:tc>
          <w:tcPr>
            <w:tcW w:w="1111" w:type="dxa"/>
            <w:noWrap w:val="0"/>
            <w:vAlign w:val="center"/>
          </w:tcPr>
          <w:p>
            <w:pPr>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2466" w:type="dxa"/>
            <w:noWrap w:val="0"/>
            <w:vAlign w:val="center"/>
          </w:tcPr>
          <w:p>
            <w:pPr>
              <w:snapToGrid w:val="0"/>
              <w:spacing w:line="240" w:lineRule="auto"/>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468"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氟电极</w:t>
            </w:r>
          </w:p>
        </w:tc>
        <w:tc>
          <w:tcPr>
            <w:tcW w:w="345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雷磁</w:t>
            </w:r>
          </w:p>
        </w:tc>
        <w:tc>
          <w:tcPr>
            <w:tcW w:w="1111"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2468"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电磁搅拌器</w:t>
            </w:r>
          </w:p>
        </w:tc>
        <w:tc>
          <w:tcPr>
            <w:tcW w:w="345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上海江星（85-2型）</w:t>
            </w:r>
          </w:p>
        </w:tc>
        <w:tc>
          <w:tcPr>
            <w:tcW w:w="1111"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2468" w:type="dxa"/>
            <w:noWrap w:val="0"/>
            <w:vAlign w:val="center"/>
          </w:tcPr>
          <w:p>
            <w:pPr>
              <w:snapToGrid w:val="0"/>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工业分析仪（水分灰分)专用坩埚</w:t>
            </w:r>
          </w:p>
        </w:tc>
        <w:tc>
          <w:tcPr>
            <w:tcW w:w="3450" w:type="dxa"/>
            <w:noWrap w:val="0"/>
            <w:vAlign w:val="center"/>
          </w:tcPr>
          <w:p>
            <w:pPr>
              <w:snapToGrid w:val="0"/>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友欣</w:t>
            </w:r>
          </w:p>
        </w:tc>
        <w:tc>
          <w:tcPr>
            <w:tcW w:w="1111"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定硫仪瓷舟</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氧弹杯</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抗卤素氧弹杯</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充氧仪</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密封圈小6*1.9</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进出料口密封垫</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硅钼棒</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单向阀（进/出口）</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赛默飞</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套</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泵密封圈</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赛默飞(055870)</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柱塞杆</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赛默飞(052840)</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水浴锅</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上海博迅 六联</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水箱空气过滤器</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MILLI-Q</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镍铬丝</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标准（50J)</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盒</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氧弹坩埚</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50</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氧弹杯支架</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雾化器(PFA-ST)</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紫外分光光度计推杆</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无油真空抽滤泵</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功率180W，抽气量10L/min，220V，50HZ</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盐度计</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测量精度：0.01%-25%</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乌氏粘度计</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内径0.58mm</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乌氏粘度计</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0.55mm</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刚玉转盘</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紫外灯</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ZMQUVLP01</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前处理超滤</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PWUF414FC</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过滤器</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MPGP04001</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阿贝折射仪</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Hanon(海能)</w:t>
            </w:r>
          </w:p>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A630型</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点火器</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27cm手持式</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闪点仪量杯</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上海昌吉SYD-261D</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水浴锅</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博迅HH.S21-8</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电解池</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友欣YX-DL8300</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石英异径管</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友欣YX-DL8300</w:t>
            </w:r>
          </w:p>
        </w:tc>
        <w:tc>
          <w:tcPr>
            <w:tcW w:w="1111"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根</w:t>
            </w:r>
          </w:p>
        </w:tc>
        <w:tc>
          <w:tcPr>
            <w:tcW w:w="825"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2466" w:type="dxa"/>
            <w:noWrap w:val="0"/>
            <w:vAlign w:val="center"/>
          </w:tcPr>
          <w:p>
            <w:pPr>
              <w:snapToGrid w:val="0"/>
              <w:jc w:val="center"/>
              <w:rPr>
                <w:rFonts w:hint="default" w:ascii="仿宋_GB2312" w:eastAsia="仿宋_GB2312"/>
                <w:sz w:val="24"/>
                <w:szCs w:val="24"/>
                <w:lang w:val="en-US" w:eastAsia="zh-CN"/>
              </w:rPr>
            </w:pPr>
          </w:p>
        </w:tc>
      </w:tr>
    </w:tbl>
    <w:p>
      <w:pPr>
        <w:rPr>
          <w:rFonts w:hint="eastAsia"/>
          <w:lang w:val="en-US" w:eastAsia="zh-CN"/>
        </w:rPr>
      </w:pPr>
    </w:p>
    <w:p>
      <w:pPr>
        <w:pStyle w:val="25"/>
        <w:widowControl/>
        <w:spacing w:line="360" w:lineRule="auto"/>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二、供货方式</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本项目根据采购人实际需要，分批供货。投标人接到采购人送货通知后，7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三、付款方式</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每月收到货物后，次月结算。双方进行清单核对无误，中标人提供准确清单和增值税专用发票后，采购人于30日内完成货款支付。</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四、售后服务</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1.供应商交付的货物均需提供产品合格证。如不符合约定，或质量不符合国家规定的，应及时更换。</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2、因供应商交付的货物质量不符合国家规定，造成甲方损失，除应承担全部赔偿责任外，还应按实际供货价款的20%向甲方承担违约金。</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3.采购人不再对任何售后服务进行付费。投标人的派遣人员产生的一切费用由投标人承担。</w:t>
      </w:r>
    </w:p>
    <w:p>
      <w:pPr>
        <w:pStyle w:val="25"/>
        <w:widowControl/>
        <w:spacing w:line="360" w:lineRule="auto"/>
        <w:ind w:firstLine="640"/>
        <w:jc w:val="left"/>
        <w:rPr>
          <w:rFonts w:hint="eastAsia"/>
          <w:lang w:val="en-US" w:eastAsia="zh-CN"/>
        </w:rPr>
      </w:pPr>
      <w:r>
        <w:rPr>
          <w:rFonts w:hint="eastAsia" w:ascii="仿宋_GB2312" w:hAnsi="仿宋_GB2312" w:eastAsia="仿宋_GB2312" w:cs="仿宋_GB2312"/>
          <w:color w:val="auto"/>
          <w:sz w:val="30"/>
          <w:szCs w:val="30"/>
          <w:lang w:val="en-US" w:eastAsia="zh-CN"/>
        </w:rPr>
        <w:t>4.供应商应书面明确各类备件的质保期。</w:t>
      </w: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ind w:left="0" w:leftChars="0" w:firstLine="0" w:firstLineChars="0"/>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14"/>
        <w:ind w:left="0" w:leftChars="0" w:firstLine="0" w:firstLineChars="0"/>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2"/>
        <w:snapToGrid w:val="0"/>
        <w:spacing w:line="240" w:lineRule="auto"/>
        <w:ind w:firstLine="720" w:firstLineChars="300"/>
        <w:rPr>
          <w:rFonts w:hint="eastAsia" w:ascii="仿宋_GB2312" w:eastAsia="仿宋_GB2312"/>
          <w:color w:val="auto"/>
          <w:kern w:val="2"/>
          <w:sz w:val="24"/>
          <w:szCs w:val="24"/>
        </w:rPr>
      </w:pPr>
    </w:p>
    <w:p>
      <w:pPr>
        <w:pStyle w:val="22"/>
        <w:snapToGrid w:val="0"/>
        <w:spacing w:line="240" w:lineRule="auto"/>
        <w:ind w:firstLine="720" w:firstLineChars="30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rPr>
      </w:pPr>
      <w:r>
        <w:rPr>
          <w:rFonts w:hint="eastAsia" w:ascii="仿宋_GB2312" w:eastAsia="仿宋_GB2312"/>
          <w:sz w:val="52"/>
          <w:highlight w:val="none"/>
          <w:lang w:val="en-US" w:eastAsia="zh-CN"/>
        </w:rPr>
        <w:t>2022年临江公司实验室仪器备件采购项目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202206014</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3"/>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22</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3"/>
          <w:rFonts w:ascii="仿宋_GB2312" w:eastAsia="仿宋_GB2312"/>
          <w:sz w:val="30"/>
        </w:rPr>
        <w:br w:type="page"/>
      </w:r>
      <w:r>
        <w:rPr>
          <w:rStyle w:val="2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代表，参加贵方组织的</w:t>
      </w:r>
      <w:r>
        <w:rPr>
          <w:rFonts w:hint="eastAsia" w:ascii="仿宋_GB2312" w:eastAsia="仿宋_GB2312"/>
          <w:sz w:val="30"/>
          <w:u w:val="single"/>
        </w:rPr>
        <w:t xml:space="preserve"> </w:t>
      </w:r>
      <w:r>
        <w:rPr>
          <w:rFonts w:hint="eastAsia" w:ascii="仿宋_GB2312" w:hAnsi="宋体" w:eastAsia="仿宋_GB2312"/>
          <w:sz w:val="32"/>
          <w:szCs w:val="32"/>
          <w:u w:val="single"/>
          <w:lang w:val="en-US" w:eastAsia="zh-CN"/>
        </w:rPr>
        <w:t>2022年临江公司实验室仪器备件采购项目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202206014</w:t>
      </w:r>
      <w:bookmarkStart w:id="12" w:name="_GoBack"/>
      <w:bookmarkEnd w:id="12"/>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ascii="仿宋_GB2312" w:eastAsia="仿宋_GB2312"/>
          <w:sz w:val="30"/>
          <w:u w:val="single"/>
        </w:rPr>
        <w:t>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3"/>
          <w:rFonts w:hint="eastAsia"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23"/>
          <w:rFonts w:hint="eastAsia" w:ascii="仿宋_GB2312" w:eastAsia="仿宋_GB2312"/>
          <w:sz w:val="30"/>
        </w:rPr>
      </w:pPr>
      <w:r>
        <w:rPr>
          <w:rStyle w:val="2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24"/>
        <w:snapToGrid w:val="0"/>
        <w:jc w:val="left"/>
        <w:rPr>
          <w:rFonts w:hint="eastAsia" w:ascii="仿宋_GB2312" w:hAnsi="Times New Roman" w:eastAsia="仿宋_GB2312" w:cs="Times New Roman"/>
          <w:b w:val="0"/>
          <w:bCs/>
          <w:sz w:val="24"/>
          <w:szCs w:val="24"/>
        </w:rPr>
      </w:pPr>
      <w:r>
        <w:rPr>
          <w:rFonts w:hint="eastAsia" w:ascii="仿宋_GB2312" w:hAnsi="Times New Roman" w:eastAsia="仿宋_GB2312" w:cs="Times New Roman"/>
          <w:b w:val="0"/>
          <w:bCs/>
          <w:sz w:val="24"/>
          <w:szCs w:val="24"/>
        </w:rPr>
        <w:t>杭州</w:t>
      </w:r>
      <w:r>
        <w:rPr>
          <w:rFonts w:hint="eastAsia" w:ascii="仿宋_GB2312" w:hAnsi="Times New Roman" w:eastAsia="仿宋_GB2312" w:cs="Times New Roman"/>
          <w:b w:val="0"/>
          <w:bCs/>
          <w:sz w:val="24"/>
          <w:szCs w:val="24"/>
          <w:lang w:eastAsia="zh-CN"/>
        </w:rPr>
        <w:t>临江环境能源</w:t>
      </w:r>
      <w:r>
        <w:rPr>
          <w:rFonts w:hint="eastAsia" w:ascii="仿宋_GB2312" w:hAnsi="Times New Roman" w:eastAsia="仿宋_GB2312" w:cs="Times New Roman"/>
          <w:b w:val="0"/>
          <w:bCs/>
          <w:sz w:val="24"/>
          <w:szCs w:val="24"/>
        </w:rPr>
        <w:t>有限公司：</w:t>
      </w:r>
    </w:p>
    <w:p>
      <w:pPr>
        <w:pStyle w:val="24"/>
        <w:snapToGrid w:val="0"/>
        <w:jc w:val="left"/>
        <w:rPr>
          <w:rFonts w:hint="eastAsia" w:ascii="仿宋_GB2312" w:hAnsi="Times New Roman" w:eastAsia="仿宋_GB2312" w:cs="Times New Roman"/>
          <w:b w:val="0"/>
          <w:bCs/>
          <w:sz w:val="24"/>
          <w:szCs w:val="24"/>
        </w:rPr>
      </w:pPr>
      <w:r>
        <w:rPr>
          <w:rFonts w:hint="eastAsia" w:ascii="仿宋_GB2312" w:hAnsi="Times New Roman" w:eastAsia="仿宋_GB2312" w:cs="Times New Roman"/>
          <w:b w:val="0"/>
          <w:bCs/>
          <w:sz w:val="24"/>
          <w:szCs w:val="24"/>
        </w:rPr>
        <w:t>我公司</w:t>
      </w:r>
      <w:r>
        <w:rPr>
          <w:rFonts w:hint="eastAsia" w:ascii="仿宋_GB2312" w:hAnsi="Times New Roman" w:eastAsia="仿宋_GB2312" w:cs="Times New Roman"/>
          <w:b w:val="0"/>
          <w:bCs/>
          <w:sz w:val="24"/>
          <w:szCs w:val="24"/>
          <w:u w:val="single"/>
        </w:rPr>
        <w:t xml:space="preserve"> （报价单位名称） </w:t>
      </w:r>
      <w:r>
        <w:rPr>
          <w:rFonts w:hint="eastAsia" w:ascii="仿宋_GB2312" w:hAnsi="Times New Roman" w:eastAsia="仿宋_GB2312" w:cs="Times New Roman"/>
          <w:b w:val="0"/>
          <w:bCs/>
          <w:sz w:val="24"/>
          <w:szCs w:val="24"/>
        </w:rPr>
        <w:t xml:space="preserve">  根据贵单位询价文件要求，参加</w:t>
      </w:r>
      <w:r>
        <w:rPr>
          <w:rFonts w:hint="eastAsia" w:ascii="仿宋_GB2312" w:hAnsi="Times New Roman" w:eastAsia="仿宋_GB2312" w:cs="Times New Roman"/>
          <w:b w:val="0"/>
          <w:bCs/>
          <w:sz w:val="24"/>
          <w:szCs w:val="24"/>
          <w:u w:val="single"/>
        </w:rPr>
        <w:t xml:space="preserve"> </w:t>
      </w:r>
      <w:r>
        <w:rPr>
          <w:rFonts w:hint="default" w:ascii="仿宋_GB2312" w:hAnsi="Times New Roman" w:eastAsia="仿宋_GB2312" w:cs="Times New Roman"/>
          <w:b w:val="0"/>
          <w:bCs/>
          <w:sz w:val="24"/>
          <w:szCs w:val="24"/>
          <w:u w:val="single"/>
          <w:lang w:val="en-US"/>
        </w:rPr>
        <w:t>2022</w:t>
      </w:r>
      <w:r>
        <w:rPr>
          <w:rFonts w:hint="eastAsia" w:ascii="仿宋_GB2312" w:hAnsi="Times New Roman" w:eastAsia="仿宋_GB2312" w:cs="Times New Roman"/>
          <w:b w:val="0"/>
          <w:bCs/>
          <w:sz w:val="24"/>
          <w:szCs w:val="24"/>
          <w:u w:val="single"/>
        </w:rPr>
        <w:t>年</w:t>
      </w:r>
      <w:r>
        <w:rPr>
          <w:rFonts w:hint="eastAsia" w:ascii="仿宋_GB2312" w:hAnsi="Times New Roman" w:eastAsia="仿宋_GB2312" w:cs="Times New Roman"/>
          <w:b w:val="0"/>
          <w:bCs/>
          <w:sz w:val="24"/>
          <w:szCs w:val="24"/>
          <w:u w:val="single"/>
          <w:lang w:val="en-US" w:eastAsia="zh-CN"/>
        </w:rPr>
        <w:t>临江公司</w:t>
      </w:r>
      <w:r>
        <w:rPr>
          <w:rFonts w:hint="eastAsia" w:ascii="仿宋_GB2312" w:eastAsia="仿宋_GB2312" w:cs="Times New Roman"/>
          <w:b w:val="0"/>
          <w:bCs/>
          <w:sz w:val="24"/>
          <w:szCs w:val="24"/>
          <w:u w:val="single"/>
          <w:lang w:val="en-US" w:eastAsia="zh-CN"/>
        </w:rPr>
        <w:t>实验室仪器备件</w:t>
      </w:r>
      <w:r>
        <w:rPr>
          <w:rFonts w:hint="eastAsia" w:ascii="仿宋_GB2312" w:hAnsi="Times New Roman" w:eastAsia="仿宋_GB2312" w:cs="Times New Roman"/>
          <w:b w:val="0"/>
          <w:bCs/>
          <w:sz w:val="24"/>
          <w:szCs w:val="24"/>
          <w:u w:val="single"/>
          <w:lang w:val="en-US" w:eastAsia="zh-CN"/>
        </w:rPr>
        <w:t>采购项目</w:t>
      </w:r>
      <w:r>
        <w:rPr>
          <w:rFonts w:hint="eastAsia" w:ascii="仿宋_GB2312" w:hAnsi="Times New Roman" w:eastAsia="仿宋_GB2312" w:cs="Times New Roman"/>
          <w:b w:val="0"/>
          <w:bCs/>
          <w:sz w:val="24"/>
          <w:szCs w:val="24"/>
          <w:lang w:val="en-US" w:eastAsia="zh-CN"/>
        </w:rPr>
        <w:t xml:space="preserve"> </w:t>
      </w:r>
      <w:r>
        <w:rPr>
          <w:rFonts w:hint="eastAsia" w:ascii="仿宋_GB2312" w:hAnsi="Times New Roman" w:eastAsia="仿宋_GB2312" w:cs="Times New Roman"/>
          <w:b w:val="0"/>
          <w:bCs/>
          <w:sz w:val="24"/>
          <w:szCs w:val="24"/>
        </w:rPr>
        <w:t>，</w:t>
      </w:r>
      <w:r>
        <w:rPr>
          <w:rFonts w:hint="eastAsia" w:ascii="仿宋_GB2312" w:hAnsi="Times New Roman" w:eastAsia="仿宋_GB2312" w:cs="Times New Roman"/>
          <w:b w:val="0"/>
          <w:bCs/>
          <w:sz w:val="24"/>
          <w:szCs w:val="24"/>
          <w:lang w:eastAsia="zh-CN"/>
        </w:rPr>
        <w:t>本次</w:t>
      </w:r>
      <w:r>
        <w:rPr>
          <w:rFonts w:hint="eastAsia" w:ascii="仿宋_GB2312" w:hAnsi="Times New Roman" w:eastAsia="仿宋_GB2312" w:cs="Times New Roman"/>
          <w:b w:val="0"/>
          <w:bCs/>
          <w:sz w:val="24"/>
          <w:szCs w:val="24"/>
        </w:rPr>
        <w:t>报价如下（金额：</w:t>
      </w:r>
      <w:r>
        <w:rPr>
          <w:rFonts w:hint="eastAsia" w:ascii="仿宋_GB2312" w:hAnsi="Times New Roman" w:eastAsia="仿宋_GB2312" w:cs="Times New Roman"/>
          <w:b w:val="0"/>
          <w:bCs/>
          <w:sz w:val="24"/>
          <w:szCs w:val="24"/>
          <w:lang w:val="en-US" w:eastAsia="zh-CN"/>
        </w:rPr>
        <w:t xml:space="preserve">        </w:t>
      </w:r>
      <w:r>
        <w:rPr>
          <w:rFonts w:hint="eastAsia" w:ascii="仿宋_GB2312" w:hAnsi="Times New Roman" w:eastAsia="仿宋_GB2312" w:cs="Times New Roman"/>
          <w:b w:val="0"/>
          <w:bCs/>
          <w:sz w:val="24"/>
          <w:szCs w:val="24"/>
        </w:rPr>
        <w:t>元</w:t>
      </w:r>
      <w:r>
        <w:rPr>
          <w:rFonts w:hint="eastAsia" w:ascii="仿宋_GB2312" w:hAnsi="Times New Roman" w:eastAsia="仿宋_GB2312" w:cs="Times New Roman"/>
          <w:b w:val="0"/>
          <w:bCs/>
          <w:sz w:val="24"/>
          <w:szCs w:val="24"/>
          <w:lang w:eastAsia="zh-CN"/>
        </w:rPr>
        <w:t>，税率为</w:t>
      </w:r>
      <w:r>
        <w:rPr>
          <w:rFonts w:hint="eastAsia" w:ascii="仿宋_GB2312" w:hAnsi="Times New Roman" w:eastAsia="仿宋_GB2312" w:cs="Times New Roman"/>
          <w:b w:val="0"/>
          <w:bCs/>
          <w:sz w:val="24"/>
          <w:szCs w:val="24"/>
          <w:lang w:val="en-US" w:eastAsia="zh-CN"/>
        </w:rPr>
        <w:t xml:space="preserve">     %</w:t>
      </w:r>
      <w:r>
        <w:rPr>
          <w:rFonts w:hint="eastAsia" w:ascii="仿宋_GB2312" w:hAnsi="Times New Roman" w:eastAsia="仿宋_GB2312" w:cs="Times New Roman"/>
          <w:b w:val="0"/>
          <w:bCs/>
          <w:sz w:val="24"/>
          <w:szCs w:val="24"/>
        </w:rPr>
        <w:t xml:space="preserve">）  </w:t>
      </w:r>
    </w:p>
    <w:p>
      <w:pPr>
        <w:pStyle w:val="24"/>
        <w:snapToGrid w:val="0"/>
        <w:jc w:val="left"/>
        <w:rPr>
          <w:rFonts w:hint="eastAsia" w:ascii="仿宋_GB2312" w:hAnsi="Times New Roman" w:eastAsia="仿宋_GB2312" w:cs="Times New Roman"/>
          <w:b w:val="0"/>
          <w:bCs/>
          <w:sz w:val="24"/>
          <w:szCs w:val="24"/>
        </w:rPr>
      </w:pPr>
    </w:p>
    <w:tbl>
      <w:tblPr>
        <w:tblStyle w:val="15"/>
        <w:tblW w:w="11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3450"/>
        <w:gridCol w:w="720"/>
        <w:gridCol w:w="870"/>
        <w:gridCol w:w="1063"/>
        <w:gridCol w:w="114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2468" w:type="dxa"/>
            <w:shd w:val="clear" w:color="auto" w:fill="D9D9D9"/>
            <w:noWrap w:val="0"/>
            <w:vAlign w:val="center"/>
          </w:tcPr>
          <w:p>
            <w:pPr>
              <w:snapToGrid w:val="0"/>
              <w:jc w:val="center"/>
              <w:rPr>
                <w:rFonts w:hint="eastAsia" w:ascii="仿宋_GB2312" w:eastAsia="仿宋_GB2312"/>
                <w:sz w:val="24"/>
                <w:szCs w:val="24"/>
                <w:lang w:eastAsia="zh-CN"/>
              </w:rPr>
            </w:pPr>
            <w:r>
              <w:rPr>
                <w:rFonts w:hint="eastAsia" w:ascii="仿宋_GB2312" w:eastAsia="仿宋_GB2312"/>
                <w:sz w:val="24"/>
                <w:szCs w:val="24"/>
                <w:lang w:val="en-US" w:eastAsia="zh-CN"/>
              </w:rPr>
              <w:t>名称</w:t>
            </w:r>
          </w:p>
        </w:tc>
        <w:tc>
          <w:tcPr>
            <w:tcW w:w="3450"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品牌及型号</w:t>
            </w:r>
          </w:p>
        </w:tc>
        <w:tc>
          <w:tcPr>
            <w:tcW w:w="720"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单位</w:t>
            </w:r>
          </w:p>
        </w:tc>
        <w:tc>
          <w:tcPr>
            <w:tcW w:w="870"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数量</w:t>
            </w:r>
          </w:p>
        </w:tc>
        <w:tc>
          <w:tcPr>
            <w:tcW w:w="1063"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单价</w:t>
            </w:r>
          </w:p>
        </w:tc>
        <w:tc>
          <w:tcPr>
            <w:tcW w:w="1140"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总价</w:t>
            </w:r>
          </w:p>
        </w:tc>
        <w:tc>
          <w:tcPr>
            <w:tcW w:w="1589" w:type="dxa"/>
            <w:shd w:val="clear" w:color="auto" w:fill="D9D9D9"/>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2468" w:type="dxa"/>
            <w:noWrap w:val="0"/>
            <w:vAlign w:val="center"/>
          </w:tcPr>
          <w:p>
            <w:pPr>
              <w:snapToGrid w:val="0"/>
              <w:spacing w:line="24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pH电极</w:t>
            </w:r>
          </w:p>
          <w:p>
            <w:pPr>
              <w:snapToGrid w:val="0"/>
              <w:spacing w:line="240" w:lineRule="auto"/>
              <w:jc w:val="center"/>
              <w:rPr>
                <w:rFonts w:hint="eastAsia" w:ascii="仿宋_GB2312" w:eastAsia="仿宋_GB2312"/>
                <w:sz w:val="24"/>
                <w:szCs w:val="24"/>
                <w:lang w:val="en-US" w:eastAsia="zh-CN"/>
              </w:rPr>
            </w:pPr>
          </w:p>
          <w:p>
            <w:pPr>
              <w:snapToGrid w:val="0"/>
              <w:spacing w:line="240" w:lineRule="auto"/>
              <w:jc w:val="center"/>
              <w:rPr>
                <w:rFonts w:hint="eastAsia" w:ascii="仿宋_GB2312" w:eastAsia="仿宋_GB2312"/>
                <w:sz w:val="24"/>
                <w:szCs w:val="24"/>
                <w:lang w:val="en-US" w:eastAsia="zh-CN"/>
              </w:rPr>
            </w:pPr>
          </w:p>
        </w:tc>
        <w:tc>
          <w:tcPr>
            <w:tcW w:w="345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雷磁</w:t>
            </w:r>
          </w:p>
        </w:tc>
        <w:tc>
          <w:tcPr>
            <w:tcW w:w="720" w:type="dxa"/>
            <w:noWrap w:val="0"/>
            <w:vAlign w:val="center"/>
          </w:tcPr>
          <w:p>
            <w:pPr>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063" w:type="dxa"/>
            <w:noWrap w:val="0"/>
            <w:vAlign w:val="center"/>
          </w:tcPr>
          <w:p>
            <w:pPr>
              <w:snapToGrid w:val="0"/>
              <w:spacing w:line="240" w:lineRule="auto"/>
              <w:jc w:val="center"/>
              <w:rPr>
                <w:rFonts w:hint="eastAsia" w:ascii="仿宋_GB2312" w:eastAsia="仿宋_GB2312"/>
                <w:sz w:val="24"/>
                <w:szCs w:val="24"/>
                <w:lang w:val="en-US" w:eastAsia="zh-CN"/>
              </w:rPr>
            </w:pPr>
          </w:p>
        </w:tc>
        <w:tc>
          <w:tcPr>
            <w:tcW w:w="1140" w:type="dxa"/>
            <w:noWrap w:val="0"/>
            <w:vAlign w:val="center"/>
          </w:tcPr>
          <w:p>
            <w:pPr>
              <w:snapToGrid w:val="0"/>
              <w:spacing w:line="240" w:lineRule="auto"/>
              <w:jc w:val="center"/>
              <w:rPr>
                <w:rFonts w:hint="eastAsia" w:ascii="仿宋_GB2312" w:eastAsia="仿宋_GB2312"/>
                <w:sz w:val="24"/>
                <w:szCs w:val="24"/>
                <w:lang w:val="en-US" w:eastAsia="zh-CN"/>
              </w:rPr>
            </w:pPr>
          </w:p>
        </w:tc>
        <w:tc>
          <w:tcPr>
            <w:tcW w:w="1589" w:type="dxa"/>
            <w:noWrap w:val="0"/>
            <w:vAlign w:val="center"/>
          </w:tcPr>
          <w:p>
            <w:pPr>
              <w:snapToGrid w:val="0"/>
              <w:spacing w:line="240" w:lineRule="auto"/>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2468"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氟电极</w:t>
            </w:r>
          </w:p>
        </w:tc>
        <w:tc>
          <w:tcPr>
            <w:tcW w:w="345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雷磁</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2468"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电磁搅拌器</w:t>
            </w:r>
          </w:p>
        </w:tc>
        <w:tc>
          <w:tcPr>
            <w:tcW w:w="345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上海江星（85-2型）</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2468" w:type="dxa"/>
            <w:noWrap w:val="0"/>
            <w:vAlign w:val="center"/>
          </w:tcPr>
          <w:p>
            <w:pPr>
              <w:snapToGrid w:val="0"/>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工业分析仪（水分灰分)专用坩埚</w:t>
            </w:r>
          </w:p>
        </w:tc>
        <w:tc>
          <w:tcPr>
            <w:tcW w:w="3450" w:type="dxa"/>
            <w:noWrap w:val="0"/>
            <w:vAlign w:val="center"/>
          </w:tcPr>
          <w:p>
            <w:pPr>
              <w:snapToGrid w:val="0"/>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定硫仪瓷舟</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氧弹杯</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抗卤素氧弹杯</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充氧仪</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468"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密封圈小6*1.9</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进出料口密封垫</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硅钼棒</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单向阀（进/出口）</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赛默飞</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套</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泵密封圈</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赛默飞(055870)</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柱塞杆</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赛默飞(052840)</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水浴锅</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上海博迅 六联</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水箱空气过滤器</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MILLI-Q</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镍铬丝</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标准（50J)</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盒</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氧弹坩埚</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氧弹杯支架</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雾化器(PFA-ST)</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紫外分光光度计推杆</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无油真空抽滤泵</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功率180W，抽气量10L/min，220V，50HZ</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盐度计</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测量精度：0.01%-25%</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乌氏粘度计</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内径0.58mm</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乌氏粘度计</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0.55mm</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刚玉转盘</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紫外灯</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ZMQUVLP01</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前处理超滤</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PWUF414FC</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过滤器</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MPGP04001</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阿贝折射仪</w:t>
            </w:r>
          </w:p>
        </w:tc>
        <w:tc>
          <w:tcPr>
            <w:tcW w:w="3450"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Hanon(海能)</w:t>
            </w:r>
          </w:p>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A630型</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点火器</w:t>
            </w:r>
          </w:p>
        </w:tc>
        <w:tc>
          <w:tcPr>
            <w:tcW w:w="3450"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27cm手持式</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闪点仪量杯</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上海昌吉SYD-261D</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水浴锅</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博迅HH.S21-8</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电解池</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友欣YX-DL8300</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468"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石英异径管</w:t>
            </w:r>
          </w:p>
        </w:tc>
        <w:tc>
          <w:tcPr>
            <w:tcW w:w="3450"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友欣YX-DL8300</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根</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bl>
    <w:p>
      <w:pPr>
        <w:pStyle w:val="24"/>
        <w:snapToGrid w:val="0"/>
        <w:jc w:val="left"/>
        <w:rPr>
          <w:rFonts w:hint="eastAsia" w:ascii="仿宋_GB2312" w:hAnsi="Times New Roman" w:eastAsia="仿宋_GB2312" w:cs="Times New Roman"/>
          <w:b w:val="0"/>
          <w:bCs/>
          <w:sz w:val="24"/>
          <w:szCs w:val="24"/>
        </w:rPr>
      </w:pPr>
    </w:p>
    <w:p>
      <w:pPr>
        <w:snapToGrid w:val="0"/>
        <w:jc w:val="left"/>
        <w:rPr>
          <w:rFonts w:hint="eastAsia" w:ascii="仿宋_GB2312" w:eastAsia="仿宋_GB2312"/>
          <w:sz w:val="24"/>
          <w:szCs w:val="24"/>
        </w:rPr>
      </w:pPr>
    </w:p>
    <w:p>
      <w:pPr>
        <w:rPr>
          <w:rFonts w:hint="eastAsia"/>
        </w:rPr>
      </w:pPr>
    </w:p>
    <w:p>
      <w:pPr>
        <w:snapToGrid w:val="0"/>
        <w:ind w:firstLine="480" w:firstLineChars="20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相关要求：</w:t>
      </w:r>
    </w:p>
    <w:p>
      <w:pPr>
        <w:snapToGrid w:val="0"/>
        <w:ind w:firstLine="480" w:firstLineChars="20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1、</w:t>
      </w:r>
      <w:r>
        <w:rPr>
          <w:rFonts w:hint="eastAsia" w:ascii="仿宋_GB2312" w:hAnsi="Times New Roman" w:eastAsia="仿宋_GB2312" w:cs="Times New Roman"/>
          <w:sz w:val="24"/>
          <w:szCs w:val="24"/>
        </w:rPr>
        <w:t>本项目报价包含全部的运输费</w:t>
      </w:r>
      <w:r>
        <w:rPr>
          <w:rFonts w:hint="eastAsia" w:ascii="仿宋_GB2312" w:hAnsi="Times New Roman" w:eastAsia="仿宋_GB2312" w:cs="Times New Roman"/>
          <w:sz w:val="24"/>
          <w:szCs w:val="24"/>
          <w:lang w:eastAsia="zh-CN"/>
        </w:rPr>
        <w:t>、</w:t>
      </w:r>
      <w:r>
        <w:rPr>
          <w:rFonts w:hint="eastAsia" w:ascii="仿宋_GB2312" w:hAnsi="Times New Roman" w:eastAsia="仿宋_GB2312" w:cs="Times New Roman"/>
          <w:sz w:val="24"/>
          <w:szCs w:val="24"/>
        </w:rPr>
        <w:t>装卸费、税费等一切费用</w:t>
      </w:r>
      <w:r>
        <w:rPr>
          <w:rFonts w:hint="eastAsia" w:ascii="仿宋_GB2312" w:hAnsi="Times New Roman" w:eastAsia="仿宋_GB2312" w:cs="Times New Roman"/>
          <w:sz w:val="24"/>
          <w:szCs w:val="24"/>
          <w:lang w:eastAsia="zh-CN"/>
        </w:rPr>
        <w:t>，发票必须为增值税专用发票</w:t>
      </w:r>
      <w:r>
        <w:rPr>
          <w:rFonts w:hint="eastAsia" w:ascii="仿宋_GB2312" w:hAnsi="Times New Roman" w:eastAsia="仿宋_GB2312" w:cs="Times New Roman"/>
          <w:sz w:val="24"/>
          <w:szCs w:val="24"/>
        </w:rPr>
        <w:t>。</w:t>
      </w:r>
    </w:p>
    <w:p>
      <w:pPr>
        <w:snapToGrid w:val="0"/>
        <w:ind w:firstLine="480" w:firstLineChars="200"/>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2、报价总金额不得超过限额，否则为无效报价。</w:t>
      </w:r>
      <w:r>
        <w:rPr>
          <w:rFonts w:hint="eastAsia" w:ascii="仿宋_GB2312" w:hAnsi="Times New Roman" w:eastAsia="仿宋_GB2312" w:cs="Times New Roman"/>
          <w:sz w:val="24"/>
          <w:szCs w:val="24"/>
          <w:lang w:val="en-US" w:eastAsia="zh-CN"/>
        </w:rPr>
        <w:tab/>
      </w:r>
    </w:p>
    <w:p>
      <w:pPr>
        <w:snapToGrid w:val="0"/>
        <w:ind w:firstLine="480" w:firstLineChars="200"/>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3、供货期为一年，按需供货，按时结算。</w:t>
      </w:r>
    </w:p>
    <w:p>
      <w:pPr>
        <w:snapToGrid w:val="0"/>
        <w:ind w:firstLine="480" w:firstLineChars="200"/>
        <w:rPr>
          <w:rFonts w:hint="eastAsia" w:ascii="仿宋_GB2312" w:hAnsi="Times New Roman" w:eastAsia="仿宋_GB2312" w:cs="Times New Roman"/>
          <w:sz w:val="24"/>
          <w:szCs w:val="24"/>
          <w:lang w:val="en-US" w:eastAsia="zh-CN"/>
        </w:rPr>
      </w:pPr>
    </w:p>
    <w:p>
      <w:pPr>
        <w:snapToGrid w:val="0"/>
        <w:ind w:firstLine="480" w:firstLineChars="200"/>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rPr>
        <w:tab/>
      </w:r>
      <w:r>
        <w:rPr>
          <w:rFonts w:hint="eastAsia" w:ascii="仿宋_GB2312" w:hAnsi="Times New Roman" w:eastAsia="仿宋_GB2312" w:cs="Times New Roman"/>
          <w:sz w:val="24"/>
          <w:szCs w:val="24"/>
        </w:rPr>
        <w:tab/>
      </w:r>
      <w:r>
        <w:rPr>
          <w:rFonts w:hint="eastAsia" w:ascii="仿宋_GB2312" w:hAnsi="Times New Roman" w:eastAsia="仿宋_GB2312" w:cs="Times New Roman"/>
          <w:sz w:val="24"/>
          <w:szCs w:val="24"/>
        </w:rPr>
        <w:tab/>
      </w:r>
      <w:r>
        <w:rPr>
          <w:rFonts w:hint="eastAsia" w:ascii="仿宋_GB2312" w:hAnsi="Times New Roman" w:eastAsia="仿宋_GB2312" w:cs="Times New Roman"/>
          <w:sz w:val="24"/>
          <w:szCs w:val="24"/>
        </w:rPr>
        <w:tab/>
      </w:r>
      <w:r>
        <w:rPr>
          <w:rFonts w:hint="eastAsia" w:ascii="仿宋_GB2312" w:hAnsi="Times New Roman" w:eastAsia="仿宋_GB2312" w:cs="Times New Roman"/>
          <w:sz w:val="24"/>
          <w:szCs w:val="24"/>
        </w:rPr>
        <w:tab/>
      </w:r>
      <w:r>
        <w:rPr>
          <w:rFonts w:hint="eastAsia" w:ascii="仿宋_GB2312" w:hAnsi="Times New Roman" w:eastAsia="仿宋_GB2312" w:cs="Times New Roman"/>
          <w:sz w:val="24"/>
          <w:szCs w:val="24"/>
        </w:rPr>
        <w:tab/>
      </w:r>
      <w:r>
        <w:rPr>
          <w:rFonts w:hint="eastAsia" w:ascii="仿宋_GB2312" w:hAnsi="Times New Roman" w:eastAsia="仿宋_GB2312" w:cs="Times New Roman"/>
          <w:sz w:val="24"/>
          <w:szCs w:val="24"/>
        </w:rPr>
        <w:tab/>
      </w:r>
      <w:r>
        <w:rPr>
          <w:rFonts w:hint="eastAsia" w:ascii="仿宋_GB2312" w:hAnsi="Times New Roman" w:eastAsia="仿宋_GB2312" w:cs="Times New Roman"/>
          <w:sz w:val="24"/>
          <w:szCs w:val="24"/>
        </w:rPr>
        <w:t xml:space="preserve"> </w:t>
      </w:r>
    </w:p>
    <w:p>
      <w:pPr>
        <w:snapToGrid w:val="0"/>
        <w:ind w:firstLine="5280" w:firstLineChars="2200"/>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报价单位名称（公章）：</w:t>
      </w:r>
    </w:p>
    <w:p>
      <w:pPr>
        <w:snapToGrid w:val="0"/>
        <w:ind w:firstLine="480" w:firstLineChars="200"/>
        <w:rPr>
          <w:rFonts w:hint="eastAsia" w:ascii="仿宋_GB2312" w:hAnsi="Times New Roman" w:eastAsia="仿宋_GB2312" w:cs="Times New Roman"/>
          <w:sz w:val="24"/>
          <w:szCs w:val="24"/>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ab/>
      </w:r>
      <w:r>
        <w:rPr>
          <w:rFonts w:hint="eastAsia" w:ascii="仿宋_GB2312" w:hAnsi="Times New Roman" w:eastAsia="仿宋_GB2312" w:cs="Times New Roman"/>
          <w:sz w:val="24"/>
          <w:szCs w:val="24"/>
          <w:lang w:val="en-US" w:eastAsia="zh-CN"/>
        </w:rPr>
        <w:t xml:space="preserve">           </w:t>
      </w:r>
      <w:r>
        <w:rPr>
          <w:rFonts w:hint="default" w:ascii="仿宋_GB2312" w:hAnsi="Times New Roman" w:eastAsia="仿宋_GB2312" w:cs="Times New Roman"/>
          <w:sz w:val="24"/>
          <w:szCs w:val="24"/>
          <w:lang w:val="en-US" w:eastAsia="zh-CN"/>
        </w:rPr>
        <w:t>2022</w:t>
      </w:r>
      <w:r>
        <w:rPr>
          <w:rFonts w:hint="eastAsia" w:ascii="仿宋_GB2312" w:hAnsi="Times New Roman" w:eastAsia="仿宋_GB2312" w:cs="Times New Roman"/>
          <w:sz w:val="24"/>
          <w:szCs w:val="24"/>
          <w:lang w:val="en-US" w:eastAsia="zh-CN"/>
        </w:rPr>
        <w:t>年    月    日</w:t>
      </w:r>
    </w:p>
    <w:p>
      <w:pPr>
        <w:spacing w:line="480" w:lineRule="auto"/>
        <w:jc w:val="left"/>
        <w:rPr>
          <w:rFonts w:hint="eastAsia" w:ascii="仿宋_GB2312" w:eastAsia="仿宋_GB2312"/>
          <w:b/>
          <w:spacing w:val="-2"/>
          <w:sz w:val="30"/>
        </w:rPr>
      </w:pPr>
      <w:bookmarkStart w:id="10" w:name="_Toc108839328"/>
      <w:bookmarkStart w:id="11" w:name="_Toc103165678"/>
      <w:r>
        <w:rPr>
          <w:rStyle w:val="23"/>
          <w:rFonts w:hint="eastAsia" w:ascii="仿宋_GB2312" w:eastAsia="仿宋_GB2312"/>
          <w:sz w:val="30"/>
        </w:rPr>
        <w:t>附件</w:t>
      </w:r>
      <w:bookmarkEnd w:id="10"/>
      <w:bookmarkEnd w:id="11"/>
      <w:r>
        <w:rPr>
          <w:rStyle w:val="23"/>
          <w:rFonts w:hint="eastAsia" w:ascii="仿宋_GB2312" w:eastAsia="仿宋_GB2312"/>
          <w:sz w:val="30"/>
        </w:rPr>
        <w:t>四</w:t>
      </w:r>
    </w:p>
    <w:p>
      <w:pPr>
        <w:spacing w:line="360" w:lineRule="auto"/>
        <w:jc w:val="center"/>
        <w:rPr>
          <w:rFonts w:hint="eastAsia" w:ascii="仿宋_GB2312" w:eastAsia="仿宋_GB2312"/>
          <w:b/>
          <w:bCs/>
          <w:sz w:val="36"/>
          <w:szCs w:val="36"/>
        </w:rPr>
      </w:pPr>
      <w:r>
        <w:rPr>
          <w:rFonts w:hint="eastAsia" w:ascii="仿宋_GB2312" w:eastAsia="仿宋_GB2312"/>
          <w:b/>
          <w:bCs/>
          <w:sz w:val="36"/>
          <w:szCs w:val="36"/>
        </w:rPr>
        <w:t>服务质量保证承诺函</w:t>
      </w:r>
    </w:p>
    <w:p>
      <w:pPr>
        <w:spacing w:line="360" w:lineRule="auto"/>
        <w:rPr>
          <w:rFonts w:hint="eastAsia"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rPr>
        <w:t xml:space="preserve">    我公司</w:t>
      </w:r>
      <w:r>
        <w:rPr>
          <w:rFonts w:hint="eastAsia" w:ascii="仿宋_GB2312" w:eastAsia="仿宋_GB2312"/>
          <w:sz w:val="30"/>
          <w:u w:val="single"/>
        </w:rPr>
        <w:t xml:space="preserve">    （报价单位名称）    </w:t>
      </w:r>
      <w:r>
        <w:rPr>
          <w:rFonts w:hint="eastAsia" w:ascii="仿宋_GB2312" w:eastAsia="仿宋_GB2312"/>
          <w:sz w:val="30"/>
        </w:rPr>
        <w:t>自愿参加</w:t>
      </w:r>
      <w:r>
        <w:rPr>
          <w:rFonts w:hint="eastAsia" w:ascii="仿宋_GB2312" w:eastAsia="仿宋_GB2312"/>
          <w:sz w:val="30"/>
          <w:lang w:val="en-US" w:eastAsia="zh-CN"/>
        </w:rPr>
        <w:t>2022年临江公司实验室仪器备件采购项目</w:t>
      </w:r>
      <w:r>
        <w:rPr>
          <w:rFonts w:hint="eastAsia" w:ascii="仿宋_GB2312" w:eastAsia="仿宋_GB2312"/>
          <w:sz w:val="30"/>
        </w:rPr>
        <w:t>询价采购，并作如下承诺：</w:t>
      </w:r>
    </w:p>
    <w:p>
      <w:pPr>
        <w:spacing w:line="360" w:lineRule="auto"/>
        <w:rPr>
          <w:rFonts w:hint="eastAsia" w:ascii="仿宋_GB2312" w:eastAsia="仿宋_GB2312"/>
          <w:sz w:val="30"/>
        </w:rPr>
      </w:pPr>
      <w:r>
        <w:rPr>
          <w:rFonts w:hint="eastAsia" w:ascii="仿宋_GB2312" w:eastAsia="仿宋_GB2312"/>
          <w:sz w:val="30"/>
        </w:rPr>
        <w:t xml:space="preserve">    1.我公司所供产品均为正规销售渠道进货。如采购人需要，可以提供原生产厂家到我公司的完整供应链销售凭证。</w:t>
      </w:r>
    </w:p>
    <w:p>
      <w:pPr>
        <w:spacing w:line="360" w:lineRule="auto"/>
        <w:rPr>
          <w:rFonts w:hint="eastAsia" w:ascii="仿宋_GB2312" w:eastAsia="仿宋_GB2312"/>
          <w:sz w:val="30"/>
        </w:rPr>
      </w:pPr>
      <w:r>
        <w:rPr>
          <w:rFonts w:hint="eastAsia" w:ascii="仿宋_GB2312" w:eastAsia="仿宋_GB2312"/>
          <w:sz w:val="30"/>
        </w:rPr>
        <w:t xml:space="preserve">    2.我公司所供产品如果存在以次充好、虚假生产日期、逾期供货等情况，愿意承担一切法律责任。</w:t>
      </w:r>
    </w:p>
    <w:p>
      <w:pPr>
        <w:spacing w:line="360" w:lineRule="auto"/>
        <w:rPr>
          <w:rFonts w:hint="eastAsia" w:ascii="仿宋_GB2312" w:eastAsia="仿宋_GB2312"/>
          <w:sz w:val="30"/>
        </w:rPr>
      </w:pPr>
      <w:r>
        <w:rPr>
          <w:rFonts w:hint="eastAsia" w:ascii="仿宋_GB2312" w:eastAsia="仿宋_GB2312"/>
          <w:sz w:val="30"/>
        </w:rPr>
        <w:t>3.我公司所供产品如果存在任何外包装或内物破损等情况，承诺24小时内提供替换产品。</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lang w:val="en-US" w:eastAsia="zh-CN"/>
        </w:rPr>
        <w:t>4</w:t>
      </w:r>
      <w:r>
        <w:rPr>
          <w:rFonts w:hint="eastAsia" w:ascii="仿宋_GB2312" w:eastAsia="仿宋_GB2312"/>
          <w:sz w:val="30"/>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pacing w:line="360" w:lineRule="auto"/>
        <w:ind w:firstLine="5700" w:firstLineChars="1900"/>
        <w:rPr>
          <w:rFonts w:hint="eastAsia" w:ascii="仿宋_GB2312" w:eastAsia="仿宋_GB2312"/>
          <w:sz w:val="30"/>
        </w:rPr>
      </w:pPr>
      <w:r>
        <w:rPr>
          <w:rFonts w:hint="eastAsia" w:ascii="仿宋_GB2312" w:eastAsia="仿宋_GB2312"/>
          <w:sz w:val="30"/>
        </w:rPr>
        <w:t>报价单位名称（公章）：</w:t>
      </w:r>
    </w:p>
    <w:p>
      <w:pPr>
        <w:spacing w:line="360" w:lineRule="auto"/>
        <w:rPr>
          <w:rFonts w:hint="eastAsia" w:ascii="仿宋_GB2312" w:eastAsia="仿宋_GB2312"/>
          <w:sz w:val="30"/>
        </w:rPr>
      </w:pP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rPr>
        <w:tab/>
      </w:r>
      <w:r>
        <w:rPr>
          <w:rFonts w:hint="eastAsia" w:ascii="仿宋_GB2312" w:eastAsia="仿宋_GB2312"/>
          <w:sz w:val="30"/>
          <w:lang w:val="en-US" w:eastAsia="zh-CN"/>
        </w:rPr>
        <w:t xml:space="preserve">           </w:t>
      </w:r>
      <w:r>
        <w:rPr>
          <w:rFonts w:hint="eastAsia" w:ascii="仿宋_GB2312" w:eastAsia="仿宋_GB2312"/>
          <w:sz w:val="30"/>
        </w:rPr>
        <w:tab/>
      </w:r>
      <w:r>
        <w:rPr>
          <w:rFonts w:hint="eastAsia" w:ascii="仿宋_GB2312" w:eastAsia="仿宋_GB2312"/>
          <w:sz w:val="30"/>
        </w:rPr>
        <w:t>二○二</w:t>
      </w:r>
      <w:r>
        <w:rPr>
          <w:rFonts w:hint="eastAsia" w:ascii="仿宋_GB2312" w:eastAsia="仿宋_GB2312"/>
          <w:sz w:val="30"/>
          <w:lang w:val="en-US" w:eastAsia="zh-CN"/>
        </w:rPr>
        <w:t>二</w:t>
      </w:r>
      <w:r>
        <w:rPr>
          <w:rFonts w:hint="eastAsia" w:ascii="仿宋_GB2312" w:eastAsia="仿宋_GB2312"/>
          <w:sz w:val="30"/>
        </w:rPr>
        <w:t>年    月    日</w:t>
      </w:r>
    </w:p>
    <w:p>
      <w:pPr>
        <w:spacing w:line="360" w:lineRule="auto"/>
        <w:rPr>
          <w:rFonts w:hint="eastAsia" w:ascii="仿宋_GB2312" w:eastAsia="仿宋_GB2312"/>
          <w:sz w:val="30"/>
        </w:rPr>
      </w:pPr>
    </w:p>
    <w:p>
      <w:pPr>
        <w:spacing w:line="360" w:lineRule="auto"/>
        <w:rPr>
          <w:sz w:val="24"/>
        </w:rPr>
      </w:pPr>
    </w:p>
    <w:p>
      <w:pPr>
        <w:spacing w:line="360" w:lineRule="auto"/>
        <w:rPr>
          <w:sz w:val="24"/>
        </w:rPr>
      </w:pPr>
    </w:p>
    <w:p>
      <w:pPr>
        <w:snapToGrid w:val="0"/>
        <w:ind w:firstLine="480" w:firstLineChars="200"/>
        <w:jc w:val="right"/>
        <w:rPr>
          <w:rFonts w:ascii="仿宋_GB2312" w:eastAsia="仿宋_GB2312"/>
          <w:sz w:val="24"/>
          <w:szCs w:val="24"/>
        </w:rPr>
        <w:sectPr>
          <w:footerReference r:id="rId4"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w:t>
      </w:r>
    </w:p>
    <w:p>
      <w:pPr>
        <w:snapToGrid w:val="0"/>
        <w:rPr>
          <w:rFonts w:hint="default"/>
          <w:lang w:val="en-US" w:eastAsia="zh-CN"/>
        </w:rPr>
      </w:pPr>
    </w:p>
    <w:p>
      <w:pPr>
        <w:pStyle w:val="29"/>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29"/>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pStyle w:val="29"/>
        <w:rPr>
          <w:rFonts w:hint="default"/>
          <w:lang w:val="en-US" w:eastAsia="zh-CN"/>
        </w:rPr>
      </w:pPr>
    </w:p>
    <w:p>
      <w:pPr>
        <w:pStyle w:val="29"/>
        <w:rPr>
          <w:rFonts w:hint="default"/>
          <w:lang w:val="en-US" w:eastAsia="zh-CN"/>
        </w:rPr>
      </w:pPr>
    </w:p>
    <w:p>
      <w:pPr>
        <w:pStyle w:val="29"/>
        <w:rPr>
          <w:rFonts w:hint="eastAsia" w:ascii="仿宋" w:hAnsi="仿宋" w:eastAsia="仿宋" w:cs="仿宋"/>
          <w:b/>
          <w:caps/>
          <w:color w:val="auto"/>
          <w:kern w:val="2"/>
          <w:sz w:val="30"/>
          <w:szCs w:val="30"/>
          <w:lang w:val="en-US" w:eastAsia="zh-CN" w:bidi="ar-SA"/>
        </w:rPr>
      </w:pPr>
      <w:r>
        <w:rPr>
          <w:rFonts w:hint="eastAsia" w:ascii="仿宋" w:hAnsi="仿宋" w:eastAsia="仿宋" w:cs="仿宋"/>
          <w:b/>
          <w:caps/>
          <w:color w:val="auto"/>
          <w:kern w:val="2"/>
          <w:sz w:val="30"/>
          <w:szCs w:val="30"/>
          <w:lang w:val="en-US" w:eastAsia="zh-CN" w:bidi="ar-SA"/>
        </w:rPr>
        <w:t>附件六</w:t>
      </w:r>
    </w:p>
    <w:p>
      <w:pPr>
        <w:pStyle w:val="29"/>
        <w:rPr>
          <w:rFonts w:hint="eastAsia" w:ascii="仿宋" w:hAnsi="仿宋" w:eastAsia="仿宋" w:cs="仿宋"/>
          <w:b/>
          <w:caps/>
          <w:color w:val="auto"/>
          <w:kern w:val="2"/>
          <w:sz w:val="30"/>
          <w:szCs w:val="30"/>
          <w:lang w:val="en-US" w:eastAsia="zh-CN" w:bidi="ar-SA"/>
        </w:rPr>
      </w:pPr>
    </w:p>
    <w:p>
      <w:pPr>
        <w:pStyle w:val="2"/>
        <w:spacing w:line="360" w:lineRule="auto"/>
        <w:jc w:val="center"/>
        <w:rPr>
          <w:rStyle w:val="23"/>
          <w:rFonts w:hint="eastAsia" w:ascii="黑体" w:hAnsi="黑体" w:eastAsia="黑体" w:cs="黑体"/>
          <w:b/>
          <w:bCs w:val="0"/>
          <w:caps w:val="0"/>
          <w:sz w:val="44"/>
          <w:szCs w:val="44"/>
          <w:lang w:eastAsia="zh-CN"/>
        </w:rPr>
      </w:pPr>
      <w:r>
        <w:rPr>
          <w:rStyle w:val="23"/>
          <w:rFonts w:hint="eastAsia" w:ascii="黑体" w:hAnsi="黑体" w:eastAsia="黑体" w:cs="黑体"/>
          <w:b w:val="0"/>
          <w:bCs w:val="0"/>
          <w:caps w:val="0"/>
          <w:sz w:val="44"/>
          <w:szCs w:val="44"/>
        </w:rPr>
        <w:t>收款</w:t>
      </w:r>
      <w:r>
        <w:rPr>
          <w:rStyle w:val="23"/>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  月  日</w:t>
      </w:r>
    </w:p>
    <w:tbl>
      <w:tblPr>
        <w:tblStyle w:val="16"/>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2022年临江公司实验室仪器备件采购项目投标保证金款项。</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金额（大写）：叁仟捌佰元整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 xml:space="preserve">3800元 </w:t>
            </w:r>
          </w:p>
          <w:p>
            <w:pPr>
              <w:rPr>
                <w:rFonts w:hint="eastAsia" w:ascii="仿宋_GB2312" w:eastAsia="仿宋_GB2312"/>
                <w:b w:val="0"/>
                <w:bCs w:val="0"/>
                <w:kern w:val="0"/>
                <w:sz w:val="30"/>
                <w:szCs w:val="30"/>
                <w:vertAlign w:val="baseline"/>
                <w:lang w:eastAsia="zh-CN"/>
              </w:rPr>
            </w:pPr>
          </w:p>
        </w:tc>
      </w:tr>
    </w:tbl>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default" w:ascii="仿宋" w:hAnsi="仿宋" w:eastAsia="仿宋" w:cs="仿宋"/>
          <w:b/>
          <w:caps/>
          <w:color w:val="auto"/>
          <w:kern w:val="2"/>
          <w:sz w:val="30"/>
          <w:szCs w:val="30"/>
          <w:lang w:val="en-US" w:eastAsia="zh-CN" w:bidi="ar-SA"/>
        </w:rPr>
      </w:pPr>
    </w:p>
    <w:p>
      <w:pPr>
        <w:pStyle w:val="2"/>
        <w:ind w:firstLine="3534" w:firstLineChars="800"/>
        <w:jc w:val="left"/>
        <w:rPr>
          <w:rStyle w:val="23"/>
          <w:rFonts w:hint="eastAsia" w:ascii="仿宋_GB2312" w:eastAsia="仿宋_GB2312"/>
          <w:b/>
          <w:spacing w:val="0"/>
          <w:sz w:val="44"/>
          <w:lang w:val="en-GB"/>
        </w:rPr>
      </w:pPr>
      <w:r>
        <w:rPr>
          <w:rStyle w:val="2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隔膜泵备件</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2"/>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15"/>
        <w:tblW w:w="10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960"/>
        <w:gridCol w:w="2748"/>
        <w:gridCol w:w="720"/>
        <w:gridCol w:w="870"/>
        <w:gridCol w:w="1063"/>
        <w:gridCol w:w="114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867"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序号</w:t>
            </w:r>
          </w:p>
        </w:tc>
        <w:tc>
          <w:tcPr>
            <w:tcW w:w="1960" w:type="dxa"/>
            <w:shd w:val="clear" w:color="auto" w:fill="D9D9D9"/>
            <w:noWrap w:val="0"/>
            <w:vAlign w:val="center"/>
          </w:tcPr>
          <w:p>
            <w:pPr>
              <w:snapToGrid w:val="0"/>
              <w:jc w:val="center"/>
              <w:rPr>
                <w:rFonts w:hint="eastAsia" w:ascii="仿宋_GB2312" w:eastAsia="仿宋_GB2312"/>
                <w:sz w:val="24"/>
                <w:szCs w:val="24"/>
                <w:lang w:eastAsia="zh-CN"/>
              </w:rPr>
            </w:pPr>
            <w:r>
              <w:rPr>
                <w:rFonts w:hint="eastAsia" w:ascii="仿宋_GB2312" w:eastAsia="仿宋_GB2312"/>
                <w:sz w:val="24"/>
                <w:szCs w:val="24"/>
                <w:lang w:val="en-US" w:eastAsia="zh-CN"/>
              </w:rPr>
              <w:t>名称</w:t>
            </w:r>
          </w:p>
        </w:tc>
        <w:tc>
          <w:tcPr>
            <w:tcW w:w="2748"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品牌及型号</w:t>
            </w:r>
          </w:p>
        </w:tc>
        <w:tc>
          <w:tcPr>
            <w:tcW w:w="720"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单位</w:t>
            </w:r>
          </w:p>
        </w:tc>
        <w:tc>
          <w:tcPr>
            <w:tcW w:w="870"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数量</w:t>
            </w:r>
          </w:p>
        </w:tc>
        <w:tc>
          <w:tcPr>
            <w:tcW w:w="1063"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单价</w:t>
            </w:r>
          </w:p>
        </w:tc>
        <w:tc>
          <w:tcPr>
            <w:tcW w:w="1140" w:type="dxa"/>
            <w:shd w:val="clear" w:color="auto" w:fill="D9D9D9"/>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总价</w:t>
            </w:r>
          </w:p>
        </w:tc>
        <w:tc>
          <w:tcPr>
            <w:tcW w:w="1589" w:type="dxa"/>
            <w:shd w:val="clear" w:color="auto" w:fill="D9D9D9"/>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867" w:type="dxa"/>
            <w:noWrap w:val="0"/>
            <w:vAlign w:val="center"/>
          </w:tcPr>
          <w:p>
            <w:pPr>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960" w:type="dxa"/>
            <w:noWrap w:val="0"/>
            <w:vAlign w:val="center"/>
          </w:tcPr>
          <w:p>
            <w:pPr>
              <w:snapToGrid w:val="0"/>
              <w:spacing w:line="24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pH电极</w:t>
            </w:r>
          </w:p>
          <w:p>
            <w:pPr>
              <w:snapToGrid w:val="0"/>
              <w:spacing w:line="240" w:lineRule="auto"/>
              <w:jc w:val="center"/>
              <w:rPr>
                <w:rFonts w:hint="eastAsia" w:ascii="仿宋_GB2312" w:eastAsia="仿宋_GB2312"/>
                <w:sz w:val="24"/>
                <w:szCs w:val="24"/>
                <w:lang w:val="en-US" w:eastAsia="zh-CN"/>
              </w:rPr>
            </w:pPr>
          </w:p>
          <w:p>
            <w:pPr>
              <w:snapToGrid w:val="0"/>
              <w:spacing w:line="240" w:lineRule="auto"/>
              <w:jc w:val="center"/>
              <w:rPr>
                <w:rFonts w:hint="eastAsia" w:ascii="仿宋_GB2312" w:eastAsia="仿宋_GB2312"/>
                <w:sz w:val="24"/>
                <w:szCs w:val="24"/>
                <w:lang w:val="en-US" w:eastAsia="zh-CN"/>
              </w:rPr>
            </w:pPr>
          </w:p>
        </w:tc>
        <w:tc>
          <w:tcPr>
            <w:tcW w:w="2748"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雷磁</w:t>
            </w:r>
          </w:p>
        </w:tc>
        <w:tc>
          <w:tcPr>
            <w:tcW w:w="720" w:type="dxa"/>
            <w:noWrap w:val="0"/>
            <w:vAlign w:val="center"/>
          </w:tcPr>
          <w:p>
            <w:pPr>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spacing w:line="24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063" w:type="dxa"/>
            <w:noWrap w:val="0"/>
            <w:vAlign w:val="center"/>
          </w:tcPr>
          <w:p>
            <w:pPr>
              <w:snapToGrid w:val="0"/>
              <w:spacing w:line="240" w:lineRule="auto"/>
              <w:jc w:val="center"/>
              <w:rPr>
                <w:rFonts w:hint="eastAsia" w:ascii="仿宋_GB2312" w:eastAsia="仿宋_GB2312"/>
                <w:sz w:val="24"/>
                <w:szCs w:val="24"/>
                <w:lang w:val="en-US" w:eastAsia="zh-CN"/>
              </w:rPr>
            </w:pPr>
          </w:p>
        </w:tc>
        <w:tc>
          <w:tcPr>
            <w:tcW w:w="1140" w:type="dxa"/>
            <w:noWrap w:val="0"/>
            <w:vAlign w:val="center"/>
          </w:tcPr>
          <w:p>
            <w:pPr>
              <w:snapToGrid w:val="0"/>
              <w:spacing w:line="240" w:lineRule="auto"/>
              <w:jc w:val="center"/>
              <w:rPr>
                <w:rFonts w:hint="eastAsia" w:ascii="仿宋_GB2312" w:eastAsia="仿宋_GB2312"/>
                <w:sz w:val="24"/>
                <w:szCs w:val="24"/>
                <w:lang w:val="en-US" w:eastAsia="zh-CN"/>
              </w:rPr>
            </w:pPr>
          </w:p>
        </w:tc>
        <w:tc>
          <w:tcPr>
            <w:tcW w:w="1589" w:type="dxa"/>
            <w:noWrap w:val="0"/>
            <w:vAlign w:val="center"/>
          </w:tcPr>
          <w:p>
            <w:pPr>
              <w:snapToGrid w:val="0"/>
              <w:spacing w:line="240" w:lineRule="auto"/>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867"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96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氟电极</w:t>
            </w:r>
          </w:p>
        </w:tc>
        <w:tc>
          <w:tcPr>
            <w:tcW w:w="2748"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雷磁</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67"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w:t>
            </w:r>
          </w:p>
        </w:tc>
        <w:tc>
          <w:tcPr>
            <w:tcW w:w="196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电磁搅拌器</w:t>
            </w:r>
          </w:p>
        </w:tc>
        <w:tc>
          <w:tcPr>
            <w:tcW w:w="2748"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上海江星（85-2型）</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867"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w:t>
            </w:r>
          </w:p>
        </w:tc>
        <w:tc>
          <w:tcPr>
            <w:tcW w:w="1960" w:type="dxa"/>
            <w:noWrap w:val="0"/>
            <w:vAlign w:val="center"/>
          </w:tcPr>
          <w:p>
            <w:pPr>
              <w:snapToGrid w:val="0"/>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工业分析仪（水分灰分)专用坩埚</w:t>
            </w:r>
          </w:p>
        </w:tc>
        <w:tc>
          <w:tcPr>
            <w:tcW w:w="2748" w:type="dxa"/>
            <w:noWrap w:val="0"/>
            <w:vAlign w:val="center"/>
          </w:tcPr>
          <w:p>
            <w:pPr>
              <w:snapToGrid w:val="0"/>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5</w:t>
            </w:r>
          </w:p>
        </w:tc>
        <w:tc>
          <w:tcPr>
            <w:tcW w:w="1960"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定硫仪瓷舟</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6</w:t>
            </w:r>
          </w:p>
        </w:tc>
        <w:tc>
          <w:tcPr>
            <w:tcW w:w="1960"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氧弹杯</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7</w:t>
            </w:r>
          </w:p>
        </w:tc>
        <w:tc>
          <w:tcPr>
            <w:tcW w:w="1960"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抗卤素氧弹杯</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8</w:t>
            </w:r>
          </w:p>
        </w:tc>
        <w:tc>
          <w:tcPr>
            <w:tcW w:w="1960"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充氧仪</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9</w:t>
            </w:r>
          </w:p>
        </w:tc>
        <w:tc>
          <w:tcPr>
            <w:tcW w:w="1960"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default" w:ascii="仿宋_GB2312" w:hAnsi="Times New Roman" w:eastAsia="仿宋_GB2312" w:cs="Times New Roman"/>
                <w:sz w:val="24"/>
                <w:szCs w:val="24"/>
                <w:lang w:val="en-US" w:eastAsia="zh-CN"/>
              </w:rPr>
              <w:t>密封圈小6*1.9</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10</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进出料口密封垫</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11</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硅钼棒</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12</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单向阀（进/出口）</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赛默飞</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套</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13</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泵密封圈</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赛默飞(055870)</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14</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柱塞杆</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赛默飞(052840)</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15</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水浴锅</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上海博迅 六联</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16</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水箱空气过滤器</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MILLI-Q</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17</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镍铬丝</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标准（50J)</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盒</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18</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氧弹坩埚</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19</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氧弹杯支架</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20</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雾化器(PFA-ST)</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21</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紫外分光光度计推杆</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赛默飞</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22</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无油真空抽滤泵</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功率180W，抽气量10L/min，220V，50HZ</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23</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盐度计</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测量精度：0.01%-25%</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24</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乌氏粘度计</w:t>
            </w:r>
          </w:p>
        </w:tc>
        <w:tc>
          <w:tcPr>
            <w:tcW w:w="2748"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内径0.58mm</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25</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乌氏粘度计</w:t>
            </w:r>
          </w:p>
        </w:tc>
        <w:tc>
          <w:tcPr>
            <w:tcW w:w="2748"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0.55mm</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26</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刚玉转盘</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27</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紫外灯</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ZMQUVLP01</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28</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前处理超滤</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PWUF414FC</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29</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过滤器</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MPGP04001</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30</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阿贝折射仪</w:t>
            </w:r>
          </w:p>
        </w:tc>
        <w:tc>
          <w:tcPr>
            <w:tcW w:w="2748" w:type="dxa"/>
            <w:noWrap w:val="0"/>
            <w:vAlign w:val="center"/>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Hanon(海能)</w:t>
            </w:r>
          </w:p>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A630型</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31</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点火器</w:t>
            </w:r>
          </w:p>
        </w:tc>
        <w:tc>
          <w:tcPr>
            <w:tcW w:w="2748" w:type="dxa"/>
            <w:noWrap w:val="0"/>
            <w:vAlign w:val="center"/>
          </w:tcPr>
          <w:p>
            <w:pPr>
              <w:snapToGrid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27cm手持式</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32</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闪点仪量杯</w:t>
            </w:r>
          </w:p>
        </w:tc>
        <w:tc>
          <w:tcPr>
            <w:tcW w:w="2748"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上海昌吉SYD-261D</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33</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水浴锅</w:t>
            </w:r>
          </w:p>
        </w:tc>
        <w:tc>
          <w:tcPr>
            <w:tcW w:w="2748"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博迅HH.S21-8</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台</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34</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电解池</w:t>
            </w:r>
          </w:p>
        </w:tc>
        <w:tc>
          <w:tcPr>
            <w:tcW w:w="2748"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友欣YX-DL8300</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个</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867" w:type="dxa"/>
            <w:noWrap w:val="0"/>
            <w:vAlign w:val="center"/>
          </w:tcPr>
          <w:p>
            <w:pPr>
              <w:snapToGrid w:val="0"/>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35</w:t>
            </w:r>
          </w:p>
        </w:tc>
        <w:tc>
          <w:tcPr>
            <w:tcW w:w="1960" w:type="dxa"/>
            <w:noWrap w:val="0"/>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石英异径管</w:t>
            </w:r>
          </w:p>
        </w:tc>
        <w:tc>
          <w:tcPr>
            <w:tcW w:w="2748" w:type="dxa"/>
            <w:noWrap w:val="0"/>
            <w:vAlign w:val="bottom"/>
          </w:tcPr>
          <w:p>
            <w:pPr>
              <w:snapToGrid w:val="0"/>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友欣YX-DL8300</w:t>
            </w:r>
          </w:p>
        </w:tc>
        <w:tc>
          <w:tcPr>
            <w:tcW w:w="72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根</w:t>
            </w:r>
          </w:p>
        </w:tc>
        <w:tc>
          <w:tcPr>
            <w:tcW w:w="87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063" w:type="dxa"/>
            <w:noWrap w:val="0"/>
            <w:vAlign w:val="center"/>
          </w:tcPr>
          <w:p>
            <w:pPr>
              <w:snapToGrid w:val="0"/>
              <w:jc w:val="center"/>
              <w:rPr>
                <w:rFonts w:hint="eastAsia" w:ascii="仿宋_GB2312" w:eastAsia="仿宋_GB2312"/>
                <w:sz w:val="24"/>
                <w:szCs w:val="24"/>
                <w:lang w:val="en-US" w:eastAsia="zh-CN"/>
              </w:rPr>
            </w:pPr>
          </w:p>
        </w:tc>
        <w:tc>
          <w:tcPr>
            <w:tcW w:w="1140" w:type="dxa"/>
            <w:noWrap w:val="0"/>
            <w:vAlign w:val="center"/>
          </w:tcPr>
          <w:p>
            <w:pPr>
              <w:snapToGrid w:val="0"/>
              <w:jc w:val="center"/>
              <w:rPr>
                <w:rFonts w:hint="eastAsia" w:ascii="仿宋_GB2312" w:eastAsia="仿宋_GB2312"/>
                <w:sz w:val="24"/>
                <w:szCs w:val="24"/>
                <w:lang w:val="en-US" w:eastAsia="zh-CN"/>
              </w:rPr>
            </w:pPr>
          </w:p>
        </w:tc>
        <w:tc>
          <w:tcPr>
            <w:tcW w:w="1589" w:type="dxa"/>
            <w:noWrap w:val="0"/>
            <w:vAlign w:val="center"/>
          </w:tcPr>
          <w:p>
            <w:pPr>
              <w:snapToGrid w:val="0"/>
              <w:jc w:val="center"/>
              <w:rPr>
                <w:rFonts w:hint="default"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867"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36</w:t>
            </w:r>
          </w:p>
        </w:tc>
        <w:tc>
          <w:tcPr>
            <w:tcW w:w="10090" w:type="dxa"/>
            <w:gridSpan w:val="7"/>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总价：         </w:t>
            </w:r>
          </w:p>
        </w:tc>
      </w:tr>
    </w:tbl>
    <w:p>
      <w:pPr>
        <w:rPr>
          <w:rFonts w:hint="default"/>
          <w:lang w:val="en-US" w:eastAsia="zh-CN"/>
        </w:rPr>
      </w:pPr>
    </w:p>
    <w:p>
      <w:pPr>
        <w:pStyle w:val="2"/>
        <w:rPr>
          <w:rFonts w:hint="eastAsia"/>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自签订之日起供货期一年</w:t>
      </w:r>
      <w:r>
        <w:rPr>
          <w:rFonts w:hint="eastAsia" w:ascii="仿宋_GB2312" w:hAnsi="宋体" w:eastAsia="仿宋_GB2312"/>
          <w:sz w:val="24"/>
          <w:szCs w:val="24"/>
          <w:lang w:val="en-US" w:eastAsia="zh-CN"/>
        </w:rPr>
        <w:t>，乙方承诺在合同供货期内，单价不变，甲方可根据实际使用计划，按照合同价格，调整采购数量，最终按实际供货数量结算</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采购内容及相关要求并提供产品合格证。</w:t>
      </w:r>
      <w:r>
        <w:rPr>
          <w:rFonts w:hint="eastAsia" w:ascii="仿宋_GB2312" w:hAnsi="宋体" w:eastAsia="仿宋_GB2312" w:cs="Times New Roman"/>
          <w:color w:val="auto"/>
          <w:sz w:val="24"/>
          <w:szCs w:val="24"/>
          <w:highlight w:val="none"/>
          <w:lang w:val="en-US" w:eastAsia="zh-CN"/>
        </w:rPr>
        <w:t>应满足实验室现场设备要求，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w:t>
      </w:r>
      <w:r>
        <w:rPr>
          <w:rFonts w:hint="eastAsia" w:ascii="仿宋_GB2312" w:hAnsi="宋体" w:eastAsia="仿宋_GB2312" w:cs="宋体"/>
          <w:kern w:val="0"/>
          <w:sz w:val="24"/>
          <w:szCs w:val="22"/>
          <w:lang w:val="en-US" w:eastAsia="zh-CN"/>
        </w:rPr>
        <w:t>实际需求</w:t>
      </w:r>
      <w:r>
        <w:rPr>
          <w:rFonts w:hint="eastAsia" w:ascii="仿宋_GB2312" w:hAnsi="宋体" w:eastAsia="仿宋_GB2312" w:cs="宋体"/>
          <w:kern w:val="0"/>
          <w:sz w:val="24"/>
          <w:szCs w:val="22"/>
        </w:rPr>
        <w:t>，确定送货数量要求，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7个工作</w:t>
      </w:r>
      <w:r>
        <w:rPr>
          <w:rFonts w:hint="eastAsia" w:ascii="仿宋_GB2312" w:hAnsi="宋体" w:eastAsia="仿宋_GB2312" w:cs="宋体"/>
          <w:kern w:val="0"/>
          <w:sz w:val="24"/>
          <w:szCs w:val="22"/>
        </w:rPr>
        <w:t>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val="en-US" w:eastAsia="zh-CN"/>
        </w:rPr>
        <w:t>设备</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每</w:t>
      </w:r>
      <w:r>
        <w:rPr>
          <w:rFonts w:hint="eastAsia" w:ascii="仿宋_GB2312" w:hAnsi="宋体" w:eastAsia="仿宋_GB2312"/>
          <w:sz w:val="24"/>
          <w:szCs w:val="24"/>
          <w:lang w:eastAsia="zh-CN"/>
        </w:rPr>
        <w:t>月货款</w:t>
      </w:r>
      <w:r>
        <w:rPr>
          <w:rFonts w:hint="eastAsia" w:ascii="仿宋_GB2312" w:hAnsi="宋体" w:eastAsia="仿宋_GB2312"/>
          <w:sz w:val="24"/>
          <w:szCs w:val="24"/>
          <w:lang w:val="en-US" w:eastAsia="zh-CN"/>
        </w:rPr>
        <w:t>于</w:t>
      </w:r>
      <w:r>
        <w:rPr>
          <w:rFonts w:hint="eastAsia" w:ascii="仿宋_GB2312" w:hAnsi="宋体" w:eastAsia="仿宋_GB2312"/>
          <w:sz w:val="24"/>
          <w:szCs w:val="24"/>
          <w:lang w:eastAsia="zh-CN"/>
        </w:rPr>
        <w:t>次月按实结算。乙方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w:t>
      </w:r>
      <w:r>
        <w:rPr>
          <w:rFonts w:hint="eastAsia" w:ascii="仿宋_GB2312" w:hAnsi="宋体" w:eastAsia="仿宋_GB2312"/>
          <w:sz w:val="24"/>
          <w:szCs w:val="24"/>
        </w:rPr>
        <w:t>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eastAsia="zh-CN"/>
        </w:rPr>
        <w:t>、</w:t>
      </w:r>
      <w:r>
        <w:rPr>
          <w:rFonts w:hint="eastAsia" w:ascii="仿宋_GB2312" w:hAnsi="宋体" w:eastAsia="仿宋_GB2312"/>
          <w:sz w:val="24"/>
          <w:szCs w:val="24"/>
        </w:rPr>
        <w:t>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w:t>
      </w:r>
      <w:r>
        <w:rPr>
          <w:rFonts w:hint="eastAsia" w:ascii="仿宋_GB2312" w:hAnsi="宋体" w:eastAsia="仿宋_GB2312"/>
          <w:sz w:val="24"/>
          <w:szCs w:val="24"/>
          <w:lang w:eastAsia="zh-CN"/>
        </w:rPr>
        <w:t>、</w:t>
      </w:r>
      <w:r>
        <w:rPr>
          <w:rFonts w:hint="eastAsia" w:ascii="仿宋_GB2312" w:hAnsi="宋体" w:eastAsia="仿宋_GB2312"/>
          <w:sz w:val="24"/>
          <w:szCs w:val="24"/>
        </w:rPr>
        <w:t>乙方因自身原因无法履行合同或拒不履行合同的，应按合同价款的10%承担违约金，且甲方有权解除合同。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val="en-US" w:eastAsia="zh-CN"/>
        </w:rPr>
        <w:t>贰</w:t>
      </w:r>
      <w:r>
        <w:rPr>
          <w:rFonts w:hint="eastAsia" w:ascii="仿宋_GB2312" w:hAnsi="宋体" w:eastAsia="仿宋_GB2312"/>
          <w:sz w:val="24"/>
          <w:szCs w:val="24"/>
        </w:rPr>
        <w:t>份。</w:t>
      </w:r>
    </w:p>
    <w:p>
      <w:pPr>
        <w:pStyle w:val="14"/>
        <w:ind w:left="0" w:leftChars="0" w:firstLine="0" w:firstLineChars="0"/>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委托方（甲方）：                           受托方（乙方）：</w:t>
      </w:r>
    </w:p>
    <w:p>
      <w:pPr>
        <w:spacing w:line="360" w:lineRule="auto"/>
        <w:ind w:firstLine="520" w:firstLineChars="217"/>
        <w:rPr>
          <w:rFonts w:hint="eastAsia" w:ascii="仿宋_GB2312" w:hAnsi="宋体" w:eastAsia="仿宋_GB2312"/>
          <w:sz w:val="24"/>
          <w:szCs w:val="24"/>
        </w:rPr>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单位名称（盖章）                          单位名称（盖章）</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w:t>
      </w:r>
    </w:p>
    <w:p>
      <w:pPr>
        <w:spacing w:line="360" w:lineRule="auto"/>
        <w:ind w:firstLine="520" w:firstLineChars="217"/>
        <w:rPr>
          <w:rFonts w:hint="eastAsia" w:ascii="仿宋_GB2312" w:hAnsi="宋体" w:eastAsia="仿宋_GB2312"/>
          <w:sz w:val="24"/>
          <w:szCs w:val="24"/>
        </w:rPr>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法定代表人：                              法定代表人：</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或委托代理人（签字）：                    或委托代理人（签字）：</w:t>
      </w:r>
    </w:p>
    <w:p>
      <w:pPr>
        <w:spacing w:line="360" w:lineRule="auto"/>
        <w:ind w:firstLine="520" w:firstLineChars="217"/>
        <w:rPr>
          <w:rFonts w:hint="eastAsia" w:ascii="仿宋_GB2312" w:hAnsi="宋体" w:eastAsia="仿宋_GB2312"/>
          <w:sz w:val="24"/>
          <w:szCs w:val="24"/>
        </w:rPr>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单位地址：                                单位地址：</w:t>
      </w:r>
    </w:p>
    <w:p>
      <w:pPr>
        <w:spacing w:line="360" w:lineRule="auto"/>
        <w:ind w:firstLine="520" w:firstLineChars="217"/>
        <w:rPr>
          <w:rFonts w:hint="eastAsia" w:ascii="仿宋_GB2312" w:hAnsi="宋体" w:eastAsia="仿宋_GB2312"/>
          <w:sz w:val="24"/>
          <w:szCs w:val="24"/>
          <w:lang w:val="en-US" w:eastAsia="zh-CN"/>
        </w:rPr>
      </w:pP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签订日期：</w:t>
      </w:r>
    </w:p>
    <w:sectPr>
      <w:footerReference r:id="rId5"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30872"/>
    <w:rsid w:val="005926A3"/>
    <w:rsid w:val="008746A5"/>
    <w:rsid w:val="00B574EC"/>
    <w:rsid w:val="015050D6"/>
    <w:rsid w:val="0163497C"/>
    <w:rsid w:val="01D22213"/>
    <w:rsid w:val="02214925"/>
    <w:rsid w:val="04605697"/>
    <w:rsid w:val="05B13617"/>
    <w:rsid w:val="05D22118"/>
    <w:rsid w:val="06057AB3"/>
    <w:rsid w:val="076B1E2F"/>
    <w:rsid w:val="0A0C6ADD"/>
    <w:rsid w:val="0A32752C"/>
    <w:rsid w:val="0AD4279B"/>
    <w:rsid w:val="0BCC31F9"/>
    <w:rsid w:val="0D322C8D"/>
    <w:rsid w:val="0DC35837"/>
    <w:rsid w:val="0DE61498"/>
    <w:rsid w:val="110C39D4"/>
    <w:rsid w:val="1297576D"/>
    <w:rsid w:val="12AD7B51"/>
    <w:rsid w:val="12BF4C87"/>
    <w:rsid w:val="12E70A09"/>
    <w:rsid w:val="12E770F7"/>
    <w:rsid w:val="12F3571C"/>
    <w:rsid w:val="17565C7A"/>
    <w:rsid w:val="1A2B7D96"/>
    <w:rsid w:val="1BD33B78"/>
    <w:rsid w:val="1D33169F"/>
    <w:rsid w:val="1E1A21EF"/>
    <w:rsid w:val="202D17B7"/>
    <w:rsid w:val="203B090D"/>
    <w:rsid w:val="21135480"/>
    <w:rsid w:val="214D7086"/>
    <w:rsid w:val="219914E7"/>
    <w:rsid w:val="23984212"/>
    <w:rsid w:val="24130D0C"/>
    <w:rsid w:val="2512051E"/>
    <w:rsid w:val="26F76768"/>
    <w:rsid w:val="272209C2"/>
    <w:rsid w:val="27333604"/>
    <w:rsid w:val="29F704EF"/>
    <w:rsid w:val="2AC220DE"/>
    <w:rsid w:val="2ADB5E21"/>
    <w:rsid w:val="2ADF08BA"/>
    <w:rsid w:val="2B644812"/>
    <w:rsid w:val="2C4C33CA"/>
    <w:rsid w:val="2EB2531B"/>
    <w:rsid w:val="2F3D045F"/>
    <w:rsid w:val="2F7D3F84"/>
    <w:rsid w:val="2F844FB7"/>
    <w:rsid w:val="321E50D3"/>
    <w:rsid w:val="3464504B"/>
    <w:rsid w:val="354D4C9A"/>
    <w:rsid w:val="36674D51"/>
    <w:rsid w:val="37F939C5"/>
    <w:rsid w:val="3A7B4EF4"/>
    <w:rsid w:val="3AAD0E39"/>
    <w:rsid w:val="3C8F1889"/>
    <w:rsid w:val="3D7933CA"/>
    <w:rsid w:val="3DAC3CC7"/>
    <w:rsid w:val="3E16524F"/>
    <w:rsid w:val="3F2D02B4"/>
    <w:rsid w:val="3F447B75"/>
    <w:rsid w:val="407E15A7"/>
    <w:rsid w:val="40AA3B81"/>
    <w:rsid w:val="40FE6FE3"/>
    <w:rsid w:val="411C5733"/>
    <w:rsid w:val="45530393"/>
    <w:rsid w:val="462B6949"/>
    <w:rsid w:val="469F7AF8"/>
    <w:rsid w:val="47562D9D"/>
    <w:rsid w:val="47787508"/>
    <w:rsid w:val="478F3581"/>
    <w:rsid w:val="47B96D86"/>
    <w:rsid w:val="47D615F1"/>
    <w:rsid w:val="48034DA7"/>
    <w:rsid w:val="49E7480F"/>
    <w:rsid w:val="4B8E3F29"/>
    <w:rsid w:val="4C870D35"/>
    <w:rsid w:val="4E376DB9"/>
    <w:rsid w:val="4E716394"/>
    <w:rsid w:val="4F0A3ECF"/>
    <w:rsid w:val="502844C8"/>
    <w:rsid w:val="51D845E4"/>
    <w:rsid w:val="524E7723"/>
    <w:rsid w:val="533444FB"/>
    <w:rsid w:val="54F52B08"/>
    <w:rsid w:val="55C54FE9"/>
    <w:rsid w:val="55E07717"/>
    <w:rsid w:val="57231452"/>
    <w:rsid w:val="57303F87"/>
    <w:rsid w:val="58080247"/>
    <w:rsid w:val="58E30CBE"/>
    <w:rsid w:val="5A1C766A"/>
    <w:rsid w:val="5B8B1D7B"/>
    <w:rsid w:val="612A3DEE"/>
    <w:rsid w:val="6402143B"/>
    <w:rsid w:val="649C599A"/>
    <w:rsid w:val="66B027B6"/>
    <w:rsid w:val="67B628F5"/>
    <w:rsid w:val="68690DF6"/>
    <w:rsid w:val="6B656B47"/>
    <w:rsid w:val="6B700A0F"/>
    <w:rsid w:val="6C714475"/>
    <w:rsid w:val="6CDB032D"/>
    <w:rsid w:val="6D144BD5"/>
    <w:rsid w:val="6D1F10D1"/>
    <w:rsid w:val="6E5526FF"/>
    <w:rsid w:val="6F2B1820"/>
    <w:rsid w:val="710D0440"/>
    <w:rsid w:val="71C5585F"/>
    <w:rsid w:val="73252A0A"/>
    <w:rsid w:val="76C61492"/>
    <w:rsid w:val="773A0B3A"/>
    <w:rsid w:val="77AF2B30"/>
    <w:rsid w:val="77D476E8"/>
    <w:rsid w:val="793766EE"/>
    <w:rsid w:val="7A500C84"/>
    <w:rsid w:val="7AF96EC6"/>
    <w:rsid w:val="7CD03426"/>
    <w:rsid w:val="7E29266C"/>
    <w:rsid w:val="7F5B6E61"/>
    <w:rsid w:val="7F5D1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paragraph" w:styleId="14">
    <w:name w:val="Body Text First Indent"/>
    <w:basedOn w:val="5"/>
    <w:qFormat/>
    <w:uiPriority w:val="0"/>
    <w:pPr>
      <w:spacing w:line="360" w:lineRule="auto"/>
      <w:ind w:firstLine="200" w:firstLineChars="200"/>
      <w:jc w:val="left"/>
    </w:pPr>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2490F8"/>
      <w:u w:val="single"/>
    </w:rPr>
  </w:style>
  <w:style w:type="character" w:styleId="20">
    <w:name w:val="Hyperlink"/>
    <w:basedOn w:val="17"/>
    <w:qFormat/>
    <w:uiPriority w:val="99"/>
    <w:rPr>
      <w:color w:val="2490F8"/>
      <w:u w:val="single"/>
    </w:rPr>
  </w:style>
  <w:style w:type="character" w:styleId="21">
    <w:name w:val="annotation reference"/>
    <w:basedOn w:val="17"/>
    <w:qFormat/>
    <w:uiPriority w:val="0"/>
    <w:rPr>
      <w:sz w:val="21"/>
      <w:szCs w:val="21"/>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一、标题"/>
    <w:basedOn w:val="1"/>
    <w:qFormat/>
    <w:uiPriority w:val="0"/>
    <w:rPr>
      <w:b/>
      <w:sz w:val="28"/>
    </w:rPr>
  </w:style>
  <w:style w:type="paragraph" w:styleId="25">
    <w:name w:val="List Paragraph"/>
    <w:basedOn w:val="1"/>
    <w:qFormat/>
    <w:uiPriority w:val="34"/>
    <w:pPr>
      <w:ind w:firstLine="420" w:firstLineChars="200"/>
    </w:pPr>
  </w:style>
  <w:style w:type="character" w:customStyle="1" w:styleId="26">
    <w:name w:val="页眉 Char"/>
    <w:basedOn w:val="17"/>
    <w:link w:val="10"/>
    <w:qFormat/>
    <w:uiPriority w:val="0"/>
    <w:rPr>
      <w:kern w:val="2"/>
      <w:sz w:val="18"/>
      <w:szCs w:val="18"/>
    </w:rPr>
  </w:style>
  <w:style w:type="character" w:customStyle="1" w:styleId="27">
    <w:name w:val="批注框文本 Char"/>
    <w:basedOn w:val="17"/>
    <w:link w:val="8"/>
    <w:qFormat/>
    <w:uiPriority w:val="0"/>
    <w:rPr>
      <w:kern w:val="2"/>
      <w:sz w:val="18"/>
      <w:szCs w:val="18"/>
    </w:rPr>
  </w:style>
  <w:style w:type="paragraph" w:customStyle="1" w:styleId="28">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0">
    <w:name w:val="icontext2"/>
    <w:basedOn w:val="17"/>
    <w:qFormat/>
    <w:uiPriority w:val="0"/>
  </w:style>
  <w:style w:type="character" w:customStyle="1" w:styleId="31">
    <w:name w:val="cdropright"/>
    <w:basedOn w:val="17"/>
    <w:qFormat/>
    <w:uiPriority w:val="0"/>
  </w:style>
  <w:style w:type="character" w:customStyle="1" w:styleId="32">
    <w:name w:val="active5"/>
    <w:basedOn w:val="17"/>
    <w:qFormat/>
    <w:uiPriority w:val="0"/>
    <w:rPr>
      <w:color w:val="00FF00"/>
      <w:shd w:val="clear" w:fill="111111"/>
    </w:rPr>
  </w:style>
  <w:style w:type="character" w:customStyle="1" w:styleId="33">
    <w:name w:val="cy"/>
    <w:basedOn w:val="17"/>
    <w:qFormat/>
    <w:uiPriority w:val="0"/>
  </w:style>
  <w:style w:type="character" w:customStyle="1" w:styleId="34">
    <w:name w:val="iconline2"/>
    <w:basedOn w:val="17"/>
    <w:qFormat/>
    <w:uiPriority w:val="0"/>
  </w:style>
  <w:style w:type="character" w:customStyle="1" w:styleId="35">
    <w:name w:val="iconline21"/>
    <w:basedOn w:val="17"/>
    <w:qFormat/>
    <w:uiPriority w:val="0"/>
  </w:style>
  <w:style w:type="character" w:customStyle="1" w:styleId="36">
    <w:name w:val="after"/>
    <w:basedOn w:val="17"/>
    <w:qFormat/>
    <w:uiPriority w:val="0"/>
    <w:rPr>
      <w:sz w:val="0"/>
      <w:szCs w:val="0"/>
    </w:rPr>
  </w:style>
  <w:style w:type="character" w:customStyle="1" w:styleId="37">
    <w:name w:val="layui-layer-tabnow"/>
    <w:basedOn w:val="17"/>
    <w:qFormat/>
    <w:uiPriority w:val="0"/>
    <w:rPr>
      <w:bdr w:val="single" w:color="CCCCCC" w:sz="6" w:space="0"/>
      <w:shd w:val="clear" w:fill="FFFFFF"/>
    </w:rPr>
  </w:style>
  <w:style w:type="character" w:customStyle="1" w:styleId="38">
    <w:name w:val="w32"/>
    <w:basedOn w:val="17"/>
    <w:qFormat/>
    <w:uiPriority w:val="0"/>
  </w:style>
  <w:style w:type="character" w:customStyle="1" w:styleId="39">
    <w:name w:val="icontext3"/>
    <w:basedOn w:val="17"/>
    <w:qFormat/>
    <w:uiPriority w:val="0"/>
  </w:style>
  <w:style w:type="character" w:customStyle="1" w:styleId="40">
    <w:name w:val="icontext1"/>
    <w:basedOn w:val="17"/>
    <w:qFormat/>
    <w:uiPriority w:val="0"/>
  </w:style>
  <w:style w:type="character" w:customStyle="1" w:styleId="41">
    <w:name w:val="icontext11"/>
    <w:basedOn w:val="17"/>
    <w:qFormat/>
    <w:uiPriority w:val="0"/>
  </w:style>
  <w:style w:type="character" w:customStyle="1" w:styleId="42">
    <w:name w:val="icontext12"/>
    <w:basedOn w:val="17"/>
    <w:qFormat/>
    <w:uiPriority w:val="0"/>
  </w:style>
  <w:style w:type="character" w:customStyle="1" w:styleId="43">
    <w:name w:val="cdropleft"/>
    <w:basedOn w:val="17"/>
    <w:qFormat/>
    <w:uiPriority w:val="0"/>
  </w:style>
  <w:style w:type="character" w:customStyle="1" w:styleId="44">
    <w:name w:val="pagechatarealistclose_box"/>
    <w:basedOn w:val="17"/>
    <w:qFormat/>
    <w:uiPriority w:val="0"/>
  </w:style>
  <w:style w:type="character" w:customStyle="1" w:styleId="45">
    <w:name w:val="pagechatarealistclose_box1"/>
    <w:basedOn w:val="17"/>
    <w:qFormat/>
    <w:uiPriority w:val="0"/>
  </w:style>
  <w:style w:type="character" w:customStyle="1" w:styleId="46">
    <w:name w:val="tmpztreemove_arrow"/>
    <w:basedOn w:val="17"/>
    <w:qFormat/>
    <w:uiPriority w:val="0"/>
  </w:style>
  <w:style w:type="character" w:customStyle="1" w:styleId="47">
    <w:name w:val="button4"/>
    <w:basedOn w:val="17"/>
    <w:qFormat/>
    <w:uiPriority w:val="0"/>
  </w:style>
  <w:style w:type="character" w:customStyle="1" w:styleId="48">
    <w:name w:val="hilite6"/>
    <w:basedOn w:val="17"/>
    <w:qFormat/>
    <w:uiPriority w:val="0"/>
    <w:rPr>
      <w:color w:val="FFFFFF"/>
      <w:shd w:val="clear" w:fill="666666"/>
    </w:rPr>
  </w:style>
  <w:style w:type="character" w:customStyle="1" w:styleId="49">
    <w:name w:val="drapbtn"/>
    <w:basedOn w:val="17"/>
    <w:qFormat/>
    <w:uiPriority w:val="0"/>
  </w:style>
  <w:style w:type="character" w:customStyle="1" w:styleId="50">
    <w:name w:val="ico1654"/>
    <w:basedOn w:val="17"/>
    <w:qFormat/>
    <w:uiPriority w:val="0"/>
  </w:style>
  <w:style w:type="character" w:customStyle="1" w:styleId="51">
    <w:name w:val="ico1655"/>
    <w:basedOn w:val="17"/>
    <w:qFormat/>
    <w:uiPriority w:val="0"/>
  </w:style>
  <w:style w:type="character" w:customStyle="1" w:styleId="52">
    <w:name w:val="associateddata"/>
    <w:basedOn w:val="17"/>
    <w:qFormat/>
    <w:uiPriority w:val="0"/>
    <w:rPr>
      <w:shd w:val="clear" w:fill="50A6F9"/>
    </w:rPr>
  </w:style>
  <w:style w:type="character" w:customStyle="1" w:styleId="53">
    <w:name w:val="first-child"/>
    <w:basedOn w:val="17"/>
    <w:qFormat/>
    <w:uiPriority w:val="0"/>
  </w:style>
  <w:style w:type="character" w:customStyle="1" w:styleId="54">
    <w:name w:val="button"/>
    <w:basedOn w:val="17"/>
    <w:qFormat/>
    <w:uiPriority w:val="0"/>
  </w:style>
  <w:style w:type="character" w:customStyle="1" w:styleId="55">
    <w:name w:val="hilite4"/>
    <w:basedOn w:val="17"/>
    <w:qFormat/>
    <w:uiPriority w:val="0"/>
    <w:rPr>
      <w:color w:val="FFFFFF"/>
      <w:shd w:val="clear" w:fill="666666"/>
    </w:rPr>
  </w:style>
  <w:style w:type="character" w:customStyle="1" w:styleId="56">
    <w:name w:val="active4"/>
    <w:basedOn w:val="17"/>
    <w:qFormat/>
    <w:uiPriority w:val="0"/>
    <w:rPr>
      <w:color w:val="00FF00"/>
      <w:shd w:val="clear" w:fill="111111"/>
    </w:rPr>
  </w:style>
  <w:style w:type="character" w:customStyle="1" w:styleId="57">
    <w:name w:val="hilite"/>
    <w:basedOn w:val="17"/>
    <w:qFormat/>
    <w:uiPriority w:val="0"/>
    <w:rPr>
      <w:color w:val="FFFFFF"/>
      <w:shd w:val="clear" w:fill="666666"/>
    </w:rPr>
  </w:style>
  <w:style w:type="character" w:customStyle="1" w:styleId="58">
    <w:name w:val="ico16"/>
    <w:basedOn w:val="17"/>
    <w:qFormat/>
    <w:uiPriority w:val="0"/>
  </w:style>
  <w:style w:type="character" w:customStyle="1" w:styleId="59">
    <w:name w:val="ico161"/>
    <w:basedOn w:val="17"/>
    <w:qFormat/>
    <w:uiPriority w:val="0"/>
  </w:style>
  <w:style w:type="character" w:customStyle="1" w:styleId="60">
    <w:name w:val="active7"/>
    <w:basedOn w:val="17"/>
    <w:qFormat/>
    <w:uiPriority w:val="0"/>
    <w:rPr>
      <w:color w:val="00FF00"/>
      <w:shd w:val="clear" w:fill="111111"/>
    </w:rPr>
  </w:style>
  <w:style w:type="character" w:customStyle="1" w:styleId="61">
    <w:name w:val="active2"/>
    <w:basedOn w:val="17"/>
    <w:qFormat/>
    <w:uiPriority w:val="0"/>
    <w:rPr>
      <w:color w:val="00FF00"/>
      <w:shd w:val="clear" w:fill="111111"/>
    </w:rPr>
  </w:style>
  <w:style w:type="paragraph" w:customStyle="1" w:styleId="62">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7022</Words>
  <Characters>7720</Characters>
  <Lines>53</Lines>
  <Paragraphs>15</Paragraphs>
  <TotalTime>1</TotalTime>
  <ScaleCrop>false</ScaleCrop>
  <LinksUpToDate>false</LinksUpToDate>
  <CharactersWithSpaces>8601</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2022-06-16T01:46:25Z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C2FFBC1E2E5F40B4971C37757D79728B</vt:lpwstr>
  </property>
</Properties>
</file>