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202206013</w:t>
      </w:r>
    </w:p>
    <w:p>
      <w:pPr>
        <w:pageBreakBefore w:val="0"/>
        <w:kinsoku/>
        <w:wordWrap/>
        <w:topLinePunct w:val="0"/>
        <w:bidi w:val="0"/>
        <w:spacing w:line="360" w:lineRule="auto"/>
        <w:ind w:firstLine="80" w:firstLineChars="25"/>
        <w:jc w:val="center"/>
        <w:rPr>
          <w:rFonts w:hint="default" w:ascii="仿宋" w:hAnsi="仿宋" w:eastAsia="仿宋" w:cs="仿宋"/>
          <w:sz w:val="84"/>
          <w:lang w:val="en-US"/>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年临江公司</w:t>
      </w:r>
      <w:r>
        <w:rPr>
          <w:rFonts w:hint="eastAsia" w:ascii="仿宋" w:hAnsi="仿宋" w:eastAsia="仿宋" w:cs="仿宋"/>
          <w:sz w:val="32"/>
          <w:szCs w:val="32"/>
          <w:u w:val="single"/>
          <w:lang w:eastAsia="zh-CN"/>
        </w:rPr>
        <w:t>叉车维保</w:t>
      </w:r>
      <w:r>
        <w:rPr>
          <w:rFonts w:hint="eastAsia" w:ascii="仿宋" w:hAnsi="仿宋" w:eastAsia="仿宋" w:cs="仿宋"/>
          <w:sz w:val="32"/>
          <w:szCs w:val="32"/>
          <w:u w:val="single"/>
        </w:rPr>
        <w:t>采购</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重新询价</w:t>
      </w:r>
      <w:r>
        <w:rPr>
          <w:rFonts w:hint="default" w:ascii="仿宋" w:hAnsi="仿宋" w:eastAsia="仿宋" w:cs="仿宋"/>
          <w:sz w:val="32"/>
          <w:szCs w:val="32"/>
          <w:u w:val="single"/>
          <w:lang w:val="en-US"/>
        </w:rPr>
        <w:t>)</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叉车维保服务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202206013</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叉车年度维保</w:t>
      </w:r>
      <w:r>
        <w:rPr>
          <w:rFonts w:hint="eastAsia" w:ascii="仿宋" w:hAnsi="仿宋" w:eastAsia="仿宋" w:cs="仿宋"/>
          <w:b w:val="0"/>
          <w:caps w:val="0"/>
          <w:sz w:val="28"/>
          <w:szCs w:val="28"/>
        </w:rPr>
        <w:t>。</w:t>
      </w:r>
    </w:p>
    <w:tbl>
      <w:tblPr>
        <w:tblStyle w:val="11"/>
        <w:tblW w:w="92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2062"/>
        <w:gridCol w:w="1463"/>
        <w:gridCol w:w="1988"/>
        <w:gridCol w:w="1050"/>
        <w:gridCol w:w="987"/>
        <w:gridCol w:w="1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206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名称</w:t>
            </w:r>
          </w:p>
        </w:tc>
        <w:tc>
          <w:tcPr>
            <w:tcW w:w="1463"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厂家</w:t>
            </w:r>
          </w:p>
        </w:tc>
        <w:tc>
          <w:tcPr>
            <w:tcW w:w="1988"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型号</w:t>
            </w:r>
          </w:p>
        </w:tc>
        <w:tc>
          <w:tcPr>
            <w:tcW w:w="1050"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p>
        </w:tc>
        <w:tc>
          <w:tcPr>
            <w:tcW w:w="98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数量</w:t>
            </w:r>
          </w:p>
        </w:tc>
        <w:tc>
          <w:tcPr>
            <w:tcW w:w="1038"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次/辆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堆高电叉车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CQD型2.0T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03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防爆柴油叉车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CPCD35N-RW10M-Ex型3.0t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CPCD型3.5t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206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柴油叉车</w:t>
            </w:r>
          </w:p>
        </w:tc>
        <w:tc>
          <w:tcPr>
            <w:tcW w:w="14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杭叉</w:t>
            </w:r>
          </w:p>
        </w:tc>
        <w:tc>
          <w:tcPr>
            <w:tcW w:w="198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CPCD型5.0t</w:t>
            </w:r>
          </w:p>
        </w:tc>
        <w:tc>
          <w:tcPr>
            <w:tcW w:w="105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98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03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r>
    </w:tbl>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rPr>
        <w:t>2.1</w:t>
      </w:r>
      <w:r>
        <w:rPr>
          <w:rFonts w:hint="eastAsia" w:ascii="仿宋" w:hAnsi="仿宋" w:eastAsia="仿宋" w:cs="仿宋"/>
          <w:sz w:val="28"/>
          <w:szCs w:val="28"/>
          <w:lang w:val="en-US" w:eastAsia="zh-CN"/>
        </w:rPr>
        <w:t>对15辆叉车进行日常常规检查保养，检查项目详见《第三部分 询价内容》；</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2.2对叉车进行维修（含备件），要求详见《第三部分 询价内容》。</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w:t>
      </w:r>
      <w:r>
        <w:rPr>
          <w:rFonts w:hint="eastAsia" w:ascii="仿宋" w:hAnsi="仿宋" w:eastAsia="仿宋" w:cs="仿宋"/>
          <w:b w:val="0"/>
          <w:caps w:val="0"/>
          <w:sz w:val="28"/>
          <w:szCs w:val="28"/>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28.24</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，其中</w:t>
      </w:r>
      <w:r>
        <w:rPr>
          <w:rFonts w:hint="eastAsia" w:ascii="仿宋" w:hAnsi="仿宋" w:eastAsia="仿宋" w:cs="仿宋"/>
          <w:b w:val="0"/>
          <w:caps w:val="0"/>
          <w:sz w:val="28"/>
          <w:szCs w:val="28"/>
          <w:lang w:eastAsia="zh-CN"/>
        </w:rPr>
        <w:t>日常常规保养限额为</w:t>
      </w:r>
      <w:r>
        <w:rPr>
          <w:rFonts w:hint="eastAsia" w:ascii="仿宋" w:hAnsi="仿宋" w:eastAsia="仿宋" w:cs="仿宋"/>
          <w:b w:val="0"/>
          <w:caps w:val="0"/>
          <w:sz w:val="28"/>
          <w:szCs w:val="28"/>
          <w:lang w:val="en-US" w:eastAsia="zh-CN"/>
        </w:rPr>
        <w:t>14.88万元，叉车维修（含备件）限额13.36万元</w:t>
      </w:r>
      <w:r>
        <w:rPr>
          <w:rFonts w:hint="eastAsia" w:ascii="仿宋" w:hAnsi="仿宋" w:eastAsia="仿宋" w:cs="仿宋"/>
          <w:b w:val="0"/>
          <w:caps w:val="0"/>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供应商具备中华人民共和国境内独立法人资格，注册资金在50万元（含）人民币以上。</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2.投标方须具有专业叉车维修相关资质证书，并能提供国家核准颁发并有效的资质证明资料。</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4.投标人不得为临江环境能源有限公司不合格供应商或者在黑名单之内。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.投标单位负责人为同一人或者存在控股、管理关系的不同单位，不得同时参加本项目。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.投标人须提供其股东信息及出资比例信息。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8.投标保证金3400元，请投标人在投标截止前汇入以下账户并注明采购项目名称：</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单位名称：杭州临江环境能源有限公司</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    号：571911871110866</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开 户 行：招商银行杭州分行滨江支行</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三、报名方式：</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default" w:ascii="仿宋" w:hAnsi="仿宋" w:eastAsia="仿宋" w:cs="仿宋"/>
          <w:sz w:val="28"/>
          <w:szCs w:val="28"/>
          <w:lang w:val="en-US" w:eastAsia="zh-CN"/>
        </w:rPr>
        <w:t>7</w:t>
      </w:r>
      <w:r>
        <w:rPr>
          <w:rFonts w:hint="eastAsia" w:ascii="仿宋" w:hAnsi="仿宋" w:eastAsia="仿宋" w:cs="仿宋"/>
          <w:sz w:val="28"/>
          <w:szCs w:val="28"/>
        </w:rPr>
        <w:t>月</w:t>
      </w:r>
      <w:r>
        <w:rPr>
          <w:rFonts w:hint="default" w:ascii="仿宋" w:hAnsi="仿宋" w:eastAsia="仿宋" w:cs="仿宋"/>
          <w:sz w:val="28"/>
          <w:szCs w:val="28"/>
          <w:lang w:val="en-US" w:eastAsia="zh-CN"/>
        </w:rPr>
        <w:t>3</w:t>
      </w:r>
      <w:r>
        <w:rPr>
          <w:rFonts w:hint="eastAsia" w:ascii="仿宋" w:hAnsi="仿宋" w:eastAsia="仿宋" w:cs="仿宋"/>
          <w:sz w:val="28"/>
          <w:szCs w:val="28"/>
        </w:rPr>
        <w:t>日</w:t>
      </w:r>
      <w:r>
        <w:rPr>
          <w:rFonts w:hint="default" w:ascii="仿宋" w:hAnsi="仿宋" w:eastAsia="仿宋" w:cs="仿宋"/>
          <w:sz w:val="28"/>
          <w:szCs w:val="28"/>
          <w:lang w:val="en-US"/>
        </w:rPr>
        <w:t>24</w:t>
      </w:r>
      <w:r>
        <w:rPr>
          <w:rFonts w:hint="eastAsia" w:ascii="仿宋" w:hAnsi="仿宋" w:eastAsia="仿宋" w:cs="仿宋"/>
          <w:sz w:val="28"/>
          <w:szCs w:val="28"/>
          <w:lang w:val="en-US" w:eastAsia="zh-CN"/>
        </w:rPr>
        <w:t>点</w:t>
      </w:r>
      <w:r>
        <w:rPr>
          <w:rFonts w:hint="eastAsia" w:ascii="仿宋" w:hAnsi="仿宋" w:eastAsia="仿宋" w:cs="仿宋"/>
          <w:sz w:val="28"/>
          <w:szCs w:val="28"/>
        </w:rPr>
        <w:t>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报价时间：</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default" w:ascii="仿宋" w:hAnsi="仿宋" w:eastAsia="仿宋" w:cs="仿宋"/>
          <w:sz w:val="28"/>
          <w:szCs w:val="28"/>
          <w:lang w:val="en-US"/>
        </w:rPr>
        <w:t>7</w:t>
      </w:r>
      <w:r>
        <w:rPr>
          <w:rFonts w:hint="eastAsia" w:ascii="仿宋" w:hAnsi="仿宋" w:eastAsia="仿宋" w:cs="仿宋"/>
          <w:sz w:val="28"/>
          <w:szCs w:val="28"/>
        </w:rPr>
        <w:t>月</w:t>
      </w:r>
      <w:r>
        <w:rPr>
          <w:rFonts w:hint="default" w:ascii="仿宋" w:hAnsi="仿宋" w:eastAsia="仿宋" w:cs="仿宋"/>
          <w:sz w:val="28"/>
          <w:szCs w:val="28"/>
          <w:lang w:val="en-US" w:eastAsia="zh-CN"/>
        </w:rPr>
        <w:t>8</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报价文件的递交：</w:t>
      </w:r>
    </w:p>
    <w:p>
      <w:pPr>
        <w:pageBreakBefore w:val="0"/>
        <w:kinsoku/>
        <w:wordWrap/>
        <w:topLinePunct w:val="0"/>
        <w:bidi w:val="0"/>
        <w:snapToGrid w:val="0"/>
        <w:spacing w:line="360" w:lineRule="auto"/>
        <w:ind w:firstLine="585"/>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邀请所有投标人参与现场开标，现场提交投标文件。若投标人放弃参与开标的权利而采用邮寄方式递交投标文件，则视同认可开标过程及结果，不得提出疑议。</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邮寄地址：杭州市钱塘区临江街道红十五线与观十五线交叉口杭州临江环境能源有限公司科研楼投资发展部  庄工 15268125337</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报价文件邮递递交截止时间：以邮寄签收时间为准，因邮寄原因导致报价文件不能如期送达等风险由供应商自行承担。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供应商如认为询价文件使自身的合法权益受到损害的，应于自报名之日起1日内以书面形式向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提出质疑。逾期视作无异议。</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w:t>
      </w:r>
      <w:r>
        <w:rPr>
          <w:rFonts w:hint="eastAsia" w:ascii="仿宋" w:hAnsi="仿宋" w:eastAsia="仿宋" w:cs="仿宋"/>
          <w:sz w:val="28"/>
          <w:szCs w:val="28"/>
        </w:rPr>
        <w:t>庄工     联系电话：1526</w:t>
      </w:r>
      <w:r>
        <w:rPr>
          <w:rFonts w:hint="default" w:ascii="仿宋" w:hAnsi="仿宋" w:eastAsia="仿宋" w:cs="仿宋"/>
          <w:sz w:val="28"/>
          <w:szCs w:val="28"/>
          <w:lang w:val="en-US"/>
        </w:rPr>
        <w:t>8</w:t>
      </w:r>
      <w:r>
        <w:rPr>
          <w:rFonts w:hint="eastAsia" w:ascii="仿宋" w:hAnsi="仿宋" w:eastAsia="仿宋" w:cs="仿宋"/>
          <w:sz w:val="28"/>
          <w:szCs w:val="28"/>
        </w:rPr>
        <w:t xml:space="preserve">125337  </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监督部门：临江公司监察审计部，李文拓　联系电话：15636132687。</w:t>
      </w:r>
    </w:p>
    <w:p>
      <w:pPr>
        <w:pStyle w:val="2"/>
        <w:pageBreakBefore w:val="0"/>
        <w:numPr>
          <w:ilvl w:val="0"/>
          <w:numId w:val="0"/>
        </w:numPr>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jc w:val="left"/>
        <w:rPr>
          <w:rFonts w:hint="eastAsia" w:ascii="仿宋" w:hAnsi="仿宋" w:eastAsia="仿宋" w:cs="仿宋"/>
          <w:sz w:val="28"/>
          <w:szCs w:val="28"/>
        </w:rPr>
      </w:pPr>
    </w:p>
    <w:p>
      <w:pPr>
        <w:pageBreakBefore w:val="0"/>
        <w:kinsoku/>
        <w:wordWrap/>
        <w:topLinePunct w:val="0"/>
        <w:bidi w:val="0"/>
        <w:snapToGrid w:val="0"/>
        <w:spacing w:line="360" w:lineRule="auto"/>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pageBreakBefore w:val="0"/>
        <w:kinsoku/>
        <w:wordWrap/>
        <w:topLinePunct w:val="0"/>
        <w:bidi w:val="0"/>
        <w:snapToGrid w:val="0"/>
        <w:spacing w:line="360" w:lineRule="auto"/>
        <w:ind w:right="360" w:firstLine="585"/>
        <w:jc w:val="right"/>
        <w:rPr>
          <w:rFonts w:hint="eastAsia" w:ascii="仿宋" w:hAnsi="仿宋" w:eastAsia="仿宋" w:cs="仿宋"/>
          <w:sz w:val="28"/>
          <w:szCs w:val="28"/>
        </w:rPr>
      </w:pP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default" w:ascii="仿宋" w:hAnsi="仿宋" w:eastAsia="仿宋" w:cs="仿宋"/>
          <w:sz w:val="28"/>
          <w:szCs w:val="28"/>
          <w:lang w:val="en-US" w:eastAsia="zh-CN"/>
        </w:rPr>
        <w:t>28</w:t>
      </w:r>
      <w:r>
        <w:rPr>
          <w:rFonts w:hint="eastAsia" w:ascii="仿宋" w:hAnsi="仿宋" w:eastAsia="仿宋" w:cs="仿宋"/>
          <w:sz w:val="28"/>
          <w:szCs w:val="28"/>
        </w:rPr>
        <w:t>日</w:t>
      </w:r>
    </w:p>
    <w:p>
      <w:pPr>
        <w:pageBreakBefore w:val="0"/>
        <w:kinsoku/>
        <w:wordWrap/>
        <w:topLinePunct w:val="0"/>
        <w:bidi w:val="0"/>
        <w:snapToGrid w:val="0"/>
        <w:spacing w:line="360" w:lineRule="auto"/>
        <w:ind w:firstLine="585"/>
        <w:jc w:val="center"/>
        <w:rPr>
          <w:rFonts w:hint="eastAsia" w:ascii="仿宋" w:hAnsi="仿宋" w:eastAsia="仿宋" w:cs="仿宋"/>
          <w:snapToGrid w:val="0"/>
          <w:sz w:val="28"/>
          <w:szCs w:val="28"/>
        </w:rPr>
      </w:pPr>
      <w:r>
        <w:rPr>
          <w:rFonts w:hint="eastAsia" w:ascii="仿宋" w:hAnsi="仿宋" w:eastAsia="仿宋" w:cs="仿宋"/>
          <w:sz w:val="28"/>
          <w:szCs w:val="28"/>
        </w:rPr>
        <w:br w:type="page"/>
      </w:r>
      <w:bookmarkStart w:id="6" w:name="_Toc530583879"/>
      <w:bookmarkStart w:id="7" w:name="_Toc530583922"/>
      <w:r>
        <w:rPr>
          <w:rFonts w:hint="eastAsia" w:ascii="仿宋" w:hAnsi="仿宋" w:eastAsia="仿宋" w:cs="仿宋"/>
          <w:b/>
          <w:snapToGrid w:val="0"/>
          <w:color w:val="000000"/>
          <w:kern w:val="44"/>
          <w:sz w:val="28"/>
          <w:szCs w:val="28"/>
          <w:lang w:val="en-US" w:eastAsia="zh-CN" w:bidi="ar-SA"/>
        </w:rPr>
        <w:t>第二部分   采购须知</w:t>
      </w:r>
      <w:bookmarkEnd w:id="6"/>
      <w:bookmarkEnd w:id="7"/>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pageBreakBefore w:val="0"/>
        <w:kinsoku/>
        <w:wordWrap/>
        <w:topLinePunct w:val="0"/>
        <w:bidi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仅适用于本次询价采购所叙述的货物和服务。无论询价采购过程和结果如何，供应商自行承担全部费用。</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”系指杭州临江环境能源有限公司。</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（二）“供应商”系指向</w:t>
      </w:r>
      <w:r>
        <w:rPr>
          <w:rFonts w:hint="eastAsia" w:ascii="仿宋" w:hAnsi="仿宋" w:eastAsia="仿宋" w:cs="仿宋"/>
          <w:sz w:val="28"/>
          <w:szCs w:val="28"/>
          <w:lang w:eastAsia="zh-CN"/>
        </w:rPr>
        <w:t>采购方</w:t>
      </w:r>
      <w:r>
        <w:rPr>
          <w:rFonts w:hint="eastAsia" w:ascii="仿宋" w:hAnsi="仿宋" w:eastAsia="仿宋" w:cs="仿宋"/>
          <w:sz w:val="28"/>
          <w:szCs w:val="28"/>
        </w:rPr>
        <w:t>提交报价文件的商家。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pageBreakBefore w:val="0"/>
        <w:kinsoku/>
        <w:wordWrap/>
        <w:topLinePunct w:val="0"/>
        <w:bidi w:val="0"/>
        <w:snapToGrid w:val="0"/>
        <w:spacing w:line="360" w:lineRule="auto"/>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（三）供应商报价应为一次性报价。如果出现两个或两个以上报价，则报价无效。供应商报价超过最高限价的，作无效报价处理。供应商报价应包括人工费、运输费、装卸费和税费等。</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w:t>
      </w:r>
      <w:r>
        <w:rPr>
          <w:rFonts w:hint="eastAsia" w:ascii="仿宋" w:hAnsi="仿宋" w:eastAsia="仿宋" w:cs="仿宋"/>
          <w:sz w:val="28"/>
          <w:szCs w:val="28"/>
          <w:lang w:eastAsia="zh-CN"/>
        </w:rPr>
        <w:t>采购方</w:t>
      </w:r>
      <w:r>
        <w:rPr>
          <w:rFonts w:hint="eastAsia" w:ascii="仿宋" w:hAnsi="仿宋" w:eastAsia="仿宋" w:cs="仿宋"/>
          <w:sz w:val="28"/>
          <w:szCs w:val="28"/>
        </w:rPr>
        <w:t>可与供应商协商延缓报价有效期，这种要求和答复均以书面形式进行。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五、报价文件的组成。</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1.报价文件封面（附件一）；</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2.法定代表人授权书（附件二）；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3.报价一览表（附件三）；</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4.产品质量保证承诺函（附件四）；</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5.有效资质证明并加盖公章：通过年检的营业执照复印件</w:t>
      </w:r>
      <w:r>
        <w:rPr>
          <w:rFonts w:hint="eastAsia" w:ascii="仿宋" w:hAnsi="仿宋" w:eastAsia="仿宋" w:cs="仿宋"/>
          <w:bCs/>
          <w:sz w:val="28"/>
          <w:szCs w:val="28"/>
          <w:lang w:eastAsia="zh-CN"/>
        </w:rPr>
        <w:t>、</w:t>
      </w:r>
      <w:r>
        <w:rPr>
          <w:rFonts w:hint="eastAsia" w:ascii="仿宋" w:hAnsi="仿宋" w:eastAsia="仿宋" w:cs="仿宋"/>
          <w:b/>
          <w:bCs w:val="0"/>
          <w:sz w:val="28"/>
          <w:szCs w:val="28"/>
          <w:lang w:eastAsia="zh-CN"/>
        </w:rPr>
        <w:t>专业叉车维修相关资质证明资料</w:t>
      </w:r>
      <w:r>
        <w:rPr>
          <w:rFonts w:hint="eastAsia" w:ascii="仿宋" w:hAnsi="仿宋" w:eastAsia="仿宋" w:cs="仿宋"/>
          <w:sz w:val="28"/>
          <w:szCs w:val="28"/>
        </w:rPr>
        <w:t>。报价文件装订密封，并在封皮上注明：采购项目名称、采购项目编号、报价单位名称、</w:t>
      </w:r>
      <w:r>
        <w:rPr>
          <w:rFonts w:hint="eastAsia" w:ascii="仿宋" w:hAnsi="仿宋" w:eastAsia="仿宋" w:cs="仿宋"/>
          <w:sz w:val="28"/>
          <w:szCs w:val="28"/>
          <w:lang w:eastAsia="zh-CN"/>
        </w:rPr>
        <w:t>授权</w:t>
      </w:r>
      <w:r>
        <w:rPr>
          <w:rFonts w:hint="eastAsia" w:ascii="仿宋" w:hAnsi="仿宋" w:eastAsia="仿宋" w:cs="仿宋"/>
          <w:sz w:val="28"/>
          <w:szCs w:val="28"/>
        </w:rPr>
        <w:t>代表姓名</w:t>
      </w:r>
      <w:r>
        <w:rPr>
          <w:rFonts w:hint="eastAsia" w:ascii="仿宋" w:hAnsi="仿宋" w:eastAsia="仿宋" w:cs="仿宋"/>
          <w:sz w:val="28"/>
          <w:szCs w:val="28"/>
          <w:lang w:val="en-US"/>
        </w:rPr>
        <w:t>;</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.投标保证金银行汇款单复印件;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rPr>
        <w:t>股东信息及出资比例信息</w:t>
      </w:r>
      <w:r>
        <w:rPr>
          <w:rFonts w:hint="eastAsia" w:ascii="仿宋" w:hAnsi="仿宋" w:eastAsia="仿宋" w:cs="仿宋"/>
          <w:sz w:val="28"/>
          <w:szCs w:val="28"/>
          <w:lang w:val="en-US" w:eastAsia="zh-CN"/>
        </w:rPr>
        <w:t>（附件七）。</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代表签署，供应商单位应写全称。</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（三）供应商应按照询价文件的格式要求制作报价文件，报价文件正本1份，副本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ageBreakBefore w:val="0"/>
        <w:kinsoku/>
        <w:wordWrap/>
        <w:topLinePunct w:val="0"/>
        <w:bidi w:val="0"/>
        <w:snapToGrid w:val="0"/>
        <w:spacing w:line="360" w:lineRule="auto"/>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（一）如果供应商未加写标记，</w:t>
      </w:r>
      <w:r>
        <w:rPr>
          <w:rFonts w:hint="eastAsia" w:ascii="仿宋" w:hAnsi="仿宋" w:eastAsia="仿宋" w:cs="仿宋"/>
          <w:sz w:val="28"/>
          <w:szCs w:val="28"/>
          <w:lang w:eastAsia="zh-CN"/>
        </w:rPr>
        <w:t>采购方</w:t>
      </w:r>
      <w:r>
        <w:rPr>
          <w:rFonts w:hint="eastAsia" w:ascii="仿宋" w:hAnsi="仿宋" w:eastAsia="仿宋" w:cs="仿宋"/>
          <w:sz w:val="28"/>
          <w:szCs w:val="28"/>
        </w:rPr>
        <w:t>对报价文件的误投和提前启封不负责任。</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接受供应商报价文件时间：在报价截止时间前接受报价文件。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（三）报价截止时间前，供应商可以书面形式向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已递交的报价文件提出补充和修改，</w:t>
      </w:r>
      <w:r>
        <w:rPr>
          <w:rFonts w:hint="eastAsia" w:ascii="仿宋" w:hAnsi="仿宋" w:eastAsia="仿宋" w:cs="仿宋"/>
          <w:sz w:val="28"/>
          <w:szCs w:val="28"/>
          <w:lang w:eastAsia="zh-CN"/>
        </w:rPr>
        <w:t>采购方</w:t>
      </w:r>
      <w:r>
        <w:rPr>
          <w:rFonts w:hint="eastAsia" w:ascii="仿宋" w:hAnsi="仿宋" w:eastAsia="仿宋" w:cs="仿宋"/>
          <w:sz w:val="28"/>
          <w:szCs w:val="28"/>
        </w:rPr>
        <w:t>以最后的补充和修改为准。该书面材料应密封，由法定代表人或授权委托人签字并加盖公章。</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、无效报价</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w:t>
      </w:r>
      <w:r>
        <w:rPr>
          <w:rFonts w:hint="eastAsia" w:ascii="仿宋" w:hAnsi="仿宋" w:eastAsia="仿宋" w:cs="仿宋"/>
          <w:sz w:val="28"/>
          <w:szCs w:val="28"/>
          <w:lang w:eastAsia="zh-CN"/>
        </w:rPr>
        <w:t>采购方</w:t>
      </w:r>
      <w:r>
        <w:rPr>
          <w:rFonts w:hint="eastAsia" w:ascii="仿宋" w:hAnsi="仿宋" w:eastAsia="仿宋" w:cs="仿宋"/>
          <w:sz w:val="28"/>
          <w:szCs w:val="28"/>
        </w:rPr>
        <w:t>可视情况作无效报价处理：</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（一）在</w:t>
      </w:r>
      <w:r>
        <w:rPr>
          <w:rFonts w:hint="eastAsia" w:ascii="仿宋" w:hAnsi="仿宋" w:eastAsia="仿宋" w:cs="仿宋"/>
          <w:sz w:val="28"/>
          <w:szCs w:val="28"/>
          <w:lang w:eastAsia="zh-CN"/>
        </w:rPr>
        <w:t>采购方</w:t>
      </w:r>
      <w:r>
        <w:rPr>
          <w:rFonts w:hint="eastAsia" w:ascii="仿宋" w:hAnsi="仿宋" w:eastAsia="仿宋" w:cs="仿宋"/>
          <w:sz w:val="28"/>
          <w:szCs w:val="28"/>
        </w:rPr>
        <w:t>规定的截止时间以后送达的报价文件。</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pageBreakBefore w:val="0"/>
        <w:kinsoku/>
        <w:wordWrap/>
        <w:topLinePunct w:val="0"/>
        <w:bidi w:val="0"/>
        <w:snapToGrid w:val="0"/>
        <w:spacing w:line="360" w:lineRule="auto"/>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sz w:val="28"/>
          <w:szCs w:val="28"/>
        </w:rPr>
        <w:t>（四</w:t>
      </w:r>
      <w:r>
        <w:rPr>
          <w:rFonts w:hint="eastAsia" w:ascii="仿宋" w:hAnsi="仿宋" w:eastAsia="仿宋" w:cs="仿宋"/>
          <w:b w:val="0"/>
          <w:caps w:val="0"/>
          <w:kern w:val="2"/>
          <w:sz w:val="28"/>
          <w:szCs w:val="28"/>
          <w:lang w:val="en-US" w:eastAsia="zh-CN" w:bidi="ar-SA"/>
        </w:rPr>
        <w:t>）报价超过最高限价的。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（八）未对询价内容全部报价的。</w:t>
      </w:r>
    </w:p>
    <w:p>
      <w:pPr>
        <w:pageBreakBefore w:val="0"/>
        <w:kinsoku/>
        <w:wordWrap/>
        <w:topLinePunct w:val="0"/>
        <w:bidi w:val="0"/>
        <w:snapToGrid w:val="0"/>
        <w:spacing w:line="360" w:lineRule="auto"/>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九</w:t>
      </w:r>
      <w:r>
        <w:rPr>
          <w:rFonts w:hint="eastAsia" w:ascii="仿宋" w:hAnsi="仿宋" w:eastAsia="仿宋" w:cs="仿宋"/>
          <w:sz w:val="28"/>
          <w:szCs w:val="28"/>
        </w:rPr>
        <w:t>、询价过程。</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（一）</w:t>
      </w:r>
      <w:r>
        <w:rPr>
          <w:rFonts w:hint="eastAsia" w:ascii="仿宋" w:hAnsi="仿宋" w:eastAsia="仿宋" w:cs="仿宋"/>
          <w:sz w:val="28"/>
          <w:szCs w:val="28"/>
          <w:lang w:eastAsia="zh-CN"/>
        </w:rPr>
        <w:t>采购方</w:t>
      </w:r>
      <w:r>
        <w:rPr>
          <w:rFonts w:hint="eastAsia" w:ascii="仿宋" w:hAnsi="仿宋" w:eastAsia="仿宋" w:cs="仿宋"/>
          <w:sz w:val="28"/>
          <w:szCs w:val="28"/>
        </w:rPr>
        <w:t>组织3人组成询价评审小组。</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在询价文件规定的时间和地点公开询价。</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（三）询价时，</w:t>
      </w:r>
      <w:r>
        <w:rPr>
          <w:rFonts w:hint="eastAsia" w:ascii="仿宋" w:hAnsi="仿宋" w:eastAsia="仿宋" w:cs="仿宋"/>
          <w:sz w:val="28"/>
          <w:szCs w:val="28"/>
          <w:lang w:eastAsia="zh-CN"/>
        </w:rPr>
        <w:t>采购方</w:t>
      </w:r>
      <w:r>
        <w:rPr>
          <w:rFonts w:hint="eastAsia" w:ascii="仿宋" w:hAnsi="仿宋" w:eastAsia="仿宋" w:cs="仿宋"/>
          <w:sz w:val="28"/>
          <w:szCs w:val="28"/>
        </w:rPr>
        <w:t>将查验报价文件密封情况，确认无误后公开拆封报价文件报价。</w:t>
      </w:r>
    </w:p>
    <w:p>
      <w:pPr>
        <w:pageBreakBefore w:val="0"/>
        <w:kinsoku/>
        <w:wordWrap/>
        <w:topLinePunct w:val="0"/>
        <w:bidi w:val="0"/>
        <w:snapToGrid w:val="0"/>
        <w:spacing w:line="360" w:lineRule="auto"/>
        <w:ind w:right="-176" w:rightChars="-84"/>
        <w:rPr>
          <w:rFonts w:hint="eastAsia" w:ascii="仿宋" w:hAnsi="仿宋" w:eastAsia="仿宋" w:cs="仿宋"/>
          <w:sz w:val="28"/>
          <w:szCs w:val="28"/>
        </w:rPr>
      </w:pPr>
      <w:r>
        <w:rPr>
          <w:rFonts w:hint="eastAsia" w:ascii="仿宋" w:hAnsi="仿宋" w:eastAsia="仿宋" w:cs="仿宋"/>
          <w:sz w:val="28"/>
          <w:szCs w:val="28"/>
        </w:rPr>
        <w:t>　　十、成交原则与方法。</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组织评审小组对各单位的报价资料进行审核，在满足</w:t>
      </w:r>
      <w:r>
        <w:rPr>
          <w:rFonts w:hint="eastAsia" w:ascii="仿宋" w:hAnsi="仿宋" w:eastAsia="仿宋" w:cs="仿宋"/>
          <w:sz w:val="28"/>
          <w:szCs w:val="28"/>
          <w:lang w:eastAsia="zh-CN"/>
        </w:rPr>
        <w:t>采购方</w:t>
      </w:r>
      <w:r>
        <w:rPr>
          <w:rFonts w:hint="eastAsia" w:ascii="仿宋" w:hAnsi="仿宋" w:eastAsia="仿宋" w:cs="仿宋"/>
          <w:sz w:val="28"/>
          <w:szCs w:val="28"/>
        </w:rPr>
        <w:t>要求的前提下，按经评审通过后总金额最低价成交的原则确定成交供应商。如果出现相同总金额最低报价情况时，总金额最低报价相同的供应商再进行一轮报价。如报价再相同，则由</w:t>
      </w:r>
      <w:r>
        <w:rPr>
          <w:rFonts w:hint="eastAsia" w:ascii="仿宋" w:hAnsi="仿宋" w:eastAsia="仿宋" w:cs="仿宋"/>
          <w:sz w:val="28"/>
          <w:szCs w:val="28"/>
          <w:lang w:eastAsia="zh-CN"/>
        </w:rPr>
        <w:t>采购方</w:t>
      </w:r>
      <w:r>
        <w:rPr>
          <w:rFonts w:hint="eastAsia" w:ascii="仿宋" w:hAnsi="仿宋" w:eastAsia="仿宋" w:cs="仿宋"/>
          <w:sz w:val="28"/>
          <w:szCs w:val="28"/>
        </w:rPr>
        <w:t>抽签决定成交单位。</w:t>
      </w:r>
      <w:r>
        <w:rPr>
          <w:rFonts w:hint="eastAsia" w:ascii="仿宋" w:hAnsi="仿宋" w:eastAsia="仿宋" w:cs="仿宋"/>
          <w:b/>
          <w:bCs/>
          <w:sz w:val="28"/>
          <w:szCs w:val="28"/>
        </w:rPr>
        <w:t>（若出现税率不一致的情况，以除税价相对比）</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sz w:val="28"/>
          <w:szCs w:val="28"/>
          <w:lang w:eastAsia="zh-CN"/>
        </w:rPr>
        <w:t>采购方</w:t>
      </w:r>
      <w:r>
        <w:rPr>
          <w:rFonts w:hint="eastAsia" w:ascii="仿宋" w:hAnsi="仿宋" w:eastAsia="仿宋" w:cs="仿宋"/>
          <w:sz w:val="28"/>
          <w:szCs w:val="28"/>
        </w:rPr>
        <w:t>不向未成交供应商人解释未成交原因，不退还报价文件。</w:t>
      </w:r>
    </w:p>
    <w:p>
      <w:pPr>
        <w:pStyle w:val="17"/>
        <w:pageBreakBefore w:val="0"/>
        <w:widowControl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、合同</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w:t>
      </w:r>
      <w:r>
        <w:rPr>
          <w:rFonts w:hint="eastAsia" w:ascii="仿宋" w:hAnsi="仿宋" w:eastAsia="仿宋" w:cs="仿宋"/>
          <w:sz w:val="28"/>
          <w:szCs w:val="28"/>
          <w:lang w:eastAsia="zh-CN"/>
        </w:rPr>
        <w:t>采购方</w:t>
      </w:r>
      <w:r>
        <w:rPr>
          <w:rFonts w:hint="eastAsia" w:ascii="仿宋" w:hAnsi="仿宋" w:eastAsia="仿宋" w:cs="仿宋"/>
          <w:sz w:val="28"/>
          <w:szCs w:val="28"/>
        </w:rPr>
        <w:t>按照上述第十一条规定确定成交供应商，并签订采购合同，签约单位为杭州临江环境能源有限公司。合同履行期间，</w:t>
      </w:r>
      <w:r>
        <w:rPr>
          <w:rFonts w:hint="eastAsia" w:ascii="仿宋" w:hAnsi="仿宋" w:eastAsia="仿宋" w:cs="仿宋"/>
          <w:sz w:val="28"/>
          <w:szCs w:val="28"/>
          <w:lang w:eastAsia="zh-CN"/>
        </w:rPr>
        <w:t>采购方</w:t>
      </w:r>
      <w:r>
        <w:rPr>
          <w:rFonts w:hint="eastAsia" w:ascii="仿宋" w:hAnsi="仿宋" w:eastAsia="仿宋" w:cs="仿宋"/>
          <w:sz w:val="28"/>
          <w:szCs w:val="28"/>
        </w:rPr>
        <w:t>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十二、投标保证金退还。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投标人的投标保证金将在招标人与中标人签订合同后全额退还。退保证金前，投标人必须提供加盖公章或财务专用章的收款收据</w:t>
      </w:r>
      <w:r>
        <w:rPr>
          <w:rFonts w:hint="eastAsia" w:ascii="仿宋" w:hAnsi="仿宋" w:eastAsia="仿宋" w:cs="仿宋"/>
          <w:b/>
          <w:bCs/>
          <w:sz w:val="28"/>
          <w:szCs w:val="28"/>
          <w:lang w:eastAsia="zh-CN"/>
        </w:rPr>
        <w:t>（格式详见附件六，单独提供不与报价文件装订一起）</w:t>
      </w:r>
      <w:r>
        <w:rPr>
          <w:rFonts w:hint="eastAsia" w:ascii="仿宋" w:hAnsi="仿宋" w:eastAsia="仿宋" w:cs="仿宋"/>
          <w:sz w:val="28"/>
          <w:szCs w:val="28"/>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（二）</w:t>
      </w:r>
      <w:r>
        <w:rPr>
          <w:rFonts w:hint="eastAsia" w:ascii="仿宋" w:hAnsi="仿宋" w:eastAsia="仿宋" w:cs="仿宋"/>
          <w:sz w:val="28"/>
          <w:szCs w:val="28"/>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（4）法律、法规规定的其他情形。</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三</w:t>
      </w:r>
      <w:r>
        <w:rPr>
          <w:rFonts w:hint="eastAsia" w:ascii="仿宋" w:hAnsi="仿宋" w:eastAsia="仿宋" w:cs="仿宋"/>
          <w:sz w:val="28"/>
          <w:szCs w:val="28"/>
        </w:rPr>
        <w:t>、其他。</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（一）如果有证据证明各供应商之间存在串通等舞弊、违法行为，</w:t>
      </w:r>
      <w:r>
        <w:rPr>
          <w:rFonts w:hint="eastAsia" w:ascii="仿宋" w:hAnsi="仿宋" w:eastAsia="仿宋" w:cs="仿宋"/>
          <w:sz w:val="28"/>
          <w:szCs w:val="28"/>
          <w:lang w:eastAsia="zh-CN"/>
        </w:rPr>
        <w:t>采购方</w:t>
      </w:r>
      <w:r>
        <w:rPr>
          <w:rFonts w:hint="eastAsia" w:ascii="仿宋" w:hAnsi="仿宋" w:eastAsia="仿宋" w:cs="仿宋"/>
          <w:sz w:val="28"/>
          <w:szCs w:val="28"/>
        </w:rPr>
        <w:t>有权拒绝存在此行为的供应商报价。</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17"/>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1.1日常常规保养项目</w:t>
      </w:r>
    </w:p>
    <w:p>
      <w:pPr>
        <w:pStyle w:val="17"/>
        <w:pageBreakBefore w:val="0"/>
        <w:kinsoku/>
        <w:wordWrap/>
        <w:topLinePunct w:val="0"/>
        <w:bidi w:val="0"/>
        <w:snapToGrid w:val="0"/>
        <w:spacing w:line="360" w:lineRule="auto"/>
        <w:ind w:firstLine="601"/>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杭州临江环境能源有限公司内（红十五线和观十五线交叉口），检查维护项目具体如下：</w:t>
      </w:r>
    </w:p>
    <w:tbl>
      <w:tblPr>
        <w:tblStyle w:val="11"/>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cyan"/>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bCs w:val="0"/>
          <w:sz w:val="28"/>
          <w:szCs w:val="28"/>
          <w:lang w:val="en-US" w:eastAsia="zh-CN"/>
        </w:rPr>
      </w:pPr>
    </w:p>
    <w:p>
      <w:pPr>
        <w:pStyle w:val="17"/>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.叉车保养频次为每运行200小时一次，</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以完成约定的维保次数为准，但总年限不超过</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17"/>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1.2叉车维修服务</w:t>
      </w:r>
    </w:p>
    <w:p>
      <w:pPr>
        <w:pStyle w:val="17"/>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1.2.1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Style w:val="17"/>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1.2.2维保方提供的备件须为</w:t>
      </w:r>
      <w:r>
        <w:rPr>
          <w:rFonts w:hint="eastAsia" w:ascii="仿宋" w:hAnsi="仿宋" w:eastAsia="仿宋" w:cs="仿宋"/>
          <w:b/>
          <w:bCs/>
          <w:sz w:val="28"/>
          <w:szCs w:val="28"/>
          <w:lang w:eastAsia="zh-CN"/>
        </w:rPr>
        <w:t>杭叉集团股份有限公司全新正品备件，不得为副厂件或者替代件。备件清单具体如下，此备件价格为叉车更换备件的综合价格，含备件、税金、人工费、车辆费、工具费等所有费用。</w:t>
      </w:r>
    </w:p>
    <w:tbl>
      <w:tblPr>
        <w:tblStyle w:val="11"/>
        <w:tblW w:w="896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306"/>
        <w:gridCol w:w="2087"/>
        <w:gridCol w:w="2277"/>
        <w:gridCol w:w="1213"/>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3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品牌/厂家</w:t>
            </w:r>
          </w:p>
        </w:tc>
        <w:tc>
          <w:tcPr>
            <w:tcW w:w="20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蓄电池（防爆）</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306"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306"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306"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141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30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208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306"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87"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4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bl>
    <w:p>
      <w:pPr>
        <w:pStyle w:val="17"/>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服务要求</w:t>
      </w:r>
    </w:p>
    <w:p>
      <w:pPr>
        <w:pStyle w:val="17"/>
        <w:pageBreakBefore w:val="0"/>
        <w:kinsoku/>
        <w:wordWrap/>
        <w:topLinePunct w:val="0"/>
        <w:bidi w:val="0"/>
        <w:snapToGrid w:val="0"/>
        <w:spacing w:line="360"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维保服务期限为</w:t>
      </w:r>
      <w:r>
        <w:rPr>
          <w:rFonts w:hint="eastAsia" w:ascii="仿宋" w:hAnsi="仿宋" w:eastAsia="仿宋" w:cs="仿宋"/>
          <w:sz w:val="28"/>
          <w:szCs w:val="28"/>
          <w:lang w:val="en-US" w:eastAsia="zh-CN"/>
        </w:rPr>
        <w:t>1年，在1年内，价格不做调整。</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eastAsia="zh-CN"/>
        </w:rPr>
        <w:t>叉车</w:t>
      </w:r>
      <w:r>
        <w:rPr>
          <w:rFonts w:hint="eastAsia" w:ascii="仿宋" w:hAnsi="仿宋" w:eastAsia="仿宋" w:cs="仿宋"/>
          <w:sz w:val="28"/>
          <w:szCs w:val="28"/>
        </w:rPr>
        <w:t>各转动面、油孔等处无油污，</w:t>
      </w:r>
      <w:r>
        <w:rPr>
          <w:rFonts w:hint="eastAsia" w:ascii="仿宋" w:hAnsi="仿宋" w:eastAsia="仿宋" w:cs="仿宋"/>
          <w:sz w:val="28"/>
          <w:szCs w:val="28"/>
          <w:lang w:eastAsia="zh-CN"/>
        </w:rPr>
        <w:t>维修的</w:t>
      </w:r>
      <w:r>
        <w:rPr>
          <w:rFonts w:hint="eastAsia" w:ascii="仿宋" w:hAnsi="仿宋" w:eastAsia="仿宋" w:cs="仿宋"/>
          <w:sz w:val="28"/>
          <w:szCs w:val="28"/>
        </w:rPr>
        <w:t>赃物清扫干净</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润滑良好，无干磨现象</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遵守安全操作规程</w:t>
      </w:r>
      <w:r>
        <w:rPr>
          <w:rFonts w:hint="eastAsia" w:ascii="仿宋" w:hAnsi="仿宋" w:eastAsia="仿宋" w:cs="仿宋"/>
          <w:sz w:val="28"/>
          <w:szCs w:val="28"/>
          <w:lang w:eastAsia="zh-CN"/>
        </w:rPr>
        <w:t>。</w:t>
      </w:r>
    </w:p>
    <w:p>
      <w:pPr>
        <w:pStyle w:val="17"/>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维保完毕后的</w:t>
      </w:r>
      <w:r>
        <w:rPr>
          <w:rFonts w:hint="eastAsia" w:ascii="仿宋" w:hAnsi="仿宋" w:eastAsia="仿宋" w:cs="仿宋"/>
          <w:sz w:val="28"/>
          <w:szCs w:val="28"/>
          <w:lang w:eastAsia="zh-CN"/>
        </w:rPr>
        <w:t>叉车</w:t>
      </w:r>
      <w:r>
        <w:rPr>
          <w:rFonts w:hint="eastAsia" w:ascii="仿宋" w:hAnsi="仿宋" w:eastAsia="仿宋" w:cs="仿宋"/>
          <w:sz w:val="28"/>
          <w:szCs w:val="28"/>
        </w:rPr>
        <w:t>稳定可靠，性能要求，满足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7"/>
        <w:pageBreakBefore w:val="0"/>
        <w:kinsoku/>
        <w:wordWrap/>
        <w:topLinePunct w:val="0"/>
        <w:bidi w:val="0"/>
        <w:snapToGrid w:val="0"/>
        <w:spacing w:line="360" w:lineRule="auto"/>
        <w:ind w:firstLine="6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4.5维保方维保人员必须是技术过硬、有能力胜任该工作的专业技术人员。</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4.6 若维保过程中由于供应商维保人员操作不当造成的设备故障或损坏，由供应商负责免费维修，并且采购方有权向供应商追究相关责任；若叉车设备因维保而发生故障的，由供应商负责免费上门维修，产生的相应费用由供应商承担，采购方并有权追究因此造成的损失。</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5.验收标准</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5.1维保人员应将现场清洁干净。</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auto"/>
          <w:kern w:val="2"/>
          <w:sz w:val="28"/>
          <w:szCs w:val="28"/>
          <w:lang w:val="en-US" w:eastAsia="zh-CN" w:bidi="ar-SA"/>
        </w:rPr>
        <w:t>5.2维保完</w:t>
      </w:r>
      <w:r>
        <w:rPr>
          <w:rFonts w:hint="eastAsia" w:ascii="仿宋" w:hAnsi="仿宋" w:eastAsia="仿宋" w:cs="仿宋"/>
          <w:sz w:val="28"/>
          <w:szCs w:val="28"/>
        </w:rPr>
        <w:t>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w:t>
      </w:r>
      <w:r>
        <w:rPr>
          <w:rFonts w:hint="eastAsia" w:ascii="仿宋" w:hAnsi="仿宋" w:eastAsia="仿宋" w:cs="仿宋"/>
          <w:sz w:val="28"/>
          <w:szCs w:val="28"/>
          <w:lang w:eastAsia="zh-CN"/>
        </w:rPr>
        <w:t>叉车</w:t>
      </w:r>
      <w:r>
        <w:rPr>
          <w:rFonts w:hint="eastAsia" w:ascii="仿宋" w:hAnsi="仿宋" w:eastAsia="仿宋" w:cs="仿宋"/>
          <w:sz w:val="28"/>
          <w:szCs w:val="28"/>
        </w:rPr>
        <w:t>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6.1常规性维保</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；叉车维修费用以备件</w:t>
      </w:r>
      <w:r>
        <w:rPr>
          <w:rFonts w:hint="eastAsia" w:ascii="仿宋" w:hAnsi="仿宋" w:eastAsia="仿宋" w:cs="仿宋"/>
          <w:sz w:val="28"/>
          <w:szCs w:val="28"/>
        </w:rPr>
        <w:t>单项单价为</w:t>
      </w:r>
      <w:r>
        <w:rPr>
          <w:rFonts w:hint="eastAsia" w:ascii="仿宋" w:hAnsi="仿宋" w:eastAsia="仿宋" w:cs="仿宋"/>
          <w:sz w:val="28"/>
          <w:szCs w:val="28"/>
          <w:lang w:eastAsia="zh-CN"/>
        </w:rPr>
        <w:t>结算依据</w:t>
      </w:r>
      <w:r>
        <w:rPr>
          <w:rFonts w:hint="eastAsia" w:ascii="仿宋" w:hAnsi="仿宋" w:eastAsia="仿宋" w:cs="仿宋"/>
          <w:sz w:val="28"/>
          <w:szCs w:val="28"/>
        </w:rPr>
        <w:t>，</w:t>
      </w:r>
      <w:r>
        <w:rPr>
          <w:rFonts w:hint="eastAsia" w:ascii="仿宋" w:hAnsi="仿宋" w:eastAsia="仿宋" w:cs="仿宋"/>
          <w:sz w:val="28"/>
          <w:szCs w:val="28"/>
          <w:lang w:eastAsia="zh-CN"/>
        </w:rPr>
        <w:t>施行总额控制，按实结算；</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每台次</w:t>
      </w:r>
      <w:r>
        <w:rPr>
          <w:rFonts w:hint="eastAsia" w:ascii="仿宋" w:hAnsi="仿宋" w:eastAsia="仿宋" w:cs="仿宋"/>
          <w:sz w:val="28"/>
          <w:szCs w:val="28"/>
          <w:lang w:val="en-US" w:eastAsia="zh-CN"/>
        </w:rPr>
        <w:t>常规性维保</w:t>
      </w:r>
      <w:r>
        <w:rPr>
          <w:rFonts w:hint="eastAsia" w:ascii="仿宋" w:hAnsi="仿宋" w:eastAsia="仿宋" w:cs="仿宋"/>
          <w:sz w:val="28"/>
          <w:szCs w:val="28"/>
        </w:rPr>
        <w:t>费</w:t>
      </w:r>
      <w:r>
        <w:rPr>
          <w:rFonts w:hint="eastAsia" w:ascii="仿宋" w:hAnsi="仿宋" w:eastAsia="仿宋" w:cs="仿宋"/>
          <w:sz w:val="28"/>
          <w:szCs w:val="28"/>
          <w:lang w:eastAsia="zh-CN"/>
        </w:rPr>
        <w:t>及备件费用</w:t>
      </w:r>
      <w:r>
        <w:rPr>
          <w:rFonts w:hint="eastAsia" w:ascii="仿宋" w:hAnsi="仿宋" w:eastAsia="仿宋" w:cs="仿宋"/>
          <w:sz w:val="28"/>
          <w:szCs w:val="28"/>
        </w:rPr>
        <w:t>包含</w:t>
      </w:r>
      <w:r>
        <w:rPr>
          <w:rFonts w:hint="eastAsia" w:ascii="仿宋" w:hAnsi="仿宋" w:eastAsia="仿宋" w:cs="仿宋"/>
          <w:sz w:val="28"/>
          <w:szCs w:val="28"/>
          <w:lang w:eastAsia="zh-CN"/>
        </w:rPr>
        <w:t>了所有配件费</w:t>
      </w:r>
      <w:r>
        <w:rPr>
          <w:rFonts w:hint="eastAsia" w:ascii="仿宋" w:hAnsi="仿宋" w:eastAsia="仿宋" w:cs="仿宋"/>
          <w:sz w:val="28"/>
          <w:szCs w:val="28"/>
        </w:rPr>
        <w:t>、人工费、技术服务费、检测调试费、交通费、工具费、运输费、管理费、税费等维保过程中产生的一切费用。</w:t>
      </w:r>
    </w:p>
    <w:p>
      <w:pPr>
        <w:pStyle w:val="2"/>
        <w:pageBreakBefore w:val="0"/>
        <w:kinsoku/>
        <w:wordWrap/>
        <w:topLinePunct w:val="0"/>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b w:val="0"/>
          <w:caps w:val="0"/>
          <w:kern w:val="2"/>
          <w:sz w:val="28"/>
          <w:szCs w:val="28"/>
          <w:lang w:val="en-US" w:eastAsia="zh-CN" w:bidi="ar-SA"/>
        </w:rPr>
        <w:t>6.3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方售后服务要求。如产品使用过程发生问题，供应商须在接到采购方通知后12小时内做出书面答复并提供解决方案。若需要派遣技术人员，则应在接到采购方通知后24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2、采购方不再对任何售后服务进行付费。供应商的派遣人员产生的一切费用由供应商承担。</w:t>
      </w:r>
    </w:p>
    <w:p>
      <w:pPr>
        <w:pStyle w:val="3"/>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18"/>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rPr>
        <w:t>2022</w:t>
      </w:r>
      <w:r>
        <w:rPr>
          <w:rFonts w:hint="eastAsia" w:ascii="仿宋" w:hAnsi="仿宋" w:eastAsia="仿宋" w:cs="仿宋"/>
          <w:sz w:val="52"/>
        </w:rPr>
        <w:t>年临江公司</w:t>
      </w:r>
      <w:r>
        <w:rPr>
          <w:rFonts w:hint="eastAsia" w:ascii="仿宋" w:hAnsi="仿宋" w:eastAsia="仿宋" w:cs="仿宋"/>
          <w:sz w:val="52"/>
          <w:lang w:eastAsia="zh-CN"/>
        </w:rPr>
        <w:t>叉车</w:t>
      </w:r>
      <w:r>
        <w:rPr>
          <w:rFonts w:hint="eastAsia" w:ascii="仿宋" w:hAnsi="仿宋" w:eastAsia="仿宋" w:cs="仿宋"/>
          <w:sz w:val="52"/>
        </w:rPr>
        <w:t>维保采购项目</w:t>
      </w:r>
    </w:p>
    <w:p>
      <w:pPr>
        <w:pageBreakBefore w:val="0"/>
        <w:kinsoku/>
        <w:wordWrap/>
        <w:topLinePunct w:val="0"/>
        <w:bidi w:val="0"/>
        <w:spacing w:line="360" w:lineRule="auto"/>
        <w:jc w:val="center"/>
        <w:rPr>
          <w:rFonts w:hint="eastAsia" w:ascii="仿宋" w:hAnsi="仿宋" w:eastAsia="仿宋" w:cs="仿宋"/>
          <w:sz w:val="52"/>
        </w:rPr>
      </w:pPr>
      <w:r>
        <w:rPr>
          <w:rFonts w:hint="default" w:ascii="仿宋" w:hAnsi="仿宋" w:eastAsia="仿宋" w:cs="仿宋"/>
          <w:sz w:val="52"/>
          <w:lang w:val="en-US"/>
        </w:rPr>
        <w:t>(</w:t>
      </w:r>
      <w:r>
        <w:rPr>
          <w:rFonts w:hint="eastAsia" w:ascii="仿宋" w:hAnsi="仿宋" w:eastAsia="仿宋" w:cs="仿宋"/>
          <w:sz w:val="52"/>
          <w:lang w:val="en-US" w:eastAsia="zh-CN"/>
        </w:rPr>
        <w:t>重新询价</w:t>
      </w:r>
      <w:r>
        <w:rPr>
          <w:rFonts w:hint="default" w:ascii="仿宋" w:hAnsi="仿宋" w:eastAsia="仿宋" w:cs="仿宋"/>
          <w:sz w:val="52"/>
          <w:lang w:val="en-US"/>
        </w:rPr>
        <w:t>)</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202206013</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18"/>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8"/>
          <w:rFonts w:hint="eastAsia" w:ascii="仿宋" w:hAnsi="仿宋" w:eastAsia="仿宋" w:cs="仿宋"/>
          <w:sz w:val="30"/>
        </w:rPr>
        <w:br w:type="page"/>
      </w:r>
      <w:r>
        <w:rPr>
          <w:rStyle w:val="18"/>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w:t>
      </w:r>
      <w:r>
        <w:rPr>
          <w:rFonts w:hint="eastAsia" w:ascii="仿宋" w:hAnsi="仿宋" w:eastAsia="仿宋" w:cs="仿宋"/>
          <w:sz w:val="30"/>
          <w:u w:val="single"/>
        </w:rPr>
        <w:t>年临江公司</w:t>
      </w:r>
      <w:r>
        <w:rPr>
          <w:rFonts w:hint="eastAsia" w:ascii="仿宋" w:hAnsi="仿宋" w:eastAsia="仿宋" w:cs="仿宋"/>
          <w:sz w:val="30"/>
          <w:u w:val="single"/>
          <w:lang w:eastAsia="zh-CN"/>
        </w:rPr>
        <w:t>叉车</w:t>
      </w:r>
      <w:r>
        <w:rPr>
          <w:rFonts w:hint="eastAsia" w:ascii="仿宋" w:hAnsi="仿宋" w:eastAsia="仿宋" w:cs="仿宋"/>
          <w:sz w:val="30"/>
          <w:u w:val="single"/>
        </w:rPr>
        <w:t>维保采购(重新询价)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202206013</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18"/>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8"/>
          <w:rFonts w:hint="eastAsia" w:ascii="仿宋" w:hAnsi="仿宋" w:eastAsia="仿宋" w:cs="仿宋"/>
          <w:sz w:val="30"/>
        </w:rPr>
      </w:pPr>
      <w:r>
        <w:rPr>
          <w:rStyle w:val="18"/>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9"/>
        <w:pageBreakBefore w:val="0"/>
        <w:kinsoku/>
        <w:wordWrap/>
        <w:topLinePunct w:val="0"/>
        <w:bidi w:val="0"/>
        <w:snapToGrid w:val="0"/>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年临江公司</w:t>
      </w:r>
      <w:r>
        <w:rPr>
          <w:rFonts w:hint="eastAsia" w:ascii="仿宋" w:hAnsi="仿宋" w:eastAsia="仿宋" w:cs="仿宋"/>
          <w:sz w:val="24"/>
          <w:szCs w:val="24"/>
          <w:u w:val="single"/>
          <w:lang w:eastAsia="zh-CN"/>
        </w:rPr>
        <w:t>叉车</w:t>
      </w:r>
      <w:r>
        <w:rPr>
          <w:rFonts w:hint="eastAsia" w:ascii="仿宋" w:hAnsi="仿宋" w:eastAsia="仿宋" w:cs="仿宋"/>
          <w:sz w:val="24"/>
          <w:szCs w:val="24"/>
          <w:u w:val="single"/>
        </w:rPr>
        <w:t>维保采购(重新询价)</w:t>
      </w:r>
      <w:r>
        <w:rPr>
          <w:rFonts w:hint="eastAsia" w:ascii="仿宋" w:hAnsi="仿宋" w:eastAsia="仿宋" w:cs="仿宋"/>
          <w:sz w:val="24"/>
          <w:szCs w:val="24"/>
          <w:u w:val="single"/>
          <w:lang w:eastAsia="zh-CN"/>
        </w:rPr>
        <w:t>，</w:t>
      </w:r>
      <w:bookmarkStart w:id="16" w:name="_GoBack"/>
      <w:bookmarkEnd w:id="16"/>
      <w:r>
        <w:rPr>
          <w:rFonts w:hint="eastAsia" w:ascii="仿宋" w:hAnsi="仿宋" w:eastAsia="仿宋" w:cs="仿宋"/>
          <w:sz w:val="24"/>
          <w:szCs w:val="24"/>
          <w:lang w:eastAsia="zh-CN"/>
        </w:rPr>
        <w:t>总限额为</w:t>
      </w:r>
      <w:r>
        <w:rPr>
          <w:rFonts w:hint="eastAsia" w:ascii="仿宋" w:hAnsi="仿宋" w:eastAsia="仿宋" w:cs="仿宋"/>
          <w:sz w:val="24"/>
          <w:szCs w:val="24"/>
          <w:u w:val="single"/>
          <w:lang w:val="en-US" w:eastAsia="zh-CN"/>
        </w:rPr>
        <w:t>28.24</w:t>
      </w:r>
      <w:r>
        <w:rPr>
          <w:rFonts w:hint="eastAsia" w:ascii="仿宋" w:hAnsi="仿宋" w:eastAsia="仿宋" w:cs="仿宋"/>
          <w:sz w:val="24"/>
          <w:szCs w:val="24"/>
          <w:lang w:val="en-US" w:eastAsia="zh-CN"/>
        </w:rPr>
        <w:t>万元，本次</w:t>
      </w:r>
      <w:r>
        <w:rPr>
          <w:rFonts w:hint="eastAsia" w:ascii="仿宋" w:hAnsi="仿宋" w:eastAsia="仿宋" w:cs="仿宋"/>
          <w:sz w:val="24"/>
          <w:szCs w:val="24"/>
        </w:rPr>
        <w:t>报价</w:t>
      </w:r>
      <w:r>
        <w:rPr>
          <w:rFonts w:hint="eastAsia" w:ascii="仿宋" w:hAnsi="仿宋" w:eastAsia="仿宋" w:cs="仿宋"/>
          <w:sz w:val="24"/>
          <w:szCs w:val="24"/>
          <w:lang w:eastAsia="zh-CN"/>
        </w:rPr>
        <w:t>总金额为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具体</w:t>
      </w:r>
      <w:r>
        <w:rPr>
          <w:rFonts w:hint="eastAsia" w:ascii="仿宋" w:hAnsi="仿宋" w:eastAsia="仿宋" w:cs="仿宋"/>
          <w:sz w:val="24"/>
          <w:szCs w:val="24"/>
        </w:rPr>
        <w:t>如下</w:t>
      </w:r>
      <w:r>
        <w:rPr>
          <w:rFonts w:hint="eastAsia" w:ascii="仿宋" w:hAnsi="仿宋" w:eastAsia="仿宋" w:cs="仿宋"/>
          <w:sz w:val="24"/>
          <w:szCs w:val="24"/>
          <w:lang w:eastAsia="zh-CN"/>
        </w:rPr>
        <w:t>：</w:t>
      </w: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4"/>
          <w:szCs w:val="24"/>
          <w:u w:color="000000"/>
          <w:lang w:val="en-US" w:eastAsia="zh-CN" w:bidi="ar-SA"/>
        </w:rPr>
        <w:t xml:space="preserve">第一部分 常规保养报价（限额14.88万元，税率为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p>
      <w:pPr>
        <w:pStyle w:val="2"/>
        <w:numPr>
          <w:ilvl w:val="0"/>
          <w:numId w:val="0"/>
        </w:numPr>
        <w:ind w:left="3330" w:leftChars="0"/>
        <w:rPr>
          <w:rFonts w:hint="eastAsia" w:ascii="仿宋" w:hAnsi="仿宋" w:eastAsia="仿宋" w:cs="仿宋"/>
          <w:lang w:val="en-US" w:eastAsia="zh-CN"/>
        </w:rPr>
      </w:pPr>
    </w:p>
    <w:tbl>
      <w:tblPr>
        <w:tblStyle w:val="11"/>
        <w:tblW w:w="9273"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7"/>
        <w:gridCol w:w="1718"/>
        <w:gridCol w:w="845"/>
        <w:gridCol w:w="1746"/>
        <w:gridCol w:w="804"/>
        <w:gridCol w:w="709"/>
        <w:gridCol w:w="859"/>
        <w:gridCol w:w="955"/>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73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1718"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名称</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厂家</w:t>
            </w:r>
          </w:p>
        </w:tc>
        <w:tc>
          <w:tcPr>
            <w:tcW w:w="174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型号</w:t>
            </w:r>
          </w:p>
        </w:tc>
        <w:tc>
          <w:tcPr>
            <w:tcW w:w="80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数量</w:t>
            </w:r>
          </w:p>
        </w:tc>
        <w:tc>
          <w:tcPr>
            <w:tcW w:w="859"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次/辆</w:t>
            </w:r>
          </w:p>
        </w:tc>
        <w:tc>
          <w:tcPr>
            <w:tcW w:w="955"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单价</w:t>
            </w:r>
          </w:p>
        </w:tc>
        <w:tc>
          <w:tcPr>
            <w:tcW w:w="900"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堆高电叉车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CQD型2.0T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85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95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防爆柴油叉车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CPCD35N-RW10M-Ex型3.0t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CPCD型3.5t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CPCD型5.0t</w:t>
            </w: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37"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17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合计</w:t>
            </w:r>
          </w:p>
        </w:tc>
        <w:tc>
          <w:tcPr>
            <w:tcW w:w="845"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746"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0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15</w:t>
            </w:r>
          </w:p>
        </w:tc>
        <w:tc>
          <w:tcPr>
            <w:tcW w:w="85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5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900"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4"/>
          <w:szCs w:val="24"/>
          <w:u w:color="000000"/>
          <w:lang w:val="en-US" w:eastAsia="zh-CN" w:bidi="ar-SA"/>
        </w:rPr>
        <w:t xml:space="preserve">第二部分 维修备件费用（限额13.36万元，税率为 </w:t>
      </w:r>
      <w:r>
        <w:rPr>
          <w:rFonts w:hint="eastAsia" w:ascii="仿宋" w:hAnsi="仿宋" w:eastAsia="仿宋" w:cs="仿宋"/>
          <w:b/>
          <w:bCs/>
          <w:color w:val="000000"/>
          <w:kern w:val="0"/>
          <w:sz w:val="24"/>
          <w:szCs w:val="24"/>
          <w:u w:val="single" w:color="auto"/>
          <w:lang w:val="en-US" w:eastAsia="zh-CN" w:bidi="ar-SA"/>
        </w:rPr>
        <w:t xml:space="preserve">    %</w:t>
      </w:r>
      <w:r>
        <w:rPr>
          <w:rFonts w:hint="eastAsia" w:ascii="仿宋" w:hAnsi="仿宋" w:eastAsia="仿宋" w:cs="仿宋"/>
          <w:b/>
          <w:bCs/>
          <w:color w:val="000000"/>
          <w:kern w:val="0"/>
          <w:sz w:val="24"/>
          <w:szCs w:val="24"/>
          <w:u w:color="000000"/>
          <w:lang w:val="en-US" w:eastAsia="zh-CN" w:bidi="ar-SA"/>
        </w:rPr>
        <w:t>）</w:t>
      </w:r>
    </w:p>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p>
    <w:tbl>
      <w:tblPr>
        <w:tblStyle w:val="11"/>
        <w:tblW w:w="908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183"/>
        <w:gridCol w:w="1078"/>
        <w:gridCol w:w="1554"/>
        <w:gridCol w:w="696"/>
        <w:gridCol w:w="818"/>
        <w:gridCol w:w="818"/>
        <w:gridCol w:w="1064"/>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厂家</w:t>
            </w:r>
          </w:p>
        </w:tc>
        <w:tc>
          <w:tcPr>
            <w:tcW w:w="10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限价（元）</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183"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1183"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合计</w:t>
            </w:r>
          </w:p>
        </w:tc>
        <w:tc>
          <w:tcPr>
            <w:tcW w:w="1078" w:type="dxa"/>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备注：</w:t>
      </w:r>
    </w:p>
    <w:p>
      <w:pPr>
        <w:pStyle w:val="17"/>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在维保期内，由维保方提供的15辆叉车年度维修备件总金额不超过13.36万元，超过部分由维保方承担。若因人为或意外导致叉车需要大面积或者大金额维修等情况，明确事故责任经采购人审批同意后，由此发生的维修费用不纳入13.36万元备件限额的管控范围。</w:t>
      </w:r>
    </w:p>
    <w:p>
      <w:pPr>
        <w:pStyle w:val="17"/>
        <w:pageBreakBefore w:val="0"/>
        <w:kinsoku/>
        <w:wordWrap/>
        <w:topLinePunct w:val="0"/>
        <w:bidi w:val="0"/>
        <w:snapToGrid w:val="0"/>
        <w:spacing w:line="360" w:lineRule="auto"/>
        <w:ind w:firstLine="601"/>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2.维保方提供的备件须为杭叉集团股份有限公司全新正品备件，不得为副厂件或者替代件。此备件价格为叉车更换备件的综合价格，含税、人工费、车辆费、工具费等所有费用。</w:t>
      </w:r>
    </w:p>
    <w:p>
      <w:pPr>
        <w:pStyle w:val="2"/>
        <w:pageBreakBefore w:val="0"/>
        <w:kinsoku/>
        <w:wordWrap/>
        <w:topLinePunct w:val="0"/>
        <w:bidi w:val="0"/>
        <w:spacing w:line="360" w:lineRule="auto"/>
        <w:rPr>
          <w:rFonts w:hint="eastAsia" w:ascii="仿宋" w:hAnsi="仿宋" w:eastAsia="仿宋" w:cs="仿宋"/>
          <w:lang w:val="en-US"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lang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3165678"/>
      <w:bookmarkStart w:id="12" w:name="_Toc108839328"/>
      <w:r>
        <w:rPr>
          <w:rStyle w:val="18"/>
          <w:rFonts w:hint="eastAsia" w:ascii="仿宋" w:hAnsi="仿宋" w:eastAsia="仿宋" w:cs="仿宋"/>
          <w:sz w:val="30"/>
        </w:rPr>
        <w:t>附件</w:t>
      </w:r>
      <w:bookmarkEnd w:id="11"/>
      <w:bookmarkEnd w:id="12"/>
      <w:r>
        <w:rPr>
          <w:rStyle w:val="18"/>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2022年临江公司叉车维保采购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w:t>
      </w:r>
      <w:r>
        <w:rPr>
          <w:rFonts w:hint="eastAsia" w:ascii="仿宋" w:hAnsi="仿宋" w:eastAsia="仿宋" w:cs="仿宋"/>
          <w:sz w:val="30"/>
          <w:szCs w:val="22"/>
          <w:lang w:eastAsia="zh-CN"/>
        </w:rPr>
        <w:t>二</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jc w:val="left"/>
        <w:rPr>
          <w:rStyle w:val="18"/>
          <w:rFonts w:hint="eastAsia" w:ascii="仿宋" w:hAnsi="仿宋" w:eastAsia="仿宋" w:cs="仿宋"/>
          <w:sz w:val="30"/>
          <w:szCs w:val="22"/>
          <w:lang w:val="en-GB"/>
        </w:rPr>
      </w:pPr>
      <w:bookmarkStart w:id="13" w:name="_Toc509228412"/>
      <w:bookmarkStart w:id="14" w:name="_Toc509229875"/>
      <w:bookmarkStart w:id="15" w:name="_Toc473012596"/>
      <w:r>
        <w:rPr>
          <w:rStyle w:val="18"/>
          <w:rFonts w:hint="eastAsia" w:ascii="仿宋" w:hAnsi="仿宋" w:eastAsia="仿宋" w:cs="仿宋"/>
          <w:sz w:val="30"/>
          <w:szCs w:val="22"/>
          <w:lang w:val="en-GB"/>
        </w:rPr>
        <w:t>附件五</w:t>
      </w:r>
    </w:p>
    <w:p>
      <w:pPr>
        <w:pStyle w:val="10"/>
        <w:pageBreakBefore w:val="0"/>
        <w:kinsoku/>
        <w:wordWrap/>
        <w:topLinePunct w:val="0"/>
        <w:bidi w:val="0"/>
        <w:spacing w:line="360" w:lineRule="auto"/>
        <w:rPr>
          <w:rStyle w:val="18"/>
          <w:rFonts w:hint="eastAsia" w:ascii="仿宋" w:hAnsi="仿宋" w:eastAsia="仿宋" w:cs="仿宋"/>
          <w:b/>
          <w:spacing w:val="0"/>
          <w:sz w:val="44"/>
          <w:lang w:val="en-GB"/>
        </w:rPr>
      </w:pPr>
      <w:r>
        <w:rPr>
          <w:rStyle w:val="18"/>
          <w:rFonts w:hint="eastAsia" w:ascii="仿宋" w:hAnsi="仿宋" w:eastAsia="仿宋" w:cs="仿宋"/>
          <w:b/>
          <w:spacing w:val="0"/>
          <w:sz w:val="44"/>
          <w:lang w:val="en-GB"/>
        </w:rPr>
        <w:t xml:space="preserve">  合同</w:t>
      </w:r>
      <w:bookmarkEnd w:id="13"/>
      <w:bookmarkEnd w:id="14"/>
      <w:bookmarkEnd w:id="15"/>
      <w:r>
        <w:rPr>
          <w:rStyle w:val="18"/>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叉车维保</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lang w:val="en-US" w:eastAsia="zh-CN"/>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常规保养</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及金额如下</w:t>
      </w:r>
      <w:r>
        <w:rPr>
          <w:rFonts w:hint="eastAsia" w:ascii="仿宋" w:hAnsi="仿宋" w:eastAsia="仿宋" w:cs="仿宋"/>
          <w:sz w:val="24"/>
          <w:szCs w:val="24"/>
        </w:rPr>
        <w:t>（税率为   %）</w:t>
      </w:r>
      <w:r>
        <w:rPr>
          <w:rFonts w:hint="eastAsia" w:ascii="仿宋" w:hAnsi="仿宋" w:eastAsia="仿宋" w:cs="仿宋"/>
          <w:sz w:val="24"/>
          <w:szCs w:val="24"/>
          <w:lang w:eastAsia="zh-CN"/>
        </w:rPr>
        <w:t>：</w:t>
      </w:r>
    </w:p>
    <w:tbl>
      <w:tblPr>
        <w:tblStyle w:val="11"/>
        <w:tblW w:w="915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582"/>
        <w:gridCol w:w="886"/>
        <w:gridCol w:w="1664"/>
        <w:gridCol w:w="845"/>
        <w:gridCol w:w="709"/>
        <w:gridCol w:w="818"/>
        <w:gridCol w:w="832"/>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15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名称</w:t>
            </w:r>
          </w:p>
        </w:tc>
        <w:tc>
          <w:tcPr>
            <w:tcW w:w="88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厂家</w:t>
            </w:r>
          </w:p>
        </w:tc>
        <w:tc>
          <w:tcPr>
            <w:tcW w:w="166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型号</w:t>
            </w:r>
          </w:p>
        </w:tc>
        <w:tc>
          <w:tcPr>
            <w:tcW w:w="84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单位</w:t>
            </w:r>
          </w:p>
        </w:tc>
        <w:tc>
          <w:tcPr>
            <w:tcW w:w="70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数量</w:t>
            </w:r>
          </w:p>
        </w:tc>
        <w:tc>
          <w:tcPr>
            <w:tcW w:w="818"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次/辆</w:t>
            </w:r>
          </w:p>
        </w:tc>
        <w:tc>
          <w:tcPr>
            <w:tcW w:w="8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单价</w:t>
            </w:r>
          </w:p>
        </w:tc>
        <w:tc>
          <w:tcPr>
            <w:tcW w:w="1132"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堆高电叉车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CQD型2.0T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818"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8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防爆柴油叉车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CPCD35N-RW10M-Ex型3.0t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CPCD型3.5t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柴油叉车</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w:t>
            </w: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CPCD型5.0t</w:t>
            </w: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辆</w:t>
            </w: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68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1582"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合计</w:t>
            </w:r>
          </w:p>
        </w:tc>
        <w:tc>
          <w:tcPr>
            <w:tcW w:w="886"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664"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45"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709"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15</w:t>
            </w:r>
          </w:p>
        </w:tc>
        <w:tc>
          <w:tcPr>
            <w:tcW w:w="818"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8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c>
          <w:tcPr>
            <w:tcW w:w="1132"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p>
    <w:p>
      <w:pPr>
        <w:pStyle w:val="17"/>
        <w:pageBreakBefore w:val="0"/>
        <w:kinsoku/>
        <w:wordWrap/>
        <w:topLinePunct w:val="0"/>
        <w:bidi w:val="0"/>
        <w:snapToGrid w:val="0"/>
        <w:spacing w:line="360" w:lineRule="auto"/>
        <w:ind w:left="0" w:leftChars="0" w:firstLine="240" w:firstLineChars="100"/>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叉车</w:t>
      </w:r>
      <w:r>
        <w:rPr>
          <w:rFonts w:hint="eastAsia" w:ascii="仿宋" w:hAnsi="仿宋" w:eastAsia="仿宋" w:cs="仿宋"/>
          <w:kern w:val="0"/>
          <w:sz w:val="24"/>
          <w:szCs w:val="24"/>
          <w:lang w:val="en-US" w:eastAsia="zh-CN"/>
        </w:rPr>
        <w:t>常规保养</w:t>
      </w:r>
      <w:r>
        <w:rPr>
          <w:rFonts w:hint="eastAsia" w:ascii="仿宋" w:hAnsi="仿宋" w:eastAsia="仿宋" w:cs="仿宋"/>
          <w:color w:val="000000"/>
          <w:kern w:val="0"/>
          <w:sz w:val="24"/>
          <w:szCs w:val="24"/>
          <w:u w:color="000000"/>
          <w:lang w:val="en-US" w:eastAsia="zh-CN" w:bidi="ar-SA"/>
        </w:rPr>
        <w:t>检查维护项目内容如下：</w:t>
      </w:r>
    </w:p>
    <w:tbl>
      <w:tblPr>
        <w:tblStyle w:val="11"/>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5463"/>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序号</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检查、维护内容</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保养备件清单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检查三滤、发动机机油、必要时更换（电瓶车检查电池情况，必要时添加电解液）</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杭叉专用发动机润滑油、一次性机油格、油水分离器、空滤芯、黄油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检查挡货架安全架是否固定。检查灯光信号是否正常。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3</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检查车轮安装是否牢固，车轮气压是否符合要求，轮毂是否变形，胎面磨损是否过安全线。</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4</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检查各轮胎螺栓，转向油缸螺栓紧固情况。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5</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检查刹车及手刹是否正常，制动液是否在刻度范围内。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添加制动液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6</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检查微动踏板或离合器踏板，刹车踏板是否灵活可靠。</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7</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检查变速箱传动油是否在范围内；检查差速器油是否在范围内。</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8</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检查机油是否在刻度范围内，发动机在加速，减速等情况下是否正常运行。</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9</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检查升降速度是否正常，升降链条是否正常。左右倾斜油缸伸缩是否同步。</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10</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检查起重链条拉紧螺栓紧固情况。</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11</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检查发电机及起动机安装是否牢固，风扇带松紧程度是否正常。</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12</w:t>
            </w:r>
          </w:p>
        </w:tc>
        <w:tc>
          <w:tcPr>
            <w:tcW w:w="5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检查水箱水量是否正常，水箱散热面是否清洁，是否擦洗发动机表面脏物。</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u w:color="000000"/>
                <w:lang w:val="en-US" w:eastAsia="zh-CN" w:bidi="ar-SA"/>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color w:val="000000"/>
          <w:kern w:val="0"/>
          <w:sz w:val="24"/>
          <w:szCs w:val="24"/>
          <w:u w:color="000000"/>
          <w:lang w:val="en-US" w:eastAsia="zh-CN" w:bidi="ar-SA"/>
        </w:rPr>
      </w:pPr>
    </w:p>
    <w:p>
      <w:pPr>
        <w:pStyle w:val="17"/>
        <w:pageBreakBefore w:val="0"/>
        <w:kinsoku/>
        <w:wordWrap/>
        <w:topLinePunct w:val="0"/>
        <w:bidi w:val="0"/>
        <w:snapToGrid w:val="0"/>
        <w:spacing w:line="360" w:lineRule="auto"/>
        <w:ind w:firstLine="601"/>
        <w:rPr>
          <w:rFonts w:hint="eastAsia" w:ascii="仿宋" w:hAnsi="仿宋" w:eastAsia="仿宋" w:cs="仿宋"/>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1叉车保养频次为每运行200小时一次，本项目服务期限以完成约定的维保次数为准，但总年限不超过1年，根据实际发生的维保次数结算费用。</w:t>
      </w:r>
    </w:p>
    <w:p>
      <w:pPr>
        <w:pStyle w:val="17"/>
        <w:pageBreakBefore w:val="0"/>
        <w:kinsoku/>
        <w:wordWrap/>
        <w:topLinePunct w:val="0"/>
        <w:bidi w:val="0"/>
        <w:snapToGrid w:val="0"/>
        <w:spacing w:line="360" w:lineRule="auto"/>
        <w:ind w:firstLine="601"/>
        <w:rPr>
          <w:rFonts w:hint="eastAsia" w:ascii="仿宋" w:hAnsi="仿宋" w:eastAsia="仿宋" w:cs="仿宋"/>
          <w:b w:val="0"/>
          <w:bCs w:val="0"/>
          <w:color w:val="000000"/>
          <w:kern w:val="0"/>
          <w:sz w:val="24"/>
          <w:szCs w:val="24"/>
          <w:u w:color="000000"/>
          <w:lang w:val="en-US" w:eastAsia="zh-CN" w:bidi="ar-SA"/>
        </w:rPr>
      </w:pPr>
      <w:r>
        <w:rPr>
          <w:rFonts w:hint="eastAsia" w:ascii="仿宋" w:hAnsi="仿宋" w:eastAsia="仿宋" w:cs="仿宋"/>
          <w:color w:val="000000"/>
          <w:kern w:val="0"/>
          <w:sz w:val="24"/>
          <w:szCs w:val="24"/>
          <w:u w:color="000000"/>
          <w:lang w:val="en-US" w:eastAsia="zh-CN" w:bidi="ar-SA"/>
        </w:rPr>
        <w:t>2每台次维保费单价包含了所有配件费、人工费、技术服务费、检测调试费、交通费、工具费、运输费、管理费、工时费、税费等维保过程中产生的一切费用。在现场设备出现问题紧急情况下，供应商要积极响应，需12小时内到达现场。</w:t>
      </w:r>
    </w:p>
    <w:p>
      <w:pPr>
        <w:pageBreakBefore w:val="0"/>
        <w:numPr>
          <w:ilvl w:val="0"/>
          <w:numId w:val="0"/>
        </w:numPr>
        <w:kinsoku/>
        <w:wordWrap/>
        <w:topLinePunct w:val="0"/>
        <w:bidi w:val="0"/>
        <w:snapToGrid w:val="0"/>
        <w:spacing w:line="360" w:lineRule="auto"/>
        <w:ind w:firstLine="480" w:firstLineChars="200"/>
        <w:jc w:val="both"/>
        <w:rPr>
          <w:rFonts w:hint="eastAsia" w:ascii="仿宋" w:hAnsi="仿宋" w:eastAsia="仿宋" w:cs="仿宋"/>
          <w:b w:val="0"/>
          <w:bCs w:val="0"/>
          <w:caps w:val="0"/>
          <w:color w:val="auto"/>
          <w:kern w:val="2"/>
          <w:sz w:val="24"/>
          <w:szCs w:val="24"/>
          <w:lang w:val="en-US" w:eastAsia="zh-CN" w:bidi="ar-SA"/>
        </w:rPr>
      </w:pPr>
      <w:r>
        <w:rPr>
          <w:rFonts w:hint="eastAsia" w:ascii="仿宋" w:hAnsi="仿宋" w:eastAsia="仿宋" w:cs="仿宋"/>
          <w:b w:val="0"/>
          <w:bCs w:val="0"/>
          <w:color w:val="000000"/>
          <w:kern w:val="0"/>
          <w:sz w:val="24"/>
          <w:szCs w:val="24"/>
          <w:u w:color="000000"/>
          <w:lang w:val="en-US" w:eastAsia="zh-CN" w:bidi="ar-SA"/>
        </w:rPr>
        <w:t xml:space="preserve">二、叉车维修备件清单及价格如下（税率为 </w:t>
      </w:r>
      <w:r>
        <w:rPr>
          <w:rFonts w:hint="eastAsia" w:ascii="仿宋" w:hAnsi="仿宋" w:eastAsia="仿宋" w:cs="仿宋"/>
          <w:b w:val="0"/>
          <w:bCs w:val="0"/>
          <w:color w:val="000000"/>
          <w:kern w:val="0"/>
          <w:sz w:val="24"/>
          <w:szCs w:val="24"/>
          <w:u w:val="single" w:color="auto"/>
          <w:lang w:val="en-US" w:eastAsia="zh-CN" w:bidi="ar-SA"/>
        </w:rPr>
        <w:t xml:space="preserve">    %</w:t>
      </w:r>
      <w:r>
        <w:rPr>
          <w:rFonts w:hint="eastAsia" w:ascii="仿宋" w:hAnsi="仿宋" w:eastAsia="仿宋" w:cs="仿宋"/>
          <w:b w:val="0"/>
          <w:bCs w:val="0"/>
          <w:color w:val="000000"/>
          <w:kern w:val="0"/>
          <w:sz w:val="24"/>
          <w:szCs w:val="24"/>
          <w:u w:color="000000"/>
          <w:lang w:val="en-US" w:eastAsia="zh-CN" w:bidi="ar-SA"/>
        </w:rPr>
        <w:t>）：</w:t>
      </w:r>
    </w:p>
    <w:tbl>
      <w:tblPr>
        <w:tblStyle w:val="11"/>
        <w:tblW w:w="908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183"/>
        <w:gridCol w:w="1078"/>
        <w:gridCol w:w="1554"/>
        <w:gridCol w:w="696"/>
        <w:gridCol w:w="818"/>
        <w:gridCol w:w="818"/>
        <w:gridCol w:w="1064"/>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厂家</w:t>
            </w:r>
          </w:p>
        </w:tc>
        <w:tc>
          <w:tcPr>
            <w:tcW w:w="10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配件名称</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限价（元）</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CPCD型3.5t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CPCD35N-RW10M-Ex型3.0t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蓄电池（防爆）</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35000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蓄电池电缆组</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付</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传动油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转向油缸总成</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刹车油 </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清洗剂</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G65J喷油泵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防冻液</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燃油滤芯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前大灯LDE</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前小灯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三色尾灯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大灯开关</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半轴油封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183"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CQD型2.0T</w:t>
            </w: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蓄电池（防爆）</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183" w:type="dxa"/>
            <w:vMerge w:val="continue"/>
            <w:tcBorders>
              <w:tl2br w:val="nil"/>
              <w:tr2bl w:val="nil"/>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蓄电池电缆组</w:t>
            </w:r>
          </w:p>
        </w:tc>
        <w:tc>
          <w:tcPr>
            <w:tcW w:w="6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0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1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杭叉</w:t>
            </w:r>
          </w:p>
        </w:tc>
        <w:tc>
          <w:tcPr>
            <w:tcW w:w="10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CPCD型5.0t</w:t>
            </w: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机油及三滤芯</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倾斜缸修理包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制动分泵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轮边油封</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制动器</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侧滚轮</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起动机</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电瓶</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转向胶管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转向缸修理包</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制动总泵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制动油管</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门架轴承</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183" w:type="dxa"/>
            <w:vMerge w:val="continue"/>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78"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真空助力泵</w:t>
            </w: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1183" w:type="dxa"/>
            <w:tcBorders>
              <w:tl2br w:val="nil"/>
              <w:tr2bl w:val="nil"/>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合计</w:t>
            </w:r>
          </w:p>
        </w:tc>
        <w:tc>
          <w:tcPr>
            <w:tcW w:w="1078" w:type="dxa"/>
            <w:tcBorders>
              <w:tl2br w:val="nil"/>
              <w:tr2bl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17"/>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p>
    <w:p>
      <w:pPr>
        <w:pStyle w:val="17"/>
        <w:pageBreakBefore w:val="0"/>
        <w:kinsoku/>
        <w:wordWrap/>
        <w:topLinePunct w:val="0"/>
        <w:bidi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在维保期内，15辆叉车年度维修备件总金额不超过13.36万元，超过部分由乙方承担。若因人为或意外导致叉车需要大面积或者大金额维修等情况，明确事故责任经甲方审批同意后，由此发生的维修费用不纳入13.36万元备件限额的管控范围。</w:t>
      </w:r>
    </w:p>
    <w:p>
      <w:pPr>
        <w:pStyle w:val="17"/>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乙方提供的备件须为杭叉集团股份有限公司全新正品备件，不得为副厂件或者替代件。此备件价格为叉车更换备件的综合价格，含备件费、税金、人工费、车辆费、工具费等所有费用。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3根据实际更换备件与乙方结算费用。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三、维保服务要求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1乙方应在接到甲方维保通知之时起，24小时内，到达现场开展维保工作。</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2叉车设备按照维保要求定期提供上门维保服务，维保服务地点杭州临江环境能源有限公司内（红十五线和观十五线交叉口）。</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四、现场维保要求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1设备内外整洁，各转动面、油孔等处无油污，设备周围的杂物、赃物清扫干净。</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2工具、附件、工件放置整齐。</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3润滑良好，无干磨现象。</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4遵守安全操作规程。</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5维保完毕后的设备稳定可靠，性能完全符合叉车等相关行业标准技术、性能要求，满足甲方实际使用工况。</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6乙方维保人员必须是技术过硬、有能力胜任该工作的专业技术人员。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若维保过程中由于乙方维保人员操作不当造成的设备故障或损坏，由乙方负责免费维修，并且甲方有权向供应商追究相关责任；若叉车设备因维保而发生故障的，由乙方负责免费上门维修，产生的相应费用由乙方承担，甲方并有权追究因此造成的损失。</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8维保备件：乙方所更换的材料必须为全新的、未使用过的杭叉正品备件，并且完全满足项目对材料或设备在质量、规格、性能方面要求。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五、维保技术要求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1叉车运行的预防性维保及故障性维修的所有零部件100%由原厂质量保证，且由乙方专职服务工程师提供现场服务，24小时*365天技术支持。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2合约期内叉车保修</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2.1尽管有预防性维保，叉车仍有可能出现不可预见的故障，此时维保方需保证尽快将机器恢复运行；</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2.2维保期内的叉车修复故障所产生的备件和人工成本由乙方承担；</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2.3乙方专职服务工程师定期巡访，最大程度降低叉车故障风险；</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合约期内的设备维修不限次数和维修备件，除重特大故障外，一般单次检修时间不超过8小时。</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六、验收标准</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1维保人员应将现场清洁干净，设备周围整洁。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2维保完成之时起，采购方运行设备72小时无问题。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3维保人员向设备负责人员介绍维保情况、提供维保服务清单，并在检修工作本上作详细记录。</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七、维保费用计算方式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1常规性维保按实际维保次数支付维保费；叉车维修费用以备件单项单价为结算依据，实行总额控制，按实结算；</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2每台次常规性维保费及备件费用包含了所有配件费、人工费、技术服务费、检测调试费、交通费、工具费、运输费、管理费、税费等维保过程中产生的一切费用。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维保期内，15辆叉车年度维修备件总金额不超过13.36万元，超过部分由乙方承担。若因人为或意外导致叉车需要大面积或者大金额维修等情况，明确事故责任经采购人审批同意后，由此发生的维修费用不纳入13.36万元备件限额的管控范围。</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17"/>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2本合同一式捌份，甲方、乙方各执肆份。</w:t>
      </w:r>
    </w:p>
    <w:p>
      <w:pPr>
        <w:pageBreakBefore w:val="0"/>
        <w:kinsoku/>
        <w:wordWrap/>
        <w:topLinePunct w:val="0"/>
        <w:bidi w:val="0"/>
        <w:spacing w:line="360" w:lineRule="auto"/>
        <w:rPr>
          <w:rFonts w:hint="eastAsia" w:ascii="仿宋" w:hAnsi="仿宋" w:eastAsia="仿宋" w:cs="仿宋"/>
          <w:sz w:val="24"/>
          <w:szCs w:val="24"/>
          <w:lang w:val="en-US" w:eastAsia="zh-CN"/>
        </w:rPr>
      </w:pPr>
    </w:p>
    <w:p>
      <w:pPr>
        <w:pStyle w:val="2"/>
        <w:pageBreakBefore w:val="0"/>
        <w:kinsoku/>
        <w:wordWrap/>
        <w:topLinePunct w:val="0"/>
        <w:bidi w:val="0"/>
        <w:spacing w:line="360" w:lineRule="auto"/>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2022年叉车维保服务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2022年叉车维保服务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8"/>
          <w:rFonts w:hint="eastAsia" w:ascii="仿宋" w:hAnsi="仿宋" w:eastAsia="仿宋" w:cs="仿宋"/>
          <w:b/>
          <w:spacing w:val="0"/>
          <w:sz w:val="44"/>
          <w:lang w:val="en-GB" w:eastAsia="zh-CN"/>
        </w:rPr>
      </w:pPr>
      <w:r>
        <w:rPr>
          <w:rStyle w:val="18"/>
          <w:rFonts w:hint="eastAsia" w:ascii="仿宋" w:hAnsi="仿宋" w:eastAsia="仿宋" w:cs="仿宋"/>
          <w:b/>
          <w:spacing w:val="0"/>
          <w:sz w:val="44"/>
          <w:lang w:val="en-GB"/>
        </w:rPr>
        <w:t>收款</w:t>
      </w:r>
      <w:r>
        <w:rPr>
          <w:rStyle w:val="18"/>
          <w:rFonts w:hint="eastAsia" w:ascii="仿宋" w:hAnsi="仿宋" w:eastAsia="仿宋" w:cs="仿宋"/>
          <w:b/>
          <w:spacing w:val="0"/>
          <w:sz w:val="44"/>
          <w:lang w:val="en-GB" w:eastAsia="zh-CN"/>
        </w:rPr>
        <w:t>收据</w:t>
      </w:r>
    </w:p>
    <w:p>
      <w:pPr>
        <w:ind w:firstLine="0" w:firstLineChars="0"/>
        <w:rPr>
          <w:rFonts w:hint="eastAsia" w:ascii="仿宋" w:hAnsi="仿宋" w:eastAsia="仿宋" w:cs="仿宋"/>
          <w:b w:val="0"/>
          <w:bCs w:val="0"/>
          <w:caps/>
          <w:kern w:val="0"/>
          <w:sz w:val="30"/>
          <w:szCs w:val="30"/>
          <w:lang w:val="en-US" w:eastAsia="zh-CN"/>
        </w:rPr>
      </w:pPr>
      <w:r>
        <w:rPr>
          <w:rFonts w:hint="eastAsia" w:ascii="仿宋" w:hAnsi="仿宋" w:eastAsia="仿宋" w:cs="仿宋"/>
          <w:lang w:val="en-US" w:eastAsia="zh-CN"/>
        </w:rPr>
        <w:t xml:space="preserve">                              </w:t>
      </w:r>
      <w:r>
        <w:rPr>
          <w:rFonts w:hint="eastAsia" w:ascii="仿宋" w:hAnsi="仿宋" w:eastAsia="仿宋" w:cs="仿宋"/>
          <w:b w:val="0"/>
          <w:bCs w:val="0"/>
          <w:lang w:val="en-US" w:eastAsia="zh-CN"/>
        </w:rPr>
        <w:t xml:space="preserve">  </w:t>
      </w:r>
      <w:r>
        <w:rPr>
          <w:rFonts w:hint="eastAsia" w:ascii="仿宋" w:hAnsi="仿宋" w:eastAsia="仿宋" w:cs="仿宋"/>
          <w:b w:val="0"/>
          <w:bCs w:val="0"/>
          <w:caps/>
          <w:kern w:val="0"/>
          <w:sz w:val="30"/>
          <w:szCs w:val="30"/>
          <w:lang w:val="en-US" w:eastAsia="zh-CN"/>
        </w:rPr>
        <w:t>2022年6月  日</w:t>
      </w:r>
    </w:p>
    <w:p>
      <w:pPr>
        <w:pStyle w:val="2"/>
        <w:rPr>
          <w:rFonts w:hint="eastAsia" w:ascii="仿宋" w:hAnsi="仿宋" w:eastAsia="仿宋" w:cs="仿宋"/>
          <w:lang w:val="en-US" w:eastAsia="zh-CN"/>
        </w:rPr>
      </w:pPr>
    </w:p>
    <w:tbl>
      <w:tblPr>
        <w:tblStyle w:val="12"/>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22" w:hRule="atLeast"/>
        </w:trPr>
        <w:tc>
          <w:tcPr>
            <w:tcW w:w="9164" w:type="dxa"/>
            <w:tcBorders>
              <w:tl2br w:val="nil"/>
              <w:tr2bl w:val="nil"/>
            </w:tcBorders>
            <w:vAlign w:val="top"/>
          </w:tcPr>
          <w:p>
            <w:pPr>
              <w:ind w:firstLine="900" w:firstLineChars="300"/>
              <w:rPr>
                <w:rFonts w:hint="eastAsia" w:ascii="仿宋" w:hAnsi="仿宋" w:eastAsia="仿宋" w:cs="仿宋"/>
                <w:b w:val="0"/>
                <w:bCs w:val="0"/>
                <w:kern w:val="0"/>
                <w:sz w:val="30"/>
                <w:szCs w:val="30"/>
                <w:lang w:eastAsia="zh-CN"/>
              </w:rPr>
            </w:pPr>
          </w:p>
          <w:p>
            <w:pPr>
              <w:ind w:firstLine="900" w:firstLineChars="300"/>
              <w:rPr>
                <w:rFonts w:hint="eastAsia" w:ascii="仿宋" w:hAnsi="仿宋" w:eastAsia="仿宋" w:cs="仿宋"/>
                <w:b w:val="0"/>
                <w:bCs w:val="0"/>
                <w:kern w:val="0"/>
                <w:sz w:val="30"/>
                <w:szCs w:val="30"/>
                <w:u w:val="none"/>
                <w:lang w:val="en-US" w:eastAsia="zh-CN"/>
              </w:rPr>
            </w:pPr>
            <w:r>
              <w:rPr>
                <w:rFonts w:hint="eastAsia" w:ascii="仿宋" w:hAnsi="仿宋" w:eastAsia="仿宋" w:cs="仿宋"/>
                <w:b w:val="0"/>
                <w:bCs w:val="0"/>
                <w:kern w:val="0"/>
                <w:sz w:val="30"/>
                <w:szCs w:val="30"/>
                <w:lang w:eastAsia="zh-CN"/>
              </w:rPr>
              <w:t>今收到</w:t>
            </w:r>
            <w:r>
              <w:rPr>
                <w:rFonts w:hint="eastAsia" w:ascii="仿宋" w:hAnsi="仿宋" w:eastAsia="仿宋" w:cs="仿宋"/>
                <w:b w:val="0"/>
                <w:bCs w:val="0"/>
                <w:kern w:val="0"/>
                <w:sz w:val="30"/>
                <w:szCs w:val="30"/>
                <w:u w:val="single"/>
                <w:lang w:val="en-US" w:eastAsia="zh-CN"/>
              </w:rPr>
              <w:t xml:space="preserve">   杭州临江环境环境能源有限公司                 </w:t>
            </w:r>
          </w:p>
          <w:p>
            <w:pPr>
              <w:pStyle w:val="2"/>
              <w:ind w:firstLine="0" w:firstLineChars="0"/>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u w:val="single"/>
                <w:lang w:val="en-US" w:eastAsia="zh-CN"/>
              </w:rPr>
              <w:t xml:space="preserve">2022年临江公司叉车维保付采购项目投标保证金款项。               </w:t>
            </w:r>
          </w:p>
          <w:p>
            <w:pPr>
              <w:pStyle w:val="2"/>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u w:val="single"/>
                <w:lang w:val="en-US" w:eastAsia="zh-CN"/>
              </w:rPr>
              <w:t xml:space="preserve">金额（大写）：   叁仟肆佰元整                                      </w:t>
            </w:r>
          </w:p>
          <w:p>
            <w:pPr>
              <w:pStyle w:val="2"/>
              <w:rPr>
                <w:rFonts w:hint="eastAsia" w:ascii="仿宋" w:hAnsi="仿宋" w:eastAsia="仿宋" w:cs="仿宋"/>
                <w:b w:val="0"/>
                <w:bCs w:val="0"/>
                <w:kern w:val="0"/>
                <w:sz w:val="30"/>
                <w:szCs w:val="30"/>
                <w:lang w:val="en-US" w:eastAsia="zh-CN"/>
              </w:rPr>
            </w:pPr>
          </w:p>
          <w:p>
            <w:pPr>
              <w:pStyle w:val="2"/>
              <w:rPr>
                <w:rFonts w:hint="eastAsia" w:ascii="仿宋" w:hAnsi="仿宋" w:eastAsia="仿宋" w:cs="仿宋"/>
                <w:b w:val="0"/>
                <w:bCs w:val="0"/>
                <w:kern w:val="0"/>
                <w:sz w:val="30"/>
                <w:szCs w:val="30"/>
                <w:u w:val="single"/>
                <w:lang w:val="en-US" w:eastAsia="zh-CN"/>
              </w:rPr>
            </w:pPr>
            <w:r>
              <w:rPr>
                <w:rFonts w:hint="eastAsia" w:ascii="仿宋" w:hAnsi="仿宋" w:eastAsia="仿宋" w:cs="仿宋"/>
                <w:b w:val="0"/>
                <w:bCs w:val="0"/>
                <w:kern w:val="0"/>
                <w:sz w:val="30"/>
                <w:szCs w:val="30"/>
                <w:lang w:val="en-US" w:eastAsia="zh-CN"/>
              </w:rPr>
              <w:t>收款单位（盖章）：                        ¥：</w:t>
            </w:r>
            <w:r>
              <w:rPr>
                <w:rFonts w:hint="eastAsia" w:ascii="仿宋" w:hAnsi="仿宋" w:eastAsia="仿宋" w:cs="仿宋"/>
                <w:b w:val="0"/>
                <w:bCs w:val="0"/>
                <w:kern w:val="0"/>
                <w:sz w:val="30"/>
                <w:szCs w:val="30"/>
                <w:u w:val="single"/>
                <w:lang w:val="en-US" w:eastAsia="zh-CN"/>
              </w:rPr>
              <w:t>3400.00</w:t>
            </w:r>
          </w:p>
          <w:p>
            <w:pPr>
              <w:rPr>
                <w:rFonts w:hint="eastAsia" w:ascii="仿宋" w:hAnsi="仿宋" w:eastAsia="仿宋" w:cs="仿宋"/>
                <w:b w:val="0"/>
                <w:bCs w:val="0"/>
                <w:kern w:val="0"/>
                <w:sz w:val="30"/>
                <w:szCs w:val="30"/>
                <w:vertAlign w:val="baseline"/>
                <w:lang w:eastAsia="zh-CN"/>
              </w:rPr>
            </w:pPr>
          </w:p>
        </w:tc>
      </w:tr>
    </w:tbl>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rPr>
        <w:t>投标人股东信息及出资比例信息表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投标人（公章）：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投标人（公章）：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1、若投标人为非事业单位，则填写《投标人股东信息及出资比例信息表》；若投标人为事业单位，则填写《管理关系表》。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2、若投标人未按实际情况填写或填写虚假信息或漏填错填，经评标委员会讨论后，应作废标处理。</w:t>
      </w:r>
    </w:p>
    <w:p>
      <w:pPr>
        <w:pStyle w:val="2"/>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5E5164"/>
    <w:rsid w:val="01D22213"/>
    <w:rsid w:val="03363C91"/>
    <w:rsid w:val="04605697"/>
    <w:rsid w:val="04AD18C2"/>
    <w:rsid w:val="05171D1C"/>
    <w:rsid w:val="05D22118"/>
    <w:rsid w:val="06057AB3"/>
    <w:rsid w:val="075D4671"/>
    <w:rsid w:val="08192C9E"/>
    <w:rsid w:val="087F6B2F"/>
    <w:rsid w:val="08C43471"/>
    <w:rsid w:val="09063BE3"/>
    <w:rsid w:val="09714AB2"/>
    <w:rsid w:val="09C946AA"/>
    <w:rsid w:val="0A0C6ADD"/>
    <w:rsid w:val="0A32752C"/>
    <w:rsid w:val="0BA6738A"/>
    <w:rsid w:val="0BCC31F9"/>
    <w:rsid w:val="0C664690"/>
    <w:rsid w:val="0CCA0DE9"/>
    <w:rsid w:val="0D3A05AE"/>
    <w:rsid w:val="0D4B1F11"/>
    <w:rsid w:val="0D8C54CA"/>
    <w:rsid w:val="0DC35837"/>
    <w:rsid w:val="0DE61498"/>
    <w:rsid w:val="0E4A451D"/>
    <w:rsid w:val="0F9D0EBF"/>
    <w:rsid w:val="110C39D4"/>
    <w:rsid w:val="11D22462"/>
    <w:rsid w:val="1297576D"/>
    <w:rsid w:val="12BF4C87"/>
    <w:rsid w:val="12E70A09"/>
    <w:rsid w:val="14BE3045"/>
    <w:rsid w:val="15975F51"/>
    <w:rsid w:val="16506EC0"/>
    <w:rsid w:val="16857DCB"/>
    <w:rsid w:val="17125311"/>
    <w:rsid w:val="18C220A1"/>
    <w:rsid w:val="1A2B7D96"/>
    <w:rsid w:val="1B1E5081"/>
    <w:rsid w:val="1B25789E"/>
    <w:rsid w:val="1B9B180A"/>
    <w:rsid w:val="1BD33B78"/>
    <w:rsid w:val="1DBB1DEC"/>
    <w:rsid w:val="1E1A21EF"/>
    <w:rsid w:val="1ED826D1"/>
    <w:rsid w:val="1EEB1EAF"/>
    <w:rsid w:val="1F484D62"/>
    <w:rsid w:val="1F5A01B0"/>
    <w:rsid w:val="1FEE11BB"/>
    <w:rsid w:val="203B090D"/>
    <w:rsid w:val="21135480"/>
    <w:rsid w:val="214D7086"/>
    <w:rsid w:val="216D5DDE"/>
    <w:rsid w:val="23785BDF"/>
    <w:rsid w:val="24130D0C"/>
    <w:rsid w:val="24B02AB7"/>
    <w:rsid w:val="24D82814"/>
    <w:rsid w:val="25B878E3"/>
    <w:rsid w:val="26F76768"/>
    <w:rsid w:val="27A046BC"/>
    <w:rsid w:val="29F704EF"/>
    <w:rsid w:val="2A6F5228"/>
    <w:rsid w:val="2AC220DE"/>
    <w:rsid w:val="2ADB5E21"/>
    <w:rsid w:val="2ADF08BA"/>
    <w:rsid w:val="2BF9045D"/>
    <w:rsid w:val="2C62228E"/>
    <w:rsid w:val="2CB8313D"/>
    <w:rsid w:val="2D4304C2"/>
    <w:rsid w:val="2EB2531B"/>
    <w:rsid w:val="2F3D045F"/>
    <w:rsid w:val="2F7235F0"/>
    <w:rsid w:val="2F7D3F84"/>
    <w:rsid w:val="2F844FB7"/>
    <w:rsid w:val="2FA80D19"/>
    <w:rsid w:val="30E44C6E"/>
    <w:rsid w:val="314A4E32"/>
    <w:rsid w:val="31FF787A"/>
    <w:rsid w:val="327F2882"/>
    <w:rsid w:val="32B97BD5"/>
    <w:rsid w:val="331719A3"/>
    <w:rsid w:val="34567365"/>
    <w:rsid w:val="34593B84"/>
    <w:rsid w:val="3464504B"/>
    <w:rsid w:val="35295E41"/>
    <w:rsid w:val="367D4CB8"/>
    <w:rsid w:val="36F045DC"/>
    <w:rsid w:val="37AE6E07"/>
    <w:rsid w:val="38C87374"/>
    <w:rsid w:val="39082E1D"/>
    <w:rsid w:val="3A56210E"/>
    <w:rsid w:val="3ACF7D3E"/>
    <w:rsid w:val="3B712589"/>
    <w:rsid w:val="3BAB6723"/>
    <w:rsid w:val="3CE60871"/>
    <w:rsid w:val="3D165B9F"/>
    <w:rsid w:val="3D7933CA"/>
    <w:rsid w:val="3DAC3CC7"/>
    <w:rsid w:val="3DCD40EE"/>
    <w:rsid w:val="3E16524F"/>
    <w:rsid w:val="3F2D02B4"/>
    <w:rsid w:val="3F327733"/>
    <w:rsid w:val="3F6B7546"/>
    <w:rsid w:val="3FCC294E"/>
    <w:rsid w:val="403D649A"/>
    <w:rsid w:val="407E15A7"/>
    <w:rsid w:val="40AA3B81"/>
    <w:rsid w:val="411C5733"/>
    <w:rsid w:val="41881E45"/>
    <w:rsid w:val="42966C7E"/>
    <w:rsid w:val="42F56D32"/>
    <w:rsid w:val="43100126"/>
    <w:rsid w:val="43607CCE"/>
    <w:rsid w:val="43FB6154"/>
    <w:rsid w:val="45530393"/>
    <w:rsid w:val="458978FD"/>
    <w:rsid w:val="469F7AF8"/>
    <w:rsid w:val="47331E5D"/>
    <w:rsid w:val="478F3581"/>
    <w:rsid w:val="47B96D86"/>
    <w:rsid w:val="47D615F1"/>
    <w:rsid w:val="48034DA7"/>
    <w:rsid w:val="485C575C"/>
    <w:rsid w:val="499E515C"/>
    <w:rsid w:val="49E7480F"/>
    <w:rsid w:val="4AAB1461"/>
    <w:rsid w:val="4C7D53DD"/>
    <w:rsid w:val="4C870D35"/>
    <w:rsid w:val="4D590753"/>
    <w:rsid w:val="4DA44BEC"/>
    <w:rsid w:val="4E376DB9"/>
    <w:rsid w:val="4E716394"/>
    <w:rsid w:val="4F0A3ECF"/>
    <w:rsid w:val="502844C8"/>
    <w:rsid w:val="502A7FE2"/>
    <w:rsid w:val="512E4723"/>
    <w:rsid w:val="5194614B"/>
    <w:rsid w:val="51D845E4"/>
    <w:rsid w:val="529E4B2F"/>
    <w:rsid w:val="531500DE"/>
    <w:rsid w:val="533444FB"/>
    <w:rsid w:val="53B92A73"/>
    <w:rsid w:val="542C6397"/>
    <w:rsid w:val="55C176DD"/>
    <w:rsid w:val="55C54FE9"/>
    <w:rsid w:val="55D57BE9"/>
    <w:rsid w:val="55E07717"/>
    <w:rsid w:val="58080247"/>
    <w:rsid w:val="597265D0"/>
    <w:rsid w:val="5A1C766A"/>
    <w:rsid w:val="5AE167FC"/>
    <w:rsid w:val="5C1B1993"/>
    <w:rsid w:val="5C473E4D"/>
    <w:rsid w:val="5DCF29DF"/>
    <w:rsid w:val="5E785A05"/>
    <w:rsid w:val="5F5A57B1"/>
    <w:rsid w:val="5F92485B"/>
    <w:rsid w:val="60DA6D28"/>
    <w:rsid w:val="612A3DEE"/>
    <w:rsid w:val="616059E3"/>
    <w:rsid w:val="619C1A0A"/>
    <w:rsid w:val="626C77AA"/>
    <w:rsid w:val="64566BA9"/>
    <w:rsid w:val="649C599A"/>
    <w:rsid w:val="66B027B6"/>
    <w:rsid w:val="67B628F5"/>
    <w:rsid w:val="686112EA"/>
    <w:rsid w:val="69F32F6D"/>
    <w:rsid w:val="6A534349"/>
    <w:rsid w:val="6A9741FF"/>
    <w:rsid w:val="6AF577DA"/>
    <w:rsid w:val="6B567157"/>
    <w:rsid w:val="6B656B47"/>
    <w:rsid w:val="6BE15B5F"/>
    <w:rsid w:val="6C714475"/>
    <w:rsid w:val="6CBB22B7"/>
    <w:rsid w:val="6CDB032D"/>
    <w:rsid w:val="6E5526FF"/>
    <w:rsid w:val="6E7D1CA3"/>
    <w:rsid w:val="6F2B1820"/>
    <w:rsid w:val="70324A53"/>
    <w:rsid w:val="708762AD"/>
    <w:rsid w:val="710D0440"/>
    <w:rsid w:val="7123004B"/>
    <w:rsid w:val="71C5585F"/>
    <w:rsid w:val="74235D34"/>
    <w:rsid w:val="74DA1B78"/>
    <w:rsid w:val="74EA3344"/>
    <w:rsid w:val="769C5DB2"/>
    <w:rsid w:val="77C02A1F"/>
    <w:rsid w:val="77D476E8"/>
    <w:rsid w:val="785C25E1"/>
    <w:rsid w:val="7A0E232D"/>
    <w:rsid w:val="7A500C84"/>
    <w:rsid w:val="7B626777"/>
    <w:rsid w:val="7BDD6724"/>
    <w:rsid w:val="7C737FE0"/>
    <w:rsid w:val="7C8254B1"/>
    <w:rsid w:val="7CA5124D"/>
    <w:rsid w:val="7CD03426"/>
    <w:rsid w:val="7DD14801"/>
    <w:rsid w:val="7E135FB4"/>
    <w:rsid w:val="7F5B6E61"/>
    <w:rsid w:val="7F673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3"/>
    <w:link w:val="8"/>
    <w:qFormat/>
    <w:uiPriority w:val="0"/>
    <w:rPr>
      <w:kern w:val="2"/>
      <w:sz w:val="18"/>
      <w:szCs w:val="18"/>
    </w:rPr>
  </w:style>
  <w:style w:type="character" w:customStyle="1" w:styleId="22">
    <w:name w:val="批注框文本 Char"/>
    <w:basedOn w:val="13"/>
    <w:link w:val="6"/>
    <w:qFormat/>
    <w:uiPriority w:val="0"/>
    <w:rPr>
      <w:kern w:val="2"/>
      <w:sz w:val="18"/>
      <w:szCs w:val="18"/>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21"/>
    <w:basedOn w:val="13"/>
    <w:qFormat/>
    <w:uiPriority w:val="0"/>
    <w:rPr>
      <w:rFonts w:hint="default" w:ascii="Arial" w:hAnsi="Arial" w:cs="Arial"/>
      <w:color w:val="000000"/>
      <w:sz w:val="21"/>
      <w:szCs w:val="21"/>
      <w:u w:val="none"/>
    </w:rPr>
  </w:style>
  <w:style w:type="paragraph" w:customStyle="1" w:styleId="25">
    <w:name w:val="列出段落1"/>
    <w:basedOn w:val="1"/>
    <w:qFormat/>
    <w:uiPriority w:val="34"/>
    <w:pPr>
      <w:ind w:firstLine="420" w:firstLineChars="200"/>
    </w:pPr>
  </w:style>
  <w:style w:type="character" w:customStyle="1" w:styleId="26">
    <w:name w:val="font01"/>
    <w:basedOn w:val="1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12578</Words>
  <Characters>14087</Characters>
  <Lines>53</Lines>
  <Paragraphs>15</Paragraphs>
  <TotalTime>1</TotalTime>
  <ScaleCrop>false</ScaleCrop>
  <LinksUpToDate>false</LinksUpToDate>
  <CharactersWithSpaces>14789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2022-06-28T06:05:18Z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1F71F5A51FA94D70BA43EBBF9DE737EB</vt:lpwstr>
  </property>
</Properties>
</file>