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202208008</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lang w:eastAsia="zh-CN"/>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lang w:eastAsia="zh-CN"/>
        </w:rPr>
        <w:t>年</w:t>
      </w:r>
      <w:r>
        <w:rPr>
          <w:rFonts w:hint="eastAsia" w:ascii="仿宋_GB2312" w:eastAsia="仿宋_GB2312"/>
          <w:sz w:val="32"/>
          <w:szCs w:val="32"/>
          <w:u w:val="single"/>
        </w:rPr>
        <w:t>临江公司</w:t>
      </w:r>
      <w:r>
        <w:rPr>
          <w:rFonts w:hint="default" w:ascii="仿宋_GB2312" w:eastAsia="仿宋_GB2312"/>
          <w:sz w:val="32"/>
          <w:szCs w:val="32"/>
          <w:u w:val="single"/>
          <w:lang w:val="en-US" w:eastAsia="zh-CN"/>
        </w:rPr>
        <w:t>高热值及柴油喷枪</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4"/>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4"/>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4"/>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4"/>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keepNext w:val="0"/>
        <w:keepLines w:val="0"/>
        <w:pageBreakBefore w:val="0"/>
        <w:widowControl w:val="0"/>
        <w:kinsoku/>
        <w:wordWrap/>
        <w:overflowPunct/>
        <w:topLinePunct w:val="0"/>
        <w:autoSpaceDE/>
        <w:autoSpaceDN/>
        <w:bidi w:val="0"/>
        <w:snapToGrid w:val="0"/>
        <w:spacing w:line="360" w:lineRule="auto"/>
        <w:jc w:val="center"/>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_GB2312" w:hAnsi="宋体" w:eastAsia="仿宋_GB2312"/>
          <w:sz w:val="30"/>
          <w:szCs w:val="30"/>
        </w:rPr>
      </w:pPr>
      <w:r>
        <w:rPr>
          <w:rFonts w:hint="eastAsia" w:ascii="仿宋_GB2312" w:eastAsia="仿宋_GB2312"/>
          <w:sz w:val="30"/>
          <w:szCs w:val="30"/>
        </w:rPr>
        <w:t>杭州临江环境能源有限公司因日常生产需要，需采购</w:t>
      </w:r>
      <w:r>
        <w:rPr>
          <w:rFonts w:hint="default" w:ascii="仿宋_GB2312" w:hAnsi="宋体" w:eastAsia="仿宋_GB2312"/>
          <w:sz w:val="30"/>
          <w:szCs w:val="30"/>
          <w:lang w:val="en-US" w:eastAsia="zh-CN"/>
        </w:rPr>
        <w:t>高热值及柴油喷枪</w:t>
      </w:r>
      <w:r>
        <w:rPr>
          <w:rFonts w:hint="eastAsia" w:ascii="仿宋_GB2312" w:hAnsi="宋体" w:eastAsia="仿宋_GB2312"/>
          <w:sz w:val="30"/>
          <w:szCs w:val="30"/>
        </w:rPr>
        <w:t>，欢迎符合要求的供应商积极参与。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default" w:ascii="仿宋_GB2312" w:eastAsia="仿宋_GB2312"/>
          <w:b w:val="0"/>
          <w:caps w:val="0"/>
          <w:sz w:val="30"/>
          <w:szCs w:val="30"/>
          <w:lang w:val="en-US" w:eastAsia="zh-CN"/>
        </w:rPr>
        <w:t>202208008</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default" w:ascii="仿宋_GB2312" w:eastAsia="仿宋_GB2312"/>
          <w:b w:val="0"/>
          <w:caps w:val="0"/>
          <w:sz w:val="30"/>
          <w:szCs w:val="30"/>
          <w:lang w:val="en-US" w:eastAsia="zh-CN"/>
        </w:rPr>
        <w:t>高热值及柴油喷枪,</w:t>
      </w:r>
      <w:r>
        <w:rPr>
          <w:rFonts w:hint="eastAsia" w:ascii="仿宋_GB2312" w:eastAsia="仿宋_GB2312"/>
          <w:b w:val="0"/>
          <w:caps w:val="0"/>
          <w:sz w:val="30"/>
          <w:szCs w:val="30"/>
          <w:lang w:val="en-US" w:eastAsia="zh-CN"/>
        </w:rPr>
        <w:t>具体详见第三部分《询价内容》</w:t>
      </w:r>
      <w:r>
        <w:rPr>
          <w:rFonts w:hint="eastAsia" w:ascii="仿宋_GB2312" w:eastAsia="仿宋_GB2312"/>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13.29</w:t>
      </w:r>
      <w:r>
        <w:rPr>
          <w:rFonts w:hint="eastAsia" w:ascii="仿宋_GB2312" w:eastAsia="仿宋_GB2312"/>
          <w:b w:val="0"/>
          <w:caps w:val="0"/>
          <w:sz w:val="30"/>
          <w:szCs w:val="30"/>
        </w:rPr>
        <w:t>万元。</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二、供应商要求。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1.投标人必须是在中华人民共和国境内注册，具有独立法人资格和独立承担民事责任的能力，注册资本金50万元（含）以上，有提供相应物资的能力。</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三、报名方式：202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default" w:ascii="仿宋_GB2312" w:eastAsia="仿宋_GB2312"/>
          <w:sz w:val="30"/>
          <w:szCs w:val="30"/>
          <w:lang w:val="en-US" w:eastAsia="zh-CN"/>
        </w:rPr>
        <w:t>8</w:t>
      </w:r>
      <w:r>
        <w:rPr>
          <w:rFonts w:hint="eastAsia" w:ascii="仿宋_GB2312" w:eastAsia="仿宋_GB2312"/>
          <w:sz w:val="30"/>
          <w:szCs w:val="30"/>
        </w:rPr>
        <w:t>月</w:t>
      </w:r>
      <w:r>
        <w:rPr>
          <w:rFonts w:hint="default" w:ascii="仿宋_GB2312" w:eastAsia="仿宋_GB2312"/>
          <w:sz w:val="30"/>
          <w:szCs w:val="30"/>
          <w:lang w:val="en-US" w:eastAsia="zh-CN"/>
        </w:rPr>
        <w:t>22</w:t>
      </w:r>
      <w:r>
        <w:rPr>
          <w:rFonts w:hint="eastAsia" w:ascii="仿宋_GB2312" w:eastAsia="仿宋_GB2312"/>
          <w:sz w:val="30"/>
          <w:szCs w:val="30"/>
        </w:rPr>
        <w:t>日</w:t>
      </w:r>
      <w:r>
        <w:rPr>
          <w:rFonts w:hint="default" w:ascii="仿宋_GB2312" w:eastAsia="仿宋_GB2312"/>
          <w:sz w:val="30"/>
          <w:szCs w:val="30"/>
          <w:lang w:val="en-US"/>
        </w:rPr>
        <w:t>24</w:t>
      </w:r>
      <w:r>
        <w:rPr>
          <w:rFonts w:hint="eastAsia" w:ascii="仿宋_GB2312" w:eastAsia="仿宋_GB2312"/>
          <w:sz w:val="30"/>
          <w:szCs w:val="30"/>
          <w:lang w:val="en-US" w:eastAsia="zh-CN"/>
        </w:rPr>
        <w:t>日</w:t>
      </w:r>
      <w:r>
        <w:rPr>
          <w:rFonts w:hint="eastAsia" w:ascii="仿宋_GB2312" w:eastAsia="仿宋_GB2312"/>
          <w:sz w:val="30"/>
          <w:szCs w:val="30"/>
        </w:rPr>
        <w:t>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四、报价时间及递交方式。</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1.报价时间：2022年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30</w:t>
      </w:r>
      <w:r>
        <w:rPr>
          <w:rFonts w:hint="eastAsia" w:ascii="仿宋_GB2312" w:eastAsia="仿宋_GB2312"/>
          <w:sz w:val="30"/>
          <w:szCs w:val="30"/>
        </w:rPr>
        <w:t>日10:</w:t>
      </w:r>
      <w:r>
        <w:rPr>
          <w:rFonts w:hint="eastAsia" w:ascii="仿宋_GB2312" w:eastAsia="仿宋_GB2312"/>
          <w:sz w:val="30"/>
          <w:szCs w:val="30"/>
          <w:lang w:val="en-US" w:eastAsia="zh-CN"/>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ascii="仿宋_GB2312" w:eastAsia="仿宋_GB2312"/>
          <w:snapToGrid w:val="0"/>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17</w:t>
      </w:r>
      <w:bookmarkStart w:id="16" w:name="_GoBack"/>
      <w:bookmarkEnd w:id="16"/>
      <w:r>
        <w:rPr>
          <w:rFonts w:hint="eastAsia" w:ascii="仿宋_GB2312" w:eastAsia="仿宋_GB2312"/>
          <w:sz w:val="30"/>
          <w:szCs w:val="30"/>
        </w:rPr>
        <w:t>日</w:t>
      </w: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widowControl w:val="0"/>
        <w:kinsoku/>
        <w:wordWrap/>
        <w:overflowPunct/>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widowControl w:val="0"/>
        <w:kinsoku/>
        <w:wordWrap/>
        <w:overflowPunct/>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（三）供应商报价应为一次性报价。如果出现两个或两个以上报价，则报价无效。供应商报价超过最高限价的，作无效报价处理。供应商报价应包括人工费、运输费、装卸费、税费等。</w:t>
      </w:r>
    </w:p>
    <w:p>
      <w:pPr>
        <w:pageBreakBefore w:val="0"/>
        <w:widowControl w:val="0"/>
        <w:kinsoku/>
        <w:wordWrap/>
        <w:overflowPunct/>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pageBreakBefore w:val="0"/>
        <w:widowControl w:val="0"/>
        <w:kinsoku/>
        <w:wordWrap/>
        <w:overflowPunct/>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pageBreakBefore w:val="0"/>
        <w:widowControl w:val="0"/>
        <w:kinsoku/>
        <w:wordWrap/>
        <w:overflowPunct/>
        <w:topLinePunct w:val="0"/>
        <w:bidi w:val="0"/>
        <w:snapToGrid w:val="0"/>
        <w:spacing w:line="360" w:lineRule="auto"/>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pageBreakBefore w:val="0"/>
        <w:widowControl w:val="0"/>
        <w:kinsoku/>
        <w:wordWrap/>
        <w:overflowPunct/>
        <w:topLinePunct w:val="0"/>
        <w:bidi w:val="0"/>
        <w:snapToGrid w:val="0"/>
        <w:spacing w:line="360" w:lineRule="auto"/>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pageBreakBefore w:val="0"/>
        <w:widowControl w:val="0"/>
        <w:kinsoku/>
        <w:wordWrap/>
        <w:overflowPunct/>
        <w:topLinePunct w:val="0"/>
        <w:bidi w:val="0"/>
        <w:snapToGrid w:val="0"/>
        <w:spacing w:line="360" w:lineRule="auto"/>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pageBreakBefore w:val="0"/>
        <w:widowControl w:val="0"/>
        <w:kinsoku/>
        <w:wordWrap/>
        <w:overflowPunct/>
        <w:topLinePunct w:val="0"/>
        <w:bidi w:val="0"/>
        <w:snapToGrid w:val="0"/>
        <w:spacing w:line="360" w:lineRule="auto"/>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pageBreakBefore w:val="0"/>
        <w:widowControl w:val="0"/>
        <w:kinsoku/>
        <w:wordWrap/>
        <w:overflowPunct/>
        <w:topLinePunct w:val="0"/>
        <w:bidi w:val="0"/>
        <w:snapToGrid w:val="0"/>
        <w:spacing w:line="360" w:lineRule="auto"/>
        <w:ind w:firstLine="602" w:firstLineChars="200"/>
        <w:rPr>
          <w:rFonts w:hint="eastAsia"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pageBreakBefore w:val="0"/>
        <w:widowControl w:val="0"/>
        <w:kinsoku/>
        <w:wordWrap/>
        <w:overflowPunct/>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pageBreakBefore w:val="0"/>
        <w:widowControl w:val="0"/>
        <w:kinsoku/>
        <w:wordWrap/>
        <w:overflowPunct/>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widowControl w:val="0"/>
        <w:kinsoku/>
        <w:wordWrap/>
        <w:overflowPunct/>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widowControl w:val="0"/>
        <w:kinsoku/>
        <w:wordWrap/>
        <w:overflowPunct/>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lang w:eastAsia="zh-CN"/>
        </w:rPr>
        <w:t>八</w:t>
      </w:r>
      <w:r>
        <w:rPr>
          <w:rFonts w:hint="eastAsia" w:ascii="仿宋_GB2312" w:eastAsia="仿宋_GB2312"/>
          <w:sz w:val="30"/>
          <w:szCs w:val="30"/>
        </w:rPr>
        <w:t>、无效报价</w:t>
      </w:r>
    </w:p>
    <w:p>
      <w:pPr>
        <w:pageBreakBefore w:val="0"/>
        <w:widowControl w:val="0"/>
        <w:kinsoku/>
        <w:wordWrap/>
        <w:overflowPunct/>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pageBreakBefore w:val="0"/>
        <w:widowControl w:val="0"/>
        <w:kinsoku/>
        <w:wordWrap/>
        <w:overflowPunct/>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pageBreakBefore w:val="0"/>
        <w:widowControl w:val="0"/>
        <w:kinsoku/>
        <w:wordWrap/>
        <w:overflowPunct/>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widowControl w:val="0"/>
        <w:kinsoku/>
        <w:wordWrap/>
        <w:overflowPunct/>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（四）报价超过最高限价的。</w:t>
      </w:r>
    </w:p>
    <w:p>
      <w:pPr>
        <w:pageBreakBefore w:val="0"/>
        <w:widowControl w:val="0"/>
        <w:kinsoku/>
        <w:wordWrap/>
        <w:overflowPunct/>
        <w:topLinePunct w:val="0"/>
        <w:bidi w:val="0"/>
        <w:snapToGrid w:val="0"/>
        <w:spacing w:line="360" w:lineRule="auto"/>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ageBreakBefore w:val="0"/>
        <w:widowControl w:val="0"/>
        <w:kinsoku/>
        <w:wordWrap/>
        <w:overflowPunct/>
        <w:topLinePunct w:val="0"/>
        <w:bidi w:val="0"/>
        <w:snapToGrid w:val="0"/>
        <w:spacing w:line="360" w:lineRule="auto"/>
        <w:ind w:firstLine="600" w:firstLineChars="200"/>
        <w:jc w:val="left"/>
        <w:rPr>
          <w:rFonts w:ascii="仿宋_GB2312" w:eastAsia="仿宋_GB2312"/>
          <w:b/>
          <w:sz w:val="30"/>
          <w:szCs w:val="30"/>
        </w:rPr>
      </w:pPr>
      <w:r>
        <w:rPr>
          <w:rFonts w:hint="eastAsia" w:ascii="仿宋_GB2312" w:hAnsi="Times New Roman" w:eastAsia="仿宋_GB2312" w:cs="Times New Roman"/>
          <w:b w:val="0"/>
          <w:caps w:val="0"/>
          <w:kern w:val="2"/>
          <w:sz w:val="30"/>
          <w:szCs w:val="30"/>
          <w:lang w:val="en-US" w:eastAsia="zh-CN" w:bidi="ar-SA"/>
        </w:rPr>
        <w:t>（六）</w:t>
      </w:r>
      <w:r>
        <w:rPr>
          <w:rFonts w:hint="eastAsia" w:ascii="仿宋_GB2312" w:eastAsia="仿宋_GB2312"/>
          <w:sz w:val="30"/>
          <w:szCs w:val="30"/>
        </w:rPr>
        <w:t>不符合法律、法规和本询价文件规定的其他要求的。</w:t>
      </w:r>
    </w:p>
    <w:p>
      <w:pPr>
        <w:pageBreakBefore w:val="0"/>
        <w:widowControl w:val="0"/>
        <w:kinsoku/>
        <w:wordWrap/>
        <w:overflowPunct/>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widowControl w:val="0"/>
        <w:kinsoku/>
        <w:wordWrap/>
        <w:overflowPunct/>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widowControl w:val="0"/>
        <w:kinsoku/>
        <w:wordWrap/>
        <w:overflowPunct/>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pageBreakBefore w:val="0"/>
        <w:widowControl w:val="0"/>
        <w:kinsoku/>
        <w:wordWrap/>
        <w:overflowPunct/>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ascii="仿宋_GB2312" w:eastAsia="仿宋_GB2312"/>
          <w:sz w:val="30"/>
          <w:szCs w:val="30"/>
        </w:rPr>
      </w:pPr>
      <w:r>
        <w:rPr>
          <w:rFonts w:hint="eastAsia" w:ascii="仿宋_GB2312" w:eastAsia="仿宋_GB2312"/>
          <w:sz w:val="30"/>
          <w:szCs w:val="30"/>
        </w:rPr>
        <w:t>　　十、成交原则与方法。</w:t>
      </w:r>
    </w:p>
    <w:p>
      <w:pPr>
        <w:pageBreakBefore w:val="0"/>
        <w:widowControl w:val="0"/>
        <w:kinsoku/>
        <w:wordWrap/>
        <w:overflowPunct/>
        <w:topLinePunct w:val="0"/>
        <w:bidi w:val="0"/>
        <w:snapToGrid w:val="0"/>
        <w:spacing w:line="360" w:lineRule="auto"/>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w:t>
      </w:r>
      <w:r>
        <w:rPr>
          <w:rFonts w:hint="eastAsia" w:ascii="仿宋_GB2312" w:eastAsia="仿宋_GB2312"/>
          <w:b/>
          <w:bCs/>
          <w:sz w:val="30"/>
          <w:szCs w:val="30"/>
        </w:rPr>
        <w:t>（若出现税率不一致的情况，以除税价相对比）</w:t>
      </w:r>
      <w:r>
        <w:rPr>
          <w:rFonts w:hint="eastAsia" w:ascii="仿宋_GB2312" w:eastAsia="仿宋_GB2312"/>
          <w:sz w:val="30"/>
          <w:szCs w:val="30"/>
        </w:rPr>
        <w:t>。如果出现相同总金额最低报价情况时，总金额最低报价相同的供应商再进行一轮报价。如报价再相同，则由采购人抽签决定成交单位</w:t>
      </w:r>
      <w:r>
        <w:rPr>
          <w:rFonts w:hint="eastAsia" w:ascii="仿宋_GB2312" w:eastAsia="仿宋_GB2312"/>
          <w:b/>
          <w:bCs/>
          <w:sz w:val="30"/>
          <w:szCs w:val="30"/>
          <w:lang w:eastAsia="zh-CN"/>
        </w:rPr>
        <w:t>。</w:t>
      </w:r>
    </w:p>
    <w:p>
      <w:pPr>
        <w:pageBreakBefore w:val="0"/>
        <w:widowControl w:val="0"/>
        <w:kinsoku/>
        <w:wordWrap/>
        <w:overflowPunct/>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6"/>
        <w:pageBreakBefore w:val="0"/>
        <w:widowControl w:val="0"/>
        <w:kinsoku/>
        <w:wordWrap/>
        <w:overflowPunct/>
        <w:topLinePunct w:val="0"/>
        <w:bidi w:val="0"/>
        <w:snapToGrid w:val="0"/>
        <w:spacing w:line="360" w:lineRule="auto"/>
        <w:ind w:firstLine="601"/>
        <w:rPr>
          <w:rFonts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eastAsia="zh-CN"/>
        </w:rPr>
        <w:t>一</w:t>
      </w:r>
      <w:r>
        <w:rPr>
          <w:rFonts w:hint="eastAsia" w:ascii="仿宋_GB2312" w:eastAsia="仿宋_GB2312"/>
          <w:sz w:val="30"/>
          <w:szCs w:val="30"/>
        </w:rPr>
        <w:t>、合同</w:t>
      </w:r>
    </w:p>
    <w:p>
      <w:pPr>
        <w:pageBreakBefore w:val="0"/>
        <w:widowControl w:val="0"/>
        <w:kinsoku/>
        <w:wordWrap/>
        <w:overflowPunct/>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w:t>
      </w:r>
    </w:p>
    <w:p>
      <w:pPr>
        <w:pageBreakBefore w:val="0"/>
        <w:widowControl w:val="0"/>
        <w:kinsoku/>
        <w:wordWrap/>
        <w:overflowPunct/>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二</w:t>
      </w:r>
      <w:r>
        <w:rPr>
          <w:rFonts w:hint="eastAsia" w:ascii="仿宋_GB2312" w:hAnsi="宋体" w:eastAsia="仿宋_GB2312"/>
          <w:sz w:val="30"/>
          <w:szCs w:val="30"/>
        </w:rPr>
        <w:t>、其他。</w:t>
      </w:r>
    </w:p>
    <w:p>
      <w:pPr>
        <w:pageBreakBefore w:val="0"/>
        <w:widowControl w:val="0"/>
        <w:kinsoku/>
        <w:wordWrap/>
        <w:overflowPunct/>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w:t>
      </w:r>
    </w:p>
    <w:p>
      <w:pPr>
        <w:pageBreakBefore w:val="0"/>
        <w:widowControl w:val="0"/>
        <w:kinsoku/>
        <w:wordWrap/>
        <w:overflowPunct/>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widowControl w:val="0"/>
        <w:kinsoku/>
        <w:wordWrap/>
        <w:overflowPunct/>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1"/>
        <w:tblW w:w="9289" w:type="dxa"/>
        <w:tblInd w:w="93" w:type="dxa"/>
        <w:shd w:val="clear" w:color="auto" w:fill="auto"/>
        <w:tblLayout w:type="fixed"/>
        <w:tblCellMar>
          <w:top w:w="0" w:type="dxa"/>
          <w:left w:w="108" w:type="dxa"/>
          <w:bottom w:w="0" w:type="dxa"/>
          <w:right w:w="108" w:type="dxa"/>
        </w:tblCellMar>
      </w:tblPr>
      <w:tblGrid>
        <w:gridCol w:w="672"/>
        <w:gridCol w:w="1584"/>
        <w:gridCol w:w="3200"/>
        <w:gridCol w:w="1650"/>
        <w:gridCol w:w="1050"/>
        <w:gridCol w:w="1133"/>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序号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eastAsia="仿宋_GB2312" w:cs="Times New Roman"/>
                <w:color w:val="auto"/>
                <w:kern w:val="2"/>
                <w:sz w:val="30"/>
                <w:szCs w:val="30"/>
                <w:u w:color="000000"/>
                <w:lang w:val="en-US" w:eastAsia="zh-CN" w:bidi="ar-SA"/>
              </w:rPr>
              <w:t>备件</w:t>
            </w:r>
            <w:r>
              <w:rPr>
                <w:rFonts w:hint="eastAsia" w:ascii="仿宋_GB2312" w:hAnsi="Times New Roman" w:eastAsia="仿宋_GB2312" w:cs="Times New Roman"/>
                <w:color w:val="auto"/>
                <w:kern w:val="2"/>
                <w:sz w:val="30"/>
                <w:szCs w:val="30"/>
                <w:u w:color="000000"/>
                <w:lang w:val="en-US" w:eastAsia="zh-CN" w:bidi="ar-SA"/>
              </w:rPr>
              <w:t>名称</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规格型号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品牌/厂家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数量</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备注</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高热值废液喷枪</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LS 6/4" AA-H1S1, Length: 2231 mm 材质Aisi 316Ti / Alloy 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combustion solutions</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1个</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高热值废液喷嘴</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CS 6/4" SR-M  材质Alloy 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combustion solutions</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1个</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柴油喷枪</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600kg/h ，喷枪材质316L，喷嘴材质哈式合金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Eacoon</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 w:hAnsi="仿宋" w:eastAsia="仿宋" w:cs="仿宋"/>
                <w:i w:val="0"/>
                <w:iCs w:val="0"/>
                <w:color w:val="000000"/>
                <w:kern w:val="0"/>
                <w:sz w:val="24"/>
                <w:szCs w:val="24"/>
                <w:u w:val="none"/>
                <w:lang w:val="en-US" w:eastAsia="zh-CN" w:bidi="ar"/>
              </w:rPr>
            </w:pPr>
          </w:p>
        </w:tc>
      </w:tr>
    </w:tbl>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p>
    <w:p>
      <w:pPr>
        <w:pStyle w:val="16"/>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供货。供应商接到采购人送货通知后，</w:t>
      </w:r>
      <w:r>
        <w:rPr>
          <w:rFonts w:hint="eastAsia" w:ascii="仿宋_GB2312" w:eastAsia="仿宋_GB2312"/>
          <w:color w:val="auto"/>
          <w:kern w:val="2"/>
          <w:sz w:val="30"/>
          <w:szCs w:val="30"/>
          <w:lang w:val="en-US" w:eastAsia="zh-CN"/>
        </w:rPr>
        <w:t>90</w:t>
      </w:r>
      <w:r>
        <w:rPr>
          <w:rFonts w:hint="eastAsia" w:ascii="仿宋_GB2312" w:eastAsia="仿宋_GB2312"/>
          <w:color w:val="auto"/>
          <w:kern w:val="2"/>
          <w:sz w:val="30"/>
          <w:szCs w:val="30"/>
        </w:rPr>
        <w:t>日内将货物如数送至采购人指定地点</w:t>
      </w:r>
      <w:r>
        <w:rPr>
          <w:rFonts w:hint="eastAsia" w:ascii="仿宋_GB2312" w:eastAsia="仿宋_GB2312"/>
          <w:color w:val="auto"/>
          <w:kern w:val="2"/>
          <w:sz w:val="30"/>
          <w:szCs w:val="30"/>
          <w:lang w:eastAsia="zh-CN"/>
        </w:rPr>
        <w:t>。</w:t>
      </w:r>
    </w:p>
    <w:p>
      <w:pPr>
        <w:pStyle w:val="16"/>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按合同清单及技术标准验收。</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货到验收合格后，提供增值税发票后支付货款，具体详见合同条款</w:t>
      </w:r>
      <w:r>
        <w:rPr>
          <w:rFonts w:hint="eastAsia" w:ascii="仿宋_GB2312" w:eastAsia="仿宋_GB2312"/>
          <w:color w:val="auto"/>
          <w:kern w:val="2"/>
          <w:sz w:val="30"/>
          <w:szCs w:val="30"/>
        </w:rPr>
        <w:t>。</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7"/>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lang w:eastAsia="zh-CN"/>
        </w:rPr>
        <w:t>202</w:t>
      </w:r>
      <w:r>
        <w:rPr>
          <w:rFonts w:hint="eastAsia" w:ascii="仿宋_GB2312" w:eastAsia="仿宋_GB2312"/>
          <w:sz w:val="52"/>
          <w:lang w:val="en-US" w:eastAsia="zh-CN"/>
        </w:rPr>
        <w:t>2</w:t>
      </w:r>
      <w:r>
        <w:rPr>
          <w:rFonts w:hint="eastAsia" w:ascii="仿宋_GB2312" w:eastAsia="仿宋_GB2312"/>
          <w:sz w:val="52"/>
          <w:lang w:eastAsia="zh-CN"/>
        </w:rPr>
        <w:t>年</w:t>
      </w:r>
      <w:r>
        <w:rPr>
          <w:rFonts w:hint="eastAsia" w:ascii="仿宋_GB2312" w:eastAsia="仿宋_GB2312"/>
          <w:sz w:val="52"/>
        </w:rPr>
        <w:t>临江公司</w:t>
      </w:r>
      <w:r>
        <w:rPr>
          <w:rFonts w:hint="default" w:ascii="仿宋_GB2312" w:eastAsia="仿宋_GB2312"/>
          <w:sz w:val="52"/>
          <w:lang w:val="en-US" w:eastAsia="zh-CN"/>
        </w:rPr>
        <w:t>高热值及柴油喷枪</w:t>
      </w:r>
    </w:p>
    <w:p>
      <w:pPr>
        <w:spacing w:line="360" w:lineRule="auto"/>
        <w:jc w:val="center"/>
        <w:rPr>
          <w:rFonts w:hint="default" w:ascii="仿宋_GB2312" w:eastAsia="仿宋_GB2312"/>
          <w:sz w:val="52"/>
          <w:lang w:val="en-US" w:eastAsia="zh-CN"/>
        </w:rPr>
      </w:pPr>
      <w:r>
        <w:rPr>
          <w:rFonts w:hint="eastAsia" w:ascii="仿宋_GB2312" w:eastAsia="仿宋_GB2312"/>
          <w:sz w:val="52"/>
        </w:rPr>
        <w:t>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202208008</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lang w:eastAsia="zh-CN"/>
        </w:rPr>
        <w:t>202</w:t>
      </w:r>
      <w:r>
        <w:rPr>
          <w:rFonts w:hint="eastAsia" w:ascii="仿宋_GB2312" w:hAnsi="宋体" w:eastAsia="仿宋_GB2312"/>
          <w:sz w:val="36"/>
          <w:lang w:val="en-US" w:eastAsia="zh-CN"/>
        </w:rPr>
        <w:t>2</w:t>
      </w:r>
      <w:r>
        <w:rPr>
          <w:rFonts w:hint="eastAsia" w:ascii="仿宋_GB2312" w:hAnsi="宋体" w:eastAsia="仿宋_GB2312"/>
          <w:sz w:val="36"/>
          <w:lang w:eastAsia="zh-CN"/>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default" w:ascii="仿宋_GB2312" w:hAnsi="宋体" w:eastAsia="仿宋_GB2312"/>
          <w:sz w:val="36"/>
          <w:lang w:val="en-US"/>
        </w:rPr>
        <w:t xml:space="preserve"> </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7"/>
          <w:rFonts w:ascii="仿宋_GB2312" w:eastAsia="仿宋_GB2312"/>
          <w:sz w:val="30"/>
        </w:rPr>
      </w:pPr>
      <w:r>
        <w:rPr>
          <w:rStyle w:val="17"/>
          <w:rFonts w:ascii="仿宋_GB2312" w:eastAsia="仿宋_GB2312"/>
          <w:sz w:val="30"/>
        </w:rPr>
        <w:br w:type="page"/>
      </w:r>
      <w:r>
        <w:rPr>
          <w:rStyle w:val="17"/>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lang w:eastAsia="zh-CN"/>
        </w:rPr>
        <w:t>202</w:t>
      </w:r>
      <w:r>
        <w:rPr>
          <w:rFonts w:hint="eastAsia" w:ascii="仿宋_GB2312" w:eastAsia="仿宋_GB2312"/>
          <w:sz w:val="30"/>
          <w:u w:val="single"/>
          <w:lang w:val="en-US" w:eastAsia="zh-CN"/>
        </w:rPr>
        <w:t>2</w:t>
      </w:r>
      <w:r>
        <w:rPr>
          <w:rFonts w:hint="eastAsia" w:ascii="仿宋_GB2312" w:eastAsia="仿宋_GB2312"/>
          <w:sz w:val="30"/>
          <w:u w:val="single"/>
          <w:lang w:eastAsia="zh-CN"/>
        </w:rPr>
        <w:t>年</w:t>
      </w:r>
      <w:r>
        <w:rPr>
          <w:rFonts w:hint="eastAsia" w:ascii="仿宋_GB2312" w:eastAsia="仿宋_GB2312"/>
          <w:sz w:val="30"/>
          <w:u w:val="single"/>
        </w:rPr>
        <w:t>临江公司</w:t>
      </w:r>
      <w:r>
        <w:rPr>
          <w:rFonts w:hint="default" w:ascii="仿宋_GB2312" w:eastAsia="仿宋_GB2312"/>
          <w:sz w:val="30"/>
          <w:u w:val="single"/>
          <w:lang w:val="en-US" w:eastAsia="zh-CN"/>
        </w:rPr>
        <w:t>高热值及柴油喷枪</w:t>
      </w:r>
      <w:r>
        <w:rPr>
          <w:rFonts w:hint="eastAsia" w:ascii="仿宋_GB2312" w:eastAsia="仿宋_GB2312"/>
          <w:sz w:val="30"/>
          <w:u w:val="single"/>
        </w:rPr>
        <w:t>采购</w:t>
      </w:r>
      <w:r>
        <w:rPr>
          <w:rFonts w:hint="eastAsia" w:ascii="仿宋_GB2312" w:eastAsia="仿宋_GB2312"/>
          <w:sz w:val="30"/>
        </w:rPr>
        <w:t>编号为</w:t>
      </w:r>
      <w:r>
        <w:rPr>
          <w:rFonts w:hint="default" w:ascii="仿宋_GB2312" w:eastAsia="仿宋_GB2312"/>
          <w:sz w:val="30"/>
          <w:u w:val="single"/>
          <w:lang w:val="en-US" w:eastAsia="zh-CN"/>
        </w:rPr>
        <w:t>202208008</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eastAsia" w:ascii="仿宋_GB2312" w:eastAsia="仿宋_GB2312"/>
          <w:sz w:val="30"/>
          <w:u w:val="single"/>
          <w:lang w:eastAsia="zh-CN"/>
        </w:rPr>
        <w:t>202</w:t>
      </w:r>
      <w:r>
        <w:rPr>
          <w:rFonts w:hint="eastAsia" w:ascii="仿宋_GB2312" w:eastAsia="仿宋_GB2312"/>
          <w:sz w:val="30"/>
          <w:u w:val="single"/>
          <w:lang w:val="en-US" w:eastAsia="zh-CN"/>
        </w:rPr>
        <w:t>2</w:t>
      </w:r>
      <w:r>
        <w:rPr>
          <w:rFonts w:hint="eastAsia" w:ascii="仿宋_GB2312" w:eastAsia="仿宋_GB2312"/>
          <w:sz w:val="30"/>
          <w:u w:val="single"/>
          <w:lang w:eastAsia="zh-CN"/>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7"/>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7"/>
          <w:rFonts w:ascii="仿宋_GB2312" w:eastAsia="仿宋_GB2312"/>
          <w:sz w:val="30"/>
        </w:rPr>
      </w:pPr>
      <w:r>
        <w:rPr>
          <w:rStyle w:val="17"/>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8"/>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2022年临江公司</w:t>
      </w:r>
      <w:r>
        <w:rPr>
          <w:rFonts w:hint="default" w:ascii="仿宋_GB2312" w:eastAsia="仿宋_GB2312"/>
          <w:sz w:val="30"/>
          <w:szCs w:val="30"/>
          <w:u w:val="single"/>
          <w:lang w:val="en-US" w:eastAsia="zh-CN"/>
        </w:rPr>
        <w:t>高热值及柴油喷枪</w:t>
      </w:r>
      <w:r>
        <w:rPr>
          <w:rFonts w:hint="eastAsia" w:ascii="仿宋_GB2312" w:eastAsia="仿宋_GB2312"/>
          <w:sz w:val="30"/>
          <w:szCs w:val="30"/>
          <w:u w:val="single"/>
          <w:lang w:val="en-US" w:eastAsia="zh-CN"/>
        </w:rPr>
        <w:t xml:space="preserve">采购 </w:t>
      </w:r>
      <w:r>
        <w:rPr>
          <w:rFonts w:hint="eastAsia" w:ascii="仿宋_GB2312" w:eastAsia="仿宋_GB2312"/>
          <w:sz w:val="30"/>
          <w:szCs w:val="30"/>
          <w:u w:val="none"/>
          <w:lang w:val="en-US" w:eastAsia="zh-CN"/>
        </w:rPr>
        <w:t>项目</w:t>
      </w:r>
      <w:r>
        <w:rPr>
          <w:rFonts w:hint="eastAsia" w:ascii="仿宋_GB2312" w:eastAsia="仿宋_GB2312"/>
          <w:sz w:val="30"/>
          <w:szCs w:val="30"/>
        </w:rPr>
        <w:t>，</w:t>
      </w:r>
      <w:r>
        <w:rPr>
          <w:rFonts w:hint="eastAsia" w:ascii="仿宋_GB2312" w:eastAsia="仿宋_GB2312"/>
          <w:sz w:val="30"/>
          <w:szCs w:val="30"/>
          <w:lang w:eastAsia="zh-CN"/>
        </w:rPr>
        <w:t>限额为</w:t>
      </w:r>
      <w:r>
        <w:rPr>
          <w:rFonts w:hint="eastAsia" w:ascii="仿宋_GB2312" w:eastAsia="仿宋_GB2312"/>
          <w:sz w:val="30"/>
          <w:szCs w:val="30"/>
          <w:u w:val="single"/>
          <w:lang w:val="en-US" w:eastAsia="zh-CN"/>
        </w:rPr>
        <w:t>13.29</w:t>
      </w:r>
      <w:r>
        <w:rPr>
          <w:rFonts w:hint="eastAsia" w:ascii="仿宋_GB2312" w:eastAsia="仿宋_GB2312"/>
          <w:sz w:val="30"/>
          <w:szCs w:val="30"/>
          <w:lang w:val="en-US" w:eastAsia="zh-CN"/>
        </w:rPr>
        <w:t>万元。</w:t>
      </w:r>
    </w:p>
    <w:p>
      <w:pPr>
        <w:snapToGrid w:val="0"/>
        <w:ind w:firstLine="600" w:firstLineChars="200"/>
        <w:jc w:val="left"/>
        <w:rPr>
          <w:sz w:val="30"/>
          <w:szCs w:val="30"/>
        </w:rPr>
      </w:pP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 xml:space="preserve">元，税率为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 xml:space="preserve"> %）</w:t>
      </w:r>
    </w:p>
    <w:tbl>
      <w:tblPr>
        <w:tblStyle w:val="11"/>
        <w:tblW w:w="8994" w:type="dxa"/>
        <w:tblInd w:w="-81" w:type="dxa"/>
        <w:shd w:val="clear" w:color="auto" w:fill="auto"/>
        <w:tblLayout w:type="fixed"/>
        <w:tblCellMar>
          <w:top w:w="0" w:type="dxa"/>
          <w:left w:w="108" w:type="dxa"/>
          <w:bottom w:w="0" w:type="dxa"/>
          <w:right w:w="108" w:type="dxa"/>
        </w:tblCellMar>
      </w:tblPr>
      <w:tblGrid>
        <w:gridCol w:w="756"/>
        <w:gridCol w:w="1238"/>
        <w:gridCol w:w="2737"/>
        <w:gridCol w:w="1475"/>
        <w:gridCol w:w="700"/>
        <w:gridCol w:w="825"/>
        <w:gridCol w:w="1263"/>
      </w:tblGrid>
      <w:tr>
        <w:tblPrEx>
          <w:shd w:val="clear" w:color="auto" w:fill="auto"/>
          <w:tblCellMar>
            <w:top w:w="0" w:type="dxa"/>
            <w:left w:w="108" w:type="dxa"/>
            <w:bottom w:w="0" w:type="dxa"/>
            <w:right w:w="108" w:type="dxa"/>
          </w:tblCellMar>
        </w:tblPrEx>
        <w:trPr>
          <w:trHeight w:val="10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备件名称</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品牌/厂家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shd w:val="clear" w:color="auto" w:fill="auto"/>
          <w:tblCellMar>
            <w:top w:w="0" w:type="dxa"/>
            <w:left w:w="108" w:type="dxa"/>
            <w:bottom w:w="0" w:type="dxa"/>
            <w:right w:w="108" w:type="dxa"/>
          </w:tblCellMar>
        </w:tblPrEx>
        <w:trPr>
          <w:trHeight w:val="1437"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高热值废液喷枪</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LS 6/4" AA-H1S1, Length: 2231 mm 材质Aisi 316Ti / Alloy 600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combustion solutions</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p>
        </w:tc>
      </w:tr>
      <w:tr>
        <w:tblPrEx>
          <w:tblCellMar>
            <w:top w:w="0" w:type="dxa"/>
            <w:left w:w="108" w:type="dxa"/>
            <w:bottom w:w="0" w:type="dxa"/>
            <w:right w:w="108" w:type="dxa"/>
          </w:tblCellMar>
        </w:tblPrEx>
        <w:trPr>
          <w:trHeight w:val="12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高热值废液喷嘴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CS 6/4" SR-M  材质Alloy 600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combustion solutions</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p>
        </w:tc>
      </w:tr>
      <w:tr>
        <w:tblPrEx>
          <w:tblCellMar>
            <w:top w:w="0" w:type="dxa"/>
            <w:left w:w="108" w:type="dxa"/>
            <w:bottom w:w="0" w:type="dxa"/>
            <w:right w:w="108" w:type="dxa"/>
          </w:tblCellMar>
        </w:tblPrEx>
        <w:trPr>
          <w:trHeight w:val="108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柴油喷枪</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600kg/h ， 喷枪材质316L，喷嘴材质哈式合金</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Eacoon</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1套</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p>
        </w:tc>
      </w:tr>
      <w:tr>
        <w:tblPrEx>
          <w:tblCellMar>
            <w:top w:w="0" w:type="dxa"/>
            <w:left w:w="108" w:type="dxa"/>
            <w:bottom w:w="0" w:type="dxa"/>
            <w:right w:w="108" w:type="dxa"/>
          </w:tblCellMar>
        </w:tblPrEx>
        <w:trPr>
          <w:trHeight w:val="78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ind w:left="0" w:leftChars="0" w:firstLine="0" w:firstLine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p>
        </w:tc>
      </w:tr>
    </w:tbl>
    <w:p>
      <w:pPr>
        <w:pStyle w:val="2"/>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24"/>
          <w:szCs w:val="24"/>
        </w:rPr>
      </w:pPr>
      <w:r>
        <w:rPr>
          <w:rFonts w:hint="eastAsia" w:ascii="仿宋_GB2312" w:eastAsia="仿宋_GB2312"/>
          <w:b/>
          <w:bCs/>
          <w:sz w:val="24"/>
          <w:szCs w:val="24"/>
        </w:rPr>
        <w:t>相关要求：</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_GB2312" w:eastAsia="仿宋_GB2312"/>
          <w:sz w:val="24"/>
          <w:szCs w:val="24"/>
        </w:rPr>
      </w:pPr>
      <w:r>
        <w:rPr>
          <w:rFonts w:hint="eastAsia" w:ascii="仿宋_GB2312" w:eastAsia="仿宋_GB2312"/>
          <w:sz w:val="24"/>
          <w:szCs w:val="24"/>
        </w:rPr>
        <w:t>本项目报价包含全部的</w:t>
      </w:r>
      <w:r>
        <w:rPr>
          <w:rFonts w:hint="eastAsia" w:ascii="仿宋_GB2312" w:eastAsia="仿宋_GB2312"/>
          <w:sz w:val="24"/>
          <w:szCs w:val="24"/>
          <w:lang w:eastAsia="zh-CN"/>
        </w:rPr>
        <w:t>货款、运费、</w:t>
      </w:r>
      <w:r>
        <w:rPr>
          <w:rFonts w:hint="eastAsia" w:ascii="仿宋_GB2312" w:eastAsia="仿宋_GB2312"/>
          <w:sz w:val="24"/>
          <w:szCs w:val="24"/>
        </w:rPr>
        <w:t>税</w:t>
      </w:r>
      <w:r>
        <w:rPr>
          <w:rFonts w:hint="eastAsia" w:ascii="仿宋_GB2312" w:eastAsia="仿宋_GB2312"/>
          <w:sz w:val="24"/>
          <w:szCs w:val="24"/>
          <w:lang w:eastAsia="zh-CN"/>
        </w:rPr>
        <w:t>金</w:t>
      </w:r>
      <w:r>
        <w:rPr>
          <w:rFonts w:hint="eastAsia" w:ascii="仿宋_GB2312" w:eastAsia="仿宋_GB2312"/>
          <w:sz w:val="24"/>
          <w:szCs w:val="24"/>
        </w:rPr>
        <w:t>等一切费用</w:t>
      </w:r>
      <w:r>
        <w:rPr>
          <w:rFonts w:hint="eastAsia" w:ascii="仿宋_GB2312" w:eastAsia="仿宋_GB2312"/>
          <w:sz w:val="24"/>
          <w:szCs w:val="24"/>
          <w:lang w:eastAsia="zh-CN"/>
        </w:rPr>
        <w:t>，发票必须为增值税专用发票</w:t>
      </w:r>
      <w:r>
        <w:rPr>
          <w:rFonts w:hint="eastAsia" w:ascii="仿宋_GB2312" w:eastAsia="仿宋_GB2312"/>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default" w:ascii="仿宋_GB2312" w:eastAsia="仿宋_GB2312"/>
          <w:sz w:val="24"/>
          <w:szCs w:val="24"/>
          <w:lang w:val="en-US" w:eastAsia="zh-CN"/>
        </w:rPr>
      </w:pPr>
      <w:r>
        <w:rPr>
          <w:rFonts w:hint="eastAsia" w:ascii="仿宋_GB2312" w:hAnsi="Times New Roman" w:eastAsia="仿宋_GB2312" w:cs="Times New Roman"/>
          <w:sz w:val="24"/>
          <w:szCs w:val="24"/>
          <w:lang w:val="en-US" w:eastAsia="zh-CN"/>
        </w:rPr>
        <w:t>报价总金额不得超过限额，否则为无效报价。</w:t>
      </w:r>
      <w:r>
        <w:rPr>
          <w:rFonts w:hint="eastAsia" w:ascii="仿宋_GB2312" w:hAnsi="Times New Roman" w:eastAsia="仿宋_GB2312" w:cs="Times New Roman"/>
          <w:sz w:val="24"/>
          <w:szCs w:val="24"/>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供货期限为一次性供货。</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center"/>
        <w:rPr>
          <w:rFonts w:ascii="仿宋_GB2312" w:eastAsia="仿宋_GB2312"/>
          <w:sz w:val="24"/>
          <w:szCs w:val="24"/>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w:t>
      </w:r>
      <w:r>
        <w:rPr>
          <w:rFonts w:hint="eastAsia" w:ascii="仿宋_GB2312" w:eastAsia="仿宋_GB2312"/>
          <w:sz w:val="24"/>
          <w:szCs w:val="24"/>
          <w:lang w:eastAsia="zh-CN"/>
        </w:rPr>
        <w:t>202</w:t>
      </w:r>
      <w:r>
        <w:rPr>
          <w:rFonts w:hint="eastAsia" w:ascii="仿宋_GB2312" w:eastAsia="仿宋_GB2312"/>
          <w:sz w:val="24"/>
          <w:szCs w:val="24"/>
          <w:lang w:val="en-US" w:eastAsia="zh-CN"/>
        </w:rPr>
        <w:t>2</w:t>
      </w:r>
      <w:r>
        <w:rPr>
          <w:rFonts w:hint="eastAsia" w:ascii="仿宋_GB2312" w:eastAsia="仿宋_GB2312"/>
          <w:sz w:val="24"/>
          <w:szCs w:val="24"/>
          <w:lang w:eastAsia="zh-CN"/>
        </w:rPr>
        <w:t>年</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月</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日</w:t>
      </w:r>
    </w:p>
    <w:p>
      <w:pPr>
        <w:spacing w:line="480" w:lineRule="auto"/>
        <w:jc w:val="left"/>
        <w:rPr>
          <w:rFonts w:ascii="仿宋_GB2312" w:eastAsia="仿宋_GB2312"/>
          <w:b/>
          <w:spacing w:val="-2"/>
          <w:sz w:val="30"/>
        </w:rPr>
      </w:pPr>
      <w:bookmarkStart w:id="11" w:name="_Toc103165678"/>
      <w:bookmarkStart w:id="12" w:name="_Toc108839328"/>
      <w:r>
        <w:rPr>
          <w:rStyle w:val="17"/>
          <w:rFonts w:hint="eastAsia" w:ascii="仿宋_GB2312" w:eastAsia="仿宋_GB2312"/>
          <w:sz w:val="30"/>
        </w:rPr>
        <w:t>附件</w:t>
      </w:r>
      <w:bookmarkEnd w:id="11"/>
      <w:bookmarkEnd w:id="12"/>
      <w:r>
        <w:rPr>
          <w:rStyle w:val="17"/>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lang w:eastAsia="zh-CN"/>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lang w:eastAsia="zh-CN"/>
        </w:rPr>
        <w:t>年</w:t>
      </w:r>
      <w:r>
        <w:rPr>
          <w:rFonts w:hint="eastAsia" w:ascii="仿宋_GB2312" w:eastAsia="仿宋_GB2312"/>
          <w:sz w:val="28"/>
          <w:szCs w:val="28"/>
          <w:u w:val="single"/>
        </w:rPr>
        <w:t>临江公司</w:t>
      </w:r>
      <w:r>
        <w:rPr>
          <w:rFonts w:hint="default" w:ascii="仿宋_GB2312" w:eastAsia="仿宋_GB2312"/>
          <w:sz w:val="28"/>
          <w:szCs w:val="28"/>
          <w:u w:val="single"/>
          <w:lang w:val="en-US" w:eastAsia="zh-CN"/>
        </w:rPr>
        <w:t>高热值及柴油喷枪</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640" w:firstLineChars="13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
      <w:pPr>
        <w:pStyle w:val="2"/>
      </w:pPr>
    </w:p>
    <w:p/>
    <w:p>
      <w:pPr>
        <w:spacing w:line="480" w:lineRule="auto"/>
        <w:jc w:val="left"/>
        <w:rPr>
          <w:rStyle w:val="17"/>
          <w:rFonts w:hint="eastAsia" w:ascii="仿宋_GB2312" w:eastAsia="仿宋_GB2312"/>
          <w:sz w:val="30"/>
          <w:lang w:val="en-US" w:eastAsia="zh-CN"/>
        </w:rPr>
      </w:pPr>
      <w:r>
        <w:rPr>
          <w:rStyle w:val="17"/>
          <w:rFonts w:hint="eastAsia" w:ascii="仿宋_GB2312" w:eastAsia="仿宋_GB2312"/>
          <w:sz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left"/>
        <w:rPr>
          <w:rStyle w:val="17"/>
          <w:rFonts w:ascii="仿宋_GB2312" w:eastAsia="仿宋_GB2312"/>
          <w:sz w:val="30"/>
          <w:szCs w:val="22"/>
          <w:lang w:val="en-GB"/>
        </w:rPr>
      </w:pPr>
      <w:bookmarkStart w:id="13" w:name="_Toc473012596"/>
      <w:bookmarkStart w:id="14" w:name="_Toc509228412"/>
      <w:bookmarkStart w:id="15" w:name="_Toc509229875"/>
      <w:r>
        <w:rPr>
          <w:rStyle w:val="17"/>
          <w:rFonts w:hint="eastAsia" w:ascii="仿宋_GB2312" w:eastAsia="仿宋_GB2312"/>
          <w:sz w:val="30"/>
          <w:szCs w:val="22"/>
          <w:lang w:val="en-GB"/>
        </w:rPr>
        <w:t>附件六</w:t>
      </w:r>
    </w:p>
    <w:p>
      <w:pPr>
        <w:pStyle w:val="10"/>
        <w:spacing w:line="360" w:lineRule="auto"/>
        <w:rPr>
          <w:rStyle w:val="17"/>
          <w:rFonts w:hint="eastAsia"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3"/>
      <w:bookmarkEnd w:id="14"/>
      <w:bookmarkEnd w:id="15"/>
      <w:r>
        <w:rPr>
          <w:rStyle w:val="17"/>
          <w:rFonts w:hint="eastAsia" w:ascii="仿宋" w:hAnsi="仿宋" w:eastAsia="仿宋" w:cs="仿宋"/>
          <w:b/>
          <w:spacing w:val="0"/>
          <w:sz w:val="44"/>
          <w:lang w:val="en-GB"/>
        </w:rPr>
        <w:t>基本条款</w:t>
      </w:r>
    </w:p>
    <w:p>
      <w:pPr>
        <w:spacing w:line="360" w:lineRule="auto"/>
        <w:ind w:firstLine="520" w:firstLineChars="217"/>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 xml:space="preserve">甲方：  杭州临江环境能源有限公司 </w:t>
      </w:r>
    </w:p>
    <w:p>
      <w:pPr>
        <w:spacing w:line="360" w:lineRule="auto"/>
        <w:ind w:firstLine="520" w:firstLineChars="217"/>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乙方：</w:t>
      </w:r>
    </w:p>
    <w:p>
      <w:pPr>
        <w:numPr>
          <w:ilvl w:val="0"/>
          <w:numId w:val="0"/>
        </w:numPr>
        <w:ind w:leftChars="0"/>
        <w:rPr>
          <w:rFonts w:hint="eastAsia" w:ascii="仿宋" w:hAnsi="仿宋" w:eastAsia="仿宋" w:cs="仿宋"/>
          <w:color w:val="000000"/>
          <w:sz w:val="24"/>
          <w:lang w:val="en-US" w:eastAsia="zh-CN"/>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根据《中华人民共和国民法典》等法律要求，双方经协商一致，</w:t>
      </w:r>
      <w:r>
        <w:rPr>
          <w:rFonts w:hint="eastAsia" w:ascii="仿宋_GB2312" w:hAnsi="宋体" w:eastAsia="仿宋_GB2312"/>
          <w:sz w:val="24"/>
          <w:szCs w:val="24"/>
        </w:rPr>
        <w:t>就甲方向乙方采购</w:t>
      </w:r>
      <w:r>
        <w:rPr>
          <w:rFonts w:hint="default" w:ascii="仿宋_GB2312" w:hAnsi="宋体" w:eastAsia="仿宋_GB2312"/>
          <w:sz w:val="24"/>
          <w:szCs w:val="24"/>
          <w:lang w:val="en-US" w:eastAsia="zh-CN"/>
        </w:rPr>
        <w:t>高热值及柴油喷枪</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hint="eastAsia" w:ascii="仿宋" w:hAnsi="仿宋" w:eastAsia="仿宋" w:cs="仿宋"/>
          <w:color w:val="000000"/>
          <w:sz w:val="24"/>
        </w:rPr>
      </w:pPr>
      <w:r>
        <w:rPr>
          <w:rFonts w:hint="eastAsia" w:ascii="仿宋_GB2312" w:hAnsi="宋体" w:eastAsia="仿宋_GB2312"/>
          <w:sz w:val="24"/>
          <w:szCs w:val="24"/>
        </w:rPr>
        <w:t>一、产品名称、技术指标、单价、数量、总价（税率为   %）</w:t>
      </w:r>
    </w:p>
    <w:tbl>
      <w:tblPr>
        <w:tblStyle w:val="11"/>
        <w:tblW w:w="9155" w:type="dxa"/>
        <w:tblInd w:w="-81" w:type="dxa"/>
        <w:shd w:val="clear" w:color="auto" w:fill="auto"/>
        <w:tblLayout w:type="fixed"/>
        <w:tblCellMar>
          <w:top w:w="0" w:type="dxa"/>
          <w:left w:w="108" w:type="dxa"/>
          <w:bottom w:w="0" w:type="dxa"/>
          <w:right w:w="108" w:type="dxa"/>
        </w:tblCellMar>
      </w:tblPr>
      <w:tblGrid>
        <w:gridCol w:w="651"/>
        <w:gridCol w:w="1517"/>
        <w:gridCol w:w="2200"/>
        <w:gridCol w:w="1877"/>
        <w:gridCol w:w="785"/>
        <w:gridCol w:w="1000"/>
        <w:gridCol w:w="1125"/>
      </w:tblGrid>
      <w:tr>
        <w:tblPrEx>
          <w:shd w:val="clear" w:color="auto" w:fill="auto"/>
          <w:tblCellMar>
            <w:top w:w="0" w:type="dxa"/>
            <w:left w:w="108" w:type="dxa"/>
            <w:bottom w:w="0" w:type="dxa"/>
            <w:right w:w="108" w:type="dxa"/>
          </w:tblCellMar>
        </w:tblPrEx>
        <w:trPr>
          <w:trHeight w:val="10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名称</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firstLine="480" w:firstLineChars="20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规格型号</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品牌/厂家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金额（元）</w:t>
            </w:r>
          </w:p>
        </w:tc>
      </w:tr>
      <w:tr>
        <w:tblPrEx>
          <w:tblCellMar>
            <w:top w:w="0" w:type="dxa"/>
            <w:left w:w="108" w:type="dxa"/>
            <w:bottom w:w="0" w:type="dxa"/>
            <w:right w:w="108" w:type="dxa"/>
          </w:tblCellMar>
        </w:tblPrEx>
        <w:trPr>
          <w:trHeight w:val="133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ind w:left="0" w:leftChars="0" w:firstLine="0" w:firstLineChars="0"/>
              <w:jc w:val="center"/>
              <w:rPr>
                <w:rFonts w:hint="eastAsia" w:ascii="仿宋_GB2312" w:hAnsi="Times New Roman" w:eastAsia="仿宋_GB2312" w:cs="Times New Roman"/>
                <w:sz w:val="24"/>
                <w:szCs w:val="24"/>
              </w:rPr>
            </w:pPr>
            <w:r>
              <w:rPr>
                <w:rFonts w:hint="eastAsia" w:ascii="仿宋" w:hAnsi="仿宋" w:eastAsia="仿宋" w:cs="仿宋"/>
                <w:i w:val="0"/>
                <w:iCs w:val="0"/>
                <w:color w:val="000000"/>
                <w:kern w:val="0"/>
                <w:sz w:val="24"/>
                <w:szCs w:val="24"/>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高热值废液喷枪</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LS 6/4" AA-H1S1, Length: 2231 mm 材质Aisi 316Ti / Alloy 600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combustion solutions</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1个</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rPr>
            </w:pPr>
          </w:p>
        </w:tc>
      </w:tr>
      <w:tr>
        <w:tblPrEx>
          <w:tblCellMar>
            <w:top w:w="0" w:type="dxa"/>
            <w:left w:w="108" w:type="dxa"/>
            <w:bottom w:w="0" w:type="dxa"/>
            <w:right w:w="108" w:type="dxa"/>
          </w:tblCellMar>
        </w:tblPrEx>
        <w:trPr>
          <w:trHeight w:val="74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ind w:left="0" w:leftChars="0" w:firstLine="0" w:firstLineChars="0"/>
              <w:jc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高热值废液喷嘴</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CS 6/4" SR-M  材质Alloy 600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combustion solutions</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1个</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rPr>
            </w:pPr>
          </w:p>
        </w:tc>
      </w:tr>
      <w:tr>
        <w:tblPrEx>
          <w:tblCellMar>
            <w:top w:w="0" w:type="dxa"/>
            <w:left w:w="108" w:type="dxa"/>
            <w:bottom w:w="0" w:type="dxa"/>
            <w:right w:w="108" w:type="dxa"/>
          </w:tblCellMar>
        </w:tblPrEx>
        <w:trPr>
          <w:trHeight w:val="77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ind w:left="0" w:leftChars="0" w:firstLine="0" w:firstLineChars="0"/>
              <w:jc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default" w:ascii="仿宋_GB2312"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柴油喷枪</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600kg/h ， 喷枪材质316L，喷嘴材质哈式合金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Eacoon</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_GB2312" w:hAnsi="Times New Roman" w:eastAsia="仿宋_GB2312"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1套</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rPr>
            </w:pPr>
          </w:p>
        </w:tc>
      </w:tr>
      <w:tr>
        <w:tblPrEx>
          <w:tblCellMar>
            <w:top w:w="0" w:type="dxa"/>
            <w:left w:w="108" w:type="dxa"/>
            <w:bottom w:w="0" w:type="dxa"/>
            <w:right w:w="108" w:type="dxa"/>
          </w:tblCellMar>
        </w:tblPrEx>
        <w:trPr>
          <w:trHeight w:val="5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ind w:left="0" w:leftChars="0" w:firstLine="0" w:firstLine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rPr>
            </w:pP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w:t>
      </w:r>
      <w:r>
        <w:rPr>
          <w:rFonts w:hint="eastAsia" w:ascii="仿宋_GB2312" w:hAnsi="宋体" w:eastAsia="仿宋_GB2312"/>
          <w:sz w:val="24"/>
          <w:szCs w:val="24"/>
          <w:lang w:eastAsia="zh-CN"/>
        </w:rPr>
        <w:t>税金</w:t>
      </w:r>
      <w:r>
        <w:rPr>
          <w:rFonts w:hint="eastAsia" w:ascii="仿宋_GB2312" w:hAnsi="宋体" w:eastAsia="仿宋_GB2312"/>
          <w:sz w:val="24"/>
          <w:szCs w:val="24"/>
        </w:rPr>
        <w:t>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为一次性合同，乙方按照合同约定数量一次性供货后合同自动终止</w:t>
      </w:r>
      <w:r>
        <w:rPr>
          <w:rFonts w:hint="eastAsia" w:ascii="仿宋_GB2312" w:hAnsi="宋体" w:eastAsia="仿宋_GB2312"/>
          <w:sz w:val="24"/>
          <w:szCs w:val="24"/>
        </w:rPr>
        <w:t xml:space="preserve">。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lang w:val="en-US" w:eastAsia="zh-CN"/>
        </w:rPr>
        <w:t>.</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90</w:t>
      </w:r>
      <w:r>
        <w:rPr>
          <w:rFonts w:hint="eastAsia" w:ascii="仿宋_GB2312" w:hAnsi="宋体" w:eastAsia="仿宋_GB2312" w:cs="宋体"/>
          <w:kern w:val="0"/>
          <w:sz w:val="24"/>
          <w:szCs w:val="22"/>
        </w:rPr>
        <w:t>个工作日内完成供货。乙方须提供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cs="宋体"/>
          <w:kern w:val="0"/>
          <w:sz w:val="24"/>
          <w:lang w:val="en-US" w:eastAsia="zh-CN"/>
        </w:rPr>
        <w:t>.</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w:t>
      </w:r>
      <w:r>
        <w:rPr>
          <w:rFonts w:hint="eastAsia" w:ascii="仿宋_GB2312" w:hAnsi="宋体" w:eastAsia="仿宋_GB2312" w:cs="宋体"/>
          <w:kern w:val="0"/>
          <w:sz w:val="24"/>
          <w:szCs w:val="22"/>
        </w:rPr>
        <w:t>签字确认。</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lang w:eastAsia="zh-CN"/>
        </w:rPr>
        <w:t>四</w:t>
      </w:r>
      <w:r>
        <w:rPr>
          <w:rFonts w:hint="eastAsia" w:ascii="仿宋_GB2312" w:eastAsia="仿宋_GB2312"/>
          <w:b w:val="0"/>
          <w:bCs/>
          <w:caps w:val="0"/>
          <w:sz w:val="24"/>
          <w:szCs w:val="24"/>
        </w:rPr>
        <w:t>、履约保证金。</w:t>
      </w:r>
    </w:p>
    <w:p>
      <w:pPr>
        <w:pStyle w:val="2"/>
        <w:spacing w:line="360" w:lineRule="auto"/>
        <w:ind w:firstLine="480" w:firstLineChars="200"/>
        <w:rPr>
          <w:rFonts w:hint="eastAsia"/>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w:t>
      </w:r>
      <w:r>
        <w:rPr>
          <w:rFonts w:hint="eastAsia" w:ascii="仿宋_GB2312" w:eastAsia="仿宋_GB2312"/>
          <w:b w:val="0"/>
          <w:caps w:val="0"/>
          <w:sz w:val="24"/>
          <w:szCs w:val="24"/>
          <w:lang w:val="en-US" w:eastAsia="zh-CN"/>
        </w:rPr>
        <w:t>供货完成后</w:t>
      </w:r>
      <w:r>
        <w:rPr>
          <w:rFonts w:hint="eastAsia" w:ascii="仿宋_GB2312" w:eastAsia="仿宋_GB2312"/>
          <w:b w:val="0"/>
          <w:caps w:val="0"/>
          <w:sz w:val="24"/>
          <w:szCs w:val="24"/>
        </w:rPr>
        <w:t>甲方原额无息退还履约保证金。</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szCs w:val="22"/>
          <w:lang w:eastAsia="zh-CN"/>
        </w:rPr>
        <w:t>五</w:t>
      </w:r>
      <w:r>
        <w:rPr>
          <w:rFonts w:hint="eastAsia" w:ascii="仿宋_GB2312" w:hAnsi="宋体" w:eastAsia="仿宋_GB2312" w:cs="宋体"/>
          <w:kern w:val="0"/>
          <w:sz w:val="24"/>
          <w:szCs w:val="22"/>
        </w:rPr>
        <w:t>、付款方式</w:t>
      </w:r>
    </w:p>
    <w:p>
      <w:pPr>
        <w:spacing w:line="360" w:lineRule="auto"/>
        <w:ind w:firstLine="520" w:firstLineChars="217"/>
        <w:rPr>
          <w:rFonts w:hint="eastAsia" w:ascii="仿宋_GB2312" w:hAnsi="宋体" w:eastAsia="仿宋_GB2312" w:cs="宋体"/>
          <w:kern w:val="0"/>
          <w:sz w:val="24"/>
          <w:szCs w:val="22"/>
          <w:lang w:eastAsia="zh-CN"/>
        </w:rPr>
      </w:pPr>
      <w:r>
        <w:rPr>
          <w:rFonts w:hint="eastAsia" w:ascii="仿宋_GB2312" w:hAnsi="宋体" w:eastAsia="仿宋_GB2312" w:cs="宋体"/>
          <w:kern w:val="0"/>
          <w:sz w:val="24"/>
          <w:szCs w:val="22"/>
          <w:lang w:eastAsia="zh-CN"/>
        </w:rPr>
        <w:t>验收合格后，乙方提供经双方确认的送货清单及增值税专用发票，甲方自收到乙方的准确清单和发票后，</w:t>
      </w:r>
      <w:r>
        <w:rPr>
          <w:rFonts w:hint="eastAsia" w:ascii="仿宋_GB2312" w:hAnsi="宋体" w:eastAsia="仿宋_GB2312" w:cs="宋体"/>
          <w:kern w:val="0"/>
          <w:sz w:val="24"/>
          <w:szCs w:val="22"/>
          <w:lang w:val="en-US" w:eastAsia="zh-CN"/>
        </w:rPr>
        <w:t>30日内付清乙方货款</w:t>
      </w:r>
      <w:r>
        <w:rPr>
          <w:rFonts w:hint="eastAsia" w:ascii="仿宋_GB2312" w:hAnsi="宋体" w:eastAsia="仿宋_GB2312" w:cs="宋体"/>
          <w:kern w:val="0"/>
          <w:sz w:val="24"/>
          <w:szCs w:val="22"/>
          <w:lang w:eastAsia="zh-CN"/>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szCs w:val="22"/>
          <w:lang w:eastAsia="zh-CN"/>
        </w:rPr>
        <w:t>六</w:t>
      </w:r>
      <w:r>
        <w:rPr>
          <w:rFonts w:hint="eastAsia" w:ascii="仿宋_GB2312" w:hAnsi="宋体" w:eastAsia="仿宋_GB2312" w:cs="宋体"/>
          <w:kern w:val="0"/>
          <w:sz w:val="24"/>
          <w:szCs w:val="22"/>
        </w:rPr>
        <w:t>、售后服务</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szCs w:val="22"/>
        </w:rPr>
        <w:t>1.</w:t>
      </w:r>
      <w:r>
        <w:rPr>
          <w:rFonts w:hint="eastAsia" w:ascii="仿宋_GB2312" w:hAnsi="宋体" w:eastAsia="仿宋_GB2312" w:cs="宋体"/>
          <w:kern w:val="0"/>
          <w:sz w:val="24"/>
          <w:szCs w:val="22"/>
          <w:lang w:eastAsia="zh-CN"/>
        </w:rPr>
        <w:t>乙方</w:t>
      </w:r>
      <w:r>
        <w:rPr>
          <w:rFonts w:hint="eastAsia" w:ascii="仿宋_GB2312" w:hAnsi="宋体" w:eastAsia="仿宋_GB2312" w:cs="宋体"/>
          <w:kern w:val="0"/>
          <w:sz w:val="24"/>
          <w:szCs w:val="22"/>
        </w:rPr>
        <w:t>必须满足</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售后服务要求。如产品使用过程发生问题，</w:t>
      </w:r>
      <w:r>
        <w:rPr>
          <w:rFonts w:hint="eastAsia" w:ascii="仿宋_GB2312" w:hAnsi="宋体" w:eastAsia="仿宋_GB2312" w:cs="宋体"/>
          <w:kern w:val="0"/>
          <w:sz w:val="24"/>
          <w:szCs w:val="22"/>
          <w:lang w:eastAsia="zh-CN"/>
        </w:rPr>
        <w:t>乙方</w:t>
      </w:r>
      <w:r>
        <w:rPr>
          <w:rFonts w:hint="eastAsia" w:ascii="仿宋_GB2312" w:hAnsi="宋体" w:eastAsia="仿宋_GB2312" w:cs="宋体"/>
          <w:kern w:val="0"/>
          <w:sz w:val="24"/>
          <w:szCs w:val="22"/>
        </w:rPr>
        <w:t>须在接到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通知后24小时内做出书面答复并提供解决方案。若需要派遣技术人员，则应在接到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szCs w:val="22"/>
          <w:lang w:val="en-US" w:eastAsia="zh-CN"/>
        </w:rPr>
        <w:t>2</w:t>
      </w:r>
      <w:r>
        <w:rPr>
          <w:rFonts w:hint="eastAsia" w:ascii="仿宋_GB2312" w:hAnsi="宋体" w:eastAsia="仿宋_GB2312" w:cs="宋体"/>
          <w:kern w:val="0"/>
          <w:sz w:val="24"/>
          <w:szCs w:val="22"/>
        </w:rPr>
        <w:t>.</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不再对任</w:t>
      </w:r>
      <w:r>
        <w:rPr>
          <w:rFonts w:hint="eastAsia" w:ascii="仿宋_GB2312" w:hAnsi="宋体" w:eastAsia="仿宋_GB2312"/>
          <w:sz w:val="24"/>
          <w:szCs w:val="24"/>
        </w:rPr>
        <w:t>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lang w:eastAsia="zh-CN"/>
        </w:rPr>
      </w:pPr>
      <w:r>
        <w:rPr>
          <w:rFonts w:hint="eastAsia" w:ascii="仿宋_GB2312" w:hAnsi="宋体" w:eastAsia="仿宋_GB2312"/>
          <w:sz w:val="24"/>
          <w:szCs w:val="24"/>
          <w:lang w:eastAsia="zh-CN"/>
        </w:rPr>
        <w:t>八</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default" w:ascii="仿宋_GB2312" w:hAnsi="宋体" w:eastAsia="仿宋_GB2312"/>
          <w:sz w:val="24"/>
          <w:szCs w:val="24"/>
          <w:lang w:val="en-US"/>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w:t>
      </w:r>
    </w:p>
    <w:p>
      <w:pPr>
        <w:spacing w:line="360" w:lineRule="auto"/>
        <w:ind w:firstLine="520" w:firstLineChars="217"/>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pP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6A745B"/>
    <w:rsid w:val="008746A5"/>
    <w:rsid w:val="00B574EC"/>
    <w:rsid w:val="01D22213"/>
    <w:rsid w:val="02236C7E"/>
    <w:rsid w:val="02583A97"/>
    <w:rsid w:val="02834D04"/>
    <w:rsid w:val="03973186"/>
    <w:rsid w:val="04272CDD"/>
    <w:rsid w:val="04605697"/>
    <w:rsid w:val="05D22118"/>
    <w:rsid w:val="06057AB3"/>
    <w:rsid w:val="06B63B23"/>
    <w:rsid w:val="07304B7F"/>
    <w:rsid w:val="076328DA"/>
    <w:rsid w:val="097479E0"/>
    <w:rsid w:val="0A0C6ADD"/>
    <w:rsid w:val="0A32752C"/>
    <w:rsid w:val="0BCC31F9"/>
    <w:rsid w:val="0DC35837"/>
    <w:rsid w:val="0DE61498"/>
    <w:rsid w:val="0FC8270A"/>
    <w:rsid w:val="110C3702"/>
    <w:rsid w:val="110C39D4"/>
    <w:rsid w:val="1297576D"/>
    <w:rsid w:val="12BF4C87"/>
    <w:rsid w:val="12E70A09"/>
    <w:rsid w:val="13896422"/>
    <w:rsid w:val="156968C6"/>
    <w:rsid w:val="1590003B"/>
    <w:rsid w:val="17B042A1"/>
    <w:rsid w:val="19E73B3D"/>
    <w:rsid w:val="1A2B7D96"/>
    <w:rsid w:val="1BD33B78"/>
    <w:rsid w:val="1C4618F8"/>
    <w:rsid w:val="1D932740"/>
    <w:rsid w:val="1E1778EC"/>
    <w:rsid w:val="1E1A21EF"/>
    <w:rsid w:val="1F0C6707"/>
    <w:rsid w:val="1F23544E"/>
    <w:rsid w:val="1F297536"/>
    <w:rsid w:val="1F93249F"/>
    <w:rsid w:val="203B090D"/>
    <w:rsid w:val="208F720A"/>
    <w:rsid w:val="21135480"/>
    <w:rsid w:val="214D7086"/>
    <w:rsid w:val="21BA7E4E"/>
    <w:rsid w:val="22192029"/>
    <w:rsid w:val="23AE67CD"/>
    <w:rsid w:val="24130D0C"/>
    <w:rsid w:val="24C82A73"/>
    <w:rsid w:val="259A5C38"/>
    <w:rsid w:val="25A152AA"/>
    <w:rsid w:val="267B057C"/>
    <w:rsid w:val="26F76768"/>
    <w:rsid w:val="283E60E8"/>
    <w:rsid w:val="28D81707"/>
    <w:rsid w:val="29F704EF"/>
    <w:rsid w:val="2AAF4819"/>
    <w:rsid w:val="2AC220DE"/>
    <w:rsid w:val="2ADB5E21"/>
    <w:rsid w:val="2ADF08BA"/>
    <w:rsid w:val="2B804188"/>
    <w:rsid w:val="2BB52A0F"/>
    <w:rsid w:val="2C4B7881"/>
    <w:rsid w:val="2E003054"/>
    <w:rsid w:val="2E8E22D3"/>
    <w:rsid w:val="2EB2531B"/>
    <w:rsid w:val="2F3D045F"/>
    <w:rsid w:val="2F727F1B"/>
    <w:rsid w:val="2F7D3F84"/>
    <w:rsid w:val="2F844FB7"/>
    <w:rsid w:val="30256074"/>
    <w:rsid w:val="311A47FB"/>
    <w:rsid w:val="32BC0B37"/>
    <w:rsid w:val="33414521"/>
    <w:rsid w:val="34104BD2"/>
    <w:rsid w:val="3464504B"/>
    <w:rsid w:val="34B41128"/>
    <w:rsid w:val="34DE6C7B"/>
    <w:rsid w:val="351151C3"/>
    <w:rsid w:val="36216F0D"/>
    <w:rsid w:val="36867889"/>
    <w:rsid w:val="370208DD"/>
    <w:rsid w:val="37B6369A"/>
    <w:rsid w:val="39602EEE"/>
    <w:rsid w:val="399E53B1"/>
    <w:rsid w:val="39E34EBF"/>
    <w:rsid w:val="3A351BE0"/>
    <w:rsid w:val="3BDC56DE"/>
    <w:rsid w:val="3CDB34E9"/>
    <w:rsid w:val="3D7933CA"/>
    <w:rsid w:val="3DAC3CC7"/>
    <w:rsid w:val="3E16524F"/>
    <w:rsid w:val="3EA30F9B"/>
    <w:rsid w:val="3EC65144"/>
    <w:rsid w:val="3F182351"/>
    <w:rsid w:val="3F2D02B4"/>
    <w:rsid w:val="407E15A7"/>
    <w:rsid w:val="40AA3B81"/>
    <w:rsid w:val="411C5733"/>
    <w:rsid w:val="41C15A00"/>
    <w:rsid w:val="439768C5"/>
    <w:rsid w:val="43E21D5A"/>
    <w:rsid w:val="45530393"/>
    <w:rsid w:val="45864C70"/>
    <w:rsid w:val="469F7AF8"/>
    <w:rsid w:val="46FC2223"/>
    <w:rsid w:val="475812CD"/>
    <w:rsid w:val="478F3581"/>
    <w:rsid w:val="47B96D86"/>
    <w:rsid w:val="47D615F1"/>
    <w:rsid w:val="48034DA7"/>
    <w:rsid w:val="49E7480F"/>
    <w:rsid w:val="4C870D35"/>
    <w:rsid w:val="4CE1083C"/>
    <w:rsid w:val="4E376DB9"/>
    <w:rsid w:val="4E716394"/>
    <w:rsid w:val="4E9100F6"/>
    <w:rsid w:val="4F0A3ECF"/>
    <w:rsid w:val="502844C8"/>
    <w:rsid w:val="503D2983"/>
    <w:rsid w:val="51D845E4"/>
    <w:rsid w:val="521C7645"/>
    <w:rsid w:val="52603759"/>
    <w:rsid w:val="52650DED"/>
    <w:rsid w:val="52B24F69"/>
    <w:rsid w:val="533444FB"/>
    <w:rsid w:val="53542097"/>
    <w:rsid w:val="54401F02"/>
    <w:rsid w:val="55C54FE9"/>
    <w:rsid w:val="55E07717"/>
    <w:rsid w:val="55F17543"/>
    <w:rsid w:val="5624745D"/>
    <w:rsid w:val="58080247"/>
    <w:rsid w:val="581F120F"/>
    <w:rsid w:val="58821C30"/>
    <w:rsid w:val="5A1C766A"/>
    <w:rsid w:val="5A22312E"/>
    <w:rsid w:val="5A697ABA"/>
    <w:rsid w:val="5B9C077F"/>
    <w:rsid w:val="5C3B755B"/>
    <w:rsid w:val="5CF528AB"/>
    <w:rsid w:val="5DBC03C4"/>
    <w:rsid w:val="5E8D0CCD"/>
    <w:rsid w:val="5E9565CC"/>
    <w:rsid w:val="5F6B7C36"/>
    <w:rsid w:val="60923D9C"/>
    <w:rsid w:val="60B7518E"/>
    <w:rsid w:val="612A3DEE"/>
    <w:rsid w:val="61A67F05"/>
    <w:rsid w:val="61F95976"/>
    <w:rsid w:val="623F0814"/>
    <w:rsid w:val="62DA3A69"/>
    <w:rsid w:val="630208C4"/>
    <w:rsid w:val="6379552E"/>
    <w:rsid w:val="64352378"/>
    <w:rsid w:val="649C599A"/>
    <w:rsid w:val="64B11F43"/>
    <w:rsid w:val="66B027B6"/>
    <w:rsid w:val="66F621D9"/>
    <w:rsid w:val="67492029"/>
    <w:rsid w:val="6794020E"/>
    <w:rsid w:val="67B628F5"/>
    <w:rsid w:val="68465A97"/>
    <w:rsid w:val="69CB7F1A"/>
    <w:rsid w:val="6B656B47"/>
    <w:rsid w:val="6B7E1643"/>
    <w:rsid w:val="6C0A0844"/>
    <w:rsid w:val="6C714475"/>
    <w:rsid w:val="6CC31798"/>
    <w:rsid w:val="6CDB032D"/>
    <w:rsid w:val="6D4A439F"/>
    <w:rsid w:val="6DBD736C"/>
    <w:rsid w:val="6DF45A5A"/>
    <w:rsid w:val="6E44576D"/>
    <w:rsid w:val="6E5526FF"/>
    <w:rsid w:val="6EC426BD"/>
    <w:rsid w:val="6F2B1820"/>
    <w:rsid w:val="705F3F50"/>
    <w:rsid w:val="710D0440"/>
    <w:rsid w:val="71C5585F"/>
    <w:rsid w:val="727771D0"/>
    <w:rsid w:val="732E09CE"/>
    <w:rsid w:val="74686C94"/>
    <w:rsid w:val="76D2609A"/>
    <w:rsid w:val="77D476E8"/>
    <w:rsid w:val="780D24B3"/>
    <w:rsid w:val="79841DB1"/>
    <w:rsid w:val="7A500C84"/>
    <w:rsid w:val="7A686EEB"/>
    <w:rsid w:val="7B4C6D88"/>
    <w:rsid w:val="7B6170BC"/>
    <w:rsid w:val="7BBF3750"/>
    <w:rsid w:val="7C0C09EB"/>
    <w:rsid w:val="7CD03426"/>
    <w:rsid w:val="7D817139"/>
    <w:rsid w:val="7DD0787F"/>
    <w:rsid w:val="7F090428"/>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0"/>
    <w:rPr>
      <w:kern w:val="2"/>
      <w:sz w:val="18"/>
      <w:szCs w:val="18"/>
    </w:rPr>
  </w:style>
  <w:style w:type="character" w:customStyle="1" w:styleId="21">
    <w:name w:val="批注框文本 Char"/>
    <w:basedOn w:val="12"/>
    <w:link w:val="7"/>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51"/>
    <w:basedOn w:val="12"/>
    <w:qFormat/>
    <w:uiPriority w:val="0"/>
    <w:rPr>
      <w:rFonts w:hint="default" w:ascii="Times New Roman" w:hAnsi="Times New Roman" w:cs="Times New Roman"/>
      <w:color w:val="000000"/>
      <w:sz w:val="22"/>
      <w:szCs w:val="22"/>
      <w:u w:val="none"/>
    </w:rPr>
  </w:style>
  <w:style w:type="character" w:customStyle="1" w:styleId="24">
    <w:name w:val="font41"/>
    <w:basedOn w:val="12"/>
    <w:qFormat/>
    <w:uiPriority w:val="0"/>
    <w:rPr>
      <w:rFonts w:ascii="仿宋_GB2312" w:eastAsia="仿宋_GB2312" w:cs="仿宋_GB2312"/>
      <w:color w:val="000000"/>
      <w:sz w:val="22"/>
      <w:szCs w:val="22"/>
      <w:u w:val="none"/>
    </w:rPr>
  </w:style>
  <w:style w:type="character" w:customStyle="1" w:styleId="25">
    <w:name w:val="font21"/>
    <w:basedOn w:val="12"/>
    <w:qFormat/>
    <w:uiPriority w:val="0"/>
    <w:rPr>
      <w:rFonts w:hint="eastAsia" w:ascii="宋体" w:hAnsi="宋体" w:eastAsia="宋体" w:cs="宋体"/>
      <w:color w:val="000000"/>
      <w:sz w:val="22"/>
      <w:szCs w:val="22"/>
      <w:u w:val="none"/>
      <w:vertAlign w:val="superscript"/>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5131</Words>
  <Characters>5627</Characters>
  <Lines>53</Lines>
  <Paragraphs>15</Paragraphs>
  <TotalTime>3</TotalTime>
  <ScaleCrop>false</ScaleCrop>
  <LinksUpToDate>false</LinksUpToDate>
  <CharactersWithSpaces>5972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2022-08-17T01:06:22Z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07DEC81FD3E8410C8FC7D2A5303090D3</vt:lpwstr>
  </property>
</Properties>
</file>