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209006</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w:t>
      </w:r>
      <w:bookmarkStart w:id="2" w:name="_Toc149122410"/>
      <w:bookmarkStart w:id="3" w:name="_Toc120087728"/>
      <w:r>
        <w:rPr>
          <w:rFonts w:hint="eastAsia" w:ascii="仿宋_GB2312" w:hAnsi="宋体" w:eastAsia="仿宋_GB2312"/>
          <w:sz w:val="32"/>
          <w:szCs w:val="32"/>
          <w:u w:val="single"/>
          <w:lang w:val="en-US" w:eastAsia="zh-CN"/>
        </w:rPr>
        <w:t>22年临江公司</w:t>
      </w:r>
      <w:r>
        <w:rPr>
          <w:rFonts w:hint="eastAsia" w:ascii="仿宋_GB2312" w:hAnsi="宋体" w:eastAsia="仿宋_GB2312"/>
          <w:sz w:val="32"/>
          <w:szCs w:val="32"/>
          <w:u w:val="single"/>
        </w:rPr>
        <w:t>能源项目配套</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二期</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工程</w:t>
      </w:r>
      <w:bookmarkEnd w:id="2"/>
      <w:bookmarkEnd w:id="3"/>
      <w:r>
        <w:rPr>
          <w:rFonts w:hint="eastAsia" w:ascii="仿宋_GB2312" w:hAnsi="宋体" w:eastAsia="仿宋_GB2312"/>
          <w:sz w:val="32"/>
          <w:szCs w:val="32"/>
          <w:u w:val="single"/>
          <w:lang w:val="en-US" w:eastAsia="zh-CN"/>
        </w:rPr>
        <w:t>详勘</w:t>
      </w:r>
      <w:r>
        <w:rPr>
          <w:rFonts w:hint="eastAsia" w:ascii="仿宋_GB2312" w:hAnsi="宋体" w:eastAsia="仿宋_GB2312"/>
          <w:sz w:val="32"/>
          <w:szCs w:val="32"/>
          <w:u w:val="single"/>
        </w:rPr>
        <w:t>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九</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1"/>
          <w:rFonts w:hint="eastAsia" w:ascii="仿宋_GB2312" w:eastAsia="仿宋_GB2312"/>
          <w:b w:val="0"/>
          <w:snapToGrid w:val="0"/>
          <w:sz w:val="32"/>
          <w:szCs w:val="32"/>
        </w:rPr>
        <w:t>第一部分   询价公告</w:t>
      </w:r>
      <w:bookmarkStart w:id="4" w:name="_Hlt4078678"/>
      <w:bookmarkStart w:id="5" w:name="_Hlt4078679"/>
      <w:r>
        <w:rPr>
          <w:rFonts w:hint="eastAsia" w:ascii="仿宋_GB2312" w:eastAsia="仿宋_GB2312"/>
          <w:b w:val="0"/>
          <w:sz w:val="32"/>
          <w:szCs w:val="32"/>
        </w:rPr>
        <w:tab/>
      </w:r>
      <w:bookmarkEnd w:id="4"/>
      <w:bookmarkEnd w:id="5"/>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1"/>
          <w:rFonts w:hint="eastAsia" w:ascii="仿宋_GB2312" w:eastAsia="仿宋_GB2312"/>
          <w:b w:val="0"/>
          <w:snapToGrid w:val="0"/>
          <w:color w:val="auto"/>
          <w:sz w:val="32"/>
          <w:szCs w:val="32"/>
          <w:u w:val="none"/>
        </w:rPr>
        <w:t>第</w:t>
      </w:r>
      <w:r>
        <w:rPr>
          <w:rStyle w:val="21"/>
          <w:rFonts w:hint="eastAsia" w:ascii="仿宋_GB2312" w:eastAsia="仿宋_GB2312"/>
          <w:b w:val="0"/>
          <w:snapToGrid w:val="0"/>
          <w:color w:val="auto"/>
          <w:sz w:val="32"/>
          <w:szCs w:val="32"/>
          <w:u w:val="none"/>
          <w:lang w:eastAsia="zh-CN"/>
        </w:rPr>
        <w:t>五</w:t>
      </w:r>
      <w:r>
        <w:rPr>
          <w:rStyle w:val="21"/>
          <w:rFonts w:hint="eastAsia" w:ascii="仿宋_GB2312" w:eastAsia="仿宋_GB2312"/>
          <w:b w:val="0"/>
          <w:snapToGrid w:val="0"/>
          <w:color w:val="auto"/>
          <w:sz w:val="32"/>
          <w:szCs w:val="32"/>
          <w:u w:val="none"/>
        </w:rPr>
        <w:t xml:space="preserve">部分   </w:t>
      </w:r>
      <w:r>
        <w:rPr>
          <w:rStyle w:val="21"/>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6" w:name="_Toc530583921"/>
      <w:bookmarkStart w:id="7"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能源项目配套二期工程</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项目建设需要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2"/>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1.项目编号：2022</w:t>
      </w:r>
      <w:r>
        <w:rPr>
          <w:rFonts w:hint="eastAsia" w:ascii="仿宋_GB2312" w:eastAsia="仿宋_GB2312" w:cs="Times New Roman"/>
          <w:b w:val="0"/>
          <w:caps w:val="0"/>
          <w:kern w:val="2"/>
          <w:sz w:val="30"/>
          <w:szCs w:val="30"/>
          <w:highlight w:val="none"/>
          <w:lang w:val="en-US" w:eastAsia="zh-CN" w:bidi="ar-SA"/>
        </w:rPr>
        <w:t>09</w:t>
      </w:r>
      <w:r>
        <w:rPr>
          <w:rFonts w:hint="eastAsia" w:ascii="仿宋_GB2312" w:hAnsi="Times New Roman" w:eastAsia="仿宋_GB2312" w:cs="Times New Roman"/>
          <w:b w:val="0"/>
          <w:caps w:val="0"/>
          <w:kern w:val="2"/>
          <w:sz w:val="30"/>
          <w:szCs w:val="30"/>
          <w:highlight w:val="none"/>
          <w:lang w:val="en-US" w:eastAsia="zh-CN" w:bidi="ar-SA"/>
        </w:rPr>
        <w:t>00</w:t>
      </w:r>
      <w:r>
        <w:rPr>
          <w:rFonts w:hint="eastAsia" w:ascii="仿宋_GB2312" w:eastAsia="仿宋_GB2312" w:cs="Times New Roman"/>
          <w:b w:val="0"/>
          <w:caps w:val="0"/>
          <w:kern w:val="2"/>
          <w:sz w:val="30"/>
          <w:szCs w:val="30"/>
          <w:highlight w:val="none"/>
          <w:lang w:val="en-US" w:eastAsia="zh-CN" w:bidi="ar-SA"/>
        </w:rPr>
        <w:t>6</w:t>
      </w:r>
    </w:p>
    <w:p>
      <w:pPr>
        <w:pStyle w:val="12"/>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2"/>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25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1、投标人必须是在中华人民共和国境内注册，注册资本金100万元，具有独立法人资格和独立承担民事责任的能力；</w:t>
      </w:r>
    </w:p>
    <w:p>
      <w:pPr>
        <w:snapToGrid w:val="0"/>
        <w:ind w:firstLine="585"/>
        <w:jc w:val="left"/>
        <w:rPr>
          <w:rFonts w:hint="eastAsia" w:ascii="仿宋_GB2312" w:hAnsi="Times New Roman" w:eastAsia="仿宋_GB2312" w:cs="Times New Roman"/>
          <w:sz w:val="30"/>
          <w:szCs w:val="30"/>
          <w:highlight w:val="none"/>
          <w:lang w:val="en-US" w:eastAsia="zh-CN"/>
        </w:rPr>
      </w:pPr>
      <w:r>
        <w:rPr>
          <w:rFonts w:hint="eastAsia" w:ascii="仿宋_GB2312" w:eastAsia="仿宋_GB2312"/>
          <w:sz w:val="30"/>
          <w:szCs w:val="30"/>
          <w:highlight w:val="none"/>
          <w:lang w:val="en-US" w:eastAsia="zh-CN"/>
        </w:rPr>
        <w:t>2.投标人营业执照经营范围须有勘察综合类甲级资质或勘察专业类岩土工程甲级或勘察专业类岩土工程勘察甲级资质；</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eastAsia="仿宋_GB2312" w:cs="Times New Roman"/>
          <w:sz w:val="30"/>
          <w:szCs w:val="30"/>
          <w:highlight w:val="none"/>
          <w:lang w:val="en-US" w:eastAsia="zh-CN"/>
        </w:rPr>
        <w:t>三</w:t>
      </w:r>
      <w:r>
        <w:rPr>
          <w:rFonts w:hint="eastAsia" w:ascii="仿宋_GB2312" w:hAnsi="Times New Roman" w:eastAsia="仿宋_GB2312" w:cs="Times New Roman"/>
          <w:sz w:val="30"/>
          <w:szCs w:val="30"/>
          <w:highlight w:val="none"/>
        </w:rPr>
        <w:t xml:space="preserve">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9</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16</w:t>
      </w:r>
      <w:r>
        <w:rPr>
          <w:rFonts w:hint="eastAsia" w:ascii="仿宋_GB2312" w:hAnsi="宋体" w:eastAsia="仿宋_GB2312" w:cs="Times New Roman"/>
          <w:color w:val="000000"/>
          <w:sz w:val="30"/>
          <w:szCs w:val="30"/>
          <w:highlight w:val="none"/>
          <w:shd w:val="clear" w:color="auto" w:fill="auto"/>
          <w:lang w:eastAsia="zh-CN"/>
        </w:rPr>
        <w:t>日10:</w:t>
      </w:r>
      <w:r>
        <w:rPr>
          <w:rFonts w:hint="eastAsia" w:ascii="仿宋_GB2312" w:hAnsi="宋体" w:eastAsia="仿宋_GB2312" w:cs="Times New Roman"/>
          <w:color w:val="000000"/>
          <w:sz w:val="30"/>
          <w:szCs w:val="30"/>
          <w:highlight w:val="none"/>
          <w:shd w:val="clear" w:color="auto" w:fill="auto"/>
          <w:lang w:val="en-US" w:eastAsia="zh-CN"/>
        </w:rPr>
        <w:t>3</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四、报价文件的提交</w:t>
      </w:r>
    </w:p>
    <w:p>
      <w:pPr>
        <w:snapToGrid w:val="0"/>
        <w:ind w:firstLine="585"/>
        <w:jc w:val="left"/>
        <w:rPr>
          <w:rFonts w:hint="eastAsia" w:ascii="仿宋_GB2312" w:hAnsi="宋体" w:eastAsia="仿宋_GB2312" w:cs="Times New Roman"/>
          <w:b/>
          <w:bCs/>
          <w:color w:val="000000"/>
          <w:sz w:val="30"/>
          <w:szCs w:val="30"/>
          <w:highlight w:val="none"/>
          <w:shd w:val="clear" w:color="auto" w:fill="auto"/>
          <w:lang w:val="en-US" w:eastAsia="zh-CN"/>
        </w:rPr>
      </w:pPr>
      <w:r>
        <w:rPr>
          <w:rFonts w:hint="eastAsia" w:ascii="仿宋_GB2312" w:hAnsi="宋体" w:eastAsia="仿宋_GB2312" w:cs="Times New Roman"/>
          <w:b/>
          <w:bCs/>
          <w:color w:val="000000"/>
          <w:sz w:val="30"/>
          <w:szCs w:val="30"/>
          <w:highlight w:val="none"/>
          <w:shd w:val="clear" w:color="auto" w:fill="auto"/>
          <w:lang w:val="en-US" w:eastAsia="zh-CN"/>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2.邮寄地址：杭州市钱塘区临江街道红十五线与观十五线交叉口杭州临江环境能源有限公司科研楼投资发展部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庄工  15268125337</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4.报价文件邮递递交截止时间：以邮寄签收时间为准，因邮寄原因导致报价文件不能如期送达等风险由供应商自行承担。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eastAsia="仿宋_GB2312" w:cs="Times New Roman"/>
          <w:sz w:val="30"/>
          <w:szCs w:val="30"/>
          <w:highlight w:val="none"/>
          <w:lang w:val="en-US" w:eastAsia="zh-CN"/>
        </w:rPr>
        <w:t>五</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六</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15268125337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七、监督部门：临江公司监察审计部</w:t>
      </w:r>
    </w:p>
    <w:p>
      <w:pPr>
        <w:pStyle w:val="2"/>
        <w:rPr>
          <w:rFonts w:hint="default"/>
          <w:sz w:val="30"/>
          <w:szCs w:val="30"/>
          <w:lang w:val="en-US" w:eastAsia="zh-CN"/>
        </w:rPr>
      </w:pPr>
      <w:r>
        <w:rPr>
          <w:rFonts w:hint="eastAsia" w:ascii="仿宋_GB2312" w:eastAsia="仿宋_GB2312"/>
          <w:sz w:val="30"/>
          <w:szCs w:val="30"/>
          <w:lang w:val="en-US" w:eastAsia="zh-CN"/>
        </w:rPr>
        <w:t xml:space="preserve">    联系人：范波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13</w:t>
      </w:r>
      <w:r>
        <w:rPr>
          <w:rFonts w:hint="eastAsia" w:ascii="仿宋_GB2312" w:eastAsia="仿宋_GB2312"/>
          <w:sz w:val="30"/>
          <w:szCs w:val="30"/>
          <w:highlight w:val="none"/>
        </w:rPr>
        <w:t>日</w:t>
      </w:r>
      <w:r>
        <w:rPr>
          <w:rFonts w:hint="eastAsia" w:ascii="仿宋_GB2312" w:eastAsia="仿宋_GB2312"/>
          <w:sz w:val="24"/>
          <w:szCs w:val="24"/>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hint="eastAsia"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w:t>
      </w:r>
      <w:r>
        <w:rPr>
          <w:rFonts w:hint="eastAsia" w:ascii="仿宋_GB2312" w:hAnsi="宋体" w:eastAsia="仿宋_GB2312"/>
          <w:sz w:val="30"/>
          <w:szCs w:val="30"/>
          <w:lang w:val="en-US" w:eastAsia="zh-CN"/>
        </w:rPr>
        <w:t>专家评审</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差旅费</w:t>
      </w:r>
      <w:r>
        <w:rPr>
          <w:rFonts w:hint="eastAsia" w:ascii="仿宋_GB2312" w:hAnsi="宋体" w:eastAsia="仿宋_GB2312"/>
          <w:sz w:val="30"/>
          <w:szCs w:val="30"/>
        </w:rPr>
        <w:t>和税费等。</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hint="eastAsia" w:ascii="仿宋_GB2312" w:eastAsia="仿宋_GB2312"/>
          <w:bCs/>
          <w:sz w:val="30"/>
          <w:szCs w:val="30"/>
        </w:rPr>
      </w:pPr>
      <w:r>
        <w:rPr>
          <w:rFonts w:hint="eastAsia" w:ascii="仿宋_GB2312" w:eastAsia="仿宋_GB2312"/>
          <w:bCs/>
          <w:sz w:val="30"/>
          <w:szCs w:val="30"/>
          <w:lang w:eastAsia="zh-CN"/>
        </w:rPr>
        <w:t>五</w:t>
      </w:r>
      <w:r>
        <w:rPr>
          <w:rFonts w:hint="eastAsia" w:ascii="仿宋_GB2312" w:eastAsia="仿宋_GB2312"/>
          <w:bCs/>
          <w:sz w:val="30"/>
          <w:szCs w:val="30"/>
        </w:rPr>
        <w:t>、报价文件的组成。</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eastAsia="仿宋_GB2312"/>
          <w:bCs/>
          <w:sz w:val="30"/>
          <w:szCs w:val="30"/>
        </w:rPr>
        <w:t>3</w:t>
      </w:r>
      <w:r>
        <w:rPr>
          <w:rFonts w:hint="eastAsia" w:ascii="仿宋_GB2312" w:hAnsi="Times New Roman" w:eastAsia="仿宋_GB2312" w:cs="Times New Roman"/>
          <w:bCs/>
          <w:sz w:val="30"/>
          <w:szCs w:val="30"/>
        </w:rPr>
        <w:t>.报价一览表（附件三）；</w:t>
      </w:r>
    </w:p>
    <w:p>
      <w:pPr>
        <w:snapToGrid w:val="0"/>
        <w:ind w:firstLine="576" w:firstLineChars="192"/>
        <w:jc w:val="left"/>
        <w:rPr>
          <w:rFonts w:hint="default"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lang w:val="en-US" w:eastAsia="zh-CN"/>
        </w:rPr>
        <w:t>4.投标人基本情况表、负责人情况表（附件四）</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5.股权信息及出资比例信息（附件五）</w:t>
      </w:r>
      <w:r>
        <w:rPr>
          <w:rFonts w:hint="eastAsia" w:ascii="仿宋_GB2312" w:hAnsi="Times New Roman" w:eastAsia="仿宋_GB2312" w:cs="Times New Roman"/>
          <w:bCs/>
          <w:sz w:val="30"/>
          <w:szCs w:val="30"/>
        </w:rPr>
        <w:t>；</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6</w:t>
      </w:r>
      <w:r>
        <w:rPr>
          <w:rFonts w:hint="eastAsia" w:ascii="仿宋_GB2312" w:hAnsi="Times New Roman" w:eastAsia="仿宋_GB2312" w:cs="Times New Roman"/>
          <w:bCs/>
          <w:sz w:val="30"/>
          <w:szCs w:val="30"/>
        </w:rPr>
        <w:t>.有效资质证明并加盖公章：通过年检的营业执照复印件。</w:t>
      </w:r>
    </w:p>
    <w:p>
      <w:pPr>
        <w:snapToGrid w:val="0"/>
        <w:ind w:firstLine="576" w:firstLineChars="192"/>
        <w:jc w:val="left"/>
        <w:rPr>
          <w:rFonts w:hint="eastAsia" w:ascii="仿宋_GB2312" w:eastAsia="仿宋_GB2312"/>
          <w:bCs/>
          <w:sz w:val="30"/>
          <w:szCs w:val="30"/>
        </w:rPr>
      </w:pPr>
      <w:r>
        <w:rPr>
          <w:rFonts w:hint="eastAsia" w:ascii="仿宋_GB2312" w:hAnsi="Times New Roman" w:eastAsia="仿宋_GB2312" w:cs="Times New Roman"/>
          <w:bCs/>
          <w:sz w:val="30"/>
          <w:szCs w:val="30"/>
        </w:rPr>
        <w:t>报价文件装订密封，并在封皮上注明：</w:t>
      </w:r>
      <w:r>
        <w:rPr>
          <w:rFonts w:hint="eastAsia" w:ascii="仿宋_GB2312" w:eastAsia="仿宋_GB2312"/>
          <w:bCs/>
          <w:sz w:val="30"/>
          <w:szCs w:val="30"/>
        </w:rPr>
        <w:t>采购项目名称、采购项目编号、报价单位名称、</w:t>
      </w:r>
      <w:r>
        <w:rPr>
          <w:rFonts w:hint="eastAsia" w:ascii="仿宋_GB2312" w:eastAsia="仿宋_GB2312"/>
          <w:bCs/>
          <w:sz w:val="30"/>
          <w:szCs w:val="30"/>
          <w:lang w:val="en-US" w:eastAsia="zh-CN"/>
        </w:rPr>
        <w:t>授权</w:t>
      </w:r>
      <w:r>
        <w:rPr>
          <w:rFonts w:hint="eastAsia" w:ascii="仿宋_GB2312" w:eastAsia="仿宋_GB2312"/>
          <w:bCs/>
          <w:sz w:val="30"/>
          <w:szCs w:val="30"/>
        </w:rPr>
        <w:t>代表姓名。</w:t>
      </w:r>
    </w:p>
    <w:p>
      <w:pPr>
        <w:snapToGrid w:val="0"/>
        <w:ind w:left="-178" w:leftChars="-85" w:firstLine="771" w:firstLineChars="257"/>
        <w:jc w:val="left"/>
        <w:rPr>
          <w:rFonts w:hint="eastAsia" w:ascii="仿宋_GB2312" w:eastAsia="仿宋_GB2312"/>
          <w:sz w:val="30"/>
          <w:szCs w:val="30"/>
        </w:rPr>
      </w:pPr>
      <w:r>
        <w:rPr>
          <w:rFonts w:hint="eastAsia" w:ascii="仿宋_GB2312" w:eastAsia="仿宋_GB2312"/>
          <w:bCs/>
          <w:sz w:val="30"/>
          <w:szCs w:val="30"/>
          <w:lang w:eastAsia="zh-CN"/>
        </w:rPr>
        <w:t>六</w:t>
      </w:r>
      <w:r>
        <w:rPr>
          <w:rFonts w:hint="eastAsia" w:ascii="仿宋_GB2312" w:eastAsia="仿宋_GB2312"/>
          <w:bCs/>
          <w:sz w:val="30"/>
          <w:szCs w:val="30"/>
        </w:rPr>
        <w:t>、报价文件的签署和份</w:t>
      </w:r>
      <w:r>
        <w:rPr>
          <w:rFonts w:hint="eastAsia" w:ascii="仿宋_GB2312" w:eastAsia="仿宋_GB2312"/>
          <w:sz w:val="30"/>
          <w:szCs w:val="30"/>
        </w:rPr>
        <w:t>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val="en-US" w:eastAsia="zh-CN"/>
        </w:rPr>
        <w:t>授权</w:t>
      </w:r>
      <w:r>
        <w:rPr>
          <w:rFonts w:hint="eastAsia" w:ascii="仿宋_GB2312" w:eastAsia="仿宋_GB2312"/>
          <w:sz w:val="30"/>
          <w:szCs w:val="30"/>
        </w:rPr>
        <w:t>代表签署，供应商单位应写全称。</w:t>
      </w:r>
    </w:p>
    <w:p>
      <w:pPr>
        <w:snapToGrid w:val="0"/>
        <w:ind w:firstLine="615" w:firstLineChars="205"/>
        <w:jc w:val="left"/>
        <w:rPr>
          <w:rFonts w:hint="eastAsia"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hint="eastAsia" w:ascii="仿宋_GB2312" w:eastAsia="仿宋_GB2312"/>
          <w:sz w:val="30"/>
          <w:szCs w:val="30"/>
        </w:rPr>
      </w:pPr>
      <w:r>
        <w:rPr>
          <w:rFonts w:hint="eastAsia" w:ascii="仿宋_GB2312" w:eastAsia="仿宋_GB2312"/>
          <w:sz w:val="30"/>
          <w:szCs w:val="30"/>
          <w:lang w:eastAsia="zh-CN"/>
        </w:rPr>
        <w:t>七</w:t>
      </w:r>
      <w:r>
        <w:rPr>
          <w:rFonts w:hint="eastAsia" w:ascii="仿宋_GB2312"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四</w:t>
      </w:r>
      <w:r>
        <w:rPr>
          <w:rFonts w:hint="eastAsia" w:ascii="仿宋_GB2312" w:eastAsia="仿宋_GB2312"/>
          <w:sz w:val="30"/>
          <w:szCs w:val="30"/>
        </w:rPr>
        <w:t>）供应商法定代表人或</w:t>
      </w:r>
      <w:r>
        <w:rPr>
          <w:rFonts w:hint="eastAsia" w:ascii="仿宋_GB2312" w:eastAsia="仿宋_GB2312"/>
          <w:sz w:val="30"/>
          <w:szCs w:val="30"/>
          <w:lang w:val="en-US" w:eastAsia="zh-CN"/>
        </w:rPr>
        <w:t>授权</w:t>
      </w:r>
      <w:r>
        <w:rPr>
          <w:rFonts w:hint="eastAsia" w:ascii="仿宋_GB2312" w:eastAsia="仿宋_GB2312"/>
          <w:sz w:val="30"/>
          <w:szCs w:val="30"/>
        </w:rPr>
        <w:t>代表未到询价报价现场或不能提供相应身份证明的。</w:t>
      </w:r>
    </w:p>
    <w:p>
      <w:pPr>
        <w:snapToGrid w:val="0"/>
        <w:jc w:val="left"/>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五</w:t>
      </w:r>
      <w:r>
        <w:rPr>
          <w:rFonts w:hint="eastAsia" w:ascii="仿宋_GB2312" w:eastAsia="仿宋_GB2312"/>
          <w:sz w:val="30"/>
          <w:szCs w:val="30"/>
        </w:rPr>
        <w:t>）报价超过最高限价的。</w:t>
      </w:r>
    </w:p>
    <w:p>
      <w:pPr>
        <w:snapToGrid w:val="0"/>
        <w:jc w:val="left"/>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六</w:t>
      </w:r>
      <w:r>
        <w:rPr>
          <w:rFonts w:hint="eastAsia" w:ascii="仿宋_GB2312" w:eastAsia="仿宋_GB2312"/>
          <w:sz w:val="30"/>
          <w:szCs w:val="30"/>
        </w:rPr>
        <w:t>）所提供的资料存在弄虚作假的。</w:t>
      </w:r>
    </w:p>
    <w:p>
      <w:pPr>
        <w:snapToGrid w:val="0"/>
        <w:jc w:val="left"/>
        <w:rPr>
          <w:rFonts w:hint="eastAsia"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七</w:t>
      </w:r>
      <w:r>
        <w:rPr>
          <w:rFonts w:hint="eastAsia" w:ascii="仿宋_GB2312" w:eastAsia="仿宋_GB2312"/>
          <w:sz w:val="30"/>
          <w:szCs w:val="30"/>
        </w:rPr>
        <w:t>）不符合法律、法规和本询价文件规定的其他要求的。</w:t>
      </w:r>
    </w:p>
    <w:p>
      <w:pPr>
        <w:snapToGrid w:val="0"/>
        <w:ind w:right="-176" w:rightChars="-84"/>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hint="eastAsia"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hint="eastAsia"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w:t>
      </w:r>
      <w:r>
        <w:rPr>
          <w:rFonts w:hint="eastAsia" w:ascii="仿宋_GB2312" w:eastAsia="仿宋_GB2312"/>
          <w:sz w:val="30"/>
          <w:szCs w:val="30"/>
          <w:lang w:val="en-US" w:eastAsia="zh-CN"/>
        </w:rPr>
        <w:t>授权</w:t>
      </w:r>
      <w:r>
        <w:rPr>
          <w:rFonts w:hint="eastAsia" w:ascii="仿宋_GB2312" w:eastAsia="仿宋_GB2312"/>
          <w:sz w:val="30"/>
          <w:szCs w:val="30"/>
        </w:rPr>
        <w:t>代表必须参加，负责解答有关事宜，并携带身份证。</w:t>
      </w:r>
    </w:p>
    <w:p>
      <w:pPr>
        <w:snapToGrid w:val="0"/>
        <w:jc w:val="left"/>
        <w:rPr>
          <w:rFonts w:hint="eastAsia"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hint="eastAsia"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3"/>
        <w:widowControl w:val="0"/>
        <w:snapToGrid w:val="0"/>
        <w:spacing w:line="240" w:lineRule="auto"/>
        <w:ind w:firstLine="601"/>
        <w:rPr>
          <w:rFonts w:hint="eastAsia"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highlight w:val="none"/>
          <w:lang w:val="en-US" w:eastAsia="zh-CN"/>
        </w:rPr>
      </w:pPr>
      <w:r>
        <w:rPr>
          <w:rFonts w:hint="eastAsia" w:ascii="仿宋_GB2312" w:eastAsia="仿宋_GB2312"/>
          <w:sz w:val="30"/>
          <w:szCs w:val="30"/>
          <w:highlight w:val="none"/>
        </w:rPr>
        <w:t>（二）履约保证金：合同签订的同时，成交供应商应支付相当于合同总价</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%的履约保证金。合同到期按合同规定时间内，履约保证金原额退还。</w:t>
      </w:r>
    </w:p>
    <w:p>
      <w:pPr>
        <w:snapToGrid w:val="0"/>
        <w:ind w:firstLine="615" w:firstLineChars="205"/>
        <w:jc w:val="left"/>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10" w:name="_Toc530583923"/>
      <w:bookmarkStart w:id="11" w:name="_Toc530583880"/>
      <w:r>
        <w:rPr>
          <w:rFonts w:hint="eastAsia" w:ascii="仿宋_GB2312" w:eastAsia="仿宋_GB2312"/>
          <w:snapToGrid w:val="0"/>
          <w:sz w:val="44"/>
          <w:szCs w:val="44"/>
        </w:rPr>
        <w:t>第三部分   询价内容</w:t>
      </w:r>
      <w:bookmarkEnd w:id="10"/>
      <w:bookmarkEnd w:id="11"/>
    </w:p>
    <w:p>
      <w:pPr>
        <w:pStyle w:val="13"/>
        <w:spacing w:before="0" w:after="0" w:line="360" w:lineRule="auto"/>
        <w:ind w:firstLine="600" w:firstLineChars="200"/>
        <w:jc w:val="left"/>
        <w:rPr>
          <w:rFonts w:hint="eastAsia" w:ascii="仿宋_GB2312"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w:t>
      </w:r>
      <w:r>
        <w:rPr>
          <w:rFonts w:hint="eastAsia" w:ascii="仿宋_GB2312" w:eastAsia="仿宋_GB2312" w:cs="Times New Roman"/>
          <w:b w:val="0"/>
          <w:bCs w:val="0"/>
          <w:color w:val="auto"/>
          <w:kern w:val="2"/>
          <w:sz w:val="30"/>
          <w:szCs w:val="30"/>
          <w:u w:color="000000"/>
          <w:lang w:val="en-US" w:eastAsia="zh-CN" w:bidi="ar-SA"/>
        </w:rPr>
        <w:t>工程概况</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杭州临江环境能源项目配套</w:t>
      </w:r>
      <w:r>
        <w:rPr>
          <w:rFonts w:hint="eastAsia" w:ascii="仿宋_GB2312" w:eastAsia="仿宋_GB2312" w:cs="Times New Roman"/>
          <w:b w:val="0"/>
          <w:bCs w:val="0"/>
          <w:color w:val="auto"/>
          <w:kern w:val="2"/>
          <w:sz w:val="30"/>
          <w:szCs w:val="30"/>
          <w:u w:color="000000"/>
          <w:lang w:val="en-US" w:eastAsia="zh-CN" w:bidi="ar-SA"/>
        </w:rPr>
        <w:t>二期</w:t>
      </w:r>
      <w:r>
        <w:rPr>
          <w:rFonts w:hint="eastAsia" w:ascii="仿宋_GB2312" w:hAnsi="Times New Roman" w:eastAsia="仿宋_GB2312" w:cs="Times New Roman"/>
          <w:b w:val="0"/>
          <w:bCs w:val="0"/>
          <w:color w:val="auto"/>
          <w:kern w:val="2"/>
          <w:sz w:val="30"/>
          <w:szCs w:val="30"/>
          <w:u w:color="000000"/>
          <w:lang w:val="en-US" w:eastAsia="zh-CN" w:bidi="ar-SA"/>
        </w:rPr>
        <w:t>工程内容包括：倒班休息楼、</w:t>
      </w:r>
      <w:r>
        <w:rPr>
          <w:rFonts w:hint="eastAsia" w:ascii="仿宋_GB2312" w:eastAsia="仿宋_GB2312" w:cs="Times New Roman"/>
          <w:b w:val="0"/>
          <w:bCs w:val="0"/>
          <w:color w:val="auto"/>
          <w:kern w:val="2"/>
          <w:sz w:val="30"/>
          <w:szCs w:val="30"/>
          <w:u w:color="000000"/>
          <w:lang w:val="en-US" w:eastAsia="zh-CN" w:bidi="ar-SA"/>
        </w:rPr>
        <w:t>室外运动场、</w:t>
      </w:r>
      <w:r>
        <w:rPr>
          <w:rFonts w:hint="eastAsia" w:ascii="仿宋_GB2312" w:hAnsi="Times New Roman" w:eastAsia="仿宋_GB2312" w:cs="Times New Roman"/>
          <w:b w:val="0"/>
          <w:bCs w:val="0"/>
          <w:color w:val="auto"/>
          <w:kern w:val="2"/>
          <w:sz w:val="30"/>
          <w:szCs w:val="30"/>
          <w:u w:color="000000"/>
          <w:lang w:val="en-US" w:eastAsia="zh-CN" w:bidi="ar-SA"/>
        </w:rPr>
        <w:t>业务用房</w:t>
      </w:r>
      <w:r>
        <w:rPr>
          <w:rFonts w:hint="eastAsia" w:ascii="仿宋_GB2312" w:eastAsia="仿宋_GB2312" w:cs="Times New Roman"/>
          <w:b w:val="0"/>
          <w:bCs w:val="0"/>
          <w:color w:val="auto"/>
          <w:kern w:val="2"/>
          <w:sz w:val="30"/>
          <w:szCs w:val="30"/>
          <w:u w:color="000000"/>
          <w:lang w:val="en-US" w:eastAsia="zh-CN" w:bidi="ar-SA"/>
        </w:rPr>
        <w:t>等。</w:t>
      </w:r>
    </w:p>
    <w:p>
      <w:pPr>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各单体附加荷载及基础形式详见附表一。</w:t>
      </w:r>
    </w:p>
    <w:p>
      <w:pPr>
        <w:spacing w:line="360" w:lineRule="auto"/>
        <w:ind w:firstLine="600" w:firstLineChars="200"/>
        <w:rPr>
          <w:rFonts w:hint="eastAsia"/>
          <w:lang w:val="en-US" w:eastAsia="zh-CN"/>
        </w:rPr>
      </w:pPr>
      <w:r>
        <w:rPr>
          <w:rFonts w:hint="eastAsia" w:ascii="仿宋_GB2312" w:hAnsi="Times New Roman" w:eastAsia="仿宋_GB2312" w:cs="Times New Roman"/>
          <w:b w:val="0"/>
          <w:bCs w:val="0"/>
          <w:color w:val="auto"/>
          <w:kern w:val="2"/>
          <w:sz w:val="30"/>
          <w:szCs w:val="30"/>
          <w:u w:color="000000"/>
          <w:lang w:val="en-US" w:eastAsia="zh-CN" w:bidi="ar-SA"/>
        </w:rPr>
        <w:t>本工程设计地坪标高详见工艺总图，主要建构筑物均采用桩基础或天然基础</w:t>
      </w:r>
      <w:r>
        <w:rPr>
          <w:rFonts w:hint="eastAsia" w:ascii="仿宋_GB2312" w:eastAsia="仿宋_GB2312" w:cs="Times New Roman"/>
          <w:b w:val="0"/>
          <w:bCs w:val="0"/>
          <w:color w:val="auto"/>
          <w:kern w:val="2"/>
          <w:sz w:val="30"/>
          <w:szCs w:val="30"/>
          <w:u w:color="000000"/>
          <w:lang w:val="en-US" w:eastAsia="zh-CN" w:bidi="ar-SA"/>
        </w:rPr>
        <w:t>。</w:t>
      </w:r>
    </w:p>
    <w:p>
      <w:pPr>
        <w:pStyle w:val="13"/>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12"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12"/>
      <w:r>
        <w:rPr>
          <w:rFonts w:hint="eastAsia" w:ascii="仿宋_GB2312" w:hAnsi="Times New Roman" w:eastAsia="仿宋_GB2312" w:cs="Times New Roman"/>
          <w:b w:val="0"/>
          <w:bCs w:val="0"/>
          <w:color w:val="auto"/>
          <w:kern w:val="2"/>
          <w:sz w:val="30"/>
          <w:szCs w:val="30"/>
          <w:u w:color="000000"/>
          <w:lang w:val="en-US" w:eastAsia="zh-CN" w:bidi="ar-SA"/>
        </w:rPr>
        <w:t>技术要求</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详细勘察应对工程提出详细的设计、施工所需的岩土工程资料和岩土参数；对建筑地基作出岩土工程评价，并对地基类型、基础形式、基坑支护、工程降水和不良地质作用防治等提出建议。要求如下：</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1）查明场地岩土体类型、地质构造、地层分布及其工程特征，提供各岩土体物理力学指标等地质资料，按现行规范提供各地基土层物理力学性质综合指标、地基承载力和桩基承载力设计参数，满足设计所需的岩土参数。对需要进行沉降计算的建筑物，提供地基变形计算参数（提供e-p曲线图），预测建筑物和场地的变形特征（提供参数需满足场地和建构筑物地基处理设计要求）。</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（2）查明场地内不良地质现象并建议处理方法。</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（3）查明地下水的埋藏条件及其对混凝土的腐蚀性。提出地下水位及其变化幅度；论证地基土和地下水在建筑物施工和使用期间可能产生的变化及其对工程和环境的影响，提出抗浮设计水位。</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（4）划分场地土类型和场地类型，判定场地地震基本烈度，对场地和地基的地震效应做出评价。并对饱和沙土及粉土进行液化判别。</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（5）查明埋藏的河道，沟浜、墓穴、防空洞、孤石等对工程不利的埋藏物。</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6）对可能采取的地基基础类型、边坡（基坑）开挖与支护、工程降水方案进行分析评价，提出经济合理的地基基础设计方案；提供与设计要求相对应的地基承载力及变形计算参数，并对设计与施工应注意的问题提出建议。</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（7）提供基坑围护设计参数，对基坑围护及降水方案提出建议。对基坑开挖时，周边现有建筑物保护方案提出建议。</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（8）对桩基础建议适宜的桩基持力层，提供不同桩型的单桩竖向承载力、抗拔承载力和桩基沉降量计算参数，估算单桩竖向承载力及预估沉降量。评论成桩可能性，论证桩的施工条件及其对环境的影响。</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（9）对单体建筑物提出详细的岩土工程资料和设计、施工所需的岩土参数；对地基作出岩土工程评价，并对地基类型、基础形式、地基处理、基坑支护、工程降水和不良地质作用的防治等提出建议。</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（10）对场地稳定性及适宜性作出评价。搜集场区的地面整平标高及本地区的地基工程的特别注意事项；探明地下管线和地下构筑物。</w:t>
      </w:r>
    </w:p>
    <w:p>
      <w:pPr>
        <w:pStyle w:val="26"/>
        <w:widowControl/>
        <w:spacing w:line="360" w:lineRule="auto"/>
        <w:ind w:firstLine="640"/>
        <w:jc w:val="left"/>
        <w:rPr>
          <w:rFonts w:hint="eastAsia"/>
          <w:lang w:val="en-US" w:eastAsia="zh-CN"/>
        </w:rPr>
      </w:pPr>
      <w:r>
        <w:rPr>
          <w:rFonts w:hint="eastAsia" w:ascii="仿宋_GB2312" w:hAnsi="仿宋_GB2312" w:eastAsia="仿宋_GB2312" w:cs="仿宋_GB2312"/>
          <w:color w:val="auto"/>
          <w:spacing w:val="0"/>
          <w:kern w:val="2"/>
          <w:sz w:val="30"/>
          <w:szCs w:val="30"/>
          <w:lang w:val="en-US" w:eastAsia="zh-CN" w:bidi="ar-SA"/>
        </w:rPr>
        <w:t>（11）除上述说明外，勘探布点、勘孔深度要求以及其它未注明情况必须满足《岩土工程勘察规范》（GB50021-2001（2009版））、《</w:t>
      </w:r>
      <w:r>
        <w:rPr>
          <w:rFonts w:hint="eastAsia" w:ascii="仿宋_GB2312" w:hAnsi="仿宋_GB2312" w:eastAsia="仿宋_GB2312" w:cs="仿宋_GB2312"/>
          <w:color w:val="auto"/>
          <w:spacing w:val="0"/>
          <w:kern w:val="2"/>
          <w:sz w:val="30"/>
          <w:szCs w:val="30"/>
          <w:lang w:val="en-US" w:eastAsia="zh-CN" w:bidi="ar-SA"/>
        </w:rPr>
        <w:fldChar w:fldCharType="begin"/>
      </w:r>
      <w:r>
        <w:rPr>
          <w:rFonts w:hint="eastAsia" w:ascii="仿宋_GB2312" w:hAnsi="仿宋_GB2312" w:eastAsia="仿宋_GB2312" w:cs="仿宋_GB2312"/>
          <w:color w:val="auto"/>
          <w:spacing w:val="0"/>
          <w:kern w:val="2"/>
          <w:sz w:val="30"/>
          <w:szCs w:val="30"/>
          <w:lang w:val="en-US" w:eastAsia="zh-CN" w:bidi="ar-SA"/>
        </w:rPr>
        <w:instrText xml:space="preserve"> HYPERLINK "http://192.168.20.11/weboos/std/showEBook.aspx?fileid=18069" \t "_blank" </w:instrText>
      </w:r>
      <w:r>
        <w:rPr>
          <w:rFonts w:hint="eastAsia" w:ascii="仿宋_GB2312" w:hAnsi="仿宋_GB2312" w:eastAsia="仿宋_GB2312" w:cs="仿宋_GB2312"/>
          <w:color w:val="auto"/>
          <w:spacing w:val="0"/>
          <w:kern w:val="2"/>
          <w:sz w:val="30"/>
          <w:szCs w:val="30"/>
          <w:lang w:val="en-US" w:eastAsia="zh-CN" w:bidi="ar-SA"/>
        </w:rPr>
        <w:fldChar w:fldCharType="separate"/>
      </w:r>
      <w:r>
        <w:rPr>
          <w:rFonts w:hint="eastAsia" w:ascii="仿宋_GB2312" w:hAnsi="仿宋_GB2312" w:eastAsia="仿宋_GB2312" w:cs="仿宋_GB2312"/>
          <w:color w:val="auto"/>
          <w:spacing w:val="0"/>
          <w:kern w:val="2"/>
          <w:sz w:val="30"/>
          <w:szCs w:val="30"/>
          <w:lang w:val="en-US" w:eastAsia="zh-CN" w:bidi="ar-SA"/>
        </w:rPr>
        <w:t>房屋建筑和市政基础设施工程勘察文件编制深度规定》( (2010年版)---建质[2010]215号</w:t>
      </w:r>
      <w:r>
        <w:rPr>
          <w:rFonts w:hint="eastAsia" w:ascii="仿宋_GB2312" w:hAnsi="仿宋_GB2312" w:eastAsia="仿宋_GB2312" w:cs="仿宋_GB2312"/>
          <w:color w:val="auto"/>
          <w:spacing w:val="0"/>
          <w:kern w:val="2"/>
          <w:sz w:val="30"/>
          <w:szCs w:val="30"/>
          <w:lang w:val="en-US" w:eastAsia="zh-CN" w:bidi="ar-SA"/>
        </w:rPr>
        <w:fldChar w:fldCharType="end"/>
      </w:r>
      <w:r>
        <w:rPr>
          <w:rFonts w:hint="eastAsia" w:ascii="仿宋_GB2312" w:hAnsi="仿宋_GB2312" w:eastAsia="仿宋_GB2312" w:cs="仿宋_GB2312"/>
          <w:color w:val="auto"/>
          <w:spacing w:val="0"/>
          <w:kern w:val="2"/>
          <w:sz w:val="30"/>
          <w:szCs w:val="30"/>
          <w:lang w:val="en-US" w:eastAsia="zh-CN" w:bidi="ar-SA"/>
        </w:rPr>
        <w:t>) 及本地区勘察规范条例要求。</w:t>
      </w:r>
    </w:p>
    <w:p>
      <w:pPr>
        <w:pStyle w:val="13"/>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三、成果资料要求</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（1）工程勘察成果报告书（成品）。</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（2）工程勘察数据成果表（成品）。</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（3）工程勘察相关图纸（成品）。</w:t>
      </w:r>
    </w:p>
    <w:p>
      <w:pPr>
        <w:pStyle w:val="8"/>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（4）工程勘察成果及资料的电子文件。</w:t>
      </w:r>
    </w:p>
    <w:p>
      <w:pPr>
        <w:pStyle w:val="13"/>
        <w:spacing w:before="0" w:after="0" w:line="360" w:lineRule="auto"/>
        <w:ind w:firstLine="300" w:firstLineChars="1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四、执行的主要规范标准</w:t>
      </w:r>
    </w:p>
    <w:p>
      <w:pPr>
        <w:snapToGrid w:val="0"/>
        <w:spacing w:line="360" w:lineRule="auto"/>
        <w:ind w:firstLine="482" w:firstLineChars="200"/>
        <w:rPr>
          <w:rFonts w:hint="eastAsia"/>
          <w:b/>
          <w:color w:val="000000"/>
          <w:sz w:val="24"/>
        </w:rPr>
      </w:pPr>
      <w:r>
        <w:rPr>
          <w:rFonts w:hint="eastAsia"/>
          <w:b/>
          <w:color w:val="000000"/>
          <w:sz w:val="24"/>
        </w:rPr>
        <w:t>国家标准：</w:t>
      </w:r>
    </w:p>
    <w:p>
      <w:pPr>
        <w:numPr>
          <w:ilvl w:val="0"/>
          <w:numId w:val="2"/>
        </w:numPr>
        <w:adjustRightInd w:val="0"/>
        <w:snapToGrid w:val="0"/>
        <w:spacing w:line="360" w:lineRule="auto"/>
        <w:jc w:val="left"/>
        <w:textAlignment w:val="baseline"/>
        <w:rPr>
          <w:rFonts w:ascii="宋体" w:hAnsi="宋体"/>
          <w:color w:val="000000"/>
          <w:sz w:val="24"/>
        </w:rPr>
      </w:pPr>
      <w:r>
        <w:rPr>
          <w:rFonts w:hint="eastAsia" w:ascii="宋体" w:hAnsi="宋体"/>
          <w:color w:val="000000"/>
          <w:sz w:val="24"/>
        </w:rPr>
        <w:t>《工程勘察通用规范》（GB500</w:t>
      </w:r>
      <w:r>
        <w:rPr>
          <w:rFonts w:ascii="宋体" w:hAnsi="宋体"/>
          <w:color w:val="000000"/>
          <w:sz w:val="24"/>
        </w:rPr>
        <w:t>17</w:t>
      </w:r>
      <w:r>
        <w:rPr>
          <w:rFonts w:hint="eastAsia" w:ascii="宋体" w:hAnsi="宋体"/>
          <w:color w:val="000000"/>
          <w:sz w:val="24"/>
        </w:rPr>
        <w:t>-20</w:t>
      </w:r>
      <w:r>
        <w:rPr>
          <w:rFonts w:ascii="宋体" w:hAnsi="宋体"/>
          <w:color w:val="000000"/>
          <w:sz w:val="24"/>
        </w:rPr>
        <w:t>21</w:t>
      </w:r>
      <w:r>
        <w:rPr>
          <w:rFonts w:hint="eastAsia" w:ascii="宋体" w:hAnsi="宋体"/>
          <w:color w:val="000000"/>
          <w:sz w:val="24"/>
        </w:rPr>
        <w:t>）</w:t>
      </w:r>
    </w:p>
    <w:p>
      <w:pPr>
        <w:numPr>
          <w:ilvl w:val="0"/>
          <w:numId w:val="2"/>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w:t>
      </w:r>
      <w:bookmarkStart w:id="13" w:name="_Hlk110013324"/>
      <w:r>
        <w:rPr>
          <w:rFonts w:hint="eastAsia" w:ascii="宋体" w:hAnsi="宋体"/>
          <w:color w:val="000000"/>
          <w:sz w:val="24"/>
        </w:rPr>
        <w:t>岩土工程勘察规范》（</w:t>
      </w:r>
      <w:r>
        <w:rPr>
          <w:rFonts w:ascii="宋体" w:hAnsi="宋体"/>
          <w:color w:val="000000"/>
          <w:sz w:val="24"/>
        </w:rPr>
        <w:t>GB50021-2001</w:t>
      </w:r>
      <w:r>
        <w:rPr>
          <w:rFonts w:hint="eastAsia" w:ascii="宋体" w:hAnsi="宋体"/>
          <w:color w:val="000000"/>
          <w:sz w:val="24"/>
        </w:rPr>
        <w:t>（2009版））</w:t>
      </w:r>
      <w:bookmarkEnd w:id="13"/>
    </w:p>
    <w:p>
      <w:pPr>
        <w:numPr>
          <w:ilvl w:val="0"/>
          <w:numId w:val="2"/>
        </w:numPr>
        <w:adjustRightInd w:val="0"/>
        <w:snapToGrid w:val="0"/>
        <w:spacing w:line="360" w:lineRule="auto"/>
        <w:jc w:val="left"/>
        <w:textAlignment w:val="baseline"/>
        <w:rPr>
          <w:rFonts w:ascii="宋体" w:hAnsi="宋体"/>
          <w:color w:val="000000"/>
          <w:sz w:val="24"/>
        </w:rPr>
      </w:pPr>
      <w:r>
        <w:rPr>
          <w:rFonts w:hint="eastAsia" w:ascii="宋体" w:hAnsi="宋体"/>
          <w:color w:val="000000"/>
          <w:sz w:val="24"/>
        </w:rPr>
        <w:t>《建筑与市政地基基础通用规范》（</w:t>
      </w:r>
      <w:r>
        <w:rPr>
          <w:rFonts w:ascii="宋体" w:hAnsi="宋体"/>
          <w:color w:val="000000"/>
          <w:sz w:val="24"/>
        </w:rPr>
        <w:t>GB55003-2021</w:t>
      </w:r>
      <w:r>
        <w:rPr>
          <w:rFonts w:hint="eastAsia" w:ascii="宋体" w:hAnsi="宋体"/>
          <w:color w:val="000000"/>
          <w:sz w:val="24"/>
        </w:rPr>
        <w:t>）</w:t>
      </w:r>
    </w:p>
    <w:p>
      <w:pPr>
        <w:numPr>
          <w:ilvl w:val="0"/>
          <w:numId w:val="2"/>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《建筑地基基础设计规范》（</w:t>
      </w:r>
      <w:r>
        <w:rPr>
          <w:rFonts w:ascii="宋体" w:hAnsi="宋体"/>
          <w:color w:val="000000"/>
          <w:sz w:val="24"/>
        </w:rPr>
        <w:t>GB50007-20</w:t>
      </w:r>
      <w:r>
        <w:rPr>
          <w:rFonts w:hint="eastAsia" w:ascii="宋体" w:hAnsi="宋体"/>
          <w:color w:val="000000"/>
          <w:sz w:val="24"/>
        </w:rPr>
        <w:t>11）</w:t>
      </w:r>
    </w:p>
    <w:p>
      <w:pPr>
        <w:numPr>
          <w:ilvl w:val="0"/>
          <w:numId w:val="2"/>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《建筑抗震设计规范》（</w:t>
      </w:r>
      <w:r>
        <w:rPr>
          <w:rFonts w:ascii="宋体" w:hAnsi="宋体"/>
          <w:color w:val="000000"/>
          <w:sz w:val="24"/>
        </w:rPr>
        <w:t>GB50011-20</w:t>
      </w:r>
      <w:r>
        <w:rPr>
          <w:rFonts w:hint="eastAsia" w:ascii="宋体" w:hAnsi="宋体"/>
          <w:color w:val="000000"/>
          <w:sz w:val="24"/>
        </w:rPr>
        <w:t>10（2016年版））</w:t>
      </w:r>
    </w:p>
    <w:p>
      <w:pPr>
        <w:numPr>
          <w:ilvl w:val="0"/>
          <w:numId w:val="2"/>
        </w:numPr>
        <w:adjustRightInd w:val="0"/>
        <w:snapToGrid w:val="0"/>
        <w:spacing w:line="360" w:lineRule="auto"/>
        <w:jc w:val="left"/>
        <w:textAlignment w:val="baseline"/>
        <w:rPr>
          <w:rFonts w:hint="eastAsia" w:ascii="宋体" w:hAnsi="宋体"/>
          <w:color w:val="000000"/>
          <w:sz w:val="24"/>
        </w:rPr>
      </w:pPr>
      <w:r>
        <w:rPr>
          <w:rFonts w:hint="eastAsia" w:ascii="宋体" w:hAnsi="宋体"/>
          <w:color w:val="000000"/>
          <w:sz w:val="24"/>
        </w:rPr>
        <w:t>《土工试验方法标准》（</w:t>
      </w:r>
      <w:r>
        <w:rPr>
          <w:rFonts w:hint="eastAsia" w:ascii="宋体" w:hAnsi="宋体"/>
          <w:bCs/>
          <w:sz w:val="24"/>
        </w:rPr>
        <w:t>GB/T 50123-2019</w:t>
      </w:r>
      <w:r>
        <w:rPr>
          <w:rFonts w:hint="eastAsia" w:ascii="宋体" w:hAnsi="宋体"/>
          <w:color w:val="000000"/>
          <w:sz w:val="24"/>
        </w:rPr>
        <w:t>）</w:t>
      </w:r>
    </w:p>
    <w:p>
      <w:pPr>
        <w:snapToGrid w:val="0"/>
        <w:spacing w:line="360" w:lineRule="auto"/>
        <w:ind w:firstLine="482" w:firstLineChars="200"/>
        <w:rPr>
          <w:b/>
          <w:color w:val="000000"/>
          <w:sz w:val="24"/>
        </w:rPr>
      </w:pPr>
      <w:r>
        <w:rPr>
          <w:rFonts w:hint="eastAsia"/>
          <w:b/>
          <w:color w:val="000000"/>
          <w:sz w:val="24"/>
        </w:rPr>
        <w:t>行业标准：</w:t>
      </w:r>
    </w:p>
    <w:p>
      <w:pPr>
        <w:numPr>
          <w:ilvl w:val="0"/>
          <w:numId w:val="3"/>
        </w:numPr>
        <w:adjustRightInd w:val="0"/>
        <w:snapToGrid w:val="0"/>
        <w:spacing w:line="360" w:lineRule="auto"/>
        <w:jc w:val="left"/>
        <w:textAlignment w:val="baseline"/>
        <w:rPr>
          <w:rFonts w:hint="eastAsia"/>
          <w:color w:val="000000"/>
          <w:sz w:val="24"/>
        </w:rPr>
      </w:pPr>
      <w:r>
        <w:rPr>
          <w:rFonts w:hint="eastAsia"/>
          <w:color w:val="000000"/>
          <w:sz w:val="24"/>
        </w:rPr>
        <w:t>《建筑桩基技术规范》（JGJ94－2008）</w:t>
      </w:r>
    </w:p>
    <w:p>
      <w:pPr>
        <w:numPr>
          <w:ilvl w:val="0"/>
          <w:numId w:val="3"/>
        </w:numPr>
        <w:adjustRightInd w:val="0"/>
        <w:snapToGrid w:val="0"/>
        <w:spacing w:line="360" w:lineRule="auto"/>
        <w:jc w:val="left"/>
        <w:textAlignment w:val="baseline"/>
        <w:rPr>
          <w:rFonts w:hint="eastAsia"/>
          <w:color w:val="000000"/>
          <w:sz w:val="24"/>
        </w:rPr>
      </w:pPr>
      <w:r>
        <w:rPr>
          <w:rFonts w:hint="eastAsia" w:ascii="宋体" w:hAnsi="宋体"/>
          <w:color w:val="000000"/>
          <w:sz w:val="24"/>
        </w:rPr>
        <w:t>《城市道路工程设计规范（2016年版）》（</w:t>
      </w:r>
      <w:r>
        <w:rPr>
          <w:rFonts w:ascii="宋体" w:hAnsi="宋体"/>
          <w:color w:val="000000"/>
          <w:sz w:val="24"/>
        </w:rPr>
        <w:t>CJJ37</w:t>
      </w:r>
      <w:r>
        <w:rPr>
          <w:rFonts w:hint="eastAsia" w:ascii="宋体" w:hAnsi="宋体"/>
          <w:color w:val="000000"/>
          <w:sz w:val="24"/>
        </w:rPr>
        <w:t>－2012）</w:t>
      </w:r>
    </w:p>
    <w:p>
      <w:pPr>
        <w:numPr>
          <w:ilvl w:val="0"/>
          <w:numId w:val="3"/>
        </w:numPr>
        <w:adjustRightInd w:val="0"/>
        <w:snapToGrid w:val="0"/>
        <w:spacing w:line="360" w:lineRule="auto"/>
        <w:jc w:val="left"/>
        <w:textAlignment w:val="baseline"/>
        <w:rPr>
          <w:rFonts w:hint="eastAsia"/>
          <w:color w:val="000000"/>
          <w:sz w:val="24"/>
        </w:rPr>
      </w:pPr>
      <w:r>
        <w:rPr>
          <w:rFonts w:hint="eastAsia" w:ascii="宋体" w:hAnsi="宋体"/>
          <w:color w:val="000000"/>
          <w:sz w:val="24"/>
        </w:rPr>
        <w:t>《建筑地基处理技术规范》（</w:t>
      </w:r>
      <w:r>
        <w:rPr>
          <w:rFonts w:ascii="宋体" w:hAnsi="宋体"/>
          <w:color w:val="000000"/>
          <w:sz w:val="24"/>
        </w:rPr>
        <w:t>JGJ79—20</w:t>
      </w:r>
      <w:r>
        <w:rPr>
          <w:rFonts w:hint="eastAsia" w:ascii="宋体" w:hAnsi="宋体"/>
          <w:color w:val="000000"/>
          <w:sz w:val="24"/>
        </w:rPr>
        <w:t>1</w:t>
      </w:r>
      <w:r>
        <w:rPr>
          <w:rFonts w:ascii="宋体" w:hAnsi="宋体"/>
          <w:color w:val="000000"/>
          <w:sz w:val="24"/>
        </w:rPr>
        <w:t>2</w:t>
      </w:r>
      <w:r>
        <w:rPr>
          <w:rFonts w:hint="eastAsia" w:ascii="宋体" w:hAnsi="宋体"/>
          <w:color w:val="000000"/>
          <w:sz w:val="24"/>
        </w:rPr>
        <w:t>）</w:t>
      </w:r>
    </w:p>
    <w:p>
      <w:pPr>
        <w:numPr>
          <w:ilvl w:val="0"/>
          <w:numId w:val="3"/>
        </w:numPr>
        <w:adjustRightInd w:val="0"/>
        <w:snapToGrid w:val="0"/>
        <w:spacing w:line="360" w:lineRule="auto"/>
        <w:jc w:val="left"/>
        <w:textAlignment w:val="baseline"/>
        <w:rPr>
          <w:rFonts w:hint="eastAsia"/>
          <w:sz w:val="24"/>
        </w:rPr>
      </w:pPr>
      <w:r>
        <w:rPr>
          <w:rFonts w:hint="eastAsia"/>
          <w:sz w:val="24"/>
        </w:rPr>
        <w:t>《</w:t>
      </w:r>
      <w:r>
        <w:rPr>
          <w:sz w:val="24"/>
        </w:rPr>
        <w:fldChar w:fldCharType="begin"/>
      </w:r>
      <w:r>
        <w:rPr>
          <w:sz w:val="24"/>
        </w:rPr>
        <w:instrText xml:space="preserve"> HYPERLINK "http://192.168.20.11/weboos/std/showEBook.aspx?fileid=121836" \t "_blank" </w:instrText>
      </w:r>
      <w:r>
        <w:rPr>
          <w:sz w:val="24"/>
        </w:rPr>
        <w:fldChar w:fldCharType="separate"/>
      </w:r>
      <w:r>
        <w:rPr>
          <w:sz w:val="24"/>
        </w:rPr>
        <w:t>公路工程地质勘察规范</w:t>
      </w:r>
      <w:r>
        <w:rPr>
          <w:rFonts w:hint="eastAsia"/>
          <w:sz w:val="24"/>
        </w:rPr>
        <w:t>》（</w:t>
      </w:r>
      <w:r>
        <w:rPr>
          <w:sz w:val="24"/>
        </w:rPr>
        <w:t>JTGC20-2011</w:t>
      </w:r>
      <w:r>
        <w:rPr>
          <w:sz w:val="24"/>
        </w:rPr>
        <w:fldChar w:fldCharType="end"/>
      </w:r>
      <w:r>
        <w:rPr>
          <w:rFonts w:hint="eastAsia"/>
          <w:sz w:val="24"/>
        </w:rPr>
        <w:t>）</w:t>
      </w:r>
    </w:p>
    <w:p>
      <w:pPr>
        <w:numPr>
          <w:ilvl w:val="0"/>
          <w:numId w:val="3"/>
        </w:numPr>
        <w:adjustRightInd w:val="0"/>
        <w:snapToGrid w:val="0"/>
        <w:spacing w:line="360" w:lineRule="auto"/>
        <w:jc w:val="left"/>
        <w:textAlignment w:val="baseline"/>
        <w:rPr>
          <w:rFonts w:hint="eastAsia"/>
          <w:sz w:val="24"/>
        </w:rPr>
      </w:pPr>
      <w:r>
        <w:rPr>
          <w:rFonts w:hint="eastAsia"/>
          <w:sz w:val="24"/>
        </w:rPr>
        <w:t>《公</w:t>
      </w:r>
      <w:r>
        <w:rPr>
          <w:sz w:val="24"/>
        </w:rPr>
        <w:t>路土工试验规程</w:t>
      </w:r>
      <w:r>
        <w:rPr>
          <w:rFonts w:hint="eastAsia"/>
          <w:sz w:val="24"/>
        </w:rPr>
        <w:t>》（</w:t>
      </w:r>
      <w:r>
        <w:rPr>
          <w:sz w:val="24"/>
        </w:rPr>
        <w:t>JTG 3430-2020</w:t>
      </w:r>
      <w:r>
        <w:rPr>
          <w:rFonts w:hint="eastAsia"/>
          <w:sz w:val="24"/>
        </w:rPr>
        <w:t>）</w:t>
      </w:r>
    </w:p>
    <w:p>
      <w:pPr>
        <w:pStyle w:val="2"/>
        <w:ind w:left="0" w:leftChars="0" w:firstLine="0" w:firstLineChars="0"/>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rPr>
          <w:rFonts w:hint="eastAsia"/>
          <w:lang w:val="en-US" w:eastAsia="zh-CN"/>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3"/>
        <w:snapToGrid w:val="0"/>
        <w:spacing w:line="240" w:lineRule="auto"/>
        <w:rPr>
          <w:rFonts w:hint="eastAsia" w:ascii="仿宋_GB2312" w:eastAsia="仿宋_GB2312"/>
          <w:color w:val="auto"/>
          <w:kern w:val="2"/>
          <w:sz w:val="24"/>
          <w:szCs w:val="24"/>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23"/>
        <w:snapToGrid w:val="0"/>
        <w:spacing w:line="240" w:lineRule="auto"/>
        <w:rPr>
          <w:rFonts w:hint="eastAsia" w:ascii="仿宋_GB2312" w:eastAsia="仿宋_GB2312"/>
          <w:color w:val="auto"/>
          <w:kern w:val="2"/>
          <w:sz w:val="24"/>
          <w:szCs w:val="24"/>
        </w:rPr>
      </w:pPr>
    </w:p>
    <w:tbl>
      <w:tblPr>
        <w:tblStyle w:val="16"/>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737"/>
        <w:gridCol w:w="709"/>
        <w:gridCol w:w="709"/>
        <w:gridCol w:w="1417"/>
        <w:gridCol w:w="1238"/>
        <w:gridCol w:w="1314"/>
        <w:gridCol w:w="1417"/>
        <w:gridCol w:w="1560"/>
        <w:gridCol w:w="269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13433" w:type="dxa"/>
            <w:gridSpan w:val="10"/>
            <w:shd w:val="clear" w:color="auto" w:fill="auto"/>
            <w:noWrap/>
            <w:vAlign w:val="center"/>
          </w:tcPr>
          <w:p>
            <w:pPr>
              <w:widowControl/>
              <w:jc w:val="left"/>
              <w:rPr>
                <w:b/>
                <w:color w:val="000000"/>
                <w:kern w:val="0"/>
                <w:sz w:val="24"/>
              </w:rPr>
            </w:pPr>
            <w:r>
              <w:rPr>
                <w:rFonts w:hint="eastAsia"/>
                <w:b/>
                <w:color w:val="000000"/>
                <w:kern w:val="0"/>
                <w:sz w:val="24"/>
              </w:rPr>
              <w:t xml:space="preserve">附表一 </w:t>
            </w:r>
            <w:r>
              <w:rPr>
                <w:rFonts w:hint="eastAsia"/>
                <w:b/>
                <w:sz w:val="24"/>
              </w:rPr>
              <w:t>各单体附加荷载及基础形式一览表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639" w:type="dxa"/>
            <w:shd w:val="clear" w:color="auto" w:fill="auto"/>
            <w:noWrap/>
            <w:vAlign w:val="center"/>
          </w:tcPr>
          <w:p>
            <w:pPr>
              <w:widowControl/>
              <w:jc w:val="center"/>
              <w:rPr>
                <w:b/>
                <w:color w:val="000000"/>
                <w:kern w:val="0"/>
                <w:szCs w:val="21"/>
              </w:rPr>
            </w:pPr>
            <w:r>
              <w:rPr>
                <w:b/>
                <w:color w:val="000000"/>
                <w:kern w:val="0"/>
                <w:szCs w:val="21"/>
              </w:rPr>
              <w:t>序号</w:t>
            </w:r>
          </w:p>
        </w:tc>
        <w:tc>
          <w:tcPr>
            <w:tcW w:w="1737" w:type="dxa"/>
            <w:shd w:val="clear" w:color="auto" w:fill="auto"/>
            <w:noWrap/>
            <w:vAlign w:val="center"/>
          </w:tcPr>
          <w:p>
            <w:pPr>
              <w:widowControl/>
              <w:jc w:val="center"/>
              <w:rPr>
                <w:b/>
                <w:color w:val="000000"/>
                <w:kern w:val="0"/>
                <w:szCs w:val="21"/>
              </w:rPr>
            </w:pPr>
            <w:r>
              <w:rPr>
                <w:b/>
                <w:color w:val="000000"/>
                <w:kern w:val="0"/>
                <w:szCs w:val="21"/>
              </w:rPr>
              <w:t>单体名称</w:t>
            </w:r>
          </w:p>
        </w:tc>
        <w:tc>
          <w:tcPr>
            <w:tcW w:w="709" w:type="dxa"/>
            <w:shd w:val="clear" w:color="auto" w:fill="auto"/>
            <w:noWrap/>
            <w:vAlign w:val="center"/>
          </w:tcPr>
          <w:p>
            <w:pPr>
              <w:widowControl/>
              <w:jc w:val="center"/>
              <w:rPr>
                <w:b/>
                <w:color w:val="000000"/>
                <w:kern w:val="0"/>
                <w:szCs w:val="21"/>
              </w:rPr>
            </w:pPr>
            <w:r>
              <w:rPr>
                <w:b/>
                <w:color w:val="000000"/>
                <w:kern w:val="0"/>
                <w:szCs w:val="21"/>
              </w:rPr>
              <w:t>数量</w:t>
            </w:r>
          </w:p>
        </w:tc>
        <w:tc>
          <w:tcPr>
            <w:tcW w:w="709" w:type="dxa"/>
            <w:shd w:val="clear" w:color="auto" w:fill="auto"/>
            <w:noWrap/>
            <w:vAlign w:val="center"/>
          </w:tcPr>
          <w:p>
            <w:pPr>
              <w:widowControl/>
              <w:jc w:val="center"/>
              <w:rPr>
                <w:b/>
                <w:color w:val="000000"/>
                <w:kern w:val="0"/>
                <w:szCs w:val="21"/>
              </w:rPr>
            </w:pPr>
            <w:r>
              <w:rPr>
                <w:b/>
                <w:color w:val="000000"/>
                <w:kern w:val="0"/>
                <w:szCs w:val="21"/>
              </w:rPr>
              <w:t>单位</w:t>
            </w:r>
          </w:p>
        </w:tc>
        <w:tc>
          <w:tcPr>
            <w:tcW w:w="1417" w:type="dxa"/>
            <w:shd w:val="clear" w:color="auto" w:fill="auto"/>
            <w:noWrap/>
            <w:vAlign w:val="center"/>
          </w:tcPr>
          <w:p>
            <w:pPr>
              <w:widowControl/>
              <w:jc w:val="center"/>
              <w:rPr>
                <w:b/>
                <w:color w:val="000000"/>
                <w:kern w:val="0"/>
                <w:szCs w:val="21"/>
              </w:rPr>
            </w:pPr>
            <w:r>
              <w:rPr>
                <w:rFonts w:hint="eastAsia"/>
                <w:b/>
                <w:color w:val="000000"/>
                <w:kern w:val="0"/>
                <w:szCs w:val="21"/>
              </w:rPr>
              <w:t>结构类型</w:t>
            </w:r>
          </w:p>
        </w:tc>
        <w:tc>
          <w:tcPr>
            <w:tcW w:w="1238" w:type="dxa"/>
            <w:shd w:val="clear" w:color="auto" w:fill="auto"/>
            <w:noWrap w:val="0"/>
            <w:vAlign w:val="center"/>
          </w:tcPr>
          <w:p>
            <w:pPr>
              <w:widowControl/>
              <w:jc w:val="center"/>
              <w:rPr>
                <w:b/>
                <w:color w:val="000000"/>
                <w:kern w:val="0"/>
                <w:szCs w:val="21"/>
              </w:rPr>
            </w:pPr>
            <w:r>
              <w:rPr>
                <w:rFonts w:hint="eastAsia"/>
                <w:b/>
                <w:color w:val="000000"/>
                <w:kern w:val="0"/>
                <w:szCs w:val="21"/>
              </w:rPr>
              <w:t>基础形式</w:t>
            </w:r>
          </w:p>
          <w:p>
            <w:pPr>
              <w:widowControl/>
              <w:jc w:val="center"/>
              <w:rPr>
                <w:rFonts w:hint="eastAsia"/>
                <w:b/>
                <w:color w:val="000000"/>
                <w:kern w:val="0"/>
                <w:szCs w:val="21"/>
              </w:rPr>
            </w:pPr>
            <w:r>
              <w:rPr>
                <w:rFonts w:hint="eastAsia"/>
                <w:b/>
                <w:color w:val="000000"/>
                <w:kern w:val="0"/>
                <w:szCs w:val="21"/>
              </w:rPr>
              <w:t>（拟采用）</w:t>
            </w:r>
          </w:p>
        </w:tc>
        <w:tc>
          <w:tcPr>
            <w:tcW w:w="1314" w:type="dxa"/>
            <w:shd w:val="clear" w:color="auto" w:fill="auto"/>
            <w:noWrap w:val="0"/>
            <w:vAlign w:val="center"/>
          </w:tcPr>
          <w:p>
            <w:pPr>
              <w:widowControl/>
              <w:jc w:val="center"/>
              <w:rPr>
                <w:b/>
                <w:color w:val="000000"/>
                <w:kern w:val="0"/>
                <w:szCs w:val="21"/>
              </w:rPr>
            </w:pPr>
            <w:r>
              <w:rPr>
                <w:rFonts w:hint="eastAsia"/>
                <w:b/>
                <w:color w:val="000000"/>
                <w:kern w:val="0"/>
                <w:szCs w:val="21"/>
              </w:rPr>
              <w:t>单柱荷载设计值（kN）</w:t>
            </w:r>
          </w:p>
        </w:tc>
        <w:tc>
          <w:tcPr>
            <w:tcW w:w="1417" w:type="dxa"/>
            <w:shd w:val="clear" w:color="auto" w:fill="auto"/>
            <w:noWrap w:val="0"/>
            <w:vAlign w:val="center"/>
          </w:tcPr>
          <w:p>
            <w:pPr>
              <w:widowControl/>
              <w:jc w:val="center"/>
              <w:rPr>
                <w:b/>
                <w:color w:val="000000"/>
                <w:kern w:val="0"/>
                <w:szCs w:val="21"/>
              </w:rPr>
            </w:pPr>
            <w:r>
              <w:rPr>
                <w:rFonts w:hint="eastAsia"/>
                <w:b/>
                <w:color w:val="000000"/>
                <w:kern w:val="0"/>
                <w:szCs w:val="21"/>
              </w:rPr>
              <w:t>基底荷载</w:t>
            </w:r>
          </w:p>
          <w:p>
            <w:pPr>
              <w:widowControl/>
              <w:jc w:val="center"/>
              <w:rPr>
                <w:rFonts w:hint="eastAsia"/>
                <w:b/>
                <w:color w:val="000000"/>
                <w:kern w:val="0"/>
                <w:szCs w:val="21"/>
              </w:rPr>
            </w:pPr>
            <w:r>
              <w:rPr>
                <w:rFonts w:hint="eastAsia"/>
                <w:b/>
                <w:color w:val="000000"/>
                <w:kern w:val="0"/>
                <w:szCs w:val="21"/>
              </w:rPr>
              <w:t>（kPa）</w:t>
            </w:r>
          </w:p>
        </w:tc>
        <w:tc>
          <w:tcPr>
            <w:tcW w:w="1560" w:type="dxa"/>
            <w:shd w:val="clear" w:color="auto" w:fill="auto"/>
            <w:noWrap/>
            <w:vAlign w:val="center"/>
          </w:tcPr>
          <w:p>
            <w:pPr>
              <w:widowControl/>
              <w:jc w:val="center"/>
              <w:rPr>
                <w:rFonts w:hint="eastAsia"/>
                <w:b/>
                <w:color w:val="000000"/>
                <w:kern w:val="0"/>
                <w:szCs w:val="21"/>
              </w:rPr>
            </w:pPr>
            <w:r>
              <w:rPr>
                <w:rFonts w:hint="eastAsia"/>
                <w:b/>
                <w:color w:val="000000"/>
                <w:kern w:val="0"/>
                <w:szCs w:val="21"/>
              </w:rPr>
              <w:t>基础埋深</w:t>
            </w:r>
          </w:p>
          <w:p>
            <w:pPr>
              <w:widowControl/>
              <w:jc w:val="center"/>
              <w:rPr>
                <w:b/>
                <w:color w:val="000000"/>
                <w:kern w:val="0"/>
                <w:szCs w:val="21"/>
              </w:rPr>
            </w:pPr>
            <w:r>
              <w:rPr>
                <w:rFonts w:hint="eastAsia"/>
                <w:b/>
                <w:color w:val="000000"/>
                <w:kern w:val="0"/>
                <w:szCs w:val="21"/>
              </w:rPr>
              <w:t>(m)</w:t>
            </w:r>
          </w:p>
        </w:tc>
        <w:tc>
          <w:tcPr>
            <w:tcW w:w="2693" w:type="dxa"/>
            <w:shd w:val="clear" w:color="auto" w:fill="auto"/>
            <w:noWrap/>
            <w:vAlign w:val="center"/>
          </w:tcPr>
          <w:p>
            <w:pPr>
              <w:widowControl/>
              <w:jc w:val="center"/>
              <w:rPr>
                <w:b/>
                <w:color w:val="000000"/>
                <w:kern w:val="0"/>
                <w:szCs w:val="21"/>
              </w:rPr>
            </w:pPr>
            <w:r>
              <w:rPr>
                <w:b/>
                <w:color w:val="000000"/>
                <w:kern w:val="0"/>
                <w:szCs w:val="21"/>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39" w:type="dxa"/>
            <w:shd w:val="clear" w:color="auto" w:fill="auto"/>
            <w:noWrap/>
            <w:vAlign w:val="top"/>
          </w:tcPr>
          <w:p>
            <w:pPr>
              <w:widowControl/>
              <w:jc w:val="center"/>
              <w:rPr>
                <w:color w:val="000000"/>
                <w:kern w:val="0"/>
                <w:szCs w:val="21"/>
              </w:rPr>
            </w:pPr>
            <w:bookmarkStart w:id="14" w:name="_Hlk112243354"/>
            <w:r>
              <w:rPr>
                <w:rFonts w:hint="eastAsia"/>
              </w:rPr>
              <w:t>101</w:t>
            </w:r>
          </w:p>
        </w:tc>
        <w:tc>
          <w:tcPr>
            <w:tcW w:w="1737" w:type="dxa"/>
            <w:shd w:val="clear" w:color="auto" w:fill="auto"/>
            <w:noWrap/>
            <w:vAlign w:val="top"/>
          </w:tcPr>
          <w:p>
            <w:pPr>
              <w:widowControl/>
              <w:jc w:val="center"/>
              <w:rPr>
                <w:rFonts w:hint="eastAsia"/>
                <w:color w:val="000000"/>
                <w:kern w:val="0"/>
                <w:szCs w:val="21"/>
              </w:rPr>
            </w:pPr>
            <w:r>
              <w:rPr>
                <w:rFonts w:hint="eastAsia"/>
                <w:color w:val="000000"/>
                <w:kern w:val="0"/>
                <w:szCs w:val="21"/>
              </w:rPr>
              <w:t>倒班休息楼</w:t>
            </w:r>
          </w:p>
        </w:tc>
        <w:tc>
          <w:tcPr>
            <w:tcW w:w="709" w:type="dxa"/>
            <w:shd w:val="clear" w:color="auto" w:fill="auto"/>
            <w:noWrap/>
            <w:vAlign w:val="center"/>
          </w:tcPr>
          <w:p>
            <w:pPr>
              <w:widowControl/>
              <w:jc w:val="center"/>
              <w:rPr>
                <w:color w:val="000000"/>
                <w:kern w:val="0"/>
                <w:szCs w:val="21"/>
              </w:rPr>
            </w:pPr>
            <w:r>
              <w:rPr>
                <w:color w:val="000000"/>
                <w:kern w:val="0"/>
                <w:szCs w:val="21"/>
              </w:rPr>
              <w:t>1</w:t>
            </w:r>
          </w:p>
        </w:tc>
        <w:tc>
          <w:tcPr>
            <w:tcW w:w="709" w:type="dxa"/>
            <w:shd w:val="clear" w:color="auto" w:fill="auto"/>
            <w:noWrap/>
            <w:vAlign w:val="center"/>
          </w:tcPr>
          <w:p>
            <w:pPr>
              <w:widowControl/>
              <w:jc w:val="center"/>
              <w:rPr>
                <w:color w:val="000000"/>
                <w:kern w:val="0"/>
                <w:szCs w:val="21"/>
              </w:rPr>
            </w:pPr>
            <w:r>
              <w:rPr>
                <w:color w:val="000000"/>
                <w:kern w:val="0"/>
                <w:szCs w:val="21"/>
              </w:rPr>
              <w:t>座</w:t>
            </w:r>
          </w:p>
        </w:tc>
        <w:tc>
          <w:tcPr>
            <w:tcW w:w="1417" w:type="dxa"/>
            <w:shd w:val="clear" w:color="auto" w:fill="auto"/>
            <w:noWrap/>
            <w:vAlign w:val="center"/>
          </w:tcPr>
          <w:p>
            <w:pPr>
              <w:widowControl/>
              <w:jc w:val="center"/>
              <w:rPr>
                <w:color w:val="000000"/>
                <w:kern w:val="0"/>
                <w:szCs w:val="21"/>
              </w:rPr>
            </w:pPr>
            <w:r>
              <w:rPr>
                <w:rFonts w:hint="eastAsia"/>
                <w:color w:val="000000"/>
                <w:kern w:val="0"/>
                <w:szCs w:val="21"/>
              </w:rPr>
              <w:t>框架结构+地下室</w:t>
            </w:r>
          </w:p>
        </w:tc>
        <w:tc>
          <w:tcPr>
            <w:tcW w:w="1238" w:type="dxa"/>
            <w:shd w:val="clear" w:color="auto" w:fill="auto"/>
            <w:noWrap w:val="0"/>
            <w:vAlign w:val="center"/>
          </w:tcPr>
          <w:p>
            <w:pPr>
              <w:widowControl/>
              <w:jc w:val="center"/>
              <w:rPr>
                <w:color w:val="000000"/>
                <w:kern w:val="0"/>
                <w:szCs w:val="21"/>
              </w:rPr>
            </w:pPr>
            <w:r>
              <w:rPr>
                <w:rFonts w:hint="eastAsia"/>
                <w:color w:val="000000"/>
                <w:kern w:val="0"/>
                <w:szCs w:val="21"/>
              </w:rPr>
              <w:t>桩基础</w:t>
            </w:r>
          </w:p>
        </w:tc>
        <w:tc>
          <w:tcPr>
            <w:tcW w:w="1314" w:type="dxa"/>
            <w:shd w:val="clear" w:color="auto" w:fill="auto"/>
            <w:noWrap w:val="0"/>
            <w:vAlign w:val="center"/>
          </w:tcPr>
          <w:p>
            <w:pPr>
              <w:widowControl/>
              <w:jc w:val="center"/>
              <w:rPr>
                <w:color w:val="000000"/>
                <w:kern w:val="0"/>
                <w:szCs w:val="21"/>
              </w:rPr>
            </w:pPr>
            <w:r>
              <w:rPr>
                <w:rFonts w:ascii="宋体" w:hAnsi="宋体" w:cs="宋体"/>
                <w:color w:val="000000"/>
                <w:kern w:val="0"/>
                <w:szCs w:val="21"/>
              </w:rPr>
              <w:t>130</w:t>
            </w:r>
            <w:r>
              <w:rPr>
                <w:rFonts w:hint="eastAsia" w:ascii="宋体" w:hAnsi="宋体" w:cs="宋体"/>
                <w:color w:val="000000"/>
                <w:kern w:val="0"/>
                <w:szCs w:val="21"/>
              </w:rPr>
              <w:t>00 kN</w:t>
            </w:r>
          </w:p>
        </w:tc>
        <w:tc>
          <w:tcPr>
            <w:tcW w:w="1417" w:type="dxa"/>
            <w:shd w:val="clear" w:color="auto" w:fill="auto"/>
            <w:noWrap w:val="0"/>
            <w:vAlign w:val="center"/>
          </w:tcPr>
          <w:p>
            <w:pPr>
              <w:widowControl/>
              <w:jc w:val="center"/>
              <w:rPr>
                <w:color w:val="000000"/>
                <w:kern w:val="0"/>
                <w:szCs w:val="21"/>
              </w:rPr>
            </w:pPr>
            <w:r>
              <w:rPr>
                <w:color w:val="000000"/>
                <w:kern w:val="0"/>
                <w:szCs w:val="21"/>
              </w:rPr>
              <w:t>150</w:t>
            </w:r>
            <w:r>
              <w:rPr>
                <w:rFonts w:hint="eastAsia" w:ascii="宋体" w:hAnsi="宋体" w:cs="宋体"/>
                <w:color w:val="000000"/>
                <w:kern w:val="0"/>
                <w:szCs w:val="21"/>
              </w:rPr>
              <w:t xml:space="preserve"> kPa</w:t>
            </w:r>
          </w:p>
        </w:tc>
        <w:tc>
          <w:tcPr>
            <w:tcW w:w="1560" w:type="dxa"/>
            <w:shd w:val="clear" w:color="auto" w:fill="auto"/>
            <w:noWrap/>
            <w:vAlign w:val="center"/>
          </w:tcPr>
          <w:p>
            <w:pPr>
              <w:widowControl/>
              <w:jc w:val="center"/>
              <w:rPr>
                <w:color w:val="000000"/>
                <w:kern w:val="0"/>
                <w:szCs w:val="21"/>
              </w:rPr>
            </w:pPr>
            <w:r>
              <w:rPr>
                <w:rFonts w:hint="eastAsia"/>
                <w:color w:val="000000"/>
                <w:kern w:val="0"/>
                <w:szCs w:val="21"/>
              </w:rPr>
              <w:t>-</w:t>
            </w:r>
            <w:r>
              <w:rPr>
                <w:color w:val="000000"/>
                <w:kern w:val="0"/>
                <w:szCs w:val="21"/>
              </w:rPr>
              <w:t>5.5</w:t>
            </w:r>
          </w:p>
        </w:tc>
        <w:tc>
          <w:tcPr>
            <w:tcW w:w="2693" w:type="dxa"/>
            <w:shd w:val="clear" w:color="auto" w:fill="auto"/>
            <w:noWrap/>
            <w:vAlign w:val="center"/>
          </w:tcPr>
          <w:p>
            <w:pPr>
              <w:widowControl/>
              <w:jc w:val="center"/>
              <w:rPr>
                <w:color w:val="000000"/>
                <w:kern w:val="0"/>
                <w:szCs w:val="21"/>
              </w:rPr>
            </w:pPr>
            <w:r>
              <w:rPr>
                <w:rFonts w:hint="eastAsia"/>
                <w:color w:val="000000"/>
                <w:kern w:val="0"/>
                <w:szCs w:val="21"/>
              </w:rPr>
              <w:t>需考虑抗浮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39" w:type="dxa"/>
            <w:shd w:val="clear" w:color="auto" w:fill="auto"/>
            <w:noWrap/>
            <w:vAlign w:val="top"/>
          </w:tcPr>
          <w:p>
            <w:pPr>
              <w:widowControl/>
              <w:jc w:val="center"/>
              <w:rPr>
                <w:color w:val="000000"/>
                <w:kern w:val="0"/>
                <w:szCs w:val="21"/>
              </w:rPr>
            </w:pPr>
            <w:r>
              <w:rPr>
                <w:rFonts w:hint="eastAsia"/>
              </w:rPr>
              <w:t>102</w:t>
            </w:r>
          </w:p>
        </w:tc>
        <w:tc>
          <w:tcPr>
            <w:tcW w:w="1737" w:type="dxa"/>
            <w:shd w:val="clear" w:color="auto" w:fill="auto"/>
            <w:noWrap/>
            <w:vAlign w:val="top"/>
          </w:tcPr>
          <w:p>
            <w:pPr>
              <w:widowControl/>
              <w:jc w:val="center"/>
              <w:rPr>
                <w:color w:val="000000"/>
                <w:kern w:val="0"/>
                <w:szCs w:val="21"/>
              </w:rPr>
            </w:pPr>
            <w:r>
              <w:rPr>
                <w:rFonts w:hint="eastAsia"/>
                <w:color w:val="000000"/>
                <w:kern w:val="0"/>
                <w:szCs w:val="21"/>
              </w:rPr>
              <w:t>业务用房</w:t>
            </w:r>
          </w:p>
        </w:tc>
        <w:tc>
          <w:tcPr>
            <w:tcW w:w="709" w:type="dxa"/>
            <w:shd w:val="clear" w:color="auto" w:fill="auto"/>
            <w:noWrap/>
            <w:vAlign w:val="center"/>
          </w:tcPr>
          <w:p>
            <w:pPr>
              <w:widowControl/>
              <w:jc w:val="center"/>
              <w:rPr>
                <w:color w:val="000000"/>
                <w:kern w:val="0"/>
                <w:szCs w:val="21"/>
              </w:rPr>
            </w:pPr>
            <w:r>
              <w:rPr>
                <w:color w:val="000000"/>
                <w:kern w:val="0"/>
                <w:szCs w:val="21"/>
              </w:rPr>
              <w:t>1</w:t>
            </w:r>
          </w:p>
        </w:tc>
        <w:tc>
          <w:tcPr>
            <w:tcW w:w="709" w:type="dxa"/>
            <w:shd w:val="clear" w:color="auto" w:fill="auto"/>
            <w:noWrap/>
            <w:vAlign w:val="center"/>
          </w:tcPr>
          <w:p>
            <w:pPr>
              <w:widowControl/>
              <w:jc w:val="center"/>
              <w:rPr>
                <w:color w:val="000000"/>
                <w:kern w:val="0"/>
                <w:szCs w:val="21"/>
              </w:rPr>
            </w:pPr>
            <w:r>
              <w:rPr>
                <w:rFonts w:hint="eastAsia"/>
                <w:color w:val="000000"/>
                <w:kern w:val="0"/>
                <w:szCs w:val="21"/>
              </w:rPr>
              <w:t>座</w:t>
            </w:r>
          </w:p>
        </w:tc>
        <w:tc>
          <w:tcPr>
            <w:tcW w:w="1417" w:type="dxa"/>
            <w:shd w:val="clear" w:color="auto" w:fill="auto"/>
            <w:noWrap/>
            <w:vAlign w:val="center"/>
          </w:tcPr>
          <w:p>
            <w:pPr>
              <w:widowControl/>
              <w:jc w:val="center"/>
              <w:rPr>
                <w:color w:val="000000"/>
                <w:kern w:val="0"/>
                <w:szCs w:val="21"/>
              </w:rPr>
            </w:pPr>
            <w:r>
              <w:rPr>
                <w:rFonts w:hint="eastAsia"/>
                <w:color w:val="000000"/>
                <w:kern w:val="0"/>
                <w:szCs w:val="21"/>
              </w:rPr>
              <w:t>框架结构</w:t>
            </w:r>
          </w:p>
        </w:tc>
        <w:tc>
          <w:tcPr>
            <w:tcW w:w="1238" w:type="dxa"/>
            <w:shd w:val="clear" w:color="auto" w:fill="auto"/>
            <w:noWrap w:val="0"/>
            <w:vAlign w:val="center"/>
          </w:tcPr>
          <w:p>
            <w:pPr>
              <w:widowControl/>
              <w:jc w:val="center"/>
              <w:rPr>
                <w:color w:val="000000"/>
                <w:kern w:val="0"/>
                <w:szCs w:val="21"/>
              </w:rPr>
            </w:pPr>
            <w:r>
              <w:rPr>
                <w:rFonts w:hint="eastAsia"/>
                <w:color w:val="000000"/>
                <w:kern w:val="0"/>
                <w:szCs w:val="21"/>
              </w:rPr>
              <w:t>桩基础</w:t>
            </w:r>
          </w:p>
        </w:tc>
        <w:tc>
          <w:tcPr>
            <w:tcW w:w="1314" w:type="dxa"/>
            <w:shd w:val="clear" w:color="auto" w:fill="auto"/>
            <w:noWrap w:val="0"/>
            <w:vAlign w:val="center"/>
          </w:tcPr>
          <w:p>
            <w:pPr>
              <w:widowControl/>
              <w:jc w:val="center"/>
              <w:rPr>
                <w:color w:val="000000"/>
                <w:kern w:val="0"/>
                <w:szCs w:val="21"/>
              </w:rPr>
            </w:pPr>
            <w:r>
              <w:rPr>
                <w:rFonts w:ascii="宋体" w:hAnsi="宋体" w:cs="宋体"/>
                <w:color w:val="000000"/>
                <w:kern w:val="0"/>
                <w:szCs w:val="21"/>
              </w:rPr>
              <w:t>30</w:t>
            </w:r>
            <w:r>
              <w:rPr>
                <w:rFonts w:hint="eastAsia" w:ascii="宋体" w:hAnsi="宋体" w:cs="宋体"/>
                <w:color w:val="000000"/>
                <w:kern w:val="0"/>
                <w:szCs w:val="21"/>
              </w:rPr>
              <w:t>00 kN</w:t>
            </w:r>
          </w:p>
        </w:tc>
        <w:tc>
          <w:tcPr>
            <w:tcW w:w="1417" w:type="dxa"/>
            <w:shd w:val="clear" w:color="auto" w:fill="auto"/>
            <w:noWrap w:val="0"/>
            <w:vAlign w:val="center"/>
          </w:tcPr>
          <w:p>
            <w:pPr>
              <w:widowControl/>
              <w:jc w:val="center"/>
              <w:rPr>
                <w:color w:val="000000"/>
                <w:kern w:val="0"/>
                <w:szCs w:val="21"/>
              </w:rPr>
            </w:pPr>
            <w:r>
              <w:rPr>
                <w:rFonts w:hint="eastAsia"/>
                <w:color w:val="000000"/>
                <w:kern w:val="0"/>
                <w:szCs w:val="21"/>
              </w:rPr>
              <w:t>-</w:t>
            </w:r>
          </w:p>
        </w:tc>
        <w:tc>
          <w:tcPr>
            <w:tcW w:w="1560" w:type="dxa"/>
            <w:shd w:val="clear" w:color="auto" w:fill="auto"/>
            <w:noWrap/>
            <w:vAlign w:val="center"/>
          </w:tcPr>
          <w:p>
            <w:pPr>
              <w:widowControl/>
              <w:jc w:val="center"/>
              <w:rPr>
                <w:color w:val="000000"/>
                <w:kern w:val="0"/>
                <w:szCs w:val="21"/>
              </w:rPr>
            </w:pPr>
            <w:r>
              <w:rPr>
                <w:rFonts w:hint="eastAsia"/>
                <w:color w:val="000000"/>
                <w:kern w:val="0"/>
                <w:szCs w:val="21"/>
              </w:rPr>
              <w:t>-</w:t>
            </w:r>
            <w:r>
              <w:rPr>
                <w:color w:val="000000"/>
                <w:kern w:val="0"/>
                <w:szCs w:val="21"/>
              </w:rPr>
              <w:t>1.8</w:t>
            </w:r>
          </w:p>
        </w:tc>
        <w:tc>
          <w:tcPr>
            <w:tcW w:w="2693" w:type="dxa"/>
            <w:shd w:val="clear" w:color="auto" w:fill="auto"/>
            <w:noWrap/>
            <w:vAlign w:val="center"/>
          </w:tcPr>
          <w:p>
            <w:pPr>
              <w:widowControl/>
              <w:jc w:val="center"/>
              <w:rPr>
                <w:rFonts w:hint="eastAsia"/>
                <w:color w:val="000000"/>
                <w:kern w:val="0"/>
                <w:szCs w:val="21"/>
              </w:rPr>
            </w:pPr>
          </w:p>
        </w:tc>
      </w:tr>
      <w:bookmarkEnd w:id="14"/>
    </w:tbl>
    <w:p>
      <w:pPr>
        <w:pStyle w:val="23"/>
        <w:snapToGrid w:val="0"/>
        <w:spacing w:line="240" w:lineRule="auto"/>
        <w:ind w:left="0" w:leftChars="0" w:firstLine="0" w:firstLineChars="0"/>
        <w:rPr>
          <w:rFonts w:hint="eastAsia" w:ascii="仿宋_GB2312" w:eastAsia="仿宋_GB2312"/>
          <w:color w:val="auto"/>
          <w:kern w:val="2"/>
          <w:sz w:val="24"/>
          <w:szCs w:val="24"/>
        </w:rPr>
      </w:pPr>
    </w:p>
    <w:p>
      <w:pPr>
        <w:pStyle w:val="23"/>
        <w:snapToGrid w:val="0"/>
        <w:spacing w:line="240" w:lineRule="auto"/>
        <w:rPr>
          <w:rFonts w:hint="eastAsia" w:ascii="仿宋_GB2312" w:eastAsia="仿宋_GB2312"/>
          <w:color w:val="auto"/>
          <w:kern w:val="2"/>
          <w:sz w:val="24"/>
          <w:szCs w:val="24"/>
        </w:rPr>
      </w:pPr>
    </w:p>
    <w:p>
      <w:pPr>
        <w:pStyle w:val="23"/>
        <w:snapToGrid w:val="0"/>
        <w:spacing w:line="240" w:lineRule="auto"/>
        <w:rPr>
          <w:rFonts w:hint="eastAsia" w:ascii="仿宋_GB2312" w:eastAsia="仿宋_GB2312"/>
          <w:color w:val="auto"/>
          <w:kern w:val="2"/>
          <w:sz w:val="24"/>
          <w:szCs w:val="24"/>
        </w:rPr>
      </w:pPr>
    </w:p>
    <w:p>
      <w:pPr>
        <w:pStyle w:val="23"/>
        <w:snapToGrid w:val="0"/>
        <w:spacing w:line="240" w:lineRule="auto"/>
        <w:ind w:left="0" w:leftChars="0" w:firstLine="0" w:firstLineChars="0"/>
        <w:rPr>
          <w:rFonts w:hint="eastAsia" w:ascii="仿宋_GB2312" w:eastAsia="仿宋_GB2312"/>
          <w:color w:val="auto"/>
          <w:kern w:val="2"/>
          <w:sz w:val="24"/>
          <w:szCs w:val="24"/>
        </w:rPr>
        <w:sectPr>
          <w:pgSz w:w="16838" w:h="11906" w:orient="landscape"/>
          <w:pgMar w:top="1417" w:right="1701" w:bottom="1417" w:left="1134" w:header="851" w:footer="992" w:gutter="0"/>
          <w:paperSrc/>
          <w:pgBorders>
            <w:top w:val="none" w:sz="0" w:space="0"/>
            <w:left w:val="none" w:sz="0" w:space="0"/>
            <w:bottom w:val="none" w:sz="0" w:space="0"/>
            <w:right w:val="none" w:sz="0" w:space="0"/>
          </w:pgBorders>
          <w:cols w:space="0" w:num="1"/>
          <w:titlePg/>
          <w:rtlGutter w:val="0"/>
          <w:docGrid w:linePitch="312" w:charSpace="0"/>
        </w:sectPr>
      </w:pPr>
    </w:p>
    <w:p>
      <w:pPr>
        <w:pStyle w:val="23"/>
        <w:snapToGrid w:val="0"/>
        <w:spacing w:line="240" w:lineRule="auto"/>
        <w:ind w:firstLine="720" w:firstLineChars="300"/>
        <w:rPr>
          <w:rFonts w:hint="eastAsia" w:ascii="仿宋_GB2312" w:eastAsia="仿宋_GB2312"/>
          <w:color w:val="auto"/>
          <w:kern w:val="2"/>
          <w:sz w:val="24"/>
          <w:szCs w:val="24"/>
        </w:rPr>
      </w:pPr>
      <w:bookmarkStart w:id="27" w:name="_GoBack"/>
      <w:bookmarkEnd w:id="27"/>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4"/>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rPr>
      </w:pPr>
      <w:r>
        <w:rPr>
          <w:rFonts w:hint="eastAsia" w:ascii="仿宋_GB2312" w:eastAsia="仿宋_GB2312"/>
          <w:sz w:val="52"/>
          <w:highlight w:val="none"/>
        </w:rPr>
        <w:t>2022年临江公司</w:t>
      </w:r>
      <w:r>
        <w:rPr>
          <w:rFonts w:hint="eastAsia" w:ascii="仿宋_GB2312" w:eastAsia="仿宋_GB2312"/>
          <w:sz w:val="52"/>
          <w:highlight w:val="none"/>
          <w:lang w:val="en-US" w:eastAsia="zh-CN"/>
        </w:rPr>
        <w:t>能源项目配套二期工程详勘</w:t>
      </w:r>
      <w:r>
        <w:rPr>
          <w:rFonts w:hint="eastAsia" w:ascii="仿宋_GB2312" w:eastAsia="仿宋_GB2312"/>
          <w:sz w:val="52"/>
          <w:highlight w:val="none"/>
        </w:rPr>
        <w:t>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202209006</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4"/>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4"/>
          <w:rFonts w:ascii="仿宋_GB2312" w:eastAsia="仿宋_GB2312"/>
          <w:sz w:val="30"/>
        </w:rPr>
        <w:br w:type="page"/>
      </w:r>
      <w:r>
        <w:rPr>
          <w:rStyle w:val="2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rPr>
        <w:t>2022年临江公司</w:t>
      </w:r>
      <w:r>
        <w:rPr>
          <w:rFonts w:hint="eastAsia" w:ascii="仿宋_GB2312" w:hAnsi="宋体" w:eastAsia="仿宋_GB2312"/>
          <w:sz w:val="32"/>
          <w:szCs w:val="32"/>
          <w:u w:val="single"/>
          <w:lang w:val="en-US" w:eastAsia="zh-CN"/>
        </w:rPr>
        <w:t>能源项目配套二期工程详勘</w:t>
      </w:r>
      <w:r>
        <w:rPr>
          <w:rFonts w:hint="eastAsia" w:ascii="仿宋_GB2312" w:hAnsi="宋体" w:eastAsia="仿宋_GB2312"/>
          <w:sz w:val="32"/>
          <w:szCs w:val="32"/>
          <w:u w:val="single"/>
        </w:rPr>
        <w:t>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202209006</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4"/>
          <w:rFonts w:hint="eastAsia" w:ascii="仿宋_GB2312" w:eastAsia="仿宋_GB2312"/>
          <w:sz w:val="30"/>
        </w:rPr>
        <w:sectPr>
          <w:pgSz w:w="11906" w:h="16838"/>
          <w:pgMar w:top="1701" w:right="1417" w:bottom="1134" w:left="1417" w:header="851" w:footer="992" w:gutter="0"/>
          <w:paperSrc/>
          <w:pgBorders>
            <w:top w:val="none" w:sz="0" w:space="0"/>
            <w:left w:val="none" w:sz="0" w:space="0"/>
            <w:bottom w:val="none" w:sz="0" w:space="0"/>
            <w:right w:val="none" w:sz="0" w:space="0"/>
          </w:pgBorders>
          <w:cols w:space="0" w:num="1"/>
          <w:titlePg/>
          <w:rtlGutter w:val="0"/>
          <w:docGrid w:linePitch="312" w:charSpace="0"/>
        </w:sectPr>
      </w:pPr>
    </w:p>
    <w:p>
      <w:pPr>
        <w:jc w:val="left"/>
        <w:rPr>
          <w:rStyle w:val="24"/>
          <w:rFonts w:hint="eastAsia" w:ascii="仿宋_GB2312" w:eastAsia="仿宋_GB2312"/>
          <w:sz w:val="30"/>
        </w:rPr>
      </w:pPr>
      <w:r>
        <w:rPr>
          <w:rStyle w:val="24"/>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一、按询价文件及合同、询价文件要求、技术规范承接本项目的工作。我方报价为：人民币（大写）           元（RMB：¥            元）税率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本投标人承诺按相关国家及行业勘察标准执行，完成本项目的服务内容。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30"/>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15" w:name="_Toc413939394"/>
      <w:bookmarkStart w:id="16" w:name="_Toc413966573"/>
      <w:bookmarkStart w:id="17" w:name="_Toc355877114"/>
      <w:bookmarkStart w:id="18" w:name="_Toc414541440"/>
      <w:bookmarkStart w:id="19" w:name="_Toc413943311"/>
      <w:bookmarkStart w:id="20" w:name="_Toc413938876"/>
      <w:r>
        <w:rPr>
          <w:sz w:val="30"/>
          <w:szCs w:val="30"/>
        </w:rPr>
        <w:t>投标人基本情况表</w:t>
      </w:r>
      <w:bookmarkEnd w:id="15"/>
      <w:bookmarkEnd w:id="16"/>
      <w:bookmarkEnd w:id="17"/>
      <w:bookmarkEnd w:id="18"/>
      <w:bookmarkEnd w:id="19"/>
      <w:bookmarkEnd w:id="2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4"/>
              <w:ind w:firstLine="0"/>
              <w:rPr>
                <w:rFonts w:ascii="Times New Roman" w:hAnsi="Times New Roman"/>
                <w:sz w:val="21"/>
                <w:szCs w:val="21"/>
              </w:rPr>
            </w:pPr>
            <w:r>
              <w:rPr>
                <w:rFonts w:ascii="Times New Roman" w:hAnsi="Times New Roman"/>
                <w:sz w:val="21"/>
                <w:szCs w:val="21"/>
              </w:rPr>
              <w:t>投标单位简介：（可另附页说明）</w:t>
            </w: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4"/>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4"/>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4"/>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4"/>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4"/>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4"/>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928" w:type="dxa"/>
            <w:noWrap w:val="0"/>
            <w:vAlign w:val="top"/>
          </w:tcPr>
          <w:p>
            <w:pPr>
              <w:pStyle w:val="14"/>
              <w:rPr>
                <w:rFonts w:ascii="Times New Roman" w:hAnsi="Times New Roman"/>
                <w:sz w:val="21"/>
                <w:szCs w:val="21"/>
              </w:rPr>
            </w:pPr>
          </w:p>
        </w:tc>
        <w:tc>
          <w:tcPr>
            <w:tcW w:w="3433" w:type="dxa"/>
            <w:noWrap w:val="0"/>
            <w:vAlign w:val="top"/>
          </w:tcPr>
          <w:p>
            <w:pPr>
              <w:pStyle w:val="14"/>
              <w:rPr>
                <w:rFonts w:ascii="Times New Roman" w:hAnsi="Times New Roman"/>
                <w:sz w:val="21"/>
                <w:szCs w:val="21"/>
              </w:rPr>
            </w:pPr>
          </w:p>
        </w:tc>
        <w:tc>
          <w:tcPr>
            <w:tcW w:w="1559" w:type="dxa"/>
            <w:noWrap w:val="0"/>
            <w:vAlign w:val="top"/>
          </w:tcPr>
          <w:p>
            <w:pPr>
              <w:pStyle w:val="14"/>
              <w:rPr>
                <w:rFonts w:ascii="Times New Roman" w:hAnsi="Times New Roman"/>
                <w:sz w:val="21"/>
                <w:szCs w:val="21"/>
              </w:rPr>
            </w:pPr>
          </w:p>
        </w:tc>
        <w:tc>
          <w:tcPr>
            <w:tcW w:w="1392" w:type="dxa"/>
            <w:noWrap w:val="0"/>
            <w:vAlign w:val="top"/>
          </w:tcPr>
          <w:p>
            <w:pPr>
              <w:pStyle w:val="14"/>
              <w:rPr>
                <w:rFonts w:ascii="Times New Roman" w:hAnsi="Times New Roman"/>
                <w:sz w:val="21"/>
                <w:szCs w:val="21"/>
              </w:rPr>
            </w:pPr>
          </w:p>
        </w:tc>
        <w:tc>
          <w:tcPr>
            <w:tcW w:w="1210" w:type="dxa"/>
            <w:noWrap w:val="0"/>
            <w:vAlign w:val="top"/>
          </w:tcPr>
          <w:p>
            <w:pPr>
              <w:pStyle w:val="14"/>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9"/>
        <w:ind w:firstLine="0" w:firstLineChars="0"/>
        <w:rPr>
          <w:rFonts w:ascii="Times New Roman"/>
        </w:rPr>
      </w:pPr>
      <w:r>
        <w:rPr>
          <w:rFonts w:ascii="Times New Roman"/>
        </w:rPr>
        <w:t>投标人（盖公章）：</w:t>
      </w:r>
    </w:p>
    <w:p>
      <w:pPr>
        <w:pStyle w:val="29"/>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2"/>
        <w:rPr>
          <w:sz w:val="24"/>
        </w:rPr>
      </w:pPr>
    </w:p>
    <w:p>
      <w:pPr>
        <w:rPr>
          <w:sz w:val="24"/>
        </w:rPr>
      </w:pPr>
    </w:p>
    <w:p>
      <w:pPr>
        <w:pStyle w:val="12"/>
      </w:pPr>
    </w:p>
    <w:p>
      <w:pPr>
        <w:spacing w:line="360" w:lineRule="auto"/>
        <w:rPr>
          <w:sz w:val="24"/>
        </w:rPr>
      </w:pPr>
    </w:p>
    <w:p>
      <w:pPr>
        <w:jc w:val="center"/>
        <w:rPr>
          <w:sz w:val="30"/>
          <w:szCs w:val="30"/>
        </w:rPr>
      </w:pPr>
      <w:bookmarkStart w:id="21" w:name="_Toc413943313"/>
      <w:bookmarkStart w:id="22" w:name="_Toc354649937"/>
      <w:bookmarkStart w:id="23" w:name="_Toc413939396"/>
      <w:bookmarkStart w:id="24" w:name="_Toc413938878"/>
      <w:bookmarkStart w:id="25" w:name="_Toc413966574"/>
      <w:bookmarkStart w:id="26" w:name="_Toc414541441"/>
      <w:r>
        <w:rPr>
          <w:sz w:val="30"/>
          <w:szCs w:val="30"/>
        </w:rPr>
        <w:t>项目负责人情况表</w:t>
      </w:r>
      <w:bookmarkEnd w:id="21"/>
      <w:bookmarkEnd w:id="22"/>
      <w:bookmarkEnd w:id="23"/>
      <w:bookmarkEnd w:id="24"/>
      <w:bookmarkEnd w:id="25"/>
      <w:bookmarkEnd w:id="2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9"/>
        <w:ind w:firstLine="0" w:firstLineChars="0"/>
        <w:rPr>
          <w:rFonts w:ascii="Times New Roman"/>
        </w:rPr>
      </w:pPr>
      <w:r>
        <w:rPr>
          <w:rFonts w:ascii="Times New Roman"/>
        </w:rPr>
        <w:t>投标人（盖公章）：</w:t>
      </w:r>
    </w:p>
    <w:p>
      <w:pPr>
        <w:pStyle w:val="29"/>
        <w:ind w:firstLine="0" w:firstLineChars="0"/>
        <w:rPr>
          <w:rFonts w:ascii="Times New Roman"/>
        </w:rPr>
      </w:pPr>
      <w:r>
        <w:rPr>
          <w:rFonts w:ascii="Times New Roman"/>
          <w:szCs w:val="21"/>
        </w:rPr>
        <w:t>法定代表人或授权代表</w:t>
      </w:r>
      <w:r>
        <w:rPr>
          <w:rFonts w:ascii="Times New Roman"/>
        </w:rPr>
        <w:t>（签字或盖章）：</w:t>
      </w:r>
    </w:p>
    <w:p>
      <w:pPr>
        <w:pStyle w:val="29"/>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9"/>
        <w:ind w:firstLine="0" w:firstLineChars="0"/>
        <w:rPr>
          <w:rFonts w:ascii="Times New Roman"/>
        </w:rPr>
      </w:pPr>
    </w:p>
    <w:p>
      <w:pPr>
        <w:pStyle w:val="29"/>
        <w:ind w:firstLine="0" w:firstLineChars="0"/>
        <w:rPr>
          <w:rFonts w:ascii="Times New Roman"/>
        </w:rPr>
      </w:pPr>
    </w:p>
    <w:p>
      <w:pPr>
        <w:pStyle w:val="29"/>
        <w:ind w:firstLine="0" w:firstLineChars="0"/>
        <w:rPr>
          <w:rFonts w:ascii="Times New Roman"/>
        </w:rPr>
      </w:pPr>
    </w:p>
    <w:p>
      <w:pPr>
        <w:snapToGrid w:val="0"/>
        <w:ind w:firstLine="480" w:firstLineChars="200"/>
        <w:jc w:val="center"/>
        <w:rPr>
          <w:rFonts w:ascii="仿宋_GB2312" w:eastAsia="仿宋_GB2312"/>
          <w:sz w:val="24"/>
          <w:szCs w:val="24"/>
        </w:rPr>
        <w:sectPr>
          <w:footerReference r:id="rId4" w:type="default"/>
          <w:pgSz w:w="11906" w:h="16838"/>
          <w:pgMar w:top="1701" w:right="1417" w:bottom="1134" w:left="1417" w:header="851" w:footer="992" w:gutter="0"/>
          <w:paperSrc/>
          <w:cols w:space="0" w:num="1"/>
          <w:titlePg/>
          <w:rtlGutter w:val="0"/>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30"/>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30"/>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30"/>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jc w:val="center"/>
        <w:rPr>
          <w:rFonts w:hint="eastAsia" w:ascii="仿宋_GB2312" w:hAnsi="Arial" w:eastAsia="仿宋_GB2312"/>
          <w:b/>
          <w:snapToGrid w:val="0"/>
          <w:color w:val="000000"/>
          <w:kern w:val="44"/>
          <w:sz w:val="44"/>
          <w:szCs w:val="44"/>
        </w:rPr>
      </w:pPr>
      <w:r>
        <w:rPr>
          <w:rFonts w:hint="eastAsia" w:ascii="仿宋_GB2312" w:hAnsi="Arial" w:eastAsia="仿宋_GB2312"/>
          <w:b/>
          <w:snapToGrid w:val="0"/>
          <w:color w:val="000000"/>
          <w:kern w:val="44"/>
          <w:sz w:val="44"/>
          <w:szCs w:val="44"/>
          <w:lang w:val="en-US" w:eastAsia="zh-CN"/>
        </w:rPr>
        <w:t>能源项目配套二期工程详勘</w:t>
      </w:r>
      <w:r>
        <w:rPr>
          <w:rFonts w:hint="eastAsia" w:ascii="仿宋_GB2312" w:hAnsi="Arial" w:eastAsia="仿宋_GB2312"/>
          <w:b/>
          <w:snapToGrid w:val="0"/>
          <w:color w:val="000000"/>
          <w:kern w:val="44"/>
          <w:sz w:val="44"/>
          <w:szCs w:val="44"/>
        </w:rPr>
        <w:t>合同</w:t>
      </w:r>
    </w:p>
    <w:p/>
    <w:p/>
    <w:p>
      <w:pPr>
        <w:ind w:left="3220" w:hanging="3220" w:hangingChars="1150"/>
        <w:jc w:val="left"/>
        <w:rPr>
          <w:b/>
          <w:sz w:val="32"/>
          <w:szCs w:val="32"/>
        </w:rPr>
      </w:pPr>
      <w:r>
        <w:rPr>
          <w:rFonts w:hint="eastAsia"/>
          <w:sz w:val="28"/>
        </w:rPr>
        <w:t xml:space="preserve">   工</w:t>
      </w:r>
      <w:r>
        <w:rPr>
          <w:sz w:val="28"/>
        </w:rPr>
        <w:t xml:space="preserve"> </w:t>
      </w:r>
      <w:r>
        <w:rPr>
          <w:rFonts w:hint="eastAsia"/>
          <w:sz w:val="28"/>
        </w:rPr>
        <w:t xml:space="preserve"> </w:t>
      </w:r>
      <w:r>
        <w:rPr>
          <w:sz w:val="28"/>
        </w:rPr>
        <w:t xml:space="preserve"> </w:t>
      </w:r>
      <w:r>
        <w:rPr>
          <w:rFonts w:hint="eastAsia"/>
          <w:sz w:val="28"/>
        </w:rPr>
        <w:t>程</w:t>
      </w:r>
      <w:r>
        <w:rPr>
          <w:sz w:val="28"/>
        </w:rPr>
        <w:t xml:space="preserve"> </w:t>
      </w:r>
      <w:r>
        <w:rPr>
          <w:rFonts w:hint="eastAsia"/>
          <w:sz w:val="28"/>
        </w:rPr>
        <w:t xml:space="preserve"> </w:t>
      </w:r>
      <w:r>
        <w:rPr>
          <w:sz w:val="28"/>
        </w:rPr>
        <w:t xml:space="preserve"> </w:t>
      </w:r>
      <w:r>
        <w:rPr>
          <w:rFonts w:hint="eastAsia"/>
          <w:sz w:val="28"/>
        </w:rPr>
        <w:t>名</w:t>
      </w:r>
      <w:r>
        <w:rPr>
          <w:sz w:val="28"/>
        </w:rPr>
        <w:t xml:space="preserve"> </w:t>
      </w:r>
      <w:r>
        <w:rPr>
          <w:rFonts w:hint="eastAsia"/>
          <w:sz w:val="28"/>
        </w:rPr>
        <w:t xml:space="preserve"> </w:t>
      </w:r>
      <w:r>
        <w:rPr>
          <w:sz w:val="28"/>
        </w:rPr>
        <w:t xml:space="preserve"> </w:t>
      </w:r>
      <w:r>
        <w:rPr>
          <w:rFonts w:hint="eastAsia"/>
          <w:sz w:val="28"/>
        </w:rPr>
        <w:t>称：</w:t>
      </w:r>
      <w:r>
        <w:rPr>
          <w:rFonts w:hint="eastAsia"/>
          <w:sz w:val="24"/>
          <w:szCs w:val="24"/>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4"/>
          <w:szCs w:val="24"/>
          <w:u w:val="single"/>
        </w:rPr>
        <w:t xml:space="preserve">  </w:t>
      </w:r>
    </w:p>
    <w:p>
      <w:pPr>
        <w:spacing w:line="740" w:lineRule="exact"/>
        <w:ind w:left="3080" w:hanging="3080" w:hangingChars="1100"/>
        <w:rPr>
          <w:sz w:val="28"/>
        </w:rPr>
      </w:pPr>
      <w:r>
        <w:rPr>
          <w:sz w:val="28"/>
        </w:rPr>
        <w:t xml:space="preserve">  </w:t>
      </w:r>
      <w:r>
        <w:rPr>
          <w:rFonts w:hint="eastAsia"/>
          <w:sz w:val="28"/>
        </w:rPr>
        <w:t xml:space="preserve"> 工</w:t>
      </w:r>
      <w:r>
        <w:rPr>
          <w:sz w:val="28"/>
        </w:rPr>
        <w:t xml:space="preserve"> </w:t>
      </w:r>
      <w:r>
        <w:rPr>
          <w:rFonts w:hint="eastAsia"/>
          <w:sz w:val="28"/>
        </w:rPr>
        <w:t xml:space="preserve"> </w:t>
      </w:r>
      <w:r>
        <w:rPr>
          <w:sz w:val="28"/>
        </w:rPr>
        <w:t xml:space="preserve"> </w:t>
      </w:r>
      <w:r>
        <w:rPr>
          <w:rFonts w:hint="eastAsia"/>
          <w:sz w:val="28"/>
        </w:rPr>
        <w:t>程</w:t>
      </w:r>
      <w:r>
        <w:rPr>
          <w:sz w:val="28"/>
        </w:rPr>
        <w:t xml:space="preserve"> </w:t>
      </w:r>
      <w:r>
        <w:rPr>
          <w:rFonts w:hint="eastAsia"/>
          <w:sz w:val="28"/>
        </w:rPr>
        <w:t xml:space="preserve"> </w:t>
      </w:r>
      <w:r>
        <w:rPr>
          <w:sz w:val="28"/>
        </w:rPr>
        <w:t xml:space="preserve"> </w:t>
      </w:r>
      <w:r>
        <w:rPr>
          <w:rFonts w:hint="eastAsia"/>
          <w:sz w:val="28"/>
        </w:rPr>
        <w:t xml:space="preserve">地 </w:t>
      </w:r>
      <w:r>
        <w:rPr>
          <w:sz w:val="28"/>
        </w:rPr>
        <w:t xml:space="preserve">  </w:t>
      </w:r>
      <w:r>
        <w:rPr>
          <w:rFonts w:hint="eastAsia"/>
          <w:sz w:val="28"/>
        </w:rPr>
        <w:t>点：</w:t>
      </w:r>
      <w:r>
        <w:rPr>
          <w:rFonts w:hint="eastAsia"/>
          <w:sz w:val="28"/>
          <w:u w:val="single"/>
        </w:rPr>
        <w:t xml:space="preserve"> </w:t>
      </w:r>
      <w:r>
        <w:rPr>
          <w:rFonts w:hint="eastAsia"/>
          <w:sz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spacing w:line="740" w:lineRule="exact"/>
        <w:rPr>
          <w:rFonts w:hint="eastAsia" w:eastAsia="宋体"/>
          <w:sz w:val="28"/>
          <w:lang w:eastAsia="zh-CN"/>
        </w:rPr>
      </w:pPr>
      <w:r>
        <w:rPr>
          <w:sz w:val="28"/>
        </w:rPr>
        <w:t xml:space="preserve">  </w:t>
      </w:r>
      <w:r>
        <w:rPr>
          <w:rFonts w:hint="eastAsia"/>
          <w:sz w:val="28"/>
        </w:rPr>
        <w:t xml:space="preserve"> 合</w:t>
      </w:r>
      <w:r>
        <w:rPr>
          <w:sz w:val="28"/>
        </w:rPr>
        <w:t xml:space="preserve"> </w:t>
      </w:r>
      <w:r>
        <w:rPr>
          <w:rFonts w:hint="eastAsia"/>
          <w:sz w:val="28"/>
        </w:rPr>
        <w:t xml:space="preserve"> </w:t>
      </w:r>
      <w:r>
        <w:rPr>
          <w:sz w:val="28"/>
        </w:rPr>
        <w:t xml:space="preserve"> </w:t>
      </w:r>
      <w:r>
        <w:rPr>
          <w:rFonts w:hint="eastAsia"/>
          <w:sz w:val="28"/>
        </w:rPr>
        <w:t>同</w:t>
      </w:r>
      <w:r>
        <w:rPr>
          <w:sz w:val="28"/>
        </w:rPr>
        <w:t xml:space="preserve"> </w:t>
      </w:r>
      <w:r>
        <w:rPr>
          <w:rFonts w:hint="eastAsia"/>
          <w:sz w:val="28"/>
        </w:rPr>
        <w:t xml:space="preserve"> </w:t>
      </w:r>
      <w:r>
        <w:rPr>
          <w:sz w:val="28"/>
        </w:rPr>
        <w:t xml:space="preserve"> </w:t>
      </w:r>
      <w:r>
        <w:rPr>
          <w:rFonts w:hint="eastAsia"/>
          <w:sz w:val="28"/>
        </w:rPr>
        <w:t xml:space="preserve">编  </w:t>
      </w:r>
      <w:r>
        <w:rPr>
          <w:sz w:val="28"/>
        </w:rPr>
        <w:t xml:space="preserve"> </w:t>
      </w:r>
      <w:r>
        <w:rPr>
          <w:rFonts w:hint="eastAsia"/>
          <w:sz w:val="28"/>
        </w:rPr>
        <w:t>号：</w:t>
      </w:r>
      <w:r>
        <w:rPr>
          <w:rFonts w:hint="eastAsia"/>
          <w:sz w:val="28"/>
          <w:u w:val="single"/>
        </w:rPr>
        <w:t xml:space="preserve">                               </w:t>
      </w:r>
      <w:r>
        <w:rPr>
          <w:rFonts w:hint="eastAsia"/>
          <w:sz w:val="28"/>
          <w:u w:val="single"/>
          <w:lang w:val="en-US" w:eastAsia="zh-CN"/>
        </w:rPr>
        <w:t xml:space="preserve"> </w:t>
      </w:r>
    </w:p>
    <w:p>
      <w:pPr>
        <w:spacing w:line="740" w:lineRule="exact"/>
        <w:rPr>
          <w:rFonts w:hint="eastAsia" w:eastAsia="宋体"/>
          <w:sz w:val="28"/>
          <w:lang w:eastAsia="zh-CN"/>
        </w:rPr>
      </w:pPr>
      <w:r>
        <w:rPr>
          <w:sz w:val="28"/>
        </w:rPr>
        <w:t xml:space="preserve">  </w:t>
      </w:r>
      <w:r>
        <w:rPr>
          <w:rFonts w:hint="eastAsia"/>
          <w:sz w:val="28"/>
        </w:rPr>
        <w:t xml:space="preserve"> 勘 察 证 书 等 级：</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p>
    <w:p>
      <w:pPr>
        <w:spacing w:line="740" w:lineRule="exact"/>
        <w:rPr>
          <w:sz w:val="28"/>
        </w:rPr>
      </w:pPr>
      <w:r>
        <w:rPr>
          <w:sz w:val="28"/>
        </w:rPr>
        <w:t xml:space="preserve">  </w:t>
      </w:r>
      <w:r>
        <w:rPr>
          <w:rFonts w:hint="eastAsia"/>
          <w:sz w:val="28"/>
        </w:rPr>
        <w:t xml:space="preserve"> 发</w:t>
      </w:r>
      <w:r>
        <w:rPr>
          <w:sz w:val="28"/>
        </w:rPr>
        <w:t xml:space="preserve">   </w:t>
      </w:r>
      <w:r>
        <w:rPr>
          <w:rFonts w:hint="eastAsia"/>
          <w:sz w:val="28"/>
        </w:rPr>
        <w:t xml:space="preserve">  </w:t>
      </w:r>
      <w:r>
        <w:rPr>
          <w:sz w:val="28"/>
        </w:rPr>
        <w:t xml:space="preserve"> </w:t>
      </w:r>
      <w:r>
        <w:rPr>
          <w:rFonts w:hint="eastAsia"/>
          <w:sz w:val="28"/>
        </w:rPr>
        <w:t>包</w:t>
      </w:r>
      <w:r>
        <w:rPr>
          <w:sz w:val="28"/>
        </w:rPr>
        <w:t xml:space="preserve">  </w:t>
      </w:r>
      <w:r>
        <w:rPr>
          <w:rFonts w:hint="eastAsia"/>
          <w:sz w:val="28"/>
        </w:rPr>
        <w:t xml:space="preserve"> </w:t>
      </w:r>
      <w:r>
        <w:rPr>
          <w:sz w:val="28"/>
        </w:rPr>
        <w:t xml:space="preserve">  </w:t>
      </w:r>
      <w:r>
        <w:rPr>
          <w:rFonts w:hint="eastAsia"/>
          <w:sz w:val="28"/>
        </w:rPr>
        <w:t>人：</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spacing w:line="740" w:lineRule="exact"/>
        <w:rPr>
          <w:sz w:val="28"/>
        </w:rPr>
      </w:pPr>
      <w:r>
        <w:rPr>
          <w:sz w:val="28"/>
        </w:rPr>
        <w:t xml:space="preserve">  </w:t>
      </w:r>
      <w:r>
        <w:rPr>
          <w:rFonts w:hint="eastAsia"/>
          <w:sz w:val="28"/>
        </w:rPr>
        <w:t xml:space="preserve"> 勘</w:t>
      </w:r>
      <w:r>
        <w:rPr>
          <w:sz w:val="28"/>
        </w:rPr>
        <w:t xml:space="preserve">  </w:t>
      </w:r>
      <w:r>
        <w:rPr>
          <w:rFonts w:hint="eastAsia"/>
          <w:sz w:val="28"/>
        </w:rPr>
        <w:t xml:space="preserve">  </w:t>
      </w:r>
      <w:r>
        <w:rPr>
          <w:sz w:val="28"/>
        </w:rPr>
        <w:t xml:space="preserve">  </w:t>
      </w:r>
      <w:r>
        <w:rPr>
          <w:rFonts w:hint="eastAsia"/>
          <w:sz w:val="28"/>
        </w:rPr>
        <w:t>察</w:t>
      </w:r>
      <w:r>
        <w:rPr>
          <w:sz w:val="28"/>
        </w:rPr>
        <w:t xml:space="preserve">  </w:t>
      </w:r>
      <w:r>
        <w:rPr>
          <w:rFonts w:hint="eastAsia"/>
          <w:sz w:val="28"/>
        </w:rPr>
        <w:t xml:space="preserve"> </w:t>
      </w:r>
      <w:r>
        <w:rPr>
          <w:sz w:val="28"/>
        </w:rPr>
        <w:t xml:space="preserve">  </w:t>
      </w:r>
      <w:r>
        <w:rPr>
          <w:rFonts w:hint="eastAsia"/>
          <w:sz w:val="28"/>
        </w:rPr>
        <w:t>人：</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spacing w:line="740" w:lineRule="exact"/>
        <w:rPr>
          <w:sz w:val="28"/>
        </w:rPr>
      </w:pPr>
      <w:r>
        <w:rPr>
          <w:sz w:val="28"/>
        </w:rPr>
        <w:t xml:space="preserve">  </w:t>
      </w:r>
      <w:r>
        <w:rPr>
          <w:rFonts w:hint="eastAsia"/>
          <w:sz w:val="28"/>
        </w:rPr>
        <w:t xml:space="preserve"> 签</w:t>
      </w:r>
      <w:r>
        <w:rPr>
          <w:sz w:val="28"/>
        </w:rPr>
        <w:t xml:space="preserve"> </w:t>
      </w:r>
      <w:r>
        <w:rPr>
          <w:rFonts w:hint="eastAsia"/>
          <w:sz w:val="28"/>
        </w:rPr>
        <w:t xml:space="preserve"> </w:t>
      </w:r>
      <w:r>
        <w:rPr>
          <w:sz w:val="28"/>
        </w:rPr>
        <w:t xml:space="preserve"> </w:t>
      </w:r>
      <w:r>
        <w:rPr>
          <w:rFonts w:hint="eastAsia"/>
          <w:sz w:val="28"/>
        </w:rPr>
        <w:t>订</w:t>
      </w:r>
      <w:r>
        <w:rPr>
          <w:sz w:val="28"/>
        </w:rPr>
        <w:t xml:space="preserve"> </w:t>
      </w:r>
      <w:r>
        <w:rPr>
          <w:rFonts w:hint="eastAsia"/>
          <w:sz w:val="28"/>
        </w:rPr>
        <w:t xml:space="preserve"> </w:t>
      </w:r>
      <w:r>
        <w:rPr>
          <w:sz w:val="28"/>
        </w:rPr>
        <w:t xml:space="preserve"> </w:t>
      </w:r>
      <w:r>
        <w:rPr>
          <w:rFonts w:hint="eastAsia"/>
          <w:sz w:val="28"/>
        </w:rPr>
        <w:t xml:space="preserve">日 </w:t>
      </w:r>
      <w:r>
        <w:rPr>
          <w:sz w:val="28"/>
        </w:rPr>
        <w:t xml:space="preserve">  </w:t>
      </w:r>
      <w:r>
        <w:rPr>
          <w:rFonts w:hint="eastAsia"/>
          <w:sz w:val="28"/>
        </w:rPr>
        <w:t>期：</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rFonts w:hint="eastAsia"/>
        </w:rPr>
      </w:pPr>
    </w:p>
    <w:p>
      <w:pPr>
        <w:rPr>
          <w:rFonts w:hint="eastAsia"/>
        </w:rPr>
      </w:pPr>
    </w:p>
    <w:p>
      <w:pPr>
        <w:rPr>
          <w:rFonts w:hint="eastAsia"/>
        </w:rPr>
      </w:pPr>
    </w:p>
    <w:p>
      <w:pPr>
        <w:rPr>
          <w:sz w:val="30"/>
        </w:rPr>
      </w:pPr>
      <w:r>
        <w:t xml:space="preserve">                      </w:t>
      </w:r>
      <w:r>
        <w:rPr>
          <w:rFonts w:hint="eastAsia"/>
          <w:sz w:val="30"/>
        </w:rPr>
        <w:t>中华人民共和国建设部</w:t>
      </w:r>
    </w:p>
    <w:p>
      <w:pPr>
        <w:rPr>
          <w:sz w:val="30"/>
        </w:rPr>
      </w:pPr>
      <w:r>
        <w:t xml:space="preserve">                     </w:t>
      </w:r>
      <w:r>
        <w:rPr>
          <w:sz w:val="30"/>
        </w:rPr>
        <w:t xml:space="preserve">                       </w:t>
      </w:r>
      <w:r>
        <w:rPr>
          <w:rFonts w:hint="eastAsia"/>
          <w:sz w:val="30"/>
        </w:rPr>
        <w:t xml:space="preserve">   监制</w:t>
      </w:r>
    </w:p>
    <w:p>
      <w:r>
        <w:rPr>
          <w:sz w:val="30"/>
        </w:rPr>
        <w:t xml:space="preserve">                </w:t>
      </w:r>
      <w:r>
        <w:rPr>
          <w:rFonts w:hint="eastAsia"/>
          <w:sz w:val="30"/>
        </w:rPr>
        <w:t>国家工商行政管理局</w:t>
      </w:r>
      <w:r>
        <w:t xml:space="preserve">                      </w:t>
      </w:r>
    </w:p>
    <w:p>
      <w:pPr>
        <w:pStyle w:val="3"/>
        <w:spacing w:line="360" w:lineRule="auto"/>
        <w:rPr>
          <w:rFonts w:hint="eastAsia"/>
          <w:sz w:val="24"/>
          <w:szCs w:val="24"/>
        </w:rPr>
      </w:pPr>
    </w:p>
    <w:p>
      <w:pPr>
        <w:pStyle w:val="3"/>
        <w:spacing w:line="360" w:lineRule="auto"/>
        <w:rPr>
          <w:rFonts w:hint="eastAsia"/>
          <w:sz w:val="24"/>
          <w:szCs w:val="24"/>
        </w:rPr>
      </w:pPr>
    </w:p>
    <w:p>
      <w:pPr>
        <w:pStyle w:val="3"/>
        <w:spacing w:line="360" w:lineRule="auto"/>
        <w:rPr>
          <w:rFonts w:hint="eastAsia"/>
          <w:sz w:val="24"/>
          <w:szCs w:val="24"/>
        </w:rPr>
      </w:pPr>
    </w:p>
    <w:p>
      <w:pPr>
        <w:pStyle w:val="3"/>
        <w:spacing w:line="360" w:lineRule="auto"/>
        <w:rPr>
          <w:rFonts w:hint="eastAsia"/>
          <w:sz w:val="24"/>
          <w:szCs w:val="24"/>
        </w:rPr>
      </w:pPr>
    </w:p>
    <w:p>
      <w:pPr>
        <w:pStyle w:val="2"/>
        <w:rPr>
          <w:rFonts w:hint="eastAsia"/>
          <w:sz w:val="24"/>
          <w:szCs w:val="24"/>
        </w:rPr>
      </w:pPr>
    </w:p>
    <w:p>
      <w:pPr>
        <w:rPr>
          <w:rFonts w:hint="eastAsia"/>
          <w:sz w:val="24"/>
          <w:szCs w:val="24"/>
        </w:rPr>
      </w:pPr>
    </w:p>
    <w:p>
      <w:pPr>
        <w:pStyle w:val="2"/>
        <w:rPr>
          <w:rFonts w:hint="eastAsia"/>
        </w:rPr>
      </w:pPr>
    </w:p>
    <w:p>
      <w:pPr>
        <w:pStyle w:val="3"/>
        <w:spacing w:line="360" w:lineRule="auto"/>
        <w:rPr>
          <w:rFonts w:hint="eastAsia"/>
          <w:sz w:val="24"/>
          <w:szCs w:val="24"/>
        </w:rPr>
      </w:pPr>
    </w:p>
    <w:p>
      <w:pPr>
        <w:pStyle w:val="3"/>
        <w:spacing w:line="360" w:lineRule="auto"/>
        <w:rPr>
          <w:rFonts w:hint="eastAsia"/>
          <w:sz w:val="24"/>
          <w:szCs w:val="24"/>
        </w:rPr>
      </w:pPr>
    </w:p>
    <w:p>
      <w:pPr>
        <w:pStyle w:val="3"/>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发包人：</w:t>
      </w:r>
      <w:r>
        <w:rPr>
          <w:rFonts w:hint="eastAsia" w:ascii="Arial" w:hAnsi="Arial" w:cs="Arial"/>
          <w:kern w:val="2"/>
          <w:sz w:val="24"/>
          <w:szCs w:val="24"/>
          <w:lang w:val="en-US" w:eastAsia="zh-CN" w:bidi="ar-SA"/>
        </w:rPr>
        <w:t xml:space="preserve"> </w:t>
      </w:r>
      <w:r>
        <w:rPr>
          <w:rFonts w:hint="eastAsia" w:ascii="Arial" w:hAnsi="Arial" w:eastAsia="宋体" w:cs="Arial"/>
          <w:kern w:val="2"/>
          <w:sz w:val="24"/>
          <w:szCs w:val="24"/>
          <w:u w:val="single"/>
          <w:lang w:val="en-US" w:eastAsia="zh-CN" w:bidi="ar-SA"/>
        </w:rPr>
        <w:t xml:space="preserve">            </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u w:val="single"/>
          <w:lang w:val="en-US" w:eastAsia="zh-CN" w:bidi="ar-SA"/>
        </w:rPr>
        <w:t xml:space="preserve">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勘察人：</w:t>
      </w:r>
      <w:r>
        <w:rPr>
          <w:rFonts w:hint="eastAsia" w:ascii="Arial" w:hAnsi="Arial" w:cs="Arial"/>
          <w:kern w:val="2"/>
          <w:sz w:val="24"/>
          <w:szCs w:val="24"/>
          <w:lang w:val="en-US" w:eastAsia="zh-CN" w:bidi="ar-SA"/>
        </w:rPr>
        <w:t xml:space="preserve"> </w:t>
      </w:r>
      <w:r>
        <w:rPr>
          <w:rFonts w:hint="eastAsia" w:ascii="Arial" w:hAnsi="Arial" w:eastAsia="宋体" w:cs="Arial"/>
          <w:kern w:val="2"/>
          <w:sz w:val="24"/>
          <w:szCs w:val="24"/>
          <w:u w:val="single"/>
          <w:lang w:val="en-US" w:eastAsia="zh-CN" w:bidi="ar-SA"/>
        </w:rPr>
        <w:t xml:space="preserve">           </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 xml:space="preserve">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发包人委托勘察人承担杭州临江环境能源</w:t>
      </w:r>
      <w:r>
        <w:rPr>
          <w:rFonts w:hint="eastAsia" w:ascii="Arial" w:hAnsi="Arial" w:cs="Arial"/>
          <w:kern w:val="2"/>
          <w:sz w:val="24"/>
          <w:szCs w:val="24"/>
          <w:lang w:val="en-US" w:eastAsia="zh-CN" w:bidi="ar-SA"/>
        </w:rPr>
        <w:t>项目配套二期工程</w:t>
      </w:r>
      <w:r>
        <w:rPr>
          <w:rFonts w:hint="eastAsia" w:ascii="Arial" w:hAnsi="Arial" w:eastAsia="宋体" w:cs="Arial"/>
          <w:kern w:val="2"/>
          <w:sz w:val="24"/>
          <w:szCs w:val="24"/>
          <w:lang w:val="en-US" w:eastAsia="zh-CN" w:bidi="ar-SA"/>
        </w:rPr>
        <w:t>地质</w:t>
      </w:r>
      <w:r>
        <w:rPr>
          <w:rFonts w:hint="eastAsia" w:ascii="Arial" w:hAnsi="Arial" w:cs="Arial"/>
          <w:kern w:val="2"/>
          <w:sz w:val="24"/>
          <w:szCs w:val="24"/>
          <w:lang w:val="en-US" w:eastAsia="zh-CN" w:bidi="ar-SA"/>
        </w:rPr>
        <w:t>详勘</w:t>
      </w:r>
      <w:r>
        <w:rPr>
          <w:rFonts w:hint="eastAsia" w:ascii="Arial" w:hAnsi="Arial" w:eastAsia="宋体" w:cs="Arial"/>
          <w:kern w:val="2"/>
          <w:sz w:val="24"/>
          <w:szCs w:val="24"/>
          <w:lang w:val="en-US" w:eastAsia="zh-CN" w:bidi="ar-SA"/>
        </w:rPr>
        <w:t>任务。</w:t>
      </w:r>
    </w:p>
    <w:p>
      <w:pPr>
        <w:spacing w:line="360" w:lineRule="auto"/>
        <w:rPr>
          <w:sz w:val="24"/>
          <w:szCs w:val="24"/>
        </w:rPr>
      </w:pPr>
      <w:r>
        <w:rPr>
          <w:rFonts w:hint="eastAsia" w:ascii="Arial" w:hAnsi="Arial" w:eastAsia="宋体" w:cs="Arial"/>
          <w:kern w:val="2"/>
          <w:sz w:val="24"/>
          <w:szCs w:val="24"/>
          <w:lang w:val="en-US" w:eastAsia="zh-CN" w:bidi="ar-SA"/>
        </w:rPr>
        <w:t xml:space="preserve">    根据《中华人民共和国</w:t>
      </w:r>
      <w:r>
        <w:rPr>
          <w:rFonts w:hint="eastAsia" w:ascii="Arial" w:hAnsi="Arial" w:cs="Arial"/>
          <w:kern w:val="2"/>
          <w:sz w:val="24"/>
          <w:szCs w:val="24"/>
          <w:lang w:val="en-US" w:eastAsia="zh-CN" w:bidi="ar-SA"/>
        </w:rPr>
        <w:t>民法典</w:t>
      </w:r>
      <w:r>
        <w:rPr>
          <w:rFonts w:hint="eastAsia" w:ascii="Arial" w:hAnsi="Arial" w:eastAsia="宋体" w:cs="Arial"/>
          <w:kern w:val="2"/>
          <w:sz w:val="24"/>
          <w:szCs w:val="24"/>
          <w:lang w:val="en-US" w:eastAsia="zh-CN" w:bidi="ar-SA"/>
        </w:rPr>
        <w:t>》及国家有关法规规定，结合本工程的具体情况，为明确责任，协作配合，确保工程</w:t>
      </w:r>
      <w:r>
        <w:rPr>
          <w:rFonts w:hint="eastAsia" w:ascii="Arial" w:hAnsi="Arial" w:cs="Arial"/>
          <w:kern w:val="2"/>
          <w:sz w:val="24"/>
          <w:szCs w:val="24"/>
          <w:lang w:val="en-US" w:eastAsia="zh-CN" w:bidi="ar-SA"/>
        </w:rPr>
        <w:t>详勘</w:t>
      </w:r>
      <w:r>
        <w:rPr>
          <w:rFonts w:hint="eastAsia" w:ascii="Arial" w:hAnsi="Arial" w:eastAsia="宋体" w:cs="Arial"/>
          <w:kern w:val="2"/>
          <w:sz w:val="24"/>
          <w:szCs w:val="24"/>
          <w:lang w:val="en-US" w:eastAsia="zh-CN" w:bidi="ar-SA"/>
        </w:rPr>
        <w:t>质量，经发包人、勘察人协商一致，签订本合同，共同遵守。</w:t>
      </w:r>
    </w:p>
    <w:p>
      <w:pPr>
        <w:spacing w:line="360" w:lineRule="auto"/>
        <w:rPr>
          <w:rFonts w:hint="eastAsia" w:ascii="Arial" w:hAnsi="Arial" w:eastAsia="宋体" w:cs="Arial"/>
          <w:b/>
          <w:bCs/>
          <w:kern w:val="2"/>
          <w:sz w:val="24"/>
          <w:szCs w:val="24"/>
          <w:lang w:val="en-US" w:eastAsia="zh-CN" w:bidi="ar-SA"/>
        </w:rPr>
      </w:pPr>
      <w:r>
        <w:rPr>
          <w:b/>
          <w:bCs/>
          <w:sz w:val="24"/>
          <w:szCs w:val="24"/>
        </w:rPr>
        <w:t xml:space="preserve">    </w:t>
      </w:r>
      <w:r>
        <w:rPr>
          <w:rFonts w:hint="eastAsia" w:ascii="Arial" w:hAnsi="Arial" w:eastAsia="宋体" w:cs="Arial"/>
          <w:b/>
          <w:bCs/>
          <w:kern w:val="2"/>
          <w:sz w:val="24"/>
          <w:szCs w:val="24"/>
          <w:lang w:val="en-US" w:eastAsia="zh-CN" w:bidi="ar-SA"/>
        </w:rPr>
        <w:t>第一条  工程概况</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1.工程名称：杭州临江环境能源</w:t>
      </w:r>
      <w:r>
        <w:rPr>
          <w:rFonts w:hint="eastAsia" w:ascii="Arial" w:hAnsi="Arial" w:cs="Arial"/>
          <w:kern w:val="2"/>
          <w:sz w:val="24"/>
          <w:szCs w:val="24"/>
          <w:lang w:val="en-US" w:eastAsia="zh-CN" w:bidi="ar-SA"/>
        </w:rPr>
        <w:t>项目配套二期工程详勘</w:t>
      </w:r>
      <w:r>
        <w:rPr>
          <w:rFonts w:hint="eastAsia" w:ascii="Arial" w:hAnsi="Arial" w:eastAsia="宋体" w:cs="Arial"/>
          <w:kern w:val="2"/>
          <w:sz w:val="24"/>
          <w:szCs w:val="24"/>
          <w:lang w:val="en-US" w:eastAsia="zh-CN" w:bidi="ar-SA"/>
        </w:rPr>
        <w:t xml:space="preserve">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2</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工程建设地点：</w:t>
      </w:r>
      <w:r>
        <w:rPr>
          <w:rFonts w:hint="eastAsia" w:ascii="Arial" w:hAnsi="Arial" w:cs="Arial"/>
          <w:kern w:val="2"/>
          <w:sz w:val="24"/>
          <w:szCs w:val="24"/>
          <w:lang w:val="en-US" w:eastAsia="zh-CN" w:bidi="ar-SA"/>
        </w:rPr>
        <w:t xml:space="preserve">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3</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 xml:space="preserve">工程勘察任务（内容）与技术要求：                                                                  </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4</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勘察工作量：</w:t>
      </w:r>
      <w:r>
        <w:rPr>
          <w:rFonts w:hint="eastAsia" w:ascii="Arial" w:hAnsi="Arial" w:cs="Arial"/>
          <w:kern w:val="2"/>
          <w:sz w:val="24"/>
          <w:szCs w:val="24"/>
          <w:lang w:val="en-US" w:eastAsia="zh-CN" w:bidi="ar-SA"/>
        </w:rPr>
        <w:t xml:space="preserve">   </w:t>
      </w:r>
      <w:r>
        <w:rPr>
          <w:rFonts w:hint="eastAsia" w:ascii="Arial" w:hAnsi="Arial" w:eastAsia="宋体" w:cs="Arial"/>
          <w:kern w:val="2"/>
          <w:sz w:val="24"/>
          <w:szCs w:val="24"/>
          <w:lang w:val="en-US" w:eastAsia="zh-CN" w:bidi="ar-SA"/>
        </w:rPr>
        <w:t xml:space="preserve">       </w:t>
      </w:r>
    </w:p>
    <w:p>
      <w:pPr>
        <w:spacing w:line="360" w:lineRule="auto"/>
        <w:ind w:firstLine="482" w:firstLineChars="200"/>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第二条  发包人应及时向勘察人提供下列文件资料，并对其准确性、可靠性负责。</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1</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提供工程勘察任务委托书、技术要求和工作范围的地形图、建筑总平面布置图。</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2</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提供勘察工作范围已有的技术资料及工程所需的坐标与标高资料。</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3</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提供勘察工作范围地下已有埋藏物的资料（如电力、电讯电缆、各种管道、人防设施、洞室等）及具体位置分布图。</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4</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发包人不能提供上述资料，由勘察人收集的，发包人需向勘察人支付相应费用。</w:t>
      </w:r>
    </w:p>
    <w:p>
      <w:pPr>
        <w:spacing w:line="360" w:lineRule="auto"/>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 xml:space="preserve">    第三条  勘察人向发包人提交勘察成果资料并对其质量负责。</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勘察人负责向发包人提交</w:t>
      </w:r>
      <w:r>
        <w:rPr>
          <w:rFonts w:hint="eastAsia" w:ascii="Arial" w:hAnsi="Arial" w:cs="Arial"/>
          <w:kern w:val="2"/>
          <w:sz w:val="24"/>
          <w:szCs w:val="24"/>
          <w:lang w:val="en-US" w:eastAsia="zh-CN" w:bidi="ar-SA"/>
        </w:rPr>
        <w:t>详勘</w:t>
      </w:r>
      <w:r>
        <w:rPr>
          <w:rFonts w:hint="eastAsia" w:ascii="Arial" w:hAnsi="Arial" w:eastAsia="宋体" w:cs="Arial"/>
          <w:kern w:val="2"/>
          <w:sz w:val="24"/>
          <w:szCs w:val="24"/>
          <w:lang w:val="en-US" w:eastAsia="zh-CN" w:bidi="ar-SA"/>
        </w:rPr>
        <w:t>成果资料</w:t>
      </w:r>
      <w:r>
        <w:rPr>
          <w:rFonts w:hint="eastAsia" w:ascii="Arial" w:hAnsi="Arial" w:cs="Arial"/>
          <w:kern w:val="2"/>
          <w:sz w:val="24"/>
          <w:szCs w:val="24"/>
          <w:lang w:val="en-US" w:eastAsia="zh-CN" w:bidi="ar-SA"/>
        </w:rPr>
        <w:t>（报告书、成果表、图纸、电子文件）</w:t>
      </w:r>
      <w:r>
        <w:rPr>
          <w:rFonts w:hint="eastAsia" w:ascii="Arial" w:hAnsi="Arial" w:eastAsia="宋体" w:cs="Arial"/>
          <w:kern w:val="2"/>
          <w:sz w:val="24"/>
          <w:szCs w:val="24"/>
          <w:lang w:val="en-US" w:eastAsia="zh-CN" w:bidi="ar-SA"/>
        </w:rPr>
        <w:t xml:space="preserve"> 6 份，如发包人要求增加的份数，由双方另行商定。</w:t>
      </w:r>
    </w:p>
    <w:p>
      <w:pPr>
        <w:spacing w:line="360" w:lineRule="auto"/>
        <w:ind w:firstLine="482" w:firstLineChars="200"/>
        <w:rPr>
          <w:rFonts w:hint="eastAsia" w:ascii="Arial" w:hAnsi="Arial" w:eastAsia="宋体" w:cs="Arial"/>
          <w:b/>
          <w:bCs/>
          <w:kern w:val="2"/>
          <w:sz w:val="24"/>
          <w:szCs w:val="24"/>
          <w:highlight w:val="none"/>
          <w:lang w:val="en-US" w:eastAsia="zh-CN" w:bidi="ar-SA"/>
        </w:rPr>
      </w:pPr>
      <w:r>
        <w:rPr>
          <w:rFonts w:hint="eastAsia" w:ascii="Arial" w:hAnsi="Arial" w:eastAsia="宋体" w:cs="Arial"/>
          <w:b/>
          <w:bCs/>
          <w:kern w:val="2"/>
          <w:sz w:val="24"/>
          <w:szCs w:val="24"/>
          <w:highlight w:val="none"/>
          <w:lang w:val="en-US" w:eastAsia="zh-CN" w:bidi="ar-SA"/>
        </w:rPr>
        <w:t>第四条</w:t>
      </w:r>
      <w:r>
        <w:rPr>
          <w:rFonts w:hint="eastAsia" w:ascii="Arial" w:hAnsi="Arial" w:cs="Arial"/>
          <w:b/>
          <w:bCs/>
          <w:kern w:val="2"/>
          <w:sz w:val="24"/>
          <w:szCs w:val="24"/>
          <w:highlight w:val="none"/>
          <w:lang w:val="en-US" w:eastAsia="zh-CN" w:bidi="ar-SA"/>
        </w:rPr>
        <w:t xml:space="preserve">  </w:t>
      </w:r>
      <w:r>
        <w:rPr>
          <w:rFonts w:hint="eastAsia" w:ascii="Arial" w:hAnsi="Arial" w:eastAsia="宋体" w:cs="Arial"/>
          <w:b/>
          <w:bCs/>
          <w:kern w:val="2"/>
          <w:sz w:val="24"/>
          <w:szCs w:val="24"/>
          <w:highlight w:val="none"/>
          <w:lang w:val="en-US" w:eastAsia="zh-CN" w:bidi="ar-SA"/>
        </w:rPr>
        <w:t>履约保证金。</w:t>
      </w:r>
    </w:p>
    <w:p>
      <w:pPr>
        <w:spacing w:line="360" w:lineRule="auto"/>
        <w:ind w:firstLine="480" w:firstLineChars="200"/>
        <w:rPr>
          <w:rFonts w:hint="eastAsia" w:ascii="Arial" w:hAnsi="Arial" w:eastAsia="宋体" w:cs="Arial"/>
          <w:kern w:val="2"/>
          <w:sz w:val="24"/>
          <w:szCs w:val="24"/>
          <w:highlight w:val="none"/>
          <w:lang w:val="en-US" w:eastAsia="zh-CN" w:bidi="ar-SA"/>
        </w:rPr>
      </w:pPr>
      <w:r>
        <w:rPr>
          <w:rFonts w:hint="eastAsia" w:ascii="Arial" w:hAnsi="Arial" w:eastAsia="宋体" w:cs="Arial"/>
          <w:kern w:val="2"/>
          <w:sz w:val="24"/>
          <w:szCs w:val="24"/>
          <w:highlight w:val="none"/>
          <w:lang w:val="en-US" w:eastAsia="zh-CN" w:bidi="ar-SA"/>
        </w:rPr>
        <w:t>本合同签订的同时，乙方应向甲方缴纳     元作为履约保证金。待合同履行完毕后一月内，乙方售后服务良好，无质量和服务问题，甲方原额无息退还履约保证金。</w:t>
      </w:r>
    </w:p>
    <w:p>
      <w:pPr>
        <w:spacing w:line="360" w:lineRule="auto"/>
        <w:rPr>
          <w:rFonts w:hint="eastAsia" w:ascii="Arial" w:hAnsi="Arial" w:eastAsia="宋体" w:cs="Arial"/>
          <w:b/>
          <w:bCs/>
          <w:kern w:val="2"/>
          <w:sz w:val="24"/>
          <w:szCs w:val="24"/>
          <w:highlight w:val="none"/>
          <w:lang w:val="en-US" w:eastAsia="zh-CN" w:bidi="ar-SA"/>
        </w:rPr>
      </w:pPr>
      <w:r>
        <w:rPr>
          <w:rFonts w:hint="eastAsia" w:ascii="Arial" w:hAnsi="Arial" w:eastAsia="宋体" w:cs="Arial"/>
          <w:kern w:val="2"/>
          <w:sz w:val="24"/>
          <w:szCs w:val="24"/>
          <w:highlight w:val="none"/>
          <w:lang w:val="en-US" w:eastAsia="zh-CN" w:bidi="ar-SA"/>
        </w:rPr>
        <w:t>本合同履行过程中，如发生乙方应承担违约金等情形，甲方有权从履约保证金中抵扣乙方应承担违约金、损失赔偿金等全部款项。</w:t>
      </w:r>
      <w:r>
        <w:rPr>
          <w:rFonts w:hint="eastAsia" w:ascii="Arial" w:hAnsi="Arial" w:eastAsia="宋体" w:cs="Arial"/>
          <w:b/>
          <w:bCs/>
          <w:kern w:val="2"/>
          <w:sz w:val="24"/>
          <w:szCs w:val="24"/>
          <w:highlight w:val="none"/>
          <w:lang w:val="en-US" w:eastAsia="zh-CN" w:bidi="ar-SA"/>
        </w:rPr>
        <w:t xml:space="preserve">    </w:t>
      </w:r>
    </w:p>
    <w:p>
      <w:pPr>
        <w:spacing w:line="360" w:lineRule="auto"/>
        <w:ind w:firstLine="482" w:firstLineChars="200"/>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第</w:t>
      </w:r>
      <w:r>
        <w:rPr>
          <w:rFonts w:hint="eastAsia" w:ascii="Arial" w:hAnsi="Arial" w:cs="Arial"/>
          <w:b/>
          <w:bCs/>
          <w:kern w:val="2"/>
          <w:sz w:val="24"/>
          <w:szCs w:val="24"/>
          <w:lang w:val="en-US" w:eastAsia="zh-CN" w:bidi="ar-SA"/>
        </w:rPr>
        <w:t>五</w:t>
      </w:r>
      <w:r>
        <w:rPr>
          <w:rFonts w:hint="eastAsia" w:ascii="Arial" w:hAnsi="Arial" w:eastAsia="宋体" w:cs="Arial"/>
          <w:b/>
          <w:bCs/>
          <w:kern w:val="2"/>
          <w:sz w:val="24"/>
          <w:szCs w:val="24"/>
          <w:lang w:val="en-US" w:eastAsia="zh-CN" w:bidi="ar-SA"/>
        </w:rPr>
        <w:t>条  开工及提交</w:t>
      </w:r>
      <w:r>
        <w:rPr>
          <w:rFonts w:hint="eastAsia" w:ascii="Arial" w:hAnsi="Arial" w:cs="Arial"/>
          <w:b/>
          <w:bCs/>
          <w:kern w:val="2"/>
          <w:sz w:val="24"/>
          <w:szCs w:val="24"/>
          <w:lang w:val="en-US" w:eastAsia="zh-CN" w:bidi="ar-SA"/>
        </w:rPr>
        <w:t>详勘</w:t>
      </w:r>
      <w:r>
        <w:rPr>
          <w:rFonts w:hint="eastAsia" w:ascii="Arial" w:hAnsi="Arial" w:eastAsia="宋体" w:cs="Arial"/>
          <w:b/>
          <w:bCs/>
          <w:kern w:val="2"/>
          <w:sz w:val="24"/>
          <w:szCs w:val="24"/>
          <w:lang w:val="en-US" w:eastAsia="zh-CN" w:bidi="ar-SA"/>
        </w:rPr>
        <w:t>成果资料的时间和收费标准及付费方式</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1.</w:t>
      </w:r>
      <w:r>
        <w:rPr>
          <w:rFonts w:hint="eastAsia" w:ascii="Arial" w:hAnsi="Arial" w:eastAsia="宋体" w:cs="Arial"/>
          <w:kern w:val="2"/>
          <w:sz w:val="24"/>
          <w:szCs w:val="24"/>
          <w:lang w:val="en-US" w:eastAsia="zh-CN" w:bidi="ar-SA"/>
        </w:rPr>
        <w:t>本工程的</w:t>
      </w:r>
      <w:r>
        <w:rPr>
          <w:rFonts w:hint="eastAsia" w:ascii="Arial" w:hAnsi="Arial" w:cs="Arial"/>
          <w:kern w:val="2"/>
          <w:sz w:val="24"/>
          <w:szCs w:val="24"/>
          <w:lang w:val="en-US" w:eastAsia="zh-CN" w:bidi="ar-SA"/>
        </w:rPr>
        <w:t>详勘</w:t>
      </w:r>
      <w:r>
        <w:rPr>
          <w:rFonts w:hint="eastAsia" w:ascii="Arial" w:hAnsi="Arial" w:eastAsia="宋体" w:cs="Arial"/>
          <w:kern w:val="2"/>
          <w:sz w:val="24"/>
          <w:szCs w:val="24"/>
          <w:lang w:val="en-US" w:eastAsia="zh-CN" w:bidi="ar-SA"/>
        </w:rPr>
        <w:t>工作定于</w:t>
      </w:r>
      <w:r>
        <w:rPr>
          <w:rFonts w:hint="eastAsia" w:ascii="Arial" w:hAnsi="Arial" w:eastAsia="宋体"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年</w:t>
      </w:r>
      <w:r>
        <w:rPr>
          <w:rFonts w:hint="eastAsia" w:ascii="Arial" w:hAnsi="Arial" w:eastAsia="宋体"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月</w:t>
      </w:r>
      <w:r>
        <w:rPr>
          <w:rFonts w:hint="eastAsia" w:ascii="Arial" w:hAnsi="Arial" w:eastAsia="宋体"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日开工，工期</w:t>
      </w:r>
      <w:r>
        <w:rPr>
          <w:rFonts w:hint="eastAsia" w:ascii="Arial" w:hAnsi="Arial" w:eastAsia="宋体"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天，由于发包人或勘察人的原因未能按期开工或提交成果资料时，按本合同第六条规定办理。</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2</w:t>
      </w:r>
      <w:r>
        <w:rPr>
          <w:rFonts w:hint="eastAsia" w:ascii="Arial" w:hAnsi="Arial" w:eastAsia="宋体" w:cs="Arial"/>
          <w:kern w:val="2"/>
          <w:sz w:val="24"/>
          <w:szCs w:val="24"/>
          <w:lang w:val="en-US" w:eastAsia="zh-CN" w:bidi="ar-SA"/>
        </w:rPr>
        <w:t>.勘察工作有效期限以同规定的时间为准，如遇特殊情况（设计变更、工作量变化、不可抗力影响以及非勘察人原因造成的停、窝工等）时，工期顺延。</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3.</w:t>
      </w:r>
      <w:r>
        <w:rPr>
          <w:rFonts w:hint="eastAsia" w:ascii="Arial" w:hAnsi="Arial" w:eastAsia="宋体" w:cs="Arial"/>
          <w:kern w:val="2"/>
          <w:sz w:val="24"/>
          <w:szCs w:val="24"/>
          <w:lang w:val="en-US" w:eastAsia="zh-CN" w:bidi="ar-SA"/>
        </w:rPr>
        <w:t>收费标准及付费方式</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本合同采用固定总价包干为￥</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元（人民币大写：</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元整）；提交勘察成果资料后 15 天内，发包人一次性支付全部勘察费用，计</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lang w:val="en-US" w:eastAsia="zh-CN" w:bidi="ar-SA"/>
        </w:rPr>
        <w:t>元。</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b/>
          <w:bCs/>
          <w:kern w:val="2"/>
          <w:sz w:val="24"/>
          <w:szCs w:val="24"/>
          <w:lang w:val="en-US" w:eastAsia="zh-CN" w:bidi="ar-SA"/>
        </w:rPr>
        <w:t xml:space="preserve">    第</w:t>
      </w:r>
      <w:r>
        <w:rPr>
          <w:rFonts w:hint="eastAsia" w:ascii="Arial" w:hAnsi="Arial" w:cs="Arial"/>
          <w:b/>
          <w:bCs/>
          <w:kern w:val="2"/>
          <w:sz w:val="24"/>
          <w:szCs w:val="24"/>
          <w:lang w:val="en-US" w:eastAsia="zh-CN" w:bidi="ar-SA"/>
        </w:rPr>
        <w:t>六</w:t>
      </w:r>
      <w:r>
        <w:rPr>
          <w:rFonts w:hint="eastAsia" w:ascii="Arial" w:hAnsi="Arial" w:eastAsia="宋体" w:cs="Arial"/>
          <w:b/>
          <w:bCs/>
          <w:kern w:val="2"/>
          <w:sz w:val="24"/>
          <w:szCs w:val="24"/>
          <w:lang w:val="en-US" w:eastAsia="zh-CN" w:bidi="ar-SA"/>
        </w:rPr>
        <w:t>条  发包人责任</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1.</w:t>
      </w:r>
      <w:r>
        <w:rPr>
          <w:rFonts w:hint="eastAsia" w:ascii="Arial" w:hAnsi="Arial" w:eastAsia="宋体" w:cs="Arial"/>
          <w:kern w:val="2"/>
          <w:sz w:val="24"/>
          <w:szCs w:val="24"/>
          <w:lang w:val="en-US" w:eastAsia="zh-CN" w:bidi="ar-SA"/>
        </w:rPr>
        <w:t>发包人委托任务时，必须以书面形式向勘察人明确勘察任务及技术要求，并按第二条规定提供文件资料。</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2.</w:t>
      </w:r>
      <w:r>
        <w:rPr>
          <w:rFonts w:hint="eastAsia" w:ascii="Arial" w:hAnsi="Arial" w:eastAsia="宋体" w:cs="Arial"/>
          <w:kern w:val="2"/>
          <w:sz w:val="24"/>
          <w:szCs w:val="24"/>
          <w:lang w:val="en-US" w:eastAsia="zh-CN" w:bidi="ar-SA"/>
        </w:rPr>
        <w:t>发包人应及时为勘察人提供并解决勘察现场的工作条件和出现的问题</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3.</w:t>
      </w:r>
      <w:r>
        <w:rPr>
          <w:rFonts w:hint="eastAsia" w:ascii="Arial" w:hAnsi="Arial" w:eastAsia="宋体" w:cs="Arial"/>
          <w:kern w:val="2"/>
          <w:sz w:val="24"/>
          <w:szCs w:val="24"/>
          <w:lang w:val="en-US" w:eastAsia="zh-CN" w:bidi="ar-SA"/>
        </w:rPr>
        <w:t>勘察过程中的任何变更，经办理正式变更手续后，发包人应按招标同等优惠条件下和实际发生的工作量支付勘察费。</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4</w:t>
      </w:r>
      <w:r>
        <w:rPr>
          <w:rFonts w:hint="eastAsia" w:ascii="Arial" w:hAnsi="Arial" w:eastAsia="宋体" w:cs="Arial"/>
          <w:kern w:val="2"/>
          <w:sz w:val="24"/>
          <w:szCs w:val="24"/>
          <w:lang w:val="en-US" w:eastAsia="zh-CN" w:bidi="ar-SA"/>
        </w:rPr>
        <w:t>.由于发包人原因造成勘察人停、窝工，工期顺延，发包人应支付其相关费用。</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5.</w:t>
      </w:r>
      <w:r>
        <w:rPr>
          <w:rFonts w:hint="eastAsia" w:ascii="Arial" w:hAnsi="Arial" w:eastAsia="宋体" w:cs="Arial"/>
          <w:kern w:val="2"/>
          <w:sz w:val="24"/>
          <w:szCs w:val="24"/>
          <w:lang w:val="en-US" w:eastAsia="zh-CN" w:bidi="ar-SA"/>
        </w:rPr>
        <w:t>发包人应保护勘察人的投标书、勘察方案、报告书、文件、资料图纸、数据、特殊工艺（方法）、专利技术和合理化建议，未经勘察人同意，发包人不得复制、不得泄露、不得擅自修改、传送或向第三人（除发包人的工程业主、设计单位及施工单位外）转让或用于本合同外的项目；如发生上述情况，发包人应负法律责任，勘察人有权索赔。</w:t>
      </w:r>
    </w:p>
    <w:p>
      <w:pPr>
        <w:spacing w:line="360" w:lineRule="auto"/>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 xml:space="preserve">   第</w:t>
      </w:r>
      <w:r>
        <w:rPr>
          <w:rFonts w:hint="eastAsia" w:ascii="Arial" w:hAnsi="Arial" w:cs="Arial"/>
          <w:b/>
          <w:bCs/>
          <w:kern w:val="2"/>
          <w:sz w:val="24"/>
          <w:szCs w:val="24"/>
          <w:lang w:val="en-US" w:eastAsia="zh-CN" w:bidi="ar-SA"/>
        </w:rPr>
        <w:t>七</w:t>
      </w:r>
      <w:r>
        <w:rPr>
          <w:rFonts w:hint="eastAsia" w:ascii="Arial" w:hAnsi="Arial" w:eastAsia="宋体" w:cs="Arial"/>
          <w:b/>
          <w:bCs/>
          <w:kern w:val="2"/>
          <w:sz w:val="24"/>
          <w:szCs w:val="24"/>
          <w:lang w:val="en-US" w:eastAsia="zh-CN" w:bidi="ar-SA"/>
        </w:rPr>
        <w:t>条勘察人责任</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1.</w:t>
      </w:r>
      <w:r>
        <w:rPr>
          <w:rFonts w:hint="eastAsia" w:ascii="Arial" w:hAnsi="Arial" w:eastAsia="宋体" w:cs="Arial"/>
          <w:kern w:val="2"/>
          <w:sz w:val="24"/>
          <w:szCs w:val="24"/>
          <w:lang w:val="en-US" w:eastAsia="zh-CN" w:bidi="ar-SA"/>
        </w:rPr>
        <w:t>勘察人应按国家技术规范、标准、规程和发包人的任务委托书及技术要求进行工程勘察，按本合同规定的时间提交质量合格的勘察成果资料，并对其负责。</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2.</w:t>
      </w:r>
      <w:r>
        <w:rPr>
          <w:rFonts w:hint="eastAsia" w:ascii="Arial" w:hAnsi="Arial" w:eastAsia="宋体" w:cs="Arial"/>
          <w:kern w:val="2"/>
          <w:sz w:val="24"/>
          <w:szCs w:val="24"/>
          <w:lang w:val="en-US" w:eastAsia="zh-CN" w:bidi="ar-SA"/>
        </w:rPr>
        <w:t>由于勘察人提供的勘察成果资料质量不合格，勘察人应负责无偿给予补充完善使其达到质量合格；若勘察人无力补充完善，需另委托其他单位时，勘察人应承担全部勘察费用。</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3.</w:t>
      </w:r>
      <w:r>
        <w:rPr>
          <w:rFonts w:hint="eastAsia" w:ascii="Arial" w:hAnsi="Arial" w:eastAsia="宋体" w:cs="Arial"/>
          <w:kern w:val="2"/>
          <w:sz w:val="24"/>
          <w:szCs w:val="24"/>
          <w:lang w:val="en-US" w:eastAsia="zh-CN" w:bidi="ar-SA"/>
        </w:rPr>
        <w:t>在工程勘察前，提出勘察纲要或勘察组织设计，派人与发包人的人员一起验收发包人提供的材料。</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w:t>
      </w:r>
      <w:r>
        <w:rPr>
          <w:rFonts w:hint="eastAsia" w:ascii="Arial" w:hAnsi="Arial" w:cs="Arial"/>
          <w:kern w:val="2"/>
          <w:sz w:val="24"/>
          <w:szCs w:val="24"/>
          <w:lang w:val="en-US" w:eastAsia="zh-CN" w:bidi="ar-SA"/>
        </w:rPr>
        <w:t>4.</w:t>
      </w:r>
      <w:r>
        <w:rPr>
          <w:rFonts w:hint="eastAsia" w:ascii="Arial" w:hAnsi="Arial" w:eastAsia="宋体" w:cs="Arial"/>
          <w:kern w:val="2"/>
          <w:sz w:val="24"/>
          <w:szCs w:val="24"/>
          <w:lang w:val="en-US" w:eastAsia="zh-CN" w:bidi="ar-SA"/>
        </w:rPr>
        <w:t>勘察过程中，根据工程的岩土工程条件（或工作现场地形地貌、地质和水文地质条件）及技术规范要求，向发包人提出增减工作量或修改勘察工作的意见，并办理正式变更手续。</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5.</w:t>
      </w:r>
      <w:r>
        <w:rPr>
          <w:rFonts w:hint="eastAsia" w:ascii="Arial" w:hAnsi="Arial" w:eastAsia="宋体" w:cs="Arial"/>
          <w:kern w:val="2"/>
          <w:sz w:val="24"/>
          <w:szCs w:val="24"/>
          <w:lang w:val="en-US" w:eastAsia="zh-CN" w:bidi="ar-SA"/>
        </w:rPr>
        <w:t>按国家有关规定，勘察人应对其雇佣的从事危险作业的现场人员进行保险防护，并承担费用。在现场工作的勘察人的人员，应遵守发包人的安全保卫及其它有关的规章制度，承担其有关资料保密义务。</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6.</w:t>
      </w:r>
      <w:r>
        <w:rPr>
          <w:rFonts w:hint="eastAsia" w:ascii="Arial" w:hAnsi="Arial" w:eastAsia="宋体" w:cs="Arial"/>
          <w:kern w:val="2"/>
          <w:sz w:val="24"/>
          <w:szCs w:val="24"/>
          <w:lang w:val="en-US" w:eastAsia="zh-CN" w:bidi="ar-SA"/>
        </w:rPr>
        <w:t>勘察人负责勘察施工过程中的安全责任，并自行解决施工过程中的水、电、场地平整等相关工作。</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7.</w:t>
      </w:r>
      <w:r>
        <w:rPr>
          <w:rFonts w:hint="eastAsia" w:ascii="Arial" w:hAnsi="Arial" w:eastAsia="宋体" w:cs="Arial"/>
          <w:kern w:val="2"/>
          <w:sz w:val="24"/>
          <w:szCs w:val="24"/>
          <w:lang w:val="en-US" w:eastAsia="zh-CN" w:bidi="ar-SA"/>
        </w:rPr>
        <w:t>工程打试桩及地基验槽，根据工程施工进度，要求在发包人通知之时起，勘察人须在24小时内到场，相关的试桩及验槽费等所有费用均已包括于总报价费用内，不再另行计取。</w:t>
      </w:r>
    </w:p>
    <w:p>
      <w:pPr>
        <w:spacing w:line="360" w:lineRule="auto"/>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 xml:space="preserve">    第</w:t>
      </w:r>
      <w:r>
        <w:rPr>
          <w:rFonts w:hint="eastAsia" w:ascii="Arial" w:hAnsi="Arial" w:cs="Arial"/>
          <w:b/>
          <w:bCs/>
          <w:kern w:val="2"/>
          <w:sz w:val="24"/>
          <w:szCs w:val="24"/>
          <w:lang w:val="en-US" w:eastAsia="zh-CN" w:bidi="ar-SA"/>
        </w:rPr>
        <w:t>八</w:t>
      </w:r>
      <w:r>
        <w:rPr>
          <w:rFonts w:hint="eastAsia" w:ascii="Arial" w:hAnsi="Arial" w:eastAsia="宋体" w:cs="Arial"/>
          <w:b/>
          <w:bCs/>
          <w:kern w:val="2"/>
          <w:sz w:val="24"/>
          <w:szCs w:val="24"/>
          <w:lang w:val="en-US" w:eastAsia="zh-CN" w:bidi="ar-SA"/>
        </w:rPr>
        <w:t>条  违约责任</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1</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由于发包人未给勘察人提供必要的工作条件而造成停、窝工或来回进出场地，发包人应同意工期按实际工日顺延，并支付勘察人相关费用。</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2</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由于勘察人原因造成勘察成果资料质量不合格，不能满足技术要求时，其返工勘察费用由勘察人承担。</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    3</w:t>
      </w:r>
      <w:r>
        <w:rPr>
          <w:rFonts w:hint="eastAsia" w:ascii="Arial" w:hAnsi="Arial" w:cs="Arial"/>
          <w:kern w:val="2"/>
          <w:sz w:val="24"/>
          <w:szCs w:val="24"/>
          <w:lang w:val="en-US" w:eastAsia="zh-CN" w:bidi="ar-SA"/>
        </w:rPr>
        <w:t>.</w:t>
      </w:r>
      <w:r>
        <w:rPr>
          <w:rFonts w:hint="eastAsia" w:ascii="Arial" w:hAnsi="Arial" w:eastAsia="宋体" w:cs="Arial"/>
          <w:kern w:val="2"/>
          <w:sz w:val="24"/>
          <w:szCs w:val="24"/>
          <w:lang w:val="en-US" w:eastAsia="zh-CN" w:bidi="ar-SA"/>
        </w:rPr>
        <w:t>合同履行期间，由于工程停建而终止合同或发包人要求解除合同时，按实际勘察工作量支付给勘察人相应费用。</w:t>
      </w:r>
    </w:p>
    <w:p>
      <w:pPr>
        <w:spacing w:line="360" w:lineRule="auto"/>
        <w:ind w:firstLine="480"/>
        <w:rPr>
          <w:rFonts w:hint="eastAsia" w:ascii="Arial" w:hAnsi="Arial" w:cs="Arial"/>
          <w:b/>
          <w:bCs/>
          <w:kern w:val="2"/>
          <w:sz w:val="24"/>
          <w:szCs w:val="24"/>
          <w:lang w:val="en-US" w:eastAsia="zh-CN" w:bidi="ar-SA"/>
        </w:rPr>
      </w:pPr>
      <w:r>
        <w:rPr>
          <w:rFonts w:hint="eastAsia" w:ascii="Arial" w:hAnsi="Arial" w:eastAsia="宋体" w:cs="Arial"/>
          <w:b/>
          <w:bCs/>
          <w:kern w:val="2"/>
          <w:sz w:val="24"/>
          <w:szCs w:val="24"/>
          <w:lang w:val="en-US" w:eastAsia="zh-CN" w:bidi="ar-SA"/>
        </w:rPr>
        <w:t>第</w:t>
      </w:r>
      <w:r>
        <w:rPr>
          <w:rFonts w:hint="eastAsia" w:ascii="Arial" w:hAnsi="Arial" w:cs="Arial"/>
          <w:b/>
          <w:bCs/>
          <w:kern w:val="2"/>
          <w:sz w:val="24"/>
          <w:szCs w:val="24"/>
          <w:lang w:val="en-US" w:eastAsia="zh-CN" w:bidi="ar-SA"/>
        </w:rPr>
        <w:t>九</w:t>
      </w:r>
      <w:r>
        <w:rPr>
          <w:rFonts w:hint="eastAsia" w:ascii="Arial" w:hAnsi="Arial" w:eastAsia="宋体" w:cs="Arial"/>
          <w:b/>
          <w:bCs/>
          <w:kern w:val="2"/>
          <w:sz w:val="24"/>
          <w:szCs w:val="24"/>
          <w:lang w:val="en-US" w:eastAsia="zh-CN" w:bidi="ar-SA"/>
        </w:rPr>
        <w:t>条</w:t>
      </w:r>
      <w:r>
        <w:rPr>
          <w:rFonts w:hint="eastAsia" w:ascii="Arial" w:hAnsi="Arial" w:cs="Arial"/>
          <w:b/>
          <w:bCs/>
          <w:kern w:val="2"/>
          <w:sz w:val="24"/>
          <w:szCs w:val="24"/>
          <w:lang w:val="en-US" w:eastAsia="zh-CN" w:bidi="ar-SA"/>
        </w:rPr>
        <w:t xml:space="preserve"> 争议的解决方法</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在合同履行过程中发生争议，双方应当协商解决，也可以申请当地有关部门进行调解。 当事人双方不愿意协商、调解或者协商、调解不成的，双方商定由甲方住所地人民法院诉讼解决。</w:t>
      </w:r>
    </w:p>
    <w:p>
      <w:pPr>
        <w:spacing w:line="360" w:lineRule="auto"/>
        <w:ind w:firstLine="480"/>
        <w:rPr>
          <w:rFonts w:hint="default" w:ascii="Arial" w:hAnsi="Arial" w:eastAsia="宋体" w:cs="Arial"/>
          <w:b w:val="0"/>
          <w:bCs w:val="0"/>
          <w:kern w:val="2"/>
          <w:sz w:val="24"/>
          <w:szCs w:val="24"/>
          <w:lang w:val="en-US" w:eastAsia="zh-CN" w:bidi="ar-SA"/>
        </w:rPr>
      </w:pPr>
      <w:r>
        <w:rPr>
          <w:rFonts w:hint="eastAsia" w:ascii="Arial" w:hAnsi="Arial" w:eastAsia="宋体" w:cs="Arial"/>
          <w:b/>
          <w:bCs/>
          <w:kern w:val="2"/>
          <w:sz w:val="24"/>
          <w:szCs w:val="24"/>
          <w:lang w:val="en-US" w:eastAsia="zh-CN" w:bidi="ar-SA"/>
        </w:rPr>
        <w:t>第</w:t>
      </w:r>
      <w:r>
        <w:rPr>
          <w:rFonts w:hint="eastAsia" w:ascii="Arial" w:hAnsi="Arial" w:cs="Arial"/>
          <w:b/>
          <w:bCs/>
          <w:kern w:val="2"/>
          <w:sz w:val="24"/>
          <w:szCs w:val="24"/>
          <w:lang w:val="en-US" w:eastAsia="zh-CN" w:bidi="ar-SA"/>
        </w:rPr>
        <w:t>十</w:t>
      </w:r>
      <w:r>
        <w:rPr>
          <w:rFonts w:hint="eastAsia" w:ascii="Arial" w:hAnsi="Arial" w:eastAsia="宋体" w:cs="Arial"/>
          <w:b/>
          <w:bCs/>
          <w:kern w:val="2"/>
          <w:sz w:val="24"/>
          <w:szCs w:val="24"/>
          <w:lang w:val="en-US" w:eastAsia="zh-CN" w:bidi="ar-SA"/>
        </w:rPr>
        <w:t xml:space="preserve">条 </w:t>
      </w:r>
      <w:r>
        <w:rPr>
          <w:rFonts w:hint="eastAsia" w:ascii="Arial" w:hAnsi="Arial" w:cs="Arial"/>
          <w:b/>
          <w:bCs/>
          <w:kern w:val="2"/>
          <w:sz w:val="24"/>
          <w:szCs w:val="24"/>
          <w:lang w:val="en-US" w:eastAsia="zh-CN" w:bidi="ar-SA"/>
        </w:rPr>
        <w:t>附则</w:t>
      </w:r>
    </w:p>
    <w:p>
      <w:pPr>
        <w:spacing w:line="360" w:lineRule="auto"/>
        <w:ind w:firstLine="240" w:firstLineChars="100"/>
        <w:rPr>
          <w:rFonts w:hint="eastAsia" w:ascii="Arial" w:hAnsi="Arial" w:eastAsia="宋体" w:cs="Arial"/>
          <w:kern w:val="2"/>
          <w:sz w:val="24"/>
          <w:szCs w:val="24"/>
          <w:lang w:val="en-US" w:eastAsia="zh-CN" w:bidi="ar-SA"/>
        </w:rPr>
      </w:pPr>
      <w:r>
        <w:rPr>
          <w:rFonts w:hint="eastAsia" w:ascii="Arial" w:hAnsi="Arial" w:eastAsia="宋体" w:cs="Arial"/>
          <w:b w:val="0"/>
          <w:bCs w:val="0"/>
          <w:kern w:val="2"/>
          <w:sz w:val="24"/>
          <w:szCs w:val="24"/>
          <w:lang w:val="en-US" w:eastAsia="zh-CN" w:bidi="ar-SA"/>
        </w:rPr>
        <w:t xml:space="preserve"> </w:t>
      </w:r>
      <w:r>
        <w:rPr>
          <w:rFonts w:hint="eastAsia" w:ascii="Arial" w:hAnsi="Arial" w:cs="Arial"/>
          <w:b w:val="0"/>
          <w:bCs w:val="0"/>
          <w:kern w:val="2"/>
          <w:sz w:val="24"/>
          <w:szCs w:val="24"/>
          <w:lang w:val="en-US" w:eastAsia="zh-CN" w:bidi="ar-SA"/>
        </w:rPr>
        <w:t xml:space="preserve"> </w:t>
      </w:r>
      <w:r>
        <w:rPr>
          <w:rFonts w:hint="eastAsia" w:ascii="Arial" w:hAnsi="Arial" w:eastAsia="宋体" w:cs="Arial"/>
          <w:b w:val="0"/>
          <w:bCs w:val="0"/>
          <w:kern w:val="2"/>
          <w:sz w:val="24"/>
          <w:szCs w:val="24"/>
          <w:lang w:val="en-US" w:eastAsia="zh-CN" w:bidi="ar-SA"/>
        </w:rPr>
        <w:t>本合同自发包人、勘察人签字盖章后生效。发包人、勘察人履行完合同规定的义务后，本合同终止。</w:t>
      </w:r>
    </w:p>
    <w:p>
      <w:pPr>
        <w:spacing w:line="360" w:lineRule="auto"/>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本合同一式 肆 份，发包人 贰 份、勘察人 贰 份。</w:t>
      </w:r>
    </w:p>
    <w:p>
      <w:pPr>
        <w:spacing w:line="360" w:lineRule="auto"/>
        <w:rPr>
          <w:rFonts w:hint="eastAsia" w:ascii="Arial" w:hAnsi="Arial" w:eastAsia="宋体" w:cs="Arial"/>
          <w:kern w:val="2"/>
          <w:sz w:val="24"/>
          <w:szCs w:val="24"/>
          <w:lang w:val="en-US" w:eastAsia="zh-CN" w:bidi="ar-SA"/>
        </w:rPr>
      </w:pP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发包人名称： (盖章)                  勘察人名称：   (盖章)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法定代表人：（签字）                 法定代表人：（签字）</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委托代理人：（签字）                 委托代理人：（签字）</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联 系 人：                          联 系 人：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 xml:space="preserve">住    所：                          住    所： </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邮政编码：                          邮政编码：</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电    话：                          电    话：</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传    真：                          传    真：</w:t>
      </w:r>
    </w:p>
    <w:p>
      <w:pPr>
        <w:spacing w:line="360" w:lineRule="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开户银行：                          开户银行：</w:t>
      </w:r>
    </w:p>
    <w:p>
      <w:pPr>
        <w:spacing w:line="360" w:lineRule="auto"/>
        <w:rPr>
          <w:rFonts w:hint="eastAsia" w:ascii="Arial" w:hAnsi="Arial" w:eastAsia="宋体" w:cs="Arial"/>
          <w:kern w:val="2"/>
          <w:sz w:val="24"/>
          <w:szCs w:val="24"/>
          <w:lang w:val="en-US" w:eastAsia="zh-CN" w:bidi="ar-SA"/>
        </w:rPr>
        <w:sectPr>
          <w:footerReference r:id="rId5" w:type="default"/>
          <w:footerReference r:id="rId6" w:type="even"/>
          <w:pgSz w:w="11906" w:h="16838"/>
          <w:pgMar w:top="1701" w:right="1417" w:bottom="1134" w:left="1417" w:header="851" w:footer="992" w:gutter="0"/>
          <w:paperSrc/>
          <w:pgNumType w:start="0"/>
          <w:cols w:space="0" w:num="1"/>
          <w:titlePg/>
          <w:rtlGutter w:val="0"/>
          <w:docGrid w:linePitch="312" w:charSpace="0"/>
        </w:sectPr>
      </w:pPr>
      <w:r>
        <w:rPr>
          <w:rFonts w:hint="eastAsia" w:ascii="Arial" w:hAnsi="Arial" w:eastAsia="宋体" w:cs="Arial"/>
          <w:kern w:val="2"/>
          <w:sz w:val="24"/>
          <w:szCs w:val="24"/>
          <w:lang w:val="en-US" w:eastAsia="zh-CN" w:bidi="ar-SA"/>
        </w:rPr>
        <w:t>银行帐号：                          银行帐号</w:t>
      </w:r>
      <w:r>
        <w:rPr>
          <w:rFonts w:hint="eastAsia" w:ascii="Arial" w:hAnsi="Arial" w:cs="Arial"/>
          <w:kern w:val="2"/>
          <w:sz w:val="24"/>
          <w:szCs w:val="24"/>
          <w:lang w:val="en-US" w:eastAsia="zh-CN" w:bidi="ar-SA"/>
        </w:rPr>
        <w:t>：</w:t>
      </w:r>
    </w:p>
    <w:p>
      <w:pPr>
        <w:tabs>
          <w:tab w:val="left" w:pos="2996"/>
        </w:tabs>
        <w:spacing w:line="440" w:lineRule="exact"/>
      </w:pPr>
    </w:p>
    <w:sectPr>
      <w:footerReference r:id="rId7" w:type="default"/>
      <w:pgSz w:w="11906" w:h="16838"/>
      <w:pgMar w:top="1701" w:right="1417" w:bottom="1134" w:left="1417" w:header="851" w:footer="992" w:gutter="0"/>
      <w:paperSrc/>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120260D"/>
    <w:multiLevelType w:val="multilevel"/>
    <w:tmpl w:val="4120260D"/>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BAE6002"/>
    <w:multiLevelType w:val="multilevel"/>
    <w:tmpl w:val="5BAE600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30872"/>
    <w:rsid w:val="005926A3"/>
    <w:rsid w:val="008746A5"/>
    <w:rsid w:val="00B574EC"/>
    <w:rsid w:val="015050D6"/>
    <w:rsid w:val="0163497C"/>
    <w:rsid w:val="01D22213"/>
    <w:rsid w:val="02214925"/>
    <w:rsid w:val="04605697"/>
    <w:rsid w:val="05D22118"/>
    <w:rsid w:val="06057AB3"/>
    <w:rsid w:val="09E95023"/>
    <w:rsid w:val="0A0C6ADD"/>
    <w:rsid w:val="0A32752C"/>
    <w:rsid w:val="0AD4279B"/>
    <w:rsid w:val="0BCC31F9"/>
    <w:rsid w:val="0D322C8D"/>
    <w:rsid w:val="0DC35837"/>
    <w:rsid w:val="0DCA659C"/>
    <w:rsid w:val="0DE61498"/>
    <w:rsid w:val="110C39D4"/>
    <w:rsid w:val="1297576D"/>
    <w:rsid w:val="12AD7B51"/>
    <w:rsid w:val="12BF4C87"/>
    <w:rsid w:val="12E70A09"/>
    <w:rsid w:val="12E770F7"/>
    <w:rsid w:val="12F3571C"/>
    <w:rsid w:val="13A0058C"/>
    <w:rsid w:val="17565C7A"/>
    <w:rsid w:val="1A2B7D96"/>
    <w:rsid w:val="1BD33B78"/>
    <w:rsid w:val="1D33169F"/>
    <w:rsid w:val="1E1A21EF"/>
    <w:rsid w:val="202D17B7"/>
    <w:rsid w:val="203B090D"/>
    <w:rsid w:val="21135480"/>
    <w:rsid w:val="214D7086"/>
    <w:rsid w:val="219914E7"/>
    <w:rsid w:val="22B83839"/>
    <w:rsid w:val="2388393E"/>
    <w:rsid w:val="23984212"/>
    <w:rsid w:val="24130D0C"/>
    <w:rsid w:val="2512051E"/>
    <w:rsid w:val="26F76768"/>
    <w:rsid w:val="27333604"/>
    <w:rsid w:val="29F704EF"/>
    <w:rsid w:val="2A5644AF"/>
    <w:rsid w:val="2AC220DE"/>
    <w:rsid w:val="2ADB5E21"/>
    <w:rsid w:val="2ADF08BA"/>
    <w:rsid w:val="2B644812"/>
    <w:rsid w:val="2EB2531B"/>
    <w:rsid w:val="2F3D045F"/>
    <w:rsid w:val="2F7D3F84"/>
    <w:rsid w:val="2F844FB7"/>
    <w:rsid w:val="33EB3B1C"/>
    <w:rsid w:val="3464504B"/>
    <w:rsid w:val="354D4C9A"/>
    <w:rsid w:val="37F939C5"/>
    <w:rsid w:val="3C8F1889"/>
    <w:rsid w:val="3D7933CA"/>
    <w:rsid w:val="3DAC3CC7"/>
    <w:rsid w:val="3E16524F"/>
    <w:rsid w:val="3F2D02B4"/>
    <w:rsid w:val="407E15A7"/>
    <w:rsid w:val="40AA3B81"/>
    <w:rsid w:val="40FE6FE3"/>
    <w:rsid w:val="411C5733"/>
    <w:rsid w:val="45530393"/>
    <w:rsid w:val="462B6949"/>
    <w:rsid w:val="469F7AF8"/>
    <w:rsid w:val="47787508"/>
    <w:rsid w:val="478F3581"/>
    <w:rsid w:val="47B448BD"/>
    <w:rsid w:val="47B96D86"/>
    <w:rsid w:val="47D615F1"/>
    <w:rsid w:val="48034DA7"/>
    <w:rsid w:val="49E7480F"/>
    <w:rsid w:val="4B8E3F29"/>
    <w:rsid w:val="4C870D35"/>
    <w:rsid w:val="4E376DB9"/>
    <w:rsid w:val="4E716394"/>
    <w:rsid w:val="4F0A3ECF"/>
    <w:rsid w:val="502844C8"/>
    <w:rsid w:val="51D845E4"/>
    <w:rsid w:val="524E7723"/>
    <w:rsid w:val="533444FB"/>
    <w:rsid w:val="54F52B08"/>
    <w:rsid w:val="55C54FE9"/>
    <w:rsid w:val="55E07717"/>
    <w:rsid w:val="57231452"/>
    <w:rsid w:val="57303F87"/>
    <w:rsid w:val="58080247"/>
    <w:rsid w:val="58E30CBE"/>
    <w:rsid w:val="5A1C766A"/>
    <w:rsid w:val="5B8B1D7B"/>
    <w:rsid w:val="5E3416E0"/>
    <w:rsid w:val="5F482E83"/>
    <w:rsid w:val="612A3DEE"/>
    <w:rsid w:val="649C599A"/>
    <w:rsid w:val="66B027B6"/>
    <w:rsid w:val="67B628F5"/>
    <w:rsid w:val="6B656B47"/>
    <w:rsid w:val="6B700A0F"/>
    <w:rsid w:val="6C714475"/>
    <w:rsid w:val="6CDB032D"/>
    <w:rsid w:val="6D144BD5"/>
    <w:rsid w:val="6D1F10D1"/>
    <w:rsid w:val="6E5526FF"/>
    <w:rsid w:val="6F2B1820"/>
    <w:rsid w:val="710D0440"/>
    <w:rsid w:val="71C5585F"/>
    <w:rsid w:val="73252A0A"/>
    <w:rsid w:val="75FD2CEC"/>
    <w:rsid w:val="76C61492"/>
    <w:rsid w:val="77AF2B30"/>
    <w:rsid w:val="77D476E8"/>
    <w:rsid w:val="793766EE"/>
    <w:rsid w:val="7A500C84"/>
    <w:rsid w:val="7AF96EC6"/>
    <w:rsid w:val="7CD03426"/>
    <w:rsid w:val="7E29266C"/>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sz w:val="24"/>
    </w:rPr>
  </w:style>
  <w:style w:type="paragraph" w:styleId="3">
    <w:name w:val="Body Text"/>
    <w:basedOn w:val="1"/>
    <w:next w:val="2"/>
    <w:qFormat/>
    <w:uiPriority w:val="0"/>
    <w:pPr>
      <w:spacing w:after="120" w:afterLines="0" w:afterAutospacing="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jc w:val="left"/>
    </w:pPr>
    <w:rPr>
      <w:b/>
      <w:caps/>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Body Text Indent 3"/>
    <w:basedOn w:val="1"/>
    <w:qFormat/>
    <w:uiPriority w:val="0"/>
    <w:pPr>
      <w:ind w:firstLine="480"/>
    </w:pPr>
    <w:rPr>
      <w:rFonts w:ascii="宋体" w:hAnsi="宋体"/>
      <w:sz w:val="24"/>
    </w:rPr>
  </w:style>
  <w:style w:type="paragraph" w:styleId="15">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qFormat/>
    <w:uiPriority w:val="0"/>
    <w:rPr>
      <w:color w:val="2490F8"/>
      <w:u w:val="single"/>
    </w:rPr>
  </w:style>
  <w:style w:type="character" w:styleId="21">
    <w:name w:val="Hyperlink"/>
    <w:basedOn w:val="18"/>
    <w:qFormat/>
    <w:uiPriority w:val="99"/>
    <w:rPr>
      <w:color w:val="2490F8"/>
      <w:u w:val="single"/>
    </w:rPr>
  </w:style>
  <w:style w:type="character" w:styleId="22">
    <w:name w:val="annotation reference"/>
    <w:basedOn w:val="18"/>
    <w:qFormat/>
    <w:uiPriority w:val="0"/>
    <w:rPr>
      <w:sz w:val="21"/>
      <w:szCs w:val="21"/>
    </w:rPr>
  </w:style>
  <w:style w:type="paragraph" w:customStyle="1" w:styleId="2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4">
    <w:name w:val="标题 1 Char Char"/>
    <w:qFormat/>
    <w:uiPriority w:val="0"/>
    <w:rPr>
      <w:rFonts w:eastAsia="宋体"/>
      <w:b/>
      <w:spacing w:val="-2"/>
      <w:sz w:val="24"/>
      <w:lang w:val="en-US" w:eastAsia="zh-CN"/>
    </w:rPr>
  </w:style>
  <w:style w:type="paragraph" w:customStyle="1" w:styleId="25">
    <w:name w:val="一、标题"/>
    <w:basedOn w:val="1"/>
    <w:qFormat/>
    <w:uiPriority w:val="0"/>
    <w:rPr>
      <w:b/>
      <w:sz w:val="28"/>
    </w:rPr>
  </w:style>
  <w:style w:type="paragraph" w:styleId="26">
    <w:name w:val="List Paragraph"/>
    <w:basedOn w:val="1"/>
    <w:qFormat/>
    <w:uiPriority w:val="34"/>
    <w:pPr>
      <w:ind w:firstLine="420" w:firstLineChars="200"/>
    </w:pPr>
  </w:style>
  <w:style w:type="character" w:customStyle="1" w:styleId="27">
    <w:name w:val="页眉 Char"/>
    <w:basedOn w:val="18"/>
    <w:link w:val="11"/>
    <w:qFormat/>
    <w:uiPriority w:val="0"/>
    <w:rPr>
      <w:kern w:val="2"/>
      <w:sz w:val="18"/>
      <w:szCs w:val="18"/>
    </w:rPr>
  </w:style>
  <w:style w:type="character" w:customStyle="1" w:styleId="28">
    <w:name w:val="批注框文本 Char"/>
    <w:basedOn w:val="18"/>
    <w:link w:val="9"/>
    <w:qFormat/>
    <w:uiPriority w:val="0"/>
    <w:rPr>
      <w:kern w:val="2"/>
      <w:sz w:val="18"/>
      <w:szCs w:val="18"/>
    </w:rPr>
  </w:style>
  <w:style w:type="paragraph" w:customStyle="1" w:styleId="29">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icontext2"/>
    <w:basedOn w:val="18"/>
    <w:qFormat/>
    <w:uiPriority w:val="0"/>
  </w:style>
  <w:style w:type="character" w:customStyle="1" w:styleId="32">
    <w:name w:val="cdropright"/>
    <w:basedOn w:val="18"/>
    <w:qFormat/>
    <w:uiPriority w:val="0"/>
  </w:style>
  <w:style w:type="character" w:customStyle="1" w:styleId="33">
    <w:name w:val="active5"/>
    <w:basedOn w:val="18"/>
    <w:qFormat/>
    <w:uiPriority w:val="0"/>
    <w:rPr>
      <w:color w:val="00FF00"/>
      <w:shd w:val="clear" w:fill="111111"/>
    </w:rPr>
  </w:style>
  <w:style w:type="character" w:customStyle="1" w:styleId="34">
    <w:name w:val="cy"/>
    <w:basedOn w:val="18"/>
    <w:qFormat/>
    <w:uiPriority w:val="0"/>
  </w:style>
  <w:style w:type="character" w:customStyle="1" w:styleId="35">
    <w:name w:val="iconline2"/>
    <w:basedOn w:val="18"/>
    <w:qFormat/>
    <w:uiPriority w:val="0"/>
  </w:style>
  <w:style w:type="character" w:customStyle="1" w:styleId="36">
    <w:name w:val="iconline21"/>
    <w:basedOn w:val="18"/>
    <w:qFormat/>
    <w:uiPriority w:val="0"/>
  </w:style>
  <w:style w:type="character" w:customStyle="1" w:styleId="37">
    <w:name w:val="after"/>
    <w:basedOn w:val="18"/>
    <w:qFormat/>
    <w:uiPriority w:val="0"/>
    <w:rPr>
      <w:sz w:val="0"/>
      <w:szCs w:val="0"/>
    </w:rPr>
  </w:style>
  <w:style w:type="character" w:customStyle="1" w:styleId="38">
    <w:name w:val="layui-layer-tabnow"/>
    <w:basedOn w:val="18"/>
    <w:qFormat/>
    <w:uiPriority w:val="0"/>
    <w:rPr>
      <w:bdr w:val="single" w:color="CCCCCC" w:sz="6" w:space="0"/>
      <w:shd w:val="clear" w:fill="FFFFFF"/>
    </w:rPr>
  </w:style>
  <w:style w:type="character" w:customStyle="1" w:styleId="39">
    <w:name w:val="w32"/>
    <w:basedOn w:val="18"/>
    <w:qFormat/>
    <w:uiPriority w:val="0"/>
  </w:style>
  <w:style w:type="character" w:customStyle="1" w:styleId="40">
    <w:name w:val="icontext3"/>
    <w:basedOn w:val="18"/>
    <w:qFormat/>
    <w:uiPriority w:val="0"/>
  </w:style>
  <w:style w:type="character" w:customStyle="1" w:styleId="41">
    <w:name w:val="icontext1"/>
    <w:basedOn w:val="18"/>
    <w:qFormat/>
    <w:uiPriority w:val="0"/>
  </w:style>
  <w:style w:type="character" w:customStyle="1" w:styleId="42">
    <w:name w:val="icontext11"/>
    <w:basedOn w:val="18"/>
    <w:qFormat/>
    <w:uiPriority w:val="0"/>
  </w:style>
  <w:style w:type="character" w:customStyle="1" w:styleId="43">
    <w:name w:val="icontext12"/>
    <w:basedOn w:val="18"/>
    <w:qFormat/>
    <w:uiPriority w:val="0"/>
  </w:style>
  <w:style w:type="character" w:customStyle="1" w:styleId="44">
    <w:name w:val="cdropleft"/>
    <w:basedOn w:val="18"/>
    <w:qFormat/>
    <w:uiPriority w:val="0"/>
  </w:style>
  <w:style w:type="character" w:customStyle="1" w:styleId="45">
    <w:name w:val="pagechatarealistclose_box"/>
    <w:basedOn w:val="18"/>
    <w:qFormat/>
    <w:uiPriority w:val="0"/>
  </w:style>
  <w:style w:type="character" w:customStyle="1" w:styleId="46">
    <w:name w:val="pagechatarealistclose_box1"/>
    <w:basedOn w:val="18"/>
    <w:qFormat/>
    <w:uiPriority w:val="0"/>
  </w:style>
  <w:style w:type="character" w:customStyle="1" w:styleId="47">
    <w:name w:val="tmpztreemove_arrow"/>
    <w:basedOn w:val="18"/>
    <w:qFormat/>
    <w:uiPriority w:val="0"/>
  </w:style>
  <w:style w:type="character" w:customStyle="1" w:styleId="48">
    <w:name w:val="button4"/>
    <w:basedOn w:val="18"/>
    <w:qFormat/>
    <w:uiPriority w:val="0"/>
  </w:style>
  <w:style w:type="character" w:customStyle="1" w:styleId="49">
    <w:name w:val="hilite6"/>
    <w:basedOn w:val="18"/>
    <w:qFormat/>
    <w:uiPriority w:val="0"/>
    <w:rPr>
      <w:color w:val="FFFFFF"/>
      <w:shd w:val="clear" w:fill="666666"/>
    </w:rPr>
  </w:style>
  <w:style w:type="character" w:customStyle="1" w:styleId="50">
    <w:name w:val="drapbtn"/>
    <w:basedOn w:val="18"/>
    <w:qFormat/>
    <w:uiPriority w:val="0"/>
  </w:style>
  <w:style w:type="character" w:customStyle="1" w:styleId="51">
    <w:name w:val="ico1654"/>
    <w:basedOn w:val="18"/>
    <w:qFormat/>
    <w:uiPriority w:val="0"/>
  </w:style>
  <w:style w:type="character" w:customStyle="1" w:styleId="52">
    <w:name w:val="ico1655"/>
    <w:basedOn w:val="18"/>
    <w:qFormat/>
    <w:uiPriority w:val="0"/>
  </w:style>
  <w:style w:type="character" w:customStyle="1" w:styleId="53">
    <w:name w:val="associateddata"/>
    <w:basedOn w:val="18"/>
    <w:qFormat/>
    <w:uiPriority w:val="0"/>
    <w:rPr>
      <w:shd w:val="clear" w:fill="50A6F9"/>
    </w:rPr>
  </w:style>
  <w:style w:type="character" w:customStyle="1" w:styleId="54">
    <w:name w:val="first-child"/>
    <w:basedOn w:val="18"/>
    <w:qFormat/>
    <w:uiPriority w:val="0"/>
  </w:style>
  <w:style w:type="character" w:customStyle="1" w:styleId="55">
    <w:name w:val="button"/>
    <w:basedOn w:val="18"/>
    <w:qFormat/>
    <w:uiPriority w:val="0"/>
  </w:style>
  <w:style w:type="character" w:customStyle="1" w:styleId="56">
    <w:name w:val="hilite4"/>
    <w:basedOn w:val="18"/>
    <w:qFormat/>
    <w:uiPriority w:val="0"/>
    <w:rPr>
      <w:color w:val="FFFFFF"/>
      <w:shd w:val="clear" w:fill="666666"/>
    </w:rPr>
  </w:style>
  <w:style w:type="character" w:customStyle="1" w:styleId="57">
    <w:name w:val="active4"/>
    <w:basedOn w:val="18"/>
    <w:qFormat/>
    <w:uiPriority w:val="0"/>
    <w:rPr>
      <w:color w:val="00FF00"/>
      <w:shd w:val="clear" w:fill="111111"/>
    </w:rPr>
  </w:style>
  <w:style w:type="character" w:customStyle="1" w:styleId="58">
    <w:name w:val="hilite"/>
    <w:basedOn w:val="18"/>
    <w:qFormat/>
    <w:uiPriority w:val="0"/>
    <w:rPr>
      <w:color w:val="FFFFFF"/>
      <w:shd w:val="clear" w:fill="666666"/>
    </w:rPr>
  </w:style>
  <w:style w:type="character" w:customStyle="1" w:styleId="59">
    <w:name w:val="ico16"/>
    <w:basedOn w:val="18"/>
    <w:qFormat/>
    <w:uiPriority w:val="0"/>
  </w:style>
  <w:style w:type="character" w:customStyle="1" w:styleId="60">
    <w:name w:val="ico161"/>
    <w:basedOn w:val="18"/>
    <w:qFormat/>
    <w:uiPriority w:val="0"/>
  </w:style>
  <w:style w:type="character" w:customStyle="1" w:styleId="61">
    <w:name w:val="active7"/>
    <w:basedOn w:val="18"/>
    <w:qFormat/>
    <w:uiPriority w:val="0"/>
    <w:rPr>
      <w:color w:val="00FF00"/>
      <w:shd w:val="clear" w:fill="111111"/>
    </w:rPr>
  </w:style>
  <w:style w:type="character" w:customStyle="1" w:styleId="62">
    <w:name w:val="active2"/>
    <w:basedOn w:val="18"/>
    <w:qFormat/>
    <w:uiPriority w:val="0"/>
    <w:rPr>
      <w:color w:val="00FF00"/>
      <w:shd w:val="clear" w:fill="111111"/>
    </w:rPr>
  </w:style>
  <w:style w:type="paragraph" w:customStyle="1" w:styleId="63">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7554</Words>
  <Characters>7916</Characters>
  <Lines>53</Lines>
  <Paragraphs>15</Paragraphs>
  <TotalTime>5</TotalTime>
  <ScaleCrop>false</ScaleCrop>
  <LinksUpToDate>false</LinksUpToDate>
  <CharactersWithSpaces>9581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2022-09-13T07:11:50Z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C2FFBC1E2E5F40B4971C37757D79728B</vt:lpwstr>
  </property>
</Properties>
</file>