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202212004</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2022年</w:t>
      </w:r>
      <w:r>
        <w:rPr>
          <w:rFonts w:hint="eastAsia" w:ascii="仿宋_GB2312" w:eastAsia="仿宋_GB2312"/>
          <w:sz w:val="32"/>
          <w:szCs w:val="32"/>
          <w:u w:val="single"/>
          <w:lang w:eastAsia="zh-CN"/>
        </w:rPr>
        <w:t>临江公司货架</w:t>
      </w:r>
      <w:r>
        <w:rPr>
          <w:rFonts w:hint="eastAsia" w:ascii="仿宋_GB2312" w:eastAsia="仿宋_GB2312"/>
          <w:sz w:val="32"/>
          <w:szCs w:val="32"/>
          <w:u w:val="single"/>
        </w:rPr>
        <w:t>采购</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二○二二年十二</w:t>
      </w:r>
      <w:r>
        <w:rPr>
          <w:rFonts w:hint="eastAsia" w:ascii="仿宋_GB2312" w:hAnsi="宋体" w:eastAsia="仿宋_GB2312"/>
          <w:sz w:val="32"/>
          <w:szCs w:val="32"/>
        </w:rPr>
        <w:t>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宋体" w:eastAsia="仿宋_GB2312"/>
          <w:sz w:val="32"/>
          <w:szCs w:val="32"/>
        </w:rPr>
      </w:pPr>
      <w:r>
        <w:rPr>
          <w:rFonts w:ascii="仿宋_GB2312" w:hAnsi="宋体" w:eastAsia="仿宋_GB2312"/>
          <w:sz w:val="32"/>
          <w:szCs w:val="32"/>
        </w:rPr>
        <w:br w:type="page"/>
      </w:r>
      <w:bookmarkStart w:id="2" w:name="_Toc530583880"/>
      <w:bookmarkStart w:id="3" w:name="_Toc530583923"/>
      <w:r>
        <w:rPr>
          <w:rFonts w:hint="eastAsia" w:ascii="仿宋_GB2312" w:hAnsi="宋体" w:eastAsia="仿宋_GB2312"/>
          <w:sz w:val="52"/>
          <w:szCs w:val="32"/>
        </w:rPr>
        <w:t>目录</w:t>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4" w:name="_Hlt4078679"/>
      <w:bookmarkStart w:id="5" w:name="_Hlt4078678"/>
      <w:r>
        <w:rPr>
          <w:rFonts w:hint="eastAsia" w:ascii="仿宋_GB2312" w:eastAsia="仿宋_GB2312"/>
          <w:b w:val="0"/>
          <w:sz w:val="36"/>
        </w:rPr>
        <w:tab/>
      </w:r>
      <w:bookmarkEnd w:id="4"/>
      <w:bookmarkEnd w:id="5"/>
      <w:r>
        <w:rPr>
          <w:rFonts w:hint="eastAsia" w:ascii="仿宋_GB2312" w:eastAsia="仿宋_GB2312"/>
          <w:b w:val="0"/>
          <w:sz w:val="36"/>
        </w:rPr>
        <w:t>3</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r>
        <w:rPr>
          <w:rFonts w:hint="eastAsia" w:ascii="仿宋_GB2312" w:eastAsia="仿宋_GB2312"/>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6" w:name="_Toc530583878"/>
      <w:bookmarkStart w:id="7"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eastAsia" w:ascii="仿宋_GB2312" w:eastAsia="仿宋_GB2312"/>
          <w:sz w:val="30"/>
          <w:szCs w:val="30"/>
          <w:lang w:val="en-US" w:eastAsia="zh-CN"/>
        </w:rPr>
        <w:t> 货架65个</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202212004</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eastAsia="仿宋_GB2312"/>
          <w:sz w:val="30"/>
          <w:szCs w:val="30"/>
        </w:rPr>
        <w:t>2.采购内容：</w:t>
      </w:r>
      <w:r>
        <w:rPr>
          <w:rFonts w:hint="eastAsia" w:ascii="仿宋_GB2312" w:eastAsia="仿宋_GB2312"/>
          <w:sz w:val="30"/>
          <w:szCs w:val="30"/>
          <w:lang w:val="en-US" w:eastAsia="zh-CN"/>
        </w:rPr>
        <w:t>货架65个</w:t>
      </w:r>
      <w:r>
        <w:rPr>
          <w:rFonts w:hint="eastAsia" w:ascii="仿宋_GB2312" w:hAnsi="Times New Roman" w:eastAsia="仿宋_GB2312" w:cs="Times New Roman"/>
          <w:sz w:val="30"/>
          <w:szCs w:val="30"/>
          <w:lang w:val="en-US" w:eastAsia="zh-CN"/>
        </w:rPr>
        <w:t>，参考附件五示意图；</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3.本项目采购总金额限价为5.2万元。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供应商</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1.报价人必须是在中华人民共和国境内注册，具有独立法人资格和独立承担民事责任的能力，注册资本金不少于50万元（含）；</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w:t>
      </w:r>
      <w:r>
        <w:rPr>
          <w:rFonts w:hint="eastAsia" w:ascii="仿宋_GB2312" w:eastAsia="仿宋_GB2312"/>
          <w:sz w:val="30"/>
          <w:szCs w:val="30"/>
          <w:lang w:eastAsia="zh-CN"/>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4.报价人不得为临江环境能源有限公司不合格报价人或者在黑名单之内；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w:t>
      </w:r>
      <w:r>
        <w:rPr>
          <w:rFonts w:hint="eastAsia" w:ascii="仿宋_GB2312" w:eastAsia="仿宋_GB2312"/>
          <w:sz w:val="30"/>
          <w:szCs w:val="30"/>
          <w:lang w:eastAsia="zh-CN"/>
        </w:rPr>
        <w:t>报价</w:t>
      </w:r>
      <w:r>
        <w:rPr>
          <w:rFonts w:hint="eastAsia" w:ascii="仿宋_GB2312" w:eastAsia="仿宋_GB2312"/>
          <w:sz w:val="30"/>
          <w:szCs w:val="30"/>
        </w:rPr>
        <w:t>单位负责人为同一人或者存在控股、管理关系的不同单位，不得同时参加本项目</w:t>
      </w:r>
      <w:r>
        <w:rPr>
          <w:rFonts w:hint="eastAsia" w:ascii="仿宋_GB2312" w:eastAsia="仿宋_GB2312"/>
          <w:sz w:val="30"/>
          <w:szCs w:val="30"/>
          <w:lang w:eastAsia="zh-CN"/>
        </w:rPr>
        <w:t>；</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8" w:name="_Toc530583879"/>
      <w:bookmarkStart w:id="9" w:name="_Toc530583922"/>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rPr>
        <w:t>1.报价时间：2022年</w:t>
      </w:r>
      <w:r>
        <w:rPr>
          <w:rFonts w:hint="default" w:ascii="仿宋_GB2312" w:eastAsia="仿宋_GB2312"/>
          <w:sz w:val="30"/>
          <w:szCs w:val="30"/>
          <w:lang w:val="en-US" w:eastAsia="zh-CN"/>
        </w:rPr>
        <w:t>12</w:t>
      </w:r>
      <w:r>
        <w:rPr>
          <w:rFonts w:hint="eastAsia" w:ascii="仿宋_GB2312" w:eastAsia="仿宋_GB2312"/>
          <w:sz w:val="30"/>
          <w:szCs w:val="30"/>
          <w:lang w:val="en-US" w:eastAsia="zh-CN"/>
        </w:rPr>
        <w:t>月21</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邮寄地址：杭州市钱塘区临江街道红十五线与观十五线交叉口杭州临江环境能源有限公司投资发展部 </w:t>
      </w:r>
      <w:r>
        <w:rPr>
          <w:rFonts w:hint="eastAsia" w:ascii="仿宋_GB2312" w:eastAsia="仿宋_GB2312"/>
          <w:sz w:val="30"/>
          <w:szCs w:val="30"/>
          <w:lang w:eastAsia="zh-CN"/>
        </w:rPr>
        <w:t>，庄工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采购</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w:t>
      </w:r>
      <w:r>
        <w:rPr>
          <w:rFonts w:hint="eastAsia" w:ascii="仿宋_GB2312" w:eastAsia="仿宋_GB2312"/>
          <w:sz w:val="30"/>
          <w:szCs w:val="30"/>
        </w:rPr>
        <w:t>文件完整性、密封性等后果由供应商自行负责</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2月12</w:t>
      </w:r>
      <w:r>
        <w:rPr>
          <w:rFonts w:hint="eastAsia" w:ascii="仿宋_GB2312" w:eastAsia="仿宋_GB2312"/>
          <w:sz w:val="30"/>
          <w:szCs w:val="30"/>
        </w:rPr>
        <w:t>日</w:t>
      </w: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bookmarkStart w:id="13" w:name="_GoBack"/>
      <w:bookmarkEnd w:id="13"/>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lang w:val="en-US" w:eastAsia="zh-CN"/>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bookmarkEnd w:id="8"/>
    <w:bookmarkEnd w:id="9"/>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4" w:firstLineChars="217"/>
        <w:rPr>
          <w:rFonts w:ascii="仿宋_GB2312" w:hAnsi="宋体"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left="-178" w:leftChars="-85" w:firstLine="774" w:firstLineChars="257"/>
        <w:jc w:val="left"/>
        <w:textAlignment w:val="auto"/>
        <w:rPr>
          <w:rFonts w:ascii="仿宋_GB2312" w:eastAsia="仿宋_GB2312"/>
          <w:b/>
          <w:bCs w:val="0"/>
          <w:sz w:val="30"/>
          <w:szCs w:val="30"/>
        </w:rPr>
      </w:pPr>
      <w:r>
        <w:rPr>
          <w:rFonts w:hint="eastAsia" w:ascii="仿宋_GB2312" w:eastAsia="仿宋_GB2312"/>
          <w:b/>
          <w:bCs w:val="0"/>
          <w:sz w:val="30"/>
          <w:szCs w:val="30"/>
        </w:rPr>
        <w:t>六、报价文件的签署和份数。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r>
        <w:rPr>
          <w:rFonts w:hint="eastAsia" w:ascii="仿宋_GB2312" w:eastAsia="仿宋_GB2312"/>
          <w:snapToGrid w:val="0"/>
          <w:sz w:val="44"/>
          <w:szCs w:val="44"/>
        </w:rPr>
        <w:t>第三部分   询价内容</w:t>
      </w:r>
      <w:bookmarkEnd w:id="2"/>
      <w:bookmarkEnd w:id="3"/>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eastAsia="zh-CN"/>
        </w:rPr>
        <w:t>一、</w:t>
      </w:r>
      <w:r>
        <w:rPr>
          <w:rFonts w:hint="eastAsia" w:ascii="仿宋_GB2312" w:hAnsi="Times New Roman" w:eastAsia="仿宋_GB2312" w:cs="Times New Roman"/>
          <w:sz w:val="30"/>
          <w:szCs w:val="30"/>
        </w:rPr>
        <w:t>采购内容及相关说明</w:t>
      </w:r>
      <w:r>
        <w:rPr>
          <w:rFonts w:hint="eastAsia" w:ascii="仿宋_GB2312" w:hAnsi="Times New Roman" w:eastAsia="仿宋_GB2312" w:cs="Times New Roman"/>
          <w:sz w:val="30"/>
          <w:szCs w:val="30"/>
          <w:lang w:eastAsia="zh-CN"/>
        </w:rPr>
        <w:t>：</w:t>
      </w:r>
    </w:p>
    <w:tbl>
      <w:tblPr>
        <w:tblStyle w:val="6"/>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322"/>
        <w:gridCol w:w="3328"/>
        <w:gridCol w:w="940"/>
        <w:gridCol w:w="116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53" w:type="dxa"/>
            <w:noWrap/>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序号</w:t>
            </w:r>
          </w:p>
        </w:tc>
        <w:tc>
          <w:tcPr>
            <w:tcW w:w="1322" w:type="dxa"/>
            <w:noWrap/>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名称</w:t>
            </w:r>
          </w:p>
        </w:tc>
        <w:tc>
          <w:tcPr>
            <w:tcW w:w="3328" w:type="dxa"/>
            <w:noWrap w:val="0"/>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eastAsia="zh-CN"/>
              </w:rPr>
              <w:t>规格</w:t>
            </w:r>
          </w:p>
        </w:tc>
        <w:tc>
          <w:tcPr>
            <w:tcW w:w="940" w:type="dxa"/>
            <w:noWrap/>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单位</w:t>
            </w:r>
          </w:p>
        </w:tc>
        <w:tc>
          <w:tcPr>
            <w:tcW w:w="1160" w:type="dxa"/>
            <w:noWrap/>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数量</w:t>
            </w:r>
          </w:p>
        </w:tc>
        <w:tc>
          <w:tcPr>
            <w:tcW w:w="1284" w:type="dxa"/>
            <w:noWrap/>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3" w:type="dxa"/>
            <w:noWrap w:val="0"/>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val="en-US" w:eastAsia="zh-CN"/>
              </w:rPr>
              <w:t>1</w:t>
            </w:r>
          </w:p>
        </w:tc>
        <w:tc>
          <w:tcPr>
            <w:tcW w:w="1322" w:type="dxa"/>
            <w:noWrap w:val="0"/>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eastAsia="zh-CN"/>
              </w:rPr>
              <w:t>仓库货架</w:t>
            </w:r>
          </w:p>
        </w:tc>
        <w:tc>
          <w:tcPr>
            <w:tcW w:w="3328" w:type="dxa"/>
            <w:noWrap w:val="0"/>
            <w:vAlign w:val="center"/>
          </w:tcPr>
          <w:p>
            <w:pPr>
              <w:pageBreakBefore w:val="0"/>
              <w:kinsoku/>
              <w:wordWrap/>
              <w:topLinePunct w:val="0"/>
              <w:bidi w:val="0"/>
              <w:snapToGrid w:val="0"/>
              <w:spacing w:line="360" w:lineRule="auto"/>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L1520*W650*H2000mm,单层承重不小于300kg，蓝色喷塑，参考附件五示意图</w:t>
            </w:r>
          </w:p>
        </w:tc>
        <w:tc>
          <w:tcPr>
            <w:tcW w:w="940" w:type="dxa"/>
            <w:noWrap w:val="0"/>
            <w:vAlign w:val="center"/>
          </w:tcPr>
          <w:p>
            <w:pPr>
              <w:pageBreakBefore w:val="0"/>
              <w:kinsoku/>
              <w:wordWrap/>
              <w:topLinePunct w:val="0"/>
              <w:bidi w:val="0"/>
              <w:snapToGrid w:val="0"/>
              <w:spacing w:line="360" w:lineRule="auto"/>
              <w:jc w:val="center"/>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eastAsia="zh-CN"/>
              </w:rPr>
              <w:t>个</w:t>
            </w:r>
          </w:p>
        </w:tc>
        <w:tc>
          <w:tcPr>
            <w:tcW w:w="1160" w:type="dxa"/>
            <w:noWrap w:val="0"/>
            <w:vAlign w:val="center"/>
          </w:tcPr>
          <w:p>
            <w:pPr>
              <w:pageBreakBefore w:val="0"/>
              <w:kinsoku/>
              <w:wordWrap/>
              <w:topLinePunct w:val="0"/>
              <w:bidi w:val="0"/>
              <w:snapToGrid w:val="0"/>
              <w:spacing w:line="360" w:lineRule="auto"/>
              <w:jc w:val="center"/>
              <w:rPr>
                <w:rFonts w:hint="default" w:ascii="仿宋_GB2312" w:hAnsi="Times New Roman" w:eastAsia="仿宋_GB2312" w:cs="Times New Roman"/>
                <w:sz w:val="30"/>
                <w:szCs w:val="30"/>
                <w:lang w:val="en-US"/>
              </w:rPr>
            </w:pPr>
            <w:r>
              <w:rPr>
                <w:rFonts w:hint="eastAsia" w:ascii="仿宋_GB2312" w:hAnsi="Times New Roman" w:eastAsia="仿宋_GB2312" w:cs="Times New Roman"/>
                <w:sz w:val="30"/>
                <w:szCs w:val="30"/>
                <w:lang w:val="en-US" w:eastAsia="zh-CN"/>
              </w:rPr>
              <w:t>65</w:t>
            </w:r>
          </w:p>
        </w:tc>
        <w:tc>
          <w:tcPr>
            <w:tcW w:w="1284" w:type="dxa"/>
            <w:noWrap w:val="0"/>
            <w:vAlign w:val="center"/>
          </w:tcPr>
          <w:p>
            <w:pPr>
              <w:pageBreakBefore w:val="0"/>
              <w:kinsoku/>
              <w:wordWrap/>
              <w:topLinePunct w:val="0"/>
              <w:bidi w:val="0"/>
              <w:snapToGrid w:val="0"/>
              <w:spacing w:line="360" w:lineRule="auto"/>
              <w:ind w:firstLine="600" w:firstLineChars="200"/>
              <w:jc w:val="center"/>
              <w:rPr>
                <w:rFonts w:hint="default" w:ascii="仿宋_GB2312" w:hAnsi="Times New Roman" w:eastAsia="仿宋_GB2312" w:cs="Times New Roman"/>
                <w:sz w:val="30"/>
                <w:szCs w:val="30"/>
                <w:lang w:val="en-US" w:eastAsia="zh-CN"/>
              </w:rPr>
            </w:pPr>
          </w:p>
        </w:tc>
      </w:tr>
    </w:tbl>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1.技术要求： 货架需满足国家相对应的技术标准，油漆满足以下要求：所有部件涂层厚度：货架采用全自动喷涂流水线，表面经脱脂-磷化后再静电喷涂，涂料采用热固环氧树脂粉状，涂层厚度 80 微米（允许偏差 70-90）微米），其质量均按国标 GB8932-88 及 GB9266-88 标准。喷塑表面应光洁、平滑，无缩孔、花泡、剥落现象。涂层表面：光洁、平整、色泽一致；丰满平滑，无色差，不允许出现缩孔、包花等现象，静电喷粉附着力达到 GB/T6739-1996 标准中 0 级要求 。</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2.货架基本参数：货架为五层横梁层板（含顶板），每层承载：大于 300KG；</w:t>
      </w:r>
    </w:p>
    <w:p>
      <w:pPr>
        <w:pageBreakBefore w:val="0"/>
        <w:kinsoku/>
        <w:wordWrap/>
        <w:topLinePunct w:val="0"/>
        <w:bidi w:val="0"/>
        <w:snapToGrid w:val="0"/>
        <w:spacing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3.货架基本选材：立柱 55*47*1.5mm，横梁 P60*40*1.5mm，层板：0.7mm，二板二筋。</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4.</w:t>
      </w:r>
      <w:r>
        <w:rPr>
          <w:rFonts w:hint="eastAsia" w:ascii="仿宋_GB2312" w:hAnsi="Times New Roman" w:eastAsia="仿宋_GB2312" w:cs="Times New Roman"/>
          <w:sz w:val="30"/>
          <w:szCs w:val="30"/>
        </w:rPr>
        <w:t>供货方式</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本项目根据采购人实际需要，</w:t>
      </w:r>
      <w:r>
        <w:rPr>
          <w:rFonts w:hint="eastAsia" w:ascii="仿宋_GB2312" w:hAnsi="Times New Roman" w:eastAsia="仿宋_GB2312" w:cs="Times New Roman"/>
          <w:sz w:val="30"/>
          <w:szCs w:val="30"/>
          <w:lang w:eastAsia="zh-CN"/>
        </w:rPr>
        <w:t>一次性供货</w:t>
      </w:r>
      <w:r>
        <w:rPr>
          <w:rFonts w:hint="eastAsia" w:ascii="仿宋_GB2312" w:hAnsi="Times New Roman" w:eastAsia="仿宋_GB2312" w:cs="Times New Roman"/>
          <w:sz w:val="30"/>
          <w:szCs w:val="30"/>
        </w:rPr>
        <w:t>。供应商接到采购人送货通知后，</w:t>
      </w:r>
      <w:r>
        <w:rPr>
          <w:rFonts w:hint="eastAsia" w:ascii="仿宋_GB2312" w:hAnsi="Times New Roman" w:eastAsia="仿宋_GB2312" w:cs="Times New Roman"/>
          <w:sz w:val="30"/>
          <w:szCs w:val="30"/>
          <w:lang w:val="en-US" w:eastAsia="zh-CN"/>
        </w:rPr>
        <w:t>20</w:t>
      </w:r>
      <w:r>
        <w:rPr>
          <w:rFonts w:hint="eastAsia" w:ascii="仿宋_GB2312" w:hAnsi="Times New Roman" w:eastAsia="仿宋_GB2312" w:cs="Times New Roman"/>
          <w:sz w:val="30"/>
          <w:szCs w:val="30"/>
        </w:rPr>
        <w:t>日内将货物如数送至采购人指定地点</w:t>
      </w:r>
      <w:r>
        <w:rPr>
          <w:rFonts w:hint="eastAsia" w:ascii="仿宋_GB2312" w:hAnsi="Times New Roman" w:eastAsia="仿宋_GB2312" w:cs="Times New Roman"/>
          <w:sz w:val="30"/>
          <w:szCs w:val="30"/>
          <w:lang w:eastAsia="zh-CN"/>
        </w:rPr>
        <w:t>并完成组装验收工作（安装人员食宿自理）</w:t>
      </w:r>
      <w:r>
        <w:rPr>
          <w:rFonts w:hint="eastAsia" w:ascii="仿宋_GB2312" w:hAnsi="Times New Roman" w:eastAsia="仿宋_GB2312" w:cs="Times New Roman"/>
          <w:sz w:val="30"/>
          <w:szCs w:val="30"/>
        </w:rPr>
        <w:t>。采购人可根据实际使用情况调整采购总量。</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5.</w:t>
      </w:r>
      <w:r>
        <w:rPr>
          <w:rFonts w:hint="eastAsia" w:ascii="仿宋_GB2312" w:hAnsi="Times New Roman" w:eastAsia="仿宋_GB2312" w:cs="Times New Roman"/>
          <w:sz w:val="30"/>
          <w:szCs w:val="30"/>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三、付款方式</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采购人提供经双方确认的送货清单及增值税专用发票，采购人自收到准确清单和发票后，于次月完成货款支付。</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四、售后服务</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1.供应商必须满足采购人售后服务要求。如产品使用过程发生问题，供应商须在接到</w:t>
      </w:r>
      <w:r>
        <w:rPr>
          <w:rFonts w:hint="eastAsia" w:ascii="仿宋_GB2312" w:eastAsia="仿宋_GB2312" w:cs="Times New Roman"/>
          <w:sz w:val="30"/>
          <w:szCs w:val="30"/>
          <w:lang w:eastAsia="zh-CN"/>
        </w:rPr>
        <w:t>采购</w:t>
      </w:r>
      <w:r>
        <w:rPr>
          <w:rFonts w:hint="eastAsia" w:ascii="仿宋_GB2312" w:hAnsi="Times New Roman" w:eastAsia="仿宋_GB2312" w:cs="Times New Roman"/>
          <w:sz w:val="30"/>
          <w:szCs w:val="30"/>
        </w:rPr>
        <w:t>人通知后24小时内做出书面答复并提供解决方案。若需要派遣技术人员，则应在接到采购人通知后48小时内派人员到达现场进行免费指导解决问题。</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2.供应商自行协调处理与属地运输、公安等部门之间的关系，确保供货渠道畅通、不得影响</w:t>
      </w:r>
      <w:r>
        <w:rPr>
          <w:rFonts w:hint="eastAsia" w:ascii="仿宋_GB2312" w:eastAsia="仿宋_GB2312" w:cs="Times New Roman"/>
          <w:sz w:val="30"/>
          <w:szCs w:val="30"/>
          <w:lang w:eastAsia="zh-CN"/>
        </w:rPr>
        <w:t>采购</w:t>
      </w:r>
      <w:r>
        <w:rPr>
          <w:rFonts w:hint="eastAsia" w:ascii="仿宋_GB2312" w:hAnsi="Times New Roman" w:eastAsia="仿宋_GB2312" w:cs="Times New Roman"/>
          <w:sz w:val="30"/>
          <w:szCs w:val="30"/>
        </w:rPr>
        <w:t>人正常生产。</w:t>
      </w:r>
    </w:p>
    <w:p>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3.采购人不再对任何售后服务进行付费。供应商的派遣人员产生的一切费用由供应商承担。</w:t>
      </w:r>
    </w:p>
    <w:p>
      <w:pPr>
        <w:pStyle w:val="3"/>
        <w:numPr>
          <w:ilvl w:val="0"/>
          <w:numId w:val="0"/>
        </w:numPr>
        <w:jc w:val="center"/>
        <w:rPr>
          <w:rFonts w:hint="eastAsia" w:ascii="仿宋_GB2312" w:eastAsia="仿宋_GB2312"/>
          <w:snapToGrid w:val="0"/>
          <w:sz w:val="44"/>
          <w:szCs w:val="44"/>
        </w:rPr>
      </w:pPr>
      <w:r>
        <w:rPr>
          <w:rFonts w:hint="eastAsia" w:eastAsia="仿宋_GB2312"/>
          <w:lang w:val="en-US" w:eastAsia="zh-CN"/>
        </w:rPr>
        <w:t xml:space="preserve">     </w:t>
      </w: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202212004</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1"/>
          <w:rFonts w:hint="eastAsia" w:ascii="仿宋_GB2312" w:eastAsia="仿宋_GB2312"/>
          <w:sz w:val="30"/>
        </w:rPr>
      </w:pPr>
      <w:r>
        <w:rPr>
          <w:rStyle w:val="11"/>
          <w:rFonts w:ascii="仿宋_GB2312" w:eastAsia="仿宋_GB2312"/>
          <w:sz w:val="30"/>
        </w:rPr>
        <w:br w:type="page"/>
      </w:r>
      <w:r>
        <w:rPr>
          <w:rStyle w:val="1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lang w:val="en-US" w:eastAsia="zh-CN"/>
        </w:rPr>
        <w:t>2022年临江公司货架采购项目</w:t>
      </w:r>
      <w:r>
        <w:rPr>
          <w:rFonts w:hint="eastAsia" w:ascii="仿宋_GB2312" w:eastAsia="仿宋_GB2312"/>
          <w:sz w:val="30"/>
        </w:rPr>
        <w:t>编号为</w:t>
      </w:r>
      <w:r>
        <w:rPr>
          <w:rFonts w:hint="default" w:ascii="仿宋_GB2312" w:eastAsia="仿宋_GB2312"/>
          <w:sz w:val="30"/>
          <w:u w:val="single"/>
          <w:lang w:val="en-US" w:eastAsia="zh-CN"/>
        </w:rPr>
        <w:t>202212004</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eastAsia" w:ascii="仿宋_GB2312" w:eastAsia="仿宋_GB2312"/>
          <w:sz w:val="30"/>
          <w:u w:val="single"/>
          <w:lang w:eastAsia="zh-CN"/>
        </w:rPr>
        <w:t>2022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1"/>
          <w:rFonts w:hint="eastAsia"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1"/>
          <w:rFonts w:hint="eastAsia" w:ascii="仿宋_GB2312" w:eastAsia="仿宋_GB2312"/>
          <w:sz w:val="30"/>
        </w:rPr>
      </w:pPr>
      <w:r>
        <w:rPr>
          <w:rStyle w:val="11"/>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我公司</w:t>
      </w:r>
      <w:r>
        <w:rPr>
          <w:rFonts w:hint="eastAsia" w:ascii="仿宋_GB2312" w:hAnsi="Times New Roman" w:eastAsia="仿宋_GB2312" w:cs="Times New Roman"/>
          <w:b w:val="0"/>
          <w:kern w:val="2"/>
          <w:sz w:val="30"/>
          <w:u w:val="single"/>
          <w:lang w:val="en-US" w:eastAsia="zh-CN" w:bidi="ar-SA"/>
        </w:rPr>
        <w:t xml:space="preserve">        （报价单位名称）        </w:t>
      </w:r>
      <w:r>
        <w:rPr>
          <w:rFonts w:hint="eastAsia" w:ascii="仿宋_GB2312" w:hAnsi="Times New Roman" w:eastAsia="仿宋_GB2312" w:cs="Times New Roman"/>
          <w:b w:val="0"/>
          <w:kern w:val="2"/>
          <w:sz w:val="30"/>
          <w:lang w:val="en-US" w:eastAsia="zh-CN" w:bidi="ar-SA"/>
        </w:rPr>
        <w:t xml:space="preserve"> 根据贵单位询价文件要求，参加</w:t>
      </w:r>
      <w:r>
        <w:rPr>
          <w:rFonts w:hint="eastAsia" w:ascii="仿宋_GB2312" w:hAnsi="Times New Roman" w:eastAsia="仿宋_GB2312" w:cs="Times New Roman"/>
          <w:b w:val="0"/>
          <w:kern w:val="2"/>
          <w:sz w:val="30"/>
          <w:u w:val="single"/>
          <w:lang w:val="en-US" w:eastAsia="zh-CN" w:bidi="ar-SA"/>
        </w:rPr>
        <w:t xml:space="preserve"> 2022年临江公司货架采购项目，</w:t>
      </w:r>
      <w:r>
        <w:rPr>
          <w:rFonts w:hint="eastAsia" w:ascii="仿宋_GB2312" w:hAnsi="Times New Roman" w:eastAsia="仿宋_GB2312" w:cs="Times New Roman"/>
          <w:b w:val="0"/>
          <w:kern w:val="2"/>
          <w:sz w:val="30"/>
          <w:lang w:val="en-US" w:eastAsia="zh-CN" w:bidi="ar-SA"/>
        </w:rPr>
        <w:t>编号为</w:t>
      </w:r>
      <w:r>
        <w:rPr>
          <w:rFonts w:hint="default" w:ascii="仿宋_GB2312" w:eastAsia="仿宋_GB2312" w:cs="Times New Roman"/>
          <w:b w:val="0"/>
          <w:kern w:val="2"/>
          <w:sz w:val="30"/>
          <w:u w:val="single"/>
          <w:lang w:val="en-US" w:eastAsia="zh-CN" w:bidi="ar-SA"/>
        </w:rPr>
        <w:t>202212004</w:t>
      </w:r>
      <w:r>
        <w:rPr>
          <w:rFonts w:hint="eastAsia" w:ascii="仿宋_GB2312" w:hAnsi="Times New Roman" w:eastAsia="仿宋_GB2312" w:cs="Times New Roman"/>
          <w:b w:val="0"/>
          <w:kern w:val="2"/>
          <w:sz w:val="30"/>
          <w:u w:val="single"/>
          <w:lang w:val="en-US" w:eastAsia="zh-CN" w:bidi="ar-SA"/>
        </w:rPr>
        <w:t xml:space="preserve"> </w:t>
      </w:r>
      <w:r>
        <w:rPr>
          <w:rFonts w:hint="eastAsia" w:ascii="仿宋_GB2312" w:hAnsi="Times New Roman" w:eastAsia="仿宋_GB2312" w:cs="Times New Roman"/>
          <w:b w:val="0"/>
          <w:kern w:val="2"/>
          <w:sz w:val="30"/>
          <w:lang w:val="en-US" w:eastAsia="zh-CN" w:bidi="ar-SA"/>
        </w:rPr>
        <w:t xml:space="preserve">询价采购，报价如下（税率为 </w:t>
      </w:r>
      <w:r>
        <w:rPr>
          <w:rFonts w:hint="eastAsia" w:ascii="仿宋_GB2312" w:hAnsi="Times New Roman" w:eastAsia="仿宋_GB2312" w:cs="Times New Roman"/>
          <w:b w:val="0"/>
          <w:kern w:val="2"/>
          <w:sz w:val="30"/>
          <w:u w:val="single"/>
          <w:lang w:val="en-US" w:eastAsia="zh-CN" w:bidi="ar-SA"/>
        </w:rPr>
        <w:t xml:space="preserve">   </w:t>
      </w:r>
      <w:r>
        <w:rPr>
          <w:rFonts w:hint="eastAsia" w:ascii="仿宋_GB2312" w:hAnsi="Times New Roman" w:eastAsia="仿宋_GB2312" w:cs="Times New Roman"/>
          <w:b w:val="0"/>
          <w:kern w:val="2"/>
          <w:sz w:val="3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eastAsia="仿宋_GB2312"/>
          <w:sz w:val="24"/>
          <w:szCs w:val="24"/>
        </w:rPr>
      </w:pP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lang w:val="en-US" w:eastAsia="zh-CN"/>
        </w:rPr>
      </w:pPr>
    </w:p>
    <w:tbl>
      <w:tblPr>
        <w:tblStyle w:val="6"/>
        <w:tblW w:w="91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34"/>
        <w:gridCol w:w="2516"/>
        <w:gridCol w:w="783"/>
        <w:gridCol w:w="717"/>
        <w:gridCol w:w="1172"/>
        <w:gridCol w:w="1295"/>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7"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134"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2516"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783"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17"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1172"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单价（元）</w:t>
            </w:r>
          </w:p>
        </w:tc>
        <w:tc>
          <w:tcPr>
            <w:tcW w:w="1295"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总价（元）</w:t>
            </w:r>
          </w:p>
        </w:tc>
        <w:tc>
          <w:tcPr>
            <w:tcW w:w="833"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717"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113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货架</w:t>
            </w:r>
          </w:p>
        </w:tc>
        <w:tc>
          <w:tcPr>
            <w:tcW w:w="2516"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val="en-US" w:eastAsia="zh-CN"/>
              </w:rPr>
              <w:t>L1520*W650*H2000mm,单层承重不小于300kg，蓝色喷塑，参考附件五示意图</w:t>
            </w:r>
          </w:p>
        </w:tc>
        <w:tc>
          <w:tcPr>
            <w:tcW w:w="78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17" w:type="dxa"/>
            <w:noWrap w:val="0"/>
            <w:vAlign w:val="center"/>
          </w:tcPr>
          <w:p>
            <w:pPr>
              <w:snapToGrid w:val="0"/>
              <w:jc w:val="center"/>
              <w:rPr>
                <w:rFonts w:hint="default" w:ascii="仿宋_GB2312" w:hAnsi="宋体" w:eastAsia="仿宋_GB2312" w:cs="宋体"/>
                <w:color w:val="000000"/>
                <w:sz w:val="24"/>
                <w:szCs w:val="24"/>
                <w:lang w:val="en-US"/>
              </w:rPr>
            </w:pPr>
            <w:r>
              <w:rPr>
                <w:rFonts w:hint="eastAsia" w:ascii="仿宋_GB2312" w:hAnsi="宋体" w:eastAsia="仿宋_GB2312" w:cs="宋体"/>
                <w:color w:val="000000"/>
                <w:sz w:val="24"/>
                <w:szCs w:val="24"/>
                <w:lang w:val="en-US" w:eastAsia="zh-CN"/>
              </w:rPr>
              <w:t>65</w:t>
            </w:r>
          </w:p>
        </w:tc>
        <w:tc>
          <w:tcPr>
            <w:tcW w:w="1172"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295"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33" w:type="dxa"/>
            <w:noWrap w:val="0"/>
            <w:vAlign w:val="center"/>
          </w:tcPr>
          <w:p>
            <w:pPr>
              <w:widowControl/>
              <w:snapToGrid w:val="0"/>
              <w:jc w:val="center"/>
              <w:rPr>
                <w:rFonts w:hint="default" w:ascii="仿宋_GB2312" w:hAnsi="宋体" w:eastAsia="仿宋_GB2312" w:cs="宋体"/>
                <w:kern w:val="0"/>
                <w:sz w:val="24"/>
                <w:szCs w:val="24"/>
                <w:lang w:val="en-US" w:eastAsia="zh-CN"/>
              </w:rPr>
            </w:pPr>
          </w:p>
        </w:tc>
      </w:tr>
    </w:tbl>
    <w:p>
      <w:pPr>
        <w:pStyle w:val="2"/>
        <w:rPr>
          <w:rFonts w:hint="eastAsia" w:ascii="仿宋_GB2312" w:hAnsi="Times New Roman" w:eastAsia="仿宋_GB2312" w:cs="Times New Roman"/>
          <w:b w:val="0"/>
          <w:caps w:val="0"/>
          <w:kern w:val="2"/>
          <w:sz w:val="30"/>
          <w:lang w:val="en-US" w:eastAsia="zh-CN" w:bidi="ar-SA"/>
        </w:rPr>
      </w:pPr>
    </w:p>
    <w:p>
      <w:pPr>
        <w:rPr>
          <w:rFonts w:hint="eastAsia" w:ascii="仿宋_GB2312" w:hAnsi="Times New Roman" w:eastAsia="仿宋_GB2312" w:cs="Times New Roman"/>
          <w:b w:val="0"/>
          <w:caps w:val="0"/>
          <w:kern w:val="2"/>
          <w:sz w:val="30"/>
          <w:lang w:val="en-US" w:eastAsia="zh-CN" w:bidi="ar-SA"/>
        </w:rPr>
      </w:pPr>
    </w:p>
    <w:p>
      <w:pPr>
        <w:pStyle w:val="1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Times New Roman" w:eastAsia="仿宋_GB2312" w:cs="Times New Roman"/>
          <w:b/>
          <w:bCs/>
          <w:kern w:val="2"/>
          <w:sz w:val="30"/>
          <w:lang w:val="en-US" w:eastAsia="zh-CN" w:bidi="ar-SA"/>
        </w:rPr>
      </w:pPr>
      <w:r>
        <w:rPr>
          <w:rFonts w:hint="eastAsia" w:ascii="仿宋_GB2312" w:hAnsi="Times New Roman" w:eastAsia="仿宋_GB2312" w:cs="Times New Roman"/>
          <w:b/>
          <w:bCs/>
          <w:kern w:val="2"/>
          <w:sz w:val="30"/>
          <w:lang w:val="en-US" w:eastAsia="zh-CN" w:bidi="ar-SA"/>
        </w:rPr>
        <w:t>相关要求：</w:t>
      </w:r>
    </w:p>
    <w:p>
      <w:pPr>
        <w:pStyle w:val="12"/>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本项目报价为一次性报价，包含全部的工时费、运输费、装卸费、现场组装费用、税费等一切费用，发票必须为增值税专用发票。</w:t>
      </w:r>
    </w:p>
    <w:p>
      <w:pPr>
        <w:pStyle w:val="1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 xml:space="preserve"> </w:t>
      </w:r>
    </w:p>
    <w:p>
      <w:pPr>
        <w:pStyle w:val="1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Times New Roman" w:eastAsia="仿宋_GB2312" w:cs="Times New Roman"/>
          <w:b w:val="0"/>
          <w:kern w:val="2"/>
          <w:sz w:val="30"/>
          <w:lang w:val="en-US" w:eastAsia="zh-CN" w:bidi="ar-SA"/>
        </w:rPr>
      </w:pPr>
    </w:p>
    <w:p>
      <w:pPr>
        <w:pStyle w:val="1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Times New Roman" w:eastAsia="仿宋_GB2312" w:cs="Times New Roman"/>
          <w:b w:val="0"/>
          <w:kern w:val="2"/>
          <w:sz w:val="30"/>
          <w:lang w:val="en-US" w:eastAsia="zh-CN" w:bidi="ar-SA"/>
        </w:rPr>
      </w:pPr>
    </w:p>
    <w:p>
      <w:pPr>
        <w:pStyle w:val="12"/>
        <w:keepNext w:val="0"/>
        <w:keepLines w:val="0"/>
        <w:pageBreakBefore w:val="0"/>
        <w:widowControl w:val="0"/>
        <w:kinsoku/>
        <w:wordWrap/>
        <w:overflowPunct/>
        <w:topLinePunct w:val="0"/>
        <w:autoSpaceDE/>
        <w:autoSpaceDN/>
        <w:bidi w:val="0"/>
        <w:adjustRightInd/>
        <w:snapToGrid w:val="0"/>
        <w:spacing w:line="360" w:lineRule="auto"/>
        <w:ind w:firstLine="5400" w:firstLineChars="1800"/>
        <w:jc w:val="left"/>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报价单位名称（公章）：</w:t>
      </w:r>
    </w:p>
    <w:p>
      <w:pPr>
        <w:pStyle w:val="1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Times New Roman" w:eastAsia="仿宋_GB2312" w:cs="Times New Roman"/>
          <w:b w:val="0"/>
          <w:kern w:val="2"/>
          <w:sz w:val="30"/>
          <w:lang w:val="en-US" w:eastAsia="zh-CN" w:bidi="ar-SA"/>
        </w:rPr>
        <w:sectPr>
          <w:pgSz w:w="11906" w:h="16838"/>
          <w:pgMar w:top="1134" w:right="1418" w:bottom="1701" w:left="1418" w:header="851" w:footer="992" w:gutter="0"/>
          <w:cols w:space="720" w:num="1"/>
          <w:docGrid w:linePitch="312" w:charSpace="0"/>
        </w:sectPr>
      </w:pP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 xml:space="preserve">           </w:t>
      </w:r>
      <w:r>
        <w:rPr>
          <w:rFonts w:hint="default" w:ascii="仿宋_GB2312" w:hAnsi="Times New Roman" w:eastAsia="仿宋_GB2312" w:cs="Times New Roman"/>
          <w:b w:val="0"/>
          <w:kern w:val="2"/>
          <w:sz w:val="30"/>
          <w:lang w:val="en-US" w:eastAsia="zh-CN" w:bidi="ar-SA"/>
        </w:rPr>
        <w:t>2022年</w:t>
      </w:r>
      <w:r>
        <w:rPr>
          <w:rFonts w:hint="eastAsia" w:ascii="仿宋_GB2312" w:hAnsi="Times New Roman" w:eastAsia="仿宋_GB2312" w:cs="Times New Roman"/>
          <w:b w:val="0"/>
          <w:kern w:val="2"/>
          <w:sz w:val="30"/>
          <w:lang w:val="en-US" w:eastAsia="zh-CN" w:bidi="ar-SA"/>
        </w:rPr>
        <w:t xml:space="preserve">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1"/>
          <w:rFonts w:hint="eastAsia" w:ascii="仿宋_GB2312" w:eastAsia="仿宋_GB2312"/>
          <w:sz w:val="30"/>
        </w:rPr>
        <w:t>附件</w:t>
      </w:r>
      <w:bookmarkEnd w:id="11"/>
      <w:bookmarkEnd w:id="12"/>
      <w:r>
        <w:rPr>
          <w:rStyle w:val="11"/>
          <w:rFonts w:hint="eastAsia" w:ascii="仿宋_GB2312" w:eastAsia="仿宋_GB2312"/>
          <w:sz w:val="30"/>
        </w:rPr>
        <w:t>四</w:t>
      </w:r>
    </w:p>
    <w:p>
      <w:pPr>
        <w:snapToGrid w:val="0"/>
        <w:jc w:val="center"/>
        <w:rPr>
          <w:rFonts w:hint="eastAsia" w:ascii="仿宋_GB2312" w:hAnsi="Times New Roman" w:eastAsia="仿宋_GB2312" w:cs="Times New Roman"/>
          <w:b w:val="0"/>
          <w:kern w:val="2"/>
          <w:sz w:val="30"/>
          <w:lang w:val="en-US" w:eastAsia="zh-CN" w:bidi="ar-SA"/>
        </w:rPr>
      </w:pPr>
    </w:p>
    <w:p>
      <w:pPr>
        <w:snapToGrid w:val="0"/>
        <w:jc w:val="center"/>
        <w:rPr>
          <w:rFonts w:hint="eastAsia" w:ascii="仿宋_GB2312" w:hAnsi="Times New Roman" w:eastAsia="仿宋_GB2312" w:cs="Times New Roman"/>
          <w:b/>
          <w:bCs/>
          <w:kern w:val="2"/>
          <w:sz w:val="30"/>
          <w:lang w:val="en-US" w:eastAsia="zh-CN" w:bidi="ar-SA"/>
        </w:rPr>
      </w:pPr>
      <w:r>
        <w:rPr>
          <w:rFonts w:hint="eastAsia" w:ascii="仿宋_GB2312" w:hAnsi="Times New Roman" w:eastAsia="仿宋_GB2312" w:cs="Times New Roman"/>
          <w:b/>
          <w:bCs/>
          <w:kern w:val="2"/>
          <w:sz w:val="30"/>
          <w:lang w:val="en-US" w:eastAsia="zh-CN" w:bidi="ar-SA"/>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 xml:space="preserve">我公司 </w:t>
      </w:r>
      <w:r>
        <w:rPr>
          <w:rFonts w:hint="eastAsia" w:ascii="仿宋_GB2312" w:hAnsi="Times New Roman" w:eastAsia="仿宋_GB2312" w:cs="Times New Roman"/>
          <w:b w:val="0"/>
          <w:kern w:val="2"/>
          <w:sz w:val="30"/>
          <w:u w:val="single"/>
          <w:lang w:val="en-US" w:eastAsia="zh-CN" w:bidi="ar-SA"/>
        </w:rPr>
        <w:t xml:space="preserve">   （报价单位名称）    </w:t>
      </w:r>
      <w:r>
        <w:rPr>
          <w:rFonts w:hint="eastAsia" w:ascii="仿宋_GB2312" w:hAnsi="Times New Roman" w:eastAsia="仿宋_GB2312" w:cs="Times New Roman"/>
          <w:b w:val="0"/>
          <w:kern w:val="2"/>
          <w:sz w:val="30"/>
          <w:lang w:val="en-US" w:eastAsia="zh-CN" w:bidi="ar-SA"/>
        </w:rPr>
        <w:t>自愿参加杭州临江环境能源有限公司 2022年临江公司货架询价采购，并作如下承诺：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 xml:space="preserve">    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Times New Roman" w:eastAsia="仿宋_GB2312" w:cs="Times New Roman"/>
          <w:b w:val="0"/>
          <w:kern w:val="2"/>
          <w:sz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Times New Roman" w:eastAsia="仿宋_GB2312" w:cs="Times New Roman"/>
          <w:b w:val="0"/>
          <w:kern w:val="2"/>
          <w:sz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Times New Roman" w:eastAsia="仿宋_GB2312" w:cs="Times New Roman"/>
          <w:b w:val="0"/>
          <w:kern w:val="2"/>
          <w:sz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Times New Roman" w:eastAsia="仿宋_GB2312" w:cs="Times New Roman"/>
          <w:b w:val="0"/>
          <w:kern w:val="2"/>
          <w:sz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_GB2312" w:hAnsi="Times New Roman" w:eastAsia="仿宋_GB2312" w:cs="Times New Roman"/>
          <w:b w:val="0"/>
          <w:kern w:val="2"/>
          <w:sz w:val="30"/>
          <w:lang w:val="en-US" w:eastAsia="zh-CN" w:bidi="ar-SA"/>
        </w:rPr>
      </w:pP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ab/>
      </w:r>
      <w:r>
        <w:rPr>
          <w:rFonts w:hint="eastAsia" w:ascii="仿宋_GB2312" w:hAnsi="Times New Roman" w:eastAsia="仿宋_GB2312" w:cs="Times New Roman"/>
          <w:b w:val="0"/>
          <w:kern w:val="2"/>
          <w:sz w:val="30"/>
          <w:lang w:val="en-US" w:eastAsia="zh-CN" w:bidi="ar-SA"/>
        </w:rPr>
        <w:t>二○二二年    月    日</w:t>
      </w:r>
    </w:p>
    <w:p>
      <w:pPr>
        <w:rPr>
          <w:rFonts w:hint="eastAsia" w:ascii="仿宋_GB2312" w:hAnsi="Times New Roman" w:eastAsia="仿宋_GB2312" w:cs="Times New Roman"/>
          <w:b w:val="0"/>
          <w:caps w:val="0"/>
          <w:kern w:val="2"/>
          <w:sz w:val="30"/>
          <w:szCs w:val="22"/>
          <w:lang w:val="en-US" w:eastAsia="zh-CN" w:bidi="ar-SA"/>
        </w:rPr>
      </w:pPr>
      <w:r>
        <w:rPr>
          <w:rFonts w:hint="eastAsia" w:ascii="仿宋_GB2312" w:eastAsia="仿宋_GB2312"/>
          <w:sz w:val="30"/>
          <w:szCs w:val="22"/>
          <w:lang w:val="en-US" w:eastAsia="zh-CN"/>
        </w:rPr>
        <w:t xml:space="preserve">   </w:t>
      </w:r>
    </w:p>
    <w:p>
      <w:pPr>
        <w:pStyle w:val="2"/>
        <w:rPr>
          <w:rStyle w:val="11"/>
          <w:rFonts w:hint="default" w:ascii="仿宋_GB2312" w:hAnsi="Times New Roman" w:eastAsia="仿宋_GB2312" w:cs="Times New Roman"/>
          <w:b/>
          <w:caps w:val="0"/>
          <w:kern w:val="2"/>
          <w:sz w:val="30"/>
          <w:szCs w:val="22"/>
          <w:lang w:val="en-US" w:eastAsia="zh-CN" w:bidi="ar-SA"/>
        </w:rPr>
      </w:pPr>
      <w:r>
        <w:rPr>
          <w:rStyle w:val="11"/>
          <w:rFonts w:hint="eastAsia" w:ascii="仿宋_GB2312" w:hAnsi="Times New Roman" w:eastAsia="仿宋_GB2312" w:cs="Times New Roman"/>
          <w:b/>
          <w:caps w:val="0"/>
          <w:kern w:val="2"/>
          <w:sz w:val="30"/>
          <w:szCs w:val="22"/>
          <w:lang w:val="en-US" w:eastAsia="zh-CN" w:bidi="ar-SA"/>
        </w:rPr>
        <w:t>附件</w:t>
      </w:r>
      <w:r>
        <w:rPr>
          <w:rStyle w:val="11"/>
          <w:rFonts w:hint="eastAsia" w:ascii="仿宋_GB2312" w:eastAsia="仿宋_GB2312" w:cs="Times New Roman"/>
          <w:b/>
          <w:caps w:val="0"/>
          <w:kern w:val="2"/>
          <w:sz w:val="30"/>
          <w:szCs w:val="22"/>
          <w:lang w:val="en-US" w:eastAsia="zh-CN" w:bidi="ar-SA"/>
        </w:rPr>
        <w:t>五                   图纸参考图</w:t>
      </w:r>
    </w:p>
    <w:p>
      <w:pPr>
        <w:rPr>
          <w:rFonts w:hint="eastAsia"/>
          <w:lang w:val="en-US" w:eastAsia="zh-CN"/>
        </w:rPr>
      </w:pPr>
    </w:p>
    <w:p>
      <w:pPr>
        <w:pStyle w:val="2"/>
        <w:rPr>
          <w:rFonts w:hint="eastAsia"/>
          <w:lang w:val="en-US" w:eastAsia="zh-CN"/>
        </w:rPr>
      </w:pPr>
      <w:r>
        <w:rPr>
          <w:rFonts w:hint="eastAsia"/>
          <w:lang w:val="en-US" w:eastAsia="zh-CN"/>
        </w:rPr>
        <w:drawing>
          <wp:inline distT="0" distB="0" distL="114300" distR="114300">
            <wp:extent cx="3942715" cy="5534025"/>
            <wp:effectExtent l="0" t="0" r="9525" b="635"/>
            <wp:docPr id="1" name="图片 1" descr="1325445991451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254459914510298"/>
                    <pic:cNvPicPr>
                      <a:picLocks noChangeAspect="1"/>
                    </pic:cNvPicPr>
                  </pic:nvPicPr>
                  <pic:blipFill>
                    <a:blip r:embed="rId5"/>
                    <a:srcRect l="9797" r="8891" b="55060"/>
                    <a:stretch>
                      <a:fillRect/>
                    </a:stretch>
                  </pic:blipFill>
                  <pic:spPr>
                    <a:xfrm rot="5400000">
                      <a:off x="0" y="0"/>
                      <a:ext cx="3942715" cy="5534025"/>
                    </a:xfrm>
                    <a:prstGeom prst="rect">
                      <a:avLst/>
                    </a:prstGeom>
                  </pic:spPr>
                </pic:pic>
              </a:graphicData>
            </a:graphic>
          </wp:inline>
        </w:drawing>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pPr>
    </w:p>
    <w:p>
      <w:pPr>
        <w:rPr>
          <w:rFonts w:hint="eastAsia"/>
          <w:lang w:val="en-US" w:eastAsia="zh-CN"/>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lang w:val="en-US" w:eastAsia="zh-CN"/>
        </w:rPr>
      </w:pPr>
    </w:p>
    <w:p>
      <w:pPr>
        <w:pStyle w:val="2"/>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附件七</w:t>
      </w:r>
    </w:p>
    <w:p>
      <w:pPr>
        <w:spacing w:line="360" w:lineRule="auto"/>
        <w:ind w:firstLine="959" w:firstLineChars="217"/>
        <w:jc w:val="center"/>
        <w:rPr>
          <w:rStyle w:val="11"/>
          <w:rFonts w:hint="eastAsia" w:ascii="仿宋_GB2312" w:eastAsia="仿宋_GB2312"/>
          <w:b/>
          <w:spacing w:val="0"/>
          <w:sz w:val="44"/>
          <w:lang w:val="en-GB"/>
        </w:rPr>
      </w:pPr>
      <w:r>
        <w:rPr>
          <w:rStyle w:val="11"/>
          <w:rFonts w:hint="eastAsia" w:ascii="仿宋_GB2312" w:eastAsia="仿宋_GB2312"/>
          <w:b/>
          <w:spacing w:val="0"/>
          <w:sz w:val="44"/>
          <w:lang w:val="en-GB"/>
        </w:rPr>
        <w:t>货架采购合同</w:t>
      </w:r>
    </w:p>
    <w:p>
      <w:pPr>
        <w:keepNext w:val="0"/>
        <w:keepLines w:val="0"/>
        <w:pageBreakBefore w:val="0"/>
        <w:kinsoku/>
        <w:wordWrap/>
        <w:overflowPunct/>
        <w:topLinePunct w:val="0"/>
        <w:autoSpaceDE/>
        <w:autoSpaceDN/>
        <w:bidi w:val="0"/>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keepNext w:val="0"/>
        <w:keepLines w:val="0"/>
        <w:pageBreakBefore w:val="0"/>
        <w:kinsoku/>
        <w:wordWrap/>
        <w:overflowPunct/>
        <w:topLinePunct w:val="0"/>
        <w:autoSpaceDE/>
        <w:autoSpaceDN/>
        <w:bidi w:val="0"/>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乙方：</w:t>
      </w:r>
    </w:p>
    <w:p>
      <w:pPr>
        <w:keepNext w:val="0"/>
        <w:keepLines w:val="0"/>
        <w:pageBreakBefore w:val="0"/>
        <w:kinsoku/>
        <w:wordWrap/>
        <w:overflowPunct/>
        <w:topLinePunct w:val="0"/>
        <w:autoSpaceDE/>
        <w:autoSpaceDN/>
        <w:bidi w:val="0"/>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w:t>
      </w:r>
      <w:r>
        <w:rPr>
          <w:rFonts w:hint="eastAsia" w:ascii="仿宋_GB2312" w:hAnsi="宋体" w:eastAsia="仿宋_GB2312" w:cs="宋体"/>
          <w:kern w:val="0"/>
          <w:sz w:val="24"/>
          <w:szCs w:val="24"/>
          <w:lang w:eastAsia="zh-CN"/>
        </w:rPr>
        <w:t>民法典</w:t>
      </w:r>
      <w:r>
        <w:rPr>
          <w:rFonts w:hint="eastAsia" w:ascii="仿宋_GB2312" w:hAnsi="宋体" w:eastAsia="仿宋_GB2312" w:cs="宋体"/>
          <w:kern w:val="0"/>
          <w:sz w:val="24"/>
          <w:szCs w:val="24"/>
        </w:rPr>
        <w:t>》等法律法规，双方协商一致，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货架</w:t>
      </w:r>
      <w:r>
        <w:rPr>
          <w:rFonts w:hint="eastAsia" w:ascii="仿宋_GB2312" w:hAnsi="宋体" w:eastAsia="仿宋_GB2312"/>
          <w:sz w:val="24"/>
          <w:szCs w:val="24"/>
        </w:rPr>
        <w:t>事宜</w:t>
      </w:r>
      <w:r>
        <w:rPr>
          <w:rFonts w:hint="eastAsia" w:ascii="仿宋_GB2312" w:eastAsia="仿宋_GB2312"/>
          <w:sz w:val="24"/>
          <w:szCs w:val="24"/>
        </w:rPr>
        <w:t>达成如下条款：</w:t>
      </w:r>
    </w:p>
    <w:p>
      <w:pPr>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baseline"/>
        <w:rPr>
          <w:rFonts w:hint="eastAsia" w:ascii="仿宋_GB2312" w:eastAsia="仿宋_GB2312"/>
          <w:sz w:val="24"/>
          <w:szCs w:val="24"/>
          <w:lang w:val="en-US" w:eastAsia="zh-CN"/>
        </w:rPr>
      </w:pPr>
      <w:r>
        <w:rPr>
          <w:rFonts w:hint="eastAsia" w:ascii="仿宋_GB2312" w:eastAsia="仿宋_GB2312"/>
          <w:sz w:val="24"/>
          <w:szCs w:val="24"/>
          <w:lang w:eastAsia="zh-CN"/>
        </w:rPr>
        <w:t>一、</w:t>
      </w:r>
      <w:r>
        <w:rPr>
          <w:rFonts w:hint="eastAsia" w:ascii="仿宋_GB2312" w:eastAsia="仿宋_GB2312"/>
          <w:sz w:val="24"/>
          <w:szCs w:val="24"/>
        </w:rPr>
        <w:t>采购内容及相关说明</w:t>
      </w:r>
      <w:r>
        <w:rPr>
          <w:rFonts w:hint="eastAsia" w:ascii="仿宋_GB2312" w:eastAsia="仿宋_GB2312"/>
          <w:sz w:val="24"/>
          <w:szCs w:val="24"/>
          <w:lang w:eastAsia="zh-CN"/>
        </w:rPr>
        <w:t>：</w:t>
      </w:r>
    </w:p>
    <w:tbl>
      <w:tblPr>
        <w:tblStyle w:val="6"/>
        <w:tblW w:w="91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34"/>
        <w:gridCol w:w="2516"/>
        <w:gridCol w:w="783"/>
        <w:gridCol w:w="717"/>
        <w:gridCol w:w="816"/>
        <w:gridCol w:w="85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17" w:type="dxa"/>
            <w:noWrap/>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134" w:type="dxa"/>
            <w:noWrap/>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2516" w:type="dxa"/>
            <w:noWrap w:val="0"/>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783" w:type="dxa"/>
            <w:noWrap/>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17" w:type="dxa"/>
            <w:noWrap/>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816" w:type="dxa"/>
            <w:noWrap/>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单价（元）</w:t>
            </w:r>
          </w:p>
        </w:tc>
        <w:tc>
          <w:tcPr>
            <w:tcW w:w="850" w:type="dxa"/>
            <w:noWrap/>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总价（元）</w:t>
            </w:r>
          </w:p>
        </w:tc>
        <w:tc>
          <w:tcPr>
            <w:tcW w:w="1634" w:type="dxa"/>
            <w:noWrap/>
            <w:vAlign w:val="center"/>
          </w:tcPr>
          <w:p>
            <w:pPr>
              <w:keepNext w:val="0"/>
              <w:keepLines w:val="0"/>
              <w:pageBreakBefore w:val="0"/>
              <w:widowControl/>
              <w:kinsoku/>
              <w:wordWrap/>
              <w:overflowPunct/>
              <w:topLinePunct w:val="0"/>
              <w:autoSpaceDE/>
              <w:autoSpaceDN/>
              <w:bidi w:val="0"/>
              <w:snapToGrid w:val="0"/>
              <w:spacing w:line="360" w:lineRule="auto"/>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7"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1134"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仓库货架（五金）</w:t>
            </w:r>
          </w:p>
        </w:tc>
        <w:tc>
          <w:tcPr>
            <w:tcW w:w="2516"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val="en-US" w:eastAsia="zh-CN"/>
              </w:rPr>
              <w:t>L1520*W650*H2000mm,单层承重不小于300kg，蓝色喷塑</w:t>
            </w:r>
          </w:p>
        </w:tc>
        <w:tc>
          <w:tcPr>
            <w:tcW w:w="783"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17"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default" w:ascii="仿宋_GB2312" w:hAnsi="宋体" w:eastAsia="仿宋_GB2312" w:cs="宋体"/>
                <w:color w:val="000000"/>
                <w:sz w:val="24"/>
                <w:szCs w:val="24"/>
                <w:lang w:val="en-US"/>
              </w:rPr>
            </w:pPr>
            <w:r>
              <w:rPr>
                <w:rFonts w:hint="eastAsia" w:ascii="仿宋_GB2312" w:hAnsi="宋体" w:eastAsia="仿宋_GB2312" w:cs="宋体"/>
                <w:color w:val="000000"/>
                <w:sz w:val="24"/>
                <w:szCs w:val="24"/>
                <w:lang w:val="en-US" w:eastAsia="zh-CN"/>
              </w:rPr>
              <w:t>65</w:t>
            </w:r>
          </w:p>
        </w:tc>
        <w:tc>
          <w:tcPr>
            <w:tcW w:w="816"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_GB2312" w:hAnsi="宋体" w:eastAsia="仿宋_GB2312" w:cs="宋体"/>
                <w:color w:val="000000"/>
                <w:sz w:val="24"/>
                <w:szCs w:val="24"/>
                <w:lang w:val="en-US" w:eastAsia="zh-CN"/>
              </w:rPr>
            </w:pPr>
          </w:p>
        </w:tc>
        <w:tc>
          <w:tcPr>
            <w:tcW w:w="850" w:type="dxa"/>
            <w:noWrap w:val="0"/>
            <w:vAlign w:val="center"/>
          </w:tcPr>
          <w:p>
            <w:pPr>
              <w:keepNext w:val="0"/>
              <w:keepLines w:val="0"/>
              <w:pageBreakBefore w:val="0"/>
              <w:kinsoku/>
              <w:wordWrap/>
              <w:overflowPunct/>
              <w:topLinePunct w:val="0"/>
              <w:autoSpaceDE/>
              <w:autoSpaceDN/>
              <w:bidi w:val="0"/>
              <w:snapToGrid w:val="0"/>
              <w:spacing w:line="360" w:lineRule="auto"/>
              <w:jc w:val="center"/>
              <w:rPr>
                <w:rFonts w:hint="eastAsia" w:ascii="仿宋_GB2312" w:hAnsi="宋体" w:eastAsia="仿宋_GB2312" w:cs="宋体"/>
                <w:color w:val="000000"/>
                <w:sz w:val="24"/>
                <w:szCs w:val="24"/>
                <w:lang w:val="en-US" w:eastAsia="zh-CN"/>
              </w:rPr>
            </w:pPr>
          </w:p>
        </w:tc>
        <w:tc>
          <w:tcPr>
            <w:tcW w:w="1634" w:type="dxa"/>
            <w:noWrap w:val="0"/>
            <w:vAlign w:val="center"/>
          </w:tcPr>
          <w:p>
            <w:pPr>
              <w:keepNext w:val="0"/>
              <w:keepLines w:val="0"/>
              <w:pageBreakBefore w:val="0"/>
              <w:widowControl/>
              <w:kinsoku/>
              <w:wordWrap/>
              <w:overflowPunct/>
              <w:topLinePunct w:val="0"/>
              <w:autoSpaceDE/>
              <w:autoSpaceDN/>
              <w:bidi w:val="0"/>
              <w:snapToGrid w:val="0"/>
              <w:spacing w:line="360" w:lineRule="auto"/>
              <w:jc w:val="center"/>
              <w:rPr>
                <w:rFonts w:hint="default" w:ascii="仿宋_GB2312" w:hAnsi="宋体" w:eastAsia="仿宋_GB2312" w:cs="宋体"/>
                <w:kern w:val="0"/>
                <w:sz w:val="24"/>
                <w:szCs w:val="24"/>
                <w:lang w:val="en-US" w:eastAsia="zh-CN"/>
              </w:rPr>
            </w:pPr>
          </w:p>
        </w:tc>
      </w:tr>
    </w:tbl>
    <w:p>
      <w:pPr>
        <w:keepNext w:val="0"/>
        <w:keepLines w:val="0"/>
        <w:pageBreakBefore w:val="0"/>
        <w:kinsoku/>
        <w:wordWrap/>
        <w:overflowPunct/>
        <w:topLinePunct w:val="0"/>
        <w:autoSpaceDE/>
        <w:autoSpaceDN/>
        <w:bidi w:val="0"/>
        <w:spacing w:line="360" w:lineRule="auto"/>
        <w:rPr>
          <w:rFonts w:hint="eastAsia" w:ascii="仿宋_GB2312" w:hAnsi="宋体" w:eastAsia="仿宋_GB2312"/>
          <w:sz w:val="24"/>
          <w:szCs w:val="24"/>
          <w:lang w:val="en-US" w:eastAsia="zh-CN"/>
        </w:rPr>
      </w:pPr>
    </w:p>
    <w:p>
      <w:pPr>
        <w:keepNext w:val="0"/>
        <w:keepLines w:val="0"/>
        <w:pageBreakBefore w:val="0"/>
        <w:kinsoku/>
        <w:wordWrap/>
        <w:overflowPunct/>
        <w:topLinePunct w:val="0"/>
        <w:autoSpaceDE/>
        <w:autoSpaceDN/>
        <w:bidi w:val="0"/>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1.技术要求： </w:t>
      </w:r>
    </w:p>
    <w:p>
      <w:pPr>
        <w:keepNext w:val="0"/>
        <w:keepLines w:val="0"/>
        <w:pageBreakBefore w:val="0"/>
        <w:kinsoku/>
        <w:wordWrap/>
        <w:overflowPunct/>
        <w:topLinePunct w:val="0"/>
        <w:autoSpaceDE/>
        <w:autoSpaceDN/>
        <w:bidi w:val="0"/>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1.1货架需满足国家相对应的技术标准，油漆满足以下要求：所有部件涂层厚度：货架采用全自动喷涂流水线，表面经脱脂-磷化后再静电喷涂，涂料采用热固环氧树脂粉状，涂层厚度 80 微米（允许偏差 70-90）微米），其质量均按国标 GB8932-88 及 GB9266-88 标准。喷塑表面应光洁、平滑，无缩孔、花泡、剥落现象。涂层表面：光洁、平整、色泽一致；丰满平滑，无色差，不允许出现缩孔、包花等现象，静电喷粉附着力达到 GB/T6739-1996 标准中 0 级要求 。</w:t>
      </w:r>
    </w:p>
    <w:p>
      <w:pPr>
        <w:keepNext w:val="0"/>
        <w:keepLines w:val="0"/>
        <w:pageBreakBefore w:val="0"/>
        <w:kinsoku/>
        <w:wordWrap/>
        <w:overflowPunct/>
        <w:topLinePunct w:val="0"/>
        <w:autoSpaceDE/>
        <w:autoSpaceDN/>
        <w:bidi w:val="0"/>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1.2货架基本参数：货架为五层横梁层板（含顶板），每层承载：大于 300KG；</w:t>
      </w:r>
    </w:p>
    <w:p>
      <w:pPr>
        <w:keepNext w:val="0"/>
        <w:keepLines w:val="0"/>
        <w:pageBreakBefore w:val="0"/>
        <w:kinsoku/>
        <w:wordWrap/>
        <w:overflowPunct/>
        <w:topLinePunct w:val="0"/>
        <w:autoSpaceDE/>
        <w:autoSpaceDN/>
        <w:bidi w:val="0"/>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1.3货架基本选材：立柱 55*47*1.5mm，横梁 P60*40*1.5mm，层板：0.7mm，二板二筋。具体组合方式详见图纸。</w:t>
      </w:r>
    </w:p>
    <w:p>
      <w:pPr>
        <w:keepNext w:val="0"/>
        <w:keepLines w:val="0"/>
        <w:pageBreakBefore w:val="0"/>
        <w:kinsoku/>
        <w:wordWrap/>
        <w:overflowPunct/>
        <w:topLinePunct w:val="0"/>
        <w:autoSpaceDE/>
        <w:autoSpaceDN/>
        <w:bidi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以上合同单价系指乙方在甲方指定地点的交货价（包括货款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运输费、装卸费、</w:t>
      </w:r>
      <w:r>
        <w:rPr>
          <w:rFonts w:hint="eastAsia" w:ascii="仿宋_GB2312" w:hAnsi="宋体" w:eastAsia="仿宋_GB2312"/>
          <w:sz w:val="24"/>
          <w:szCs w:val="24"/>
          <w:lang w:eastAsia="zh-CN"/>
        </w:rPr>
        <w:t>安装费、</w:t>
      </w:r>
      <w:r>
        <w:rPr>
          <w:rFonts w:hint="eastAsia" w:ascii="仿宋_GB2312" w:hAnsi="宋体" w:eastAsia="仿宋_GB2312"/>
          <w:sz w:val="24"/>
          <w:szCs w:val="24"/>
        </w:rPr>
        <w:t>税费、检测费、</w:t>
      </w:r>
      <w:r>
        <w:rPr>
          <w:rFonts w:hint="eastAsia" w:ascii="仿宋_GB2312" w:hAnsi="宋体" w:eastAsia="仿宋_GB2312"/>
          <w:sz w:val="24"/>
          <w:szCs w:val="24"/>
          <w:lang w:eastAsia="zh-CN"/>
        </w:rPr>
        <w:t>安装人员的食宿费</w:t>
      </w:r>
      <w:r>
        <w:rPr>
          <w:rFonts w:hint="eastAsia" w:ascii="仿宋_GB2312" w:hAnsi="宋体" w:eastAsia="仿宋_GB2312"/>
          <w:sz w:val="24"/>
          <w:szCs w:val="24"/>
        </w:rPr>
        <w:t>等相关费用）。</w:t>
      </w:r>
    </w:p>
    <w:p>
      <w:pPr>
        <w:keepNext w:val="0"/>
        <w:keepLines w:val="0"/>
        <w:pageBreakBefore w:val="0"/>
        <w:kinsoku/>
        <w:wordWrap/>
        <w:overflowPunct/>
        <w:topLinePunct w:val="0"/>
        <w:autoSpaceDE/>
        <w:autoSpaceDN/>
        <w:bidi w:val="0"/>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二</w:t>
      </w:r>
      <w:r>
        <w:rPr>
          <w:rFonts w:hint="eastAsia" w:ascii="仿宋_GB2312" w:hAnsi="宋体" w:eastAsia="仿宋_GB2312"/>
          <w:sz w:val="24"/>
          <w:szCs w:val="24"/>
        </w:rPr>
        <w:t>、付款方式</w:t>
      </w:r>
    </w:p>
    <w:p>
      <w:pPr>
        <w:keepNext w:val="0"/>
        <w:keepLines w:val="0"/>
        <w:pageBreakBefore w:val="0"/>
        <w:kinsoku/>
        <w:wordWrap/>
        <w:overflowPunct/>
        <w:topLinePunct w:val="0"/>
        <w:autoSpaceDE/>
        <w:autoSpaceDN/>
        <w:bidi w:val="0"/>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w:t>
      </w:r>
      <w:r>
        <w:rPr>
          <w:rFonts w:hint="eastAsia" w:ascii="仿宋_GB2312" w:hAnsi="宋体" w:eastAsia="仿宋_GB2312"/>
          <w:sz w:val="24"/>
          <w:szCs w:val="24"/>
          <w:lang w:val="en-US" w:eastAsia="zh-CN"/>
        </w:rPr>
        <w:t>95%</w:t>
      </w:r>
      <w:r>
        <w:rPr>
          <w:rFonts w:hint="eastAsia" w:ascii="仿宋_GB2312" w:hAnsi="宋体" w:eastAsia="仿宋_GB2312"/>
          <w:sz w:val="24"/>
          <w:szCs w:val="24"/>
        </w:rPr>
        <w:t>货款支付。</w:t>
      </w:r>
      <w:r>
        <w:rPr>
          <w:rFonts w:hint="eastAsia" w:ascii="仿宋_GB2312" w:hAnsi="宋体" w:eastAsia="仿宋_GB2312"/>
          <w:sz w:val="24"/>
          <w:szCs w:val="24"/>
          <w:lang w:eastAsia="zh-CN"/>
        </w:rPr>
        <w:t>三个月后无任何质量问题甲方支付余下的</w:t>
      </w:r>
      <w:r>
        <w:rPr>
          <w:rFonts w:hint="eastAsia" w:ascii="仿宋_GB2312" w:hAnsi="宋体" w:eastAsia="仿宋_GB2312"/>
          <w:sz w:val="24"/>
          <w:szCs w:val="24"/>
          <w:lang w:val="en-US" w:eastAsia="zh-CN"/>
        </w:rPr>
        <w:t>5%。</w:t>
      </w:r>
    </w:p>
    <w:p>
      <w:pPr>
        <w:keepNext w:val="0"/>
        <w:keepLines w:val="0"/>
        <w:pageBreakBefore w:val="0"/>
        <w:kinsoku/>
        <w:wordWrap/>
        <w:overflowPunct/>
        <w:topLinePunct w:val="0"/>
        <w:autoSpaceDE/>
        <w:autoSpaceDN/>
        <w:bidi w:val="0"/>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、售后服务</w:t>
      </w:r>
    </w:p>
    <w:p>
      <w:pPr>
        <w:keepNext w:val="0"/>
        <w:keepLines w:val="0"/>
        <w:pageBreakBefore w:val="0"/>
        <w:kinsoku/>
        <w:wordWrap/>
        <w:overflowPunct/>
        <w:topLinePunct w:val="0"/>
        <w:autoSpaceDE/>
        <w:autoSpaceDN/>
        <w:bidi w:val="0"/>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keepNext w:val="0"/>
        <w:keepLines w:val="0"/>
        <w:pageBreakBefore w:val="0"/>
        <w:kinsoku/>
        <w:wordWrap/>
        <w:overflowPunct/>
        <w:topLinePunct w:val="0"/>
        <w:autoSpaceDE/>
        <w:autoSpaceDN/>
        <w:bidi w:val="0"/>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的派遣人员产生的一切费用由供应商承担。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合同价款0.2%的违约金；乙方逾期10日不能交付的，自逾期的第11日起，向甲方每日偿付合同价款0.4%的违约金，同时甲方有权终止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5.甲方不按时支付货款的，乙方有权停止供货，并有权要求甲方支付违约金1000元/次。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1.合同有效期内甲、乙双方均不得随意变更或解除合同。合同若有未尽事宜，需经双方共同协商，订立协议，协议与本合同有同等法律效力；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1、本合同经甲、乙双方法定代表人或其委托人签字盖章后生效。询价文件及询价过程中有关澄清文件等均为本合同的组成部分，与本合同具有同等效力。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质保期结束</w:t>
      </w:r>
      <w:r>
        <w:rPr>
          <w:rFonts w:hint="eastAsia" w:ascii="仿宋_GB2312" w:hAnsi="宋体" w:eastAsia="仿宋_GB2312"/>
          <w:sz w:val="24"/>
          <w:szCs w:val="24"/>
        </w:rPr>
        <w:t>后，合同自动终止。</w:t>
      </w:r>
    </w:p>
    <w:p>
      <w:pPr>
        <w:pStyle w:val="2"/>
        <w:keepNext w:val="0"/>
        <w:keepLines w:val="0"/>
        <w:pageBreakBefore w:val="0"/>
        <w:kinsoku/>
        <w:wordWrap/>
        <w:overflowPunct/>
        <w:topLinePunct w:val="0"/>
        <w:autoSpaceDE/>
        <w:autoSpaceDN/>
        <w:bidi w:val="0"/>
        <w:spacing w:line="360" w:lineRule="auto"/>
        <w:rPr>
          <w:rFonts w:hint="eastAsia" w:ascii="仿宋_GB2312" w:hAnsi="宋体" w:eastAsia="仿宋_GB2312"/>
          <w:sz w:val="24"/>
          <w:szCs w:val="24"/>
        </w:rPr>
      </w:pPr>
    </w:p>
    <w:p>
      <w:pPr>
        <w:keepNext w:val="0"/>
        <w:keepLines w:val="0"/>
        <w:pageBreakBefore w:val="0"/>
        <w:kinsoku/>
        <w:wordWrap/>
        <w:overflowPunct/>
        <w:topLinePunct w:val="0"/>
        <w:autoSpaceDE/>
        <w:autoSpaceDN/>
        <w:bidi w:val="0"/>
        <w:spacing w:line="360" w:lineRule="auto"/>
      </w:pPr>
    </w:p>
    <w:p>
      <w:pPr>
        <w:keepNext w:val="0"/>
        <w:keepLines w:val="0"/>
        <w:pageBreakBefore w:val="0"/>
        <w:kinsoku/>
        <w:wordWrap/>
        <w:overflowPunct/>
        <w:topLinePunct w:val="0"/>
        <w:autoSpaceDE/>
        <w:autoSpaceDN/>
        <w:bidi w:val="0"/>
        <w:spacing w:line="360" w:lineRule="auto"/>
      </w:pPr>
    </w:p>
    <w:p>
      <w:pPr>
        <w:keepNext w:val="0"/>
        <w:keepLines w:val="0"/>
        <w:pageBreakBefore w:val="0"/>
        <w:kinsoku/>
        <w:wordWrap/>
        <w:overflowPunct/>
        <w:topLinePunct w:val="0"/>
        <w:autoSpaceDE/>
        <w:autoSpaceDN/>
        <w:bidi w:val="0"/>
        <w:spacing w:line="360" w:lineRule="auto"/>
        <w:jc w:val="left"/>
        <w:rPr>
          <w:rFonts w:hint="default" w:ascii="仿宋_GB2312" w:hAnsi="宋体" w:eastAsia="仿宋_GB2312"/>
          <w:sz w:val="24"/>
          <w:szCs w:val="24"/>
          <w:lang w:val="en-US" w:eastAsia="zh-CN"/>
        </w:rPr>
      </w:pPr>
      <w:r>
        <w:rPr>
          <w:rFonts w:hint="eastAsia" w:ascii="仿宋_GB2312" w:hAnsi="宋体" w:eastAsia="仿宋_GB2312"/>
          <w:sz w:val="24"/>
          <w:szCs w:val="24"/>
          <w:lang w:eastAsia="zh-CN"/>
        </w:rPr>
        <w:t>甲</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方：杭州临江环境能源有限公司</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乙方：</w:t>
      </w:r>
    </w:p>
    <w:p>
      <w:pPr>
        <w:keepNext w:val="0"/>
        <w:keepLines w:val="0"/>
        <w:pageBreakBefore w:val="0"/>
        <w:kinsoku/>
        <w:wordWrap/>
        <w:overflowPunct/>
        <w:topLinePunct w:val="0"/>
        <w:autoSpaceDE/>
        <w:autoSpaceDN/>
        <w:bidi w:val="0"/>
        <w:spacing w:line="360" w:lineRule="auto"/>
        <w:jc w:val="left"/>
        <w:rPr>
          <w:rFonts w:hint="default" w:ascii="仿宋_GB2312" w:hAnsi="宋体" w:eastAsia="仿宋_GB2312"/>
          <w:sz w:val="24"/>
          <w:szCs w:val="24"/>
          <w:lang w:val="en-US" w:eastAsia="zh-CN"/>
        </w:rPr>
      </w:pPr>
      <w:r>
        <w:rPr>
          <w:rFonts w:hint="eastAsia" w:ascii="仿宋_GB2312" w:hAnsi="宋体" w:eastAsia="仿宋_GB2312"/>
          <w:sz w:val="24"/>
          <w:szCs w:val="24"/>
          <w:lang w:eastAsia="zh-CN"/>
        </w:rPr>
        <w:t>经办人：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经办人：</w:t>
      </w:r>
    </w:p>
    <w:p>
      <w:pPr>
        <w:keepNext w:val="0"/>
        <w:keepLines w:val="0"/>
        <w:pageBreakBefore w:val="0"/>
        <w:kinsoku/>
        <w:wordWrap/>
        <w:overflowPunct/>
        <w:topLinePunct w:val="0"/>
        <w:autoSpaceDE/>
        <w:autoSpaceDN/>
        <w:bidi w:val="0"/>
        <w:spacing w:line="360" w:lineRule="auto"/>
        <w:jc w:val="left"/>
        <w:rPr>
          <w:rFonts w:hint="eastAsia" w:ascii="仿宋_GB2312" w:hAnsi="宋体" w:eastAsia="仿宋_GB2312"/>
          <w:sz w:val="24"/>
          <w:szCs w:val="24"/>
          <w:lang w:eastAsia="zh-CN"/>
        </w:rPr>
      </w:pPr>
      <w:r>
        <w:rPr>
          <w:rFonts w:hint="eastAsia" w:ascii="仿宋_GB2312" w:hAnsi="宋体" w:eastAsia="仿宋_GB2312"/>
          <w:sz w:val="24"/>
          <w:szCs w:val="24"/>
          <w:lang w:eastAsia="zh-CN"/>
        </w:rPr>
        <w:t>税号：</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lang w:eastAsia="zh-CN"/>
        </w:rPr>
        <w:t>税号：</w:t>
      </w:r>
    </w:p>
    <w:p>
      <w:pPr>
        <w:keepNext w:val="0"/>
        <w:keepLines w:val="0"/>
        <w:pageBreakBefore w:val="0"/>
        <w:kinsoku/>
        <w:wordWrap/>
        <w:overflowPunct/>
        <w:topLinePunct w:val="0"/>
        <w:autoSpaceDE/>
        <w:autoSpaceDN/>
        <w:bidi w:val="0"/>
        <w:spacing w:line="360" w:lineRule="auto"/>
        <w:jc w:val="left"/>
        <w:rPr>
          <w:rFonts w:hint="default" w:ascii="仿宋_GB2312" w:hAnsi="Times New Roman" w:eastAsia="仿宋_GB2312"/>
          <w:kern w:val="2"/>
          <w:szCs w:val="24"/>
          <w:lang w:val="en-US" w:eastAsia="zh-CN"/>
        </w:rPr>
      </w:pPr>
      <w:r>
        <w:rPr>
          <w:rFonts w:hint="eastAsia" w:ascii="仿宋_GB2312" w:hAnsi="宋体" w:eastAsia="仿宋_GB2312"/>
          <w:sz w:val="24"/>
          <w:szCs w:val="24"/>
          <w:lang w:eastAsia="zh-CN"/>
        </w:rPr>
        <w:t>开户行：</w:t>
      </w:r>
      <w:r>
        <w:rPr>
          <w:rFonts w:hint="eastAsia" w:ascii="仿宋_GB2312" w:hAnsi="Times New Roman" w:eastAsia="仿宋_GB2312"/>
          <w:kern w:val="2"/>
          <w:szCs w:val="24"/>
        </w:rPr>
        <w:t>招商银行杭州分行滨江支行</w:t>
      </w:r>
      <w:r>
        <w:rPr>
          <w:rFonts w:hint="eastAsia" w:ascii="仿宋_GB2312" w:eastAsia="仿宋_GB2312"/>
          <w:kern w:val="2"/>
          <w:szCs w:val="24"/>
          <w:lang w:val="en-US" w:eastAsia="zh-CN"/>
        </w:rPr>
        <w:t xml:space="preserve">       </w:t>
      </w:r>
      <w:r>
        <w:rPr>
          <w:rFonts w:hint="eastAsia" w:ascii="仿宋_GB2312" w:hAnsi="Times New Roman" w:eastAsia="仿宋_GB2312"/>
          <w:kern w:val="2"/>
          <w:szCs w:val="24"/>
          <w:lang w:val="en-US" w:eastAsia="zh-CN"/>
        </w:rPr>
        <w:t xml:space="preserve"> </w:t>
      </w:r>
      <w:r>
        <w:rPr>
          <w:rFonts w:hint="eastAsia" w:ascii="仿宋_GB2312" w:hAnsi="宋体" w:eastAsia="仿宋_GB2312"/>
          <w:sz w:val="24"/>
          <w:szCs w:val="24"/>
          <w:lang w:eastAsia="zh-CN"/>
        </w:rPr>
        <w:t>开户行：</w:t>
      </w:r>
    </w:p>
    <w:p>
      <w:pPr>
        <w:keepNext w:val="0"/>
        <w:keepLines w:val="0"/>
        <w:pageBreakBefore w:val="0"/>
        <w:kinsoku/>
        <w:wordWrap/>
        <w:overflowPunct/>
        <w:topLinePunct w:val="0"/>
        <w:autoSpaceDE/>
        <w:autoSpaceDN/>
        <w:bidi w:val="0"/>
        <w:spacing w:line="360" w:lineRule="auto"/>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银行账号：</w:t>
      </w:r>
      <w:r>
        <w:rPr>
          <w:rFonts w:hint="eastAsia" w:ascii="仿宋_GB2312" w:eastAsia="仿宋_GB2312"/>
          <w:sz w:val="24"/>
          <w:szCs w:val="24"/>
        </w:rPr>
        <w:t>571911871110866</w:t>
      </w:r>
      <w:r>
        <w:rPr>
          <w:rFonts w:hint="eastAsia" w:ascii="仿宋_GB2312" w:eastAsia="仿宋_GB2312"/>
          <w:sz w:val="24"/>
          <w:szCs w:val="24"/>
          <w:lang w:val="en-US" w:eastAsia="zh-CN"/>
        </w:rPr>
        <w:t xml:space="preserve">           </w:t>
      </w:r>
      <w:r>
        <w:rPr>
          <w:rFonts w:hint="eastAsia" w:ascii="仿宋_GB2312" w:hAnsi="宋体" w:eastAsia="仿宋_GB2312"/>
          <w:sz w:val="24"/>
          <w:szCs w:val="24"/>
          <w:lang w:val="en-US" w:eastAsia="zh-CN"/>
        </w:rPr>
        <w:t>银行账号：</w:t>
      </w:r>
    </w:p>
    <w:p>
      <w:pPr>
        <w:keepNext w:val="0"/>
        <w:keepLines w:val="0"/>
        <w:pageBreakBefore w:val="0"/>
        <w:kinsoku/>
        <w:wordWrap/>
        <w:overflowPunct/>
        <w:topLinePunct w:val="0"/>
        <w:autoSpaceDE/>
        <w:autoSpaceDN/>
        <w:bidi w:val="0"/>
        <w:spacing w:line="360" w:lineRule="auto"/>
        <w:jc w:val="left"/>
      </w:pPr>
      <w:r>
        <w:rPr>
          <w:rFonts w:hint="eastAsia" w:ascii="仿宋_GB2312" w:hAnsi="宋体" w:eastAsia="仿宋_GB2312"/>
          <w:sz w:val="24"/>
          <w:szCs w:val="24"/>
          <w:lang w:val="en-US" w:eastAsia="zh-CN"/>
        </w:rPr>
        <w:t>联系电话：                          联系电话：</w:t>
      </w:r>
    </w:p>
    <w:p>
      <w:pPr>
        <w:keepNext w:val="0"/>
        <w:keepLines w:val="0"/>
        <w:pageBreakBefore w:val="0"/>
        <w:kinsoku/>
        <w:wordWrap/>
        <w:overflowPunct/>
        <w:topLinePunct w:val="0"/>
        <w:autoSpaceDE/>
        <w:autoSpaceDN/>
        <w:bidi w:val="0"/>
        <w:spacing w:line="360" w:lineRule="auto"/>
        <w:rPr>
          <w:rFonts w:hint="default"/>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1D22213"/>
    <w:rsid w:val="034B55DC"/>
    <w:rsid w:val="03C0788A"/>
    <w:rsid w:val="04AF037B"/>
    <w:rsid w:val="05D22118"/>
    <w:rsid w:val="06057AB3"/>
    <w:rsid w:val="06EE06AA"/>
    <w:rsid w:val="08293A2F"/>
    <w:rsid w:val="09410B96"/>
    <w:rsid w:val="099924A0"/>
    <w:rsid w:val="0A0C6ADD"/>
    <w:rsid w:val="0B3E3374"/>
    <w:rsid w:val="0D9642F0"/>
    <w:rsid w:val="0DC35837"/>
    <w:rsid w:val="0DE72889"/>
    <w:rsid w:val="108016C2"/>
    <w:rsid w:val="1297576D"/>
    <w:rsid w:val="12BF4C87"/>
    <w:rsid w:val="14CA1C17"/>
    <w:rsid w:val="159652F0"/>
    <w:rsid w:val="1861091A"/>
    <w:rsid w:val="1BB93984"/>
    <w:rsid w:val="1BD33B78"/>
    <w:rsid w:val="1E1A21EF"/>
    <w:rsid w:val="1F711126"/>
    <w:rsid w:val="203B090D"/>
    <w:rsid w:val="21135480"/>
    <w:rsid w:val="21196906"/>
    <w:rsid w:val="211E56AC"/>
    <w:rsid w:val="214D7086"/>
    <w:rsid w:val="23BF5B43"/>
    <w:rsid w:val="255215DD"/>
    <w:rsid w:val="26A13ED2"/>
    <w:rsid w:val="26F76768"/>
    <w:rsid w:val="29F704EF"/>
    <w:rsid w:val="2AC220DE"/>
    <w:rsid w:val="2ADB5E21"/>
    <w:rsid w:val="344A128F"/>
    <w:rsid w:val="34A5249B"/>
    <w:rsid w:val="3683166A"/>
    <w:rsid w:val="3BAC3BAE"/>
    <w:rsid w:val="3E127DF5"/>
    <w:rsid w:val="3E16524F"/>
    <w:rsid w:val="3F2D02B4"/>
    <w:rsid w:val="401C15CA"/>
    <w:rsid w:val="40DA4F9A"/>
    <w:rsid w:val="430E4CD7"/>
    <w:rsid w:val="478F3581"/>
    <w:rsid w:val="47B96D86"/>
    <w:rsid w:val="48BF5DCC"/>
    <w:rsid w:val="4E376DB9"/>
    <w:rsid w:val="4F0A3ECF"/>
    <w:rsid w:val="5866146B"/>
    <w:rsid w:val="59397B67"/>
    <w:rsid w:val="5AD11267"/>
    <w:rsid w:val="5BC64B2D"/>
    <w:rsid w:val="5EB51940"/>
    <w:rsid w:val="5F0F0DED"/>
    <w:rsid w:val="612A3DEE"/>
    <w:rsid w:val="63893583"/>
    <w:rsid w:val="649C599A"/>
    <w:rsid w:val="65E56646"/>
    <w:rsid w:val="66B027B6"/>
    <w:rsid w:val="6AA812F8"/>
    <w:rsid w:val="6C636345"/>
    <w:rsid w:val="6C714475"/>
    <w:rsid w:val="6E0B720A"/>
    <w:rsid w:val="6E5526FF"/>
    <w:rsid w:val="71C5585F"/>
    <w:rsid w:val="734C302C"/>
    <w:rsid w:val="77D476E8"/>
    <w:rsid w:val="79327823"/>
    <w:rsid w:val="7AA35F16"/>
    <w:rsid w:val="7B09044B"/>
    <w:rsid w:val="7EF0524B"/>
    <w:rsid w:val="7F1952D7"/>
    <w:rsid w:val="7F5B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basedOn w:val="7"/>
    <w:qFormat/>
    <w:uiPriority w:val="0"/>
  </w:style>
  <w:style w:type="character" w:styleId="9">
    <w:name w:val="Hyperlink"/>
    <w:basedOn w:val="7"/>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1">
    <w:name w:val="标题 1 Char Char"/>
    <w:qFormat/>
    <w:uiPriority w:val="0"/>
    <w:rPr>
      <w:rFonts w:eastAsia="宋体"/>
      <w:b/>
      <w:spacing w:val="-2"/>
      <w:sz w:val="24"/>
      <w:lang w:val="en-US" w:eastAsia="zh-CN"/>
    </w:rPr>
  </w:style>
  <w:style w:type="paragraph" w:customStyle="1" w:styleId="12">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5958</Words>
  <Characters>6388</Characters>
  <Lines>0</Lines>
  <Paragraphs>0</Paragraphs>
  <TotalTime>3</TotalTime>
  <ScaleCrop>false</ScaleCrop>
  <LinksUpToDate>false</LinksUpToDate>
  <CharactersWithSpaces>7053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2020-11-27T08:14:00Z</cp:lastPrinted>
  <dcterms:modified xsi:type="dcterms:W3CDTF">2022-12-12T00:46:06Z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F3DC0FD5C7C74F8688A58E7DF89FDCFC</vt:lpwstr>
  </property>
</Properties>
</file>