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202303019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临江公司自贡泵备件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三</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自贡泵备件一批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202303019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自贡泵备件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17.4万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3400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4月6</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3月27</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3"/>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3"/>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3"/>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4"/>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临江公司自贡泵备件采购项目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202303019</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4"/>
          <w:rFonts w:hint="eastAsia" w:ascii="仿宋" w:hAnsi="仿宋" w:eastAsia="仿宋" w:cs="仿宋"/>
          <w:sz w:val="30"/>
        </w:rPr>
      </w:pPr>
      <w:r>
        <w:rPr>
          <w:rStyle w:val="14"/>
          <w:rFonts w:hint="eastAsia" w:ascii="仿宋" w:hAnsi="仿宋" w:eastAsia="仿宋" w:cs="仿宋"/>
          <w:sz w:val="30"/>
        </w:rPr>
        <w:br w:type="page"/>
      </w:r>
      <w:r>
        <w:rPr>
          <w:rStyle w:val="14"/>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临江公司自贡泵备件采购项目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202303019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4"/>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4"/>
          <w:rFonts w:hint="eastAsia" w:ascii="仿宋" w:hAnsi="仿宋" w:eastAsia="仿宋" w:cs="仿宋"/>
          <w:sz w:val="30"/>
        </w:rPr>
      </w:pPr>
      <w:r>
        <w:rPr>
          <w:rStyle w:val="14"/>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2023年临江公司自贡泵备件采购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8"/>
        <w:tblW w:w="10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958"/>
        <w:gridCol w:w="2136"/>
        <w:gridCol w:w="1947"/>
        <w:gridCol w:w="958"/>
        <w:gridCol w:w="958"/>
        <w:gridCol w:w="147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设备原生产厂家（品牌）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HZJ250-200-315BI</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HZJ80-50-315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pStyle w:val="6"/>
        <w:jc w:val="center"/>
        <w:rPr>
          <w:rFonts w:hint="eastAsia" w:ascii="仿宋" w:hAnsi="仿宋" w:eastAsia="仿宋" w:cs="仿宋"/>
          <w:b w:val="0"/>
          <w:bCs w:val="0"/>
          <w:color w:val="auto"/>
        </w:rPr>
      </w:pPr>
    </w:p>
    <w:p>
      <w:pPr>
        <w:pStyle w:val="6"/>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4"/>
          <w:rFonts w:hint="eastAsia" w:ascii="仿宋" w:hAnsi="仿宋" w:eastAsia="仿宋" w:cs="仿宋"/>
          <w:sz w:val="30"/>
        </w:rPr>
        <w:t>附件</w:t>
      </w:r>
      <w:bookmarkEnd w:id="11"/>
      <w:bookmarkEnd w:id="12"/>
      <w:r>
        <w:rPr>
          <w:rStyle w:val="14"/>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2023年临江公司自贡泵备件采购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4"/>
          <w:rFonts w:hint="eastAsia" w:ascii="仿宋" w:hAnsi="仿宋" w:eastAsia="仿宋" w:cs="仿宋"/>
          <w:sz w:val="30"/>
          <w:lang w:val="en-US" w:eastAsia="zh-CN"/>
        </w:rPr>
      </w:pPr>
      <w:bookmarkStart w:id="13" w:name="_Toc509229875"/>
      <w:bookmarkStart w:id="14" w:name="_Toc509228412"/>
      <w:bookmarkStart w:id="15" w:name="_Toc473012596"/>
    </w:p>
    <w:p>
      <w:pPr>
        <w:spacing w:line="480" w:lineRule="auto"/>
        <w:jc w:val="left"/>
        <w:rPr>
          <w:rStyle w:val="14"/>
          <w:rFonts w:hint="eastAsia" w:ascii="仿宋" w:hAnsi="仿宋" w:eastAsia="仿宋" w:cs="仿宋"/>
          <w:sz w:val="30"/>
          <w:lang w:val="en-US" w:eastAsia="zh-CN"/>
        </w:rPr>
      </w:pPr>
      <w:r>
        <w:rPr>
          <w:rStyle w:val="14"/>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202303019</w:t>
      </w:r>
      <w:r>
        <w:rPr>
          <w:rFonts w:hint="eastAsia" w:ascii="仿宋_GB2312" w:eastAsia="仿宋_GB2312"/>
          <w:sz w:val="30"/>
          <w:u w:val="single"/>
        </w:rPr>
        <w:t xml:space="preserve">   </w:t>
      </w:r>
    </w:p>
    <w:tbl>
      <w:tblPr>
        <w:tblStyle w:val="8"/>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default" w:ascii="仿宋" w:hAnsi="仿宋" w:eastAsia="仿宋" w:cs="仿宋"/>
          <w:sz w:val="30"/>
          <w:szCs w:val="22"/>
          <w:lang w:val="en-US"/>
        </w:rPr>
      </w:pPr>
      <w:r>
        <w:rPr>
          <w:rStyle w:val="14"/>
          <w:rFonts w:hint="eastAsia" w:ascii="仿宋" w:hAnsi="仿宋" w:eastAsia="仿宋" w:cs="仿宋"/>
          <w:sz w:val="30"/>
          <w:szCs w:val="22"/>
          <w:lang w:val="en-GB"/>
        </w:rPr>
        <w:t>附件六</w:t>
      </w:r>
    </w:p>
    <w:p>
      <w:pPr>
        <w:pStyle w:val="7"/>
        <w:spacing w:line="360" w:lineRule="auto"/>
        <w:rPr>
          <w:rStyle w:val="14"/>
          <w:rFonts w:hint="eastAsia" w:ascii="仿宋" w:hAnsi="仿宋" w:eastAsia="仿宋" w:cs="仿宋"/>
          <w:b/>
          <w:spacing w:val="0"/>
          <w:sz w:val="44"/>
          <w:lang w:val="en-GB"/>
        </w:rPr>
      </w:pPr>
      <w:r>
        <w:rPr>
          <w:rStyle w:val="14"/>
          <w:rFonts w:hint="eastAsia" w:ascii="仿宋" w:hAnsi="仿宋" w:eastAsia="仿宋" w:cs="仿宋"/>
          <w:b/>
          <w:spacing w:val="0"/>
          <w:sz w:val="44"/>
          <w:lang w:val="en-GB"/>
        </w:rPr>
        <w:t xml:space="preserve">  合同</w:t>
      </w:r>
      <w:bookmarkEnd w:id="13"/>
      <w:bookmarkEnd w:id="14"/>
      <w:bookmarkEnd w:id="15"/>
      <w:r>
        <w:rPr>
          <w:rStyle w:val="14"/>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自贡泵备件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tbl>
      <w:tblPr>
        <w:tblStyle w:val="8"/>
        <w:tblpPr w:leftFromText="180" w:rightFromText="180" w:vertAnchor="text" w:horzAnchor="page" w:tblpXSpec="center" w:tblpY="467"/>
        <w:tblOverlap w:val="never"/>
        <w:tblW w:w="10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955"/>
        <w:gridCol w:w="2136"/>
        <w:gridCol w:w="1935"/>
        <w:gridCol w:w="955"/>
        <w:gridCol w:w="955"/>
        <w:gridCol w:w="148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设备原生产厂家（品牌）</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HZJ250-200-315BI</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HZJ80-50-315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在规定的时间</w:t>
      </w:r>
      <w:r>
        <w:rPr>
          <w:rFonts w:hint="eastAsia" w:ascii="仿宋" w:hAnsi="仿宋" w:eastAsia="仿宋" w:cs="仿宋"/>
          <w:kern w:val="0"/>
          <w:sz w:val="24"/>
          <w:szCs w:val="22"/>
        </w:rPr>
        <w:t>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招标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bookmarkStart w:id="17" w:name="_GoBack"/>
      <w:bookmarkEnd w:id="17"/>
      <w:r>
        <w:rPr>
          <w:rStyle w:val="14"/>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6"/>
        <w:rPr>
          <w:rFonts w:hint="eastAsia" w:ascii="仿宋" w:hAnsi="仿宋" w:eastAsia="仿宋" w:cs="仿宋"/>
          <w:sz w:val="24"/>
          <w:szCs w:val="24"/>
          <w:lang w:val="en-US" w:eastAsia="zh-CN"/>
        </w:rPr>
      </w:pPr>
    </w:p>
    <w:p>
      <w:pPr>
        <w:pStyle w:val="6"/>
        <w:ind w:firstLine="3534" w:firstLineChars="800"/>
        <w:jc w:val="left"/>
        <w:rPr>
          <w:rStyle w:val="14"/>
          <w:rFonts w:hint="eastAsia" w:ascii="仿宋" w:hAnsi="仿宋" w:eastAsia="仿宋" w:cs="仿宋"/>
          <w:b/>
          <w:spacing w:val="0"/>
          <w:sz w:val="44"/>
          <w:lang w:val="en-GB" w:eastAsia="zh-CN"/>
        </w:rPr>
      </w:pPr>
      <w:r>
        <w:rPr>
          <w:rStyle w:val="14"/>
          <w:rFonts w:hint="eastAsia" w:ascii="仿宋" w:hAnsi="仿宋" w:eastAsia="仿宋" w:cs="仿宋"/>
          <w:b/>
          <w:spacing w:val="0"/>
          <w:sz w:val="44"/>
          <w:lang w:val="en-GB"/>
        </w:rPr>
        <w:t>收款</w:t>
      </w:r>
      <w:r>
        <w:rPr>
          <w:rStyle w:val="14"/>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6"/>
        <w:rPr>
          <w:rFonts w:hint="eastAsia"/>
          <w:lang w:val="en-US" w:eastAsia="zh-CN"/>
        </w:rPr>
      </w:pPr>
    </w:p>
    <w:tbl>
      <w:tblPr>
        <w:tblStyle w:val="9"/>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6"/>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临江公司自贡泵备件采购项目报价保证金款项。               </w:t>
            </w:r>
          </w:p>
          <w:p>
            <w:pPr>
              <w:pStyle w:val="6"/>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叁仟肆佰元整                                      </w:t>
            </w:r>
          </w:p>
          <w:p>
            <w:pPr>
              <w:pStyle w:val="6"/>
              <w:rPr>
                <w:rFonts w:hint="eastAsia" w:ascii="仿宋_GB2312" w:eastAsia="仿宋_GB2312"/>
                <w:b w:val="0"/>
                <w:bCs w:val="0"/>
                <w:kern w:val="0"/>
                <w:sz w:val="30"/>
                <w:szCs w:val="30"/>
                <w:lang w:val="en-US" w:eastAsia="zh-CN"/>
              </w:rPr>
            </w:pPr>
          </w:p>
          <w:p>
            <w:pPr>
              <w:pStyle w:val="6"/>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3400.00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255239F2"/>
    <w:rsid w:val="23DE7685"/>
    <w:rsid w:val="255239F2"/>
    <w:rsid w:val="4F8C4818"/>
    <w:rsid w:val="54B361FB"/>
    <w:rsid w:val="75692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6852</Words>
  <Characters>7135</Characters>
  <Lines>0</Lines>
  <Paragraphs>0</Paragraphs>
  <TotalTime>4</TotalTime>
  <ScaleCrop>false</ScaleCrop>
  <LinksUpToDate>false</LinksUpToDate>
  <CharactersWithSpaces>7642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2023-03-15T05:28:00Z</dcterms:created>
  <dc:creator>turning</dc:creator>
  <cp:lastModifiedBy>turning</cp:lastModifiedBy>
  <dcterms:modified xsi:type="dcterms:W3CDTF">2023-03-27T02:27:16Z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06A45B620E744803A8449948B06FD826</vt:lpwstr>
  </property>
</Properties>
</file>