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pageBreakBefore w:val="0"/>
        <w:kinsoku/>
        <w:wordWrap/>
        <w:topLinePunct w:val="0"/>
        <w:bidi w:val="0"/>
        <w:spacing w:line="360" w:lineRule="auto"/>
        <w:jc w:val="center"/>
        <w:rPr>
          <w:rFonts w:hint="eastAsia" w:ascii="仿宋" w:hAnsi="仿宋" w:eastAsia="仿宋" w:cs="仿宋"/>
          <w:b/>
          <w:sz w:val="84"/>
          <w:szCs w:val="84"/>
        </w:rPr>
      </w:pPr>
      <w:r>
        <w:rPr>
          <w:rFonts w:hint="eastAsia" w:ascii="仿宋" w:hAnsi="仿宋" w:eastAsia="仿宋" w:cs="仿宋"/>
          <w:b/>
          <w:sz w:val="72"/>
          <w:szCs w:val="72"/>
        </w:rPr>
        <w:t>询价文件</w:t>
      </w:r>
    </w:p>
    <w:p>
      <w:pPr>
        <w:pageBreakBefore w:val="0"/>
        <w:kinsoku/>
        <w:wordWrap/>
        <w:topLinePunct w:val="0"/>
        <w:bidi w:val="0"/>
        <w:spacing w:line="360" w:lineRule="auto"/>
        <w:jc w:val="center"/>
        <w:rPr>
          <w:rFonts w:hint="eastAsia" w:ascii="仿宋" w:hAnsi="仿宋" w:eastAsia="仿宋" w:cs="仿宋"/>
          <w:b/>
          <w:sz w:val="48"/>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jc w:val="center"/>
        <w:rPr>
          <w:rFonts w:hint="default"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20230</w:t>
      </w:r>
      <w:r>
        <w:rPr>
          <w:rFonts w:hint="eastAsia" w:ascii="仿宋" w:hAnsi="仿宋" w:eastAsia="仿宋" w:cs="仿宋"/>
          <w:sz w:val="32"/>
          <w:szCs w:val="32"/>
          <w:u w:val="single"/>
          <w:lang w:val="en-US" w:eastAsia="zh-CN"/>
        </w:rPr>
        <w:t>5003</w:t>
      </w:r>
    </w:p>
    <w:p>
      <w:pPr>
        <w:pageBreakBefore w:val="0"/>
        <w:kinsoku/>
        <w:wordWrap/>
        <w:topLinePunct w:val="0"/>
        <w:bidi w:val="0"/>
        <w:spacing w:line="360" w:lineRule="auto"/>
        <w:ind w:firstLine="80" w:firstLineChars="25"/>
        <w:jc w:val="center"/>
        <w:rPr>
          <w:rFonts w:hint="default" w:ascii="仿宋" w:hAnsi="仿宋" w:eastAsia="仿宋" w:cs="仿宋"/>
          <w:sz w:val="84"/>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2023年临江公司三固事业部化验室设备维保服务</w:t>
      </w:r>
      <w:r>
        <w:rPr>
          <w:rFonts w:hint="eastAsia" w:ascii="仿宋" w:hAnsi="仿宋" w:eastAsia="仿宋" w:cs="仿宋"/>
          <w:sz w:val="32"/>
          <w:szCs w:val="32"/>
          <w:u w:val="single"/>
          <w:lang w:eastAsia="zh-CN"/>
        </w:rPr>
        <w:t>采购</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月</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20"/>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pageBreakBefore w:val="0"/>
        <w:kinsoku/>
        <w:wordWrap/>
        <w:topLinePunct w:val="0"/>
        <w:bidi w:val="0"/>
        <w:spacing w:line="360" w:lineRule="auto"/>
        <w:rPr>
          <w:rFonts w:hint="eastAsia" w:ascii="仿宋" w:hAnsi="仿宋" w:eastAsia="仿宋" w:cs="仿宋"/>
          <w:sz w:val="36"/>
        </w:rPr>
      </w:pPr>
      <w:r>
        <w:rPr>
          <w:rFonts w:hint="eastAsia" w:ascii="仿宋" w:hAnsi="仿宋" w:eastAsia="仿宋" w:cs="仿宋"/>
          <w:sz w:val="36"/>
        </w:rPr>
        <w:fldChar w:fldCharType="end"/>
      </w:r>
    </w:p>
    <w:p>
      <w:pPr>
        <w:pageBreakBefore w:val="0"/>
        <w:kinsoku/>
        <w:wordWrap/>
        <w:topLinePunct w:val="0"/>
        <w:bidi w:val="0"/>
        <w:spacing w:line="360" w:lineRule="auto"/>
        <w:rPr>
          <w:rFonts w:hint="eastAsia" w:ascii="仿宋" w:hAnsi="仿宋" w:eastAsia="仿宋" w:cs="仿宋"/>
          <w:sz w:val="36"/>
        </w:rPr>
      </w:pPr>
    </w:p>
    <w:p>
      <w:pPr>
        <w:pageBreakBefore w:val="0"/>
        <w:kinsoku/>
        <w:wordWrap/>
        <w:topLinePunct w:val="0"/>
        <w:bidi w:val="0"/>
        <w:snapToGrid w:val="0"/>
        <w:spacing w:line="360" w:lineRule="auto"/>
        <w:jc w:val="center"/>
        <w:rPr>
          <w:rFonts w:hint="eastAsia" w:ascii="仿宋" w:hAnsi="仿宋" w:eastAsia="仿宋" w:cs="仿宋"/>
          <w:snapToGrid w:val="0"/>
          <w:sz w:val="28"/>
          <w:szCs w:val="28"/>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杭州临江环境能源有限公司三固</w:t>
      </w:r>
      <w:r>
        <w:rPr>
          <w:rFonts w:hint="eastAsia" w:ascii="仿宋" w:hAnsi="仿宋" w:eastAsia="仿宋" w:cs="仿宋"/>
          <w:sz w:val="28"/>
          <w:szCs w:val="28"/>
          <w:lang w:val="en-US" w:eastAsia="zh-CN"/>
        </w:rPr>
        <w:t>事业部化验室</w:t>
      </w:r>
      <w:r>
        <w:rPr>
          <w:rFonts w:hint="eastAsia" w:ascii="仿宋" w:hAnsi="仿宋" w:eastAsia="仿宋" w:cs="仿宋"/>
          <w:sz w:val="28"/>
          <w:szCs w:val="28"/>
        </w:rPr>
        <w:t>因日常</w:t>
      </w:r>
      <w:r>
        <w:rPr>
          <w:rFonts w:hint="eastAsia" w:ascii="仿宋" w:hAnsi="仿宋" w:eastAsia="仿宋" w:cs="仿宋"/>
          <w:sz w:val="28"/>
          <w:szCs w:val="28"/>
          <w:lang w:val="en-US" w:eastAsia="zh-CN"/>
        </w:rPr>
        <w:t>运营</w:t>
      </w:r>
      <w:r>
        <w:rPr>
          <w:rFonts w:hint="eastAsia" w:ascii="仿宋" w:hAnsi="仿宋" w:eastAsia="仿宋" w:cs="仿宋"/>
          <w:sz w:val="28"/>
          <w:szCs w:val="28"/>
        </w:rPr>
        <w:t>需要，需</w:t>
      </w:r>
      <w:r>
        <w:rPr>
          <w:rFonts w:hint="eastAsia" w:ascii="仿宋" w:hAnsi="仿宋" w:eastAsia="仿宋" w:cs="仿宋"/>
          <w:sz w:val="28"/>
          <w:szCs w:val="28"/>
          <w:lang w:val="en-US" w:eastAsia="zh-CN"/>
        </w:rPr>
        <w:t>委托有资质的单位进行</w:t>
      </w:r>
      <w:r>
        <w:rPr>
          <w:rFonts w:hint="eastAsia" w:ascii="仿宋" w:hAnsi="仿宋" w:eastAsia="仿宋" w:cs="仿宋"/>
          <w:sz w:val="28"/>
          <w:szCs w:val="28"/>
          <w:lang w:eastAsia="zh-CN"/>
        </w:rPr>
        <w:t>维保服务</w:t>
      </w:r>
      <w:r>
        <w:rPr>
          <w:rFonts w:hint="eastAsia" w:ascii="仿宋" w:hAnsi="仿宋" w:eastAsia="仿宋" w:cs="仿宋"/>
          <w:sz w:val="28"/>
          <w:szCs w:val="28"/>
        </w:rPr>
        <w:t>，欢迎符合要求的供应商积极参与。</w:t>
      </w:r>
    </w:p>
    <w:p>
      <w:pPr>
        <w:pageBreakBefore w:val="0"/>
        <w:numPr>
          <w:ilvl w:val="0"/>
          <w:numId w:val="2"/>
        </w:numPr>
        <w:kinsoku/>
        <w:wordWrap/>
        <w:topLinePunct w:val="0"/>
        <w:bidi w:val="0"/>
        <w:adjustRightInd w:val="0"/>
        <w:snapToGrid w:val="0"/>
        <w:spacing w:line="360" w:lineRule="auto"/>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2"/>
        <w:pageBreakBefore w:val="0"/>
        <w:kinsoku/>
        <w:wordWrap/>
        <w:topLinePunct w:val="0"/>
        <w:bidi w:val="0"/>
        <w:spacing w:line="360" w:lineRule="auto"/>
        <w:ind w:left="600"/>
        <w:rPr>
          <w:rFonts w:hint="default"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default" w:ascii="仿宋" w:hAnsi="仿宋" w:eastAsia="仿宋" w:cs="仿宋"/>
          <w:b w:val="0"/>
          <w:caps w:val="0"/>
          <w:sz w:val="28"/>
          <w:szCs w:val="28"/>
          <w:lang w:val="en-US" w:eastAsia="zh-CN"/>
        </w:rPr>
        <w:t>20230</w:t>
      </w:r>
      <w:r>
        <w:rPr>
          <w:rFonts w:hint="eastAsia" w:ascii="仿宋" w:hAnsi="仿宋" w:eastAsia="仿宋" w:cs="仿宋"/>
          <w:b w:val="0"/>
          <w:caps w:val="0"/>
          <w:sz w:val="28"/>
          <w:szCs w:val="28"/>
          <w:lang w:val="en-US" w:eastAsia="zh-CN"/>
        </w:rPr>
        <w:t>5003</w:t>
      </w:r>
    </w:p>
    <w:p>
      <w:pPr>
        <w:pStyle w:val="2"/>
        <w:pageBreakBefore w:val="0"/>
        <w:kinsoku/>
        <w:wordWrap/>
        <w:topLinePunct w:val="0"/>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：化验室设备维保服务，</w:t>
      </w:r>
      <w:r>
        <w:rPr>
          <w:rFonts w:hint="eastAsia" w:ascii="仿宋" w:hAnsi="仿宋" w:eastAsia="仿宋" w:cs="仿宋"/>
          <w:sz w:val="28"/>
          <w:szCs w:val="28"/>
          <w:lang w:val="en-US" w:eastAsia="zh-CN"/>
        </w:rPr>
        <w:t>目详见《第三部分 询价内容》；</w:t>
      </w:r>
    </w:p>
    <w:p>
      <w:pPr>
        <w:pStyle w:val="2"/>
        <w:pageBreakBefore w:val="0"/>
        <w:kinsoku/>
        <w:wordWrap/>
        <w:topLinePunct w:val="0"/>
        <w:bidi w:val="0"/>
        <w:spacing w:line="360" w:lineRule="auto"/>
        <w:ind w:firstLine="560" w:firstLineChars="200"/>
        <w:rPr>
          <w:rFonts w:hint="eastAsia" w:ascii="仿宋" w:hAnsi="仿宋" w:eastAsia="仿宋" w:cs="仿宋"/>
          <w:b w:val="0"/>
          <w:caps w:val="0"/>
          <w:sz w:val="28"/>
          <w:szCs w:val="28"/>
          <w:highlight w:val="none"/>
          <w:lang w:eastAsia="zh-CN"/>
        </w:rPr>
      </w:pPr>
      <w:r>
        <w:rPr>
          <w:rFonts w:hint="eastAsia" w:ascii="仿宋" w:hAnsi="仿宋" w:eastAsia="仿宋" w:cs="仿宋"/>
          <w:b w:val="0"/>
          <w:caps w:val="0"/>
          <w:sz w:val="28"/>
          <w:szCs w:val="28"/>
          <w:highlight w:val="none"/>
        </w:rPr>
        <w:t>3.本项目采购</w:t>
      </w:r>
      <w:r>
        <w:rPr>
          <w:rFonts w:hint="eastAsia" w:ascii="仿宋" w:hAnsi="仿宋" w:eastAsia="仿宋" w:cs="仿宋"/>
          <w:b w:val="0"/>
          <w:caps w:val="0"/>
          <w:sz w:val="28"/>
          <w:szCs w:val="28"/>
          <w:highlight w:val="none"/>
          <w:lang w:eastAsia="zh-CN"/>
        </w:rPr>
        <w:t>总限额</w:t>
      </w:r>
      <w:r>
        <w:rPr>
          <w:rFonts w:hint="eastAsia" w:ascii="仿宋" w:hAnsi="仿宋" w:eastAsia="仿宋" w:cs="仿宋"/>
          <w:b w:val="0"/>
          <w:caps w:val="0"/>
          <w:sz w:val="28"/>
          <w:szCs w:val="28"/>
          <w:highlight w:val="none"/>
        </w:rPr>
        <w:t>为</w:t>
      </w:r>
      <w:r>
        <w:rPr>
          <w:rFonts w:hint="eastAsia" w:ascii="仿宋" w:hAnsi="仿宋" w:eastAsia="仿宋" w:cs="仿宋"/>
          <w:b w:val="0"/>
          <w:caps w:val="0"/>
          <w:sz w:val="28"/>
          <w:szCs w:val="28"/>
          <w:highlight w:val="none"/>
          <w:lang w:val="en-US" w:eastAsia="zh-CN"/>
        </w:rPr>
        <w:t>25</w:t>
      </w:r>
      <w:r>
        <w:rPr>
          <w:rFonts w:hint="eastAsia" w:ascii="仿宋" w:hAnsi="仿宋" w:eastAsia="仿宋" w:cs="仿宋"/>
          <w:b w:val="0"/>
          <w:caps w:val="0"/>
          <w:sz w:val="28"/>
          <w:szCs w:val="28"/>
          <w:highlight w:val="none"/>
        </w:rPr>
        <w:t>万元</w:t>
      </w:r>
      <w:r>
        <w:rPr>
          <w:rFonts w:hint="eastAsia" w:ascii="仿宋" w:hAnsi="仿宋" w:eastAsia="仿宋" w:cs="仿宋"/>
          <w:b w:val="0"/>
          <w:caps w:val="0"/>
          <w:sz w:val="28"/>
          <w:szCs w:val="28"/>
          <w:highlight w:val="none"/>
          <w:lang w:eastAsia="zh-CN"/>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二、供应商要求。</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1.在中华人民共和国境内注册，具有独立法人资格/具有独立承担民事责任的能力。（提供营业执照（或者事业单位法人证书、社会团体法人登记证书、其他组织登记证明文件）副本复印件（加盖公章）。</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2.报价人近三年来至少1例危废或化工行业化验室总包服务（化验室建设或设备提供或技术服务）等类似项目业绩（提供相关业绩合同复印件加盖公章）。</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3.未被“信用中国”（www.creditchina.gov.cn）、中国政府采购网（www.ccgp.gov.cn）等官方网站没有被列入失信被执行人、重大税收违法案件当事人名单、政府采购严重违法失信行为记录名单。</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4.报价人不得为杭州临江环境能源有限公司不合格供应商或者在黑名单之内。</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5.报价人须提供其股东信息及出资比例信息。</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6.报价单位负责人为同</w:t>
      </w:r>
      <w:r>
        <w:rPr>
          <w:rFonts w:hint="eastAsia" w:ascii="仿宋" w:hAnsi="仿宋" w:eastAsia="仿宋" w:cs="仿宋"/>
          <w:sz w:val="28"/>
          <w:szCs w:val="28"/>
        </w:rPr>
        <w:t>一人或者存在控股、管理关系的不同单位，不得同时参加本项目</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79"/>
      <w:bookmarkStart w:id="7" w:name="_Toc530583922"/>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5月18</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9:30之前在杭州临江环境能源有限公司网站公示，请各报价人及时关注进入会场。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2023年</w:t>
      </w:r>
      <w:r>
        <w:rPr>
          <w:rFonts w:hint="eastAsia" w:ascii="仿宋_GB2312" w:eastAsia="仿宋_GB2312"/>
          <w:sz w:val="30"/>
          <w:szCs w:val="30"/>
          <w:lang w:val="en-US" w:eastAsia="zh-CN"/>
        </w:rPr>
        <w:t>5月10</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bookmarkEnd w:id="6"/>
    <w:bookmarkEnd w:id="7"/>
    <w:p>
      <w:pPr>
        <w:keepNext w:val="0"/>
        <w:keepLines w:val="0"/>
        <w:pageBreakBefore w:val="0"/>
        <w:widowControl w:val="0"/>
        <w:kinsoku/>
        <w:wordWrap/>
        <w:overflowPunct/>
        <w:topLinePunct w:val="0"/>
        <w:autoSpaceDE/>
        <w:autoSpaceDN/>
        <w:bidi w:val="0"/>
        <w:snapToGrid w:val="0"/>
        <w:spacing w:line="360" w:lineRule="auto"/>
        <w:jc w:val="center"/>
        <w:rPr>
          <w:rFonts w:ascii="仿宋_GB2312" w:eastAsia="仿宋_GB2312"/>
          <w:snapToGrid w:val="0"/>
          <w:sz w:val="30"/>
          <w:szCs w:val="30"/>
        </w:rPr>
      </w:pPr>
      <w:bookmarkStart w:id="8" w:name="_Toc530583880"/>
      <w:bookmarkStart w:id="9" w:name="_Toc530583923"/>
      <w:r>
        <w:rPr>
          <w:rFonts w:hint="eastAsia" w:ascii="仿宋_GB2312" w:hAnsi="Arial" w:eastAsia="仿宋_GB2312" w:cs="Times New Roman"/>
          <w:b/>
          <w:snapToGrid w:val="0"/>
          <w:color w:val="000000"/>
          <w:kern w:val="44"/>
          <w:sz w:val="44"/>
          <w:szCs w:val="44"/>
          <w:lang w:val="en-US" w:eastAsia="zh-CN" w:bidi="ar-SA"/>
        </w:rPr>
        <w:t>第二部分   询价须知</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eastAsia="zh-CN"/>
        </w:rPr>
        <w:t>工时费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5.易损件报价清单（附件五）；</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lang w:val="en-US" w:eastAsia="zh-CN"/>
        </w:rPr>
        <w:t>（附件七）；</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7.业绩证明；</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8</w:t>
      </w:r>
      <w:r>
        <w:rPr>
          <w:rFonts w:hint="eastAsia" w:ascii="仿宋_GB2312" w:hAnsi="宋体" w:eastAsia="仿宋_GB2312"/>
          <w:sz w:val="30"/>
          <w:szCs w:val="30"/>
        </w:rPr>
        <w:t>.有效资质证明并加盖公章：</w:t>
      </w:r>
      <w:r>
        <w:rPr>
          <w:rFonts w:hint="eastAsia" w:ascii="仿宋_GB2312" w:hAnsi="宋体" w:eastAsia="仿宋_GB2312"/>
          <w:b/>
          <w:bCs/>
          <w:sz w:val="30"/>
          <w:szCs w:val="30"/>
        </w:rPr>
        <w:t>通过年检的营业执照</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4" w:firstLineChars="257"/>
        <w:jc w:val="left"/>
        <w:rPr>
          <w:rFonts w:ascii="仿宋_GB2312" w:eastAsia="仿宋_GB2312"/>
          <w:b/>
          <w:bCs w:val="0"/>
          <w:sz w:val="30"/>
          <w:szCs w:val="30"/>
        </w:rPr>
      </w:pPr>
      <w:r>
        <w:rPr>
          <w:rFonts w:hint="eastAsia" w:ascii="仿宋_GB2312" w:eastAsia="仿宋_GB2312"/>
          <w:b/>
          <w:bCs w:val="0"/>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（四）报价总价超过最高限价的或者超过每项限价。</w:t>
      </w:r>
    </w:p>
    <w:p>
      <w:pPr>
        <w:pageBreakBefore w:val="0"/>
        <w:kinsoku/>
        <w:wordWrap/>
        <w:topLinePunct w:val="0"/>
        <w:bidi w:val="0"/>
        <w:snapToGrid w:val="0"/>
        <w:spacing w:line="360" w:lineRule="auto"/>
        <w:ind w:firstLine="6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（五）报价不全，存在缺项、漏项的。</w:t>
      </w:r>
    </w:p>
    <w:p>
      <w:pPr>
        <w:pageBreakBefore w:val="0"/>
        <w:kinsoku/>
        <w:wordWrap/>
        <w:topLinePunct w:val="0"/>
        <w:bidi w:val="0"/>
        <w:snapToGrid w:val="0"/>
        <w:spacing w:line="360" w:lineRule="auto"/>
        <w:ind w:firstLine="6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2"/>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ascii="仿宋_GB2312" w:hAnsi="宋体" w:eastAsia="仿宋_GB2312"/>
          <w:b/>
          <w:bCs/>
          <w:sz w:val="30"/>
          <w:szCs w:val="30"/>
        </w:rPr>
      </w:pPr>
      <w:r>
        <w:rPr>
          <w:rFonts w:hint="eastAsia" w:ascii="仿宋_GB2312" w:hAnsi="宋体" w:eastAsia="仿宋_GB2312"/>
          <w:b/>
          <w:bCs/>
          <w:sz w:val="30"/>
          <w:szCs w:val="30"/>
          <w:lang w:eastAsia="zh-CN"/>
        </w:rPr>
        <w:t>十三、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3"/>
        <w:pageBreakBefore w:val="0"/>
        <w:numPr>
          <w:ilvl w:val="0"/>
          <w:numId w:val="0"/>
        </w:numPr>
        <w:kinsoku/>
        <w:wordWrap/>
        <w:topLinePunct w:val="0"/>
        <w:bidi w:val="0"/>
        <w:spacing w:line="360" w:lineRule="auto"/>
        <w:jc w:val="center"/>
        <w:rPr>
          <w:rFonts w:hint="eastAsia" w:ascii="仿宋" w:hAnsi="仿宋" w:eastAsia="仿宋" w:cs="仿宋"/>
          <w:b w:val="0"/>
          <w:bCs/>
          <w:snapToGrid w:val="0"/>
          <w:sz w:val="44"/>
          <w:highlight w:val="none"/>
        </w:rPr>
      </w:pPr>
      <w:r>
        <w:rPr>
          <w:rFonts w:hint="eastAsia" w:ascii="仿宋" w:hAnsi="仿宋" w:eastAsia="仿宋" w:cs="仿宋"/>
          <w:snapToGrid w:val="0"/>
          <w:sz w:val="44"/>
          <w:szCs w:val="44"/>
          <w:highlight w:val="none"/>
        </w:rPr>
        <w:t>第三部分   询价内容</w:t>
      </w:r>
      <w:bookmarkEnd w:id="8"/>
      <w:bookmarkEnd w:id="9"/>
    </w:p>
    <w:p>
      <w:pPr>
        <w:pageBreakBefore w:val="0"/>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p>
      <w:pPr>
        <w:pStyle w:val="2"/>
        <w:pageBreakBefore w:val="0"/>
        <w:kinsoku/>
        <w:wordWrap/>
        <w:topLinePunct w:val="0"/>
        <w:bidi w:val="0"/>
        <w:spacing w:line="360" w:lineRule="auto"/>
        <w:ind w:firstLine="560" w:firstLineChars="200"/>
        <w:rPr>
          <w:rFonts w:hint="eastAsia" w:ascii="仿宋" w:hAnsi="仿宋" w:eastAsia="仿宋" w:cs="仿宋"/>
          <w:b w:val="0"/>
          <w:caps w:val="0"/>
          <w:color w:val="000000"/>
          <w:kern w:val="0"/>
          <w:sz w:val="28"/>
          <w:szCs w:val="28"/>
          <w:u w:color="000000"/>
          <w:lang w:val="en-US" w:eastAsia="zh-CN" w:bidi="ar-SA"/>
        </w:rPr>
      </w:pPr>
      <w:r>
        <w:rPr>
          <w:rFonts w:hint="eastAsia" w:ascii="仿宋" w:hAnsi="仿宋" w:eastAsia="仿宋" w:cs="仿宋"/>
          <w:b w:val="0"/>
          <w:caps w:val="0"/>
          <w:color w:val="000000"/>
          <w:kern w:val="0"/>
          <w:sz w:val="28"/>
          <w:szCs w:val="28"/>
          <w:u w:color="000000"/>
          <w:lang w:val="en-US" w:eastAsia="zh-CN" w:bidi="ar-SA"/>
        </w:rPr>
        <w:t>1.采购内容</w:t>
      </w:r>
    </w:p>
    <w:p>
      <w:pPr>
        <w:pStyle w:val="22"/>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1.1工作地点及次数要求</w:t>
      </w:r>
    </w:p>
    <w:p>
      <w:pPr>
        <w:pStyle w:val="22"/>
        <w:pageBreakBefore w:val="0"/>
        <w:kinsoku/>
        <w:wordWrap/>
        <w:topLinePunct w:val="0"/>
        <w:bidi w:val="0"/>
        <w:snapToGrid w:val="0"/>
        <w:spacing w:line="360" w:lineRule="auto"/>
        <w:ind w:firstLine="60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1.1.1</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服务地点</w:t>
      </w:r>
      <w:r>
        <w:rPr>
          <w:rFonts w:hint="eastAsia" w:ascii="仿宋" w:hAnsi="仿宋" w:eastAsia="仿宋" w:cs="仿宋"/>
          <w:b w:val="0"/>
          <w:bCs w:val="0"/>
          <w:sz w:val="28"/>
          <w:szCs w:val="28"/>
          <w:lang w:eastAsia="zh-CN"/>
        </w:rPr>
        <w:t>为杭州临江环境能源有限公司内（红十五线</w:t>
      </w:r>
      <w:r>
        <w:rPr>
          <w:rFonts w:hint="eastAsia" w:ascii="仿宋" w:hAnsi="仿宋" w:eastAsia="仿宋" w:cs="仿宋"/>
          <w:b w:val="0"/>
          <w:bCs w:val="0"/>
          <w:sz w:val="28"/>
          <w:szCs w:val="28"/>
          <w:lang w:val="en-US" w:eastAsia="zh-CN"/>
        </w:rPr>
        <w:t>与</w:t>
      </w:r>
      <w:r>
        <w:rPr>
          <w:rFonts w:hint="eastAsia" w:ascii="仿宋" w:hAnsi="仿宋" w:eastAsia="仿宋" w:cs="仿宋"/>
          <w:b w:val="0"/>
          <w:bCs w:val="0"/>
          <w:sz w:val="28"/>
          <w:szCs w:val="28"/>
          <w:lang w:eastAsia="zh-CN"/>
        </w:rPr>
        <w:t>观十五线交叉口）。</w:t>
      </w:r>
    </w:p>
    <w:p>
      <w:pPr>
        <w:pStyle w:val="22"/>
        <w:pageBreakBefore w:val="0"/>
        <w:kinsoku/>
        <w:wordWrap/>
        <w:topLinePunct w:val="0"/>
        <w:bidi w:val="0"/>
        <w:snapToGrid w:val="0"/>
        <w:spacing w:line="360" w:lineRule="auto"/>
        <w:ind w:firstLine="601"/>
        <w:rPr>
          <w:rFonts w:hint="eastAsia" w:ascii="仿宋" w:hAnsi="仿宋" w:eastAsia="仿宋" w:cs="仿宋"/>
          <w:b w:val="0"/>
          <w:bCs/>
          <w:sz w:val="28"/>
          <w:szCs w:val="28"/>
          <w:lang w:val="en-US" w:eastAsia="zh-CN"/>
        </w:rPr>
      </w:pPr>
      <w:r>
        <w:rPr>
          <w:rFonts w:hint="eastAsia" w:ascii="仿宋" w:hAnsi="仿宋" w:eastAsia="仿宋" w:cs="仿宋"/>
          <w:b w:val="0"/>
          <w:bCs w:val="0"/>
          <w:sz w:val="28"/>
          <w:szCs w:val="28"/>
          <w:lang w:val="en-US" w:eastAsia="zh-CN"/>
        </w:rPr>
        <w:t>1.1.2</w:t>
      </w:r>
      <w:r>
        <w:rPr>
          <w:rFonts w:hint="eastAsia" w:ascii="仿宋" w:hAnsi="仿宋" w:eastAsia="仿宋" w:cs="仿宋"/>
          <w:b w:val="0"/>
          <w:bCs w:val="0"/>
          <w:sz w:val="28"/>
          <w:szCs w:val="28"/>
        </w:rPr>
        <w:t>本项目服务期限</w:t>
      </w:r>
      <w:r>
        <w:rPr>
          <w:rFonts w:hint="eastAsia" w:ascii="仿宋" w:hAnsi="仿宋" w:eastAsia="仿宋" w:cs="仿宋"/>
          <w:b w:val="0"/>
          <w:bCs w:val="0"/>
          <w:sz w:val="28"/>
          <w:szCs w:val="28"/>
          <w:lang w:eastAsia="zh-CN"/>
        </w:rPr>
        <w:t>为</w:t>
      </w:r>
      <w:r>
        <w:rPr>
          <w:rFonts w:hint="eastAsia" w:ascii="仿宋" w:hAnsi="仿宋" w:eastAsia="仿宋" w:cs="仿宋"/>
          <w:b w:val="0"/>
          <w:bCs w:val="0"/>
          <w:sz w:val="28"/>
          <w:szCs w:val="28"/>
          <w:lang w:val="en-US" w:eastAsia="zh-CN"/>
        </w:rPr>
        <w:t>1年</w:t>
      </w:r>
      <w:r>
        <w:rPr>
          <w:rFonts w:hint="eastAsia" w:ascii="仿宋" w:hAnsi="仿宋" w:eastAsia="仿宋" w:cs="仿宋"/>
          <w:b w:val="0"/>
          <w:bCs w:val="0"/>
          <w:sz w:val="28"/>
          <w:szCs w:val="28"/>
        </w:rPr>
        <w:t>。</w:t>
      </w:r>
    </w:p>
    <w:p>
      <w:pPr>
        <w:pStyle w:val="22"/>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1.2化验室维保设备清单</w:t>
      </w:r>
    </w:p>
    <w:tbl>
      <w:tblPr>
        <w:tblStyle w:val="16"/>
        <w:tblW w:w="8400" w:type="dxa"/>
        <w:tblInd w:w="436" w:type="dxa"/>
        <w:tblLayout w:type="fixed"/>
        <w:tblCellMar>
          <w:top w:w="0" w:type="dxa"/>
          <w:left w:w="108" w:type="dxa"/>
          <w:bottom w:w="0" w:type="dxa"/>
          <w:right w:w="108" w:type="dxa"/>
        </w:tblCellMar>
      </w:tblPr>
      <w:tblGrid>
        <w:gridCol w:w="645"/>
        <w:gridCol w:w="2429"/>
        <w:gridCol w:w="3402"/>
        <w:gridCol w:w="993"/>
        <w:gridCol w:w="931"/>
      </w:tblGrid>
      <w:tr>
        <w:tblPrEx>
          <w:tblCellMar>
            <w:top w:w="0" w:type="dxa"/>
            <w:left w:w="108" w:type="dxa"/>
            <w:bottom w:w="0" w:type="dxa"/>
            <w:right w:w="108" w:type="dxa"/>
          </w:tblCellMar>
        </w:tblPrEx>
        <w:trPr>
          <w:trHeight w:val="308"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序号</w:t>
            </w:r>
          </w:p>
        </w:tc>
        <w:tc>
          <w:tcPr>
            <w:tcW w:w="242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设备名称</w:t>
            </w:r>
          </w:p>
        </w:tc>
        <w:tc>
          <w:tcPr>
            <w:tcW w:w="340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品牌型号</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数量</w:t>
            </w:r>
          </w:p>
        </w:tc>
        <w:tc>
          <w:tcPr>
            <w:tcW w:w="9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单位</w:t>
            </w:r>
          </w:p>
        </w:tc>
      </w:tr>
      <w:tr>
        <w:tblPrEx>
          <w:tblCellMar>
            <w:top w:w="0" w:type="dxa"/>
            <w:left w:w="108" w:type="dxa"/>
            <w:bottom w:w="0" w:type="dxa"/>
            <w:right w:w="108" w:type="dxa"/>
          </w:tblCellMar>
        </w:tblPrEx>
        <w:trPr>
          <w:trHeight w:val="653" w:hRule="atLeast"/>
        </w:trPr>
        <w:tc>
          <w:tcPr>
            <w:tcW w:w="64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2429"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3402"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Thermo iCAP Pro ICP-OES Duo View  Spectrometer</w:t>
            </w:r>
          </w:p>
        </w:tc>
        <w:tc>
          <w:tcPr>
            <w:tcW w:w="99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425" w:hRule="atLeast"/>
        </w:trPr>
        <w:tc>
          <w:tcPr>
            <w:tcW w:w="64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2429"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原子荧光光谱仪</w:t>
            </w:r>
          </w:p>
        </w:tc>
        <w:tc>
          <w:tcPr>
            <w:tcW w:w="3402" w:type="dxa"/>
            <w:tcBorders>
              <w:top w:val="nil"/>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北京吉天Kylin A12</w:t>
            </w:r>
          </w:p>
        </w:tc>
        <w:tc>
          <w:tcPr>
            <w:tcW w:w="993" w:type="dxa"/>
            <w:tcBorders>
              <w:top w:val="nil"/>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342" w:hRule="atLeast"/>
        </w:trPr>
        <w:tc>
          <w:tcPr>
            <w:tcW w:w="64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2429"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3402" w:type="dxa"/>
            <w:tcBorders>
              <w:top w:val="nil"/>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ThermoFisher AQUION</w:t>
            </w:r>
          </w:p>
        </w:tc>
        <w:tc>
          <w:tcPr>
            <w:tcW w:w="993" w:type="dxa"/>
            <w:tcBorders>
              <w:top w:val="nil"/>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83"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氰化物测定仪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罗威邦ET9915</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75"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紫外可见分光光度计</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ThermoFisher Evolution220</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25"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电子分析天平（万分之一）</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赛多利斯BSA224S-CW</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90"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上皿天平（千分之一）</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赛多利斯BSA3202S</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42"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纯水机</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密理博Milli -Q Direct 16</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50"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浊度计</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75"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深圳昌鸿PWN-840A</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25"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BOD测定仪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哈希BODTrak® II</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200"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生化培养箱</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博迅SPX-150B-Z</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83"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总有机碳测定仪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耶拿2100S</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42"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自动闭口闪点测定仪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上海昌吉SYD-261D</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29"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水分测定器</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雷磁ZDY-502</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34"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微波消解装置</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上海屹尧WX-7000HP</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50"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长沙友欣YX-ZR9302</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233"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灰熔点测定仪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长沙友欣YX-HRD4000</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92"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箱式高温炉（马弗炉）</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博迅SX2-5-12Z</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67"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长沙友欣YX-GYFX7705</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208"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自动定硫仪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长沙友欣YX-DL8300</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183"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X荧光</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天瑞1800BS</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217"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多参数消解仪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连华5B-1(V8)</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92"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24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多参数水质测定仪</w:t>
            </w:r>
          </w:p>
        </w:tc>
        <w:tc>
          <w:tcPr>
            <w:tcW w:w="3402" w:type="dxa"/>
            <w:tcBorders>
              <w:top w:val="single" w:color="auto" w:sz="4" w:space="0"/>
              <w:left w:val="nil"/>
              <w:bottom w:val="single" w:color="auto" w:sz="4" w:space="0"/>
              <w:right w:val="nil"/>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连华5B-3B(V11)</w:t>
            </w:r>
          </w:p>
        </w:tc>
        <w:tc>
          <w:tcPr>
            <w:tcW w:w="993" w:type="dxa"/>
            <w:tcBorders>
              <w:top w:val="single" w:color="auto" w:sz="4" w:space="0"/>
              <w:left w:val="single" w:color="auto" w:sz="4" w:space="0"/>
              <w:bottom w:val="single" w:color="auto" w:sz="4" w:space="0"/>
              <w:right w:val="nil"/>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bl>
    <w:p>
      <w:pPr>
        <w:pStyle w:val="22"/>
        <w:pageBreakBefore w:val="0"/>
        <w:kinsoku/>
        <w:wordWrap/>
        <w:topLinePunct w:val="0"/>
        <w:bidi w:val="0"/>
        <w:snapToGrid w:val="0"/>
        <w:spacing w:line="360" w:lineRule="auto"/>
        <w:ind w:left="0" w:leftChars="0" w:firstLine="562" w:firstLineChars="200"/>
        <w:rPr>
          <w:rFonts w:hint="eastAsia" w:ascii="仿宋" w:hAnsi="仿宋" w:eastAsia="仿宋" w:cs="仿宋"/>
          <w:b/>
          <w:bCs w:val="0"/>
          <w:sz w:val="28"/>
          <w:szCs w:val="28"/>
          <w:lang w:val="en-US" w:eastAsia="zh-CN"/>
        </w:rPr>
      </w:pPr>
    </w:p>
    <w:p>
      <w:pPr>
        <w:pStyle w:val="22"/>
        <w:pageBreakBefore w:val="0"/>
        <w:kinsoku/>
        <w:wordWrap/>
        <w:topLinePunct w:val="0"/>
        <w:bidi w:val="0"/>
        <w:snapToGrid w:val="0"/>
        <w:spacing w:line="360" w:lineRule="auto"/>
        <w:ind w:left="0" w:leftChars="0" w:firstLine="562" w:firstLineChars="200"/>
        <w:rPr>
          <w:rFonts w:hint="eastAsia" w:ascii="仿宋" w:hAnsi="仿宋" w:eastAsia="仿宋" w:cs="仿宋"/>
          <w:b/>
          <w:bCs w:val="0"/>
          <w:sz w:val="28"/>
          <w:szCs w:val="28"/>
          <w:lang w:val="en-US" w:eastAsia="zh-CN"/>
        </w:rPr>
      </w:pPr>
    </w:p>
    <w:p>
      <w:pPr>
        <w:pStyle w:val="22"/>
        <w:pageBreakBefore w:val="0"/>
        <w:kinsoku/>
        <w:wordWrap/>
        <w:topLinePunct w:val="0"/>
        <w:bidi w:val="0"/>
        <w:snapToGrid w:val="0"/>
        <w:spacing w:line="360" w:lineRule="auto"/>
        <w:ind w:left="0" w:leftChars="0"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1.3维保服务内容</w:t>
      </w:r>
    </w:p>
    <w:tbl>
      <w:tblPr>
        <w:tblStyle w:val="17"/>
        <w:tblW w:w="0" w:type="auto"/>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75"/>
        <w:gridCol w:w="1206"/>
        <w:gridCol w:w="342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序号</w:t>
            </w:r>
          </w:p>
        </w:tc>
        <w:tc>
          <w:tcPr>
            <w:tcW w:w="1375" w:type="dxa"/>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类别</w:t>
            </w:r>
          </w:p>
        </w:tc>
        <w:tc>
          <w:tcPr>
            <w:tcW w:w="1206" w:type="dxa"/>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次数</w:t>
            </w:r>
          </w:p>
        </w:tc>
        <w:tc>
          <w:tcPr>
            <w:tcW w:w="3422" w:type="dxa"/>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主要工作内容</w:t>
            </w:r>
          </w:p>
        </w:tc>
        <w:tc>
          <w:tcPr>
            <w:tcW w:w="1529" w:type="dxa"/>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9" w:type="dxa"/>
            <w:vAlign w:val="center"/>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w:t>
            </w:r>
          </w:p>
        </w:tc>
        <w:tc>
          <w:tcPr>
            <w:tcW w:w="1375"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常规检查</w:t>
            </w:r>
          </w:p>
        </w:tc>
        <w:tc>
          <w:tcPr>
            <w:tcW w:w="1206" w:type="dxa"/>
            <w:vAlign w:val="center"/>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6次</w:t>
            </w:r>
          </w:p>
        </w:tc>
        <w:tc>
          <w:tcPr>
            <w:tcW w:w="3422" w:type="dxa"/>
            <w:vAlign w:val="center"/>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每两个月一次定期检验、校准等保养维护</w:t>
            </w:r>
          </w:p>
        </w:tc>
        <w:tc>
          <w:tcPr>
            <w:tcW w:w="1529"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不包含配件费用，包含24台设备的保养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9" w:type="dxa"/>
            <w:vAlign w:val="center"/>
          </w:tcPr>
          <w:p>
            <w:pPr>
              <w:pStyle w:val="22"/>
              <w:pageBreakBefore w:val="0"/>
              <w:kinsoku/>
              <w:wordWrap/>
              <w:topLinePunct w:val="0"/>
              <w:bidi w:val="0"/>
              <w:snapToGrid w:val="0"/>
              <w:spacing w:line="24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2</w:t>
            </w:r>
          </w:p>
        </w:tc>
        <w:tc>
          <w:tcPr>
            <w:tcW w:w="1375"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维修备件</w:t>
            </w:r>
          </w:p>
        </w:tc>
        <w:tc>
          <w:tcPr>
            <w:tcW w:w="1206"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按需更换、按实结算</w:t>
            </w:r>
          </w:p>
        </w:tc>
        <w:tc>
          <w:tcPr>
            <w:tcW w:w="3422"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仪器设备的故障处理，部分易损件、耗材更换</w:t>
            </w:r>
          </w:p>
        </w:tc>
        <w:tc>
          <w:tcPr>
            <w:tcW w:w="1529" w:type="dxa"/>
            <w:vAlign w:val="center"/>
          </w:tcPr>
          <w:p>
            <w:pPr>
              <w:pStyle w:val="22"/>
              <w:pageBreakBefore w:val="0"/>
              <w:kinsoku/>
              <w:wordWrap/>
              <w:topLinePunct w:val="0"/>
              <w:bidi w:val="0"/>
              <w:snapToGrid w:val="0"/>
              <w:spacing w:line="24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具体易损件详见设备主要易损件清单</w:t>
            </w:r>
          </w:p>
        </w:tc>
      </w:tr>
    </w:tbl>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22"/>
        <w:pageBreakBefore w:val="0"/>
        <w:kinsoku/>
        <w:wordWrap/>
        <w:topLinePunct w:val="0"/>
        <w:bidi w:val="0"/>
        <w:snapToGrid w:val="0"/>
        <w:spacing w:line="360" w:lineRule="auto"/>
        <w:ind w:firstLine="601"/>
        <w:rPr>
          <w:rFonts w:hint="default" w:ascii="仿宋" w:hAnsi="仿宋" w:eastAsia="仿宋" w:cs="仿宋"/>
          <w:b/>
          <w:bCs/>
          <w:sz w:val="28"/>
          <w:szCs w:val="28"/>
          <w:lang w:val="en-US" w:eastAsia="zh-CN"/>
        </w:rPr>
      </w:pPr>
      <w:r>
        <w:rPr>
          <w:rFonts w:hint="eastAsia" w:ascii="仿宋_GB2312" w:eastAsia="仿宋_GB2312"/>
          <w:sz w:val="28"/>
          <w:szCs w:val="28"/>
        </w:rPr>
        <w:t>设备主要易损件清单</w:t>
      </w:r>
    </w:p>
    <w:tbl>
      <w:tblPr>
        <w:tblStyle w:val="16"/>
        <w:tblW w:w="8577" w:type="dxa"/>
        <w:tblInd w:w="391" w:type="dxa"/>
        <w:tblLayout w:type="fixed"/>
        <w:tblCellMar>
          <w:top w:w="0" w:type="dxa"/>
          <w:left w:w="108" w:type="dxa"/>
          <w:bottom w:w="0" w:type="dxa"/>
          <w:right w:w="108" w:type="dxa"/>
        </w:tblCellMar>
      </w:tblPr>
      <w:tblGrid>
        <w:gridCol w:w="714"/>
        <w:gridCol w:w="2008"/>
        <w:gridCol w:w="1796"/>
        <w:gridCol w:w="2453"/>
        <w:gridCol w:w="753"/>
        <w:gridCol w:w="853"/>
      </w:tblGrid>
      <w:tr>
        <w:tblPrEx>
          <w:tblCellMar>
            <w:top w:w="0" w:type="dxa"/>
            <w:left w:w="108" w:type="dxa"/>
            <w:bottom w:w="0" w:type="dxa"/>
            <w:right w:w="108" w:type="dxa"/>
          </w:tblCellMar>
        </w:tblPrEx>
        <w:trPr>
          <w:trHeight w:val="278" w:hRule="atLeast"/>
        </w:trPr>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序号</w:t>
            </w:r>
          </w:p>
        </w:tc>
        <w:tc>
          <w:tcPr>
            <w:tcW w:w="200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使用设备</w:t>
            </w:r>
          </w:p>
        </w:tc>
        <w:tc>
          <w:tcPr>
            <w:tcW w:w="1796"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名称</w:t>
            </w:r>
          </w:p>
        </w:tc>
        <w:tc>
          <w:tcPr>
            <w:tcW w:w="245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型号规格</w:t>
            </w:r>
          </w:p>
        </w:tc>
        <w:tc>
          <w:tcPr>
            <w:tcW w:w="75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数量</w:t>
            </w:r>
          </w:p>
        </w:tc>
        <w:tc>
          <w:tcPr>
            <w:tcW w:w="85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单位</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抑制器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SP6949 ASRS300(4mm)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保护柱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064147 AG23 4X50mm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分析柱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064149 AS23 4X250mm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六通阀定子转子</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75973</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55870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单向阀芯</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45994</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主板</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ICS-600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进样管</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250个</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水溶液雾化器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842312051431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普通矩管</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BRE0012328</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普通中心管（石英）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DRE0019895</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雾室</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氧化还原电位（ORP）计SX712</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ORP复合电极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SX712</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便携式pH计PHBJ-260F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E-201-L</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E-301QC</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E-301D</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台式电导仪DDSJ-318</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电导电极 </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DJS-1D型</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DO-958-Q</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溶解氧电解液</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零氧校准液粉剂</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电极膜帽</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3个/套</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离子计PXS-270</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离子选择电极</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PF-2-01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85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自动闭口闪点测定仪SYD-261D</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温度传感器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SYD-261D</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COD多参数水质分析仪5B-3B(V14)</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密闭反应管</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FYG-MF-16-100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COD多参数水质分析仪5B-3B(V16)</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玻璃比色皿1CM</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光径1CM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26</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COD多参数水质分析仪5B-3B(V17)</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玻璃比色皿3CM</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光径3CM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27</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COD多参数水质分析仪5B-3B(V18)</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比色皿架1CM</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28</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16</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纯化柱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Progard T3</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17</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Q-Pak TIX</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18</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终端过滤器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Millipak </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31</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19</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水箱空气过滤器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PE TANK MILLIPAK FILTER </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32</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20</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紫外灯</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UV LAMP 185/254nm</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33</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21</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自来水超滤柱</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前处理</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34</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BOD耗材采样瓶</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714421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硝化细菌抑制剂</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253335-CN</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36</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密封垫</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2957300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37</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密封杯</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2959500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38</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垫圈</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2957500</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39</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营养盐缓冲溶液粉枕</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2962266-CN</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r>
      <w:tr>
        <w:tblPrEx>
          <w:tblCellMar>
            <w:top w:w="0" w:type="dxa"/>
            <w:left w:w="108" w:type="dxa"/>
            <w:bottom w:w="0" w:type="dxa"/>
            <w:right w:w="108" w:type="dxa"/>
          </w:tblCellMar>
        </w:tblPrEx>
        <w:trPr>
          <w:trHeight w:val="38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40</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工业分析仪（水分灰分)专用坩埚</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593"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41</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定硫仪瓷舟</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405"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42</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43</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氧弹坩埚</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44</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氧弹杯电极支架</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密封圈/橡胶(小6*1.9)</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133303181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46</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密封圈/橡胶(大60*5.7)</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133349531</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47</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盐度计CT-3081</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量程0-9999mg/l</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48</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六联</w:t>
            </w:r>
          </w:p>
        </w:tc>
        <w:tc>
          <w:tcPr>
            <w:tcW w:w="753"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49</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w:t>
            </w:r>
          </w:p>
        </w:tc>
        <w:tc>
          <w:tcPr>
            <w:tcW w:w="753" w:type="dxa"/>
            <w:vMerge w:val="continue"/>
            <w:tcBorders>
              <w:top w:val="nil"/>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lang w:val="en-US" w:eastAsia="zh-CN"/>
              </w:rPr>
            </w:pPr>
          </w:p>
        </w:tc>
        <w:tc>
          <w:tcPr>
            <w:tcW w:w="853" w:type="dxa"/>
            <w:vMerge w:val="continue"/>
            <w:tcBorders>
              <w:top w:val="nil"/>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1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2008"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1796"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24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深圳昌鸿PWN-840A</w:t>
            </w:r>
          </w:p>
        </w:tc>
        <w:tc>
          <w:tcPr>
            <w:tcW w:w="7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5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r>
    </w:tbl>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autoSpaceDE w:val="0"/>
        <w:autoSpaceDN w:val="0"/>
        <w:adjustRightInd w:val="0"/>
        <w:snapToGrid w:val="0"/>
        <w:spacing w:line="360" w:lineRule="auto"/>
        <w:ind w:firstLine="562" w:firstLineChars="200"/>
        <w:jc w:val="left"/>
        <w:outlineLvl w:val="0"/>
        <w:rPr>
          <w:rFonts w:hint="eastAsia" w:ascii="仿宋" w:hAnsi="仿宋" w:eastAsia="仿宋" w:cs="仿宋"/>
          <w:b/>
          <w:bCs w:val="0"/>
          <w:color w:val="000000"/>
          <w:kern w:val="0"/>
          <w:sz w:val="28"/>
          <w:szCs w:val="28"/>
          <w:u w:color="000000"/>
          <w:lang w:val="en-US" w:eastAsia="zh-CN" w:bidi="ar-SA"/>
        </w:rPr>
      </w:pPr>
      <w:r>
        <w:rPr>
          <w:rFonts w:hint="eastAsia" w:ascii="仿宋" w:hAnsi="仿宋" w:eastAsia="仿宋" w:cs="仿宋"/>
          <w:b/>
          <w:bCs w:val="0"/>
          <w:color w:val="000000"/>
          <w:kern w:val="0"/>
          <w:sz w:val="28"/>
          <w:szCs w:val="28"/>
          <w:u w:color="000000"/>
          <w:lang w:val="en-US" w:eastAsia="zh-CN" w:bidi="ar-SA"/>
        </w:rPr>
        <w:t>1.3.1服务要求：</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（1）主要对设备的性能、数据的标定、基本耗材的更换维护、人员的使用等进行服务。</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（2）有确定的项目经理和专职维修人员，保修电话必须保证有人接听，须提供不小于两个人的手机号码（全天2</w:t>
      </w:r>
      <w:r>
        <w:rPr>
          <w:rFonts w:ascii="仿宋_GB2312" w:eastAsia="仿宋_GB2312"/>
          <w:sz w:val="28"/>
          <w:szCs w:val="28"/>
        </w:rPr>
        <w:t>4</w:t>
      </w:r>
      <w:r>
        <w:rPr>
          <w:rFonts w:hint="eastAsia" w:ascii="仿宋_GB2312" w:eastAsia="仿宋_GB2312"/>
          <w:sz w:val="28"/>
          <w:szCs w:val="28"/>
        </w:rPr>
        <w:t>小时不关机）和一个固定电话号码；</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）保证</w:t>
      </w:r>
      <w:r>
        <w:rPr>
          <w:rFonts w:hint="eastAsia" w:ascii="仿宋_GB2312" w:eastAsia="仿宋_GB2312"/>
          <w:sz w:val="28"/>
          <w:szCs w:val="28"/>
          <w:lang w:val="en-US" w:eastAsia="zh-CN"/>
        </w:rPr>
        <w:t>维保</w:t>
      </w:r>
      <w:r>
        <w:rPr>
          <w:rFonts w:hint="eastAsia" w:ascii="仿宋_GB2312" w:eastAsia="仿宋_GB2312"/>
          <w:sz w:val="28"/>
          <w:szCs w:val="28"/>
        </w:rPr>
        <w:t>服务期内所有维保仪器设备的单次故障停机时间不得超过一周。故障在通过电话、网络沟通指导后仍无法修复的，应派人赴现场修理。</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）在采购人通知的重要检测前有相应的故障防范措施，保证设备正常运行。</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）必须制定详细的维保计划，明确日常维护保养内容和时间表。</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6</w:t>
      </w:r>
      <w:r>
        <w:rPr>
          <w:rFonts w:hint="eastAsia" w:ascii="仿宋_GB2312" w:eastAsia="仿宋_GB2312"/>
          <w:sz w:val="28"/>
          <w:szCs w:val="28"/>
        </w:rPr>
        <w:t>）必须制定详细的维修保养操作工艺方法，明确零部件维修与更换的标准、仪器性能检测方法和维保成果的体现方式。</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ascii="仿宋_GB2312" w:eastAsia="仿宋_GB2312"/>
          <w:sz w:val="28"/>
          <w:szCs w:val="28"/>
        </w:rPr>
        <w:t>7</w:t>
      </w:r>
      <w:r>
        <w:rPr>
          <w:rFonts w:hint="eastAsia" w:ascii="仿宋_GB2312" w:eastAsia="仿宋_GB2312"/>
          <w:sz w:val="28"/>
          <w:szCs w:val="28"/>
        </w:rPr>
        <w:t>）</w:t>
      </w:r>
      <w:r>
        <w:rPr>
          <w:rFonts w:hint="eastAsia" w:ascii="仿宋_GB2312" w:eastAsia="仿宋_GB2312"/>
          <w:sz w:val="28"/>
          <w:szCs w:val="28"/>
          <w:lang w:val="en-US" w:eastAsia="zh-CN"/>
        </w:rPr>
        <w:t>维保方</w:t>
      </w:r>
      <w:r>
        <w:rPr>
          <w:rFonts w:hint="eastAsia" w:ascii="仿宋_GB2312" w:eastAsia="仿宋_GB2312"/>
          <w:sz w:val="28"/>
          <w:szCs w:val="28"/>
        </w:rPr>
        <w:t>必须提供维保服务组织实施方案，包括日常维护的组织、联系和协调、记录和报告、验收与确认；紧急抢修的通知、组织到达、现场协调、实施抢修、记录和报告、验收与确认；关键检测前的仪器故障防范、人员组织落实、措施方案。</w:t>
      </w:r>
    </w:p>
    <w:p>
      <w:pPr>
        <w:spacing w:line="500" w:lineRule="exact"/>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1.3.2维保技术要求</w:t>
      </w:r>
    </w:p>
    <w:p>
      <w:pPr>
        <w:spacing w:line="50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必须负责所维保的仪器技术指标达到设备铭牌和性能说明书标示技术功能和指标数值并满足国家或行业有关技术标准要求。</w:t>
      </w:r>
    </w:p>
    <w:p>
      <w:pPr>
        <w:spacing w:line="500" w:lineRule="exact"/>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定期和不定期检查测量仪器主要性能参数。</w:t>
      </w:r>
    </w:p>
    <w:p>
      <w:pPr>
        <w:spacing w:line="500" w:lineRule="exact"/>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按仪器操作使用手册规定定期和不定期检查维护。</w:t>
      </w:r>
    </w:p>
    <w:p>
      <w:pPr>
        <w:spacing w:line="500" w:lineRule="exact"/>
        <w:ind w:firstLine="560" w:firstLineChars="200"/>
        <w:rPr>
          <w:rFonts w:hint="default"/>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提供的常规维护保养工作一般在非公休假日的正常工作时间内进行。</w:t>
      </w:r>
    </w:p>
    <w:p>
      <w:pPr>
        <w:spacing w:line="500" w:lineRule="exact"/>
        <w:ind w:firstLine="562" w:firstLineChars="200"/>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1.3.3备件更换要求</w:t>
      </w:r>
    </w:p>
    <w:p>
      <w:pPr>
        <w:spacing w:line="50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（1）维护保养期内，如需更换新的易损件时，维保方应向采购人报送需更换的备件清单，经采购人同意批准后方可更换，</w:t>
      </w:r>
      <w:r>
        <w:rPr>
          <w:rFonts w:hint="eastAsia" w:ascii="仿宋_GB2312" w:eastAsia="仿宋_GB2312"/>
          <w:sz w:val="28"/>
          <w:szCs w:val="28"/>
        </w:rPr>
        <w:t>更换部件的需要在7天内完成安装，并能正常使用</w:t>
      </w:r>
      <w:r>
        <w:rPr>
          <w:rFonts w:hint="eastAsia" w:ascii="仿宋_GB2312" w:eastAsia="仿宋_GB2312"/>
          <w:sz w:val="28"/>
          <w:szCs w:val="28"/>
          <w:lang w:eastAsia="zh-CN"/>
        </w:rPr>
        <w:t>。</w:t>
      </w:r>
      <w:r>
        <w:rPr>
          <w:rFonts w:hint="eastAsia" w:ascii="仿宋_GB2312" w:eastAsia="仿宋_GB2312"/>
          <w:sz w:val="28"/>
          <w:szCs w:val="28"/>
        </w:rPr>
        <w:t>单价在</w:t>
      </w:r>
      <w:r>
        <w:rPr>
          <w:rFonts w:ascii="仿宋_GB2312" w:eastAsia="仿宋_GB2312"/>
          <w:sz w:val="28"/>
          <w:szCs w:val="28"/>
        </w:rPr>
        <w:t>500</w:t>
      </w:r>
      <w:r>
        <w:rPr>
          <w:rFonts w:hint="eastAsia" w:ascii="仿宋_GB2312" w:eastAsia="仿宋_GB2312"/>
          <w:sz w:val="28"/>
          <w:szCs w:val="28"/>
        </w:rPr>
        <w:t>元以内</w:t>
      </w:r>
      <w:r>
        <w:rPr>
          <w:rFonts w:hint="eastAsia" w:ascii="仿宋_GB2312" w:eastAsia="仿宋_GB2312"/>
          <w:sz w:val="28"/>
          <w:szCs w:val="28"/>
          <w:lang w:eastAsia="zh-CN"/>
        </w:rPr>
        <w:t>（</w:t>
      </w:r>
      <w:r>
        <w:rPr>
          <w:rFonts w:hint="eastAsia" w:ascii="仿宋_GB2312" w:eastAsia="仿宋_GB2312"/>
          <w:sz w:val="28"/>
          <w:szCs w:val="28"/>
          <w:lang w:val="en-US" w:eastAsia="zh-CN"/>
        </w:rPr>
        <w:t>含500元</w:t>
      </w:r>
      <w:r>
        <w:rPr>
          <w:rFonts w:hint="eastAsia" w:ascii="仿宋_GB2312" w:eastAsia="仿宋_GB2312"/>
          <w:sz w:val="28"/>
          <w:szCs w:val="28"/>
          <w:lang w:eastAsia="zh-CN"/>
        </w:rPr>
        <w:t>）</w:t>
      </w:r>
      <w:r>
        <w:rPr>
          <w:rFonts w:hint="eastAsia" w:ascii="仿宋_GB2312" w:eastAsia="仿宋_GB2312"/>
          <w:sz w:val="28"/>
          <w:szCs w:val="28"/>
        </w:rPr>
        <w:t>的直接更换不再额外收取费用</w:t>
      </w:r>
      <w:r>
        <w:rPr>
          <w:rFonts w:hint="eastAsia" w:ascii="仿宋_GB2312" w:eastAsia="仿宋_GB2312"/>
          <w:sz w:val="28"/>
          <w:szCs w:val="28"/>
          <w:lang w:eastAsia="zh-CN"/>
        </w:rPr>
        <w:t>。</w:t>
      </w:r>
      <w:r>
        <w:rPr>
          <w:rFonts w:hint="eastAsia" w:ascii="仿宋_GB2312" w:eastAsia="仿宋_GB2312"/>
          <w:sz w:val="28"/>
          <w:szCs w:val="28"/>
          <w:lang w:val="en-US" w:eastAsia="zh-CN"/>
        </w:rPr>
        <w:t>单价在500元以上的</w:t>
      </w:r>
      <w:r>
        <w:rPr>
          <w:rFonts w:hint="eastAsia" w:ascii="仿宋" w:hAnsi="仿宋" w:eastAsia="仿宋" w:cs="仿宋"/>
          <w:sz w:val="28"/>
          <w:szCs w:val="28"/>
          <w:lang w:val="en-US" w:eastAsia="zh-CN"/>
        </w:rPr>
        <w:t>备件按照易损件清单内的价格按需更换、按实结算。（易损件清单内的备件价格为更换备件的综合价格，含税、工时费、车辆费、工具费等所有费用。）清单之外（超500元的配件）由采购人提供，安装、维修由维保方承担，一般情况下工时费不另外支付</w:t>
      </w:r>
      <w:r>
        <w:rPr>
          <w:rFonts w:hint="eastAsia" w:ascii="仿宋_GB2312" w:eastAsia="仿宋_GB2312"/>
          <w:sz w:val="28"/>
          <w:szCs w:val="28"/>
          <w:lang w:val="en-US" w:eastAsia="zh-CN"/>
        </w:rPr>
        <w:t>，但若因维修工时超过24个工时，工时费双方协商解决。</w:t>
      </w:r>
    </w:p>
    <w:p>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u w:color="000000"/>
          <w:lang w:val="en-US" w:eastAsia="zh-CN" w:bidi="ar-SA"/>
        </w:rPr>
        <w:t>（2）日常</w:t>
      </w:r>
      <w:r>
        <w:rPr>
          <w:rFonts w:hint="eastAsia" w:ascii="仿宋" w:hAnsi="仿宋" w:eastAsia="仿宋" w:cs="仿宋"/>
          <w:sz w:val="28"/>
          <w:szCs w:val="28"/>
          <w:lang w:val="en-US" w:eastAsia="zh-CN"/>
        </w:rPr>
        <w:t>耗材需要更换前跟采购人进行确认，按照清单价格进行按实结算。</w:t>
      </w:r>
    </w:p>
    <w:p>
      <w:pPr>
        <w:spacing w:line="500" w:lineRule="exact"/>
        <w:ind w:firstLine="560" w:firstLineChars="200"/>
        <w:rPr>
          <w:rFonts w:hint="eastAsia" w:ascii="仿宋_GB2312" w:eastAsia="仿宋_GB2312"/>
          <w:b/>
          <w:bCs/>
          <w:sz w:val="28"/>
          <w:szCs w:val="28"/>
          <w:lang w:val="en-US" w:eastAsia="zh-CN"/>
        </w:rPr>
      </w:pPr>
      <w:r>
        <w:rPr>
          <w:rFonts w:hint="eastAsia" w:ascii="仿宋" w:hAnsi="仿宋" w:eastAsia="仿宋" w:cs="仿宋"/>
          <w:color w:val="000000"/>
          <w:kern w:val="0"/>
          <w:sz w:val="28"/>
          <w:szCs w:val="28"/>
          <w:u w:color="000000"/>
          <w:lang w:val="en-US" w:eastAsia="zh-CN" w:bidi="ar-SA"/>
        </w:rPr>
        <w:t>（3）在合同期内维保方进行的维修项目或更换的零部件（含软件版本），在合同到期时未满3个月的，维保方仍应继续履行维修服务质量保证期限，直至该维修项目或更换的零部件正常运行至3个月期满。</w:t>
      </w:r>
    </w:p>
    <w:p>
      <w:pPr>
        <w:spacing w:line="500" w:lineRule="exact"/>
        <w:ind w:firstLine="560" w:firstLineChars="200"/>
        <w:rPr>
          <w:rFonts w:hint="eastAsia" w:ascii="仿宋_GB2312" w:eastAsia="仿宋_GB2312"/>
          <w:b/>
          <w:bCs/>
          <w:sz w:val="28"/>
          <w:szCs w:val="28"/>
          <w:lang w:val="en-US" w:eastAsia="zh-CN"/>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）耗材安装要求</w:t>
      </w:r>
      <w:r>
        <w:rPr>
          <w:rFonts w:hint="eastAsia" w:ascii="仿宋_GB2312" w:eastAsia="仿宋_GB2312"/>
          <w:sz w:val="28"/>
          <w:szCs w:val="28"/>
          <w:lang w:eastAsia="zh-CN"/>
        </w:rPr>
        <w:t>：</w:t>
      </w:r>
      <w:r>
        <w:rPr>
          <w:rFonts w:hint="eastAsia" w:ascii="仿宋_GB2312" w:eastAsia="仿宋_GB2312"/>
          <w:sz w:val="28"/>
          <w:szCs w:val="28"/>
        </w:rPr>
        <w:t>设备耗材包含安装、培训等费用。</w:t>
      </w:r>
    </w:p>
    <w:p>
      <w:pPr>
        <w:spacing w:line="500" w:lineRule="exact"/>
        <w:ind w:firstLine="562" w:firstLineChars="200"/>
        <w:rPr>
          <w:rFonts w:hint="eastAsia" w:ascii="仿宋_GB2312" w:eastAsia="仿宋_GB2312"/>
          <w:sz w:val="28"/>
          <w:szCs w:val="28"/>
          <w:lang w:eastAsia="zh-CN"/>
        </w:rPr>
      </w:pPr>
      <w:r>
        <w:rPr>
          <w:rFonts w:hint="eastAsia" w:ascii="仿宋_GB2312" w:eastAsia="仿宋_GB2312"/>
          <w:b/>
          <w:bCs/>
          <w:sz w:val="28"/>
          <w:szCs w:val="28"/>
          <w:lang w:val="en-US" w:eastAsia="zh-CN"/>
        </w:rPr>
        <w:t>1.4</w:t>
      </w:r>
      <w:r>
        <w:rPr>
          <w:rFonts w:hint="eastAsia" w:ascii="仿宋_GB2312" w:eastAsia="仿宋_GB2312"/>
          <w:sz w:val="28"/>
          <w:szCs w:val="28"/>
          <w:lang w:eastAsia="zh-CN"/>
        </w:rPr>
        <w:t>维保方对采购人提供的所有业务技术资料、文档，有责任对第三方保密。</w:t>
      </w:r>
    </w:p>
    <w:p>
      <w:pPr>
        <w:pStyle w:val="22"/>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lang w:eastAsia="zh-CN"/>
        </w:rPr>
        <w:t>验收标准</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lang w:eastAsia="zh-CN"/>
        </w:rPr>
        <w:t>1</w:t>
      </w:r>
      <w:r>
        <w:rPr>
          <w:rFonts w:hint="eastAsia" w:ascii="仿宋" w:hAnsi="仿宋" w:eastAsia="仿宋" w:cs="仿宋"/>
          <w:sz w:val="28"/>
          <w:szCs w:val="28"/>
          <w:lang w:eastAsia="zh-CN"/>
        </w:rPr>
        <w:t>维保方在每次进行保养或维修服务时需要有采购人陪同，采购人对照维</w:t>
      </w:r>
      <w:r>
        <w:rPr>
          <w:rFonts w:hint="eastAsia" w:ascii="仿宋" w:hAnsi="仿宋" w:eastAsia="仿宋" w:cs="仿宋"/>
          <w:sz w:val="28"/>
          <w:szCs w:val="28"/>
          <w:lang w:val="en-US" w:eastAsia="zh-CN"/>
        </w:rPr>
        <w:t>保方案现场检查项目是否符合采购人要求，双方在维保确认单及更换备件确认单上签字确认后验收合格。</w:t>
      </w:r>
    </w:p>
    <w:p>
      <w:pPr>
        <w:pStyle w:val="22"/>
        <w:pageBreakBefore w:val="0"/>
        <w:kinsoku/>
        <w:wordWrap/>
        <w:topLinePunct w:val="0"/>
        <w:bidi w:val="0"/>
        <w:snapToGrid w:val="0"/>
        <w:spacing w:line="360" w:lineRule="auto"/>
        <w:ind w:firstLine="60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1.5.2易损备件产品质量要求：要求保证为正品，附带产品合格证。产品外包装上应有生产厂名、产品名称、商标、标志。</w:t>
      </w:r>
    </w:p>
    <w:p>
      <w:pPr>
        <w:spacing w:line="500" w:lineRule="exact"/>
        <w:ind w:firstLine="562" w:firstLineChars="200"/>
        <w:rPr>
          <w:rFonts w:hint="eastAsia" w:ascii="仿宋" w:hAnsi="仿宋" w:eastAsia="仿宋" w:cs="仿宋"/>
          <w:b/>
          <w:bCs/>
          <w:color w:val="000000"/>
          <w:kern w:val="0"/>
          <w:sz w:val="28"/>
          <w:szCs w:val="28"/>
          <w:u w:color="000000"/>
          <w:lang w:val="en-US" w:eastAsia="zh-CN" w:bidi="ar-SA"/>
        </w:rPr>
      </w:pPr>
      <w:r>
        <w:rPr>
          <w:rFonts w:hint="eastAsia" w:ascii="仿宋" w:hAnsi="仿宋" w:eastAsia="仿宋" w:cs="仿宋"/>
          <w:b/>
          <w:bCs/>
          <w:color w:val="000000"/>
          <w:kern w:val="0"/>
          <w:sz w:val="28"/>
          <w:szCs w:val="28"/>
          <w:u w:color="000000"/>
          <w:lang w:val="en-US" w:eastAsia="zh-CN" w:bidi="ar-SA"/>
        </w:rPr>
        <w:t>1.6维保费用计算方式</w:t>
      </w:r>
    </w:p>
    <w:p>
      <w:pPr>
        <w:spacing w:line="500" w:lineRule="exact"/>
        <w:ind w:firstLine="562"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b/>
          <w:bCs/>
          <w:color w:val="000000"/>
          <w:kern w:val="0"/>
          <w:sz w:val="28"/>
          <w:szCs w:val="28"/>
          <w:u w:color="000000"/>
          <w:lang w:val="en-US" w:eastAsia="zh-CN" w:bidi="ar-SA"/>
        </w:rPr>
        <w:t>1.6.1</w:t>
      </w:r>
      <w:r>
        <w:rPr>
          <w:rFonts w:hint="eastAsia" w:ascii="仿宋" w:hAnsi="仿宋" w:eastAsia="仿宋" w:cs="仿宋"/>
          <w:color w:val="000000"/>
          <w:kern w:val="0"/>
          <w:sz w:val="28"/>
          <w:szCs w:val="28"/>
          <w:u w:color="000000"/>
          <w:lang w:val="en-US" w:eastAsia="zh-CN" w:bidi="ar-SA"/>
        </w:rPr>
        <w:t>按实际维</w:t>
      </w:r>
      <w:r>
        <w:rPr>
          <w:rFonts w:hint="eastAsia" w:ascii="仿宋" w:hAnsi="仿宋" w:eastAsia="仿宋" w:cs="仿宋"/>
          <w:sz w:val="28"/>
          <w:szCs w:val="28"/>
        </w:rPr>
        <w:t>保次数支付维保费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备件</w:t>
      </w:r>
      <w:r>
        <w:rPr>
          <w:rFonts w:hint="eastAsia" w:ascii="仿宋" w:hAnsi="仿宋" w:eastAsia="仿宋" w:cs="仿宋"/>
          <w:sz w:val="28"/>
          <w:szCs w:val="28"/>
          <w:lang w:eastAsia="zh-CN"/>
        </w:rPr>
        <w:t>维修费用以备件（</w:t>
      </w:r>
      <w:r>
        <w:rPr>
          <w:rFonts w:hint="eastAsia" w:ascii="仿宋" w:hAnsi="仿宋" w:eastAsia="仿宋" w:cs="仿宋"/>
          <w:sz w:val="28"/>
          <w:szCs w:val="28"/>
          <w:lang w:val="en-US" w:eastAsia="zh-CN"/>
        </w:rPr>
        <w:t>单价500</w:t>
      </w:r>
      <w:r>
        <w:rPr>
          <w:rFonts w:hint="eastAsia" w:ascii="仿宋" w:hAnsi="仿宋" w:eastAsia="仿宋" w:cs="仿宋"/>
          <w:color w:val="000000"/>
          <w:kern w:val="0"/>
          <w:sz w:val="28"/>
          <w:szCs w:val="28"/>
          <w:u w:color="000000"/>
          <w:lang w:val="en-US" w:eastAsia="zh-CN" w:bidi="ar-SA"/>
        </w:rPr>
        <w:t>元以上）单项单价为结算依据，按实结算；</w:t>
      </w:r>
    </w:p>
    <w:p>
      <w:pPr>
        <w:spacing w:line="50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color w:val="000000"/>
          <w:kern w:val="0"/>
          <w:sz w:val="28"/>
          <w:szCs w:val="28"/>
          <w:u w:color="000000"/>
          <w:lang w:val="en-US" w:eastAsia="zh-CN" w:bidi="ar-SA"/>
        </w:rPr>
        <w:t>1.6.2维保费包含了所有工时费、技术服务费、检测调试费、交通费、工具费、运输费、管理费、税费等</w:t>
      </w:r>
      <w:r>
        <w:rPr>
          <w:rFonts w:hint="eastAsia" w:ascii="仿宋" w:hAnsi="仿宋" w:eastAsia="仿宋" w:cs="仿宋"/>
          <w:b w:val="0"/>
          <w:bCs w:val="0"/>
          <w:sz w:val="28"/>
          <w:szCs w:val="28"/>
          <w:lang w:val="en-US" w:eastAsia="zh-CN"/>
        </w:rPr>
        <w:t>维保过程中产生的一切费用。</w:t>
      </w:r>
    </w:p>
    <w:p>
      <w:pPr>
        <w:pStyle w:val="2"/>
        <w:rPr>
          <w:rFonts w:hint="eastAsia"/>
          <w:lang w:val="en-US" w:eastAsia="zh-CN"/>
        </w:rPr>
      </w:pPr>
    </w:p>
    <w:p>
      <w:pPr>
        <w:pageBreakBefore w:val="0"/>
        <w:kinsoku/>
        <w:wordWrap/>
        <w:topLinePunct w:val="0"/>
        <w:bidi w:val="0"/>
        <w:spacing w:line="360" w:lineRule="auto"/>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二、付款方式</w:t>
      </w:r>
    </w:p>
    <w:p>
      <w:pPr>
        <w:pageBreakBefore w:val="0"/>
        <w:kinsoku/>
        <w:wordWrap/>
        <w:topLinePunct w:val="0"/>
        <w:bidi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每3个月为一个付款周期</w:t>
      </w:r>
      <w:r>
        <w:rPr>
          <w:rFonts w:hint="eastAsia" w:ascii="仿宋" w:hAnsi="仿宋" w:eastAsia="仿宋" w:cs="仿宋"/>
          <w:b w:val="0"/>
          <w:bCs w:val="0"/>
          <w:kern w:val="2"/>
          <w:sz w:val="28"/>
          <w:szCs w:val="28"/>
          <w:lang w:val="en-US" w:eastAsia="zh-CN" w:bidi="ar-SA"/>
        </w:rPr>
        <w:t>，第四个月的时候支付前一个付款周期款项。</w:t>
      </w:r>
      <w:r>
        <w:rPr>
          <w:rFonts w:hint="eastAsia" w:ascii="仿宋" w:hAnsi="仿宋" w:eastAsia="仿宋" w:cs="仿宋"/>
          <w:kern w:val="2"/>
          <w:sz w:val="28"/>
          <w:szCs w:val="28"/>
          <w:lang w:val="en-US" w:eastAsia="zh-CN" w:bidi="ar-SA"/>
        </w:rPr>
        <w:t>采购人提供经双方确认的服务清单及增值税专用发票，采购人自收到准确清单和发票后，于30天内完成费用支付。</w:t>
      </w:r>
    </w:p>
    <w:p>
      <w:pPr>
        <w:pStyle w:val="3"/>
        <w:pageBreakBefore w:val="0"/>
        <w:numPr>
          <w:ilvl w:val="0"/>
          <w:numId w:val="0"/>
        </w:numPr>
        <w:kinsoku/>
        <w:wordWrap/>
        <w:topLinePunct w:val="0"/>
        <w:bidi w:val="0"/>
        <w:spacing w:line="360" w:lineRule="auto"/>
        <w:jc w:val="center"/>
        <w:rPr>
          <w:rFonts w:hint="eastAsia" w:ascii="仿宋" w:hAnsi="仿宋" w:eastAsia="仿宋" w:cs="仿宋"/>
          <w:snapToGrid w:val="0"/>
          <w:sz w:val="44"/>
          <w:szCs w:val="44"/>
        </w:rPr>
      </w:pPr>
      <w:bookmarkStart w:id="10" w:name="_Toc530583924"/>
      <w:r>
        <w:rPr>
          <w:rFonts w:hint="eastAsia" w:ascii="仿宋" w:hAnsi="仿宋" w:eastAsia="仿宋" w:cs="仿宋"/>
          <w:color w:val="auto"/>
          <w:kern w:val="2"/>
          <w:sz w:val="28"/>
          <w:szCs w:val="28"/>
          <w:lang w:val="en-US" w:eastAsia="zh-CN" w:bidi="ar-SA"/>
        </w:rPr>
        <w:br w:type="page"/>
      </w:r>
      <w:r>
        <w:rPr>
          <w:rFonts w:hint="eastAsia" w:ascii="仿宋" w:hAnsi="仿宋" w:eastAsia="仿宋" w:cs="仿宋"/>
          <w:snapToGrid w:val="0"/>
          <w:sz w:val="44"/>
          <w:szCs w:val="44"/>
        </w:rPr>
        <w:t>第四部分    报价文件格式</w:t>
      </w:r>
      <w:bookmarkEnd w:id="10"/>
    </w:p>
    <w:p>
      <w:pPr>
        <w:pageBreakBefore w:val="0"/>
        <w:kinsoku/>
        <w:wordWrap/>
        <w:topLinePunct w:val="0"/>
        <w:bidi w:val="0"/>
        <w:spacing w:line="360" w:lineRule="auto"/>
        <w:jc w:val="left"/>
        <w:rPr>
          <w:rFonts w:hint="eastAsia" w:ascii="仿宋" w:hAnsi="仿宋" w:eastAsia="仿宋" w:cs="仿宋"/>
          <w:b/>
          <w:sz w:val="28"/>
        </w:rPr>
      </w:pPr>
      <w:r>
        <w:rPr>
          <w:rStyle w:val="23"/>
          <w:rFonts w:hint="eastAsia" w:ascii="仿宋" w:hAnsi="仿宋" w:eastAsia="仿宋" w:cs="仿宋"/>
          <w:sz w:val="30"/>
        </w:rPr>
        <w:t>附件一：</w:t>
      </w:r>
    </w:p>
    <w:p>
      <w:pPr>
        <w:pageBreakBefore w:val="0"/>
        <w:kinsoku/>
        <w:wordWrap/>
        <w:topLinePunct w:val="0"/>
        <w:bidi w:val="0"/>
        <w:spacing w:line="360" w:lineRule="auto"/>
        <w:jc w:val="right"/>
        <w:rPr>
          <w:rFonts w:hint="eastAsia" w:ascii="仿宋" w:hAnsi="仿宋" w:eastAsia="仿宋" w:cs="仿宋"/>
          <w:sz w:val="32"/>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jc w:val="center"/>
        <w:rPr>
          <w:rFonts w:hint="eastAsia" w:ascii="仿宋" w:hAnsi="仿宋" w:eastAsia="仿宋" w:cs="仿宋"/>
          <w:sz w:val="52"/>
        </w:rPr>
      </w:pPr>
      <w:r>
        <w:rPr>
          <w:rFonts w:hint="eastAsia" w:ascii="仿宋" w:hAnsi="仿宋" w:eastAsia="仿宋" w:cs="仿宋"/>
          <w:sz w:val="52"/>
          <w:lang w:val="en-US" w:eastAsia="zh-CN"/>
        </w:rPr>
        <w:t>2023年临江公司三固事业部化验室设备维保服务</w:t>
      </w:r>
      <w:r>
        <w:rPr>
          <w:rFonts w:hint="eastAsia" w:ascii="仿宋" w:hAnsi="仿宋" w:eastAsia="仿宋" w:cs="仿宋"/>
          <w:sz w:val="52"/>
        </w:rPr>
        <w:t>采购项目</w:t>
      </w:r>
    </w:p>
    <w:p>
      <w:pPr>
        <w:pageBreakBefore w:val="0"/>
        <w:kinsoku/>
        <w:wordWrap/>
        <w:topLinePunct w:val="0"/>
        <w:bidi w:val="0"/>
        <w:spacing w:line="360" w:lineRule="auto"/>
        <w:jc w:val="center"/>
        <w:rPr>
          <w:rFonts w:hint="default" w:ascii="仿宋" w:hAnsi="仿宋" w:eastAsia="仿宋" w:cs="仿宋"/>
          <w:sz w:val="52"/>
          <w:lang w:val="en-US" w:eastAsia="zh-CN"/>
        </w:rPr>
      </w:pPr>
    </w:p>
    <w:p>
      <w:pPr>
        <w:pageBreakBefore w:val="0"/>
        <w:kinsoku/>
        <w:wordWrap/>
        <w:topLinePunct w:val="0"/>
        <w:bidi w:val="0"/>
        <w:spacing w:line="360" w:lineRule="auto"/>
        <w:jc w:val="center"/>
        <w:rPr>
          <w:rFonts w:hint="default" w:ascii="仿宋" w:hAnsi="仿宋" w:eastAsia="仿宋" w:cs="仿宋"/>
          <w:sz w:val="36"/>
          <w:highlight w:val="none"/>
          <w:lang w:val="en-US" w:eastAsia="zh-CN"/>
        </w:rPr>
      </w:pPr>
      <w:r>
        <w:rPr>
          <w:rFonts w:hint="eastAsia" w:ascii="仿宋" w:hAnsi="仿宋" w:eastAsia="仿宋" w:cs="仿宋"/>
          <w:sz w:val="36"/>
          <w:highlight w:val="none"/>
        </w:rPr>
        <w:t>采购编号：</w:t>
      </w:r>
      <w:r>
        <w:rPr>
          <w:rFonts w:hint="default" w:ascii="仿宋" w:hAnsi="仿宋" w:eastAsia="仿宋" w:cs="仿宋"/>
          <w:sz w:val="36"/>
          <w:highlight w:val="none"/>
          <w:lang w:val="en-US" w:eastAsia="zh-CN"/>
        </w:rPr>
        <w:t>20230</w:t>
      </w:r>
      <w:r>
        <w:rPr>
          <w:rFonts w:hint="eastAsia" w:ascii="仿宋" w:hAnsi="仿宋" w:eastAsia="仿宋" w:cs="仿宋"/>
          <w:sz w:val="36"/>
          <w:highlight w:val="none"/>
          <w:lang w:val="en-US" w:eastAsia="zh-CN"/>
        </w:rPr>
        <w:t>5003</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pacing w:line="360" w:lineRule="auto"/>
        <w:jc w:val="center"/>
        <w:rPr>
          <w:rFonts w:hint="eastAsia" w:ascii="仿宋" w:hAnsi="仿宋" w:eastAsia="仿宋" w:cs="仿宋"/>
          <w:sz w:val="84"/>
        </w:rPr>
      </w:pPr>
      <w:r>
        <w:rPr>
          <w:rFonts w:hint="eastAsia" w:ascii="仿宋" w:hAnsi="仿宋" w:eastAsia="仿宋" w:cs="仿宋"/>
          <w:sz w:val="84"/>
        </w:rPr>
        <w:t>报价文件</w:t>
      </w: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both"/>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36"/>
        </w:rPr>
      </w:pPr>
      <w:r>
        <w:rPr>
          <w:rFonts w:hint="eastAsia" w:ascii="仿宋" w:hAnsi="仿宋" w:eastAsia="仿宋" w:cs="仿宋"/>
          <w:sz w:val="36"/>
        </w:rPr>
        <w:t>报价单位全称</w:t>
      </w:r>
    </w:p>
    <w:p>
      <w:pPr>
        <w:pageBreakBefore w:val="0"/>
        <w:kinsoku/>
        <w:wordWrap/>
        <w:topLinePunct w:val="0"/>
        <w:bidi w:val="0"/>
        <w:spacing w:line="360" w:lineRule="auto"/>
        <w:ind w:firstLine="3240" w:firstLineChars="900"/>
        <w:rPr>
          <w:rStyle w:val="23"/>
          <w:rFonts w:hint="eastAsia" w:ascii="仿宋" w:hAnsi="仿宋" w:eastAsia="仿宋" w:cs="仿宋"/>
          <w:sz w:val="30"/>
        </w:rPr>
      </w:pPr>
      <w:r>
        <w:rPr>
          <w:rFonts w:hint="eastAsia" w:ascii="仿宋" w:hAnsi="仿宋" w:eastAsia="仿宋" w:cs="仿宋"/>
          <w:sz w:val="36"/>
          <w:lang w:val="en-US" w:eastAsia="zh-CN"/>
        </w:rPr>
        <w:t>2023年五</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23"/>
          <w:rFonts w:hint="eastAsia" w:ascii="仿宋" w:hAnsi="仿宋" w:eastAsia="仿宋" w:cs="仿宋"/>
          <w:sz w:val="30"/>
        </w:rPr>
        <w:br w:type="page"/>
      </w:r>
      <w:r>
        <w:rPr>
          <w:rStyle w:val="23"/>
          <w:rFonts w:hint="eastAsia" w:ascii="仿宋" w:hAnsi="仿宋" w:eastAsia="仿宋" w:cs="仿宋"/>
          <w:sz w:val="30"/>
        </w:rPr>
        <w:t>附件二</w:t>
      </w:r>
    </w:p>
    <w:p>
      <w:pPr>
        <w:pageBreakBefore w:val="0"/>
        <w:kinsoku/>
        <w:wordWrap/>
        <w:topLinePunct w:val="0"/>
        <w:bidi w:val="0"/>
        <w:spacing w:line="360" w:lineRule="auto"/>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pageBreakBefore w:val="0"/>
        <w:kinsoku/>
        <w:wordWrap/>
        <w:topLinePunct w:val="0"/>
        <w:bidi w:val="0"/>
        <w:spacing w:line="360" w:lineRule="auto"/>
        <w:ind w:left="540" w:leftChars="257" w:firstLine="2920" w:firstLineChars="808"/>
        <w:rPr>
          <w:rFonts w:hint="eastAsia" w:ascii="仿宋" w:hAnsi="仿宋" w:eastAsia="仿宋" w:cs="仿宋"/>
          <w:b/>
          <w:sz w:val="36"/>
        </w:rPr>
      </w:pPr>
    </w:p>
    <w:p>
      <w:pPr>
        <w:pageBreakBefore w:val="0"/>
        <w:kinsoku/>
        <w:wordWrap/>
        <w:topLinePunct w:val="0"/>
        <w:bidi w:val="0"/>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pageBreakBefore w:val="0"/>
        <w:kinsoku/>
        <w:wordWrap/>
        <w:topLinePunct w:val="0"/>
        <w:bidi w:val="0"/>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eastAsia="zh-CN"/>
        </w:rPr>
        <w:t>2023年临江公司三固事业部化验室设备维保服务</w:t>
      </w:r>
      <w:r>
        <w:rPr>
          <w:rFonts w:hint="eastAsia" w:ascii="仿宋" w:hAnsi="仿宋" w:eastAsia="仿宋" w:cs="仿宋"/>
          <w:sz w:val="30"/>
          <w:u w:val="single"/>
          <w:lang w:eastAsia="zh-CN"/>
        </w:rPr>
        <w:t>采购</w:t>
      </w:r>
      <w:r>
        <w:rPr>
          <w:rFonts w:hint="eastAsia" w:ascii="仿宋" w:hAnsi="仿宋" w:eastAsia="仿宋" w:cs="仿宋"/>
          <w:sz w:val="30"/>
          <w:u w:val="single"/>
        </w:rPr>
        <w:t>(</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w:t>
      </w:r>
      <w:r>
        <w:rPr>
          <w:rFonts w:hint="eastAsia" w:ascii="仿宋" w:hAnsi="仿宋" w:eastAsia="仿宋" w:cs="仿宋"/>
          <w:sz w:val="30"/>
          <w:u w:val="single"/>
          <w:lang w:val="en-US" w:eastAsia="zh-CN"/>
        </w:rPr>
        <w:t>5003</w:t>
      </w:r>
      <w:bookmarkStart w:id="16" w:name="_GoBack"/>
      <w:bookmarkEnd w:id="16"/>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lang w:val="en-US" w:eastAsia="zh-CN"/>
        </w:rPr>
        <w:t xml:space="preserve">    </w:t>
      </w:r>
      <w:r>
        <w:rPr>
          <w:rFonts w:hint="eastAsia" w:ascii="仿宋" w:hAnsi="仿宋" w:eastAsia="仿宋" w:cs="仿宋"/>
          <w:sz w:val="30"/>
        </w:rPr>
        <w:t>。</w:t>
      </w:r>
    </w:p>
    <w:p>
      <w:pPr>
        <w:pageBreakBefore w:val="0"/>
        <w:kinsoku/>
        <w:wordWrap/>
        <w:topLinePunct w:val="0"/>
        <w:bidi w:val="0"/>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pageBreakBefore w:val="0"/>
        <w:kinsoku/>
        <w:wordWrap/>
        <w:topLinePunct w:val="0"/>
        <w:bidi w:val="0"/>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pageBreakBefore w:val="0"/>
        <w:kinsoku/>
        <w:wordWrap/>
        <w:topLinePunct w:val="0"/>
        <w:bidi w:val="0"/>
        <w:spacing w:line="360" w:lineRule="auto"/>
        <w:ind w:left="540" w:firstLine="30"/>
        <w:jc w:val="left"/>
        <w:rPr>
          <w:rFonts w:hint="eastAsia" w:ascii="仿宋" w:hAnsi="仿宋" w:eastAsia="仿宋" w:cs="仿宋"/>
          <w:snapToGrid w:val="0"/>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pageBreakBefore w:val="0"/>
        <w:kinsoku/>
        <w:wordWrap/>
        <w:topLinePunct w:val="0"/>
        <w:bidi w:val="0"/>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pageBreakBefore w:val="0"/>
        <w:kinsoku/>
        <w:wordWrap/>
        <w:topLinePunct w:val="0"/>
        <w:bidi w:val="0"/>
        <w:adjustRightInd w:val="0"/>
        <w:snapToGrid w:val="0"/>
        <w:spacing w:line="360" w:lineRule="auto"/>
        <w:ind w:right="480"/>
        <w:jc w:val="left"/>
        <w:rPr>
          <w:rStyle w:val="23"/>
          <w:rFonts w:hint="eastAsia" w:ascii="仿宋" w:hAnsi="仿宋" w:eastAsia="仿宋" w:cs="仿宋"/>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23"/>
          <w:rFonts w:hint="eastAsia" w:ascii="仿宋" w:hAnsi="仿宋" w:eastAsia="仿宋" w:cs="仿宋"/>
          <w:sz w:val="30"/>
        </w:rPr>
      </w:pPr>
      <w:r>
        <w:rPr>
          <w:rStyle w:val="23"/>
          <w:rFonts w:hint="eastAsia" w:ascii="仿宋" w:hAnsi="仿宋" w:eastAsia="仿宋" w:cs="仿宋"/>
          <w:sz w:val="30"/>
        </w:rPr>
        <w:t xml:space="preserve">附件三  </w:t>
      </w:r>
    </w:p>
    <w:p>
      <w:pPr>
        <w:pageBreakBefore w:val="0"/>
        <w:kinsoku/>
        <w:wordWrap/>
        <w:topLinePunct w:val="0"/>
        <w:bidi w:val="0"/>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4"/>
        <w:pageBreakBefore w:val="0"/>
        <w:kinsoku/>
        <w:wordWrap/>
        <w:topLinePunct w:val="0"/>
        <w:bidi w:val="0"/>
        <w:snapToGrid w:val="0"/>
        <w:spacing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杭州临江环境能源有限公司：</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 xml:space="preserve">根据贵单位询价文件要求，参加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2023年临江公司三固事业部化验室设备维保服务</w:t>
      </w:r>
      <w:r>
        <w:rPr>
          <w:rFonts w:hint="eastAsia" w:ascii="仿宋" w:hAnsi="仿宋" w:eastAsia="仿宋" w:cs="仿宋"/>
          <w:sz w:val="28"/>
          <w:szCs w:val="28"/>
          <w:u w:val="single"/>
          <w:lang w:eastAsia="zh-CN"/>
        </w:rPr>
        <w:t>采购，</w:t>
      </w:r>
      <w:r>
        <w:rPr>
          <w:rFonts w:hint="eastAsia" w:ascii="仿宋" w:hAnsi="仿宋" w:eastAsia="仿宋" w:cs="仿宋"/>
          <w:sz w:val="28"/>
          <w:szCs w:val="28"/>
          <w:lang w:eastAsia="zh-CN"/>
        </w:rPr>
        <w:t>总限额为</w:t>
      </w:r>
      <w:r>
        <w:rPr>
          <w:rFonts w:hint="eastAsia" w:ascii="仿宋" w:hAnsi="仿宋" w:eastAsia="仿宋" w:cs="仿宋"/>
          <w:sz w:val="28"/>
          <w:szCs w:val="28"/>
          <w:highlight w:val="none"/>
          <w:u w:val="single"/>
          <w:lang w:val="en-US" w:eastAsia="zh-CN"/>
        </w:rPr>
        <w:t xml:space="preserve"> 25 </w:t>
      </w:r>
      <w:r>
        <w:rPr>
          <w:rFonts w:hint="eastAsia" w:ascii="仿宋" w:hAnsi="仿宋" w:eastAsia="仿宋" w:cs="仿宋"/>
          <w:sz w:val="28"/>
          <w:szCs w:val="28"/>
          <w:highlight w:val="none"/>
          <w:lang w:val="en-US" w:eastAsia="zh-CN"/>
        </w:rPr>
        <w:t>万</w:t>
      </w:r>
      <w:r>
        <w:rPr>
          <w:rFonts w:hint="eastAsia" w:ascii="仿宋" w:hAnsi="仿宋" w:eastAsia="仿宋" w:cs="仿宋"/>
          <w:sz w:val="28"/>
          <w:szCs w:val="28"/>
          <w:lang w:val="en-US" w:eastAsia="zh-CN"/>
        </w:rPr>
        <w:t>元，本次</w:t>
      </w:r>
      <w:r>
        <w:rPr>
          <w:rFonts w:hint="eastAsia" w:ascii="仿宋" w:hAnsi="仿宋" w:eastAsia="仿宋" w:cs="仿宋"/>
          <w:sz w:val="28"/>
          <w:szCs w:val="28"/>
        </w:rPr>
        <w:t>报价</w:t>
      </w:r>
      <w:r>
        <w:rPr>
          <w:rFonts w:hint="eastAsia" w:ascii="仿宋" w:hAnsi="仿宋" w:eastAsia="仿宋" w:cs="仿宋"/>
          <w:sz w:val="28"/>
          <w:szCs w:val="28"/>
          <w:lang w:eastAsia="zh-CN"/>
        </w:rPr>
        <w:t>总金额为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元，具体</w:t>
      </w:r>
      <w:r>
        <w:rPr>
          <w:rFonts w:hint="eastAsia" w:ascii="仿宋" w:hAnsi="仿宋" w:eastAsia="仿宋" w:cs="仿宋"/>
          <w:sz w:val="28"/>
          <w:szCs w:val="28"/>
        </w:rPr>
        <w:t>如下</w:t>
      </w:r>
      <w:r>
        <w:rPr>
          <w:rFonts w:hint="eastAsia" w:ascii="仿宋" w:hAnsi="仿宋" w:eastAsia="仿宋" w:cs="仿宋"/>
          <w:sz w:val="28"/>
          <w:szCs w:val="28"/>
          <w:lang w:eastAsia="zh-CN"/>
        </w:rPr>
        <w:t>：</w:t>
      </w:r>
    </w:p>
    <w:tbl>
      <w:tblPr>
        <w:tblStyle w:val="17"/>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336"/>
        <w:gridCol w:w="894"/>
        <w:gridCol w:w="1087"/>
        <w:gridCol w:w="1100"/>
        <w:gridCol w:w="713"/>
        <w:gridCol w:w="3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序号</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类别</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次数</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单价（元）</w:t>
            </w: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总价（元）</w:t>
            </w:r>
          </w:p>
        </w:tc>
        <w:tc>
          <w:tcPr>
            <w:tcW w:w="7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税率</w:t>
            </w:r>
          </w:p>
        </w:tc>
        <w:tc>
          <w:tcPr>
            <w:tcW w:w="32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常规检查</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6次</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713"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13%</w:t>
            </w:r>
          </w:p>
        </w:tc>
        <w:tc>
          <w:tcPr>
            <w:tcW w:w="32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具体内容详见第三部分询价内容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2</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设备易损件</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w:t>
            </w: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713"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13%</w:t>
            </w:r>
          </w:p>
        </w:tc>
        <w:tc>
          <w:tcPr>
            <w:tcW w:w="3271"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详见附件五清单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09" w:type="dxa"/>
            <w:gridSpan w:val="7"/>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合计：     元</w:t>
            </w:r>
          </w:p>
        </w:tc>
      </w:tr>
    </w:tbl>
    <w:p>
      <w:pPr>
        <w:pStyle w:val="22"/>
        <w:pageBreakBefore w:val="0"/>
        <w:kinsoku/>
        <w:wordWrap/>
        <w:topLinePunct w:val="0"/>
        <w:bidi w:val="0"/>
        <w:snapToGrid w:val="0"/>
        <w:spacing w:line="360" w:lineRule="auto"/>
        <w:ind w:left="0" w:leftChars="0" w:firstLine="0" w:firstLineChars="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p>
      <w:pPr>
        <w:pStyle w:val="22"/>
        <w:pageBreakBefore w:val="0"/>
        <w:numPr>
          <w:ilvl w:val="0"/>
          <w:numId w:val="0"/>
        </w:numPr>
        <w:kinsoku/>
        <w:wordWrap/>
        <w:topLinePunct w:val="0"/>
        <w:bidi w:val="0"/>
        <w:snapToGrid w:val="0"/>
        <w:spacing w:line="360" w:lineRule="auto"/>
        <w:ind w:left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1.根据实际发生的维保次数结算费用。维保服务期限为1年，在服务期限内价格不做调整。</w:t>
      </w:r>
    </w:p>
    <w:p>
      <w:pPr>
        <w:pStyle w:val="22"/>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2.维保费单价包含了技术服务费、检测调试费、交通费、工具费、运输费、管理费、工时费、税费等维保过程中产生的一切费用。</w:t>
      </w:r>
    </w:p>
    <w:p>
      <w:pPr>
        <w:rPr>
          <w:rFonts w:hint="eastAsia"/>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ageBreakBefore w:val="0"/>
        <w:kinsoku/>
        <w:wordWrap/>
        <w:topLinePunct w:val="0"/>
        <w:bidi w:val="0"/>
        <w:spacing w:line="360" w:lineRule="auto"/>
        <w:jc w:val="left"/>
        <w:rPr>
          <w:rStyle w:val="23"/>
          <w:rFonts w:hint="eastAsia" w:ascii="仿宋" w:hAnsi="仿宋" w:eastAsia="仿宋" w:cs="仿宋"/>
          <w:sz w:val="30"/>
        </w:rPr>
      </w:pPr>
      <w:bookmarkStart w:id="11" w:name="_Toc108839328"/>
      <w:bookmarkStart w:id="12" w:name="_Toc103165678"/>
    </w:p>
    <w:p>
      <w:pPr>
        <w:pageBreakBefore w:val="0"/>
        <w:kinsoku/>
        <w:wordWrap/>
        <w:topLinePunct w:val="0"/>
        <w:bidi w:val="0"/>
        <w:spacing w:line="360" w:lineRule="auto"/>
        <w:jc w:val="left"/>
        <w:rPr>
          <w:rFonts w:hint="eastAsia" w:ascii="仿宋" w:hAnsi="仿宋" w:eastAsia="仿宋" w:cs="仿宋"/>
          <w:b/>
          <w:spacing w:val="-2"/>
          <w:sz w:val="30"/>
        </w:rPr>
      </w:pPr>
      <w:r>
        <w:rPr>
          <w:rStyle w:val="23"/>
          <w:rFonts w:hint="eastAsia" w:ascii="仿宋" w:hAnsi="仿宋" w:eastAsia="仿宋" w:cs="仿宋"/>
          <w:sz w:val="30"/>
        </w:rPr>
        <w:t>附件</w:t>
      </w:r>
      <w:bookmarkEnd w:id="11"/>
      <w:bookmarkEnd w:id="12"/>
      <w:r>
        <w:rPr>
          <w:rStyle w:val="23"/>
          <w:rFonts w:hint="eastAsia" w:ascii="仿宋" w:hAnsi="仿宋" w:eastAsia="仿宋" w:cs="仿宋"/>
          <w:sz w:val="30"/>
        </w:rPr>
        <w:t>四</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center"/>
        <w:rPr>
          <w:rFonts w:hint="eastAsia" w:ascii="仿宋" w:hAnsi="仿宋" w:eastAsia="仿宋" w:cs="仿宋"/>
          <w:b/>
          <w:bCs/>
          <w:sz w:val="30"/>
          <w:szCs w:val="22"/>
        </w:rPr>
      </w:pPr>
      <w:r>
        <w:rPr>
          <w:rFonts w:hint="eastAsia" w:ascii="仿宋" w:hAnsi="仿宋" w:eastAsia="仿宋" w:cs="仿宋"/>
          <w:b/>
          <w:bCs/>
          <w:sz w:val="30"/>
          <w:szCs w:val="22"/>
        </w:rPr>
        <w:t>服务质量保证承诺函</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杭州临江环境能源有限公司：</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自愿参加杭州临江环境能源有限公司</w:t>
      </w:r>
      <w:r>
        <w:rPr>
          <w:rFonts w:hint="eastAsia" w:ascii="仿宋" w:hAnsi="仿宋" w:eastAsia="仿宋" w:cs="仿宋"/>
          <w:sz w:val="30"/>
          <w:szCs w:val="22"/>
          <w:lang w:val="en-US" w:eastAsia="zh-CN"/>
        </w:rPr>
        <w:t xml:space="preserve"> </w:t>
      </w:r>
      <w:r>
        <w:rPr>
          <w:rFonts w:hint="eastAsia" w:ascii="仿宋" w:hAnsi="仿宋" w:eastAsia="仿宋" w:cs="仿宋"/>
          <w:sz w:val="30"/>
          <w:szCs w:val="22"/>
          <w:u w:val="single"/>
          <w:lang w:val="en-US" w:eastAsia="zh-CN"/>
        </w:rPr>
        <w:t xml:space="preserve">  2023年临江公司三固事业部化验室设备维保服务采购 </w:t>
      </w:r>
      <w:r>
        <w:rPr>
          <w:rFonts w:hint="eastAsia" w:ascii="仿宋" w:hAnsi="仿宋" w:eastAsia="仿宋" w:cs="仿宋"/>
          <w:sz w:val="30"/>
          <w:szCs w:val="22"/>
        </w:rPr>
        <w:t>询价采购，并作如下承诺：</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w:t>
      </w:r>
      <w:r>
        <w:rPr>
          <w:rFonts w:hint="eastAsia" w:ascii="仿宋" w:hAnsi="仿宋" w:eastAsia="仿宋" w:cs="仿宋"/>
          <w:sz w:val="30"/>
          <w:szCs w:val="22"/>
          <w:lang w:eastAsia="zh-CN"/>
        </w:rPr>
        <w:t>采购方</w:t>
      </w:r>
      <w:r>
        <w:rPr>
          <w:rFonts w:hint="eastAsia" w:ascii="仿宋" w:hAnsi="仿宋" w:eastAsia="仿宋" w:cs="仿宋"/>
          <w:sz w:val="30"/>
          <w:szCs w:val="22"/>
        </w:rPr>
        <w:t>需要，可以提供原生产厂家到我公司的完整供应链销售凭证。</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4.我公司保证提供</w:t>
      </w:r>
      <w:r>
        <w:rPr>
          <w:rFonts w:hint="eastAsia" w:ascii="仿宋" w:hAnsi="仿宋" w:eastAsia="仿宋" w:cs="仿宋"/>
          <w:sz w:val="30"/>
          <w:szCs w:val="22"/>
          <w:lang w:eastAsia="zh-CN"/>
        </w:rPr>
        <w:t>采购方</w:t>
      </w:r>
      <w:r>
        <w:rPr>
          <w:rFonts w:hint="eastAsia" w:ascii="仿宋" w:hAnsi="仿宋" w:eastAsia="仿宋" w:cs="仿宋"/>
          <w:sz w:val="30"/>
          <w:szCs w:val="22"/>
        </w:rPr>
        <w:t>要求的全部产品，若提供的产品和</w:t>
      </w:r>
      <w:r>
        <w:rPr>
          <w:rFonts w:hint="eastAsia" w:ascii="仿宋" w:hAnsi="仿宋" w:eastAsia="仿宋" w:cs="仿宋"/>
          <w:sz w:val="30"/>
          <w:szCs w:val="22"/>
          <w:lang w:eastAsia="zh-CN"/>
        </w:rPr>
        <w:t>采购方</w:t>
      </w:r>
      <w:r>
        <w:rPr>
          <w:rFonts w:hint="eastAsia" w:ascii="仿宋" w:hAnsi="仿宋" w:eastAsia="仿宋" w:cs="仿宋"/>
          <w:sz w:val="30"/>
          <w:szCs w:val="22"/>
        </w:rPr>
        <w:t>要求的不一致，我公司保证于3日内提供生产厂家证明及市场调查证明，说明所提供货物优于</w:t>
      </w:r>
      <w:r>
        <w:rPr>
          <w:rFonts w:hint="eastAsia" w:ascii="仿宋" w:hAnsi="仿宋" w:eastAsia="仿宋" w:cs="仿宋"/>
          <w:sz w:val="30"/>
          <w:szCs w:val="22"/>
          <w:lang w:eastAsia="zh-CN"/>
        </w:rPr>
        <w:t>采购方</w:t>
      </w:r>
      <w:r>
        <w:rPr>
          <w:rFonts w:hint="eastAsia" w:ascii="仿宋" w:hAnsi="仿宋" w:eastAsia="仿宋" w:cs="仿宋"/>
          <w:sz w:val="30"/>
          <w:szCs w:val="22"/>
        </w:rPr>
        <w:t>要求。若</w:t>
      </w:r>
      <w:r>
        <w:rPr>
          <w:rFonts w:hint="eastAsia" w:ascii="仿宋" w:hAnsi="仿宋" w:eastAsia="仿宋" w:cs="仿宋"/>
          <w:sz w:val="30"/>
          <w:szCs w:val="22"/>
          <w:lang w:eastAsia="zh-CN"/>
        </w:rPr>
        <w:t>采购方</w:t>
      </w:r>
      <w:r>
        <w:rPr>
          <w:rFonts w:hint="eastAsia" w:ascii="仿宋" w:hAnsi="仿宋" w:eastAsia="仿宋" w:cs="仿宋"/>
          <w:sz w:val="30"/>
          <w:szCs w:val="22"/>
        </w:rPr>
        <w:t>不同意，则我公司愿意承担相关违约责任。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ind w:firstLine="4500" w:firstLineChars="1500"/>
        <w:jc w:val="left"/>
        <w:rPr>
          <w:rFonts w:hint="eastAsia" w:ascii="仿宋" w:hAnsi="仿宋" w:eastAsia="仿宋" w:cs="仿宋"/>
          <w:sz w:val="30"/>
          <w:szCs w:val="22"/>
        </w:rPr>
      </w:pPr>
      <w:r>
        <w:rPr>
          <w:rFonts w:hint="eastAsia" w:ascii="仿宋" w:hAnsi="仿宋" w:eastAsia="仿宋" w:cs="仿宋"/>
          <w:sz w:val="30"/>
          <w:szCs w:val="22"/>
        </w:rPr>
        <w:t>报价单位名称（公章）：</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二○二</w:t>
      </w:r>
      <w:r>
        <w:rPr>
          <w:rFonts w:hint="eastAsia" w:ascii="仿宋" w:hAnsi="仿宋" w:eastAsia="仿宋" w:cs="仿宋"/>
          <w:sz w:val="30"/>
          <w:szCs w:val="22"/>
          <w:lang w:eastAsia="zh-CN"/>
        </w:rPr>
        <w:t>三</w:t>
      </w:r>
      <w:r>
        <w:rPr>
          <w:rFonts w:hint="eastAsia" w:ascii="仿宋" w:hAnsi="仿宋" w:eastAsia="仿宋" w:cs="仿宋"/>
          <w:sz w:val="30"/>
          <w:szCs w:val="22"/>
        </w:rPr>
        <w:t>年</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月</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日</w:t>
      </w:r>
    </w:p>
    <w:p>
      <w:pPr>
        <w:pageBreakBefore w:val="0"/>
        <w:kinsoku/>
        <w:wordWrap/>
        <w:topLinePunct w:val="0"/>
        <w:bidi w:val="0"/>
        <w:spacing w:line="360" w:lineRule="auto"/>
        <w:jc w:val="left"/>
        <w:rPr>
          <w:rFonts w:hint="eastAsia" w:ascii="仿宋" w:hAnsi="仿宋" w:eastAsia="仿宋" w:cs="仿宋"/>
          <w:b/>
          <w:bCs/>
          <w:sz w:val="28"/>
          <w:szCs w:val="28"/>
          <w:highlight w:val="none"/>
          <w:lang w:eastAsia="zh-CN"/>
        </w:rPr>
      </w:pPr>
      <w:bookmarkStart w:id="13" w:name="_Toc473012596"/>
      <w:bookmarkStart w:id="14" w:name="_Toc509229875"/>
      <w:bookmarkStart w:id="15" w:name="_Toc509228412"/>
      <w:r>
        <w:rPr>
          <w:rStyle w:val="23"/>
          <w:rFonts w:hint="eastAsia" w:ascii="仿宋" w:hAnsi="仿宋" w:eastAsia="仿宋" w:cs="仿宋"/>
          <w:sz w:val="30"/>
          <w:szCs w:val="22"/>
          <w:highlight w:val="none"/>
          <w:lang w:val="en-GB"/>
        </w:rPr>
        <w:t>附件五</w:t>
      </w:r>
      <w:r>
        <w:rPr>
          <w:rFonts w:hint="eastAsia" w:ascii="仿宋" w:hAnsi="仿宋" w:eastAsia="仿宋" w:cs="仿宋"/>
          <w:b/>
          <w:bCs/>
          <w:sz w:val="28"/>
          <w:szCs w:val="28"/>
          <w:highlight w:val="none"/>
          <w:lang w:eastAsia="zh-CN"/>
        </w:rPr>
        <w:t>：</w:t>
      </w:r>
    </w:p>
    <w:p>
      <w:pPr>
        <w:jc w:val="center"/>
        <w:rPr>
          <w:rStyle w:val="23"/>
          <w:rFonts w:hint="eastAsia" w:ascii="仿宋_GB2312" w:hAnsi="Times New Roman" w:eastAsia="仿宋_GB2312" w:cs="Times New Roman"/>
          <w:caps/>
          <w:color w:val="auto"/>
          <w:kern w:val="2"/>
          <w:sz w:val="32"/>
          <w:szCs w:val="32"/>
          <w:highlight w:val="none"/>
          <w:lang w:eastAsia="zh-CN" w:bidi="ar-SA"/>
        </w:rPr>
      </w:pPr>
      <w:r>
        <w:rPr>
          <w:rStyle w:val="23"/>
          <w:rFonts w:hint="eastAsia" w:ascii="仿宋_GB2312" w:hAnsi="Times New Roman" w:eastAsia="仿宋_GB2312" w:cs="Times New Roman"/>
          <w:caps/>
          <w:color w:val="auto"/>
          <w:kern w:val="2"/>
          <w:sz w:val="32"/>
          <w:szCs w:val="32"/>
          <w:highlight w:val="none"/>
          <w:lang w:eastAsia="zh-CN" w:bidi="ar-SA"/>
        </w:rPr>
        <w:t>设备易损件</w:t>
      </w:r>
      <w:r>
        <w:rPr>
          <w:rStyle w:val="23"/>
          <w:rFonts w:hint="eastAsia" w:ascii="仿宋_GB2312" w:hAnsi="Times New Roman" w:eastAsia="仿宋_GB2312" w:cs="Times New Roman"/>
          <w:caps/>
          <w:color w:val="auto"/>
          <w:kern w:val="2"/>
          <w:sz w:val="32"/>
          <w:szCs w:val="32"/>
          <w:highlight w:val="none"/>
          <w:lang w:val="en-US" w:eastAsia="zh-CN" w:bidi="ar-SA"/>
        </w:rPr>
        <w:t>价</w:t>
      </w:r>
      <w:r>
        <w:rPr>
          <w:rStyle w:val="23"/>
          <w:rFonts w:hint="eastAsia" w:ascii="仿宋_GB2312" w:eastAsia="仿宋_GB2312" w:cs="Times New Roman"/>
          <w:caps/>
          <w:color w:val="auto"/>
          <w:kern w:val="2"/>
          <w:sz w:val="32"/>
          <w:szCs w:val="32"/>
          <w:highlight w:val="none"/>
          <w:lang w:val="en-US" w:eastAsia="zh-CN" w:bidi="ar-SA"/>
        </w:rPr>
        <w:t>格</w:t>
      </w:r>
      <w:r>
        <w:rPr>
          <w:rStyle w:val="23"/>
          <w:rFonts w:hint="eastAsia" w:ascii="仿宋_GB2312" w:hAnsi="Times New Roman" w:eastAsia="仿宋_GB2312" w:cs="Times New Roman"/>
          <w:caps/>
          <w:color w:val="auto"/>
          <w:kern w:val="2"/>
          <w:sz w:val="32"/>
          <w:szCs w:val="32"/>
          <w:highlight w:val="none"/>
          <w:lang w:eastAsia="zh-CN" w:bidi="ar-SA"/>
        </w:rPr>
        <w:t>清单</w:t>
      </w:r>
    </w:p>
    <w:p>
      <w:pPr>
        <w:pStyle w:val="2"/>
        <w:rPr>
          <w:rFonts w:hint="eastAsia"/>
          <w:lang w:eastAsia="zh-CN"/>
        </w:rPr>
      </w:pPr>
    </w:p>
    <w:tbl>
      <w:tblPr>
        <w:tblStyle w:val="16"/>
        <w:tblW w:w="8610" w:type="dxa"/>
        <w:tblInd w:w="91" w:type="dxa"/>
        <w:tblLayout w:type="fixed"/>
        <w:tblCellMar>
          <w:top w:w="0" w:type="dxa"/>
          <w:left w:w="108" w:type="dxa"/>
          <w:bottom w:w="0" w:type="dxa"/>
          <w:right w:w="108" w:type="dxa"/>
        </w:tblCellMar>
      </w:tblPr>
      <w:tblGrid>
        <w:gridCol w:w="780"/>
        <w:gridCol w:w="1635"/>
        <w:gridCol w:w="1395"/>
        <w:gridCol w:w="1905"/>
        <w:gridCol w:w="585"/>
        <w:gridCol w:w="663"/>
        <w:gridCol w:w="747"/>
        <w:gridCol w:w="900"/>
      </w:tblGrid>
      <w:tr>
        <w:tblPrEx>
          <w:tblCellMar>
            <w:top w:w="0" w:type="dxa"/>
            <w:left w:w="108" w:type="dxa"/>
            <w:bottom w:w="0" w:type="dxa"/>
            <w:right w:w="108" w:type="dxa"/>
          </w:tblCellMar>
        </w:tblPrEx>
        <w:trPr>
          <w:trHeight w:val="278"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序号</w:t>
            </w:r>
          </w:p>
        </w:tc>
        <w:tc>
          <w:tcPr>
            <w:tcW w:w="163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使用设备</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名称</w:t>
            </w:r>
          </w:p>
        </w:tc>
        <w:tc>
          <w:tcPr>
            <w:tcW w:w="190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型号规格</w:t>
            </w:r>
          </w:p>
        </w:tc>
        <w:tc>
          <w:tcPr>
            <w:tcW w:w="58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数量</w:t>
            </w:r>
          </w:p>
        </w:tc>
        <w:tc>
          <w:tcPr>
            <w:tcW w:w="66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单位</w:t>
            </w:r>
          </w:p>
        </w:tc>
        <w:tc>
          <w:tcPr>
            <w:tcW w:w="747"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限价单价（元）</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金额（元）</w:t>
            </w: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抑制器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SP6949 ASRS300(4mm)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24000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保护柱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064147 AG23 4X50mm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7500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分析柱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064149 AS23 4X250mm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24000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六通阀定子转子</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75973</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11000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55870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1800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单向阀芯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45994</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2800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主板</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ICS-600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4600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进样管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250个</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2700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水溶液雾化器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842312051431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4800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普通矩管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BRE0012328</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6300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普通中心管（石英）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DRE0019895</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2800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雾室</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3400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氧化还原电位（ORP）计SX712</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ORP复合电极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SX712</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500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便携式pH计PHBJ-260F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E-201-L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E-301QC</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E-301D</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500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台式电导仪DDSJ-318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电导电极 </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DJS-1D型</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DO-958-Q</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1200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溶解氧电解液</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零氧校准液粉剂</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电极膜帽</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3个/套</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离子计PXS-270</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离子选择电极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PF-2-01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自动闭口闪点测定仪SYD-261D</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温度传感器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SYD-261D</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COD多参数水质分析仪5B-3B(V14)</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密闭反应管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FYG-MF-16-100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COD多参数水质分析仪5B-3B(V16)</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玻璃比色皿1CM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光径1CM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COD多参数水质分析仪5B-3B(V17)</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玻璃比色皿3CM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光径3CM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比色皿架1CM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16</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纯化柱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Progard T3</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5700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17</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Q-Pak TIX</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6200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终端过滤器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Millipak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19</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水箱空气过滤器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PE TANK MILLIPAK FILTER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20</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紫外灯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UV LAMP 185/254nm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7200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21</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自来水超滤柱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前处理</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BOD耗材采样瓶</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714421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440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硝化细菌抑制剂</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253335-CN</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320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密封垫</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2957300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2959500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40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垫圈</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2957500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营养盐缓冲溶液粉枕</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2962266-CN</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工业分析仪（水分灰分)专用坩埚</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120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593"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定硫仪瓷舟</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35</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40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6700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氧弹坩埚</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25</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氧弹杯电极支架</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密封圈/橡胶(小6*1.9)</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133303181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密封圈/橡胶(大60*5.7)</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133349531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25</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盐度计CT-3081</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量程0-9999mg/l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200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六联</w:t>
            </w:r>
          </w:p>
        </w:tc>
        <w:tc>
          <w:tcPr>
            <w:tcW w:w="585"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74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1000</w:t>
            </w:r>
          </w:p>
        </w:tc>
        <w:tc>
          <w:tcPr>
            <w:tcW w:w="90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w:t>
            </w:r>
          </w:p>
        </w:tc>
        <w:tc>
          <w:tcPr>
            <w:tcW w:w="585" w:type="dxa"/>
            <w:tcBorders>
              <w:top w:val="nil"/>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74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350</w:t>
            </w:r>
          </w:p>
        </w:tc>
        <w:tc>
          <w:tcPr>
            <w:tcW w:w="900" w:type="dxa"/>
            <w:tcBorders>
              <w:top w:val="nil"/>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深圳昌鸿PWN-840A</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7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default" w:ascii="仿宋_GB2312" w:hAnsi="宋体" w:eastAsia="仿宋_GB2312" w:cs="仿宋_GB2312"/>
                <w:i w:val="0"/>
                <w:iCs w:val="0"/>
                <w:color w:val="000000"/>
                <w:kern w:val="0"/>
                <w:sz w:val="16"/>
                <w:szCs w:val="16"/>
                <w:u w:val="none"/>
                <w:lang w:val="en-US" w:eastAsia="zh-CN" w:bidi="ar"/>
              </w:rPr>
              <w:t>6500</w:t>
            </w:r>
          </w:p>
        </w:tc>
        <w:tc>
          <w:tcPr>
            <w:tcW w:w="90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861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合计：      元</w:t>
            </w:r>
          </w:p>
        </w:tc>
      </w:tr>
    </w:tbl>
    <w:p>
      <w:pPr>
        <w:pageBreakBefore w:val="0"/>
        <w:kinsoku/>
        <w:wordWrap/>
        <w:topLinePunct w:val="0"/>
        <w:bidi w:val="0"/>
        <w:spacing w:line="360" w:lineRule="auto"/>
        <w:jc w:val="left"/>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Style w:val="23"/>
          <w:rFonts w:hint="eastAsia" w:ascii="仿宋" w:hAnsi="仿宋" w:eastAsia="仿宋" w:cs="仿宋"/>
          <w:sz w:val="30"/>
          <w:szCs w:val="22"/>
          <w:lang w:val="en-GB"/>
        </w:rPr>
      </w:pPr>
    </w:p>
    <w:p>
      <w:pPr>
        <w:pStyle w:val="2"/>
        <w:rPr>
          <w:rStyle w:val="23"/>
          <w:rFonts w:hint="eastAsia" w:ascii="仿宋" w:hAnsi="仿宋" w:eastAsia="仿宋" w:cs="仿宋"/>
          <w:b/>
          <w:sz w:val="30"/>
          <w:szCs w:val="22"/>
          <w:lang w:val="en-GB"/>
        </w:rPr>
      </w:pPr>
    </w:p>
    <w:p>
      <w:pPr>
        <w:rPr>
          <w:rFonts w:hint="eastAsia"/>
          <w:lang w:val="en-GB"/>
        </w:rPr>
      </w:pPr>
    </w:p>
    <w:p>
      <w:pPr>
        <w:pStyle w:val="2"/>
        <w:rPr>
          <w:rStyle w:val="23"/>
          <w:rFonts w:hint="eastAsia" w:ascii="仿宋" w:hAnsi="仿宋" w:eastAsia="仿宋" w:cs="仿宋"/>
          <w:b/>
          <w:sz w:val="30"/>
          <w:szCs w:val="22"/>
          <w:lang w:val="en-GB"/>
        </w:rPr>
      </w:pPr>
    </w:p>
    <w:p>
      <w:pPr>
        <w:pStyle w:val="2"/>
        <w:rPr>
          <w:rFonts w:hint="eastAsia"/>
          <w:lang w:val="en-GB"/>
        </w:rPr>
      </w:pPr>
    </w:p>
    <w:p>
      <w:pPr>
        <w:pageBreakBefore w:val="0"/>
        <w:kinsoku/>
        <w:wordWrap/>
        <w:topLinePunct w:val="0"/>
        <w:bidi w:val="0"/>
        <w:spacing w:line="360" w:lineRule="auto"/>
        <w:jc w:val="left"/>
        <w:rPr>
          <w:rStyle w:val="23"/>
          <w:rFonts w:hint="eastAsia" w:ascii="仿宋" w:hAnsi="仿宋" w:eastAsia="仿宋" w:cs="仿宋"/>
          <w:sz w:val="30"/>
          <w:szCs w:val="22"/>
          <w:lang w:val="en-GB"/>
        </w:rPr>
      </w:pPr>
      <w:r>
        <w:rPr>
          <w:rStyle w:val="23"/>
          <w:rFonts w:hint="eastAsia" w:ascii="仿宋" w:hAnsi="仿宋" w:eastAsia="仿宋" w:cs="仿宋"/>
          <w:sz w:val="30"/>
          <w:szCs w:val="22"/>
          <w:lang w:val="en-GB"/>
        </w:rPr>
        <w:t>附件六</w:t>
      </w:r>
    </w:p>
    <w:p>
      <w:pPr>
        <w:pStyle w:val="15"/>
        <w:pageBreakBefore w:val="0"/>
        <w:kinsoku/>
        <w:wordWrap/>
        <w:topLinePunct w:val="0"/>
        <w:bidi w:val="0"/>
        <w:spacing w:line="360" w:lineRule="auto"/>
        <w:rPr>
          <w:rStyle w:val="23"/>
          <w:rFonts w:hint="eastAsia" w:ascii="仿宋" w:hAnsi="仿宋" w:eastAsia="仿宋" w:cs="仿宋"/>
          <w:b/>
          <w:spacing w:val="0"/>
          <w:sz w:val="44"/>
          <w:lang w:val="en-GB"/>
        </w:rPr>
      </w:pPr>
      <w:r>
        <w:rPr>
          <w:rStyle w:val="23"/>
          <w:rFonts w:hint="eastAsia" w:ascii="仿宋" w:hAnsi="仿宋" w:eastAsia="仿宋" w:cs="仿宋"/>
          <w:b/>
          <w:spacing w:val="0"/>
          <w:sz w:val="44"/>
          <w:lang w:val="en-GB"/>
        </w:rPr>
        <w:t xml:space="preserve">  合同</w:t>
      </w:r>
      <w:bookmarkEnd w:id="13"/>
      <w:bookmarkEnd w:id="14"/>
      <w:bookmarkEnd w:id="15"/>
      <w:r>
        <w:rPr>
          <w:rStyle w:val="23"/>
          <w:rFonts w:hint="eastAsia" w:ascii="仿宋" w:hAnsi="仿宋" w:eastAsia="仿宋" w:cs="仿宋"/>
          <w:b/>
          <w:spacing w:val="0"/>
          <w:sz w:val="44"/>
          <w:lang w:val="en-GB"/>
        </w:rPr>
        <w:t>基本条款</w:t>
      </w:r>
    </w:p>
    <w:p>
      <w:pPr>
        <w:pageBreakBefore w:val="0"/>
        <w:kinsoku/>
        <w:wordWrap/>
        <w:topLinePunct w:val="0"/>
        <w:bidi w:val="0"/>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杭州临江环境能源有限公司 </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pageBreakBefore w:val="0"/>
        <w:kinsoku/>
        <w:wordWrap/>
        <w:topLinePunct w:val="0"/>
        <w:bidi w:val="0"/>
        <w:spacing w:line="360" w:lineRule="auto"/>
        <w:ind w:firstLine="520" w:firstLineChars="217"/>
        <w:rPr>
          <w:rFonts w:hint="eastAsia" w:ascii="仿宋" w:hAnsi="仿宋" w:eastAsia="仿宋" w:cs="仿宋"/>
          <w:kern w:val="0"/>
          <w:sz w:val="24"/>
          <w:szCs w:val="24"/>
        </w:rPr>
      </w:pPr>
      <w:r>
        <w:rPr>
          <w:rFonts w:hint="eastAsia" w:ascii="仿宋" w:hAnsi="仿宋" w:eastAsia="仿宋" w:cs="仿宋"/>
          <w:kern w:val="0"/>
          <w:sz w:val="24"/>
          <w:szCs w:val="24"/>
        </w:rPr>
        <w:t>根据《中华人民共和国民法典》等法律法规的要求，双方经协商一致，就甲方向乙方采购</w:t>
      </w:r>
      <w:r>
        <w:rPr>
          <w:rFonts w:hint="eastAsia" w:ascii="仿宋" w:hAnsi="仿宋" w:eastAsia="仿宋" w:cs="仿宋"/>
          <w:kern w:val="0"/>
          <w:sz w:val="24"/>
          <w:szCs w:val="24"/>
          <w:lang w:val="en-US" w:eastAsia="zh-CN"/>
        </w:rPr>
        <w:t>化验室设备</w:t>
      </w:r>
      <w:r>
        <w:rPr>
          <w:rFonts w:hint="eastAsia" w:ascii="仿宋" w:hAnsi="仿宋" w:eastAsia="仿宋" w:cs="仿宋"/>
          <w:kern w:val="0"/>
          <w:sz w:val="24"/>
          <w:szCs w:val="24"/>
          <w:lang w:eastAsia="zh-CN"/>
        </w:rPr>
        <w:t>维保服务</w:t>
      </w:r>
      <w:r>
        <w:rPr>
          <w:rFonts w:hint="eastAsia" w:ascii="仿宋" w:hAnsi="仿宋" w:eastAsia="仿宋" w:cs="仿宋"/>
          <w:kern w:val="0"/>
          <w:sz w:val="24"/>
          <w:szCs w:val="24"/>
        </w:rPr>
        <w:t>事宜达成如下条款：</w:t>
      </w:r>
    </w:p>
    <w:p>
      <w:pPr>
        <w:pageBreakBefore w:val="0"/>
        <w:kinsoku/>
        <w:wordWrap/>
        <w:topLinePunct w:val="0"/>
        <w:bidi w:val="0"/>
        <w:spacing w:line="360" w:lineRule="auto"/>
        <w:ind w:firstLine="520" w:firstLineChars="217"/>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0"/>
          <w:sz w:val="24"/>
          <w:szCs w:val="24"/>
        </w:rPr>
        <w:t>一、</w:t>
      </w:r>
      <w:r>
        <w:rPr>
          <w:rFonts w:hint="eastAsia" w:ascii="仿宋" w:hAnsi="仿宋" w:eastAsia="仿宋" w:cs="仿宋"/>
          <w:kern w:val="0"/>
          <w:sz w:val="24"/>
          <w:szCs w:val="24"/>
          <w:lang w:val="en-US" w:eastAsia="zh-CN"/>
        </w:rPr>
        <w:t>常规维保</w:t>
      </w:r>
      <w:r>
        <w:rPr>
          <w:rFonts w:hint="eastAsia" w:ascii="仿宋" w:hAnsi="仿宋" w:eastAsia="仿宋" w:cs="仿宋"/>
          <w:kern w:val="0"/>
          <w:sz w:val="24"/>
          <w:szCs w:val="24"/>
          <w:lang w:eastAsia="zh-CN"/>
        </w:rPr>
        <w:t>单价</w:t>
      </w:r>
      <w:r>
        <w:rPr>
          <w:rFonts w:hint="eastAsia" w:ascii="仿宋" w:hAnsi="仿宋" w:eastAsia="仿宋" w:cs="仿宋"/>
          <w:sz w:val="24"/>
          <w:szCs w:val="24"/>
          <w:lang w:eastAsia="zh-CN"/>
        </w:rPr>
        <w:t>及</w:t>
      </w:r>
      <w:r>
        <w:rPr>
          <w:rFonts w:hint="eastAsia" w:ascii="仿宋" w:hAnsi="仿宋" w:eastAsia="仿宋" w:cs="仿宋"/>
          <w:sz w:val="24"/>
          <w:szCs w:val="24"/>
          <w:lang w:val="en-US" w:eastAsia="zh-CN"/>
        </w:rPr>
        <w:t>合同总价</w:t>
      </w:r>
      <w:r>
        <w:rPr>
          <w:rFonts w:hint="eastAsia" w:ascii="仿宋" w:hAnsi="仿宋" w:eastAsia="仿宋" w:cs="仿宋"/>
          <w:sz w:val="24"/>
          <w:szCs w:val="24"/>
          <w:lang w:eastAsia="zh-CN"/>
        </w:rPr>
        <w:t>金额</w:t>
      </w:r>
    </w:p>
    <w:tbl>
      <w:tblPr>
        <w:tblStyle w:val="17"/>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336"/>
        <w:gridCol w:w="894"/>
        <w:gridCol w:w="1087"/>
        <w:gridCol w:w="1100"/>
        <w:gridCol w:w="1313"/>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序号</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类别</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次数</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单价（元）</w:t>
            </w: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金额（元）</w:t>
            </w:r>
          </w:p>
        </w:tc>
        <w:tc>
          <w:tcPr>
            <w:tcW w:w="1313"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税率</w:t>
            </w:r>
          </w:p>
        </w:tc>
        <w:tc>
          <w:tcPr>
            <w:tcW w:w="26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常规检查</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6次</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313"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13%</w:t>
            </w:r>
          </w:p>
        </w:tc>
        <w:tc>
          <w:tcPr>
            <w:tcW w:w="2671"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每2个月一次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8"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2</w:t>
            </w:r>
          </w:p>
        </w:tc>
        <w:tc>
          <w:tcPr>
            <w:tcW w:w="1336"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设备易损件</w:t>
            </w:r>
          </w:p>
        </w:tc>
        <w:tc>
          <w:tcPr>
            <w:tcW w:w="894"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w:t>
            </w:r>
          </w:p>
        </w:tc>
        <w:tc>
          <w:tcPr>
            <w:tcW w:w="1087"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w:t>
            </w:r>
          </w:p>
        </w:tc>
        <w:tc>
          <w:tcPr>
            <w:tcW w:w="1100" w:type="dxa"/>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p>
        </w:tc>
        <w:tc>
          <w:tcPr>
            <w:tcW w:w="1313"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13%</w:t>
            </w:r>
          </w:p>
        </w:tc>
        <w:tc>
          <w:tcPr>
            <w:tcW w:w="2671" w:type="dxa"/>
            <w:vAlign w:val="center"/>
          </w:tcPr>
          <w:p>
            <w:pPr>
              <w:pStyle w:val="22"/>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明细详见易损件清单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09" w:type="dxa"/>
            <w:gridSpan w:val="7"/>
            <w:vAlign w:val="center"/>
          </w:tcPr>
          <w:p>
            <w:pPr>
              <w:pStyle w:val="22"/>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合计：     元</w:t>
            </w:r>
          </w:p>
        </w:tc>
      </w:tr>
    </w:tbl>
    <w:p>
      <w:pPr>
        <w:pStyle w:val="8"/>
        <w:ind w:left="0" w:leftChars="0" w:firstLine="0" w:firstLineChars="0"/>
        <w:rPr>
          <w:rFonts w:hint="eastAsia" w:ascii="仿宋" w:hAnsi="仿宋" w:eastAsia="仿宋" w:cs="仿宋"/>
          <w:sz w:val="28"/>
          <w:szCs w:val="28"/>
          <w:lang w:eastAsia="zh-CN"/>
        </w:rPr>
      </w:pPr>
    </w:p>
    <w:p>
      <w:pPr>
        <w:pageBreakBefore w:val="0"/>
        <w:kinsoku/>
        <w:wordWrap/>
        <w:topLinePunct w:val="0"/>
        <w:bidi w:val="0"/>
        <w:spacing w:line="360" w:lineRule="auto"/>
        <w:ind w:firstLine="520" w:firstLineChars="217"/>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二、</w:t>
      </w:r>
      <w:r>
        <w:rPr>
          <w:rFonts w:hint="eastAsia" w:ascii="仿宋" w:hAnsi="仿宋" w:eastAsia="仿宋" w:cs="仿宋"/>
          <w:kern w:val="0"/>
          <w:sz w:val="24"/>
          <w:szCs w:val="24"/>
          <w:lang w:val="en-US" w:eastAsia="zh-CN"/>
        </w:rPr>
        <w:t>易损件</w:t>
      </w:r>
      <w:r>
        <w:rPr>
          <w:rFonts w:hint="eastAsia" w:ascii="仿宋" w:hAnsi="仿宋" w:eastAsia="仿宋" w:cs="仿宋"/>
          <w:kern w:val="0"/>
          <w:sz w:val="24"/>
          <w:szCs w:val="24"/>
          <w:lang w:eastAsia="zh-CN"/>
        </w:rPr>
        <w:t>清单</w:t>
      </w:r>
    </w:p>
    <w:tbl>
      <w:tblPr>
        <w:tblStyle w:val="16"/>
        <w:tblW w:w="9180" w:type="dxa"/>
        <w:tblInd w:w="91" w:type="dxa"/>
        <w:tblLayout w:type="fixed"/>
        <w:tblCellMar>
          <w:top w:w="0" w:type="dxa"/>
          <w:left w:w="108" w:type="dxa"/>
          <w:bottom w:w="0" w:type="dxa"/>
          <w:right w:w="108" w:type="dxa"/>
        </w:tblCellMar>
      </w:tblPr>
      <w:tblGrid>
        <w:gridCol w:w="780"/>
        <w:gridCol w:w="1635"/>
        <w:gridCol w:w="1395"/>
        <w:gridCol w:w="1905"/>
        <w:gridCol w:w="585"/>
        <w:gridCol w:w="663"/>
        <w:gridCol w:w="1047"/>
        <w:gridCol w:w="1170"/>
      </w:tblGrid>
      <w:tr>
        <w:tblPrEx>
          <w:tblCellMar>
            <w:top w:w="0" w:type="dxa"/>
            <w:left w:w="108" w:type="dxa"/>
            <w:bottom w:w="0" w:type="dxa"/>
            <w:right w:w="108" w:type="dxa"/>
          </w:tblCellMar>
        </w:tblPrEx>
        <w:trPr>
          <w:trHeight w:val="278"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序号</w:t>
            </w:r>
          </w:p>
        </w:tc>
        <w:tc>
          <w:tcPr>
            <w:tcW w:w="163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使用设备</w:t>
            </w:r>
          </w:p>
        </w:tc>
        <w:tc>
          <w:tcPr>
            <w:tcW w:w="13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名称</w:t>
            </w:r>
          </w:p>
        </w:tc>
        <w:tc>
          <w:tcPr>
            <w:tcW w:w="190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型号规格</w:t>
            </w:r>
          </w:p>
        </w:tc>
        <w:tc>
          <w:tcPr>
            <w:tcW w:w="58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数量</w:t>
            </w:r>
          </w:p>
        </w:tc>
        <w:tc>
          <w:tcPr>
            <w:tcW w:w="66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单位</w:t>
            </w:r>
          </w:p>
        </w:tc>
        <w:tc>
          <w:tcPr>
            <w:tcW w:w="1047"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单价（元）</w:t>
            </w:r>
          </w:p>
        </w:tc>
        <w:tc>
          <w:tcPr>
            <w:tcW w:w="1170"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金额（元）</w:t>
            </w: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抑制器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SP6949 ASRS300(4mm)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保护柱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064147 AG23 4X50mm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分析柱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064149 AS23 4X250mm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六通阀定子转子</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75973</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55870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单向阀芯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45994</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主板</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ICS-600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离子色谱仪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进样管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250个</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水溶液雾化器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842312051431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普通矩管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BRE0012328</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普通中心管（石英）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DRE0019895</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电感耦合等离子体光谱仪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雾室</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DRE0019891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氧化还原电位（ORP）计SX712</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ORP复合电极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SX712</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便携式pH计PHBJ-260F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E-201-L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E-301QC</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台式pH计PHSJ-4F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复合PH电极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E-301D</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台式电导仪DDSJ-318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电导电极 </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DJS-1D型</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DO-958-Q</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溶解氧电解液</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零氧校准液粉剂</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100ml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瓶</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溶解氧测定仪JPSJ-605F</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电极膜帽</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3个/套</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离子计PXS-270</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离子选择电极</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PF-2-01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自动闭口闪点测定仪SYD-261D</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温度传感器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SYD-261D</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COD多参数水质分析仪5B-3B(V14)</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密闭反应管</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FYG-MF-16-100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COD多参数水质分析仪5B-3B(V16)</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玻璃比色皿1CM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光径1CM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COD多参数水质分析仪5B-3B(V17)</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玻璃比色皿3CM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光径3CM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COD多参数水质分析仪5B-3B(V18)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比色皿架1CM</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16</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纯化柱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Progard T3</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17</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Q-Pak TIX</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18</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终端过滤器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Millipak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19</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水箱空气过滤器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PE TANK MILLIPAK FILTER </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20</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紫外灯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UV LAMP 185/254nm</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超纯水机Milli -Q Direct 21</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自来水超滤柱</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前处理</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支</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BOD耗材采样瓶</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714421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硝化细菌抑制剂</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253335-CN</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密封垫</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2957300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2959500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垫圈</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2957500</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哈希BOD TRAK II</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营养盐缓冲溶液粉枕</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2962266-CN</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盒</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38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工业分析仪（水分灰分)专用坩埚</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593"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41</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定硫仪瓷舟</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405"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42</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43</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氧弹坩埚</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44</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氧弹杯电极支架</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友欣</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45</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密封圈/橡胶(小6*1.9)</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133303181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套</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46</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量热仪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密封圈/橡胶(大60*5.7)</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133349531</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47</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盐度计CT-3081</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量程0-9999mg/l</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48</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水浴锅</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六联</w:t>
            </w:r>
          </w:p>
        </w:tc>
        <w:tc>
          <w:tcPr>
            <w:tcW w:w="585"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1047"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49</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磁力搅拌器</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w:t>
            </w:r>
          </w:p>
        </w:tc>
        <w:tc>
          <w:tcPr>
            <w:tcW w:w="585" w:type="dxa"/>
            <w:tcBorders>
              <w:top w:val="nil"/>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1047" w:type="dxa"/>
            <w:tcBorders>
              <w:top w:val="nil"/>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lang w:val="en-US" w:eastAsia="zh-CN"/>
              </w:rPr>
            </w:pPr>
          </w:p>
        </w:tc>
      </w:tr>
      <w:tr>
        <w:tblPrEx>
          <w:tblCellMar>
            <w:top w:w="0" w:type="dxa"/>
            <w:left w:w="108" w:type="dxa"/>
            <w:bottom w:w="0" w:type="dxa"/>
            <w:right w:w="108" w:type="dxa"/>
          </w:tblCellMar>
        </w:tblPrEx>
        <w:trPr>
          <w:trHeight w:val="278"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163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139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水质多参数检测仪</w:t>
            </w:r>
          </w:p>
        </w:tc>
        <w:tc>
          <w:tcPr>
            <w:tcW w:w="190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深圳昌鸿PWN-840A</w:t>
            </w:r>
          </w:p>
        </w:tc>
        <w:tc>
          <w:tcPr>
            <w:tcW w:w="585"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663"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1047"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c>
          <w:tcPr>
            <w:tcW w:w="1170" w:type="dxa"/>
            <w:tcBorders>
              <w:top w:val="nil"/>
              <w:left w:val="nil"/>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color w:val="000000"/>
                <w:sz w:val="21"/>
                <w:szCs w:val="21"/>
                <w:lang w:val="en-US" w:eastAsia="zh-CN"/>
              </w:rPr>
            </w:pPr>
          </w:p>
        </w:tc>
      </w:tr>
    </w:tbl>
    <w:p>
      <w:pPr>
        <w:pStyle w:val="22"/>
        <w:pageBreakBefore w:val="0"/>
        <w:kinsoku/>
        <w:wordWrap/>
        <w:topLinePunct w:val="0"/>
        <w:bidi w:val="0"/>
        <w:snapToGrid w:val="0"/>
        <w:spacing w:line="360" w:lineRule="auto"/>
        <w:rPr>
          <w:rFonts w:hint="eastAsia" w:ascii="仿宋" w:hAnsi="仿宋" w:eastAsia="仿宋" w:cs="仿宋"/>
          <w:b/>
          <w:bCs/>
          <w:color w:val="auto"/>
          <w:kern w:val="2"/>
          <w:sz w:val="24"/>
          <w:szCs w:val="24"/>
          <w:lang w:val="en-US" w:eastAsia="zh-CN" w:bidi="ar-SA"/>
        </w:rPr>
      </w:pP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sz w:val="24"/>
          <w:szCs w:val="24"/>
          <w:lang w:val="en-US" w:eastAsia="zh-CN"/>
        </w:rPr>
        <w:t>备件按需更换、按实结算。</w:t>
      </w:r>
      <w:r>
        <w:rPr>
          <w:rFonts w:hint="eastAsia" w:ascii="仿宋" w:hAnsi="仿宋" w:eastAsia="仿宋" w:cs="仿宋"/>
          <w:color w:val="auto"/>
          <w:kern w:val="2"/>
          <w:sz w:val="24"/>
          <w:szCs w:val="24"/>
          <w:lang w:val="en-US" w:eastAsia="zh-CN" w:bidi="ar-SA"/>
        </w:rPr>
        <w:t>此清单内备件价格为设备更换备件的综合价格，含备件费、税金、工时费、车辆费、工具费等所有费用。</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2.根据实际更换备件与乙方结算费用。维护保养期内，设备需更换新的备品备件时，乙方应向甲方报送需更换的备品清单，经甲方同意批准后方可更换。</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3.清单之外（单价超500元以上）的配件由甲方提供，安装、维修由乙方承担，一般情况下工时费不另外支付，但若因维修工时超过24个工时，工时费双方协商解决。</w:t>
      </w:r>
    </w:p>
    <w:p>
      <w:pPr>
        <w:pStyle w:val="22"/>
        <w:pageBreakBefore w:val="0"/>
        <w:kinsoku/>
        <w:wordWrap/>
        <w:topLinePunct w:val="0"/>
        <w:bidi w:val="0"/>
        <w:snapToGrid w:val="0"/>
        <w:spacing w:line="360" w:lineRule="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4.更换的备件单价不超500元（含500元）的费用（含工时费）由乙方承担。</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三、维保服务要求：</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1.主要对设备的性能、数据的标定、基本耗材的更换维护、人员的使用等进行服务。</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2.有确定的项目经理和专职维修人员，保修电话必须保证有人接听，须提供不小于两个人的手机号码（全天24小时不关机）和一个固定电话号码；</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3.保证维保服务期内所有维保仪器设备的单次故障停机时间不得超过一周。故障在通过电话、网络沟通指导后仍无法修复的，应派人赴现场修理。</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4.在采购人通知的重要检测前有相应的故障防范措施，保证设备正常运行。</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5.必须制定详细的维保计划，明确日常维护保养内容和时间表。</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6.必须制定详细的维修保养操作工艺方法，明确零部件维修与更换的标准、仪器性能检测方法和维保成果的体现方式。</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维保方必须提供维保服务组织实施方案，包括日常维护的组织、联系和协调、记录和报告、验收与确认；紧急抢修的通知、组织到达、现场协调、实施抢修、记录和报告、验收与确认；关键检测前的仪器故障防范、人员组织落实、措施方案。</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8.乙方对甲方提供的所有业务技术资料、文档，有责任对第三方保密。</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9.乙方在服务过程中涉及第三方产品（报价人提供的），若出现技术、经济或法律上的纠纷，应由乙方全面承担并全权解决，确保不影响项目的进度。</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四、维保技术要求</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1.必须负责所维保的仪器技术指标达到设备铭牌和性能说明书标示技术功能和指标数值并满足国家或行业有关技术标准要求。</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2.定期和不定期检查测量仪器主要性能参数。</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3.按仪器操作使用手册规定定期和不定期检查维护。</w:t>
      </w:r>
    </w:p>
    <w:p>
      <w:pPr>
        <w:pageBreakBefore w:val="0"/>
        <w:kinsoku/>
        <w:wordWrap/>
        <w:topLinePunct w:val="0"/>
        <w:bidi w:val="0"/>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4.提供的常规维护保养工作一般在非公休假日的正常工作时间内进行。</w:t>
      </w:r>
    </w:p>
    <w:p>
      <w:pPr>
        <w:pageBreakBefore w:val="0"/>
        <w:kinsoku/>
        <w:wordWrap/>
        <w:topLinePunct w:val="0"/>
        <w:bidi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五、备件更换要求</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维护保养期内，如需更换新易损件时，维保方应向采购人报送需更换的备件清单，经采购人同意批准后方可更换，更换部件的需要在7天内完成安装，并能正常使用。单价在500元以内（含500元）的直接更换不再额外收取费用。单价在500元以上的备件按照易损件清单内的价格按需更换、按实结算。（易损件清单内的备件价格为更换备件的综合价格，含税、工时费、车辆费、工具费等所有费用。）清单之外（超500元的配件）由采购人提供，安装、维修由维保方承担，一般情况下工时费不另外支付，但若因维修工时超过24个工时，工时费双方协商解决。</w:t>
      </w:r>
    </w:p>
    <w:p>
      <w:pPr>
        <w:pageBreakBefore w:val="0"/>
        <w:kinsoku/>
        <w:wordWrap/>
        <w:topLinePunct w:val="0"/>
        <w:bidi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2.日常耗材需要更换前跟采购人进行确认，按照清单价格进行按实结算。</w:t>
      </w:r>
    </w:p>
    <w:p>
      <w:pPr>
        <w:pageBreakBefore w:val="0"/>
        <w:kinsoku/>
        <w:wordWrap/>
        <w:topLinePunct w:val="0"/>
        <w:bidi w:val="0"/>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3.在合同期内维保方进行的维修项目或更换的零部件（含软件版本），在合同到期时未满3个月的，维保方仍应继续履行维修服务质量保证期限，直至该维修项目或更换的零部件正常运行至3个月期满。</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六、验收标准</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1.维保方在每次进行保养或维修服务时需要有采购人陪同，采购人对照维保方案现场检查</w:t>
      </w:r>
      <w:r>
        <w:rPr>
          <w:rFonts w:hint="eastAsia" w:ascii="仿宋" w:hAnsi="仿宋" w:eastAsia="仿宋" w:cs="仿宋"/>
          <w:color w:val="auto"/>
          <w:kern w:val="2"/>
          <w:sz w:val="24"/>
          <w:szCs w:val="24"/>
          <w:highlight w:val="none"/>
          <w:lang w:val="en-US" w:eastAsia="zh-CN" w:bidi="ar-SA"/>
        </w:rPr>
        <w:t>项目是否符合采购人要求，双方在维保确认单及更换备件确认单上签字确认后验收合格。</w:t>
      </w:r>
    </w:p>
    <w:p>
      <w:pPr>
        <w:pStyle w:val="22"/>
        <w:pageBreakBefore w:val="0"/>
        <w:kinsoku/>
        <w:wordWrap/>
        <w:topLinePunct w:val="0"/>
        <w:bidi w:val="0"/>
        <w:snapToGrid w:val="0"/>
        <w:spacing w:line="360" w:lineRule="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2.易损备件产品质量要求：要求保证为正品，附带产品合格证。产品外包装上应有生产厂名、产品名称、商标、标志。</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七、维保费用计算方式</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1.常规检查按实际维保次数支付维保费；汽轮机维修费用以备件单项单价为结算依据，施行总额控制，按实结算；</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2.常规检查费包含了所有工时费、技术服务费、检测调试费、交通费、工具费、运输费、管理费、税费等维保过程中产生的一切费用。</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3.配件由甲方提供，安装、维修由乙方承担，一般情况下工时费不另外支付，但若因维修工时超过24个工时，工时费双方协商解决。</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八、履约保证金。</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本合同签订的同时，乙方应向甲方缴纳       元（合同总价的5%）作为履约保证金。供货完成后甲方原额无息退还履约保证金。</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九、付款方式</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1.每三个月为一个付款周期，支付一个周期内实际保养费用。备件维修费用以备件（单价500元以上）单项单价为结算依据，按实结算；</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2.乙方提供经双方确认的服务清单及增值税专用发票，采购方自收到准确清单和发票后，30日内完成费用支付。</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十、争议的解决。</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1.合同有效期内甲、乙双方均不得随意变更或解除合同。合同若有未尽事宜，需经双方共同协商，订立补充协议，补充协议与本合同有同等法律效力。</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2.在履行本合同过程中如发生纠纷,甲、乙双方应及时协商解决，如协商不成，双方均有权向甲方住所地法院诉讼解决。</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十一、违约责任： 因乙方不能按照合同约定要求满足甲方需求，每延误一次，乙方承担违约金1000元 。       </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十二、合同的生效和终止。</w:t>
      </w:r>
    </w:p>
    <w:p>
      <w:pPr>
        <w:pStyle w:val="22"/>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1.本合同经甲、乙双方法定代表人或其委托人签字盖章后生效，维保期限为1年。采购过程中有关澄清文件、承诺书等均为本合同的组成部分，与本合同具有同等效力。</w:t>
      </w:r>
    </w:p>
    <w:p>
      <w:pPr>
        <w:pStyle w:val="22"/>
        <w:pageBreakBefore w:val="0"/>
        <w:kinsoku/>
        <w:wordWrap/>
        <w:topLinePunct w:val="0"/>
        <w:bidi w:val="0"/>
        <w:snapToGrid w:val="0"/>
        <w:spacing w:line="360" w:lineRule="auto"/>
        <w:rPr>
          <w:rFonts w:hint="eastAsia" w:ascii="仿宋" w:hAnsi="仿宋" w:eastAsia="仿宋" w:cs="仿宋"/>
          <w:b/>
          <w:color w:val="000000"/>
          <w:kern w:val="0"/>
          <w:sz w:val="32"/>
          <w:szCs w:val="32"/>
          <w:lang w:val="en-US" w:eastAsia="zh-CN" w:bidi="ar"/>
        </w:rPr>
      </w:pPr>
      <w:r>
        <w:rPr>
          <w:rFonts w:hint="eastAsia" w:ascii="仿宋" w:hAnsi="仿宋" w:eastAsia="仿宋" w:cs="仿宋"/>
          <w:color w:val="auto"/>
          <w:kern w:val="2"/>
          <w:sz w:val="24"/>
          <w:szCs w:val="24"/>
          <w:lang w:val="en-US" w:eastAsia="zh-CN" w:bidi="ar-SA"/>
        </w:rPr>
        <w:t>2.本合同一式肆份，甲方、乙方各执贰份。</w:t>
      </w:r>
    </w:p>
    <w:p>
      <w:pPr>
        <w:rPr>
          <w:rFonts w:hint="eastAsia"/>
          <w:lang w:val="en-US" w:eastAsia="zh-CN"/>
        </w:rPr>
      </w:pPr>
    </w:p>
    <w:p>
      <w:pPr>
        <w:keepNext w:val="0"/>
        <w:keepLines w:val="0"/>
        <w:pageBreakBefore w:val="0"/>
        <w:widowControl/>
        <w:suppressLineNumbers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2023年临江公司三固事业部化验室设备维保服务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 xml:space="preserve">2023年临江公司三固事业部化验室设备维保服务采购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乙方必须接受甲方综管和安环人员的监督、管理和指导，对应急管理部提出的意见必须及时整改；发生人身事故或危及生产运行的不安全情况，应立即通知甲方应急管理部处理。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pageBreakBefore w:val="0"/>
        <w:tabs>
          <w:tab w:val="right" w:leader="dot" w:pos="8738"/>
        </w:tabs>
        <w:kinsoku/>
        <w:wordWrap/>
        <w:topLinePunct w:val="0"/>
        <w:bidi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pageBreakBefore w:val="0"/>
        <w:kinsoku/>
        <w:wordWrap/>
        <w:topLinePunct w:val="0"/>
        <w:bidi w:val="0"/>
        <w:spacing w:line="360" w:lineRule="auto"/>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8"/>
        <w:ind w:left="0" w:leftChars="0" w:firstLine="0" w:firstLineChars="0"/>
        <w:rPr>
          <w:rFonts w:hint="eastAsia"/>
          <w:lang w:val="en-US" w:eastAsia="zh-CN"/>
        </w:rPr>
      </w:pPr>
    </w:p>
    <w:p>
      <w:pPr>
        <w:rPr>
          <w:rFonts w:hint="eastAsia" w:ascii="仿宋" w:hAnsi="仿宋" w:eastAsia="仿宋" w:cs="仿宋"/>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lang w:val="en-US" w:eastAsia="zh-CN"/>
        </w:rPr>
        <w:t xml:space="preserve">     </w:t>
      </w:r>
      <w:r>
        <w:rPr>
          <w:rFonts w:hint="eastAsia" w:ascii="仿宋" w:hAnsi="仿宋" w:eastAsia="仿宋" w:cs="仿宋"/>
          <w:b/>
          <w:kern w:val="0"/>
          <w:sz w:val="30"/>
          <w:szCs w:val="30"/>
          <w:lang w:eastAsia="zh-CN"/>
        </w:rPr>
        <w:t>报价人</w:t>
      </w:r>
      <w:r>
        <w:rPr>
          <w:rFonts w:hint="eastAsia" w:ascii="仿宋" w:hAnsi="仿宋" w:eastAsia="仿宋" w:cs="仿宋"/>
          <w:b/>
          <w:kern w:val="0"/>
          <w:sz w:val="30"/>
          <w:szCs w:val="30"/>
        </w:rPr>
        <w:t>股东信息及出资比例信息表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2482"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股东</w:t>
            </w:r>
          </w:p>
        </w:tc>
        <w:tc>
          <w:tcPr>
            <w:tcW w:w="2881"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lang w:eastAsia="zh-CN"/>
        </w:rPr>
        <w:t>报价人</w:t>
      </w:r>
      <w:r>
        <w:rPr>
          <w:rFonts w:hint="eastAsia" w:ascii="仿宋" w:hAnsi="仿宋" w:eastAsia="仿宋" w:cs="仿宋"/>
          <w:kern w:val="0"/>
          <w:sz w:val="30"/>
          <w:szCs w:val="30"/>
        </w:rPr>
        <w:t>（公章）：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u w:val="single"/>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bCs/>
          <w:sz w:val="30"/>
          <w:szCs w:val="30"/>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管理关系表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5387"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5387" w:type="dxa"/>
            <w:vAlign w:val="center"/>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lang w:eastAsia="zh-CN"/>
        </w:rPr>
        <w:t>报价人</w:t>
      </w:r>
      <w:r>
        <w:rPr>
          <w:rFonts w:hint="eastAsia" w:ascii="仿宋" w:hAnsi="仿宋" w:eastAsia="仿宋" w:cs="仿宋"/>
          <w:kern w:val="0"/>
          <w:sz w:val="30"/>
          <w:szCs w:val="30"/>
        </w:rPr>
        <w:t>（公章）：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kern w:val="0"/>
          <w:sz w:val="24"/>
        </w:rPr>
      </w:pPr>
      <w:r>
        <w:rPr>
          <w:rFonts w:hint="eastAsia" w:ascii="仿宋" w:hAnsi="仿宋" w:eastAsia="仿宋" w:cs="仿宋"/>
          <w:b/>
          <w:kern w:val="0"/>
          <w:sz w:val="24"/>
        </w:rPr>
        <w:t>注：</w:t>
      </w:r>
    </w:p>
    <w:p>
      <w:pPr>
        <w:spacing w:line="360" w:lineRule="auto"/>
        <w:rPr>
          <w:rFonts w:hint="eastAsia" w:ascii="仿宋" w:hAnsi="仿宋" w:eastAsia="仿宋" w:cs="仿宋"/>
          <w:b/>
          <w:kern w:val="0"/>
          <w:sz w:val="24"/>
        </w:rPr>
      </w:pPr>
      <w:r>
        <w:rPr>
          <w:rFonts w:hint="eastAsia" w:ascii="仿宋" w:hAnsi="仿宋" w:eastAsia="仿宋" w:cs="仿宋"/>
          <w:b/>
          <w:kern w:val="0"/>
          <w:sz w:val="24"/>
        </w:rPr>
        <w:t>1、若</w:t>
      </w:r>
      <w:r>
        <w:rPr>
          <w:rFonts w:hint="eastAsia" w:ascii="仿宋" w:hAnsi="仿宋" w:eastAsia="仿宋" w:cs="仿宋"/>
          <w:b/>
          <w:kern w:val="0"/>
          <w:sz w:val="24"/>
          <w:lang w:eastAsia="zh-CN"/>
        </w:rPr>
        <w:t>报价人</w:t>
      </w:r>
      <w:r>
        <w:rPr>
          <w:rFonts w:hint="eastAsia" w:ascii="仿宋" w:hAnsi="仿宋" w:eastAsia="仿宋" w:cs="仿宋"/>
          <w:b/>
          <w:kern w:val="0"/>
          <w:sz w:val="24"/>
        </w:rPr>
        <w:t>为非事业单位，则填写《</w:t>
      </w:r>
      <w:r>
        <w:rPr>
          <w:rFonts w:hint="eastAsia" w:ascii="仿宋" w:hAnsi="仿宋" w:eastAsia="仿宋" w:cs="仿宋"/>
          <w:b/>
          <w:kern w:val="0"/>
          <w:sz w:val="24"/>
          <w:lang w:eastAsia="zh-CN"/>
        </w:rPr>
        <w:t>报价人</w:t>
      </w:r>
      <w:r>
        <w:rPr>
          <w:rFonts w:hint="eastAsia" w:ascii="仿宋" w:hAnsi="仿宋" w:eastAsia="仿宋" w:cs="仿宋"/>
          <w:b/>
          <w:kern w:val="0"/>
          <w:sz w:val="24"/>
        </w:rPr>
        <w:t>股东信息及出资比例信息表》；若</w:t>
      </w:r>
      <w:r>
        <w:rPr>
          <w:rFonts w:hint="eastAsia" w:ascii="仿宋" w:hAnsi="仿宋" w:eastAsia="仿宋" w:cs="仿宋"/>
          <w:b/>
          <w:kern w:val="0"/>
          <w:sz w:val="24"/>
          <w:lang w:eastAsia="zh-CN"/>
        </w:rPr>
        <w:t>报价人</w:t>
      </w:r>
      <w:r>
        <w:rPr>
          <w:rFonts w:hint="eastAsia" w:ascii="仿宋" w:hAnsi="仿宋" w:eastAsia="仿宋" w:cs="仿宋"/>
          <w:b/>
          <w:kern w:val="0"/>
          <w:sz w:val="24"/>
        </w:rPr>
        <w:t>为事业单位，则填写《管理关系表》。</w:t>
      </w:r>
    </w:p>
    <w:p>
      <w:pPr>
        <w:spacing w:line="360" w:lineRule="auto"/>
        <w:rPr>
          <w:rFonts w:hint="eastAsia" w:ascii="仿宋" w:hAnsi="仿宋" w:eastAsia="仿宋" w:cs="仿宋"/>
        </w:rPr>
      </w:pPr>
      <w:r>
        <w:rPr>
          <w:rFonts w:hint="eastAsia" w:ascii="仿宋" w:hAnsi="仿宋" w:eastAsia="仿宋" w:cs="仿宋"/>
          <w:b/>
          <w:kern w:val="0"/>
          <w:sz w:val="24"/>
        </w:rPr>
        <w:t>2、若</w:t>
      </w:r>
      <w:r>
        <w:rPr>
          <w:rFonts w:hint="eastAsia" w:ascii="仿宋" w:hAnsi="仿宋" w:eastAsia="仿宋" w:cs="仿宋"/>
          <w:b/>
          <w:kern w:val="0"/>
          <w:sz w:val="24"/>
          <w:lang w:eastAsia="zh-CN"/>
        </w:rPr>
        <w:t>报价人</w:t>
      </w:r>
      <w:r>
        <w:rPr>
          <w:rFonts w:hint="eastAsia" w:ascii="仿宋" w:hAnsi="仿宋" w:eastAsia="仿宋" w:cs="仿宋"/>
          <w:b/>
          <w:kern w:val="0"/>
          <w:sz w:val="24"/>
        </w:rPr>
        <w:t>未按实际情况填写或填写虚假信息或漏填错填，经评标委员会讨论后，应作废标处理。</w:t>
      </w:r>
    </w:p>
    <w:p>
      <w:pPr>
        <w:pStyle w:val="2"/>
        <w:rPr>
          <w:rFonts w:hint="eastAsia" w:ascii="仿宋" w:hAnsi="仿宋" w:eastAsia="仿宋" w:cs="仿宋"/>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10</w:t>
    </w:r>
    <w:r>
      <w:fldChar w:fldCharType="end"/>
    </w:r>
  </w:p>
  <w:p>
    <w:pPr>
      <w:pStyle w:val="12"/>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926A3"/>
    <w:rsid w:val="008102F1"/>
    <w:rsid w:val="008746A5"/>
    <w:rsid w:val="00B574EC"/>
    <w:rsid w:val="01466E3B"/>
    <w:rsid w:val="015E5164"/>
    <w:rsid w:val="01A56804"/>
    <w:rsid w:val="01D22213"/>
    <w:rsid w:val="02CF74C7"/>
    <w:rsid w:val="03363C91"/>
    <w:rsid w:val="033D7A41"/>
    <w:rsid w:val="03EC0177"/>
    <w:rsid w:val="04605697"/>
    <w:rsid w:val="04AD18C2"/>
    <w:rsid w:val="05171D1C"/>
    <w:rsid w:val="05D22118"/>
    <w:rsid w:val="06057AB3"/>
    <w:rsid w:val="075D4671"/>
    <w:rsid w:val="08083BE2"/>
    <w:rsid w:val="08192C9E"/>
    <w:rsid w:val="087F6B2F"/>
    <w:rsid w:val="08825D52"/>
    <w:rsid w:val="08C43471"/>
    <w:rsid w:val="09063BE3"/>
    <w:rsid w:val="09714AB2"/>
    <w:rsid w:val="09893A47"/>
    <w:rsid w:val="09C946AA"/>
    <w:rsid w:val="0A081EEC"/>
    <w:rsid w:val="0A0C6ADD"/>
    <w:rsid w:val="0A32752C"/>
    <w:rsid w:val="0B221988"/>
    <w:rsid w:val="0B677721"/>
    <w:rsid w:val="0B6A4ABD"/>
    <w:rsid w:val="0B7A7F60"/>
    <w:rsid w:val="0BA6738A"/>
    <w:rsid w:val="0BCC31F9"/>
    <w:rsid w:val="0BEC6FAC"/>
    <w:rsid w:val="0BFF003E"/>
    <w:rsid w:val="0C664690"/>
    <w:rsid w:val="0CC20BBC"/>
    <w:rsid w:val="0CCA0DE9"/>
    <w:rsid w:val="0D1F336B"/>
    <w:rsid w:val="0D3A05AE"/>
    <w:rsid w:val="0D4B1F11"/>
    <w:rsid w:val="0D8C54CA"/>
    <w:rsid w:val="0DC05477"/>
    <w:rsid w:val="0DC35837"/>
    <w:rsid w:val="0DE61498"/>
    <w:rsid w:val="0E43016E"/>
    <w:rsid w:val="0E4A451D"/>
    <w:rsid w:val="0E542111"/>
    <w:rsid w:val="0ECD0260"/>
    <w:rsid w:val="0F271BAF"/>
    <w:rsid w:val="0F9D0EBF"/>
    <w:rsid w:val="0FC81742"/>
    <w:rsid w:val="0FCF726C"/>
    <w:rsid w:val="10583EE4"/>
    <w:rsid w:val="11022023"/>
    <w:rsid w:val="110C39D4"/>
    <w:rsid w:val="11D22462"/>
    <w:rsid w:val="1297576D"/>
    <w:rsid w:val="12BF4C87"/>
    <w:rsid w:val="12E70A09"/>
    <w:rsid w:val="14206329"/>
    <w:rsid w:val="14BE3045"/>
    <w:rsid w:val="14E778FC"/>
    <w:rsid w:val="151C5ACE"/>
    <w:rsid w:val="1564694D"/>
    <w:rsid w:val="15975F51"/>
    <w:rsid w:val="15BA7CA9"/>
    <w:rsid w:val="16506EC0"/>
    <w:rsid w:val="16857DCB"/>
    <w:rsid w:val="16C66BE6"/>
    <w:rsid w:val="17125311"/>
    <w:rsid w:val="172B0457"/>
    <w:rsid w:val="17480362"/>
    <w:rsid w:val="17FC11B3"/>
    <w:rsid w:val="18107945"/>
    <w:rsid w:val="18C220A1"/>
    <w:rsid w:val="19806574"/>
    <w:rsid w:val="198738B2"/>
    <w:rsid w:val="1A126CA4"/>
    <w:rsid w:val="1A2B7D96"/>
    <w:rsid w:val="1A530AF8"/>
    <w:rsid w:val="1B1E5081"/>
    <w:rsid w:val="1B25789E"/>
    <w:rsid w:val="1B9B180A"/>
    <w:rsid w:val="1BBA1CAE"/>
    <w:rsid w:val="1BD33B78"/>
    <w:rsid w:val="1CA1346D"/>
    <w:rsid w:val="1CD85168"/>
    <w:rsid w:val="1DBB1DEC"/>
    <w:rsid w:val="1E1A21EF"/>
    <w:rsid w:val="1ED826D1"/>
    <w:rsid w:val="1EEB1EAF"/>
    <w:rsid w:val="1F484D62"/>
    <w:rsid w:val="1F5A01B0"/>
    <w:rsid w:val="1FEE11BB"/>
    <w:rsid w:val="1FF42485"/>
    <w:rsid w:val="200143C1"/>
    <w:rsid w:val="203B090D"/>
    <w:rsid w:val="20E53DA9"/>
    <w:rsid w:val="21135480"/>
    <w:rsid w:val="214D7086"/>
    <w:rsid w:val="216D5DDE"/>
    <w:rsid w:val="226F7C8D"/>
    <w:rsid w:val="2369661B"/>
    <w:rsid w:val="23785BDF"/>
    <w:rsid w:val="24130D0C"/>
    <w:rsid w:val="24B02AB7"/>
    <w:rsid w:val="24D82814"/>
    <w:rsid w:val="25784489"/>
    <w:rsid w:val="25B878E3"/>
    <w:rsid w:val="26D455CD"/>
    <w:rsid w:val="26F76768"/>
    <w:rsid w:val="27A046BC"/>
    <w:rsid w:val="27B06E99"/>
    <w:rsid w:val="27B92904"/>
    <w:rsid w:val="288B759B"/>
    <w:rsid w:val="296F669F"/>
    <w:rsid w:val="29F704EF"/>
    <w:rsid w:val="29FB2613"/>
    <w:rsid w:val="2A201066"/>
    <w:rsid w:val="2A6F5228"/>
    <w:rsid w:val="2AC220DE"/>
    <w:rsid w:val="2ADB5E21"/>
    <w:rsid w:val="2ADF08BA"/>
    <w:rsid w:val="2AF53506"/>
    <w:rsid w:val="2B400C25"/>
    <w:rsid w:val="2BF9045D"/>
    <w:rsid w:val="2C62228E"/>
    <w:rsid w:val="2C701096"/>
    <w:rsid w:val="2CB8313D"/>
    <w:rsid w:val="2D4304C2"/>
    <w:rsid w:val="2DE25FC3"/>
    <w:rsid w:val="2DEA0336"/>
    <w:rsid w:val="2E567BC7"/>
    <w:rsid w:val="2EB2531B"/>
    <w:rsid w:val="2F3D045F"/>
    <w:rsid w:val="2F7235F0"/>
    <w:rsid w:val="2F7B7E9D"/>
    <w:rsid w:val="2F7D3F84"/>
    <w:rsid w:val="2F844FB7"/>
    <w:rsid w:val="2FA80D19"/>
    <w:rsid w:val="2FAC4ADB"/>
    <w:rsid w:val="30E44C6E"/>
    <w:rsid w:val="314A4E32"/>
    <w:rsid w:val="31FF787A"/>
    <w:rsid w:val="320D29C9"/>
    <w:rsid w:val="327F2882"/>
    <w:rsid w:val="32B97BD5"/>
    <w:rsid w:val="331719A3"/>
    <w:rsid w:val="33574D5E"/>
    <w:rsid w:val="33764ED4"/>
    <w:rsid w:val="338D3BB2"/>
    <w:rsid w:val="34130850"/>
    <w:rsid w:val="34567365"/>
    <w:rsid w:val="34593B84"/>
    <w:rsid w:val="3464504B"/>
    <w:rsid w:val="35295E41"/>
    <w:rsid w:val="35F57B91"/>
    <w:rsid w:val="367C4ADB"/>
    <w:rsid w:val="367D4CB8"/>
    <w:rsid w:val="36801E51"/>
    <w:rsid w:val="36BF504B"/>
    <w:rsid w:val="36DF6E83"/>
    <w:rsid w:val="36F045DC"/>
    <w:rsid w:val="37476D63"/>
    <w:rsid w:val="37AB4837"/>
    <w:rsid w:val="37AE6E07"/>
    <w:rsid w:val="38BA7B3D"/>
    <w:rsid w:val="38C87374"/>
    <w:rsid w:val="38FF5F72"/>
    <w:rsid w:val="39082E1D"/>
    <w:rsid w:val="395F5A85"/>
    <w:rsid w:val="396C7A3A"/>
    <w:rsid w:val="3A373D2D"/>
    <w:rsid w:val="3A4477AA"/>
    <w:rsid w:val="3A56210E"/>
    <w:rsid w:val="3AAB5F59"/>
    <w:rsid w:val="3ACF7D3E"/>
    <w:rsid w:val="3AED7A37"/>
    <w:rsid w:val="3B712589"/>
    <w:rsid w:val="3BAB6723"/>
    <w:rsid w:val="3CE60871"/>
    <w:rsid w:val="3D165B9F"/>
    <w:rsid w:val="3D7933CA"/>
    <w:rsid w:val="3DA75AFA"/>
    <w:rsid w:val="3DAC3CC7"/>
    <w:rsid w:val="3DCD40EE"/>
    <w:rsid w:val="3E16524F"/>
    <w:rsid w:val="3E603844"/>
    <w:rsid w:val="3F2D02B4"/>
    <w:rsid w:val="3F327733"/>
    <w:rsid w:val="3F6B7546"/>
    <w:rsid w:val="3FCC294E"/>
    <w:rsid w:val="403D649A"/>
    <w:rsid w:val="407E15A7"/>
    <w:rsid w:val="40AA3B81"/>
    <w:rsid w:val="411C5733"/>
    <w:rsid w:val="416074D3"/>
    <w:rsid w:val="41881E45"/>
    <w:rsid w:val="426F07B5"/>
    <w:rsid w:val="42966C7E"/>
    <w:rsid w:val="42C41CE4"/>
    <w:rsid w:val="42F56D32"/>
    <w:rsid w:val="43100126"/>
    <w:rsid w:val="43163FC7"/>
    <w:rsid w:val="43372938"/>
    <w:rsid w:val="43607CCE"/>
    <w:rsid w:val="43FB6154"/>
    <w:rsid w:val="44274621"/>
    <w:rsid w:val="453B6B56"/>
    <w:rsid w:val="453C2397"/>
    <w:rsid w:val="45530393"/>
    <w:rsid w:val="458978FD"/>
    <w:rsid w:val="460F2506"/>
    <w:rsid w:val="469F7AF8"/>
    <w:rsid w:val="46C0672D"/>
    <w:rsid w:val="46DD20EA"/>
    <w:rsid w:val="47256BF6"/>
    <w:rsid w:val="47331E5D"/>
    <w:rsid w:val="478E7EAB"/>
    <w:rsid w:val="478F3581"/>
    <w:rsid w:val="47B96D86"/>
    <w:rsid w:val="47CC6C94"/>
    <w:rsid w:val="47D615F1"/>
    <w:rsid w:val="48034DA7"/>
    <w:rsid w:val="485C575C"/>
    <w:rsid w:val="48F51E8A"/>
    <w:rsid w:val="499E515C"/>
    <w:rsid w:val="49C91B40"/>
    <w:rsid w:val="49E7480F"/>
    <w:rsid w:val="4A231286"/>
    <w:rsid w:val="4AAB1461"/>
    <w:rsid w:val="4AC609CF"/>
    <w:rsid w:val="4B241572"/>
    <w:rsid w:val="4B2D29F5"/>
    <w:rsid w:val="4B590E71"/>
    <w:rsid w:val="4B754F8E"/>
    <w:rsid w:val="4BFF5B3B"/>
    <w:rsid w:val="4C091F90"/>
    <w:rsid w:val="4C7D53DD"/>
    <w:rsid w:val="4C870D35"/>
    <w:rsid w:val="4CA54934"/>
    <w:rsid w:val="4CDC0FCC"/>
    <w:rsid w:val="4D145E25"/>
    <w:rsid w:val="4D423F31"/>
    <w:rsid w:val="4D590753"/>
    <w:rsid w:val="4DA44BEC"/>
    <w:rsid w:val="4E144298"/>
    <w:rsid w:val="4E224EFA"/>
    <w:rsid w:val="4E2624CB"/>
    <w:rsid w:val="4E376DB9"/>
    <w:rsid w:val="4E716394"/>
    <w:rsid w:val="4F0A3ECF"/>
    <w:rsid w:val="4FA64C4B"/>
    <w:rsid w:val="50244D95"/>
    <w:rsid w:val="502844C8"/>
    <w:rsid w:val="502A7FE2"/>
    <w:rsid w:val="509046C2"/>
    <w:rsid w:val="50B04452"/>
    <w:rsid w:val="512E4723"/>
    <w:rsid w:val="51775E06"/>
    <w:rsid w:val="51842D6A"/>
    <w:rsid w:val="5194614B"/>
    <w:rsid w:val="51D845E4"/>
    <w:rsid w:val="529E4B2F"/>
    <w:rsid w:val="531500DE"/>
    <w:rsid w:val="533444FB"/>
    <w:rsid w:val="53B92A73"/>
    <w:rsid w:val="542C6397"/>
    <w:rsid w:val="54B115C7"/>
    <w:rsid w:val="54C824CF"/>
    <w:rsid w:val="550118EC"/>
    <w:rsid w:val="551A289F"/>
    <w:rsid w:val="552E69ED"/>
    <w:rsid w:val="554D61F6"/>
    <w:rsid w:val="557621E3"/>
    <w:rsid w:val="55C176DD"/>
    <w:rsid w:val="55C54FE9"/>
    <w:rsid w:val="55D57BE9"/>
    <w:rsid w:val="55E07717"/>
    <w:rsid w:val="562F3EBC"/>
    <w:rsid w:val="564E1990"/>
    <w:rsid w:val="58080247"/>
    <w:rsid w:val="582B3532"/>
    <w:rsid w:val="584F7343"/>
    <w:rsid w:val="58611C0B"/>
    <w:rsid w:val="58D676C3"/>
    <w:rsid w:val="59361340"/>
    <w:rsid w:val="597265D0"/>
    <w:rsid w:val="598F4BC6"/>
    <w:rsid w:val="59B23710"/>
    <w:rsid w:val="59F9507A"/>
    <w:rsid w:val="59F971DF"/>
    <w:rsid w:val="5A1C766A"/>
    <w:rsid w:val="5A8454B6"/>
    <w:rsid w:val="5AE167FC"/>
    <w:rsid w:val="5AED7D20"/>
    <w:rsid w:val="5C1B1993"/>
    <w:rsid w:val="5C473E4D"/>
    <w:rsid w:val="5C5242AB"/>
    <w:rsid w:val="5DC75D84"/>
    <w:rsid w:val="5DCF29DF"/>
    <w:rsid w:val="5E785A05"/>
    <w:rsid w:val="5F5A57B1"/>
    <w:rsid w:val="5F92485B"/>
    <w:rsid w:val="60724C55"/>
    <w:rsid w:val="60DA6D28"/>
    <w:rsid w:val="60EE397D"/>
    <w:rsid w:val="612A3DEE"/>
    <w:rsid w:val="616059E3"/>
    <w:rsid w:val="619C1A0A"/>
    <w:rsid w:val="6207048E"/>
    <w:rsid w:val="626C77AA"/>
    <w:rsid w:val="63371AD2"/>
    <w:rsid w:val="63805812"/>
    <w:rsid w:val="63D60943"/>
    <w:rsid w:val="64566BA9"/>
    <w:rsid w:val="64856097"/>
    <w:rsid w:val="649C599A"/>
    <w:rsid w:val="65535DC7"/>
    <w:rsid w:val="66B027B6"/>
    <w:rsid w:val="67B628F5"/>
    <w:rsid w:val="67F66ECB"/>
    <w:rsid w:val="686112EA"/>
    <w:rsid w:val="68BC67E4"/>
    <w:rsid w:val="68CB01DF"/>
    <w:rsid w:val="69F32F6D"/>
    <w:rsid w:val="6A534349"/>
    <w:rsid w:val="6A8D6CDC"/>
    <w:rsid w:val="6A9741FF"/>
    <w:rsid w:val="6AF577DA"/>
    <w:rsid w:val="6B567157"/>
    <w:rsid w:val="6B656B47"/>
    <w:rsid w:val="6B926633"/>
    <w:rsid w:val="6B9919CE"/>
    <w:rsid w:val="6BE15B5F"/>
    <w:rsid w:val="6C1442C8"/>
    <w:rsid w:val="6C714475"/>
    <w:rsid w:val="6CBB22B7"/>
    <w:rsid w:val="6CDB032D"/>
    <w:rsid w:val="6D891EDD"/>
    <w:rsid w:val="6DDD750E"/>
    <w:rsid w:val="6E5526FF"/>
    <w:rsid w:val="6E7D1CA3"/>
    <w:rsid w:val="6E940676"/>
    <w:rsid w:val="6EB112E2"/>
    <w:rsid w:val="6EB30FA0"/>
    <w:rsid w:val="6F2B1820"/>
    <w:rsid w:val="70092CED"/>
    <w:rsid w:val="70324A53"/>
    <w:rsid w:val="708762AD"/>
    <w:rsid w:val="70F44FD7"/>
    <w:rsid w:val="710D0440"/>
    <w:rsid w:val="7123004B"/>
    <w:rsid w:val="71297032"/>
    <w:rsid w:val="71C5585F"/>
    <w:rsid w:val="722F79A9"/>
    <w:rsid w:val="72811052"/>
    <w:rsid w:val="74235D34"/>
    <w:rsid w:val="74DA1B78"/>
    <w:rsid w:val="74EA3344"/>
    <w:rsid w:val="769C5DB2"/>
    <w:rsid w:val="76C13171"/>
    <w:rsid w:val="76FD2AF3"/>
    <w:rsid w:val="76FF2D0F"/>
    <w:rsid w:val="7703720B"/>
    <w:rsid w:val="773110F4"/>
    <w:rsid w:val="77A757BA"/>
    <w:rsid w:val="77C02A1F"/>
    <w:rsid w:val="77D476E8"/>
    <w:rsid w:val="785C25E1"/>
    <w:rsid w:val="78F32400"/>
    <w:rsid w:val="79054B3F"/>
    <w:rsid w:val="7A0E232D"/>
    <w:rsid w:val="7A500C84"/>
    <w:rsid w:val="7A52326B"/>
    <w:rsid w:val="7A7B39B5"/>
    <w:rsid w:val="7AFA3202"/>
    <w:rsid w:val="7B074C42"/>
    <w:rsid w:val="7B376834"/>
    <w:rsid w:val="7B626777"/>
    <w:rsid w:val="7BDD6724"/>
    <w:rsid w:val="7C737FE0"/>
    <w:rsid w:val="7C8254B1"/>
    <w:rsid w:val="7CA5124D"/>
    <w:rsid w:val="7CD03426"/>
    <w:rsid w:val="7CE50319"/>
    <w:rsid w:val="7D4F7978"/>
    <w:rsid w:val="7DD14801"/>
    <w:rsid w:val="7DD5413A"/>
    <w:rsid w:val="7DE92515"/>
    <w:rsid w:val="7DF5428B"/>
    <w:rsid w:val="7E135FB4"/>
    <w:rsid w:val="7F5B6E61"/>
    <w:rsid w:val="7F673679"/>
    <w:rsid w:val="7FBA63C9"/>
    <w:rsid w:val="7FF350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2"/>
    <w:basedOn w:val="1"/>
    <w:next w:val="5"/>
    <w:qFormat/>
    <w:uiPriority w:val="0"/>
    <w:pPr>
      <w:keepNext/>
      <w:keepLines/>
      <w:spacing w:before="260" w:after="260" w:line="416"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next w:val="8"/>
    <w:qFormat/>
    <w:uiPriority w:val="1"/>
    <w:pPr>
      <w:spacing w:after="120" w:afterLines="0"/>
    </w:pPr>
  </w:style>
  <w:style w:type="paragraph" w:styleId="8">
    <w:name w:val="Body Text First Indent"/>
    <w:basedOn w:val="7"/>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9">
    <w:name w:val="Body Text Indent"/>
    <w:basedOn w:val="1"/>
    <w:qFormat/>
    <w:uiPriority w:val="0"/>
    <w:pPr>
      <w:spacing w:line="480" w:lineRule="auto"/>
      <w:ind w:firstLine="600"/>
    </w:pPr>
    <w:rPr>
      <w:sz w:val="28"/>
    </w:rPr>
  </w:style>
  <w:style w:type="paragraph" w:styleId="10">
    <w:name w:val="Plain Text"/>
    <w:basedOn w:val="1"/>
    <w:qFormat/>
    <w:uiPriority w:val="0"/>
    <w:rPr>
      <w:rFonts w:hAnsi="Courier New"/>
      <w:sz w:val="20"/>
    </w:r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3">
    <w:name w:val="标题 1 Char Char"/>
    <w:qFormat/>
    <w:uiPriority w:val="0"/>
    <w:rPr>
      <w:rFonts w:eastAsia="宋体"/>
      <w:b/>
      <w:spacing w:val="-2"/>
      <w:sz w:val="24"/>
      <w:lang w:val="en-US" w:eastAsia="zh-CN"/>
    </w:rPr>
  </w:style>
  <w:style w:type="paragraph" w:customStyle="1" w:styleId="24">
    <w:name w:val="一、标题"/>
    <w:basedOn w:val="1"/>
    <w:qFormat/>
    <w:uiPriority w:val="0"/>
    <w:rPr>
      <w:b/>
      <w:sz w:val="28"/>
    </w:rPr>
  </w:style>
  <w:style w:type="paragraph" w:styleId="25">
    <w:name w:val="List Paragraph"/>
    <w:basedOn w:val="1"/>
    <w:qFormat/>
    <w:uiPriority w:val="34"/>
    <w:pPr>
      <w:ind w:firstLine="420" w:firstLineChars="200"/>
    </w:pPr>
  </w:style>
  <w:style w:type="character" w:customStyle="1" w:styleId="26">
    <w:name w:val="页眉 Char"/>
    <w:basedOn w:val="18"/>
    <w:link w:val="13"/>
    <w:qFormat/>
    <w:uiPriority w:val="0"/>
    <w:rPr>
      <w:kern w:val="2"/>
      <w:sz w:val="18"/>
      <w:szCs w:val="18"/>
    </w:rPr>
  </w:style>
  <w:style w:type="character" w:customStyle="1" w:styleId="27">
    <w:name w:val="批注框文本 Char"/>
    <w:basedOn w:val="18"/>
    <w:link w:val="11"/>
    <w:qFormat/>
    <w:uiPriority w:val="0"/>
    <w:rPr>
      <w:kern w:val="2"/>
      <w:sz w:val="18"/>
      <w:szCs w:val="18"/>
    </w:rPr>
  </w:style>
  <w:style w:type="character" w:customStyle="1" w:styleId="28">
    <w:name w:val="font31"/>
    <w:basedOn w:val="18"/>
    <w:qFormat/>
    <w:uiPriority w:val="0"/>
    <w:rPr>
      <w:rFonts w:hint="eastAsia" w:ascii="宋体" w:hAnsi="宋体" w:eastAsia="宋体" w:cs="宋体"/>
      <w:color w:val="000000"/>
      <w:sz w:val="21"/>
      <w:szCs w:val="21"/>
      <w:u w:val="none"/>
    </w:rPr>
  </w:style>
  <w:style w:type="character" w:customStyle="1" w:styleId="29">
    <w:name w:val="font21"/>
    <w:basedOn w:val="18"/>
    <w:qFormat/>
    <w:uiPriority w:val="0"/>
    <w:rPr>
      <w:rFonts w:hint="default" w:ascii="Arial" w:hAnsi="Arial" w:cs="Arial"/>
      <w:color w:val="000000"/>
      <w:sz w:val="21"/>
      <w:szCs w:val="21"/>
      <w:u w:val="none"/>
    </w:rPr>
  </w:style>
  <w:style w:type="paragraph" w:customStyle="1" w:styleId="30">
    <w:name w:val="列出段落1"/>
    <w:basedOn w:val="1"/>
    <w:qFormat/>
    <w:uiPriority w:val="34"/>
    <w:pPr>
      <w:ind w:firstLine="420" w:firstLineChars="200"/>
    </w:pPr>
  </w:style>
  <w:style w:type="character" w:customStyle="1" w:styleId="31">
    <w:name w:val="font01"/>
    <w:basedOn w:val="18"/>
    <w:qFormat/>
    <w:uiPriority w:val="0"/>
    <w:rPr>
      <w:rFonts w:hint="default" w:ascii="Times New Roman" w:hAnsi="Times New Roman" w:cs="Times New Roman"/>
      <w:color w:val="000000"/>
      <w:sz w:val="21"/>
      <w:szCs w:val="21"/>
      <w:u w:val="none"/>
    </w:rPr>
  </w:style>
  <w:style w:type="character" w:customStyle="1" w:styleId="32">
    <w:name w:val="font11"/>
    <w:basedOn w:val="18"/>
    <w:qFormat/>
    <w:uiPriority w:val="0"/>
    <w:rPr>
      <w:rFonts w:ascii="Arial" w:hAnsi="Arial" w:cs="Arial"/>
      <w:color w:val="000000"/>
      <w:sz w:val="16"/>
      <w:szCs w:val="16"/>
      <w:u w:val="none"/>
    </w:rPr>
  </w:style>
  <w:style w:type="character" w:customStyle="1" w:styleId="33">
    <w:name w:val="font41"/>
    <w:basedOn w:val="18"/>
    <w:qFormat/>
    <w:uiPriority w:val="0"/>
    <w:rPr>
      <w:rFonts w:hint="default" w:ascii="Times New Roman" w:hAnsi="Times New Roman" w:cs="Times New Roman"/>
      <w:color w:val="000000"/>
      <w:sz w:val="22"/>
      <w:szCs w:val="22"/>
      <w:u w:val="none"/>
    </w:rPr>
  </w:style>
  <w:style w:type="character" w:customStyle="1" w:styleId="34">
    <w:name w:val="font51"/>
    <w:basedOn w:val="1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12908</Words>
  <Characters>15411</Characters>
  <Lines>53</Lines>
  <Paragraphs>15</Paragraphs>
  <TotalTime>40</TotalTime>
  <ScaleCrop>false</ScaleCrop>
  <LinksUpToDate>false</LinksUpToDate>
  <CharactersWithSpaces>16068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2021-01-26T03:38:00Z</cp:lastPrinted>
  <dcterms:modified xsi:type="dcterms:W3CDTF">2023-05-10T01:40:50Z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1F71F5A51FA94D70BA43EBBF9DE737EB</vt:lpwstr>
  </property>
</Properties>
</file>