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default"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202307004</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临江公司木托盘</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1"/>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1"/>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1"/>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1"/>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一批木托盘</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202307004</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木托盘</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采购规格及数量：</w:t>
      </w:r>
    </w:p>
    <w:tbl>
      <w:tblPr>
        <w:tblStyle w:val="13"/>
        <w:tblW w:w="9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7762"/>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137"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物资名称</w:t>
            </w:r>
          </w:p>
        </w:tc>
        <w:tc>
          <w:tcPr>
            <w:tcW w:w="7762"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要求</w:t>
            </w:r>
          </w:p>
        </w:tc>
        <w:tc>
          <w:tcPr>
            <w:tcW w:w="963"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木托盘</w:t>
            </w:r>
          </w:p>
        </w:tc>
        <w:tc>
          <w:tcPr>
            <w:tcW w:w="7762" w:type="dxa"/>
            <w:noWrap w:val="0"/>
            <w:vAlign w:val="center"/>
          </w:tcPr>
          <w:p>
            <w:pPr>
              <w:pStyle w:val="7"/>
              <w:spacing w:line="360" w:lineRule="auto"/>
              <w:ind w:firstLine="0"/>
              <w:rPr>
                <w:rFonts w:hint="eastAsia" w:ascii="仿宋" w:hAnsi="仿宋" w:eastAsia="仿宋" w:cs="仿宋"/>
                <w:sz w:val="21"/>
                <w:szCs w:val="21"/>
              </w:rPr>
            </w:pPr>
            <w:r>
              <w:rPr>
                <w:rFonts w:hint="eastAsia" w:ascii="仿宋" w:hAnsi="仿宋" w:eastAsia="仿宋" w:cs="仿宋"/>
                <w:sz w:val="21"/>
                <w:szCs w:val="21"/>
              </w:rPr>
              <w:t>1.长*宽∶1200mm*1000mm</w:t>
            </w:r>
            <w:r>
              <w:rPr>
                <w:rFonts w:hint="eastAsia" w:ascii="仿宋" w:hAnsi="仿宋" w:eastAsia="仿宋" w:cs="仿宋"/>
                <w:sz w:val="21"/>
                <w:szCs w:val="21"/>
                <w:lang w:val="en-US" w:eastAsia="zh-CN"/>
              </w:rPr>
              <w:t>（误差±10mm）</w:t>
            </w:r>
            <w:r>
              <w:rPr>
                <w:rFonts w:hint="eastAsia" w:ascii="仿宋" w:hAnsi="仿宋" w:eastAsia="仿宋" w:cs="仿宋"/>
                <w:sz w:val="21"/>
                <w:szCs w:val="21"/>
              </w:rPr>
              <w:t>，</w:t>
            </w:r>
            <w:r>
              <w:rPr>
                <w:rFonts w:hint="eastAsia" w:ascii="仿宋" w:hAnsi="仿宋" w:eastAsia="仿宋" w:cs="仿宋"/>
                <w:sz w:val="21"/>
                <w:szCs w:val="21"/>
                <w:lang w:val="en-US" w:eastAsia="zh-CN"/>
              </w:rPr>
              <w:t>木托盘为单面使用双向进叉托盘，叉孔高度不小于100毫米、误差±3mm，示意图如下图。</w:t>
            </w:r>
          </w:p>
          <w:p>
            <w:pPr>
              <w:pStyle w:val="7"/>
              <w:spacing w:line="360" w:lineRule="auto"/>
              <w:ind w:firstLine="0"/>
              <w:rPr>
                <w:rFonts w:hint="eastAsia" w:ascii="仿宋" w:hAnsi="仿宋" w:eastAsia="仿宋" w:cs="仿宋"/>
                <w:sz w:val="21"/>
                <w:szCs w:val="21"/>
              </w:rPr>
            </w:pPr>
            <w:r>
              <w:rPr>
                <w:rFonts w:hint="eastAsia" w:ascii="仿宋" w:hAnsi="仿宋" w:eastAsia="仿宋" w:cs="仿宋"/>
                <w:sz w:val="21"/>
                <w:szCs w:val="21"/>
              </w:rPr>
              <w:t>2.木托盘由顶铺板+支撑梁+底铺板组成；顶铺板厚度不小于18mm、误差±1mm；单板宽度不小于</w:t>
            </w:r>
            <w:r>
              <w:rPr>
                <w:rFonts w:hint="eastAsia" w:ascii="仿宋" w:hAnsi="仿宋" w:eastAsia="仿宋" w:cs="仿宋"/>
                <w:sz w:val="21"/>
                <w:szCs w:val="21"/>
                <w:lang w:val="en-US" w:eastAsia="zh-CN"/>
              </w:rPr>
              <w:t>7</w:t>
            </w:r>
            <w:r>
              <w:rPr>
                <w:rFonts w:hint="eastAsia" w:ascii="仿宋" w:hAnsi="仿宋" w:eastAsia="仿宋" w:cs="仿宋"/>
                <w:sz w:val="21"/>
                <w:szCs w:val="21"/>
              </w:rPr>
              <w:t>0mm，板与板的间隙不能超过50mm，误差±3mm，数量不小于10块/个；支撑梁应采用截面不小于50*100mm全新实木方制作，误差±3mm；底铺板厚度不小于10mm、误差±1mm；单板宽度不小于75mm、误差±3mm，数量为3块/个；其他按照GB/T2934-2007要求执行。</w:t>
            </w:r>
          </w:p>
          <w:p>
            <w:pPr>
              <w:pStyle w:val="7"/>
              <w:spacing w:line="360" w:lineRule="auto"/>
              <w:ind w:firstLine="0"/>
              <w:rPr>
                <w:rFonts w:hint="eastAsia" w:ascii="仿宋" w:hAnsi="仿宋" w:eastAsia="仿宋" w:cs="仿宋"/>
                <w:sz w:val="21"/>
                <w:szCs w:val="21"/>
                <w:lang w:eastAsia="zh-CN"/>
              </w:rPr>
            </w:pPr>
            <w:r>
              <w:rPr>
                <w:rFonts w:hint="eastAsia" w:ascii="仿宋" w:hAnsi="仿宋" w:eastAsia="仿宋" w:cs="仿宋"/>
                <w:sz w:val="21"/>
                <w:szCs w:val="21"/>
              </w:rPr>
              <w:t>3.木质要求：为全新的实木材质，木质坚硬耐用，不得为多层板、刨花板等复合材质；板面必须平整、无污染、无开裂现象，节疤或者边皮不得过多影响托盘使用或者降低托盘性能</w:t>
            </w:r>
            <w:r>
              <w:rPr>
                <w:rFonts w:hint="eastAsia" w:ascii="仿宋" w:hAnsi="仿宋" w:eastAsia="仿宋" w:cs="仿宋"/>
                <w:sz w:val="21"/>
                <w:szCs w:val="21"/>
                <w:lang w:eastAsia="zh-CN"/>
              </w:rPr>
              <w:t>。</w:t>
            </w:r>
          </w:p>
          <w:p>
            <w:pPr>
              <w:pStyle w:val="7"/>
              <w:spacing w:line="360" w:lineRule="auto"/>
              <w:ind w:firstLine="0"/>
              <w:rPr>
                <w:rFonts w:hint="eastAsia" w:ascii="仿宋" w:hAnsi="仿宋" w:eastAsia="仿宋" w:cs="仿宋"/>
                <w:sz w:val="21"/>
                <w:szCs w:val="21"/>
                <w:lang w:eastAsia="zh-CN"/>
              </w:rPr>
            </w:pPr>
            <w:r>
              <w:rPr>
                <w:rFonts w:hint="eastAsia" w:ascii="仿宋" w:hAnsi="仿宋" w:eastAsia="仿宋" w:cs="仿宋"/>
                <w:sz w:val="21"/>
                <w:szCs w:val="21"/>
              </w:rPr>
              <w:t>4.每个接缝处的钉子为螺纹卷钉或铁钉，并且钉子的数量不得少于两个</w:t>
            </w:r>
            <w:r>
              <w:rPr>
                <w:rFonts w:hint="eastAsia" w:ascii="仿宋" w:hAnsi="仿宋" w:eastAsia="仿宋" w:cs="仿宋"/>
                <w:sz w:val="21"/>
                <w:szCs w:val="21"/>
                <w:lang w:eastAsia="zh-CN"/>
              </w:rPr>
              <w:t>。</w:t>
            </w:r>
          </w:p>
          <w:p>
            <w:pPr>
              <w:pStyle w:val="7"/>
              <w:spacing w:line="360" w:lineRule="auto"/>
              <w:ind w:firstLine="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额定静载荷不小于</w:t>
            </w:r>
            <w:r>
              <w:rPr>
                <w:rFonts w:hint="eastAsia" w:ascii="仿宋" w:hAnsi="仿宋" w:eastAsia="仿宋" w:cs="仿宋"/>
                <w:sz w:val="21"/>
                <w:szCs w:val="21"/>
                <w:lang w:val="en-US" w:eastAsia="zh-CN"/>
              </w:rPr>
              <w:t>20</w:t>
            </w:r>
            <w:r>
              <w:rPr>
                <w:rFonts w:hint="eastAsia" w:ascii="仿宋" w:hAnsi="仿宋" w:eastAsia="仿宋" w:cs="仿宋"/>
                <w:sz w:val="21"/>
                <w:szCs w:val="21"/>
              </w:rPr>
              <w:t>00KG，额定动载荷不小于1</w:t>
            </w:r>
            <w:r>
              <w:rPr>
                <w:rFonts w:hint="eastAsia" w:ascii="仿宋" w:hAnsi="仿宋" w:eastAsia="仿宋" w:cs="仿宋"/>
                <w:sz w:val="21"/>
                <w:szCs w:val="21"/>
                <w:lang w:val="en-US" w:eastAsia="zh-CN"/>
              </w:rPr>
              <w:t>5</w:t>
            </w:r>
            <w:r>
              <w:rPr>
                <w:rFonts w:hint="eastAsia" w:ascii="仿宋" w:hAnsi="仿宋" w:eastAsia="仿宋" w:cs="仿宋"/>
                <w:sz w:val="21"/>
                <w:szCs w:val="21"/>
              </w:rPr>
              <w:t>00KG。</w:t>
            </w:r>
          </w:p>
        </w:tc>
        <w:tc>
          <w:tcPr>
            <w:tcW w:w="963"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1200</w:t>
            </w:r>
            <w:r>
              <w:rPr>
                <w:rFonts w:hint="eastAsia" w:ascii="仿宋" w:hAnsi="仿宋" w:eastAsia="仿宋" w:cs="仿宋"/>
                <w:sz w:val="21"/>
                <w:szCs w:val="21"/>
              </w:rPr>
              <w:t>个</w:t>
            </w:r>
          </w:p>
        </w:tc>
      </w:tr>
    </w:tbl>
    <w:p>
      <w:pPr>
        <w:pStyle w:val="6"/>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eastAsia" w:ascii="仿宋" w:hAnsi="仿宋" w:eastAsia="仿宋" w:cs="仿宋"/>
          <w:sz w:val="30"/>
          <w:szCs w:val="30"/>
          <w:lang w:val="en-US" w:eastAsia="zh-CN"/>
        </w:rPr>
      </w:pPr>
      <w:r>
        <w:rPr>
          <w:rFonts w:hint="eastAsia" w:ascii="仿宋" w:hAnsi="仿宋" w:eastAsia="仿宋" w:cs="仿宋"/>
          <w:sz w:val="21"/>
          <w:szCs w:val="21"/>
          <w:lang w:eastAsia="zh-CN"/>
        </w:rPr>
        <w:drawing>
          <wp:inline distT="0" distB="0" distL="114300" distR="114300">
            <wp:extent cx="5591810" cy="1657350"/>
            <wp:effectExtent l="0" t="0" r="8890" b="0"/>
            <wp:docPr id="6" name="图片 6" descr="736662c58d89102b79e2605f2176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36662c58d89102b79e2605f2176a27"/>
                    <pic:cNvPicPr>
                      <a:picLocks noChangeAspect="1"/>
                    </pic:cNvPicPr>
                  </pic:nvPicPr>
                  <pic:blipFill>
                    <a:blip r:embed="rId5"/>
                    <a:stretch>
                      <a:fillRect/>
                    </a:stretch>
                  </pic:blipFill>
                  <pic:spPr>
                    <a:xfrm>
                      <a:off x="0" y="0"/>
                      <a:ext cx="5591810" cy="16573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4.样品</w:t>
      </w:r>
      <w:r>
        <w:rPr>
          <w:rFonts w:hint="default" w:ascii="仿宋" w:hAnsi="仿宋" w:eastAsia="仿宋" w:cs="仿宋"/>
          <w:sz w:val="30"/>
          <w:szCs w:val="30"/>
          <w:lang w:val="en-US" w:eastAsia="zh-CN"/>
        </w:rPr>
        <w:t>要求：</w:t>
      </w:r>
      <w:r>
        <w:rPr>
          <w:rFonts w:hint="eastAsia" w:ascii="仿宋" w:hAnsi="仿宋" w:eastAsia="仿宋" w:cs="仿宋"/>
          <w:sz w:val="30"/>
          <w:szCs w:val="30"/>
          <w:lang w:val="en-US" w:eastAsia="zh-CN"/>
        </w:rPr>
        <w:t>报价人需提供尺寸不小于250mm*300mm且符合询价文件要求的木托盘样品一个，作为现场评判和后续验收标准。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w:t>
      </w:r>
      <w:r>
        <w:rPr>
          <w:rFonts w:hint="eastAsia" w:ascii="仿宋" w:hAnsi="仿宋" w:eastAsia="仿宋" w:cs="仿宋"/>
          <w:sz w:val="30"/>
          <w:szCs w:val="30"/>
          <w:lang w:val="en-US" w:eastAsia="zh-CN"/>
        </w:rPr>
        <w:t>单价限价为72元/个，总金额限价</w:t>
      </w:r>
      <w:r>
        <w:rPr>
          <w:rFonts w:hint="eastAsia" w:ascii="仿宋" w:hAnsi="仿宋" w:eastAsia="仿宋" w:cs="仿宋"/>
          <w:sz w:val="30"/>
          <w:szCs w:val="30"/>
        </w:rPr>
        <w:t>为</w:t>
      </w:r>
      <w:r>
        <w:rPr>
          <w:rFonts w:hint="eastAsia" w:ascii="仿宋" w:hAnsi="仿宋" w:eastAsia="仿宋" w:cs="仿宋"/>
          <w:sz w:val="30"/>
          <w:szCs w:val="30"/>
          <w:lang w:val="en-US" w:eastAsia="zh-CN"/>
        </w:rPr>
        <w:t>8.64万</w:t>
      </w:r>
      <w:r>
        <w:rPr>
          <w:rFonts w:hint="eastAsia" w:ascii="仿宋" w:hAnsi="仿宋" w:eastAsia="仿宋" w:cs="仿宋"/>
          <w:sz w:val="30"/>
          <w:szCs w:val="30"/>
        </w:rPr>
        <w:t>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6.询价文件下载地址：杭州临江环境能源有限公司网站。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rPr>
      </w:pPr>
      <w:bookmarkStart w:id="6" w:name="_Toc530583923"/>
      <w:bookmarkStart w:id="7" w:name="_Toc530583880"/>
      <w:r>
        <w:rPr>
          <w:rFonts w:hint="eastAsia" w:ascii="仿宋" w:hAnsi="仿宋" w:eastAsia="仿宋" w:cs="仿宋"/>
          <w:b/>
          <w:bCs/>
          <w:sz w:val="30"/>
          <w:szCs w:val="30"/>
          <w:lang w:eastAsia="zh-CN"/>
        </w:rPr>
        <w:t>三</w:t>
      </w:r>
      <w:r>
        <w:rPr>
          <w:rFonts w:hint="eastAsia" w:ascii="仿宋" w:hAnsi="仿宋" w:eastAsia="仿宋" w:cs="仿宋"/>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1.报价时间：2023年7月18日10:40前。</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2.报价地点：杭州市钱塘区临江街道红十五线与观十五线交叉口（杭州临江环境能源有限公司科研楼二楼开评标室）。</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1）本次询价开标采用线上和线下同时进行的方式，报价人可参与现场开标，现场提交报价文件，也可以通过线下邮寄报价文件，线上参加“腾讯会议”形式参与线上现场开标。开标期间报价人代表通过“腾讯会议”保持全程在线直至开标结束。</w:t>
      </w:r>
      <w:r>
        <w:rPr>
          <w:rFonts w:hint="eastAsia" w:ascii="仿宋" w:hAnsi="仿宋" w:eastAsia="仿宋" w:cs="仿宋"/>
          <w:b/>
          <w:bCs/>
          <w:sz w:val="30"/>
          <w:szCs w:val="30"/>
          <w:lang w:eastAsia="zh-CN"/>
        </w:rPr>
        <w:t>腾讯会议号在开标当日</w:t>
      </w:r>
      <w:r>
        <w:rPr>
          <w:rFonts w:hint="eastAsia" w:ascii="仿宋" w:hAnsi="仿宋" w:eastAsia="仿宋" w:cs="仿宋"/>
          <w:b/>
          <w:bCs/>
          <w:sz w:val="30"/>
          <w:szCs w:val="30"/>
          <w:lang w:val="en-US" w:eastAsia="zh-CN"/>
        </w:rPr>
        <w:t>10:20之前在杭州临江环境能源有限公司网站公示，请各报价人及时关注进入会场。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密封性检查：由本项目监管人负责查验</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文件密封性情况；</w:t>
      </w:r>
      <w:r>
        <w:rPr>
          <w:rFonts w:hint="eastAsia" w:ascii="仿宋" w:hAnsi="仿宋" w:eastAsia="仿宋" w:cs="仿宋"/>
          <w:sz w:val="30"/>
          <w:szCs w:val="30"/>
          <w:lang w:eastAsia="zh-CN"/>
        </w:rPr>
        <w:t>报价人</w:t>
      </w:r>
      <w:r>
        <w:rPr>
          <w:rFonts w:hint="eastAsia" w:ascii="仿宋" w:hAnsi="仿宋" w:eastAsia="仿宋" w:cs="仿宋"/>
          <w:sz w:val="30"/>
          <w:szCs w:val="30"/>
        </w:rPr>
        <w:t>代表</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文件密封情况</w:t>
      </w:r>
      <w:r>
        <w:rPr>
          <w:rFonts w:hint="eastAsia" w:ascii="仿宋" w:hAnsi="仿宋" w:eastAsia="仿宋" w:cs="仿宋"/>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）结果</w:t>
      </w:r>
      <w:r>
        <w:rPr>
          <w:rFonts w:hint="eastAsia" w:ascii="仿宋" w:hAnsi="仿宋" w:eastAsia="仿宋" w:cs="仿宋"/>
          <w:sz w:val="30"/>
          <w:szCs w:val="30"/>
        </w:rPr>
        <w:t>确认：在结果确认阶段，本项目</w:t>
      </w:r>
      <w:r>
        <w:rPr>
          <w:rFonts w:hint="eastAsia" w:ascii="仿宋" w:hAnsi="仿宋" w:eastAsia="仿宋" w:cs="仿宋"/>
          <w:sz w:val="30"/>
          <w:szCs w:val="30"/>
          <w:lang w:eastAsia="zh-CN"/>
        </w:rPr>
        <w:t>采购</w:t>
      </w:r>
      <w:r>
        <w:rPr>
          <w:rFonts w:hint="eastAsia" w:ascii="仿宋" w:hAnsi="仿宋" w:eastAsia="仿宋" w:cs="仿宋"/>
          <w:sz w:val="30"/>
          <w:szCs w:val="30"/>
        </w:rPr>
        <w:t>人通过“腾讯会议”直播间要求各</w:t>
      </w:r>
      <w:r>
        <w:rPr>
          <w:rFonts w:hint="eastAsia" w:ascii="仿宋" w:hAnsi="仿宋" w:eastAsia="仿宋" w:cs="仿宋"/>
          <w:sz w:val="30"/>
          <w:szCs w:val="30"/>
          <w:lang w:eastAsia="zh-CN"/>
        </w:rPr>
        <w:t>报价人</w:t>
      </w:r>
      <w:r>
        <w:rPr>
          <w:rFonts w:hint="eastAsia" w:ascii="仿宋" w:hAnsi="仿宋" w:eastAsia="仿宋" w:cs="仿宋"/>
          <w:sz w:val="30"/>
          <w:szCs w:val="30"/>
        </w:rPr>
        <w:t>确认开标标录结果，各</w:t>
      </w:r>
      <w:r>
        <w:rPr>
          <w:rFonts w:hint="eastAsia" w:ascii="仿宋" w:hAnsi="仿宋" w:eastAsia="仿宋" w:cs="仿宋"/>
          <w:sz w:val="30"/>
          <w:szCs w:val="30"/>
          <w:lang w:eastAsia="zh-CN"/>
        </w:rPr>
        <w:t>报价人</w:t>
      </w:r>
      <w:r>
        <w:rPr>
          <w:rFonts w:hint="eastAsia" w:ascii="仿宋" w:hAnsi="仿宋" w:eastAsia="仿宋" w:cs="仿宋"/>
          <w:sz w:val="30"/>
          <w:szCs w:val="30"/>
        </w:rPr>
        <w:t>在线回复确认标录结果完毕后（</w:t>
      </w:r>
      <w:r>
        <w:rPr>
          <w:rFonts w:hint="eastAsia" w:ascii="仿宋" w:hAnsi="仿宋" w:eastAsia="仿宋" w:cs="仿宋"/>
          <w:sz w:val="30"/>
          <w:szCs w:val="30"/>
          <w:lang w:eastAsia="zh-CN"/>
        </w:rPr>
        <w:t>报价人</w:t>
      </w:r>
      <w:r>
        <w:rPr>
          <w:rFonts w:hint="eastAsia" w:ascii="仿宋" w:hAnsi="仿宋" w:eastAsia="仿宋" w:cs="仿宋"/>
          <w:sz w:val="30"/>
          <w:szCs w:val="30"/>
        </w:rPr>
        <w:t>因故未能确认标录结果的，默认</w:t>
      </w:r>
      <w:r>
        <w:rPr>
          <w:rFonts w:hint="eastAsia" w:ascii="仿宋" w:hAnsi="仿宋" w:eastAsia="仿宋" w:cs="仿宋"/>
          <w:sz w:val="30"/>
          <w:szCs w:val="30"/>
          <w:lang w:eastAsia="zh-CN"/>
        </w:rPr>
        <w:t>报价人</w:t>
      </w:r>
      <w:r>
        <w:rPr>
          <w:rFonts w:hint="eastAsia" w:ascii="仿宋" w:hAnsi="仿宋" w:eastAsia="仿宋" w:cs="仿宋"/>
          <w:sz w:val="30"/>
          <w:szCs w:val="30"/>
        </w:rPr>
        <w:t>已确认开标结果），</w:t>
      </w:r>
      <w:r>
        <w:rPr>
          <w:rFonts w:hint="eastAsia" w:ascii="仿宋" w:hAnsi="仿宋" w:eastAsia="仿宋" w:cs="仿宋"/>
          <w:sz w:val="30"/>
          <w:szCs w:val="30"/>
          <w:lang w:eastAsia="zh-CN"/>
        </w:rPr>
        <w:t>采购人</w:t>
      </w:r>
      <w:r>
        <w:rPr>
          <w:rFonts w:hint="eastAsia" w:ascii="仿宋" w:hAnsi="仿宋" w:eastAsia="仿宋" w:cs="仿宋"/>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见证要求：开标期间</w:t>
      </w:r>
      <w:r>
        <w:rPr>
          <w:rFonts w:hint="eastAsia" w:ascii="仿宋" w:hAnsi="仿宋" w:eastAsia="仿宋" w:cs="仿宋"/>
          <w:sz w:val="30"/>
          <w:szCs w:val="30"/>
          <w:lang w:eastAsia="zh-CN"/>
        </w:rPr>
        <w:t>报价人</w:t>
      </w:r>
      <w:r>
        <w:rPr>
          <w:rFonts w:hint="eastAsia" w:ascii="仿宋" w:hAnsi="仿宋" w:eastAsia="仿宋" w:cs="仿宋"/>
          <w:sz w:val="30"/>
          <w:szCs w:val="30"/>
        </w:rPr>
        <w:t>因未参与</w:t>
      </w:r>
      <w:r>
        <w:rPr>
          <w:rFonts w:hint="eastAsia" w:ascii="仿宋" w:hAnsi="仿宋" w:eastAsia="仿宋" w:cs="仿宋"/>
          <w:sz w:val="30"/>
          <w:szCs w:val="30"/>
          <w:lang w:eastAsia="zh-CN"/>
        </w:rPr>
        <w:t>现场开标或者未参加</w:t>
      </w:r>
      <w:r>
        <w:rPr>
          <w:rFonts w:hint="eastAsia" w:ascii="仿宋" w:hAnsi="仿宋" w:eastAsia="仿宋" w:cs="仿宋"/>
          <w:sz w:val="30"/>
          <w:szCs w:val="30"/>
        </w:rPr>
        <w:t>线上直播</w:t>
      </w:r>
      <w:r>
        <w:rPr>
          <w:rFonts w:hint="eastAsia" w:ascii="仿宋" w:hAnsi="仿宋" w:eastAsia="仿宋" w:cs="仿宋"/>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w:t>
      </w:r>
      <w:r>
        <w:rPr>
          <w:rFonts w:hint="eastAsia" w:ascii="仿宋" w:hAnsi="仿宋" w:eastAsia="仿宋" w:cs="仿宋"/>
          <w:sz w:val="30"/>
          <w:szCs w:val="30"/>
        </w:rPr>
        <w:t>异议处理：</w:t>
      </w:r>
      <w:r>
        <w:rPr>
          <w:rFonts w:hint="eastAsia" w:ascii="仿宋" w:hAnsi="仿宋" w:eastAsia="仿宋" w:cs="仿宋"/>
          <w:sz w:val="30"/>
          <w:szCs w:val="30"/>
          <w:lang w:eastAsia="zh-CN"/>
        </w:rPr>
        <w:t>报价人</w:t>
      </w:r>
      <w:r>
        <w:rPr>
          <w:rFonts w:hint="eastAsia" w:ascii="仿宋" w:hAnsi="仿宋" w:eastAsia="仿宋" w:cs="仿宋"/>
          <w:sz w:val="30"/>
          <w:szCs w:val="30"/>
        </w:rPr>
        <w:t>对开标过程有异议的，应在开标会议结束前通过“腾讯会议”</w:t>
      </w:r>
      <w:r>
        <w:rPr>
          <w:rFonts w:hint="eastAsia" w:ascii="仿宋" w:hAnsi="仿宋" w:eastAsia="仿宋" w:cs="仿宋"/>
          <w:sz w:val="30"/>
          <w:szCs w:val="30"/>
          <w:lang w:eastAsia="zh-CN"/>
        </w:rPr>
        <w:t>在线上</w:t>
      </w:r>
      <w:r>
        <w:rPr>
          <w:rFonts w:hint="eastAsia" w:ascii="仿宋" w:hAnsi="仿宋" w:eastAsia="仿宋" w:cs="仿宋"/>
          <w:sz w:val="30"/>
          <w:szCs w:val="30"/>
        </w:rPr>
        <w:t>提出，</w:t>
      </w:r>
      <w:r>
        <w:rPr>
          <w:rFonts w:hint="eastAsia" w:ascii="仿宋" w:hAnsi="仿宋" w:eastAsia="仿宋" w:cs="仿宋"/>
          <w:sz w:val="30"/>
          <w:szCs w:val="30"/>
          <w:lang w:eastAsia="zh-CN"/>
        </w:rPr>
        <w:t>采购人</w:t>
      </w:r>
      <w:r>
        <w:rPr>
          <w:rFonts w:hint="eastAsia" w:ascii="仿宋" w:hAnsi="仿宋" w:eastAsia="仿宋" w:cs="仿宋"/>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w:t>
      </w:r>
      <w:r>
        <w:rPr>
          <w:rFonts w:hint="eastAsia" w:ascii="仿宋" w:hAnsi="仿宋" w:eastAsia="仿宋" w:cs="仿宋"/>
          <w:sz w:val="30"/>
          <w:szCs w:val="30"/>
        </w:rPr>
        <w:t>邮寄地址：杭州市钱塘区临江街道红十五线与观十五线交叉口杭州临江环境能源有限公司科研楼投资发展部  </w:t>
      </w:r>
      <w:r>
        <w:rPr>
          <w:rFonts w:hint="eastAsia" w:ascii="仿宋" w:hAnsi="仿宋" w:eastAsia="仿宋" w:cs="仿宋"/>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、联系人</w:t>
      </w:r>
      <w:r>
        <w:rPr>
          <w:rFonts w:hint="eastAsia" w:ascii="仿宋" w:hAnsi="仿宋" w:eastAsia="仿宋" w:cs="仿宋"/>
          <w:sz w:val="30"/>
          <w:szCs w:val="30"/>
        </w:rPr>
        <w:t>：</w:t>
      </w:r>
      <w:r>
        <w:rPr>
          <w:rFonts w:hint="eastAsia" w:ascii="仿宋" w:hAnsi="仿宋" w:eastAsia="仿宋" w:cs="仿宋"/>
          <w:sz w:val="30"/>
          <w:szCs w:val="30"/>
          <w:lang w:val="en-US" w:eastAsia="zh-CN"/>
        </w:rPr>
        <w:t>顾</w:t>
      </w:r>
      <w:r>
        <w:rPr>
          <w:rFonts w:hint="eastAsia" w:ascii="仿宋" w:hAnsi="仿宋" w:eastAsia="仿宋" w:cs="仿宋"/>
          <w:sz w:val="30"/>
          <w:szCs w:val="30"/>
        </w:rPr>
        <w:t xml:space="preserve">工   </w:t>
      </w:r>
      <w:r>
        <w:rPr>
          <w:rFonts w:hint="eastAsia" w:ascii="仿宋" w:hAnsi="仿宋" w:eastAsia="仿宋" w:cs="仿宋"/>
          <w:sz w:val="30"/>
          <w:szCs w:val="30"/>
          <w:lang w:val="en-US"/>
        </w:rPr>
        <w:t xml:space="preserve"> </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、监督部门</w:t>
      </w:r>
      <w:r>
        <w:rPr>
          <w:rFonts w:hint="eastAsia" w:ascii="仿宋" w:hAnsi="仿宋" w:eastAsia="仿宋" w:cs="仿宋"/>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 w:hAnsi="仿宋" w:eastAsia="仿宋" w:cs="仿宋"/>
          <w:sz w:val="30"/>
          <w:szCs w:val="30"/>
          <w:lang w:val="en-US" w:eastAsia="zh-CN"/>
        </w:rPr>
        <w:t>2023</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7月11</w:t>
      </w:r>
      <w:r>
        <w:rPr>
          <w:rFonts w:hint="eastAsia" w:ascii="仿宋" w:hAnsi="仿宋" w:eastAsia="仿宋" w:cs="仿宋"/>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 w:hAnsi="仿宋" w:eastAsia="仿宋" w:cs="仿宋"/>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”系指杭州临江环境能源有限公司。</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三、采购报价。</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val="en-US" w:eastAsia="zh-CN"/>
        </w:rPr>
        <w:t>运输</w:t>
      </w:r>
      <w:r>
        <w:rPr>
          <w:rFonts w:hint="eastAsia" w:ascii="仿宋" w:hAnsi="仿宋" w:eastAsia="仿宋" w:cs="仿宋"/>
          <w:sz w:val="30"/>
          <w:szCs w:val="30"/>
        </w:rPr>
        <w:t>费</w:t>
      </w:r>
      <w:r>
        <w:rPr>
          <w:rFonts w:hint="eastAsia" w:ascii="仿宋" w:hAnsi="仿宋" w:eastAsia="仿宋" w:cs="仿宋"/>
          <w:sz w:val="30"/>
          <w:szCs w:val="30"/>
          <w:lang w:val="en-US" w:eastAsia="zh-CN"/>
        </w:rPr>
        <w:t>和</w:t>
      </w:r>
      <w:r>
        <w:rPr>
          <w:rFonts w:hint="eastAsia" w:ascii="仿宋" w:hAnsi="仿宋" w:eastAsia="仿宋" w:cs="仿宋"/>
          <w:sz w:val="30"/>
          <w:szCs w:val="30"/>
        </w:rPr>
        <w:t>税费等。</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五、报价文件的组成。</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3.报价一览表（附件三）；</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4.产品质量保证承诺函（附件</w:t>
      </w:r>
      <w:r>
        <w:rPr>
          <w:rFonts w:hint="eastAsia" w:ascii="仿宋" w:hAnsi="仿宋" w:eastAsia="仿宋" w:cs="仿宋"/>
          <w:sz w:val="30"/>
          <w:szCs w:val="30"/>
          <w:lang w:val="en-US" w:eastAsia="zh-CN"/>
        </w:rPr>
        <w:t>四</w:t>
      </w:r>
      <w:r>
        <w:rPr>
          <w:rFonts w:hint="eastAsia" w:ascii="仿宋" w:hAnsi="仿宋" w:eastAsia="仿宋" w:cs="仿宋"/>
          <w:sz w:val="30"/>
          <w:szCs w:val="30"/>
        </w:rPr>
        <w:t>）；</w:t>
      </w:r>
    </w:p>
    <w:p>
      <w:pPr>
        <w:pageBreakBefore w:val="0"/>
        <w:kinsoku/>
        <w:wordWrap/>
        <w:topLinePunct w:val="0"/>
        <w:bidi w:val="0"/>
        <w:snapToGrid w:val="0"/>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.有效资质证明并加盖公章：通过年检的营业执照复印件。报价文件装订密封，并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val="en-US" w:eastAsia="zh-CN"/>
        </w:rPr>
        <w:t>报价人</w:t>
      </w:r>
      <w:r>
        <w:rPr>
          <w:rFonts w:hint="eastAsia" w:ascii="仿宋" w:hAnsi="仿宋" w:eastAsia="仿宋" w:cs="仿宋"/>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pageBreakBefore w:val="0"/>
        <w:kinsoku/>
        <w:wordWrap/>
        <w:topLinePunct w:val="0"/>
        <w:bidi w:val="0"/>
        <w:snapToGrid w:val="0"/>
        <w:spacing w:line="360" w:lineRule="auto"/>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val="en-US"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val="en-US" w:eastAsia="zh-CN"/>
        </w:rPr>
        <w:t>采购人</w:t>
      </w:r>
      <w:r>
        <w:rPr>
          <w:rFonts w:hint="eastAsia" w:ascii="仿宋" w:hAnsi="仿宋" w:eastAsia="仿宋" w:cs="仿宋"/>
          <w:sz w:val="30"/>
          <w:szCs w:val="30"/>
        </w:rPr>
        <w:t>对报价文件的误投和提前启封不负责任。</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接受</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val="en-US"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val="en-US"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val="en-US"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pageBreakBefore w:val="0"/>
        <w:kinsoku/>
        <w:wordWrap/>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val="en-US" w:eastAsia="zh-CN"/>
        </w:rPr>
        <w:t>采购人</w:t>
      </w:r>
      <w:r>
        <w:rPr>
          <w:rFonts w:hint="eastAsia" w:ascii="仿宋" w:hAnsi="仿宋" w:eastAsia="仿宋" w:cs="仿宋"/>
          <w:sz w:val="30"/>
          <w:szCs w:val="30"/>
        </w:rPr>
        <w:t>可视情况作无效报价处理：</w:t>
      </w:r>
    </w:p>
    <w:p>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val="en-US" w:eastAsia="zh-CN"/>
        </w:rPr>
        <w:t>采购人</w:t>
      </w:r>
      <w:r>
        <w:rPr>
          <w:rFonts w:hint="eastAsia" w:ascii="仿宋" w:hAnsi="仿宋" w:eastAsia="仿宋" w:cs="仿宋"/>
          <w:sz w:val="30"/>
          <w:szCs w:val="30"/>
        </w:rPr>
        <w:t>规定的截止时间以后送达的报价文件。</w:t>
      </w:r>
    </w:p>
    <w:p>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（三）报价文件应盖公章而未盖公章或盖非公司公章、未装订、</w:t>
      </w:r>
      <w:r>
        <w:rPr>
          <w:rFonts w:hint="eastAsia" w:ascii="仿宋" w:hAnsi="仿宋" w:eastAsia="仿宋" w:cs="仿宋"/>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val="0"/>
          <w:caps w:val="0"/>
          <w:kern w:val="2"/>
          <w:sz w:val="30"/>
          <w:szCs w:val="30"/>
          <w:lang w:val="en-US" w:eastAsia="zh-CN" w:bidi="ar-SA"/>
        </w:rPr>
      </w:pPr>
      <w:r>
        <w:rPr>
          <w:rFonts w:hint="eastAsia" w:ascii="仿宋" w:hAnsi="仿宋" w:eastAsia="仿宋" w:cs="仿宋"/>
          <w:b w:val="0"/>
          <w:caps w:val="0"/>
          <w:kern w:val="2"/>
          <w:sz w:val="30"/>
          <w:szCs w:val="30"/>
          <w:lang w:val="en-US" w:eastAsia="zh-CN" w:bidi="ar-SA"/>
        </w:rPr>
        <w:t>（六）未按要求缴纳报价保证金的。</w:t>
      </w:r>
    </w:p>
    <w:p>
      <w:pPr>
        <w:pStyle w:val="5"/>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 xml:space="preserve">  九、询价过程。</w:t>
      </w:r>
    </w:p>
    <w:p>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val="en-US"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组织评审小组对各单位的报价资料进行审核，在满足</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要求的前提下，按经评审通过后总金额最低价成交的原则确定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若出现税率不一致的情况，以除税</w:t>
      </w:r>
      <w:r>
        <w:rPr>
          <w:rFonts w:hint="eastAsia" w:ascii="仿宋" w:hAnsi="仿宋" w:eastAsia="仿宋" w:cs="仿宋"/>
          <w:sz w:val="30"/>
          <w:szCs w:val="30"/>
          <w:lang w:eastAsia="zh-CN"/>
        </w:rPr>
        <w:t>总金额</w:t>
      </w:r>
      <w:r>
        <w:rPr>
          <w:rFonts w:hint="eastAsia" w:ascii="仿宋" w:hAnsi="仿宋" w:eastAsia="仿宋" w:cs="仿宋"/>
          <w:sz w:val="30"/>
          <w:szCs w:val="30"/>
        </w:rPr>
        <w:t>相对比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除税总金额=含税总金额/(1+税率</w:t>
      </w:r>
      <w:r>
        <w:rPr>
          <w:rFonts w:hint="eastAsia" w:ascii="仿宋" w:hAnsi="仿宋" w:eastAsia="仿宋" w:cs="仿宋"/>
          <w:sz w:val="30"/>
          <w:szCs w:val="30"/>
          <w:lang w:eastAsia="zh-CN"/>
        </w:rPr>
        <w:t>）】</w:t>
      </w:r>
      <w:r>
        <w:rPr>
          <w:rFonts w:hint="eastAsia" w:ascii="仿宋" w:hAnsi="仿宋" w:eastAsia="仿宋" w:cs="仿宋"/>
          <w:sz w:val="30"/>
          <w:szCs w:val="30"/>
        </w:rPr>
        <w:t>。如果出现相同总金额最低报价情况时，总金额最低报价相同的</w:t>
      </w:r>
      <w:r>
        <w:rPr>
          <w:rFonts w:hint="eastAsia" w:ascii="仿宋" w:hAnsi="仿宋" w:eastAsia="仿宋" w:cs="仿宋"/>
          <w:sz w:val="30"/>
          <w:szCs w:val="30"/>
          <w:lang w:val="en-US" w:eastAsia="zh-CN"/>
        </w:rPr>
        <w:t>报价人</w:t>
      </w:r>
      <w:r>
        <w:rPr>
          <w:rFonts w:hint="eastAsia" w:ascii="仿宋" w:hAnsi="仿宋" w:eastAsia="仿宋" w:cs="仿宋"/>
          <w:sz w:val="30"/>
          <w:szCs w:val="30"/>
        </w:rPr>
        <w:t>再进行一轮报价。如报价再相同，则由</w:t>
      </w:r>
      <w:r>
        <w:rPr>
          <w:rFonts w:hint="eastAsia" w:ascii="仿宋" w:hAnsi="仿宋" w:eastAsia="仿宋" w:cs="仿宋"/>
          <w:sz w:val="30"/>
          <w:szCs w:val="30"/>
          <w:lang w:val="en-US" w:eastAsia="zh-CN"/>
        </w:rPr>
        <w:t>采购人</w:t>
      </w:r>
      <w:r>
        <w:rPr>
          <w:rFonts w:hint="eastAsia" w:ascii="仿宋" w:hAnsi="仿宋" w:eastAsia="仿宋" w:cs="仿宋"/>
          <w:sz w:val="30"/>
          <w:szCs w:val="30"/>
        </w:rPr>
        <w:t>抽签决定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w:t>
      </w:r>
    </w:p>
    <w:p>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w:t>
      </w:r>
      <w:r>
        <w:rPr>
          <w:rFonts w:hint="eastAsia" w:ascii="仿宋" w:hAnsi="仿宋" w:eastAsia="仿宋" w:cs="仿宋"/>
          <w:sz w:val="30"/>
          <w:szCs w:val="30"/>
          <w:lang w:val="en-US" w:eastAsia="zh-CN"/>
        </w:rPr>
        <w:t>采购人</w:t>
      </w:r>
      <w:r>
        <w:rPr>
          <w:rFonts w:hint="eastAsia" w:ascii="仿宋" w:hAnsi="仿宋" w:eastAsia="仿宋" w:cs="仿宋"/>
          <w:sz w:val="30"/>
          <w:szCs w:val="30"/>
        </w:rPr>
        <w:t>不向未</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val="en-US" w:eastAsia="zh-CN"/>
        </w:rPr>
        <w:t>报价人</w:t>
      </w:r>
      <w:r>
        <w:rPr>
          <w:rFonts w:hint="eastAsia" w:ascii="仿宋" w:hAnsi="仿宋" w:eastAsia="仿宋" w:cs="仿宋"/>
          <w:sz w:val="30"/>
          <w:szCs w:val="30"/>
        </w:rPr>
        <w:t>按照上述第十</w:t>
      </w:r>
      <w:r>
        <w:rPr>
          <w:rFonts w:hint="eastAsia" w:ascii="仿宋" w:hAnsi="仿宋" w:eastAsia="仿宋" w:cs="仿宋"/>
          <w:sz w:val="30"/>
          <w:szCs w:val="30"/>
          <w:lang w:eastAsia="zh-CN"/>
        </w:rPr>
        <w:t>一</w:t>
      </w:r>
      <w:r>
        <w:rPr>
          <w:rFonts w:hint="eastAsia" w:ascii="仿宋" w:hAnsi="仿宋" w:eastAsia="仿宋" w:cs="仿宋"/>
          <w:sz w:val="30"/>
          <w:szCs w:val="30"/>
        </w:rPr>
        <w:t>条规定确定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6"/>
        <w:ind w:left="0" w:leftChars="0" w:firstLine="0" w:firstLineChars="0"/>
        <w:rPr>
          <w:rFonts w:hint="eastAsia" w:ascii="仿宋" w:hAnsi="仿宋" w:eastAsia="仿宋" w:cs="仿宋"/>
          <w:snapToGrid w:val="0"/>
          <w:sz w:val="44"/>
          <w:szCs w:val="44"/>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w:t>
      </w:r>
      <w:r>
        <w:rPr>
          <w:rFonts w:hint="eastAsia" w:ascii="仿宋" w:hAnsi="仿宋" w:eastAsia="仿宋" w:cs="仿宋"/>
          <w:sz w:val="30"/>
          <w:szCs w:val="30"/>
          <w:lang w:val="en-US" w:eastAsia="zh-CN"/>
        </w:rPr>
        <w:t>数量</w:t>
      </w:r>
      <w:r>
        <w:rPr>
          <w:rFonts w:hint="eastAsia" w:ascii="仿宋" w:hAnsi="仿宋" w:eastAsia="仿宋" w:cs="仿宋"/>
          <w:sz w:val="24"/>
          <w:szCs w:val="24"/>
        </w:rPr>
        <w:t>：</w:t>
      </w:r>
    </w:p>
    <w:tbl>
      <w:tblPr>
        <w:tblStyle w:val="13"/>
        <w:tblW w:w="9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7762"/>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137"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物资名称</w:t>
            </w:r>
          </w:p>
        </w:tc>
        <w:tc>
          <w:tcPr>
            <w:tcW w:w="7762"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要求</w:t>
            </w:r>
          </w:p>
        </w:tc>
        <w:tc>
          <w:tcPr>
            <w:tcW w:w="963"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木托盘</w:t>
            </w:r>
          </w:p>
        </w:tc>
        <w:tc>
          <w:tcPr>
            <w:tcW w:w="7762" w:type="dxa"/>
            <w:noWrap w:val="0"/>
            <w:vAlign w:val="center"/>
          </w:tcPr>
          <w:p>
            <w:pPr>
              <w:pStyle w:val="7"/>
              <w:spacing w:line="360" w:lineRule="auto"/>
              <w:ind w:firstLine="0"/>
              <w:rPr>
                <w:rFonts w:hint="eastAsia" w:ascii="仿宋" w:hAnsi="仿宋" w:eastAsia="仿宋" w:cs="仿宋"/>
                <w:sz w:val="21"/>
                <w:szCs w:val="21"/>
              </w:rPr>
            </w:pPr>
            <w:r>
              <w:rPr>
                <w:rFonts w:hint="eastAsia" w:ascii="仿宋" w:hAnsi="仿宋" w:eastAsia="仿宋" w:cs="仿宋"/>
                <w:sz w:val="21"/>
                <w:szCs w:val="21"/>
              </w:rPr>
              <w:t>1.长*宽∶1200mm*1000mm</w:t>
            </w:r>
            <w:r>
              <w:rPr>
                <w:rFonts w:hint="eastAsia" w:ascii="仿宋" w:hAnsi="仿宋" w:eastAsia="仿宋" w:cs="仿宋"/>
                <w:sz w:val="21"/>
                <w:szCs w:val="21"/>
                <w:lang w:val="en-US" w:eastAsia="zh-CN"/>
              </w:rPr>
              <w:t>（误差±10mm）</w:t>
            </w:r>
            <w:r>
              <w:rPr>
                <w:rFonts w:hint="eastAsia" w:ascii="仿宋" w:hAnsi="仿宋" w:eastAsia="仿宋" w:cs="仿宋"/>
                <w:sz w:val="21"/>
                <w:szCs w:val="21"/>
              </w:rPr>
              <w:t>，</w:t>
            </w:r>
            <w:r>
              <w:rPr>
                <w:rFonts w:hint="eastAsia" w:ascii="仿宋" w:hAnsi="仿宋" w:eastAsia="仿宋" w:cs="仿宋"/>
                <w:sz w:val="21"/>
                <w:szCs w:val="21"/>
                <w:lang w:val="en-US" w:eastAsia="zh-CN"/>
              </w:rPr>
              <w:t>木托盘为单面使用双向进叉托盘，叉孔高度不小于100毫米、误差±3mm，示意图如下图。</w:t>
            </w:r>
          </w:p>
          <w:p>
            <w:pPr>
              <w:pStyle w:val="7"/>
              <w:spacing w:line="360" w:lineRule="auto"/>
              <w:ind w:firstLine="0"/>
              <w:rPr>
                <w:rFonts w:hint="eastAsia" w:ascii="仿宋" w:hAnsi="仿宋" w:eastAsia="仿宋" w:cs="仿宋"/>
                <w:sz w:val="21"/>
                <w:szCs w:val="21"/>
              </w:rPr>
            </w:pPr>
            <w:r>
              <w:rPr>
                <w:rFonts w:hint="eastAsia" w:ascii="仿宋" w:hAnsi="仿宋" w:eastAsia="仿宋" w:cs="仿宋"/>
                <w:sz w:val="21"/>
                <w:szCs w:val="21"/>
              </w:rPr>
              <w:t>2.木托盘由顶铺板+支撑梁+底铺板组成；顶铺板厚度不小于18mm、误差±1mm；单板宽度不小于</w:t>
            </w:r>
            <w:r>
              <w:rPr>
                <w:rFonts w:hint="eastAsia" w:ascii="仿宋" w:hAnsi="仿宋" w:eastAsia="仿宋" w:cs="仿宋"/>
                <w:sz w:val="21"/>
                <w:szCs w:val="21"/>
                <w:lang w:val="en-US" w:eastAsia="zh-CN"/>
              </w:rPr>
              <w:t>7</w:t>
            </w:r>
            <w:r>
              <w:rPr>
                <w:rFonts w:hint="eastAsia" w:ascii="仿宋" w:hAnsi="仿宋" w:eastAsia="仿宋" w:cs="仿宋"/>
                <w:sz w:val="21"/>
                <w:szCs w:val="21"/>
              </w:rPr>
              <w:t>0mm，板与板的间隙不能超过50mm，误差±3mm，数量不小于10块/个；支撑梁应采用截面不小于50*100mm全新实木方制作，误差±3mm；底铺板厚度不小于10mm、误差±1mm；单板宽度不小于75mm、误差±3mm，数量为3块/个；其他按照GB/T2934-2007要求执行。</w:t>
            </w:r>
          </w:p>
          <w:p>
            <w:pPr>
              <w:pStyle w:val="7"/>
              <w:spacing w:line="360" w:lineRule="auto"/>
              <w:ind w:firstLine="0"/>
              <w:rPr>
                <w:rFonts w:hint="eastAsia" w:ascii="仿宋" w:hAnsi="仿宋" w:eastAsia="仿宋" w:cs="仿宋"/>
                <w:sz w:val="21"/>
                <w:szCs w:val="21"/>
                <w:lang w:eastAsia="zh-CN"/>
              </w:rPr>
            </w:pPr>
            <w:r>
              <w:rPr>
                <w:rFonts w:hint="eastAsia" w:ascii="仿宋" w:hAnsi="仿宋" w:eastAsia="仿宋" w:cs="仿宋"/>
                <w:sz w:val="21"/>
                <w:szCs w:val="21"/>
              </w:rPr>
              <w:t>3.木质要求：为全新的实木材质，木质坚硬耐用，不得为多层板、刨花板等复合材质；板面必须平整、无污染、无开裂现象，节疤或者边皮不得过多影响托盘使用或者降低托盘性能</w:t>
            </w:r>
            <w:r>
              <w:rPr>
                <w:rFonts w:hint="eastAsia" w:ascii="仿宋" w:hAnsi="仿宋" w:eastAsia="仿宋" w:cs="仿宋"/>
                <w:sz w:val="21"/>
                <w:szCs w:val="21"/>
                <w:lang w:eastAsia="zh-CN"/>
              </w:rPr>
              <w:t>。</w:t>
            </w:r>
          </w:p>
          <w:p>
            <w:pPr>
              <w:pStyle w:val="7"/>
              <w:spacing w:line="360" w:lineRule="auto"/>
              <w:ind w:firstLine="0"/>
              <w:rPr>
                <w:rFonts w:hint="eastAsia" w:ascii="仿宋" w:hAnsi="仿宋" w:eastAsia="仿宋" w:cs="仿宋"/>
                <w:sz w:val="21"/>
                <w:szCs w:val="21"/>
                <w:lang w:eastAsia="zh-CN"/>
              </w:rPr>
            </w:pPr>
            <w:r>
              <w:rPr>
                <w:rFonts w:hint="eastAsia" w:ascii="仿宋" w:hAnsi="仿宋" w:eastAsia="仿宋" w:cs="仿宋"/>
                <w:sz w:val="21"/>
                <w:szCs w:val="21"/>
              </w:rPr>
              <w:t>4.每个接缝处的钉子为螺纹卷钉或铁钉，并且钉子的数量不得少于两个</w:t>
            </w:r>
            <w:r>
              <w:rPr>
                <w:rFonts w:hint="eastAsia" w:ascii="仿宋" w:hAnsi="仿宋" w:eastAsia="仿宋" w:cs="仿宋"/>
                <w:sz w:val="21"/>
                <w:szCs w:val="21"/>
                <w:lang w:eastAsia="zh-CN"/>
              </w:rPr>
              <w:t>。</w:t>
            </w:r>
          </w:p>
          <w:p>
            <w:pPr>
              <w:pStyle w:val="7"/>
              <w:spacing w:line="360" w:lineRule="auto"/>
              <w:ind w:firstLine="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额定静载荷不小于</w:t>
            </w:r>
            <w:r>
              <w:rPr>
                <w:rFonts w:hint="eastAsia" w:ascii="仿宋" w:hAnsi="仿宋" w:eastAsia="仿宋" w:cs="仿宋"/>
                <w:sz w:val="21"/>
                <w:szCs w:val="21"/>
                <w:lang w:val="en-US" w:eastAsia="zh-CN"/>
              </w:rPr>
              <w:t>20</w:t>
            </w:r>
            <w:r>
              <w:rPr>
                <w:rFonts w:hint="eastAsia" w:ascii="仿宋" w:hAnsi="仿宋" w:eastAsia="仿宋" w:cs="仿宋"/>
                <w:sz w:val="21"/>
                <w:szCs w:val="21"/>
              </w:rPr>
              <w:t>00KG，额定动载荷不小于1</w:t>
            </w:r>
            <w:r>
              <w:rPr>
                <w:rFonts w:hint="eastAsia" w:ascii="仿宋" w:hAnsi="仿宋" w:eastAsia="仿宋" w:cs="仿宋"/>
                <w:sz w:val="21"/>
                <w:szCs w:val="21"/>
                <w:lang w:val="en-US" w:eastAsia="zh-CN"/>
              </w:rPr>
              <w:t>5</w:t>
            </w:r>
            <w:r>
              <w:rPr>
                <w:rFonts w:hint="eastAsia" w:ascii="仿宋" w:hAnsi="仿宋" w:eastAsia="仿宋" w:cs="仿宋"/>
                <w:sz w:val="21"/>
                <w:szCs w:val="21"/>
              </w:rPr>
              <w:t>00KG。</w:t>
            </w:r>
          </w:p>
        </w:tc>
        <w:tc>
          <w:tcPr>
            <w:tcW w:w="963"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1200</w:t>
            </w:r>
            <w:r>
              <w:rPr>
                <w:rFonts w:hint="eastAsia" w:ascii="仿宋" w:hAnsi="仿宋" w:eastAsia="仿宋" w:cs="仿宋"/>
                <w:sz w:val="21"/>
                <w:szCs w:val="21"/>
              </w:rPr>
              <w:t>个</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仿宋" w:hAnsi="仿宋" w:eastAsia="仿宋" w:cs="仿宋"/>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仿宋" w:hAnsi="仿宋" w:eastAsia="仿宋" w:cs="仿宋"/>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textAlignment w:val="baseline"/>
        <w:rPr>
          <w:rFonts w:hint="eastAsia" w:ascii="仿宋" w:hAnsi="仿宋" w:eastAsia="仿宋" w:cs="仿宋"/>
          <w:sz w:val="24"/>
          <w:szCs w:val="24"/>
        </w:rPr>
      </w:pPr>
      <w:r>
        <w:rPr>
          <w:rFonts w:hint="eastAsia" w:ascii="仿宋" w:hAnsi="仿宋" w:eastAsia="仿宋" w:cs="仿宋"/>
          <w:sz w:val="21"/>
          <w:szCs w:val="21"/>
          <w:lang w:eastAsia="zh-CN"/>
        </w:rPr>
        <w:drawing>
          <wp:inline distT="0" distB="0" distL="114300" distR="114300">
            <wp:extent cx="5591810" cy="1657350"/>
            <wp:effectExtent l="0" t="0" r="8890" b="0"/>
            <wp:docPr id="4" name="图片 4" descr="736662c58d89102b79e2605f2176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36662c58d89102b79e2605f2176a27"/>
                    <pic:cNvPicPr>
                      <a:picLocks noChangeAspect="1"/>
                    </pic:cNvPicPr>
                  </pic:nvPicPr>
                  <pic:blipFill>
                    <a:blip r:embed="rId5"/>
                    <a:stretch>
                      <a:fillRect/>
                    </a:stretch>
                  </pic:blipFill>
                  <pic:spPr>
                    <a:xfrm>
                      <a:off x="0" y="0"/>
                      <a:ext cx="5591810" cy="1657350"/>
                    </a:xfrm>
                    <a:prstGeom prst="rect">
                      <a:avLst/>
                    </a:prstGeom>
                  </pic:spPr>
                </pic:pic>
              </a:graphicData>
            </a:graphic>
          </wp:inline>
        </w:drawing>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val="en-US" w:eastAsia="zh-CN"/>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三</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四</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临江公司木托盘采购项目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202307004</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临江公司木托盘采购项目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202307004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2023年临江公司木托盘采购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pStyle w:val="11"/>
        <w:jc w:val="center"/>
        <w:rPr>
          <w:rFonts w:hint="eastAsia" w:ascii="仿宋" w:hAnsi="仿宋" w:eastAsia="仿宋" w:cs="仿宋"/>
          <w:b w:val="0"/>
          <w:bCs w:val="0"/>
          <w:color w:val="auto"/>
        </w:rPr>
      </w:pPr>
    </w:p>
    <w:tbl>
      <w:tblPr>
        <w:tblStyle w:val="13"/>
        <w:tblW w:w="9472"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4814"/>
        <w:gridCol w:w="672"/>
        <w:gridCol w:w="965"/>
        <w:gridCol w:w="96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091"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物资名称</w:t>
            </w:r>
          </w:p>
        </w:tc>
        <w:tc>
          <w:tcPr>
            <w:tcW w:w="4814" w:type="dxa"/>
            <w:noWrap w:val="0"/>
            <w:vAlign w:val="center"/>
          </w:tcPr>
          <w:p>
            <w:pPr>
              <w:spacing w:line="360" w:lineRule="auto"/>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规格参数</w:t>
            </w:r>
          </w:p>
        </w:tc>
        <w:tc>
          <w:tcPr>
            <w:tcW w:w="672"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数量</w:t>
            </w:r>
          </w:p>
        </w:tc>
        <w:tc>
          <w:tcPr>
            <w:tcW w:w="965" w:type="dxa"/>
            <w:noWrap w:val="0"/>
            <w:vAlign w:val="center"/>
          </w:tcPr>
          <w:p>
            <w:pPr>
              <w:spacing w:line="360" w:lineRule="auto"/>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限价（元）</w:t>
            </w:r>
          </w:p>
        </w:tc>
        <w:tc>
          <w:tcPr>
            <w:tcW w:w="965" w:type="dxa"/>
            <w:noWrap w:val="0"/>
            <w:vAlign w:val="center"/>
          </w:tcPr>
          <w:p>
            <w:pPr>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单价（元）</w:t>
            </w:r>
          </w:p>
        </w:tc>
        <w:tc>
          <w:tcPr>
            <w:tcW w:w="965" w:type="dxa"/>
            <w:noWrap w:val="0"/>
            <w:vAlign w:val="center"/>
          </w:tcPr>
          <w:p>
            <w:pPr>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木托盘</w:t>
            </w:r>
          </w:p>
        </w:tc>
        <w:tc>
          <w:tcPr>
            <w:tcW w:w="4814" w:type="dxa"/>
            <w:noWrap w:val="0"/>
            <w:vAlign w:val="center"/>
          </w:tcPr>
          <w:p>
            <w:pPr>
              <w:pStyle w:val="7"/>
              <w:spacing w:line="360" w:lineRule="auto"/>
              <w:ind w:firstLine="0"/>
              <w:rPr>
                <w:rFonts w:hint="eastAsia" w:ascii="仿宋" w:hAnsi="仿宋" w:eastAsia="仿宋" w:cs="仿宋"/>
                <w:sz w:val="21"/>
                <w:szCs w:val="21"/>
              </w:rPr>
            </w:pPr>
            <w:r>
              <w:rPr>
                <w:rFonts w:hint="eastAsia" w:ascii="仿宋" w:hAnsi="仿宋" w:eastAsia="仿宋" w:cs="仿宋"/>
                <w:sz w:val="21"/>
                <w:szCs w:val="21"/>
              </w:rPr>
              <w:t>1.长*宽∶1200mm*1000mm</w:t>
            </w:r>
            <w:r>
              <w:rPr>
                <w:rFonts w:hint="eastAsia" w:ascii="仿宋" w:hAnsi="仿宋" w:eastAsia="仿宋" w:cs="仿宋"/>
                <w:sz w:val="21"/>
                <w:szCs w:val="21"/>
                <w:lang w:val="en-US" w:eastAsia="zh-CN"/>
              </w:rPr>
              <w:t>（误差±10mm）</w:t>
            </w:r>
            <w:r>
              <w:rPr>
                <w:rFonts w:hint="eastAsia" w:ascii="仿宋" w:hAnsi="仿宋" w:eastAsia="仿宋" w:cs="仿宋"/>
                <w:sz w:val="21"/>
                <w:szCs w:val="21"/>
              </w:rPr>
              <w:t>，</w:t>
            </w:r>
            <w:r>
              <w:rPr>
                <w:rFonts w:hint="eastAsia" w:ascii="仿宋" w:hAnsi="仿宋" w:eastAsia="仿宋" w:cs="仿宋"/>
                <w:sz w:val="21"/>
                <w:szCs w:val="21"/>
                <w:lang w:val="en-US" w:eastAsia="zh-CN"/>
              </w:rPr>
              <w:t>木托盘为单面使用双向进叉托盘，叉孔高度不小于100毫米、误差±3mm。</w:t>
            </w:r>
          </w:p>
          <w:p>
            <w:pPr>
              <w:pStyle w:val="7"/>
              <w:spacing w:line="360" w:lineRule="auto"/>
              <w:ind w:firstLine="0"/>
              <w:rPr>
                <w:rFonts w:hint="eastAsia" w:ascii="仿宋" w:hAnsi="仿宋" w:eastAsia="仿宋" w:cs="仿宋"/>
                <w:sz w:val="21"/>
                <w:szCs w:val="21"/>
              </w:rPr>
            </w:pPr>
            <w:r>
              <w:rPr>
                <w:rFonts w:hint="eastAsia" w:ascii="仿宋" w:hAnsi="仿宋" w:eastAsia="仿宋" w:cs="仿宋"/>
                <w:sz w:val="21"/>
                <w:szCs w:val="21"/>
              </w:rPr>
              <w:t>2.木托盘由顶铺板+支撑梁+底铺板组成；顶铺板厚度不小于18mm、误差±1mm；单板宽度不小于</w:t>
            </w:r>
            <w:r>
              <w:rPr>
                <w:rFonts w:hint="eastAsia" w:ascii="仿宋" w:hAnsi="仿宋" w:eastAsia="仿宋" w:cs="仿宋"/>
                <w:sz w:val="21"/>
                <w:szCs w:val="21"/>
                <w:lang w:val="en-US" w:eastAsia="zh-CN"/>
              </w:rPr>
              <w:t>7</w:t>
            </w:r>
            <w:r>
              <w:rPr>
                <w:rFonts w:hint="eastAsia" w:ascii="仿宋" w:hAnsi="仿宋" w:eastAsia="仿宋" w:cs="仿宋"/>
                <w:sz w:val="21"/>
                <w:szCs w:val="21"/>
              </w:rPr>
              <w:t>0mm，板与板的间隙不能超过50mm，误差±3mm，数量不小于10块/个；支撑梁应采用截面不小于50*100mm全新实木方制作，误差±3mm；底铺板厚度不小于10mm、误差±1mm；单板宽度不小于75mm、误差±3mm，数量为3块/个；其他按照GB/T2934-2007要求执行。</w:t>
            </w:r>
          </w:p>
          <w:p>
            <w:pPr>
              <w:pStyle w:val="7"/>
              <w:spacing w:line="360" w:lineRule="auto"/>
              <w:ind w:firstLine="0"/>
              <w:rPr>
                <w:rFonts w:hint="eastAsia" w:ascii="仿宋" w:hAnsi="仿宋" w:eastAsia="仿宋" w:cs="仿宋"/>
                <w:sz w:val="21"/>
                <w:szCs w:val="21"/>
                <w:lang w:eastAsia="zh-CN"/>
              </w:rPr>
            </w:pPr>
            <w:r>
              <w:rPr>
                <w:rFonts w:hint="eastAsia" w:ascii="仿宋" w:hAnsi="仿宋" w:eastAsia="仿宋" w:cs="仿宋"/>
                <w:sz w:val="21"/>
                <w:szCs w:val="21"/>
              </w:rPr>
              <w:t>3.木质要求：为全新的实木材质，木质坚硬耐用，不得为多层板、刨花板等复合材质；板面必须平整、无污染、无开裂现象，节疤或者边皮不得过多影响托盘使用或者降低托盘性能</w:t>
            </w:r>
            <w:r>
              <w:rPr>
                <w:rFonts w:hint="eastAsia" w:ascii="仿宋" w:hAnsi="仿宋" w:eastAsia="仿宋" w:cs="仿宋"/>
                <w:sz w:val="21"/>
                <w:szCs w:val="21"/>
                <w:lang w:eastAsia="zh-CN"/>
              </w:rPr>
              <w:t>。</w:t>
            </w:r>
          </w:p>
          <w:p>
            <w:pPr>
              <w:pStyle w:val="7"/>
              <w:spacing w:line="360" w:lineRule="auto"/>
              <w:ind w:firstLine="0"/>
              <w:rPr>
                <w:rFonts w:hint="eastAsia" w:ascii="仿宋" w:hAnsi="仿宋" w:eastAsia="仿宋" w:cs="仿宋"/>
                <w:sz w:val="21"/>
                <w:szCs w:val="21"/>
                <w:lang w:eastAsia="zh-CN"/>
              </w:rPr>
            </w:pPr>
            <w:r>
              <w:rPr>
                <w:rFonts w:hint="eastAsia" w:ascii="仿宋" w:hAnsi="仿宋" w:eastAsia="仿宋" w:cs="仿宋"/>
                <w:sz w:val="21"/>
                <w:szCs w:val="21"/>
              </w:rPr>
              <w:t>4.每个接缝处的钉子为螺纹卷钉或铁钉，并且钉子的数量不得少于两个</w:t>
            </w:r>
            <w:r>
              <w:rPr>
                <w:rFonts w:hint="eastAsia" w:ascii="仿宋" w:hAnsi="仿宋" w:eastAsia="仿宋" w:cs="仿宋"/>
                <w:sz w:val="21"/>
                <w:szCs w:val="21"/>
                <w:lang w:eastAsia="zh-CN"/>
              </w:rPr>
              <w:t>。</w:t>
            </w:r>
          </w:p>
          <w:p>
            <w:pPr>
              <w:pStyle w:val="7"/>
              <w:spacing w:line="360" w:lineRule="auto"/>
              <w:ind w:firstLine="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额定静载荷不小于</w:t>
            </w:r>
            <w:r>
              <w:rPr>
                <w:rFonts w:hint="eastAsia" w:ascii="仿宋" w:hAnsi="仿宋" w:eastAsia="仿宋" w:cs="仿宋"/>
                <w:sz w:val="21"/>
                <w:szCs w:val="21"/>
                <w:lang w:val="en-US" w:eastAsia="zh-CN"/>
              </w:rPr>
              <w:t>20</w:t>
            </w:r>
            <w:r>
              <w:rPr>
                <w:rFonts w:hint="eastAsia" w:ascii="仿宋" w:hAnsi="仿宋" w:eastAsia="仿宋" w:cs="仿宋"/>
                <w:sz w:val="21"/>
                <w:szCs w:val="21"/>
              </w:rPr>
              <w:t>00KG，额定动载荷不小于1</w:t>
            </w:r>
            <w:r>
              <w:rPr>
                <w:rFonts w:hint="eastAsia" w:ascii="仿宋" w:hAnsi="仿宋" w:eastAsia="仿宋" w:cs="仿宋"/>
                <w:sz w:val="21"/>
                <w:szCs w:val="21"/>
                <w:lang w:val="en-US" w:eastAsia="zh-CN"/>
              </w:rPr>
              <w:t>5</w:t>
            </w:r>
            <w:r>
              <w:rPr>
                <w:rFonts w:hint="eastAsia" w:ascii="仿宋" w:hAnsi="仿宋" w:eastAsia="仿宋" w:cs="仿宋"/>
                <w:sz w:val="21"/>
                <w:szCs w:val="21"/>
              </w:rPr>
              <w:t>00KG。</w:t>
            </w:r>
          </w:p>
        </w:tc>
        <w:tc>
          <w:tcPr>
            <w:tcW w:w="672"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1200</w:t>
            </w:r>
            <w:r>
              <w:rPr>
                <w:rFonts w:hint="eastAsia" w:ascii="仿宋" w:hAnsi="仿宋" w:eastAsia="仿宋" w:cs="仿宋"/>
                <w:sz w:val="21"/>
                <w:szCs w:val="21"/>
              </w:rPr>
              <w:t>个</w:t>
            </w:r>
          </w:p>
        </w:tc>
        <w:tc>
          <w:tcPr>
            <w:tcW w:w="965" w:type="dxa"/>
            <w:noWrap w:val="0"/>
            <w:vAlign w:val="center"/>
          </w:tcPr>
          <w:p>
            <w:pPr>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72</w:t>
            </w:r>
          </w:p>
        </w:tc>
        <w:tc>
          <w:tcPr>
            <w:tcW w:w="965" w:type="dxa"/>
            <w:noWrap w:val="0"/>
            <w:vAlign w:val="center"/>
          </w:tcPr>
          <w:p>
            <w:pPr>
              <w:spacing w:line="360" w:lineRule="auto"/>
              <w:jc w:val="center"/>
              <w:rPr>
                <w:rFonts w:hint="eastAsia" w:ascii="仿宋" w:hAnsi="仿宋" w:eastAsia="仿宋" w:cs="仿宋"/>
                <w:sz w:val="21"/>
                <w:szCs w:val="21"/>
                <w:lang w:val="en-US" w:eastAsia="zh-CN"/>
              </w:rPr>
            </w:pPr>
          </w:p>
        </w:tc>
        <w:tc>
          <w:tcPr>
            <w:tcW w:w="965" w:type="dxa"/>
            <w:noWrap w:val="0"/>
            <w:vAlign w:val="center"/>
          </w:tcPr>
          <w:p>
            <w:pPr>
              <w:spacing w:line="360" w:lineRule="auto"/>
              <w:jc w:val="center"/>
              <w:rPr>
                <w:rFonts w:hint="eastAsia" w:ascii="仿宋" w:hAnsi="仿宋" w:eastAsia="仿宋" w:cs="仿宋"/>
                <w:sz w:val="21"/>
                <w:szCs w:val="21"/>
                <w:lang w:val="en-US" w:eastAsia="zh-CN"/>
              </w:rPr>
            </w:pPr>
          </w:p>
        </w:tc>
      </w:tr>
    </w:tbl>
    <w:p>
      <w:pPr>
        <w:pStyle w:val="5"/>
        <w:rPr>
          <w:rFonts w:hint="eastAsia"/>
        </w:rPr>
      </w:pPr>
    </w:p>
    <w:p>
      <w:pPr>
        <w:pStyle w:val="11"/>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0"/>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本项目报价为一次性报价，包括货款、包装费、运输、装卸、利润、税金、技术及售后服务费、杂费等相关费用，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2023年临江公司木托盘采购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w:t>
      </w:r>
      <w:r>
        <w:rPr>
          <w:rFonts w:hint="eastAsia" w:ascii="仿宋" w:hAnsi="仿宋" w:eastAsia="仿宋" w:cs="仿宋"/>
          <w:sz w:val="28"/>
          <w:szCs w:val="28"/>
          <w:lang w:val="en-US" w:eastAsia="zh-CN"/>
        </w:rPr>
        <w:t>完全符合询价文件要求及相关国家或行业标准</w:t>
      </w:r>
      <w:r>
        <w:rPr>
          <w:rFonts w:hint="eastAsia" w:ascii="仿宋" w:hAnsi="仿宋" w:eastAsia="仿宋" w:cs="仿宋"/>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.我公司对提供的产品进行质量保证，因我公司产品质量问题，造成贵公司损失的，我公司承担相应责任。</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5.我司保证提供的产品检测报告或性能参数表的真实性。</w:t>
      </w:r>
      <w:r>
        <w:rPr>
          <w:rFonts w:hint="eastAsia" w:ascii="仿宋" w:hAnsi="仿宋" w:eastAsia="仿宋" w:cs="仿宋"/>
          <w:sz w:val="28"/>
          <w:szCs w:val="28"/>
        </w:rPr>
        <w:t>若</w:t>
      </w:r>
      <w:r>
        <w:rPr>
          <w:rFonts w:hint="eastAsia" w:ascii="仿宋" w:hAnsi="仿宋" w:eastAsia="仿宋" w:cs="仿宋"/>
          <w:sz w:val="28"/>
          <w:szCs w:val="28"/>
          <w:lang w:val="en-US" w:eastAsia="zh-CN"/>
        </w:rPr>
        <w:t>产品检测报告或性能参数表存在作假情况，</w:t>
      </w:r>
      <w:r>
        <w:rPr>
          <w:rFonts w:hint="eastAsia" w:ascii="仿宋" w:hAnsi="仿宋" w:eastAsia="仿宋" w:cs="仿宋"/>
          <w:sz w:val="28"/>
          <w:szCs w:val="28"/>
        </w:rPr>
        <w:t>我公司承担相应责任</w:t>
      </w:r>
      <w:r>
        <w:rPr>
          <w:rFonts w:hint="eastAsia" w:ascii="仿宋" w:hAnsi="仿宋" w:eastAsia="仿宋" w:cs="仿宋"/>
          <w:sz w:val="28"/>
          <w:szCs w:val="28"/>
          <w:lang w:eastAsia="zh-CN"/>
        </w:rPr>
        <w:t>。</w:t>
      </w:r>
    </w:p>
    <w:p>
      <w:pPr>
        <w:pStyle w:val="6"/>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jc w:val="right"/>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509228412"/>
      <w:bookmarkStart w:id="15" w:name="_Toc473012596"/>
    </w:p>
    <w:p>
      <w:pPr>
        <w:spacing w:line="480" w:lineRule="auto"/>
        <w:jc w:val="left"/>
        <w:rPr>
          <w:rStyle w:val="19"/>
          <w:rFonts w:hint="eastAsia" w:ascii="仿宋" w:hAnsi="仿宋" w:eastAsia="仿宋" w:cs="仿宋"/>
          <w:sz w:val="30"/>
          <w:lang w:val="en-US" w:eastAsia="zh-CN"/>
        </w:rPr>
      </w:pPr>
    </w:p>
    <w:p>
      <w:pPr>
        <w:pStyle w:val="6"/>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 w:hAnsi="仿宋" w:eastAsia="仿宋" w:cs="仿宋"/>
          <w:sz w:val="30"/>
          <w:szCs w:val="30"/>
          <w:lang w:eastAsia="zh-CN"/>
        </w:rPr>
        <w:t>报价</w:t>
      </w:r>
      <w:r>
        <w:rPr>
          <w:rFonts w:hint="eastAsia" w:ascii="仿宋" w:hAnsi="仿宋" w:eastAsia="仿宋" w:cs="仿宋"/>
          <w:sz w:val="30"/>
          <w:szCs w:val="30"/>
        </w:rPr>
        <w:t>人名称：</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（公章）  </w:t>
      </w:r>
      <w:r>
        <w:rPr>
          <w:rFonts w:hint="eastAsia" w:ascii="仿宋" w:hAnsi="仿宋" w:eastAsia="仿宋" w:cs="仿宋"/>
          <w:spacing w:val="20"/>
          <w:sz w:val="30"/>
          <w:szCs w:val="30"/>
        </w:rPr>
        <w:t>编号：</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202307004</w:t>
      </w:r>
      <w:r>
        <w:rPr>
          <w:rFonts w:hint="eastAsia" w:ascii="仿宋" w:hAnsi="仿宋" w:eastAsia="仿宋" w:cs="仿宋"/>
          <w:sz w:val="30"/>
          <w:szCs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838" w:type="pct"/>
            <w:tcBorders>
              <w:tl2br w:val="nil"/>
              <w:tr2bl w:val="nil"/>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货物名称</w:t>
            </w:r>
          </w:p>
        </w:tc>
        <w:tc>
          <w:tcPr>
            <w:tcW w:w="1424" w:type="pct"/>
            <w:tcBorders>
              <w:tl2br w:val="nil"/>
              <w:tr2bl w:val="nil"/>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lang w:eastAsia="zh-CN"/>
              </w:rPr>
              <w:t>询价</w:t>
            </w:r>
            <w:r>
              <w:rPr>
                <w:rFonts w:hint="eastAsia" w:ascii="仿宋" w:hAnsi="仿宋" w:eastAsia="仿宋" w:cs="仿宋"/>
                <w:sz w:val="28"/>
                <w:szCs w:val="28"/>
              </w:rPr>
              <w:t>要求</w:t>
            </w:r>
          </w:p>
        </w:tc>
        <w:tc>
          <w:tcPr>
            <w:tcW w:w="1128" w:type="pct"/>
            <w:tcBorders>
              <w:tl2br w:val="nil"/>
              <w:tr2bl w:val="nil"/>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是否偏差</w:t>
            </w:r>
          </w:p>
        </w:tc>
        <w:tc>
          <w:tcPr>
            <w:tcW w:w="1074" w:type="pct"/>
            <w:tcBorders>
              <w:tl2br w:val="nil"/>
              <w:tr2bl w:val="nil"/>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 w:hAnsi="仿宋" w:eastAsia="仿宋" w:cs="仿宋"/>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rFonts w:hint="eastAsia" w:ascii="仿宋" w:hAnsi="仿宋" w:eastAsia="仿宋" w:cs="仿宋"/>
          <w:b/>
          <w:sz w:val="30"/>
        </w:rPr>
      </w:pPr>
      <w:r>
        <w:rPr>
          <w:rFonts w:hint="eastAsia" w:ascii="仿宋" w:hAnsi="仿宋" w:eastAsia="仿宋" w:cs="仿宋"/>
          <w:sz w:val="30"/>
        </w:rPr>
        <w:t>全权代表签字：</w:t>
      </w:r>
      <w:r>
        <w:rPr>
          <w:rFonts w:hint="eastAsia" w:ascii="仿宋" w:hAnsi="仿宋" w:eastAsia="仿宋" w:cs="仿宋"/>
          <w:sz w:val="30"/>
          <w:u w:val="single"/>
        </w:rPr>
        <w:t xml:space="preserve">              </w:t>
      </w:r>
      <w:r>
        <w:rPr>
          <w:rFonts w:hint="eastAsia" w:ascii="仿宋" w:hAnsi="仿宋" w:eastAsia="仿宋" w:cs="仿宋"/>
          <w:sz w:val="30"/>
        </w:rPr>
        <w:t xml:space="preserve">       日期：</w:t>
      </w:r>
      <w:r>
        <w:rPr>
          <w:rFonts w:hint="eastAsia" w:ascii="仿宋" w:hAnsi="仿宋" w:eastAsia="仿宋" w:cs="仿宋"/>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r>
        <w:rPr>
          <w:rStyle w:val="19"/>
          <w:rFonts w:hint="eastAsia" w:ascii="仿宋" w:hAnsi="仿宋" w:eastAsia="仿宋" w:cs="仿宋"/>
          <w:sz w:val="30"/>
          <w:szCs w:val="22"/>
          <w:lang w:val="en-GB"/>
        </w:rPr>
        <w:t>附件六</w:t>
      </w:r>
    </w:p>
    <w:p>
      <w:pPr>
        <w:pStyle w:val="11"/>
        <w:rPr>
          <w:rStyle w:val="19"/>
          <w:rFonts w:hint="eastAsia" w:ascii="仿宋" w:hAnsi="仿宋" w:eastAsia="仿宋" w:cs="仿宋"/>
          <w:b/>
          <w:sz w:val="30"/>
          <w:szCs w:val="22"/>
          <w:lang w:val="en-GB"/>
        </w:rPr>
      </w:pPr>
    </w:p>
    <w:bookmarkEnd w:id="13"/>
    <w:bookmarkEnd w:id="14"/>
    <w:bookmarkEnd w:id="15"/>
    <w:p>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lang w:val="zh-CN"/>
        </w:rPr>
        <w:t>202</w:t>
      </w:r>
      <w:r>
        <w:rPr>
          <w:rFonts w:hint="eastAsia" w:ascii="仿宋" w:hAnsi="仿宋" w:eastAsia="仿宋" w:cs="仿宋"/>
          <w:b/>
          <w:bCs/>
          <w:sz w:val="44"/>
          <w:szCs w:val="44"/>
          <w:lang w:val="en-US" w:eastAsia="zh-CN"/>
        </w:rPr>
        <w:t>3</w:t>
      </w:r>
      <w:r>
        <w:rPr>
          <w:rFonts w:hint="eastAsia" w:ascii="仿宋" w:hAnsi="仿宋" w:eastAsia="仿宋" w:cs="仿宋"/>
          <w:b/>
          <w:bCs/>
          <w:sz w:val="44"/>
          <w:szCs w:val="44"/>
          <w:lang w:val="zh-CN"/>
        </w:rPr>
        <w:t>年临江公司</w:t>
      </w:r>
      <w:r>
        <w:rPr>
          <w:rFonts w:hint="eastAsia" w:ascii="仿宋" w:hAnsi="仿宋" w:eastAsia="仿宋" w:cs="仿宋"/>
          <w:b/>
          <w:bCs/>
          <w:sz w:val="44"/>
          <w:szCs w:val="44"/>
          <w:lang w:val="en-US" w:eastAsia="zh-CN"/>
        </w:rPr>
        <w:t>木托盘</w:t>
      </w:r>
      <w:r>
        <w:rPr>
          <w:rFonts w:hint="eastAsia" w:ascii="仿宋" w:hAnsi="仿宋" w:eastAsia="仿宋" w:cs="仿宋"/>
          <w:b/>
          <w:bCs/>
          <w:sz w:val="44"/>
          <w:szCs w:val="44"/>
        </w:rPr>
        <w:t>采购合同</w:t>
      </w:r>
    </w:p>
    <w:p>
      <w:pPr>
        <w:pStyle w:val="5"/>
        <w:jc w:val="center"/>
        <w:rPr>
          <w:rFonts w:hint="eastAsia" w:ascii="仿宋" w:hAnsi="仿宋" w:eastAsia="仿宋" w:cs="仿宋"/>
          <w:color w:val="auto"/>
          <w:sz w:val="21"/>
          <w:szCs w:val="21"/>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lang w:eastAsia="zh-CN"/>
        </w:rPr>
        <w:t>签订日期：</w:t>
      </w:r>
      <w:r>
        <w:rPr>
          <w:rFonts w:hint="eastAsia" w:ascii="仿宋" w:hAnsi="仿宋" w:eastAsia="仿宋" w:cs="仿宋"/>
          <w:color w:val="auto"/>
          <w:sz w:val="21"/>
          <w:szCs w:val="21"/>
          <w:lang w:val="en-US" w:eastAsia="zh-CN"/>
        </w:rPr>
        <w:t>2023年 月 日</w:t>
      </w:r>
    </w:p>
    <w:p>
      <w:pPr>
        <w:pStyle w:val="6"/>
        <w:ind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签订地址：杭州市钱塘区</w:t>
      </w:r>
    </w:p>
    <w:p>
      <w:pPr>
        <w:spacing w:line="360" w:lineRule="auto"/>
        <w:ind w:firstLine="455" w:firstLineChars="217"/>
        <w:rPr>
          <w:rFonts w:hint="eastAsia" w:ascii="仿宋" w:hAnsi="仿宋" w:eastAsia="仿宋" w:cs="仿宋"/>
          <w:sz w:val="21"/>
          <w:szCs w:val="21"/>
          <w:u w:val="single"/>
        </w:rPr>
      </w:pPr>
      <w:r>
        <w:rPr>
          <w:rFonts w:hint="eastAsia" w:ascii="仿宋" w:hAnsi="仿宋" w:eastAsia="仿宋" w:cs="仿宋"/>
          <w:sz w:val="21"/>
          <w:szCs w:val="21"/>
        </w:rPr>
        <w:t>甲方：</w:t>
      </w:r>
      <w:r>
        <w:rPr>
          <w:rFonts w:hint="eastAsia" w:ascii="仿宋" w:hAnsi="仿宋" w:eastAsia="仿宋" w:cs="仿宋"/>
          <w:sz w:val="21"/>
          <w:szCs w:val="21"/>
          <w:u w:val="single"/>
        </w:rPr>
        <w:t xml:space="preserve">杭州临江环境能源有限公司 </w:t>
      </w:r>
      <w:bookmarkStart w:id="17" w:name="_GoBack"/>
      <w:bookmarkEnd w:id="17"/>
    </w:p>
    <w:p>
      <w:pPr>
        <w:spacing w:line="360" w:lineRule="auto"/>
        <w:ind w:firstLine="455" w:firstLineChars="217"/>
        <w:rPr>
          <w:rFonts w:hint="eastAsia" w:ascii="仿宋" w:hAnsi="仿宋" w:eastAsia="仿宋" w:cs="仿宋"/>
          <w:sz w:val="21"/>
          <w:szCs w:val="21"/>
          <w:u w:val="single"/>
        </w:rPr>
      </w:pPr>
      <w:r>
        <w:rPr>
          <w:rFonts w:hint="eastAsia" w:ascii="仿宋" w:hAnsi="仿宋" w:eastAsia="仿宋" w:cs="仿宋"/>
          <w:sz w:val="21"/>
          <w:szCs w:val="21"/>
        </w:rPr>
        <w:t>乙方：</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kern w:val="0"/>
          <w:sz w:val="21"/>
          <w:szCs w:val="21"/>
        </w:rPr>
        <w:t>根据《中华人民共和国民法典》等法律法规</w:t>
      </w:r>
      <w:r>
        <w:rPr>
          <w:rFonts w:hint="eastAsia" w:ascii="仿宋" w:hAnsi="仿宋" w:eastAsia="仿宋" w:cs="仿宋"/>
          <w:sz w:val="21"/>
          <w:szCs w:val="21"/>
        </w:rPr>
        <w:t>及</w:t>
      </w:r>
      <w:r>
        <w:rPr>
          <w:rFonts w:hint="eastAsia" w:ascii="仿宋" w:hAnsi="仿宋" w:eastAsia="仿宋" w:cs="仿宋"/>
          <w:sz w:val="21"/>
          <w:szCs w:val="21"/>
          <w:lang w:val="en-US" w:eastAsia="zh-CN"/>
        </w:rPr>
        <w:t>询</w:t>
      </w:r>
      <w:r>
        <w:rPr>
          <w:rFonts w:hint="eastAsia" w:ascii="仿宋" w:hAnsi="仿宋" w:eastAsia="仿宋" w:cs="仿宋"/>
          <w:sz w:val="21"/>
          <w:szCs w:val="21"/>
        </w:rPr>
        <w:t>、</w:t>
      </w:r>
      <w:r>
        <w:rPr>
          <w:rFonts w:hint="eastAsia" w:ascii="仿宋" w:hAnsi="仿宋" w:eastAsia="仿宋" w:cs="仿宋"/>
          <w:sz w:val="21"/>
          <w:szCs w:val="21"/>
          <w:lang w:val="en-US" w:eastAsia="zh-CN"/>
        </w:rPr>
        <w:t>报价</w:t>
      </w:r>
      <w:r>
        <w:rPr>
          <w:rFonts w:hint="eastAsia" w:ascii="仿宋" w:hAnsi="仿宋" w:eastAsia="仿宋" w:cs="仿宋"/>
          <w:sz w:val="21"/>
          <w:szCs w:val="21"/>
        </w:rPr>
        <w:t>文件的</w:t>
      </w:r>
      <w:r>
        <w:rPr>
          <w:rFonts w:hint="eastAsia" w:ascii="仿宋" w:hAnsi="仿宋" w:eastAsia="仿宋" w:cs="仿宋"/>
          <w:kern w:val="0"/>
          <w:sz w:val="21"/>
          <w:szCs w:val="21"/>
        </w:rPr>
        <w:t>要求，双方经</w:t>
      </w:r>
      <w:r>
        <w:rPr>
          <w:rFonts w:hint="eastAsia" w:ascii="仿宋" w:hAnsi="仿宋" w:eastAsia="仿宋" w:cs="仿宋"/>
          <w:kern w:val="0"/>
          <w:sz w:val="21"/>
          <w:szCs w:val="21"/>
          <w:lang w:val="en-US" w:eastAsia="zh-CN"/>
        </w:rPr>
        <w:t>询价</w:t>
      </w:r>
      <w:r>
        <w:rPr>
          <w:rFonts w:hint="eastAsia" w:ascii="仿宋" w:hAnsi="仿宋" w:eastAsia="仿宋" w:cs="仿宋"/>
          <w:kern w:val="0"/>
          <w:sz w:val="21"/>
          <w:szCs w:val="21"/>
        </w:rPr>
        <w:t>、</w:t>
      </w:r>
      <w:r>
        <w:rPr>
          <w:rFonts w:hint="eastAsia" w:ascii="仿宋" w:hAnsi="仿宋" w:eastAsia="仿宋" w:cs="仿宋"/>
          <w:kern w:val="0"/>
          <w:sz w:val="21"/>
          <w:szCs w:val="21"/>
          <w:lang w:val="en-US" w:eastAsia="zh-CN"/>
        </w:rPr>
        <w:t>报价</w:t>
      </w:r>
      <w:r>
        <w:rPr>
          <w:rFonts w:hint="eastAsia" w:ascii="仿宋" w:hAnsi="仿宋" w:eastAsia="仿宋" w:cs="仿宋"/>
          <w:kern w:val="0"/>
          <w:sz w:val="21"/>
          <w:szCs w:val="21"/>
        </w:rPr>
        <w:t>并协商一致，</w:t>
      </w:r>
      <w:r>
        <w:rPr>
          <w:rFonts w:hint="eastAsia" w:ascii="仿宋" w:hAnsi="仿宋" w:eastAsia="仿宋" w:cs="仿宋"/>
          <w:sz w:val="21"/>
          <w:szCs w:val="21"/>
        </w:rPr>
        <w:t>就甲方向乙方采购木托盘事宜达成如下条款：</w:t>
      </w:r>
    </w:p>
    <w:p>
      <w:pPr>
        <w:pStyle w:val="21"/>
        <w:numPr>
          <w:ilvl w:val="0"/>
          <w:numId w:val="2"/>
        </w:numPr>
        <w:spacing w:line="360" w:lineRule="auto"/>
        <w:ind w:firstLineChars="0"/>
        <w:rPr>
          <w:rFonts w:hint="eastAsia" w:ascii="仿宋" w:hAnsi="仿宋" w:eastAsia="仿宋" w:cs="仿宋"/>
          <w:sz w:val="21"/>
          <w:szCs w:val="21"/>
        </w:rPr>
      </w:pPr>
      <w:r>
        <w:rPr>
          <w:rFonts w:hint="eastAsia" w:ascii="仿宋" w:hAnsi="仿宋" w:eastAsia="仿宋" w:cs="仿宋"/>
          <w:sz w:val="21"/>
          <w:szCs w:val="21"/>
        </w:rPr>
        <w:t>产品名称、技术指标、单价、数量、金额如下（税率</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4665"/>
        <w:gridCol w:w="825"/>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物资名称</w:t>
            </w:r>
          </w:p>
        </w:tc>
        <w:tc>
          <w:tcPr>
            <w:tcW w:w="4665"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要求</w:t>
            </w:r>
          </w:p>
        </w:tc>
        <w:tc>
          <w:tcPr>
            <w:tcW w:w="825" w:type="dxa"/>
            <w:noWrap w:val="0"/>
            <w:vAlign w:val="center"/>
          </w:tcPr>
          <w:p>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暂定数量</w:t>
            </w:r>
          </w:p>
        </w:tc>
        <w:tc>
          <w:tcPr>
            <w:tcW w:w="960" w:type="dxa"/>
            <w:noWrap w:val="0"/>
            <w:vAlign w:val="center"/>
          </w:tcPr>
          <w:p>
            <w:pPr>
              <w:spacing w:line="360" w:lineRule="auto"/>
              <w:jc w:val="center"/>
              <w:rPr>
                <w:rFonts w:hint="eastAsia" w:ascii="仿宋" w:hAnsi="仿宋" w:eastAsia="仿宋" w:cs="仿宋"/>
                <w:b/>
                <w:bCs/>
                <w:sz w:val="21"/>
                <w:szCs w:val="21"/>
                <w:lang w:eastAsia="zh-CN"/>
              </w:rPr>
            </w:pPr>
            <w:r>
              <w:rPr>
                <w:rFonts w:hint="eastAsia" w:ascii="仿宋" w:hAnsi="仿宋" w:eastAsia="仿宋" w:cs="仿宋"/>
                <w:b/>
                <w:bCs/>
                <w:sz w:val="21"/>
                <w:szCs w:val="21"/>
              </w:rPr>
              <w:t>单价</w:t>
            </w:r>
            <w:r>
              <w:rPr>
                <w:rFonts w:hint="eastAsia" w:ascii="仿宋" w:hAnsi="仿宋" w:eastAsia="仿宋" w:cs="仿宋"/>
                <w:b/>
                <w:bCs/>
                <w:sz w:val="21"/>
                <w:szCs w:val="21"/>
                <w:lang w:eastAsia="zh-CN"/>
              </w:rPr>
              <w:t>（元）</w:t>
            </w:r>
          </w:p>
        </w:tc>
        <w:tc>
          <w:tcPr>
            <w:tcW w:w="960" w:type="dxa"/>
            <w:noWrap w:val="0"/>
            <w:vAlign w:val="center"/>
          </w:tcPr>
          <w:p>
            <w:pPr>
              <w:spacing w:line="360" w:lineRule="auto"/>
              <w:jc w:val="center"/>
              <w:rPr>
                <w:rFonts w:hint="eastAsia" w:ascii="仿宋" w:hAnsi="仿宋" w:eastAsia="仿宋" w:cs="仿宋"/>
                <w:b/>
                <w:bCs/>
                <w:sz w:val="21"/>
                <w:szCs w:val="21"/>
                <w:lang w:eastAsia="zh-CN"/>
              </w:rPr>
            </w:pPr>
            <w:r>
              <w:rPr>
                <w:rFonts w:hint="eastAsia" w:ascii="仿宋" w:hAnsi="仿宋" w:eastAsia="仿宋" w:cs="仿宋"/>
                <w:b/>
                <w:bCs/>
                <w:sz w:val="21"/>
                <w:szCs w:val="21"/>
              </w:rPr>
              <w:t>金额</w:t>
            </w:r>
            <w:r>
              <w:rPr>
                <w:rFonts w:hint="eastAsia" w:ascii="仿宋" w:hAnsi="仿宋" w:eastAsia="仿宋" w:cs="仿宋"/>
                <w:b/>
                <w:bCs/>
                <w:sz w:val="21"/>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木托盘</w:t>
            </w:r>
          </w:p>
        </w:tc>
        <w:tc>
          <w:tcPr>
            <w:tcW w:w="4665" w:type="dxa"/>
            <w:noWrap w:val="0"/>
            <w:vAlign w:val="center"/>
          </w:tcPr>
          <w:p>
            <w:pPr>
              <w:pStyle w:val="7"/>
              <w:numPr>
                <w:ilvl w:val="0"/>
                <w:numId w:val="3"/>
              </w:numPr>
              <w:spacing w:line="360" w:lineRule="auto"/>
              <w:ind w:firstLine="0"/>
              <w:rPr>
                <w:rFonts w:hint="eastAsia" w:ascii="仿宋" w:hAnsi="仿宋" w:eastAsia="仿宋" w:cs="仿宋"/>
                <w:sz w:val="21"/>
                <w:szCs w:val="21"/>
                <w:lang w:val="en-US" w:eastAsia="zh-CN"/>
              </w:rPr>
            </w:pPr>
            <w:r>
              <w:rPr>
                <w:rFonts w:hint="eastAsia" w:ascii="仿宋" w:hAnsi="仿宋" w:eastAsia="仿宋" w:cs="仿宋"/>
                <w:sz w:val="21"/>
                <w:szCs w:val="21"/>
              </w:rPr>
              <w:t>长*宽∶1200mm*1000mm</w:t>
            </w:r>
            <w:r>
              <w:rPr>
                <w:rFonts w:hint="eastAsia" w:ascii="仿宋" w:hAnsi="仿宋" w:eastAsia="仿宋" w:cs="仿宋"/>
                <w:sz w:val="21"/>
                <w:szCs w:val="21"/>
                <w:lang w:val="en-US" w:eastAsia="zh-CN"/>
              </w:rPr>
              <w:t>（误差±10mm）</w:t>
            </w:r>
          </w:p>
          <w:p>
            <w:pPr>
              <w:pStyle w:val="7"/>
              <w:numPr>
                <w:ilvl w:val="0"/>
                <w:numId w:val="0"/>
              </w:numPr>
              <w:spacing w:line="360" w:lineRule="auto"/>
              <w:rPr>
                <w:rFonts w:hint="eastAsia" w:ascii="仿宋" w:hAnsi="仿宋" w:eastAsia="仿宋" w:cs="仿宋"/>
                <w:sz w:val="21"/>
                <w:szCs w:val="21"/>
              </w:rPr>
            </w:pPr>
            <w:r>
              <w:rPr>
                <w:rFonts w:hint="eastAsia" w:ascii="仿宋" w:hAnsi="仿宋" w:eastAsia="仿宋" w:cs="仿宋"/>
                <w:sz w:val="21"/>
                <w:szCs w:val="21"/>
              </w:rPr>
              <w:t>2.木托盘由顶铺板+支撑梁+底铺板组成；顶铺板厚度不小于18mm、误差±1mm；单板宽度不小于</w:t>
            </w:r>
            <w:r>
              <w:rPr>
                <w:rFonts w:hint="eastAsia" w:ascii="仿宋" w:hAnsi="仿宋" w:eastAsia="仿宋" w:cs="仿宋"/>
                <w:sz w:val="21"/>
                <w:szCs w:val="21"/>
                <w:lang w:val="en-US" w:eastAsia="zh-CN"/>
              </w:rPr>
              <w:t>7</w:t>
            </w:r>
            <w:r>
              <w:rPr>
                <w:rFonts w:hint="eastAsia" w:ascii="仿宋" w:hAnsi="仿宋" w:eastAsia="仿宋" w:cs="仿宋"/>
                <w:sz w:val="21"/>
                <w:szCs w:val="21"/>
              </w:rPr>
              <w:t>0mm，板与板的间隙不能超过50mm，误差±3mm，数量不小于10块/个；支撑梁应采用截面不小于50*100mm全新实木方制作，误差±3mm；底铺板厚度不小于10mm、误差±1mm；单板宽度不小于75mm、误差±3mm，数量为3块/个；其他按照GB/T2934-2007要求执行。</w:t>
            </w:r>
          </w:p>
          <w:p>
            <w:pPr>
              <w:pStyle w:val="7"/>
              <w:spacing w:line="360" w:lineRule="auto"/>
              <w:ind w:firstLine="0"/>
              <w:rPr>
                <w:rFonts w:hint="eastAsia" w:ascii="仿宋" w:hAnsi="仿宋" w:eastAsia="仿宋" w:cs="仿宋"/>
                <w:sz w:val="21"/>
                <w:szCs w:val="21"/>
                <w:lang w:eastAsia="zh-CN"/>
              </w:rPr>
            </w:pPr>
            <w:r>
              <w:rPr>
                <w:rFonts w:hint="eastAsia" w:ascii="仿宋" w:hAnsi="仿宋" w:eastAsia="仿宋" w:cs="仿宋"/>
                <w:sz w:val="21"/>
                <w:szCs w:val="21"/>
              </w:rPr>
              <w:t>3.木质要求：为全新的实木材质，木质坚硬耐用，不得为多层板、刨花板等复合材质；板面必须平整、无污染、无开裂现象，节疤或者边皮不得过多影响托盘使用或者降低托盘性能</w:t>
            </w:r>
            <w:r>
              <w:rPr>
                <w:rFonts w:hint="eastAsia" w:ascii="仿宋" w:hAnsi="仿宋" w:eastAsia="仿宋" w:cs="仿宋"/>
                <w:sz w:val="21"/>
                <w:szCs w:val="21"/>
                <w:lang w:eastAsia="zh-CN"/>
              </w:rPr>
              <w:t>。</w:t>
            </w:r>
          </w:p>
          <w:p>
            <w:pPr>
              <w:pStyle w:val="7"/>
              <w:spacing w:line="360" w:lineRule="auto"/>
              <w:ind w:firstLine="0"/>
              <w:rPr>
                <w:rFonts w:hint="eastAsia" w:ascii="仿宋" w:hAnsi="仿宋" w:eastAsia="仿宋" w:cs="仿宋"/>
                <w:sz w:val="21"/>
                <w:szCs w:val="21"/>
                <w:lang w:eastAsia="zh-CN"/>
              </w:rPr>
            </w:pPr>
            <w:r>
              <w:rPr>
                <w:rFonts w:hint="eastAsia" w:ascii="仿宋" w:hAnsi="仿宋" w:eastAsia="仿宋" w:cs="仿宋"/>
                <w:sz w:val="21"/>
                <w:szCs w:val="21"/>
              </w:rPr>
              <w:t>4.每个接缝处的钉子为螺纹卷钉或铁钉，并且钉子的数量不得少于两个</w:t>
            </w:r>
            <w:r>
              <w:rPr>
                <w:rFonts w:hint="eastAsia" w:ascii="仿宋" w:hAnsi="仿宋" w:eastAsia="仿宋" w:cs="仿宋"/>
                <w:sz w:val="21"/>
                <w:szCs w:val="21"/>
                <w:lang w:eastAsia="zh-CN"/>
              </w:rPr>
              <w:t>。</w:t>
            </w:r>
          </w:p>
          <w:p>
            <w:pPr>
              <w:pStyle w:val="7"/>
              <w:spacing w:line="360" w:lineRule="auto"/>
              <w:ind w:firstLine="0"/>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额定静载荷不小于</w:t>
            </w:r>
            <w:r>
              <w:rPr>
                <w:rFonts w:hint="eastAsia" w:ascii="仿宋" w:hAnsi="仿宋" w:eastAsia="仿宋" w:cs="仿宋"/>
                <w:sz w:val="21"/>
                <w:szCs w:val="21"/>
                <w:lang w:val="en-US" w:eastAsia="zh-CN"/>
              </w:rPr>
              <w:t>20</w:t>
            </w:r>
            <w:r>
              <w:rPr>
                <w:rFonts w:hint="eastAsia" w:ascii="仿宋" w:hAnsi="仿宋" w:eastAsia="仿宋" w:cs="仿宋"/>
                <w:sz w:val="21"/>
                <w:szCs w:val="21"/>
              </w:rPr>
              <w:t>00KG，额定动载荷不小于1</w:t>
            </w:r>
            <w:r>
              <w:rPr>
                <w:rFonts w:hint="eastAsia" w:ascii="仿宋" w:hAnsi="仿宋" w:eastAsia="仿宋" w:cs="仿宋"/>
                <w:sz w:val="21"/>
                <w:szCs w:val="21"/>
                <w:lang w:val="en-US" w:eastAsia="zh-CN"/>
              </w:rPr>
              <w:t>5</w:t>
            </w:r>
            <w:r>
              <w:rPr>
                <w:rFonts w:hint="eastAsia" w:ascii="仿宋" w:hAnsi="仿宋" w:eastAsia="仿宋" w:cs="仿宋"/>
                <w:sz w:val="21"/>
                <w:szCs w:val="21"/>
              </w:rPr>
              <w:t>00KG。</w:t>
            </w:r>
          </w:p>
        </w:tc>
        <w:tc>
          <w:tcPr>
            <w:tcW w:w="825" w:type="dxa"/>
            <w:noWrap w:val="0"/>
            <w:vAlign w:val="center"/>
          </w:tcPr>
          <w:p>
            <w:pPr>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1200</w:t>
            </w:r>
            <w:r>
              <w:rPr>
                <w:rFonts w:hint="eastAsia" w:ascii="仿宋" w:hAnsi="仿宋" w:eastAsia="仿宋" w:cs="仿宋"/>
                <w:sz w:val="21"/>
                <w:szCs w:val="21"/>
              </w:rPr>
              <w:t>个</w:t>
            </w:r>
          </w:p>
        </w:tc>
        <w:tc>
          <w:tcPr>
            <w:tcW w:w="960" w:type="dxa"/>
            <w:noWrap w:val="0"/>
            <w:vAlign w:val="center"/>
          </w:tcPr>
          <w:p>
            <w:pPr>
              <w:spacing w:line="360" w:lineRule="auto"/>
              <w:jc w:val="center"/>
              <w:rPr>
                <w:rFonts w:hint="eastAsia" w:ascii="仿宋" w:hAnsi="仿宋" w:eastAsia="仿宋" w:cs="仿宋"/>
                <w:sz w:val="21"/>
                <w:szCs w:val="21"/>
                <w:lang w:val="en-US" w:eastAsia="zh-CN"/>
              </w:rPr>
            </w:pPr>
          </w:p>
        </w:tc>
        <w:tc>
          <w:tcPr>
            <w:tcW w:w="960" w:type="dxa"/>
            <w:noWrap w:val="0"/>
            <w:vAlign w:val="center"/>
          </w:tcPr>
          <w:p>
            <w:pPr>
              <w:spacing w:line="360" w:lineRule="auto"/>
              <w:jc w:val="center"/>
              <w:rPr>
                <w:rFonts w:hint="eastAsia" w:ascii="仿宋" w:hAnsi="仿宋" w:eastAsia="仿宋" w:cs="仿宋"/>
                <w:sz w:val="21"/>
                <w:szCs w:val="21"/>
                <w:lang w:val="en-US" w:eastAsia="zh-CN"/>
              </w:rPr>
            </w:pPr>
          </w:p>
        </w:tc>
      </w:tr>
    </w:tbl>
    <w:p>
      <w:pPr>
        <w:spacing w:line="360" w:lineRule="auto"/>
        <w:ind w:firstLine="455" w:firstLineChars="217"/>
        <w:rPr>
          <w:rFonts w:hint="eastAsia" w:ascii="仿宋" w:hAnsi="仿宋" w:eastAsia="仿宋" w:cs="仿宋"/>
          <w:sz w:val="21"/>
          <w:szCs w:val="21"/>
        </w:rPr>
      </w:pPr>
    </w:p>
    <w:p>
      <w:pPr>
        <w:pStyle w:val="7"/>
        <w:spacing w:line="360" w:lineRule="auto"/>
        <w:ind w:firstLine="480"/>
        <w:rPr>
          <w:rFonts w:hint="eastAsia" w:ascii="仿宋" w:hAnsi="仿宋" w:eastAsia="仿宋" w:cs="仿宋"/>
          <w:sz w:val="21"/>
          <w:szCs w:val="21"/>
        </w:rPr>
      </w:pPr>
      <w:r>
        <w:rPr>
          <w:rFonts w:hint="eastAsia" w:ascii="仿宋" w:hAnsi="仿宋" w:eastAsia="仿宋" w:cs="仿宋"/>
          <w:sz w:val="21"/>
          <w:szCs w:val="21"/>
        </w:rPr>
        <w:drawing>
          <wp:inline distT="0" distB="0" distL="114300" distR="114300">
            <wp:extent cx="5423535" cy="2578100"/>
            <wp:effectExtent l="0" t="0" r="5715" b="12700"/>
            <wp:docPr id="1" name="图片 1" descr="736662c58d89102b79e2605f2176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36662c58d89102b79e2605f2176a27"/>
                    <pic:cNvPicPr>
                      <a:picLocks noChangeAspect="1"/>
                    </pic:cNvPicPr>
                  </pic:nvPicPr>
                  <pic:blipFill>
                    <a:blip r:embed="rId5"/>
                    <a:stretch>
                      <a:fillRect/>
                    </a:stretch>
                  </pic:blipFill>
                  <pic:spPr>
                    <a:xfrm>
                      <a:off x="0" y="0"/>
                      <a:ext cx="5423535" cy="2578100"/>
                    </a:xfrm>
                    <a:prstGeom prst="rect">
                      <a:avLst/>
                    </a:prstGeom>
                    <a:noFill/>
                    <a:ln>
                      <a:noFill/>
                    </a:ln>
                  </pic:spPr>
                </pic:pic>
              </a:graphicData>
            </a:graphic>
          </wp:inline>
        </w:drawing>
      </w:r>
    </w:p>
    <w:p>
      <w:pPr>
        <w:pStyle w:val="7"/>
        <w:spacing w:line="360" w:lineRule="auto"/>
        <w:ind w:firstLine="480"/>
        <w:rPr>
          <w:rFonts w:hint="eastAsia" w:ascii="仿宋" w:hAnsi="仿宋" w:eastAsia="仿宋" w:cs="仿宋"/>
          <w:sz w:val="21"/>
          <w:szCs w:val="21"/>
        </w:rPr>
      </w:pPr>
      <w:r>
        <w:rPr>
          <w:rFonts w:hint="eastAsia" w:ascii="仿宋" w:hAnsi="仿宋" w:eastAsia="仿宋" w:cs="仿宋"/>
          <w:sz w:val="21"/>
          <w:szCs w:val="21"/>
        </w:rPr>
        <w:t>1、木托盘为单面使用双向进叉托盘，叉孔高度不小于100毫米、误差±3mm，示意图如上图；</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合同单价系指乙方在甲方指定地点的交货价（包括货款、包装费、运输费、装卸费、税费、检测费、服务费等相关费用）。</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本合同供货期自合同签订之日起1年。采购数量为暂估量，实际采购量有可能多于或少于暂估量。乙方承诺在合同供货期内，单价不变，甲方可根据实际生产计划，按照合同价格，调整采购数量，最终按甲方验收合格的实际供货数量结算。  </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二、质量保证。</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1、乙方保证所供货物须符合甲方</w:t>
      </w:r>
      <w:r>
        <w:rPr>
          <w:rFonts w:hint="eastAsia" w:ascii="仿宋" w:hAnsi="仿宋" w:eastAsia="仿宋" w:cs="仿宋"/>
          <w:sz w:val="21"/>
          <w:szCs w:val="21"/>
          <w:lang w:val="en-US" w:eastAsia="zh-CN"/>
        </w:rPr>
        <w:t>询价</w:t>
      </w:r>
      <w:r>
        <w:rPr>
          <w:rFonts w:hint="eastAsia" w:ascii="仿宋" w:hAnsi="仿宋" w:eastAsia="仿宋" w:cs="仿宋"/>
          <w:sz w:val="21"/>
          <w:szCs w:val="21"/>
        </w:rPr>
        <w:t>文件所规定的《</w:t>
      </w:r>
      <w:r>
        <w:rPr>
          <w:rFonts w:hint="eastAsia" w:ascii="仿宋" w:hAnsi="仿宋" w:eastAsia="仿宋" w:cs="仿宋"/>
          <w:sz w:val="21"/>
          <w:szCs w:val="21"/>
          <w:lang w:val="en-US" w:eastAsia="zh-CN"/>
        </w:rPr>
        <w:t>询价</w:t>
      </w:r>
      <w:r>
        <w:rPr>
          <w:rFonts w:hint="eastAsia" w:ascii="仿宋" w:hAnsi="仿宋" w:eastAsia="仿宋" w:cs="仿宋"/>
          <w:sz w:val="21"/>
          <w:szCs w:val="21"/>
        </w:rPr>
        <w:t>内容及项目要求》，接受甲方对所供货物进行每批次抽检</w:t>
      </w:r>
      <w:r>
        <w:rPr>
          <w:rFonts w:hint="eastAsia" w:ascii="仿宋" w:hAnsi="仿宋" w:eastAsia="仿宋" w:cs="仿宋"/>
          <w:sz w:val="21"/>
          <w:szCs w:val="21"/>
          <w:lang w:eastAsia="zh-CN"/>
        </w:rPr>
        <w:t>，</w:t>
      </w:r>
      <w:r>
        <w:rPr>
          <w:rFonts w:hint="eastAsia" w:ascii="仿宋" w:hAnsi="仿宋" w:eastAsia="仿宋" w:cs="仿宋"/>
          <w:b/>
          <w:bCs/>
          <w:sz w:val="21"/>
          <w:szCs w:val="21"/>
          <w:lang w:eastAsia="zh-CN"/>
        </w:rPr>
        <w:t>并与投标样品进行比对</w:t>
      </w:r>
      <w:r>
        <w:rPr>
          <w:rFonts w:hint="eastAsia" w:ascii="仿宋" w:hAnsi="仿宋" w:eastAsia="仿宋" w:cs="仿宋"/>
          <w:b/>
          <w:bCs/>
          <w:sz w:val="21"/>
          <w:szCs w:val="21"/>
        </w:rPr>
        <w:t>，</w:t>
      </w:r>
      <w:r>
        <w:rPr>
          <w:rFonts w:hint="eastAsia" w:ascii="仿宋" w:hAnsi="仿宋" w:eastAsia="仿宋" w:cs="仿宋"/>
          <w:sz w:val="21"/>
          <w:szCs w:val="21"/>
        </w:rPr>
        <w:t>如对抽检结果有异议，委托第三方检测机构进行质量检测，检测费用由乙方承担。</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2、货物在经甲方验收合格前，发生意外事故和故障损失（包括但不限于受潮、发霉等），如撞、刮、裂、损、折、泄漏、环境污染等事故均由乙方承担责任。</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3、如乙方所供货物不符合合同要求或未随货提供送货清单、出厂检验合格报告等文件的，甲方有权拒收或退货，乙方应按甲方要求无条件进行换货、退货，由此产生的一切责任和后果由乙方承担。</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三、履约保证金。</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本合同签订的同时，乙方应向甲方缴纳</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rPr>
        <w:t>元（约合同总价的5%）作为履约保证金。待合同履行完毕后一月内，乙方售后服务良好，无质量和服务问题，甲方原额无息退还履约保证金。</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本合同履行过程中，如发生乙方应承担违约金等情形，甲方有权从履约保证金中抵扣乙方应承担违约金、损失赔偿金等全部款项。</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四、交货数量、时间、地点及验收。</w:t>
      </w:r>
    </w:p>
    <w:p>
      <w:pPr>
        <w:spacing w:line="360" w:lineRule="auto"/>
        <w:ind w:firstLine="455" w:firstLineChars="217"/>
        <w:rPr>
          <w:rFonts w:hint="eastAsia" w:ascii="仿宋" w:hAnsi="仿宋" w:eastAsia="仿宋" w:cs="仿宋"/>
          <w:kern w:val="0"/>
          <w:sz w:val="21"/>
          <w:szCs w:val="21"/>
        </w:rPr>
      </w:pPr>
      <w:r>
        <w:rPr>
          <w:rFonts w:hint="eastAsia" w:ascii="仿宋" w:hAnsi="仿宋" w:eastAsia="仿宋" w:cs="仿宋"/>
          <w:kern w:val="0"/>
          <w:sz w:val="21"/>
          <w:szCs w:val="21"/>
        </w:rPr>
        <w:t>1、根据甲方生产计划，确定送货数量要求，分批次送货，乙方负责在接到甲方电话或书面通知后10个工作日内完成每批次供货。乙方须提供该批次货物出厂检验合格报告等文件，并配合甲方做好每批次货物的到货数量验收工作</w:t>
      </w:r>
      <w:r>
        <w:rPr>
          <w:rFonts w:hint="eastAsia" w:ascii="仿宋" w:hAnsi="仿宋" w:eastAsia="仿宋" w:cs="仿宋"/>
          <w:b w:val="0"/>
          <w:kern w:val="0"/>
          <w:sz w:val="21"/>
          <w:szCs w:val="21"/>
        </w:rPr>
        <w:t>。</w:t>
      </w:r>
    </w:p>
    <w:p>
      <w:pPr>
        <w:spacing w:line="360" w:lineRule="auto"/>
        <w:ind w:firstLine="455" w:firstLineChars="217"/>
        <w:rPr>
          <w:rFonts w:hint="eastAsia" w:ascii="仿宋" w:hAnsi="仿宋" w:eastAsia="仿宋" w:cs="仿宋"/>
          <w:kern w:val="0"/>
          <w:sz w:val="21"/>
          <w:szCs w:val="21"/>
        </w:rPr>
      </w:pPr>
      <w:r>
        <w:rPr>
          <w:rFonts w:hint="eastAsia" w:ascii="仿宋" w:hAnsi="仿宋" w:eastAsia="仿宋" w:cs="仿宋"/>
          <w:kern w:val="0"/>
          <w:sz w:val="21"/>
          <w:szCs w:val="21"/>
        </w:rPr>
        <w:t>2、乙方将货物运达甲方指定交货地点后,并由双方签字确认。甲方验收合格后，响应货物的所有权归属于甲方所有。</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五、售后服务。</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1、乙方保证在交货且数量验收后按照甲方要求办理出入库的有关手续。</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2、在货物使用过程中，如货物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1）如产品使用过程发生问题，乙方须在接到甲方通知后24小时内做出书面答复并提供解决方案。若需要派遣技术人员，则应在接到甲方通知后48小时内派遣生产厂家技术人员到达现场进行免费指导解决问题，72小时内排除故障。</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2）若因货物质量问题导致甲方生产运行出现异常或故障，影响正常生产运行，乙方应在接到甲方通知后24小时之内自费派工程师到甲方现场进行技术服务，确保在接到甲方通知后72小时内排除异常或故障，确保甲方生产顺利进行。</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六、货款的支付。</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本月货款，次月结算</w:t>
      </w:r>
      <w:r>
        <w:rPr>
          <w:rFonts w:hint="eastAsia" w:ascii="仿宋" w:hAnsi="仿宋" w:eastAsia="仿宋" w:cs="仿宋"/>
          <w:sz w:val="21"/>
          <w:szCs w:val="21"/>
        </w:rPr>
        <w:t>，以双方确认的实际到货且验收合格的数量为依据结算货款。</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2、在每结算周期内，货物的到货数量验收和质量检测均合格，且甲方生产运行正常，在该月货物全部验收合格后30日内付清该月货款。</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3、在甲方支付货款前，乙方应开具</w:t>
      </w:r>
      <w:r>
        <w:rPr>
          <w:rFonts w:hint="eastAsia" w:ascii="仿宋" w:hAnsi="仿宋" w:eastAsia="仿宋" w:cs="仿宋"/>
          <w:sz w:val="21"/>
          <w:szCs w:val="21"/>
          <w:lang w:val="en-US" w:eastAsia="zh-CN"/>
        </w:rPr>
        <w:t>13%</w:t>
      </w:r>
      <w:r>
        <w:rPr>
          <w:rFonts w:hint="eastAsia" w:ascii="仿宋" w:hAnsi="仿宋" w:eastAsia="仿宋" w:cs="仿宋"/>
          <w:sz w:val="21"/>
          <w:szCs w:val="21"/>
        </w:rPr>
        <w:t>增值税专用发票。</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七、其它约定。</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1、货物在整个运送过程中产生的一切费用，如货物装卸费用、安全费用、环保费用等全部由乙方负责。</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2、乙方必须遵守有关法律法规及甲方的规章制度。否则，乙方应承担相应责任。</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3、若甲方因工艺调整等因素影响，则甲方有权终止合同，并以实际使用量进行结算，且甲方不承担任何责任。</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八、违约责任。</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向甲方承担违约金。</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九、争议的解决。</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1、合同有效期内甲、乙双方均不得随意变更或解除合同。合同若有未尽事宜，需经双方共同协商，订立补充协议，补充协议与本合同有同等法律效力。</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2、在履行本合同过程中如发生纠纷,甲、乙双方应及时协商解决，如协商不成，双方均有权向甲方住所地法院诉讼解决。</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十、合同的生效和终止。</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455" w:firstLineChars="217"/>
        <w:rPr>
          <w:rFonts w:hint="eastAsia" w:ascii="仿宋" w:hAnsi="仿宋" w:eastAsia="仿宋" w:cs="仿宋"/>
          <w:sz w:val="21"/>
          <w:szCs w:val="21"/>
        </w:rPr>
      </w:pPr>
      <w:r>
        <w:rPr>
          <w:rFonts w:hint="eastAsia" w:ascii="仿宋" w:hAnsi="仿宋" w:eastAsia="仿宋" w:cs="仿宋"/>
          <w:sz w:val="21"/>
          <w:szCs w:val="21"/>
        </w:rPr>
        <w:t>2、本合同一式</w:t>
      </w:r>
      <w:r>
        <w:rPr>
          <w:rFonts w:hint="eastAsia" w:ascii="仿宋" w:hAnsi="仿宋" w:eastAsia="仿宋" w:cs="仿宋"/>
          <w:sz w:val="21"/>
          <w:szCs w:val="21"/>
          <w:lang w:eastAsia="zh-CN"/>
        </w:rPr>
        <w:t>肆</w:t>
      </w:r>
      <w:r>
        <w:rPr>
          <w:rFonts w:hint="eastAsia" w:ascii="仿宋" w:hAnsi="仿宋" w:eastAsia="仿宋" w:cs="仿宋"/>
          <w:sz w:val="21"/>
          <w:szCs w:val="21"/>
        </w:rPr>
        <w:t>份，甲方、乙方各执</w:t>
      </w:r>
      <w:r>
        <w:rPr>
          <w:rFonts w:hint="eastAsia" w:ascii="仿宋" w:hAnsi="仿宋" w:eastAsia="仿宋" w:cs="仿宋"/>
          <w:sz w:val="21"/>
          <w:szCs w:val="21"/>
          <w:lang w:eastAsia="zh-CN"/>
        </w:rPr>
        <w:t>两</w:t>
      </w:r>
      <w:r>
        <w:rPr>
          <w:rFonts w:hint="eastAsia" w:ascii="仿宋" w:hAnsi="仿宋" w:eastAsia="仿宋" w:cs="仿宋"/>
          <w:sz w:val="21"/>
          <w:szCs w:val="21"/>
        </w:rPr>
        <w:t>份，均具有相同法律效力。</w:t>
      </w:r>
    </w:p>
    <w:p>
      <w:pPr>
        <w:spacing w:line="360" w:lineRule="auto"/>
        <w:ind w:left="5280" w:hanging="4620" w:hangingChars="2200"/>
        <w:jc w:val="left"/>
        <w:rPr>
          <w:rFonts w:hint="eastAsia" w:ascii="仿宋" w:hAnsi="仿宋" w:eastAsia="仿宋" w:cs="仿宋"/>
          <w:color w:val="auto"/>
          <w:sz w:val="21"/>
          <w:szCs w:val="21"/>
        </w:rPr>
      </w:pPr>
    </w:p>
    <w:p>
      <w:pPr>
        <w:spacing w:line="360" w:lineRule="auto"/>
        <w:ind w:left="5280" w:hanging="4620" w:hangingChars="2200"/>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甲  方：杭州临江环境能源有限公司    乙方：</w:t>
      </w:r>
    </w:p>
    <w:p>
      <w:pPr>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委托代理人：                        委托代理人：</w:t>
      </w:r>
    </w:p>
    <w:p>
      <w:pPr>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税号：                              税号：</w:t>
      </w:r>
    </w:p>
    <w:p>
      <w:pPr>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开户行：招商银行杭州分行滨江支行    开户行：</w:t>
      </w:r>
    </w:p>
    <w:p>
      <w:pPr>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银行账号：571911871110866           银行账号：</w:t>
      </w:r>
    </w:p>
    <w:p>
      <w:pPr>
        <w:spacing w:line="360" w:lineRule="auto"/>
        <w:jc w:val="left"/>
        <w:rPr>
          <w:rFonts w:hint="eastAsia" w:ascii="仿宋" w:hAnsi="仿宋" w:eastAsia="仿宋" w:cs="仿宋"/>
          <w:color w:val="auto"/>
          <w:sz w:val="21"/>
          <w:szCs w:val="21"/>
        </w:rPr>
      </w:pPr>
      <w:r>
        <w:rPr>
          <w:rFonts w:hint="eastAsia" w:ascii="仿宋" w:hAnsi="仿宋" w:eastAsia="仿宋" w:cs="仿宋"/>
          <w:color w:val="auto"/>
          <w:sz w:val="21"/>
          <w:szCs w:val="21"/>
        </w:rPr>
        <w:t>联系电话：                          联系电话：</w:t>
      </w:r>
    </w:p>
    <w:p>
      <w:pPr>
        <w:pStyle w:val="11"/>
        <w:rPr>
          <w:rFonts w:hint="eastAsia" w:ascii="仿宋" w:hAnsi="仿宋" w:eastAsia="仿宋" w:cs="仿宋"/>
        </w:rPr>
      </w:pPr>
    </w:p>
    <w:p>
      <w:pPr>
        <w:rPr>
          <w:rFonts w:hint="eastAsia" w:ascii="仿宋" w:hAnsi="仿宋" w:eastAsia="仿宋" w:cs="仿宋"/>
        </w:rPr>
      </w:pPr>
    </w:p>
    <w:p>
      <w:pPr>
        <w:pStyle w:val="5"/>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44"/>
          <w:szCs w:val="44"/>
        </w:rPr>
      </w:pPr>
      <w:r>
        <w:rPr>
          <w:rFonts w:hint="eastAsia"/>
          <w:lang w:val="en-US" w:eastAsia="zh-CN"/>
        </w:rPr>
        <w:t xml:space="preserve">     </w:t>
      </w:r>
      <w:r>
        <w:rPr>
          <w:rFonts w:hint="eastAsia" w:ascii="仿宋_GB2312" w:hAnsi="宋体" w:eastAsia="仿宋_GB2312" w:cs="宋体"/>
          <w:b/>
          <w:kern w:val="0"/>
          <w:sz w:val="44"/>
          <w:szCs w:val="44"/>
          <w:lang w:eastAsia="zh-CN"/>
        </w:rPr>
        <w:t>报价人</w:t>
      </w:r>
      <w:r>
        <w:rPr>
          <w:rFonts w:hint="eastAsia" w:ascii="仿宋_GB2312" w:hAnsi="宋体" w:eastAsia="仿宋_GB2312" w:cs="宋体"/>
          <w:b/>
          <w:kern w:val="0"/>
          <w:sz w:val="44"/>
          <w:szCs w:val="44"/>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6"/>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EFD2A59"/>
    <w:multiLevelType w:val="multilevel"/>
    <w:tmpl w:val="0EFD2A59"/>
    <w:lvl w:ilvl="0" w:tentative="0">
      <w:start w:val="1"/>
      <w:numFmt w:val="japaneseCounting"/>
      <w:lvlText w:val="%1、"/>
      <w:lvlJc w:val="left"/>
      <w:pPr>
        <w:ind w:left="1241" w:hanging="720"/>
      </w:pPr>
      <w:rPr>
        <w:rFonts w:hint="default"/>
      </w:rPr>
    </w:lvl>
    <w:lvl w:ilvl="1" w:tentative="0">
      <w:start w:val="1"/>
      <w:numFmt w:val="lowerLetter"/>
      <w:lvlText w:val="%2)"/>
      <w:lvlJc w:val="left"/>
      <w:pPr>
        <w:ind w:left="1361" w:hanging="420"/>
      </w:pPr>
    </w:lvl>
    <w:lvl w:ilvl="2" w:tentative="0">
      <w:start w:val="1"/>
      <w:numFmt w:val="lowerRoman"/>
      <w:lvlText w:val="%3."/>
      <w:lvlJc w:val="right"/>
      <w:pPr>
        <w:ind w:left="1781" w:hanging="420"/>
      </w:pPr>
    </w:lvl>
    <w:lvl w:ilvl="3" w:tentative="0">
      <w:start w:val="1"/>
      <w:numFmt w:val="decimal"/>
      <w:lvlText w:val="%4."/>
      <w:lvlJc w:val="left"/>
      <w:pPr>
        <w:ind w:left="2201" w:hanging="420"/>
      </w:pPr>
    </w:lvl>
    <w:lvl w:ilvl="4" w:tentative="0">
      <w:start w:val="1"/>
      <w:numFmt w:val="lowerLetter"/>
      <w:lvlText w:val="%5)"/>
      <w:lvlJc w:val="left"/>
      <w:pPr>
        <w:ind w:left="2621" w:hanging="420"/>
      </w:pPr>
    </w:lvl>
    <w:lvl w:ilvl="5" w:tentative="0">
      <w:start w:val="1"/>
      <w:numFmt w:val="lowerRoman"/>
      <w:lvlText w:val="%6."/>
      <w:lvlJc w:val="right"/>
      <w:pPr>
        <w:ind w:left="3041" w:hanging="420"/>
      </w:pPr>
    </w:lvl>
    <w:lvl w:ilvl="6" w:tentative="0">
      <w:start w:val="1"/>
      <w:numFmt w:val="decimal"/>
      <w:lvlText w:val="%7."/>
      <w:lvlJc w:val="left"/>
      <w:pPr>
        <w:ind w:left="3461" w:hanging="420"/>
      </w:pPr>
    </w:lvl>
    <w:lvl w:ilvl="7" w:tentative="0">
      <w:start w:val="1"/>
      <w:numFmt w:val="lowerLetter"/>
      <w:lvlText w:val="%8)"/>
      <w:lvlJc w:val="left"/>
      <w:pPr>
        <w:ind w:left="3881" w:hanging="420"/>
      </w:pPr>
    </w:lvl>
    <w:lvl w:ilvl="8" w:tentative="0">
      <w:start w:val="1"/>
      <w:numFmt w:val="lowerRoman"/>
      <w:lvlText w:val="%9."/>
      <w:lvlJc w:val="right"/>
      <w:pPr>
        <w:ind w:left="4301" w:hanging="420"/>
      </w:pPr>
    </w:lvl>
  </w:abstractNum>
  <w:abstractNum w:abstractNumId="2">
    <w:nsid w:val="25A16847"/>
    <w:multiLevelType w:val="singleLevel"/>
    <w:tmpl w:val="25A1684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3C34DB"/>
    <w:rsid w:val="0A9D29B8"/>
    <w:rsid w:val="0BC12699"/>
    <w:rsid w:val="0BCC31F9"/>
    <w:rsid w:val="0C5A16A4"/>
    <w:rsid w:val="0DC35837"/>
    <w:rsid w:val="0DE61498"/>
    <w:rsid w:val="0FB6383E"/>
    <w:rsid w:val="110C39D4"/>
    <w:rsid w:val="111E6460"/>
    <w:rsid w:val="1297576D"/>
    <w:rsid w:val="12BF4C87"/>
    <w:rsid w:val="12E70A09"/>
    <w:rsid w:val="164F6705"/>
    <w:rsid w:val="16646293"/>
    <w:rsid w:val="16FE5921"/>
    <w:rsid w:val="177D18DB"/>
    <w:rsid w:val="17B042A1"/>
    <w:rsid w:val="17E0524C"/>
    <w:rsid w:val="192949D3"/>
    <w:rsid w:val="1A2B7D96"/>
    <w:rsid w:val="1BAF6202"/>
    <w:rsid w:val="1BD33B78"/>
    <w:rsid w:val="1BEC2FB3"/>
    <w:rsid w:val="1D6D770B"/>
    <w:rsid w:val="1E1A21EF"/>
    <w:rsid w:val="203B090D"/>
    <w:rsid w:val="21135480"/>
    <w:rsid w:val="212C3971"/>
    <w:rsid w:val="214D7086"/>
    <w:rsid w:val="21BA7E4E"/>
    <w:rsid w:val="21D7200F"/>
    <w:rsid w:val="22DF5956"/>
    <w:rsid w:val="22ED7F5E"/>
    <w:rsid w:val="24130D0C"/>
    <w:rsid w:val="259E2C6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B2531B"/>
    <w:rsid w:val="2EF6341E"/>
    <w:rsid w:val="2F023474"/>
    <w:rsid w:val="2F3D045F"/>
    <w:rsid w:val="2F6F3EAC"/>
    <w:rsid w:val="2F7D3F84"/>
    <w:rsid w:val="2F844FB7"/>
    <w:rsid w:val="30256074"/>
    <w:rsid w:val="302C4175"/>
    <w:rsid w:val="31300019"/>
    <w:rsid w:val="31713FF6"/>
    <w:rsid w:val="31B47AC5"/>
    <w:rsid w:val="32B04D2F"/>
    <w:rsid w:val="32B3468A"/>
    <w:rsid w:val="33A35EAC"/>
    <w:rsid w:val="3464504B"/>
    <w:rsid w:val="34BF2BB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855D16"/>
    <w:rsid w:val="41931657"/>
    <w:rsid w:val="42D57A4D"/>
    <w:rsid w:val="436A096E"/>
    <w:rsid w:val="44544A76"/>
    <w:rsid w:val="449544C5"/>
    <w:rsid w:val="44A55070"/>
    <w:rsid w:val="44E727FA"/>
    <w:rsid w:val="44F248E6"/>
    <w:rsid w:val="45530393"/>
    <w:rsid w:val="469F7AF8"/>
    <w:rsid w:val="475812CD"/>
    <w:rsid w:val="475D1115"/>
    <w:rsid w:val="478F3581"/>
    <w:rsid w:val="47B96D86"/>
    <w:rsid w:val="47D615F1"/>
    <w:rsid w:val="48034DA7"/>
    <w:rsid w:val="486F4BB5"/>
    <w:rsid w:val="48E14418"/>
    <w:rsid w:val="491635D4"/>
    <w:rsid w:val="49E7480F"/>
    <w:rsid w:val="4AF15640"/>
    <w:rsid w:val="4AF173EE"/>
    <w:rsid w:val="4C0118B3"/>
    <w:rsid w:val="4C2F1B9C"/>
    <w:rsid w:val="4C870D35"/>
    <w:rsid w:val="4D2832EB"/>
    <w:rsid w:val="4E376DB9"/>
    <w:rsid w:val="4E625AA2"/>
    <w:rsid w:val="4E716394"/>
    <w:rsid w:val="4ECC39F8"/>
    <w:rsid w:val="4F0A3ECF"/>
    <w:rsid w:val="4F595384"/>
    <w:rsid w:val="4F7F3CCA"/>
    <w:rsid w:val="502844C8"/>
    <w:rsid w:val="518406C1"/>
    <w:rsid w:val="51D845E4"/>
    <w:rsid w:val="52D63A99"/>
    <w:rsid w:val="533444FB"/>
    <w:rsid w:val="533B57F0"/>
    <w:rsid w:val="55652DC4"/>
    <w:rsid w:val="55C54FE9"/>
    <w:rsid w:val="55E07717"/>
    <w:rsid w:val="56397366"/>
    <w:rsid w:val="58080247"/>
    <w:rsid w:val="58A904AA"/>
    <w:rsid w:val="5950112B"/>
    <w:rsid w:val="5A1C766A"/>
    <w:rsid w:val="5CF528AB"/>
    <w:rsid w:val="612A3DEE"/>
    <w:rsid w:val="61A43FC8"/>
    <w:rsid w:val="62B67083"/>
    <w:rsid w:val="649C599A"/>
    <w:rsid w:val="66B027B6"/>
    <w:rsid w:val="671A2875"/>
    <w:rsid w:val="6738644D"/>
    <w:rsid w:val="67966EFB"/>
    <w:rsid w:val="67B628F5"/>
    <w:rsid w:val="68CF2B2D"/>
    <w:rsid w:val="69A94E0C"/>
    <w:rsid w:val="6B656B47"/>
    <w:rsid w:val="6B7E1643"/>
    <w:rsid w:val="6C714475"/>
    <w:rsid w:val="6C995088"/>
    <w:rsid w:val="6CDB032D"/>
    <w:rsid w:val="6DBD736C"/>
    <w:rsid w:val="6DD17C72"/>
    <w:rsid w:val="6DF45A5A"/>
    <w:rsid w:val="6E5526FF"/>
    <w:rsid w:val="6F2B1820"/>
    <w:rsid w:val="6F3D7854"/>
    <w:rsid w:val="707E74C2"/>
    <w:rsid w:val="710D0440"/>
    <w:rsid w:val="71C5585F"/>
    <w:rsid w:val="73A1381E"/>
    <w:rsid w:val="7459468D"/>
    <w:rsid w:val="752B5127"/>
    <w:rsid w:val="779817DA"/>
    <w:rsid w:val="77D476E8"/>
    <w:rsid w:val="782A7918"/>
    <w:rsid w:val="7A187C44"/>
    <w:rsid w:val="7A500C84"/>
    <w:rsid w:val="7A7B08FF"/>
    <w:rsid w:val="7AE21E9E"/>
    <w:rsid w:val="7B09318D"/>
    <w:rsid w:val="7B6004E6"/>
    <w:rsid w:val="7C4C470C"/>
    <w:rsid w:val="7CBE0F77"/>
    <w:rsid w:val="7CD03426"/>
    <w:rsid w:val="7DFA5FDE"/>
    <w:rsid w:val="7E15697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jc w:val="left"/>
    </w:pPr>
    <w:rPr>
      <w:b/>
      <w:cap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7997</Words>
  <Characters>8553</Characters>
  <Lines>53</Lines>
  <Paragraphs>15</Paragraphs>
  <TotalTime>12</TotalTime>
  <ScaleCrop>false</ScaleCrop>
  <LinksUpToDate>false</LinksUpToDate>
  <CharactersWithSpaces>9075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2023-07-11T01:32:05Z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