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r>
        <w:rPr>
          <w:rFonts w:hint="eastAsia" w:cs="宋体" w:asciiTheme="minorEastAsia" w:hAnsiTheme="minorEastAsia"/>
          <w:color w:val="auto"/>
          <w:sz w:val="48"/>
          <w:szCs w:val="48"/>
          <w:u w:val="single"/>
        </w:rPr>
        <w:t>2023年临江公司黑匣子数据监测调试</w:t>
      </w:r>
    </w:p>
    <w:p>
      <w:pPr>
        <w:pStyle w:val="8"/>
        <w:jc w:val="center"/>
        <w:rPr>
          <w:color w:val="auto"/>
        </w:rPr>
      </w:pPr>
      <w:r>
        <w:rPr>
          <w:rFonts w:hint="eastAsia" w:cs="宋体" w:asciiTheme="minorEastAsia" w:hAnsiTheme="minorEastAsia"/>
          <w:color w:val="auto"/>
          <w:sz w:val="48"/>
          <w:szCs w:val="48"/>
          <w:u w:val="single"/>
        </w:rPr>
        <w:t>服务采购</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default" w:cs="宋体" w:asciiTheme="minorEastAsia" w:hAnsiTheme="minorEastAsia"/>
          <w:color w:val="auto"/>
          <w:sz w:val="30"/>
          <w:szCs w:val="30"/>
          <w:u w:val="single"/>
          <w:lang w:val="en-US"/>
        </w:rPr>
        <w:t>202308</w:t>
      </w:r>
      <w:r>
        <w:rPr>
          <w:rFonts w:hint="eastAsia" w:cs="宋体" w:asciiTheme="minorEastAsia" w:hAnsiTheme="minorEastAsia"/>
          <w:color w:val="auto"/>
          <w:sz w:val="30"/>
          <w:szCs w:val="30"/>
          <w:u w:val="single"/>
          <w:lang w:val="en-US" w:eastAsia="zh-CN"/>
        </w:rPr>
        <w:t>010</w:t>
      </w:r>
    </w:p>
    <w:p>
      <w:pPr>
        <w:spacing w:line="360" w:lineRule="auto"/>
        <w:jc w:val="center"/>
        <w:rPr>
          <w:rFonts w:cs="仿宋" w:asciiTheme="minorEastAsia" w:hAnsiTheme="minorEastAsia"/>
          <w:b/>
          <w:bCs/>
          <w:color w:val="auto"/>
          <w:sz w:val="72"/>
          <w:szCs w:val="72"/>
        </w:rPr>
      </w:pPr>
    </w:p>
    <w:p>
      <w:pPr>
        <w:pStyle w:val="2"/>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default" w:cs="仿宋" w:asciiTheme="minorEastAsia" w:hAnsiTheme="minorEastAsia"/>
          <w:color w:val="auto"/>
          <w:sz w:val="32"/>
          <w:szCs w:val="32"/>
          <w:lang w:val="en-US"/>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28</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default" w:cs="仿宋" w:asciiTheme="minorEastAsia" w:hAnsiTheme="minorEastAsia"/>
          <w:color w:val="auto"/>
          <w:sz w:val="24"/>
          <w:u w:val="single"/>
          <w:lang w:val="en-US"/>
        </w:rPr>
        <w:t xml:space="preserve">2023年临江公司黑匣子数据监测调试服务 </w:t>
      </w:r>
      <w:r>
        <w:rPr>
          <w:rFonts w:hint="eastAsia" w:cs="仿宋" w:asciiTheme="minorEastAsia" w:hAnsiTheme="minorEastAsia"/>
          <w:color w:val="auto"/>
          <w:sz w:val="24"/>
          <w:u w:val="single"/>
        </w:rPr>
        <w:t>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default" w:cs="仿宋" w:asciiTheme="minorEastAsia" w:hAnsiTheme="minorEastAsia"/>
          <w:color w:val="auto"/>
          <w:sz w:val="24"/>
          <w:u w:val="single"/>
          <w:lang w:val="en-US"/>
        </w:rPr>
        <w:t>202308</w:t>
      </w:r>
      <w:r>
        <w:rPr>
          <w:rFonts w:hint="eastAsia" w:cs="仿宋" w:asciiTheme="minorEastAsia" w:hAnsiTheme="minorEastAsia"/>
          <w:color w:val="auto"/>
          <w:sz w:val="24"/>
          <w:u w:val="single"/>
          <w:lang w:val="en-US" w:eastAsia="zh-CN"/>
        </w:rPr>
        <w:t>010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2023年临江公司黑匣子数据监测调试服务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default" w:cs="仿宋" w:asciiTheme="minorEastAsia" w:hAnsiTheme="minorEastAsia"/>
          <w:color w:val="auto"/>
          <w:sz w:val="24"/>
          <w:u w:val="single"/>
          <w:lang w:val="en-US" w:eastAsia="zh-CN"/>
        </w:rPr>
        <w:t>80000</w:t>
      </w:r>
      <w:r>
        <w:rPr>
          <w:rFonts w:hint="eastAsia" w:cs="仿宋" w:asciiTheme="minorEastAsia" w:hAnsiTheme="minorEastAsia"/>
          <w:color w:val="auto"/>
          <w:sz w:val="24"/>
          <w:u w:val="single"/>
          <w:lang w:val="en-US" w:eastAsia="zh-CN"/>
        </w:rPr>
        <w:t xml:space="preserve"> 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rPr>
        <w:t xml:space="preserve"> </w:t>
      </w:r>
      <w:r>
        <w:rPr>
          <w:rFonts w:hint="eastAsia" w:hAnsi="宋体" w:cs="宋体"/>
          <w:bCs/>
          <w:color w:val="auto"/>
          <w:sz w:val="24"/>
          <w:lang w:eastAsia="zh-CN"/>
        </w:rPr>
        <w:t>主要负责</w:t>
      </w:r>
      <w:r>
        <w:rPr>
          <w:rFonts w:hint="eastAsia" w:hAnsi="宋体" w:cs="宋体"/>
          <w:bCs/>
          <w:color w:val="auto"/>
          <w:sz w:val="24"/>
        </w:rPr>
        <w:t>DCS</w:t>
      </w:r>
      <w:r>
        <w:rPr>
          <w:rFonts w:hint="eastAsia" w:hAnsi="宋体" w:cs="宋体"/>
          <w:bCs/>
          <w:color w:val="auto"/>
          <w:sz w:val="24"/>
          <w:lang w:val="en-US" w:eastAsia="zh-CN"/>
        </w:rPr>
        <w:t>（艾默生ovation）</w:t>
      </w:r>
      <w:r>
        <w:rPr>
          <w:rFonts w:hint="eastAsia" w:hAnsi="宋体" w:cs="宋体"/>
          <w:bCs/>
          <w:color w:val="auto"/>
          <w:sz w:val="24"/>
        </w:rPr>
        <w:t>至垃圾焚烧炉“黑匣子”的数据通讯</w:t>
      </w:r>
      <w:r>
        <w:rPr>
          <w:rFonts w:hint="eastAsia" w:hAnsi="宋体" w:cs="宋体"/>
          <w:bCs/>
          <w:color w:val="auto"/>
          <w:sz w:val="24"/>
          <w:lang w:eastAsia="zh-CN"/>
        </w:rPr>
        <w:t>调试工作</w:t>
      </w:r>
      <w:r>
        <w:rPr>
          <w:rFonts w:hint="eastAsia" w:hAnsi="宋体" w:cs="宋体"/>
          <w:bCs/>
          <w:color w:val="auto"/>
          <w:sz w:val="24"/>
        </w:rPr>
        <w:t>，包含OPC站的测点配置和软件配置（IO清单详见附件）、路由器的配置、数据网闸穿越，以及和黑匣子的数据对接等工作，同时指导</w:t>
      </w:r>
      <w:r>
        <w:rPr>
          <w:rFonts w:hint="eastAsia" w:hAnsi="宋体" w:cs="宋体"/>
          <w:bCs/>
          <w:color w:val="auto"/>
          <w:sz w:val="24"/>
          <w:lang w:eastAsia="zh-CN"/>
        </w:rPr>
        <w:t>采购人</w:t>
      </w:r>
      <w:r>
        <w:rPr>
          <w:rFonts w:hint="eastAsia" w:hAnsi="宋体" w:cs="宋体"/>
          <w:bCs/>
          <w:color w:val="auto"/>
          <w:sz w:val="24"/>
        </w:rPr>
        <w:t>工程师后续可自行维护OPC站软件</w:t>
      </w:r>
      <w:r>
        <w:rPr>
          <w:rFonts w:hint="eastAsia" w:hAnsi="宋体" w:cs="宋体"/>
          <w:bCs/>
          <w:color w:val="auto"/>
          <w:sz w:val="24"/>
          <w:lang w:eastAsia="zh-CN"/>
        </w:rPr>
        <w:t>，实现</w:t>
      </w:r>
      <w:r>
        <w:rPr>
          <w:rFonts w:hint="eastAsia" w:hAnsi="宋体" w:cs="宋体"/>
          <w:bCs/>
          <w:color w:val="auto"/>
          <w:sz w:val="24"/>
          <w:lang w:val="en-US" w:eastAsia="zh-CN"/>
        </w:rPr>
        <w:t>D</w:t>
      </w:r>
      <w:r>
        <w:rPr>
          <w:rFonts w:hint="eastAsia" w:hAnsi="宋体" w:cs="宋体"/>
          <w:bCs/>
          <w:color w:val="auto"/>
          <w:sz w:val="24"/>
          <w:lang w:eastAsia="zh-CN"/>
        </w:rPr>
        <w:t>CS系统和垃圾焚烧炉“黑匣子”数据通讯。</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一次性交付服务成果，在采购人发出调试通知后，中标人在7天内完成数据通讯调试工作。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28359004"/>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供应商必须有自2018年1月1日起不少于</w:t>
      </w:r>
      <w:r>
        <w:rPr>
          <w:rFonts w:hint="default" w:cs="仿宋" w:asciiTheme="minorEastAsia" w:hAnsiTheme="minorEastAsia"/>
          <w:b/>
          <w:bCs w:val="0"/>
          <w:color w:val="auto"/>
          <w:sz w:val="24"/>
          <w:u w:val="single"/>
          <w:lang w:val="en-US" w:eastAsia="zh-CN"/>
        </w:rPr>
        <w:t>1</w:t>
      </w:r>
      <w:r>
        <w:rPr>
          <w:rFonts w:hint="eastAsia" w:cs="仿宋" w:asciiTheme="minorEastAsia" w:hAnsiTheme="minorEastAsia"/>
          <w:bCs/>
          <w:color w:val="auto"/>
          <w:sz w:val="24"/>
          <w:u w:val="single"/>
        </w:rPr>
        <w:t>个</w:t>
      </w:r>
      <w:r>
        <w:rPr>
          <w:rFonts w:hint="eastAsia" w:cs="仿宋" w:asciiTheme="minorEastAsia" w:hAnsiTheme="minorEastAsia"/>
          <w:bCs/>
          <w:color w:val="auto"/>
          <w:sz w:val="24"/>
          <w:u w:val="single"/>
          <w:lang w:val="en-US" w:eastAsia="zh-CN"/>
        </w:rPr>
        <w:t>与艾默生 ovation系统调试相关的</w:t>
      </w:r>
      <w:r>
        <w:rPr>
          <w:rFonts w:hint="eastAsia" w:cs="仿宋" w:asciiTheme="minorEastAsia" w:hAnsiTheme="minorEastAsia"/>
          <w:bCs/>
          <w:color w:val="auto"/>
          <w:sz w:val="24"/>
          <w:u w:val="single"/>
        </w:rPr>
        <w:t>业绩。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8</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8</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8月28</w:t>
      </w:r>
      <w:bookmarkStart w:id="498" w:name="_GoBack"/>
      <w:bookmarkEnd w:id="498"/>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3"/>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6"/>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6"/>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元，投标人应在投标截止日前以电汇或网银转账方式缴纳至杭州临江环境能源有限公司。同时将银行缴款凭证复印件作为投标文件组成部分。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2023年临江公司黑匣子数据监测调试服务</w:t>
            </w:r>
            <w:r>
              <w:rPr>
                <w:rFonts w:hint="eastAsia" w:ascii="宋体" w:hAnsi="宋体" w:eastAsia="宋体" w:cs="宋体"/>
                <w:b/>
                <w:bCs/>
                <w:color w:val="auto"/>
                <w:sz w:val="21"/>
                <w:szCs w:val="21"/>
                <w:lang w:eastAsia="zh-CN"/>
              </w:rPr>
              <w:t>询价保证金</w:t>
            </w:r>
          </w:p>
          <w:p>
            <w:pPr>
              <w:pStyle w:val="17"/>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7"/>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询价评标小组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rFonts w:hint="eastAsia" w:ascii="宋体" w:hAnsi="宋体" w:eastAsia="宋体" w:cs="宋体"/>
                <w:b/>
                <w:color w:val="auto"/>
                <w:kern w:val="0"/>
                <w:sz w:val="21"/>
                <w:szCs w:val="21"/>
              </w:rPr>
            </w:pPr>
            <w:r>
              <w:rPr>
                <w:rFonts w:hint="eastAsia"/>
                <w:color w:val="auto"/>
              </w:rPr>
              <w:t>否决条款：详见</w:t>
            </w:r>
            <w:r>
              <w:rPr>
                <w:rFonts w:hint="eastAsia"/>
                <w:color w:val="auto"/>
                <w:lang w:eastAsia="zh-CN"/>
              </w:rPr>
              <w:t>询价采购文件“第四部分 《评审方法》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履约保证金缴纳时间：中标通知书领取之后，合同签订之前</w:t>
            </w:r>
          </w:p>
          <w:p>
            <w:pPr>
              <w:pStyle w:val="18"/>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18"/>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6"/>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6"/>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6"/>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ind w:left="0" w:leftChars="0" w:firstLine="0" w:firstLineChars="0"/>
        <w:rPr>
          <w:rFonts w:hint="eastAsia"/>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“供应商”系指是指响应询价邀请、参加响应竞争的法人、其他组织或者自然人。</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“负责人”系指法人企业的法定负责人，或其他组织为法律、行政法规规定代表单位行使职权的主要负责人，或自然人本人。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2"/>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的时间期限、地点、方式及</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售价。</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.2.2授权委托书或法定代表人（单位负责人、自然人本人）身份证明；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19"/>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标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19"/>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拆分</w:t>
      </w:r>
      <w:r>
        <w:rPr>
          <w:rFonts w:hint="eastAsia" w:cs="仿宋" w:asciiTheme="minorEastAsia" w:hAnsiTheme="minorEastAsia"/>
          <w:color w:val="auto"/>
          <w:szCs w:val="24"/>
        </w:rPr>
        <w:t>响应文件。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19"/>
        <w:spacing w:before="0"/>
        <w:ind w:firstLine="0" w:firstLineChars="0"/>
        <w:jc w:val="center"/>
        <w:rPr>
          <w:rFonts w:cs="仿宋" w:asciiTheme="minorEastAsia" w:hAnsiTheme="minorEastAsia"/>
          <w:b/>
          <w:color w:val="auto"/>
          <w:sz w:val="32"/>
        </w:rPr>
      </w:pPr>
    </w:p>
    <w:p>
      <w:pPr>
        <w:pStyle w:val="19"/>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0"/>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0"/>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的，不得开启响应文件。</w:t>
      </w:r>
    </w:p>
    <w:p>
      <w:pPr>
        <w:pStyle w:val="20"/>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19"/>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rPr>
        <w:t>询价</w:t>
      </w:r>
      <w:r>
        <w:rPr>
          <w:rFonts w:hint="eastAsia" w:cs="仿宋" w:asciiTheme="minorEastAsia" w:hAnsiTheme="minorEastAsia"/>
          <w:color w:val="auto"/>
          <w:sz w:val="24"/>
          <w:lang w:eastAsia="zh-CN"/>
        </w:rPr>
        <w:t>评标</w:t>
      </w:r>
      <w:r>
        <w:rPr>
          <w:rFonts w:hint="eastAsia" w:cs="仿宋" w:asciiTheme="minorEastAsia" w:hAnsiTheme="minorEastAsia"/>
          <w:color w:val="auto"/>
          <w:sz w:val="24"/>
        </w:rPr>
        <w:t>小组将根据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的响应情况。对实质上响应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的供应商，按照报价从低到高排出推荐成交的供应商的先后顺序，并按顺序提出授标建议。</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19"/>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19"/>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19"/>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19"/>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2"/>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2"/>
        <w:numPr>
          <w:ilvl w:val="0"/>
          <w:numId w:val="0"/>
        </w:numPr>
        <w:ind w:firstLine="480" w:firstLineChars="200"/>
        <w:rPr>
          <w:rFonts w:hint="eastAsia"/>
          <w:color w:val="auto"/>
          <w:lang w:val="en-US" w:eastAsia="zh-CN"/>
        </w:rPr>
      </w:pPr>
      <w:r>
        <w:rPr>
          <w:rFonts w:hint="eastAsia"/>
          <w:color w:val="auto"/>
          <w:lang w:val="en-US" w:eastAsia="zh-CN"/>
        </w:rPr>
        <w:t>负责 DCS（艾默生ovation）系统至垃圾焚烧炉“黑匣子”的数据通讯调试工作，包含OPC站的测点配置和软件配置（IO清单详见附件）、路由器的配置、数据网闸穿越，以及和黑匣子的数据对接等工作，同时指导采购人工程师后续可自行维护OPC站软件，实现DCS系统和垃圾焚烧炉“黑匣子”数据通讯。</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2"/>
        <w:numPr>
          <w:ilvl w:val="0"/>
          <w:numId w:val="0"/>
        </w:numPr>
        <w:ind w:firstLine="480" w:firstLineChars="200"/>
        <w:rPr>
          <w:rFonts w:hint="default"/>
          <w:color w:val="auto"/>
          <w:lang w:val="en-US" w:eastAsia="zh-CN"/>
        </w:rPr>
      </w:pPr>
      <w:r>
        <w:rPr>
          <w:rFonts w:hint="eastAsia"/>
          <w:color w:val="auto"/>
          <w:lang w:val="en-US" w:eastAsia="zh-CN"/>
        </w:rPr>
        <w:t>1.合同期限：本次服务采购人验收合格后，本合同自动终止；</w:t>
      </w:r>
    </w:p>
    <w:p>
      <w:pPr>
        <w:pStyle w:val="2"/>
        <w:numPr>
          <w:ilvl w:val="0"/>
          <w:numId w:val="0"/>
        </w:numPr>
        <w:ind w:firstLine="480" w:firstLineChars="200"/>
        <w:rPr>
          <w:rFonts w:hint="eastAsia"/>
          <w:color w:val="auto"/>
          <w:lang w:val="en-US" w:eastAsia="zh-CN"/>
        </w:rPr>
      </w:pPr>
      <w:r>
        <w:rPr>
          <w:rFonts w:hint="eastAsia"/>
          <w:color w:val="auto"/>
          <w:lang w:val="en-US" w:eastAsia="zh-CN"/>
        </w:rPr>
        <w:t>2.履约方式：一次性交付服务成果。</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2"/>
        <w:numPr>
          <w:ilvl w:val="0"/>
          <w:numId w:val="0"/>
        </w:numPr>
        <w:ind w:firstLine="480" w:firstLineChars="200"/>
        <w:rPr>
          <w:rFonts w:hint="eastAsia"/>
          <w:color w:val="auto"/>
          <w:lang w:val="en-US" w:eastAsia="zh-CN"/>
        </w:rPr>
      </w:pPr>
      <w:r>
        <w:rPr>
          <w:rFonts w:hint="eastAsia"/>
          <w:color w:val="auto"/>
          <w:lang w:val="en-US" w:eastAsia="zh-CN"/>
        </w:rPr>
        <w:t>完成OPC站的测点配置和软件配置、路由器的配置、数据网闸穿越，以及和黑匣子的数据对接，并通过采购人的性能测试、试运行等工作。</w:t>
      </w:r>
    </w:p>
    <w:p>
      <w:pPr>
        <w:pStyle w:val="2"/>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3"/>
        <w:numPr>
          <w:ilvl w:val="0"/>
          <w:numId w:val="0"/>
        </w:numPr>
        <w:ind w:firstLine="480" w:firstLineChars="200"/>
        <w:rPr>
          <w:rFonts w:hint="eastAsia"/>
          <w:color w:val="auto"/>
          <w:lang w:val="en-US" w:eastAsia="zh-CN"/>
        </w:rPr>
      </w:pPr>
      <w:r>
        <w:rPr>
          <w:rFonts w:hint="eastAsia"/>
          <w:color w:val="auto"/>
          <w:lang w:val="en-US" w:eastAsia="zh-CN"/>
        </w:rPr>
        <w:t>能实现DCS系统和垃圾焚烧炉“黑匣子”数据通讯，采购人对性能测试、试运行的结果组织验收。</w:t>
      </w:r>
    </w:p>
    <w:p>
      <w:pPr>
        <w:pStyle w:val="2"/>
        <w:numPr>
          <w:ilvl w:val="0"/>
          <w:numId w:val="1"/>
        </w:numPr>
        <w:ind w:firstLine="482" w:firstLineChars="200"/>
        <w:rPr>
          <w:rFonts w:hint="eastAsia"/>
          <w:b/>
          <w:bCs/>
          <w:color w:val="auto"/>
          <w:lang w:val="en-US" w:eastAsia="zh-CN"/>
        </w:rPr>
      </w:pPr>
      <w:r>
        <w:rPr>
          <w:rFonts w:hint="eastAsia"/>
          <w:b/>
          <w:bCs/>
          <w:color w:val="auto"/>
          <w:lang w:val="en-US" w:eastAsia="zh-CN"/>
        </w:rPr>
        <w:t>服务要求</w:t>
      </w:r>
    </w:p>
    <w:p>
      <w:pPr>
        <w:pStyle w:val="2"/>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w:t>
      </w:r>
      <w:r>
        <w:rPr>
          <w:rFonts w:hint="eastAsia"/>
          <w:color w:val="auto"/>
          <w:lang w:val="en-US" w:eastAsia="zh-CN"/>
        </w:rPr>
        <w:t>在采购人发出调试通知后，中标人在7天内完成数据通讯调试工作；</w:t>
      </w:r>
    </w:p>
    <w:p>
      <w:pPr>
        <w:pStyle w:val="3"/>
        <w:numPr>
          <w:ilvl w:val="0"/>
          <w:numId w:val="0"/>
        </w:numPr>
        <w:ind w:firstLine="480" w:firstLineChars="200"/>
        <w:rPr>
          <w:rFonts w:hint="default"/>
          <w:color w:val="auto"/>
          <w:lang w:val="en-US" w:eastAsia="zh-CN"/>
        </w:rPr>
      </w:pPr>
      <w:r>
        <w:rPr>
          <w:rFonts w:hint="default" w:ascii="宋体" w:hAnsi="Times New Roman" w:cs="Times New Roman" w:eastAsiaTheme="minorEastAsia"/>
          <w:snapToGrid/>
          <w:color w:val="auto"/>
          <w:kern w:val="2"/>
          <w:sz w:val="24"/>
          <w:szCs w:val="20"/>
          <w:lang w:val="en-US" w:eastAsia="zh-CN" w:bidi="ar-SA"/>
        </w:rPr>
        <w:t>2</w:t>
      </w:r>
      <w:r>
        <w:rPr>
          <w:rFonts w:hint="eastAsia" w:cs="Times New Roman"/>
          <w:snapToGrid/>
          <w:color w:val="auto"/>
          <w:kern w:val="2"/>
          <w:sz w:val="24"/>
          <w:szCs w:val="20"/>
          <w:lang w:val="en-US" w:eastAsia="zh-CN" w:bidi="ar-SA"/>
        </w:rPr>
        <w:t>.</w:t>
      </w:r>
      <w:r>
        <w:rPr>
          <w:rFonts w:hint="eastAsia"/>
          <w:color w:val="auto"/>
          <w:lang w:val="en-US" w:eastAsia="zh-CN"/>
        </w:rPr>
        <w:t>指导采购人工程师后续可自行维护OPC站软。</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3"/>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2"/>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1"/>
        <w:rPr>
          <w:rFonts w:hint="eastAsia"/>
          <w:color w:val="auto"/>
          <w:lang w:eastAsia="zh-CN"/>
        </w:rPr>
      </w:pPr>
    </w:p>
    <w:p>
      <w:pPr>
        <w:rPr>
          <w:rFonts w:hint="eastAsia"/>
          <w:color w:val="auto"/>
          <w:lang w:eastAsia="zh-CN"/>
        </w:rPr>
      </w:pPr>
    </w:p>
    <w:p>
      <w:pPr>
        <w:pStyle w:val="11"/>
        <w:rPr>
          <w:rFonts w:hint="eastAsia"/>
          <w:color w:val="auto"/>
          <w:lang w:eastAsia="zh-CN"/>
        </w:rPr>
      </w:pPr>
    </w:p>
    <w:p>
      <w:pPr>
        <w:rPr>
          <w:rFonts w:hint="eastAsia"/>
          <w:color w:val="auto"/>
          <w:lang w:eastAsia="zh-CN"/>
        </w:rPr>
      </w:pPr>
    </w:p>
    <w:p>
      <w:pPr>
        <w:pStyle w:val="11"/>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39"/>
      <w:bookmarkEnd w:id="19"/>
      <w:bookmarkStart w:id="20" w:name="_Toc184312095"/>
      <w:bookmarkEnd w:id="20"/>
      <w:bookmarkStart w:id="21" w:name="_Toc184313309"/>
      <w:bookmarkEnd w:id="21"/>
      <w:bookmarkStart w:id="22" w:name="_Toc184312130"/>
      <w:bookmarkEnd w:id="22"/>
      <w:bookmarkStart w:id="23" w:name="_Toc184310302"/>
      <w:bookmarkEnd w:id="23"/>
      <w:bookmarkStart w:id="24" w:name="_Toc184310280"/>
      <w:bookmarkEnd w:id="24"/>
      <w:bookmarkStart w:id="25" w:name="_Toc184314441"/>
      <w:bookmarkEnd w:id="25"/>
      <w:bookmarkStart w:id="26" w:name="_Toc184313278"/>
      <w:bookmarkEnd w:id="26"/>
      <w:bookmarkStart w:id="27" w:name="_Toc184310337"/>
      <w:bookmarkEnd w:id="27"/>
      <w:bookmarkStart w:id="28" w:name="_Toc184310290"/>
      <w:bookmarkEnd w:id="28"/>
      <w:bookmarkStart w:id="29" w:name="_Toc184312135"/>
      <w:bookmarkEnd w:id="29"/>
      <w:bookmarkStart w:id="30" w:name="_Toc184312104"/>
      <w:bookmarkEnd w:id="30"/>
      <w:bookmarkStart w:id="31" w:name="_Toc184313248"/>
      <w:bookmarkEnd w:id="31"/>
      <w:bookmarkStart w:id="32" w:name="_Toc184308067"/>
      <w:bookmarkEnd w:id="32"/>
      <w:bookmarkStart w:id="33" w:name="_Toc184310294"/>
      <w:bookmarkEnd w:id="33"/>
      <w:bookmarkStart w:id="34" w:name="_Toc184312103"/>
      <w:bookmarkEnd w:id="34"/>
      <w:bookmarkStart w:id="35" w:name="_Toc184310300"/>
      <w:bookmarkEnd w:id="35"/>
      <w:bookmarkStart w:id="36" w:name="_Toc184313272"/>
      <w:bookmarkEnd w:id="36"/>
      <w:bookmarkStart w:id="37" w:name="_Toc184308052"/>
      <w:bookmarkEnd w:id="37"/>
      <w:bookmarkStart w:id="38" w:name="_Toc184308071"/>
      <w:bookmarkEnd w:id="38"/>
      <w:bookmarkStart w:id="39" w:name="_Toc184310292"/>
      <w:bookmarkEnd w:id="39"/>
      <w:bookmarkStart w:id="40" w:name="_Toc184312137"/>
      <w:bookmarkEnd w:id="40"/>
      <w:bookmarkStart w:id="41" w:name="_Toc184310296"/>
      <w:bookmarkEnd w:id="41"/>
      <w:bookmarkStart w:id="42" w:name="_Toc184314453"/>
      <w:bookmarkEnd w:id="42"/>
      <w:bookmarkStart w:id="43" w:name="_Toc184312090"/>
      <w:bookmarkEnd w:id="43"/>
      <w:bookmarkStart w:id="44" w:name="_Toc184313288"/>
      <w:bookmarkEnd w:id="44"/>
      <w:bookmarkStart w:id="45" w:name="_Toc184313257"/>
      <w:bookmarkEnd w:id="45"/>
      <w:bookmarkStart w:id="46" w:name="_Toc184313241"/>
      <w:bookmarkEnd w:id="46"/>
      <w:bookmarkStart w:id="47" w:name="_Toc184314447"/>
      <w:bookmarkEnd w:id="47"/>
      <w:bookmarkStart w:id="48" w:name="_Toc184312069"/>
      <w:bookmarkEnd w:id="48"/>
      <w:bookmarkStart w:id="49" w:name="_Toc184310298"/>
      <w:bookmarkEnd w:id="49"/>
      <w:bookmarkStart w:id="50" w:name="_Toc184310303"/>
      <w:bookmarkEnd w:id="50"/>
      <w:bookmarkStart w:id="51" w:name="_Toc184312106"/>
      <w:bookmarkEnd w:id="51"/>
      <w:bookmarkStart w:id="52" w:name="_Toc184313283"/>
      <w:bookmarkEnd w:id="52"/>
      <w:bookmarkStart w:id="53" w:name="_Toc184312073"/>
      <w:bookmarkEnd w:id="53"/>
      <w:bookmarkStart w:id="54" w:name="_Toc184310286"/>
      <w:bookmarkEnd w:id="54"/>
      <w:bookmarkStart w:id="55" w:name="_Toc184313271"/>
      <w:bookmarkEnd w:id="55"/>
      <w:bookmarkStart w:id="56" w:name="_Toc184308048"/>
      <w:bookmarkEnd w:id="56"/>
      <w:bookmarkStart w:id="57" w:name="_Toc184313310"/>
      <w:bookmarkEnd w:id="57"/>
      <w:bookmarkStart w:id="58" w:name="_Toc184314464"/>
      <w:bookmarkEnd w:id="58"/>
      <w:bookmarkStart w:id="59" w:name="_Toc184308093"/>
      <w:bookmarkEnd w:id="59"/>
      <w:bookmarkStart w:id="60" w:name="_Toc184312071"/>
      <w:bookmarkEnd w:id="60"/>
      <w:bookmarkStart w:id="61" w:name="_Toc184310316"/>
      <w:bookmarkEnd w:id="61"/>
      <w:bookmarkStart w:id="62" w:name="_Toc184310339"/>
      <w:bookmarkEnd w:id="62"/>
      <w:bookmarkStart w:id="63" w:name="_Toc184313281"/>
      <w:bookmarkEnd w:id="63"/>
      <w:bookmarkStart w:id="64" w:name="_Toc184314437"/>
      <w:bookmarkEnd w:id="64"/>
      <w:bookmarkStart w:id="65" w:name="_Toc184312131"/>
      <w:bookmarkEnd w:id="65"/>
      <w:bookmarkStart w:id="66" w:name="_Toc184310287"/>
      <w:bookmarkEnd w:id="66"/>
      <w:bookmarkStart w:id="67" w:name="_Toc184312138"/>
      <w:bookmarkEnd w:id="67"/>
      <w:bookmarkStart w:id="68" w:name="_Toc184312089"/>
      <w:bookmarkEnd w:id="68"/>
      <w:bookmarkStart w:id="69" w:name="_Toc184312098"/>
      <w:bookmarkEnd w:id="69"/>
      <w:bookmarkStart w:id="70" w:name="_Toc184308044"/>
      <w:bookmarkEnd w:id="70"/>
      <w:bookmarkStart w:id="71" w:name="_Toc184312134"/>
      <w:bookmarkEnd w:id="71"/>
      <w:bookmarkStart w:id="72" w:name="_Toc184308078"/>
      <w:bookmarkEnd w:id="72"/>
      <w:bookmarkStart w:id="73" w:name="_Toc184310304"/>
      <w:bookmarkEnd w:id="73"/>
      <w:bookmarkStart w:id="74" w:name="_Toc184314459"/>
      <w:bookmarkEnd w:id="74"/>
      <w:bookmarkStart w:id="75" w:name="_Toc184314440"/>
      <w:bookmarkEnd w:id="75"/>
      <w:bookmarkStart w:id="76" w:name="_Toc184314410"/>
      <w:bookmarkEnd w:id="76"/>
      <w:bookmarkStart w:id="77" w:name="_Toc184312129"/>
      <w:bookmarkEnd w:id="77"/>
      <w:bookmarkStart w:id="78" w:name="_Toc184310272"/>
      <w:bookmarkEnd w:id="78"/>
      <w:bookmarkStart w:id="79" w:name="_Toc184313304"/>
      <w:bookmarkEnd w:id="79"/>
      <w:bookmarkStart w:id="80" w:name="_Toc184314423"/>
      <w:bookmarkEnd w:id="80"/>
      <w:bookmarkStart w:id="81" w:name="_Toc184313243"/>
      <w:bookmarkEnd w:id="81"/>
      <w:bookmarkStart w:id="82" w:name="_Toc184314458"/>
      <w:bookmarkEnd w:id="82"/>
      <w:bookmarkStart w:id="83" w:name="_Toc184312075"/>
      <w:bookmarkEnd w:id="83"/>
      <w:bookmarkStart w:id="84" w:name="_Toc184308087"/>
      <w:bookmarkEnd w:id="84"/>
      <w:bookmarkStart w:id="85" w:name="_Toc184313244"/>
      <w:bookmarkEnd w:id="85"/>
      <w:bookmarkStart w:id="86" w:name="_Toc184310332"/>
      <w:bookmarkEnd w:id="86"/>
      <w:bookmarkStart w:id="87" w:name="_Toc184308066"/>
      <w:bookmarkEnd w:id="87"/>
      <w:bookmarkStart w:id="88" w:name="_Toc184312120"/>
      <w:bookmarkEnd w:id="88"/>
      <w:bookmarkStart w:id="89" w:name="_Toc184314450"/>
      <w:bookmarkEnd w:id="89"/>
      <w:bookmarkStart w:id="90" w:name="_Toc184313276"/>
      <w:bookmarkEnd w:id="90"/>
      <w:bookmarkStart w:id="91" w:name="_Toc184314463"/>
      <w:bookmarkEnd w:id="91"/>
      <w:bookmarkStart w:id="92" w:name="_Toc184310305"/>
      <w:bookmarkEnd w:id="92"/>
      <w:bookmarkStart w:id="93" w:name="_Toc184314412"/>
      <w:bookmarkEnd w:id="93"/>
      <w:bookmarkStart w:id="94" w:name="_Toc184310317"/>
      <w:bookmarkEnd w:id="94"/>
      <w:bookmarkStart w:id="95" w:name="_Toc184313255"/>
      <w:bookmarkEnd w:id="95"/>
      <w:bookmarkStart w:id="96" w:name="_Toc184310328"/>
      <w:bookmarkEnd w:id="96"/>
      <w:bookmarkStart w:id="97" w:name="_Toc184314436"/>
      <w:bookmarkEnd w:id="97"/>
      <w:bookmarkStart w:id="98" w:name="_Toc184308037"/>
      <w:bookmarkEnd w:id="98"/>
      <w:bookmarkStart w:id="99" w:name="_Toc184310283"/>
      <w:bookmarkEnd w:id="99"/>
      <w:bookmarkStart w:id="100" w:name="_Toc184313297"/>
      <w:bookmarkEnd w:id="100"/>
      <w:bookmarkStart w:id="101" w:name="_Toc184310273"/>
      <w:bookmarkEnd w:id="101"/>
      <w:bookmarkStart w:id="102" w:name="_Toc184314477"/>
      <w:bookmarkEnd w:id="102"/>
      <w:bookmarkStart w:id="103" w:name="_Toc184314424"/>
      <w:bookmarkEnd w:id="103"/>
      <w:bookmarkStart w:id="104" w:name="_Toc184308065"/>
      <w:bookmarkEnd w:id="104"/>
      <w:bookmarkStart w:id="105" w:name="_Toc184313267"/>
      <w:bookmarkEnd w:id="105"/>
      <w:bookmarkStart w:id="106" w:name="_Toc184313280"/>
      <w:bookmarkEnd w:id="106"/>
      <w:bookmarkStart w:id="107" w:name="_Toc184308096"/>
      <w:bookmarkEnd w:id="107"/>
      <w:bookmarkStart w:id="108" w:name="_Toc184313239"/>
      <w:bookmarkEnd w:id="108"/>
      <w:bookmarkStart w:id="109" w:name="_Toc184312081"/>
      <w:bookmarkEnd w:id="109"/>
      <w:bookmarkStart w:id="110" w:name="_Toc184310279"/>
      <w:bookmarkEnd w:id="110"/>
      <w:bookmarkStart w:id="111" w:name="_Toc184314434"/>
      <w:bookmarkEnd w:id="111"/>
      <w:bookmarkStart w:id="112" w:name="_Toc184310278"/>
      <w:bookmarkEnd w:id="112"/>
      <w:bookmarkStart w:id="113" w:name="_Toc184313299"/>
      <w:bookmarkEnd w:id="113"/>
      <w:bookmarkStart w:id="114" w:name="_Toc184308053"/>
      <w:bookmarkEnd w:id="114"/>
      <w:bookmarkStart w:id="115" w:name="_Toc184310308"/>
      <w:bookmarkEnd w:id="115"/>
      <w:bookmarkStart w:id="116" w:name="_Toc184310276"/>
      <w:bookmarkEnd w:id="116"/>
      <w:bookmarkStart w:id="117" w:name="_Toc184308085"/>
      <w:bookmarkEnd w:id="117"/>
      <w:bookmarkStart w:id="118" w:name="_Toc184314411"/>
      <w:bookmarkEnd w:id="118"/>
      <w:bookmarkStart w:id="119" w:name="_Toc184310327"/>
      <w:bookmarkEnd w:id="119"/>
      <w:bookmarkStart w:id="120" w:name="_Toc184314415"/>
      <w:bookmarkEnd w:id="120"/>
      <w:bookmarkStart w:id="121" w:name="_Toc184314476"/>
      <w:bookmarkEnd w:id="121"/>
      <w:bookmarkStart w:id="122" w:name="_Toc184313258"/>
      <w:bookmarkEnd w:id="122"/>
      <w:bookmarkStart w:id="123" w:name="_Toc184314449"/>
      <w:bookmarkEnd w:id="123"/>
      <w:bookmarkStart w:id="124" w:name="_Toc184308054"/>
      <w:bookmarkEnd w:id="124"/>
      <w:bookmarkStart w:id="125" w:name="_Toc184310344"/>
      <w:bookmarkEnd w:id="125"/>
      <w:bookmarkStart w:id="126" w:name="_Toc184308080"/>
      <w:bookmarkEnd w:id="126"/>
      <w:bookmarkStart w:id="127" w:name="_Toc184308070"/>
      <w:bookmarkEnd w:id="127"/>
      <w:bookmarkStart w:id="128" w:name="_Toc184310314"/>
      <w:bookmarkEnd w:id="128"/>
      <w:bookmarkStart w:id="129" w:name="_Toc184308083"/>
      <w:bookmarkEnd w:id="129"/>
      <w:bookmarkStart w:id="130" w:name="_Toc184310315"/>
      <w:bookmarkEnd w:id="130"/>
      <w:bookmarkStart w:id="131" w:name="_Toc184308099"/>
      <w:bookmarkEnd w:id="131"/>
      <w:bookmarkStart w:id="132" w:name="_Toc184314429"/>
      <w:bookmarkEnd w:id="132"/>
      <w:bookmarkStart w:id="133" w:name="_Toc184308084"/>
      <w:bookmarkEnd w:id="133"/>
      <w:bookmarkStart w:id="134" w:name="_Toc184310291"/>
      <w:bookmarkEnd w:id="134"/>
      <w:bookmarkStart w:id="135" w:name="_Toc184313247"/>
      <w:bookmarkEnd w:id="135"/>
      <w:bookmarkStart w:id="136" w:name="_Toc184312113"/>
      <w:bookmarkEnd w:id="136"/>
      <w:bookmarkStart w:id="137" w:name="_Toc184313295"/>
      <w:bookmarkEnd w:id="137"/>
      <w:bookmarkStart w:id="138" w:name="_Toc184312099"/>
      <w:bookmarkEnd w:id="138"/>
      <w:bookmarkStart w:id="139" w:name="_Toc184312123"/>
      <w:bookmarkEnd w:id="139"/>
      <w:bookmarkStart w:id="140" w:name="_Toc184314418"/>
      <w:bookmarkEnd w:id="140"/>
      <w:bookmarkStart w:id="141" w:name="_Toc184313282"/>
      <w:bookmarkEnd w:id="141"/>
      <w:bookmarkStart w:id="142" w:name="_Toc184312088"/>
      <w:bookmarkEnd w:id="142"/>
      <w:bookmarkStart w:id="143" w:name="_Toc184312094"/>
      <w:bookmarkEnd w:id="143"/>
      <w:bookmarkStart w:id="144" w:name="_Toc184312112"/>
      <w:bookmarkEnd w:id="144"/>
      <w:bookmarkStart w:id="145" w:name="_Toc184308081"/>
      <w:bookmarkEnd w:id="145"/>
      <w:bookmarkStart w:id="146" w:name="_Toc184310324"/>
      <w:bookmarkEnd w:id="146"/>
      <w:bookmarkStart w:id="147" w:name="_Toc184314461"/>
      <w:bookmarkEnd w:id="147"/>
      <w:bookmarkStart w:id="148" w:name="_Toc184313298"/>
      <w:bookmarkEnd w:id="148"/>
      <w:bookmarkStart w:id="149" w:name="_Toc184313300"/>
      <w:bookmarkEnd w:id="149"/>
      <w:bookmarkStart w:id="150" w:name="_Toc184310293"/>
      <w:bookmarkEnd w:id="150"/>
      <w:bookmarkStart w:id="151" w:name="_Toc184314425"/>
      <w:bookmarkEnd w:id="151"/>
      <w:bookmarkStart w:id="152" w:name="_Toc184314473"/>
      <w:bookmarkEnd w:id="152"/>
      <w:bookmarkStart w:id="153" w:name="_Toc184313242"/>
      <w:bookmarkEnd w:id="153"/>
      <w:bookmarkStart w:id="154" w:name="_Toc184310299"/>
      <w:bookmarkEnd w:id="154"/>
      <w:bookmarkStart w:id="155" w:name="_Toc184313303"/>
      <w:bookmarkEnd w:id="155"/>
      <w:bookmarkStart w:id="156" w:name="_Toc184308041"/>
      <w:bookmarkEnd w:id="156"/>
      <w:bookmarkStart w:id="157" w:name="_Toc184314460"/>
      <w:bookmarkEnd w:id="157"/>
      <w:bookmarkStart w:id="158" w:name="_Toc184308091"/>
      <w:bookmarkEnd w:id="158"/>
      <w:bookmarkStart w:id="159" w:name="_Toc184308088"/>
      <w:bookmarkEnd w:id="159"/>
      <w:bookmarkStart w:id="160" w:name="_Toc184312079"/>
      <w:bookmarkEnd w:id="160"/>
      <w:bookmarkStart w:id="161" w:name="_Toc184313287"/>
      <w:bookmarkEnd w:id="161"/>
      <w:bookmarkStart w:id="162" w:name="_Toc184310297"/>
      <w:bookmarkEnd w:id="162"/>
      <w:bookmarkStart w:id="163" w:name="_Toc184314465"/>
      <w:bookmarkEnd w:id="163"/>
      <w:bookmarkStart w:id="164" w:name="_Toc184310289"/>
      <w:bookmarkEnd w:id="164"/>
      <w:bookmarkStart w:id="165" w:name="_Toc184314457"/>
      <w:bookmarkEnd w:id="165"/>
      <w:bookmarkStart w:id="166" w:name="_Toc184314475"/>
      <w:bookmarkEnd w:id="166"/>
      <w:bookmarkStart w:id="167" w:name="_Toc184312096"/>
      <w:bookmarkEnd w:id="167"/>
      <w:bookmarkStart w:id="168" w:name="_Toc184308069"/>
      <w:bookmarkEnd w:id="168"/>
      <w:bookmarkStart w:id="169" w:name="_Toc184310330"/>
      <w:bookmarkEnd w:id="169"/>
      <w:bookmarkStart w:id="170" w:name="_Toc184308050"/>
      <w:bookmarkEnd w:id="170"/>
      <w:bookmarkStart w:id="171" w:name="_Toc184313256"/>
      <w:bookmarkEnd w:id="171"/>
      <w:bookmarkStart w:id="172" w:name="_Toc184313289"/>
      <w:bookmarkEnd w:id="172"/>
      <w:bookmarkStart w:id="173" w:name="_Toc184313308"/>
      <w:bookmarkEnd w:id="173"/>
      <w:bookmarkStart w:id="174" w:name="_Toc184308060"/>
      <w:bookmarkEnd w:id="174"/>
      <w:bookmarkStart w:id="175" w:name="_Toc184308062"/>
      <w:bookmarkEnd w:id="175"/>
      <w:bookmarkStart w:id="176" w:name="_Toc184312124"/>
      <w:bookmarkEnd w:id="176"/>
      <w:bookmarkStart w:id="177" w:name="_Toc184312122"/>
      <w:bookmarkEnd w:id="177"/>
      <w:bookmarkStart w:id="178" w:name="_Toc184308076"/>
      <w:bookmarkEnd w:id="178"/>
      <w:bookmarkStart w:id="179" w:name="_Toc184314422"/>
      <w:bookmarkEnd w:id="179"/>
      <w:bookmarkStart w:id="180" w:name="_Toc184314482"/>
      <w:bookmarkEnd w:id="180"/>
      <w:bookmarkStart w:id="181" w:name="_Toc184312114"/>
      <w:bookmarkEnd w:id="181"/>
      <w:bookmarkStart w:id="182" w:name="_Toc184310341"/>
      <w:bookmarkEnd w:id="182"/>
      <w:bookmarkStart w:id="183" w:name="_Toc184312133"/>
      <w:bookmarkEnd w:id="183"/>
      <w:bookmarkStart w:id="184" w:name="_Toc184314446"/>
      <w:bookmarkEnd w:id="184"/>
      <w:bookmarkStart w:id="185" w:name="_Toc184314431"/>
      <w:bookmarkEnd w:id="185"/>
      <w:bookmarkStart w:id="186" w:name="_Toc184308049"/>
      <w:bookmarkEnd w:id="186"/>
      <w:bookmarkStart w:id="187" w:name="_Toc184314478"/>
      <w:bookmarkEnd w:id="187"/>
      <w:bookmarkStart w:id="188" w:name="_Toc184312128"/>
      <w:bookmarkEnd w:id="188"/>
      <w:bookmarkStart w:id="189" w:name="_Toc184310318"/>
      <w:bookmarkEnd w:id="189"/>
      <w:bookmarkStart w:id="190" w:name="_Toc184308108"/>
      <w:bookmarkEnd w:id="190"/>
      <w:bookmarkStart w:id="191" w:name="_Toc184314414"/>
      <w:bookmarkEnd w:id="191"/>
      <w:bookmarkStart w:id="192" w:name="_Toc184308094"/>
      <w:bookmarkEnd w:id="192"/>
      <w:bookmarkStart w:id="193" w:name="_Toc184312100"/>
      <w:bookmarkEnd w:id="193"/>
      <w:bookmarkStart w:id="194" w:name="_Toc184308068"/>
      <w:bookmarkEnd w:id="194"/>
      <w:bookmarkStart w:id="195" w:name="_Toc184314472"/>
      <w:bookmarkEnd w:id="195"/>
      <w:bookmarkStart w:id="196" w:name="_Toc184308101"/>
      <w:bookmarkEnd w:id="196"/>
      <w:bookmarkStart w:id="197" w:name="_Toc184313294"/>
      <w:bookmarkEnd w:id="197"/>
      <w:bookmarkStart w:id="198" w:name="_Toc184314439"/>
      <w:bookmarkEnd w:id="198"/>
      <w:bookmarkStart w:id="199" w:name="_Toc184310329"/>
      <w:bookmarkEnd w:id="199"/>
      <w:bookmarkStart w:id="200" w:name="_Toc184313240"/>
      <w:bookmarkEnd w:id="200"/>
      <w:bookmarkStart w:id="201" w:name="_Toc184313301"/>
      <w:bookmarkEnd w:id="201"/>
      <w:bookmarkStart w:id="202" w:name="_Toc184313307"/>
      <w:bookmarkEnd w:id="202"/>
      <w:bookmarkStart w:id="203" w:name="_Toc184308082"/>
      <w:bookmarkEnd w:id="203"/>
      <w:bookmarkStart w:id="204" w:name="_Toc184314445"/>
      <w:bookmarkEnd w:id="204"/>
      <w:bookmarkStart w:id="205" w:name="_Toc184313270"/>
      <w:bookmarkEnd w:id="205"/>
      <w:bookmarkStart w:id="206" w:name="_Toc184314438"/>
      <w:bookmarkEnd w:id="206"/>
      <w:bookmarkStart w:id="207" w:name="_Toc184310313"/>
      <w:bookmarkEnd w:id="207"/>
      <w:bookmarkStart w:id="208" w:name="_Toc184308105"/>
      <w:bookmarkEnd w:id="208"/>
      <w:bookmarkStart w:id="209" w:name="_Toc184308043"/>
      <w:bookmarkEnd w:id="209"/>
      <w:bookmarkStart w:id="210" w:name="_Toc184314426"/>
      <w:bookmarkEnd w:id="210"/>
      <w:bookmarkStart w:id="211" w:name="_Toc184310285"/>
      <w:bookmarkEnd w:id="211"/>
      <w:bookmarkStart w:id="212" w:name="_Toc184308038"/>
      <w:bookmarkEnd w:id="212"/>
      <w:bookmarkStart w:id="213" w:name="_Toc184313296"/>
      <w:bookmarkEnd w:id="213"/>
      <w:bookmarkStart w:id="214" w:name="_Toc184312074"/>
      <w:bookmarkEnd w:id="214"/>
      <w:bookmarkStart w:id="215" w:name="_Toc184313266"/>
      <w:bookmarkEnd w:id="215"/>
      <w:bookmarkStart w:id="216" w:name="_Toc184313293"/>
      <w:bookmarkEnd w:id="216"/>
      <w:bookmarkStart w:id="217" w:name="_Toc184314462"/>
      <w:bookmarkEnd w:id="217"/>
      <w:bookmarkStart w:id="218" w:name="_Toc184312077"/>
      <w:bookmarkEnd w:id="218"/>
      <w:bookmarkStart w:id="219" w:name="_Toc184312109"/>
      <w:bookmarkEnd w:id="219"/>
      <w:bookmarkStart w:id="220" w:name="_Toc184312132"/>
      <w:bookmarkEnd w:id="220"/>
      <w:bookmarkStart w:id="221" w:name="_Toc184308072"/>
      <w:bookmarkEnd w:id="221"/>
      <w:bookmarkStart w:id="222" w:name="_Toc184314413"/>
      <w:bookmarkEnd w:id="222"/>
      <w:bookmarkStart w:id="223" w:name="_Toc184314469"/>
      <w:bookmarkEnd w:id="223"/>
      <w:bookmarkStart w:id="224" w:name="_Toc184308074"/>
      <w:bookmarkEnd w:id="224"/>
      <w:bookmarkStart w:id="225" w:name="_Toc184312082"/>
      <w:bookmarkEnd w:id="225"/>
      <w:bookmarkStart w:id="226" w:name="_Toc184310309"/>
      <w:bookmarkEnd w:id="226"/>
      <w:bookmarkStart w:id="227" w:name="_Toc184314480"/>
      <w:bookmarkEnd w:id="227"/>
      <w:bookmarkStart w:id="228" w:name="_Toc184313265"/>
      <w:bookmarkEnd w:id="228"/>
      <w:bookmarkStart w:id="229" w:name="_Toc184314455"/>
      <w:bookmarkEnd w:id="229"/>
      <w:bookmarkStart w:id="230" w:name="_Toc184314443"/>
      <w:bookmarkEnd w:id="230"/>
      <w:bookmarkStart w:id="231" w:name="_Toc184308098"/>
      <w:bookmarkEnd w:id="231"/>
      <w:bookmarkStart w:id="232" w:name="_Toc184308051"/>
      <w:bookmarkEnd w:id="232"/>
      <w:bookmarkStart w:id="233" w:name="_Toc184308079"/>
      <w:bookmarkEnd w:id="233"/>
      <w:bookmarkStart w:id="234" w:name="_Toc184312102"/>
      <w:bookmarkEnd w:id="234"/>
      <w:bookmarkStart w:id="235" w:name="_Toc184310334"/>
      <w:bookmarkEnd w:id="235"/>
      <w:bookmarkStart w:id="236" w:name="_Toc184310325"/>
      <w:bookmarkEnd w:id="236"/>
      <w:bookmarkStart w:id="237" w:name="_Toc184314444"/>
      <w:bookmarkEnd w:id="237"/>
      <w:bookmarkStart w:id="238" w:name="_Toc184310338"/>
      <w:bookmarkEnd w:id="238"/>
      <w:bookmarkStart w:id="239" w:name="_Toc184312110"/>
      <w:bookmarkEnd w:id="239"/>
      <w:bookmarkStart w:id="240" w:name="_Toc184313253"/>
      <w:bookmarkEnd w:id="240"/>
      <w:bookmarkStart w:id="241" w:name="_Toc184308036"/>
      <w:bookmarkEnd w:id="241"/>
      <w:bookmarkStart w:id="242" w:name="_Toc184313264"/>
      <w:bookmarkEnd w:id="242"/>
      <w:bookmarkStart w:id="243" w:name="_Toc184308063"/>
      <w:bookmarkEnd w:id="243"/>
      <w:bookmarkStart w:id="244" w:name="_Toc184308097"/>
      <w:bookmarkEnd w:id="244"/>
      <w:bookmarkStart w:id="245" w:name="_Toc184313268"/>
      <w:bookmarkEnd w:id="245"/>
      <w:bookmarkStart w:id="246" w:name="_Toc184313302"/>
      <w:bookmarkEnd w:id="246"/>
      <w:bookmarkStart w:id="247" w:name="_Toc184310326"/>
      <w:bookmarkEnd w:id="247"/>
      <w:bookmarkStart w:id="248" w:name="_Toc184312107"/>
      <w:bookmarkEnd w:id="248"/>
      <w:bookmarkStart w:id="249" w:name="_Toc184313260"/>
      <w:bookmarkEnd w:id="249"/>
      <w:bookmarkStart w:id="250" w:name="_Toc184310310"/>
      <w:bookmarkEnd w:id="250"/>
      <w:bookmarkStart w:id="251" w:name="_Toc184312086"/>
      <w:bookmarkEnd w:id="251"/>
      <w:bookmarkStart w:id="252" w:name="_Toc184313249"/>
      <w:bookmarkEnd w:id="252"/>
      <w:bookmarkStart w:id="253" w:name="_Toc184313306"/>
      <w:bookmarkEnd w:id="253"/>
      <w:bookmarkStart w:id="254" w:name="_Toc184313251"/>
      <w:bookmarkEnd w:id="254"/>
      <w:bookmarkStart w:id="255" w:name="_Toc184314479"/>
      <w:bookmarkEnd w:id="255"/>
      <w:bookmarkStart w:id="256" w:name="_Toc184312108"/>
      <w:bookmarkEnd w:id="256"/>
      <w:bookmarkStart w:id="257" w:name="_Toc184310340"/>
      <w:bookmarkEnd w:id="257"/>
      <w:bookmarkStart w:id="258" w:name="_Toc184314448"/>
      <w:bookmarkEnd w:id="258"/>
      <w:bookmarkStart w:id="259" w:name="_Toc184308058"/>
      <w:bookmarkEnd w:id="259"/>
      <w:bookmarkStart w:id="260" w:name="_Toc184312097"/>
      <w:bookmarkEnd w:id="260"/>
      <w:bookmarkStart w:id="261" w:name="_Toc184308103"/>
      <w:bookmarkEnd w:id="261"/>
      <w:bookmarkStart w:id="262" w:name="_Toc184314421"/>
      <w:bookmarkEnd w:id="262"/>
      <w:bookmarkStart w:id="263" w:name="_Toc184312105"/>
      <w:bookmarkEnd w:id="263"/>
      <w:bookmarkStart w:id="264" w:name="_Toc184312070"/>
      <w:bookmarkEnd w:id="264"/>
      <w:bookmarkStart w:id="265" w:name="_Toc184312127"/>
      <w:bookmarkEnd w:id="265"/>
      <w:bookmarkStart w:id="266" w:name="_Toc184308042"/>
      <w:bookmarkEnd w:id="266"/>
      <w:bookmarkStart w:id="267" w:name="_Toc184312116"/>
      <w:bookmarkEnd w:id="267"/>
      <w:bookmarkStart w:id="268" w:name="_Toc184308089"/>
      <w:bookmarkEnd w:id="268"/>
      <w:bookmarkStart w:id="269" w:name="_Toc184314432"/>
      <w:bookmarkEnd w:id="269"/>
      <w:bookmarkStart w:id="270" w:name="_Toc184314419"/>
      <w:bookmarkEnd w:id="270"/>
      <w:bookmarkStart w:id="271" w:name="_Toc184313285"/>
      <w:bookmarkEnd w:id="271"/>
      <w:bookmarkStart w:id="272" w:name="_Toc184312136"/>
      <w:bookmarkEnd w:id="272"/>
      <w:bookmarkStart w:id="273" w:name="_Toc184312084"/>
      <w:bookmarkEnd w:id="273"/>
      <w:bookmarkStart w:id="274" w:name="_Toc184310277"/>
      <w:bookmarkEnd w:id="274"/>
      <w:bookmarkStart w:id="275" w:name="_Toc184310284"/>
      <w:bookmarkEnd w:id="275"/>
      <w:bookmarkStart w:id="276" w:name="_Toc184313284"/>
      <w:bookmarkEnd w:id="276"/>
      <w:bookmarkStart w:id="277" w:name="_Toc184313286"/>
      <w:bookmarkEnd w:id="277"/>
      <w:bookmarkStart w:id="278" w:name="_Toc184308039"/>
      <w:bookmarkEnd w:id="278"/>
      <w:bookmarkStart w:id="279" w:name="_Toc184308086"/>
      <w:bookmarkEnd w:id="279"/>
      <w:bookmarkStart w:id="280" w:name="_Toc184314428"/>
      <w:bookmarkEnd w:id="280"/>
      <w:bookmarkStart w:id="281" w:name="_Toc184310321"/>
      <w:bookmarkEnd w:id="281"/>
      <w:bookmarkStart w:id="282" w:name="_Toc184310282"/>
      <w:bookmarkEnd w:id="282"/>
      <w:bookmarkStart w:id="283" w:name="_Toc184310306"/>
      <w:bookmarkEnd w:id="283"/>
      <w:bookmarkStart w:id="284" w:name="_Toc184310295"/>
      <w:bookmarkEnd w:id="284"/>
      <w:bookmarkStart w:id="285" w:name="_Toc184308056"/>
      <w:bookmarkEnd w:id="285"/>
      <w:bookmarkStart w:id="286" w:name="_Toc184312118"/>
      <w:bookmarkEnd w:id="286"/>
      <w:bookmarkStart w:id="287" w:name="_Toc184312076"/>
      <w:bookmarkEnd w:id="287"/>
      <w:bookmarkStart w:id="288" w:name="_Toc184312115"/>
      <w:bookmarkEnd w:id="288"/>
      <w:bookmarkStart w:id="289" w:name="_Toc184314430"/>
      <w:bookmarkEnd w:id="289"/>
      <w:bookmarkStart w:id="290" w:name="_Toc184313246"/>
      <w:bookmarkEnd w:id="290"/>
      <w:bookmarkStart w:id="291" w:name="_Toc184314433"/>
      <w:bookmarkEnd w:id="291"/>
      <w:bookmarkStart w:id="292" w:name="_Toc184314417"/>
      <w:bookmarkEnd w:id="292"/>
      <w:bookmarkStart w:id="293" w:name="_Toc184313291"/>
      <w:bookmarkEnd w:id="293"/>
      <w:bookmarkStart w:id="294" w:name="_Toc184314416"/>
      <w:bookmarkEnd w:id="294"/>
      <w:bookmarkStart w:id="295" w:name="_Toc184308077"/>
      <w:bookmarkEnd w:id="295"/>
      <w:bookmarkStart w:id="296" w:name="_Toc184310342"/>
      <w:bookmarkEnd w:id="296"/>
      <w:bookmarkStart w:id="297" w:name="_Toc184308090"/>
      <w:bookmarkEnd w:id="297"/>
      <w:bookmarkStart w:id="298" w:name="_Toc184310301"/>
      <w:bookmarkEnd w:id="298"/>
      <w:bookmarkStart w:id="299" w:name="_Toc184308075"/>
      <w:bookmarkEnd w:id="299"/>
      <w:bookmarkStart w:id="300" w:name="_Toc184314452"/>
      <w:bookmarkEnd w:id="300"/>
      <w:bookmarkStart w:id="301" w:name="_Toc184312068"/>
      <w:bookmarkEnd w:id="301"/>
      <w:bookmarkStart w:id="302" w:name="_Toc184308102"/>
      <w:bookmarkEnd w:id="302"/>
      <w:bookmarkStart w:id="303" w:name="_Toc184314467"/>
      <w:bookmarkEnd w:id="303"/>
      <w:bookmarkStart w:id="304" w:name="_Toc184313254"/>
      <w:bookmarkEnd w:id="304"/>
      <w:bookmarkStart w:id="305" w:name="_Toc184313262"/>
      <w:bookmarkEnd w:id="305"/>
      <w:bookmarkStart w:id="306" w:name="_Toc184308047"/>
      <w:bookmarkEnd w:id="306"/>
      <w:bookmarkStart w:id="307" w:name="_Toc184310333"/>
      <w:bookmarkEnd w:id="307"/>
      <w:bookmarkStart w:id="308" w:name="_Toc184310320"/>
      <w:bookmarkEnd w:id="308"/>
      <w:bookmarkStart w:id="309" w:name="_Toc184313292"/>
      <w:bookmarkEnd w:id="309"/>
      <w:bookmarkStart w:id="310" w:name="_Toc184314456"/>
      <w:bookmarkEnd w:id="310"/>
      <w:bookmarkStart w:id="311" w:name="_Toc184312085"/>
      <w:bookmarkEnd w:id="311"/>
      <w:bookmarkStart w:id="312" w:name="_Toc184310311"/>
      <w:bookmarkEnd w:id="312"/>
      <w:bookmarkStart w:id="313" w:name="_Toc184314471"/>
      <w:bookmarkEnd w:id="313"/>
      <w:bookmarkStart w:id="314" w:name="_Toc184312111"/>
      <w:bookmarkEnd w:id="314"/>
      <w:bookmarkStart w:id="315" w:name="_Toc184308057"/>
      <w:bookmarkEnd w:id="315"/>
      <w:bookmarkStart w:id="316" w:name="_Toc184313252"/>
      <w:bookmarkEnd w:id="316"/>
      <w:bookmarkStart w:id="317" w:name="_Toc184310322"/>
      <w:bookmarkEnd w:id="317"/>
      <w:bookmarkStart w:id="318" w:name="_Toc184313279"/>
      <w:bookmarkEnd w:id="318"/>
      <w:bookmarkStart w:id="319" w:name="_Toc184312119"/>
      <w:bookmarkEnd w:id="319"/>
      <w:bookmarkStart w:id="320" w:name="_Toc184312078"/>
      <w:bookmarkEnd w:id="320"/>
      <w:bookmarkStart w:id="321" w:name="_Toc184312121"/>
      <w:bookmarkEnd w:id="321"/>
      <w:bookmarkStart w:id="322" w:name="_Toc184314435"/>
      <w:bookmarkEnd w:id="322"/>
      <w:bookmarkStart w:id="323" w:name="_Toc184313277"/>
      <w:bookmarkEnd w:id="323"/>
      <w:bookmarkStart w:id="324" w:name="_Toc184312067"/>
      <w:bookmarkEnd w:id="324"/>
      <w:bookmarkStart w:id="325" w:name="_Toc184312126"/>
      <w:bookmarkEnd w:id="325"/>
      <w:bookmarkStart w:id="326" w:name="_Toc184313290"/>
      <w:bookmarkEnd w:id="326"/>
      <w:bookmarkStart w:id="327" w:name="_Toc184313245"/>
      <w:bookmarkEnd w:id="327"/>
      <w:bookmarkStart w:id="328" w:name="_Toc184313263"/>
      <w:bookmarkEnd w:id="328"/>
      <w:bookmarkStart w:id="329" w:name="_Toc184308045"/>
      <w:bookmarkEnd w:id="329"/>
      <w:bookmarkStart w:id="330" w:name="_Toc184310274"/>
      <w:bookmarkEnd w:id="330"/>
      <w:bookmarkStart w:id="331" w:name="_Toc184314470"/>
      <w:bookmarkEnd w:id="331"/>
      <w:bookmarkStart w:id="332" w:name="_Toc184313273"/>
      <w:bookmarkEnd w:id="332"/>
      <w:bookmarkStart w:id="333" w:name="_Toc184314420"/>
      <w:bookmarkEnd w:id="333"/>
      <w:bookmarkStart w:id="334" w:name="_Toc184308100"/>
      <w:bookmarkEnd w:id="334"/>
      <w:bookmarkStart w:id="335" w:name="_Toc184312125"/>
      <w:bookmarkEnd w:id="335"/>
      <w:bookmarkStart w:id="336" w:name="_Toc184308061"/>
      <w:bookmarkEnd w:id="336"/>
      <w:bookmarkStart w:id="337" w:name="_Toc184310335"/>
      <w:bookmarkEnd w:id="337"/>
      <w:bookmarkStart w:id="338" w:name="_Toc184310312"/>
      <w:bookmarkEnd w:id="338"/>
      <w:bookmarkStart w:id="339" w:name="_Toc184308095"/>
      <w:bookmarkEnd w:id="339"/>
      <w:bookmarkStart w:id="340" w:name="_Toc184312092"/>
      <w:bookmarkEnd w:id="340"/>
      <w:bookmarkStart w:id="341" w:name="_Toc184310307"/>
      <w:bookmarkEnd w:id="341"/>
      <w:bookmarkStart w:id="342" w:name="_Toc184314427"/>
      <w:bookmarkEnd w:id="342"/>
      <w:bookmarkStart w:id="343" w:name="_Toc184313250"/>
      <w:bookmarkEnd w:id="343"/>
      <w:bookmarkStart w:id="344" w:name="_Toc184314454"/>
      <w:bookmarkEnd w:id="344"/>
      <w:bookmarkStart w:id="345" w:name="_Toc184313269"/>
      <w:bookmarkEnd w:id="345"/>
      <w:bookmarkStart w:id="346" w:name="_Toc184308064"/>
      <w:bookmarkEnd w:id="346"/>
      <w:bookmarkStart w:id="347" w:name="_Toc184312093"/>
      <w:bookmarkEnd w:id="347"/>
      <w:bookmarkStart w:id="348" w:name="_Toc184308092"/>
      <w:bookmarkEnd w:id="348"/>
      <w:bookmarkStart w:id="349" w:name="_Toc184312080"/>
      <w:bookmarkEnd w:id="349"/>
      <w:bookmarkStart w:id="350" w:name="_Toc184310319"/>
      <w:bookmarkEnd w:id="350"/>
      <w:bookmarkStart w:id="351" w:name="_Toc184310343"/>
      <w:bookmarkEnd w:id="351"/>
      <w:bookmarkStart w:id="352" w:name="_Toc184308055"/>
      <w:bookmarkEnd w:id="352"/>
      <w:bookmarkStart w:id="353" w:name="_Toc184313305"/>
      <w:bookmarkEnd w:id="353"/>
      <w:bookmarkStart w:id="354" w:name="_Toc184314474"/>
      <w:bookmarkEnd w:id="354"/>
      <w:bookmarkStart w:id="355" w:name="_Toc184313274"/>
      <w:bookmarkEnd w:id="355"/>
      <w:bookmarkStart w:id="356" w:name="_Toc184310331"/>
      <w:bookmarkEnd w:id="356"/>
      <w:bookmarkStart w:id="357" w:name="_Toc184310288"/>
      <w:bookmarkEnd w:id="357"/>
      <w:bookmarkStart w:id="358" w:name="_Toc184310336"/>
      <w:bookmarkEnd w:id="358"/>
      <w:bookmarkStart w:id="359" w:name="_Toc184314481"/>
      <w:bookmarkEnd w:id="359"/>
      <w:bookmarkStart w:id="360" w:name="_Toc184312091"/>
      <w:bookmarkEnd w:id="360"/>
      <w:bookmarkStart w:id="361" w:name="_Toc184310275"/>
      <w:bookmarkEnd w:id="361"/>
      <w:bookmarkStart w:id="362" w:name="_Toc184312072"/>
      <w:bookmarkEnd w:id="362"/>
      <w:bookmarkStart w:id="363" w:name="_Toc184313275"/>
      <w:bookmarkEnd w:id="363"/>
      <w:bookmarkStart w:id="364" w:name="_Toc184312101"/>
      <w:bookmarkEnd w:id="364"/>
      <w:bookmarkStart w:id="365" w:name="_Toc184308046"/>
      <w:bookmarkEnd w:id="365"/>
      <w:bookmarkStart w:id="366" w:name="_Toc184308073"/>
      <w:bookmarkEnd w:id="366"/>
      <w:bookmarkStart w:id="367" w:name="_Toc184313261"/>
      <w:bookmarkEnd w:id="367"/>
      <w:bookmarkStart w:id="368" w:name="_Toc184310323"/>
      <w:bookmarkEnd w:id="368"/>
      <w:bookmarkStart w:id="369" w:name="_Toc184314468"/>
      <w:bookmarkEnd w:id="369"/>
      <w:bookmarkStart w:id="370" w:name="_Toc184313259"/>
      <w:bookmarkEnd w:id="370"/>
      <w:bookmarkStart w:id="371" w:name="_Toc184314442"/>
      <w:bookmarkEnd w:id="371"/>
      <w:bookmarkStart w:id="372" w:name="_Toc184308107"/>
      <w:bookmarkEnd w:id="372"/>
      <w:bookmarkStart w:id="373" w:name="_Toc184313238"/>
      <w:bookmarkEnd w:id="373"/>
      <w:bookmarkStart w:id="374" w:name="_Toc184308040"/>
      <w:bookmarkEnd w:id="374"/>
      <w:bookmarkStart w:id="375" w:name="_Toc184312087"/>
      <w:bookmarkEnd w:id="375"/>
      <w:bookmarkStart w:id="376" w:name="_Toc184308106"/>
      <w:bookmarkEnd w:id="376"/>
      <w:bookmarkStart w:id="377" w:name="_Toc184314466"/>
      <w:bookmarkEnd w:id="377"/>
      <w:bookmarkStart w:id="378" w:name="_Toc184308059"/>
      <w:bookmarkEnd w:id="378"/>
      <w:bookmarkStart w:id="379" w:name="_Toc184308104"/>
      <w:bookmarkEnd w:id="379"/>
      <w:bookmarkStart w:id="380" w:name="_Toc184312083"/>
      <w:bookmarkEnd w:id="380"/>
      <w:bookmarkStart w:id="381" w:name="_Toc184310281"/>
      <w:bookmarkEnd w:id="381"/>
      <w:bookmarkStart w:id="382" w:name="_Toc184314451"/>
      <w:bookmarkEnd w:id="382"/>
      <w:bookmarkStart w:id="383" w:name="_Toc184312117"/>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w:t>
      </w:r>
      <w:r>
        <w:rPr>
          <w:rFonts w:hint="eastAsia" w:cs="仿宋" w:asciiTheme="minorEastAsia" w:hAnsiTheme="minorEastAsia"/>
          <w:color w:val="auto"/>
          <w:sz w:val="24"/>
          <w:lang w:eastAsia="zh-CN"/>
        </w:rPr>
        <w:t>评标</w:t>
      </w:r>
      <w:r>
        <w:rPr>
          <w:rFonts w:hint="eastAsia" w:cs="仿宋" w:asciiTheme="minorEastAsia" w:hAnsiTheme="minorEastAsia"/>
          <w:color w:val="auto"/>
          <w:sz w:val="24"/>
        </w:rPr>
        <w:t>小组将本着认真、公正、诚实、廉洁的精神，进行评审工作，择优推荐成交候选人。在评审期间，</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组建的询价</w:t>
      </w:r>
      <w:r>
        <w:rPr>
          <w:rFonts w:hint="eastAsia" w:cs="仿宋" w:asciiTheme="minorEastAsia" w:hAnsiTheme="minorEastAsia"/>
          <w:color w:val="auto"/>
          <w:sz w:val="24"/>
          <w:lang w:eastAsia="zh-CN"/>
        </w:rPr>
        <w:t>评标</w:t>
      </w:r>
      <w:r>
        <w:rPr>
          <w:rFonts w:hint="eastAsia" w:cs="仿宋" w:asciiTheme="minorEastAsia" w:hAnsiTheme="minorEastAsia"/>
          <w:color w:val="auto"/>
          <w:sz w:val="24"/>
        </w:rPr>
        <w:t>小组负责。询价</w:t>
      </w:r>
      <w:r>
        <w:rPr>
          <w:rFonts w:hint="eastAsia" w:cs="仿宋" w:asciiTheme="minorEastAsia" w:hAnsiTheme="minorEastAsia"/>
          <w:color w:val="auto"/>
          <w:sz w:val="24"/>
          <w:lang w:eastAsia="zh-CN"/>
        </w:rPr>
        <w:t>评标</w:t>
      </w:r>
      <w:r>
        <w:rPr>
          <w:rFonts w:hint="eastAsia" w:cs="仿宋" w:asciiTheme="minorEastAsia" w:hAnsiTheme="minorEastAsia"/>
          <w:color w:val="auto"/>
          <w:sz w:val="24"/>
        </w:rPr>
        <w:t>小组负责审标、询标、评审等工作，并向采购人提出评审意见和评审报告。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5.在询价响应文件的审查、澄清、评价和比较以及授予合同的过程中，供应商对采购人</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w:t>
      </w:r>
      <w:r>
        <w:rPr>
          <w:rFonts w:hint="eastAsia" w:cs="仿宋" w:asciiTheme="minorEastAsia" w:hAnsiTheme="minorEastAsia"/>
          <w:snapToGrid w:val="0"/>
          <w:color w:val="auto"/>
          <w:kern w:val="0"/>
          <w:sz w:val="24"/>
          <w:lang w:eastAsia="zh-CN"/>
        </w:rPr>
        <w:t>人</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、询价评标小组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实质性响应要求的供应商中，按照报价由低到高的顺序提出成交候选人。</w:t>
      </w:r>
    </w:p>
    <w:p>
      <w:pPr>
        <w:pStyle w:val="2"/>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2"/>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。如报价再相同，则由采购人</w:t>
      </w:r>
      <w:r>
        <w:rPr>
          <w:rFonts w:hint="eastAsia"/>
          <w:b/>
          <w:bCs/>
          <w:color w:val="auto"/>
          <w:lang w:val="en-US" w:eastAsia="zh-CN"/>
        </w:rPr>
        <w:t>组织供应商</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评标小组成员即为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2"/>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LJGS-2023-</w:t>
      </w:r>
      <w:r>
        <w:rPr>
          <w:rFonts w:hint="eastAsia" w:ascii="宋体" w:hAnsi="宋体" w:cs="宋体"/>
          <w:color w:val="auto"/>
          <w:sz w:val="24"/>
          <w:u w:val="single"/>
        </w:rPr>
        <w:t xml:space="preserve">          </w:t>
      </w:r>
    </w:p>
    <w:p>
      <w:pPr>
        <w:spacing w:line="480" w:lineRule="auto"/>
        <w:jc w:val="center"/>
        <w:rPr>
          <w:rFonts w:ascii="宋体" w:hAnsi="宋体" w:cs="宋体"/>
          <w:b/>
          <w:color w:val="auto"/>
          <w:sz w:val="28"/>
          <w:szCs w:val="28"/>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pPr>
        <w:spacing w:before="120" w:line="22" w:lineRule="atLeast"/>
        <w:rPr>
          <w:rFonts w:ascii="宋体" w:hAnsi="宋体" w:cs="宋体"/>
          <w:color w:val="auto"/>
          <w:sz w:val="24"/>
        </w:rPr>
      </w:pPr>
    </w:p>
    <w:p>
      <w:pPr>
        <w:pStyle w:val="4"/>
        <w:tabs>
          <w:tab w:val="left" w:pos="432"/>
        </w:tabs>
        <w:rPr>
          <w:color w:val="auto"/>
        </w:rPr>
      </w:pPr>
    </w:p>
    <w:p>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2023年临江公司黑匣子数据监测调试服务采购项目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r>
        <w:rPr>
          <w:rFonts w:hint="eastAsia" w:ascii="宋体" w:hAnsi="宋体" w:cs="宋体"/>
          <w:color w:val="auto"/>
          <w:sz w:val="24"/>
          <w:u w:val="single"/>
          <w:lang w:eastAsia="zh-CN"/>
        </w:rPr>
        <w:t>浙江省杭州市钱塘区</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kern w:val="0"/>
          <w:sz w:val="24"/>
        </w:rPr>
        <w:sectPr>
          <w:pgSz w:w="11907" w:h="16840"/>
          <w:pgMar w:top="1474" w:right="1814" w:bottom="1474" w:left="1814" w:header="851" w:footer="851" w:gutter="0"/>
          <w:pgNumType w:fmt="decimal"/>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3"/>
        <w:jc w:val="center"/>
        <w:rPr>
          <w:rFonts w:hint="eastAsia"/>
          <w:b/>
          <w:bCs/>
          <w:color w:val="auto"/>
          <w:lang w:eastAsia="zh-CN"/>
        </w:rPr>
      </w:pPr>
    </w:p>
    <w:p>
      <w:pPr>
        <w:pStyle w:val="3"/>
        <w:jc w:val="center"/>
        <w:rPr>
          <w:rFonts w:hint="eastAsia"/>
          <w:b/>
          <w:bCs/>
          <w:color w:val="auto"/>
          <w:lang w:eastAsia="zh-CN"/>
        </w:rPr>
      </w:pPr>
    </w:p>
    <w:p>
      <w:pPr>
        <w:pStyle w:val="3"/>
        <w:jc w:val="center"/>
        <w:rPr>
          <w:rFonts w:hint="eastAsia"/>
          <w:b/>
          <w:bCs/>
          <w:color w:val="auto"/>
          <w:lang w:eastAsia="zh-CN"/>
        </w:rPr>
      </w:pPr>
    </w:p>
    <w:p>
      <w:pPr>
        <w:pStyle w:val="3"/>
        <w:jc w:val="center"/>
        <w:rPr>
          <w:rFonts w:hint="eastAsia"/>
          <w:b/>
          <w:bCs/>
          <w:color w:val="auto"/>
          <w:lang w:eastAsia="zh-CN"/>
        </w:rPr>
      </w:pPr>
      <w:r>
        <w:rPr>
          <w:rFonts w:hint="eastAsia"/>
          <w:b/>
          <w:bCs/>
          <w:color w:val="auto"/>
          <w:lang w:eastAsia="zh-CN"/>
        </w:rPr>
        <w:t>目录</w:t>
      </w:r>
    </w:p>
    <w:p>
      <w:pPr>
        <w:rPr>
          <w:rFonts w:hint="eastAsia"/>
          <w:color w:val="auto"/>
          <w:lang w:eastAsia="zh-CN"/>
        </w:rPr>
      </w:pP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第一章 合同书  ……………………………………………………………（页码）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第二章 合同一般条款………………………………………………………（页码）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第三章 合同清单……………………………………………………………（页码）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第四章 安全协议……………………………………………………………（页码）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第五章 廉洁协议……………………………………………………………（页码）</w:t>
      </w: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both"/>
        <w:rPr>
          <w:rFonts w:hint="eastAsia" w:ascii="宋体" w:hAnsi="宋体" w:cs="宋体"/>
          <w:b/>
          <w:color w:val="auto"/>
          <w:szCs w:val="24"/>
          <w:lang w:eastAsia="zh-CN"/>
        </w:rPr>
      </w:pPr>
    </w:p>
    <w:p>
      <w:pPr>
        <w:pStyle w:val="21"/>
        <w:ind w:left="0" w:leftChars="0" w:firstLine="0" w:firstLineChars="0"/>
        <w:jc w:val="center"/>
        <w:rPr>
          <w:rFonts w:ascii="宋体" w:hAnsi="宋体"/>
          <w:color w:val="auto"/>
          <w:sz w:val="24"/>
          <w:u w:val="single"/>
          <w:lang w:val="zh-CN"/>
        </w:rPr>
      </w:pPr>
      <w:r>
        <w:rPr>
          <w:rFonts w:hint="eastAsia" w:ascii="宋体" w:hAnsi="宋体" w:cs="宋体"/>
          <w:b/>
          <w:color w:val="auto"/>
          <w:szCs w:val="24"/>
          <w:lang w:eastAsia="zh-CN"/>
        </w:rPr>
        <w:t>第一章</w:t>
      </w:r>
      <w:r>
        <w:rPr>
          <w:rFonts w:hint="eastAsia" w:ascii="宋体" w:hAnsi="宋体" w:cs="宋体"/>
          <w:b/>
          <w:color w:val="auto"/>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eastAsia="zh-CN"/>
        </w:rPr>
        <w:t>公开招标</w:t>
      </w:r>
      <w:r>
        <w:rPr>
          <w:rFonts w:hint="eastAsia" w:ascii="宋体" w:hAnsi="宋体"/>
          <w:color w:val="auto"/>
          <w:sz w:val="24"/>
          <w:u w:val="single"/>
          <w:lang w:val="en-US" w:eastAsia="zh-CN"/>
        </w:rPr>
        <w:t>/询价/比价/谈判</w:t>
      </w:r>
      <w:r>
        <w:rPr>
          <w:rFonts w:hint="eastAsia" w:ascii="宋体" w:hAnsi="宋体"/>
          <w:color w:val="auto"/>
          <w:sz w:val="24"/>
          <w:u w:val="none"/>
          <w:lang w:val="en-US" w:eastAsia="zh-CN"/>
        </w:rPr>
        <w:t>形式</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lang w:eastAsia="zh-CN"/>
        </w:rPr>
        <w:t>2023年临江公司黑匣子数据监测调试服务采购项目</w:t>
      </w:r>
      <w:r>
        <w:rPr>
          <w:rFonts w:hint="eastAsia" w:ascii="宋体" w:hAnsi="宋体" w:cs="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进行了采购。经</w:t>
      </w:r>
      <w:r>
        <w:rPr>
          <w:rFonts w:ascii="宋体" w:hAnsi="宋体"/>
          <w:color w:val="auto"/>
          <w:sz w:val="24"/>
          <w:u w:val="single"/>
        </w:rPr>
        <w:t xml:space="preserve">   </w:t>
      </w:r>
      <w:r>
        <w:rPr>
          <w:rFonts w:hint="eastAsia" w:ascii="宋体" w:hAnsi="宋体"/>
          <w:color w:val="auto"/>
          <w:sz w:val="24"/>
          <w:u w:val="single"/>
          <w:lang w:eastAsia="zh-CN"/>
        </w:rPr>
        <w:t>政采云评标专家</w:t>
      </w:r>
      <w:r>
        <w:rPr>
          <w:rFonts w:hint="eastAsia" w:ascii="宋体" w:hAnsi="宋体"/>
          <w:color w:val="auto"/>
          <w:sz w:val="24"/>
          <w:u w:val="single"/>
          <w:lang w:val="en-US" w:eastAsia="zh-CN"/>
        </w:rPr>
        <w:t>/</w:t>
      </w:r>
      <w:r>
        <w:rPr>
          <w:rFonts w:hint="eastAsia" w:ascii="宋体" w:hAnsi="宋体"/>
          <w:color w:val="auto"/>
          <w:sz w:val="24"/>
          <w:u w:val="single"/>
          <w:lang w:eastAsia="zh-CN"/>
        </w:rPr>
        <w:t>询价评审小组</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w:t>
      </w:r>
      <w:r>
        <w:rPr>
          <w:rFonts w:hint="eastAsia" w:ascii="宋体" w:hAnsi="宋体"/>
          <w:color w:val="auto"/>
          <w:sz w:val="24"/>
          <w:lang w:val="en-US" w:eastAsia="zh-CN"/>
        </w:rPr>
        <w:t>3</w:t>
      </w:r>
      <w:r>
        <w:rPr>
          <w:rFonts w:hint="eastAsia" w:ascii="宋体" w:hAnsi="宋体"/>
          <w:color w:val="auto"/>
          <w:sz w:val="24"/>
        </w:rPr>
        <w:t>0个日内，按照采购文件确定的事项签订本合同。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rPr>
      </w:pPr>
      <w:bookmarkStart w:id="384" w:name="_Toc20421"/>
      <w:bookmarkStart w:id="385" w:name="_Toc19273"/>
      <w:bookmarkStart w:id="386" w:name="_Toc15367"/>
      <w:bookmarkStart w:id="387" w:name="_Toc28855"/>
      <w:bookmarkStart w:id="388" w:name="_Toc22967"/>
      <w:r>
        <w:rPr>
          <w:rFonts w:hint="eastAsia" w:ascii="宋体" w:hAnsi="宋体"/>
          <w:b/>
          <w:color w:val="auto"/>
          <w:sz w:val="24"/>
          <w:lang w:eastAsia="zh-CN"/>
        </w:rPr>
        <w:t>一、</w:t>
      </w:r>
      <w:r>
        <w:rPr>
          <w:rFonts w:ascii="宋体" w:hAnsi="宋体"/>
          <w:b/>
          <w:color w:val="auto"/>
          <w:sz w:val="24"/>
        </w:rPr>
        <w:t xml:space="preserve"> </w:t>
      </w:r>
      <w:r>
        <w:rPr>
          <w:rFonts w:hint="eastAsia" w:ascii="宋体" w:hAnsi="宋体"/>
          <w:b/>
          <w:color w:val="auto"/>
          <w:sz w:val="24"/>
        </w:rPr>
        <w:t>合同组成部分</w:t>
      </w:r>
      <w:bookmarkEnd w:id="384"/>
      <w:bookmarkEnd w:id="385"/>
      <w:bookmarkEnd w:id="386"/>
      <w:bookmarkEnd w:id="387"/>
      <w:bookmarkEnd w:id="38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其他相关采购文件。</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389" w:name="_Toc6773"/>
      <w:bookmarkStart w:id="390" w:name="_Toc22185"/>
      <w:bookmarkStart w:id="391" w:name="_Toc2918"/>
      <w:bookmarkStart w:id="392" w:name="_Toc18585"/>
      <w:bookmarkStart w:id="393" w:name="_Toc6311"/>
      <w:r>
        <w:rPr>
          <w:rFonts w:hint="eastAsia" w:ascii="宋体" w:hAnsi="宋体"/>
          <w:b/>
          <w:color w:val="auto"/>
          <w:sz w:val="24"/>
          <w:lang w:eastAsia="zh-CN"/>
        </w:rPr>
        <w:t>二、</w:t>
      </w:r>
      <w:r>
        <w:rPr>
          <w:rFonts w:hint="eastAsia" w:ascii="宋体" w:hAnsi="宋体"/>
          <w:b/>
          <w:color w:val="auto"/>
          <w:sz w:val="24"/>
        </w:rPr>
        <w:t>标的</w:t>
      </w:r>
      <w:bookmarkEnd w:id="389"/>
      <w:bookmarkEnd w:id="390"/>
      <w:bookmarkEnd w:id="391"/>
      <w:bookmarkEnd w:id="392"/>
      <w:bookmarkEnd w:id="393"/>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DCS至垃圾焚烧炉“黑匣子”的数据通讯，包含OPC站的测点配置和软件配置（IO清单详见附件）、路由器的配置、数据网闸穿越，以及和黑匣子的数据对接等工作，同时指导</w:t>
      </w:r>
      <w:r>
        <w:rPr>
          <w:rFonts w:hint="eastAsia" w:ascii="宋体" w:hAnsi="宋体"/>
          <w:color w:val="auto"/>
          <w:sz w:val="24"/>
          <w:u w:val="single"/>
          <w:lang w:eastAsia="zh-CN"/>
        </w:rPr>
        <w:t>采购人</w:t>
      </w:r>
      <w:r>
        <w:rPr>
          <w:rFonts w:hint="eastAsia" w:ascii="宋体" w:hAnsi="宋体"/>
          <w:color w:val="auto"/>
          <w:sz w:val="24"/>
          <w:u w:val="single"/>
        </w:rPr>
        <w:t>工程师后续可自行维护OPC站软件，实现DCS系统和垃圾焚烧炉“黑匣子”数据通讯</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2.</w:t>
      </w:r>
      <w:r>
        <w:rPr>
          <w:rFonts w:hint="eastAsia" w:ascii="宋体" w:hAnsi="宋体"/>
          <w:color w:val="auto"/>
          <w:sz w:val="24"/>
        </w:rPr>
        <w:t>服务标准</w:t>
      </w:r>
      <w:r>
        <w:rPr>
          <w:rFonts w:hint="eastAsia" w:ascii="宋体" w:hAnsi="宋体"/>
          <w:color w:val="auto"/>
          <w:sz w:val="24"/>
          <w:lang w:eastAsia="zh-CN"/>
        </w:rPr>
        <w:t>要求（</w:t>
      </w:r>
      <w:r>
        <w:rPr>
          <w:rFonts w:hint="eastAsia" w:ascii="宋体" w:hAnsi="宋体"/>
          <w:b/>
          <w:bCs/>
          <w:color w:val="auto"/>
          <w:sz w:val="24"/>
          <w:u w:val="none"/>
          <w:lang w:eastAsia="zh-CN"/>
        </w:rPr>
        <w:t>验收标准</w:t>
      </w:r>
      <w:r>
        <w:rPr>
          <w:rFonts w:hint="eastAsia" w:ascii="宋体" w:hAnsi="宋体"/>
          <w:color w:val="auto"/>
          <w:sz w:val="24"/>
          <w:lang w:eastAsia="zh-CN"/>
        </w:rPr>
        <w:t>）</w:t>
      </w:r>
      <w:r>
        <w:rPr>
          <w:rFonts w:ascii="宋体" w:hAnsi="宋体"/>
          <w:color w:val="auto"/>
          <w:sz w:val="24"/>
        </w:rPr>
        <w:t>：</w:t>
      </w:r>
      <w:r>
        <w:rPr>
          <w:rFonts w:hint="eastAsia" w:ascii="宋体" w:hAnsi="宋体"/>
          <w:color w:val="auto"/>
          <w:sz w:val="24"/>
          <w:u w:val="single"/>
        </w:rPr>
        <w:t>实现DCS系统和垃圾焚烧炉“黑匣子”数据通讯</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Theme="minorEastAsia"/>
          <w:color w:val="auto"/>
          <w:sz w:val="24"/>
          <w:u w:val="single"/>
          <w:lang w:eastAsia="zh-CN"/>
        </w:rPr>
      </w:pPr>
      <w:r>
        <w:rPr>
          <w:rFonts w:hint="eastAsia" w:ascii="宋体" w:hAnsi="宋体"/>
          <w:color w:val="auto"/>
          <w:sz w:val="24"/>
          <w:lang w:val="en-US" w:eastAsia="zh-CN"/>
        </w:rPr>
        <w:t>3.</w:t>
      </w:r>
      <w:r>
        <w:rPr>
          <w:rFonts w:hint="eastAsia" w:ascii="宋体" w:hAnsi="宋体"/>
          <w:color w:val="auto"/>
          <w:sz w:val="24"/>
        </w:rPr>
        <w:t>技术保障</w:t>
      </w:r>
      <w:r>
        <w:rPr>
          <w:rFonts w:hint="eastAsia" w:ascii="宋体" w:hAnsi="宋体"/>
          <w:color w:val="auto"/>
          <w:sz w:val="24"/>
          <w:lang w:eastAsia="zh-CN"/>
        </w:rPr>
        <w:t>（</w:t>
      </w:r>
      <w:r>
        <w:rPr>
          <w:rFonts w:hint="eastAsia" w:ascii="宋体" w:hAnsi="宋体"/>
          <w:b/>
          <w:bCs/>
          <w:color w:val="auto"/>
          <w:sz w:val="24"/>
          <w:lang w:eastAsia="zh-CN"/>
        </w:rPr>
        <w:t>售后服务要求</w:t>
      </w:r>
      <w:r>
        <w:rPr>
          <w:rFonts w:hint="eastAsia" w:ascii="宋体" w:hAnsi="宋体"/>
          <w:color w:val="auto"/>
          <w:sz w:val="24"/>
          <w:lang w:eastAsia="zh-CN"/>
        </w:rPr>
        <w:t>）</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服务人员组成：</w:t>
      </w:r>
      <w:r>
        <w:rPr>
          <w:rFonts w:ascii="宋体" w:hAnsi="宋体"/>
          <w:color w:val="auto"/>
          <w:sz w:val="24"/>
          <w:u w:val="single"/>
        </w:rPr>
        <w:t xml:space="preserve">　　             　      </w:t>
      </w:r>
      <w:r>
        <w:rPr>
          <w:rFonts w:hint="eastAsia" w:ascii="宋体" w:hAnsi="宋体"/>
          <w:color w:val="auto"/>
          <w:sz w:val="24"/>
        </w:rPr>
        <w:t>；</w:t>
      </w:r>
    </w:p>
    <w:p>
      <w:pPr>
        <w:pStyle w:val="22"/>
        <w:keepNext w:val="0"/>
        <w:keepLines w:val="0"/>
        <w:pageBreakBefore w:val="0"/>
        <w:kinsoku/>
        <w:wordWrap/>
        <w:overflowPunct/>
        <w:topLinePunct w:val="0"/>
        <w:autoSpaceDE/>
        <w:autoSpaceDN/>
        <w:bidi w:val="0"/>
        <w:snapToGrid/>
        <w:spacing w:before="0" w:beforeAutospacing="0" w:after="0" w:afterAutospacing="0" w:line="360" w:lineRule="auto"/>
        <w:ind w:firstLine="480"/>
        <w:textAlignment w:val="auto"/>
        <w:rPr>
          <w:color w:val="auto"/>
        </w:rPr>
      </w:pPr>
      <w:r>
        <w:rPr>
          <w:rFonts w:hint="eastAsia"/>
          <w:color w:val="auto"/>
          <w:lang w:val="en-US" w:eastAsia="zh-CN"/>
        </w:rPr>
        <w:t>5.</w:t>
      </w:r>
      <w:r>
        <w:rPr>
          <w:rFonts w:hint="eastAsia"/>
          <w:color w:val="auto"/>
        </w:rPr>
        <w:t>合同</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default"/>
          <w:color w:val="auto"/>
          <w:u w:val="single"/>
          <w:lang w:val="en-US"/>
        </w:rPr>
        <w:t xml:space="preserve">  </w:t>
      </w:r>
      <w:r>
        <w:rPr>
          <w:rFonts w:hint="eastAsia"/>
          <w:color w:val="auto"/>
        </w:rPr>
        <w:t>涉及货物。若涉及货物的，则：</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bookmarkStart w:id="394" w:name="_Toc13918"/>
      <w:bookmarkStart w:id="395" w:name="_Toc5635"/>
      <w:bookmarkStart w:id="396" w:name="_Toc1386"/>
      <w:bookmarkStart w:id="397" w:name="_Toc21124"/>
      <w:bookmarkStart w:id="398" w:name="_Toc4929"/>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 xml:space="preserve"> 货物名称、品牌、规格型号：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货物</w:t>
      </w:r>
      <w:r>
        <w:rPr>
          <w:rFonts w:hint="eastAsia" w:ascii="宋体" w:hAnsi="宋体" w:cs="宋体"/>
          <w:color w:val="auto"/>
          <w:sz w:val="24"/>
          <w:lang w:eastAsia="zh-CN"/>
        </w:rPr>
        <w:t>税率</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货物数量：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货物质量</w:t>
      </w:r>
      <w:r>
        <w:rPr>
          <w:rFonts w:hint="eastAsia" w:ascii="宋体" w:hAnsi="宋体" w:cs="宋体"/>
          <w:color w:val="auto"/>
          <w:sz w:val="24"/>
          <w:lang w:eastAsia="zh-CN"/>
        </w:rPr>
        <w:t>要求</w:t>
      </w:r>
      <w:r>
        <w:rPr>
          <w:rFonts w:hint="eastAsia" w:ascii="宋体" w:hAnsi="宋体" w:cs="宋体"/>
          <w:color w:val="auto"/>
          <w:sz w:val="24"/>
        </w:rPr>
        <w:t>：</w:t>
      </w:r>
      <w:r>
        <w:rPr>
          <w:rFonts w:hint="eastAsia" w:ascii="宋体" w:hAnsi="宋体" w:cs="宋体"/>
          <w:color w:val="auto"/>
          <w:sz w:val="24"/>
          <w:u w:val="single"/>
        </w:rPr>
        <w:t>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三、</w:t>
      </w:r>
      <w:r>
        <w:rPr>
          <w:rFonts w:ascii="宋体" w:hAnsi="宋体"/>
          <w:b/>
          <w:color w:val="auto"/>
          <w:sz w:val="24"/>
        </w:rPr>
        <w:t>价款</w:t>
      </w:r>
      <w:bookmarkEnd w:id="394"/>
      <w:bookmarkEnd w:id="395"/>
      <w:bookmarkEnd w:id="396"/>
      <w:bookmarkEnd w:id="397"/>
      <w:bookmarkEnd w:id="39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eastAsia="zh-CN"/>
        </w:rPr>
        <w:t>，其中服务费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val="en-US" w:eastAsia="zh-CN"/>
        </w:rPr>
        <w:t>，</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13/9/6/3/1 </w:t>
      </w:r>
      <w:r>
        <w:rPr>
          <w:rFonts w:hint="eastAsia" w:ascii="宋体" w:hAnsi="宋体"/>
          <w:color w:val="auto"/>
          <w:sz w:val="24"/>
          <w:lang w:val="en-US" w:eastAsia="zh-CN"/>
        </w:rPr>
        <w:t xml:space="preserve"> %；货物</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eastAsia="zh-CN"/>
        </w:rPr>
        <w:t>，</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lang w:eastAsia="zh-CN"/>
        </w:rPr>
        <w:t>。</w:t>
      </w:r>
      <w:r>
        <w:rPr>
          <w:rFonts w:hint="eastAsia" w:ascii="宋体" w:hAnsi="宋体" w:cs="宋体"/>
          <w:color w:val="auto"/>
          <w:sz w:val="24"/>
          <w:lang w:val="en-US" w:eastAsia="zh-CN"/>
        </w:rPr>
        <w:t xml:space="preserve">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rPr>
      </w:pPr>
      <w:r>
        <w:rPr>
          <w:rFonts w:hint="eastAsia" w:ascii="宋体" w:hAnsi="宋体" w:cs="宋体"/>
          <w:color w:val="auto"/>
          <w:sz w:val="24"/>
          <w:lang w:val="en-US" w:eastAsia="zh-CN"/>
        </w:rPr>
        <w:t>1.服务费</w:t>
      </w:r>
      <w:r>
        <w:rPr>
          <w:rFonts w:hint="eastAsia" w:ascii="宋体" w:hAnsi="宋体" w:cs="宋体"/>
          <w:color w:val="auto"/>
          <w:sz w:val="24"/>
        </w:rPr>
        <w:t>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13/9/6/3/1 </w:t>
      </w:r>
      <w:r>
        <w:rPr>
          <w:rFonts w:hint="eastAsia" w:ascii="宋体" w:hAnsi="宋体"/>
          <w:color w:val="auto"/>
          <w:sz w:val="24"/>
          <w:lang w:val="en-US" w:eastAsia="zh-CN"/>
        </w:rPr>
        <w:t xml:space="preserve"> %，</w:t>
      </w:r>
      <w:r>
        <w:rPr>
          <w:rFonts w:hint="eastAsia" w:ascii="宋体" w:hAnsi="宋体" w:cs="宋体"/>
          <w:color w:val="auto"/>
          <w:sz w:val="24"/>
          <w:lang w:eastAsia="zh-CN"/>
        </w:rPr>
        <w:t>单价和总价中均包括了服务类、运费、安装调试费、人工费、服务费、税率、杂费等所有费用，本合同履行中，甲方不再另行支付任何费用。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合同清单</w:t>
      </w:r>
      <w:r>
        <w:rPr>
          <w:rFonts w:hint="eastAsia" w:ascii="宋体" w:hAnsi="宋体" w:cs="宋体"/>
          <w:color w:val="auto"/>
          <w:sz w:val="24"/>
          <w:u w:val="single"/>
        </w:rPr>
        <w:t xml:space="preserve"> </w:t>
      </w:r>
      <w:r>
        <w:rPr>
          <w:rFonts w:ascii="宋体" w:hAnsi="宋体"/>
          <w:color w:val="auto"/>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rPr>
      </w:pPr>
      <w:bookmarkStart w:id="399" w:name="_Toc3654"/>
      <w:bookmarkStart w:id="400" w:name="_Toc14993"/>
      <w:bookmarkStart w:id="401" w:name="_Toc30158"/>
      <w:bookmarkStart w:id="402" w:name="_Toc26916"/>
      <w:bookmarkStart w:id="403" w:name="_Toc30506"/>
      <w:r>
        <w:rPr>
          <w:rFonts w:hint="eastAsia" w:ascii="宋体" w:hAnsi="宋体"/>
          <w:bCs/>
          <w:color w:val="auto"/>
          <w:sz w:val="24"/>
          <w:lang w:val="en-US" w:eastAsia="zh-CN"/>
        </w:rPr>
        <w:t>（2）</w:t>
      </w:r>
      <w:r>
        <w:rPr>
          <w:rFonts w:hint="eastAsia" w:ascii="宋体" w:hAnsi="宋体"/>
          <w:bCs/>
          <w:color w:val="auto"/>
          <w:sz w:val="24"/>
        </w:rPr>
        <w:t>单价合同，本合同单价（含税）标准为：</w:t>
      </w:r>
      <w:r>
        <w:rPr>
          <w:rFonts w:hint="eastAsia" w:ascii="宋体" w:hAnsi="宋体"/>
          <w:bCs/>
          <w:color w:val="auto"/>
          <w:sz w:val="24"/>
          <w:u w:val="single"/>
        </w:rPr>
        <w:t xml:space="preserve"> </w:t>
      </w:r>
      <w:r>
        <w:rPr>
          <w:rFonts w:hint="eastAsia" w:ascii="宋体" w:hAnsi="宋体"/>
          <w:bCs/>
          <w:color w:val="auto"/>
          <w:sz w:val="24"/>
          <w:u w:val="single"/>
          <w:lang w:val="en-US" w:eastAsia="zh-CN"/>
        </w:rPr>
        <w:t>/</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bCs/>
          <w:color w:val="auto"/>
          <w:sz w:val="24"/>
          <w:u w:val="single"/>
          <w:lang w:val="en-US" w:eastAsia="zh-CN"/>
        </w:rPr>
        <w:t>/</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hint="eastAsia" w:ascii="宋体" w:hAnsi="宋体"/>
          <w:color w:val="auto"/>
          <w:sz w:val="24"/>
        </w:rPr>
        <w:t>元人民币）。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（3）其他计价方式： </w:t>
      </w:r>
      <w:r>
        <w:rPr>
          <w:rFonts w:hint="eastAsia" w:ascii="宋体" w:hAnsi="宋体" w:eastAsia="宋体" w:cs="Times New Roman"/>
          <w:b w:val="0"/>
          <w:bCs w:val="0"/>
          <w:color w:val="auto"/>
          <w:kern w:val="2"/>
          <w:sz w:val="24"/>
          <w:szCs w:val="24"/>
          <w:u w:val="single"/>
          <w:lang w:val="en-US" w:eastAsia="zh-CN" w:bidi="ar-SA"/>
        </w:rPr>
        <w:t xml:space="preserve">     /     </w:t>
      </w:r>
      <w:r>
        <w:rPr>
          <w:rFonts w:hint="eastAsia" w:ascii="宋体" w:hAnsi="宋体"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2.货物采用以下第 </w:t>
      </w:r>
      <w:r>
        <w:rPr>
          <w:rFonts w:hint="eastAsia" w:ascii="宋体" w:hAnsi="宋体" w:eastAsia="宋体" w:cs="Times New Roman"/>
          <w:b w:val="0"/>
          <w:bCs w:val="0"/>
          <w:color w:val="auto"/>
          <w:kern w:val="2"/>
          <w:sz w:val="24"/>
          <w:szCs w:val="24"/>
          <w:u w:val="single"/>
          <w:lang w:val="en-US" w:eastAsia="zh-CN" w:bidi="ar-SA"/>
        </w:rPr>
        <w:t xml:space="preserve">   /  </w:t>
      </w:r>
      <w:r>
        <w:rPr>
          <w:rFonts w:hint="eastAsia" w:ascii="宋体" w:hAnsi="宋体" w:eastAsia="宋体" w:cs="Times New Roman"/>
          <w:b w:val="0"/>
          <w:bCs w:val="0"/>
          <w:color w:val="auto"/>
          <w:kern w:val="2"/>
          <w:sz w:val="24"/>
          <w:szCs w:val="24"/>
          <w:lang w:val="en-US" w:eastAsia="zh-CN" w:bidi="ar-SA"/>
        </w:rPr>
        <w:t>条款规定的计价方式计价。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rPr>
        <w:t>元人民币）</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lang w:eastAsia="zh-CN"/>
        </w:rPr>
        <w:t>单价和总价中均包括了服务类、运费、安装调试费、人工费、服务费、税率、杂费等所有费用，本合同履行中，甲方不再另行支付任何费用。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 xml:space="preserve">合同清单 </w:t>
      </w:r>
      <w:r>
        <w:rPr>
          <w:rFonts w:hint="eastAsia" w:ascii="宋体" w:hAnsi="宋体"/>
          <w:color w:val="auto"/>
          <w:sz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color w:val="auto"/>
          <w:sz w:val="24"/>
          <w:u w:val="single"/>
          <w:lang w:val="en-US" w:eastAsia="zh-CN"/>
        </w:rPr>
        <w:t>按需更换、按实结算，货物总额控制</w:t>
      </w:r>
      <w:r>
        <w:rPr>
          <w:rFonts w:hint="eastAsia" w:ascii="宋体" w:hAnsi="宋体" w:cs="宋体"/>
          <w:color w:val="auto"/>
          <w:sz w:val="24"/>
          <w:lang w:val="en-US" w:eastAsia="zh-CN"/>
        </w:rPr>
        <w:t>。</w:t>
      </w:r>
      <w:r>
        <w:rPr>
          <w:rFonts w:hint="eastAsia" w:ascii="宋体" w:hAnsi="宋体" w:cs="宋体"/>
          <w:color w:val="auto"/>
          <w:sz w:val="24"/>
          <w:u w:val="none"/>
        </w:rPr>
        <w:t>合同清单</w:t>
      </w:r>
      <w:r>
        <w:rPr>
          <w:rFonts w:hint="eastAsia" w:ascii="宋体" w:hAnsi="宋体" w:cs="宋体"/>
          <w:color w:val="auto"/>
          <w:sz w:val="24"/>
          <w:u w:val="none"/>
          <w:lang w:val="en-US" w:eastAsia="zh-CN"/>
        </w:rPr>
        <w:t>内</w:t>
      </w:r>
      <w:r>
        <w:rPr>
          <w:rFonts w:hint="eastAsia" w:ascii="宋体" w:hAnsi="宋体" w:cs="宋体"/>
          <w:color w:val="auto"/>
          <w:sz w:val="24"/>
          <w:lang w:val="en-US" w:eastAsia="zh-CN"/>
        </w:rPr>
        <w:t>货物价格为综合价格，含货款、税金、安装调试费、车辆费、工具费等所有费用。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 xml:space="preserve">合同清单 </w:t>
      </w:r>
      <w:r>
        <w:rPr>
          <w:rFonts w:hint="eastAsia" w:ascii="宋体" w:hAnsi="宋体" w:cs="宋体"/>
          <w:b/>
          <w:bCs/>
          <w:color w:val="auto"/>
          <w:sz w:val="24"/>
          <w:u w:val="single"/>
          <w:lang w:eastAsia="zh-CN"/>
        </w:rPr>
        <w:t>。</w:t>
      </w:r>
    </w:p>
    <w:bookmarkEnd w:id="399"/>
    <w:bookmarkEnd w:id="400"/>
    <w:bookmarkEnd w:id="401"/>
    <w:bookmarkEnd w:id="402"/>
    <w:bookmarkEnd w:id="403"/>
    <w:p>
      <w:pPr>
        <w:pStyle w:val="2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b/>
          <w:color w:val="auto"/>
        </w:rPr>
      </w:pPr>
      <w:bookmarkStart w:id="404" w:name="_Toc22618"/>
      <w:bookmarkStart w:id="405" w:name="_Toc1814"/>
      <w:bookmarkStart w:id="406" w:name="_Toc10340"/>
      <w:bookmarkStart w:id="407" w:name="_Toc4760"/>
      <w:bookmarkStart w:id="408" w:name="_Toc31421"/>
      <w:bookmarkStart w:id="409" w:name="_Toc11108"/>
      <w:bookmarkStart w:id="410" w:name="_Toc8772"/>
      <w:bookmarkStart w:id="411" w:name="_Toc3625"/>
      <w:r>
        <w:rPr>
          <w:rFonts w:hint="eastAsia"/>
          <w:b/>
          <w:color w:val="auto"/>
          <w:lang w:eastAsia="zh-CN"/>
        </w:rPr>
        <w:t>四、</w:t>
      </w:r>
      <w:r>
        <w:rPr>
          <w:rFonts w:hint="eastAsia"/>
          <w:b/>
          <w:color w:val="auto"/>
        </w:rPr>
        <w:t>履约保证金</w:t>
      </w:r>
    </w:p>
    <w:p>
      <w:pPr>
        <w:pStyle w:val="2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color w:val="auto"/>
        </w:rPr>
      </w:pPr>
      <w:r>
        <w:rPr>
          <w:rFonts w:hint="eastAsia"/>
          <w:color w:val="auto"/>
        </w:rPr>
        <w:t>乙方</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rPr>
        <w:t>否</w:t>
      </w:r>
      <w:r>
        <w:rPr>
          <w:rFonts w:hint="eastAsia"/>
          <w:color w:val="auto"/>
          <w:u w:val="single"/>
          <w:lang w:val="en-US" w:eastAsia="zh-CN"/>
        </w:rPr>
        <w:t xml:space="preserve">  </w:t>
      </w:r>
      <w:r>
        <w:rPr>
          <w:rFonts w:hint="eastAsia"/>
          <w:color w:val="auto"/>
        </w:rPr>
        <w:t>需要支付履约保证金。若需要支付履约保证金的，则：</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履约保证金的比例为合同金额的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lang w:val="en-US" w:eastAsia="zh-CN"/>
        </w:rPr>
        <w:t>5</w:t>
      </w:r>
      <w:r>
        <w:rPr>
          <w:rFonts w:hint="eastAsia" w:ascii="宋体" w:hAnsi="宋体" w:cs="宋体"/>
          <w:b/>
          <w:bCs/>
          <w:i/>
          <w:iCs/>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2.履约保证金支付时间：乙方应于本合同签订同时/后 </w:t>
      </w:r>
      <w:r>
        <w:rPr>
          <w:rFonts w:hint="eastAsia" w:ascii="宋体" w:hAnsi="宋体" w:cs="宋体"/>
          <w:color w:val="auto"/>
          <w:kern w:val="0"/>
          <w:sz w:val="24"/>
          <w:u w:val="single"/>
          <w:lang w:val="en-US" w:eastAsia="zh-CN"/>
        </w:rPr>
        <w:t xml:space="preserve">  </w:t>
      </w:r>
      <w:r>
        <w:rPr>
          <w:rFonts w:hint="default" w:ascii="宋体" w:hAnsi="宋体" w:cs="宋体"/>
          <w:color w:val="auto"/>
          <w:kern w:val="0"/>
          <w:sz w:val="24"/>
          <w:u w:val="single"/>
          <w:lang w:val="en-US" w:eastAsia="zh-CN"/>
        </w:rPr>
        <w:t>10</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日内按本合同约定的支付支付履约保证金</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none"/>
        </w:rPr>
      </w:pPr>
      <w:r>
        <w:rPr>
          <w:rFonts w:hint="default" w:ascii="宋体" w:hAnsi="宋体" w:cs="宋体"/>
          <w:color w:val="auto"/>
          <w:kern w:val="0"/>
          <w:sz w:val="24"/>
          <w:lang w:val="en-US" w:eastAsia="zh-CN"/>
        </w:rPr>
        <w:t>3.</w:t>
      </w:r>
      <w:r>
        <w:rPr>
          <w:rFonts w:hint="eastAsia" w:ascii="宋体" w:hAnsi="宋体" w:cs="宋体"/>
          <w:color w:val="auto"/>
          <w:kern w:val="0"/>
          <w:sz w:val="24"/>
        </w:rPr>
        <w:t>履约保证金支付方式</w:t>
      </w:r>
      <w:r>
        <w:rPr>
          <w:rFonts w:hint="eastAsia" w:ascii="宋体" w:hAnsi="宋体" w:cs="宋体"/>
          <w:color w:val="auto"/>
          <w:kern w:val="0"/>
          <w:sz w:val="24"/>
          <w:lang w:eastAsia="zh-CN"/>
        </w:rPr>
        <w:t>：</w:t>
      </w:r>
      <w:r>
        <w:rPr>
          <w:rFonts w:hint="eastAsia" w:ascii="宋体" w:hAnsi="宋体" w:cs="宋体"/>
          <w:color w:val="auto"/>
          <w:kern w:val="0"/>
          <w:sz w:val="24"/>
          <w:u w:val="single"/>
          <w:lang w:val="en-US" w:eastAsia="zh-CN"/>
        </w:rPr>
        <w:t xml:space="preserve"> 电汇/转账 ；</w:t>
      </w:r>
      <w:r>
        <w:rPr>
          <w:rFonts w:hint="eastAsia" w:ascii="宋体" w:hAnsi="宋体" w:cs="宋体"/>
          <w:color w:val="auto"/>
          <w:kern w:val="0"/>
          <w:sz w:val="24"/>
          <w:u w:val="none"/>
        </w:rPr>
        <w:t>账户信息如下：</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single"/>
          <w:lang w:val="en-US" w:eastAsia="zh-CN"/>
        </w:rPr>
      </w:pPr>
      <w:r>
        <w:rPr>
          <w:rFonts w:hint="eastAsia" w:ascii="宋体" w:hAnsi="宋体" w:cs="宋体"/>
          <w:color w:val="auto"/>
          <w:kern w:val="0"/>
          <w:sz w:val="24"/>
          <w:u w:val="single"/>
        </w:rPr>
        <w:t>名称：杭州临江环境能源有限公司</w:t>
      </w:r>
      <w:r>
        <w:rPr>
          <w:rFonts w:hint="eastAsia" w:ascii="宋体" w:hAnsi="宋体" w:cs="宋体"/>
          <w:color w:val="auto"/>
          <w:kern w:val="0"/>
          <w:sz w:val="24"/>
          <w:u w:val="single"/>
          <w:lang w:val="en-US" w:eastAsia="zh-CN"/>
        </w:rPr>
        <w:t xml:space="preserve">   </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single"/>
        </w:rPr>
      </w:pPr>
      <w:r>
        <w:rPr>
          <w:rFonts w:hint="eastAsia" w:ascii="宋体" w:hAnsi="宋体" w:cs="宋体"/>
          <w:color w:val="auto"/>
          <w:kern w:val="0"/>
          <w:sz w:val="24"/>
          <w:u w:val="single"/>
        </w:rPr>
        <w:t>税号：91330100MA2B02NX2L</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pageBreakBefore w:val="0"/>
        <w:kinsoku/>
        <w:wordWrap/>
        <w:overflowPunct/>
        <w:topLinePunct w:val="0"/>
        <w:bidi w:val="0"/>
        <w:spacing w:line="360" w:lineRule="auto"/>
        <w:ind w:firstLine="480" w:firstLineChars="200"/>
        <w:textAlignment w:val="auto"/>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default" w:ascii="宋体" w:hAnsi="宋体" w:cs="宋体"/>
          <w:color w:val="auto"/>
          <w:sz w:val="24"/>
          <w:lang w:val="en-US"/>
        </w:rPr>
        <w:t>4.</w:t>
      </w:r>
      <w:r>
        <w:rPr>
          <w:rFonts w:hint="eastAsia" w:ascii="宋体" w:hAnsi="宋体" w:cs="宋体"/>
          <w:color w:val="auto"/>
          <w:sz w:val="24"/>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甲方在项目验收结束后及时退还履约保证金。甲方在项目通过验收之日起   30  个工作日内将履约保证金无息退还乙方。</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rPr>
      </w:pPr>
      <w:r>
        <w:rPr>
          <w:rFonts w:hint="default" w:ascii="宋体" w:hAnsi="宋体" w:cs="宋体"/>
          <w:color w:val="auto"/>
          <w:sz w:val="24"/>
          <w:lang w:val="en-US" w:eastAsia="zh-CN"/>
        </w:rPr>
        <w:t>6</w:t>
      </w:r>
      <w:r>
        <w:rPr>
          <w:rFonts w:hint="eastAsia" w:ascii="宋体" w:hAnsi="宋体" w:cs="宋体"/>
          <w:color w:val="auto"/>
          <w:sz w:val="24"/>
          <w:lang w:val="en-US" w:eastAsia="zh-CN"/>
        </w:rPr>
        <w:t>.乙方提前完成合同约定内容且无任何遗留问题，双方可提前终止合同（按第二章合同中止、</w:t>
      </w:r>
      <w:r>
        <w:rPr>
          <w:rFonts w:hint="eastAsia" w:ascii="宋体" w:hAnsi="宋体" w:eastAsia="宋体" w:cs="宋体"/>
          <w:b w:val="0"/>
          <w:bCs w:val="0"/>
          <w:color w:val="auto"/>
          <w:kern w:val="0"/>
          <w:sz w:val="24"/>
          <w:szCs w:val="24"/>
          <w:lang w:val="en-US" w:eastAsia="zh-CN"/>
        </w:rPr>
        <w:t>终止条款执行），甲方应在终止合同之后提前退还乙方履约保证金。</w:t>
      </w:r>
    </w:p>
    <w:bookmarkEnd w:id="404"/>
    <w:bookmarkEnd w:id="405"/>
    <w:bookmarkEnd w:id="406"/>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r>
        <w:rPr>
          <w:rFonts w:hint="eastAsia" w:ascii="宋体" w:hAnsi="宋体" w:cs="宋体"/>
          <w:b/>
          <w:color w:val="auto"/>
          <w:sz w:val="24"/>
          <w:lang w:eastAsia="zh-CN"/>
        </w:rPr>
        <w:t>五、</w:t>
      </w:r>
      <w:r>
        <w:rPr>
          <w:rFonts w:hint="eastAsia" w:ascii="宋体" w:hAnsi="宋体" w:cs="宋体"/>
          <w:b/>
          <w:color w:val="auto"/>
          <w:sz w:val="24"/>
        </w:rPr>
        <w:t>预付款</w:t>
      </w:r>
    </w:p>
    <w:p>
      <w:pPr>
        <w:pStyle w:val="22"/>
        <w:pageBreakBefore w:val="0"/>
        <w:kinsoku/>
        <w:wordWrap/>
        <w:overflowPunct/>
        <w:topLinePunct w:val="0"/>
        <w:bidi w:val="0"/>
        <w:spacing w:before="0" w:beforeAutospacing="0" w:after="0" w:afterAutospacing="0" w:line="360" w:lineRule="auto"/>
        <w:ind w:firstLine="480"/>
        <w:textAlignment w:val="auto"/>
        <w:rPr>
          <w:color w:val="auto"/>
        </w:rPr>
      </w:pPr>
      <w:r>
        <w:rPr>
          <w:rFonts w:hint="eastAsia"/>
          <w:color w:val="auto"/>
        </w:rPr>
        <w:t>甲方</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eastAsia"/>
          <w:color w:val="auto"/>
          <w:u w:val="single"/>
          <w:lang w:val="en-US" w:eastAsia="zh-CN"/>
        </w:rPr>
        <w:t xml:space="preserve">  </w:t>
      </w:r>
      <w:r>
        <w:rPr>
          <w:rFonts w:hint="eastAsia"/>
          <w:color w:val="auto"/>
        </w:rPr>
        <w:t>需要支付预付款。若需要支付预付款的，则：</w:t>
      </w:r>
    </w:p>
    <w:p>
      <w:pPr>
        <w:pageBreakBefore w:val="0"/>
        <w:kinsoku/>
        <w:wordWrap/>
        <w:overflowPunct/>
        <w:topLinePunct w:val="0"/>
        <w:bidi w:val="0"/>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预付款比例、支付方式、时间</w:t>
      </w:r>
      <w:r>
        <w:rPr>
          <w:rFonts w:hint="eastAsia" w:ascii="宋体" w:hAnsi="宋体" w:cs="宋体"/>
          <w:color w:val="auto"/>
          <w:kern w:val="0"/>
          <w:sz w:val="24"/>
          <w:lang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2"/>
        <w:pageBreakBefore w:val="0"/>
        <w:kinsoku/>
        <w:wordWrap/>
        <w:overflowPunct/>
        <w:topLinePunct w:val="0"/>
        <w:bidi w:val="0"/>
        <w:spacing w:before="0" w:beforeAutospacing="0" w:after="0" w:afterAutospacing="0" w:line="360" w:lineRule="auto"/>
        <w:ind w:firstLine="480"/>
        <w:textAlignment w:val="auto"/>
        <w:rPr>
          <w:color w:val="auto"/>
        </w:rPr>
      </w:pPr>
      <w:r>
        <w:rPr>
          <w:rFonts w:hint="eastAsia"/>
          <w:color w:val="auto"/>
          <w:lang w:val="en-US" w:eastAsia="zh-CN"/>
        </w:rPr>
        <w:t>2.</w:t>
      </w:r>
      <w:r>
        <w:rPr>
          <w:rFonts w:hint="eastAsia"/>
          <w:color w:val="auto"/>
        </w:rPr>
        <w:t>预付款的扣回方式</w:t>
      </w:r>
      <w:r>
        <w:rPr>
          <w:rFonts w:hint="eastAsia"/>
          <w:color w:val="auto"/>
          <w:lang w:eastAsia="zh-CN"/>
        </w:rPr>
        <w:t>：</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color w:val="auto"/>
          <w:u w:val="single"/>
        </w:rPr>
      </w:pPr>
      <w:r>
        <w:rPr>
          <w:rFonts w:hint="eastAsia"/>
          <w:color w:val="auto"/>
          <w:lang w:val="en-US" w:eastAsia="zh-CN"/>
        </w:rPr>
        <w:t>3.</w:t>
      </w:r>
      <w:r>
        <w:rPr>
          <w:rFonts w:hint="eastAsia"/>
          <w:color w:val="auto"/>
        </w:rPr>
        <w:t>预付款的担保措施</w:t>
      </w:r>
      <w:r>
        <w:rPr>
          <w:rFonts w:hint="eastAsia"/>
          <w:color w:val="auto"/>
          <w:lang w:eastAsia="zh-CN"/>
        </w:rPr>
        <w:t>：</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b/>
          <w:bCs/>
          <w:color w:val="auto"/>
        </w:rPr>
      </w:pPr>
      <w:r>
        <w:rPr>
          <w:rFonts w:hint="eastAsia"/>
          <w:b/>
          <w:bCs/>
          <w:color w:val="auto"/>
          <w:lang w:eastAsia="zh-CN"/>
        </w:rPr>
        <w:t>六、</w:t>
      </w:r>
      <w:r>
        <w:rPr>
          <w:rFonts w:hint="eastAsia"/>
          <w:b/>
          <w:bCs/>
          <w:color w:val="auto"/>
        </w:rPr>
        <w:t>资金支付</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color w:val="auto"/>
        </w:rPr>
      </w:pPr>
      <w:r>
        <w:rPr>
          <w:rFonts w:hint="eastAsia"/>
          <w:color w:val="auto"/>
          <w:lang w:val="en-US" w:eastAsia="zh-CN"/>
        </w:rPr>
        <w:t>1.</w:t>
      </w:r>
      <w:r>
        <w:rPr>
          <w:rFonts w:hint="eastAsia"/>
          <w:color w:val="auto"/>
        </w:rPr>
        <w:t>甲方应严格履行合同，及时组织验收，验收合格后及时将合同款支付完毕。对于满足合同约定支付条件的，甲方自收到发票后</w:t>
      </w:r>
      <w:r>
        <w:rPr>
          <w:rFonts w:hint="eastAsia"/>
          <w:b/>
          <w:bCs/>
          <w:i/>
          <w:iCs/>
          <w:color w:val="auto"/>
          <w:u w:val="single"/>
          <w:lang w:val="en-US" w:eastAsia="zh-CN"/>
        </w:rPr>
        <w:t>30</w:t>
      </w:r>
      <w:r>
        <w:rPr>
          <w:rFonts w:hint="eastAsia"/>
          <w:color w:val="auto"/>
        </w:rPr>
        <w:t>个工作日内将资金支付到合同约定的乙方账户。</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lang w:eastAsia="zh-CN"/>
        </w:rPr>
      </w:pPr>
      <w:r>
        <w:rPr>
          <w:rFonts w:hint="eastAsia"/>
          <w:color w:val="auto"/>
          <w:lang w:val="en-US" w:eastAsia="zh-CN"/>
        </w:rPr>
        <w:t>2.</w:t>
      </w:r>
      <w:r>
        <w:rPr>
          <w:rFonts w:hint="eastAsia"/>
          <w:color w:val="auto"/>
          <w:lang w:eastAsia="zh-CN"/>
        </w:rPr>
        <w:t>本合同</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eastAsia"/>
          <w:b/>
          <w:bCs/>
          <w:color w:val="auto"/>
          <w:u w:val="single"/>
          <w:lang w:val="en-US" w:eastAsia="zh-CN"/>
        </w:rPr>
        <w:t xml:space="preserve"> </w:t>
      </w:r>
      <w:r>
        <w:rPr>
          <w:rFonts w:hint="eastAsia"/>
          <w:color w:val="auto"/>
          <w:lang w:eastAsia="zh-CN"/>
        </w:rPr>
        <w:t>有质保金。若有质保金的，则：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color w:val="auto"/>
        </w:rPr>
      </w:pPr>
      <w:r>
        <w:rPr>
          <w:rFonts w:hint="eastAsia" w:cs="宋体"/>
          <w:color w:val="auto"/>
          <w:kern w:val="0"/>
          <w:sz w:val="24"/>
          <w:lang w:eastAsia="zh-CN"/>
        </w:rPr>
        <w:t>（</w:t>
      </w:r>
      <w:r>
        <w:rPr>
          <w:rFonts w:hint="eastAsia" w:cs="宋体"/>
          <w:color w:val="auto"/>
          <w:kern w:val="0"/>
          <w:sz w:val="24"/>
          <w:lang w:val="en-US" w:eastAsia="zh-CN"/>
        </w:rPr>
        <w:t>2</w:t>
      </w:r>
      <w:r>
        <w:rPr>
          <w:rFonts w:hint="eastAsia" w:cs="宋体"/>
          <w:color w:val="auto"/>
          <w:kern w:val="0"/>
          <w:sz w:val="24"/>
          <w:lang w:eastAsia="zh-CN"/>
        </w:rPr>
        <w:t>）质保</w:t>
      </w:r>
      <w:r>
        <w:rPr>
          <w:rFonts w:hint="eastAsia" w:ascii="宋体" w:hAnsi="宋体" w:cs="宋体"/>
          <w:color w:val="auto"/>
          <w:kern w:val="0"/>
          <w:sz w:val="24"/>
        </w:rPr>
        <w:t>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color w:val="auto"/>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rPr>
      </w:pPr>
      <w:r>
        <w:rPr>
          <w:rFonts w:hint="eastAsia" w:cs="宋体"/>
          <w:color w:val="auto"/>
          <w:kern w:val="0"/>
          <w:sz w:val="24"/>
          <w:lang w:eastAsia="zh-CN"/>
        </w:rPr>
        <w:t>（</w:t>
      </w:r>
      <w:r>
        <w:rPr>
          <w:rFonts w:hint="eastAsia" w:cs="宋体"/>
          <w:color w:val="auto"/>
          <w:kern w:val="0"/>
          <w:sz w:val="24"/>
          <w:lang w:val="en-US" w:eastAsia="zh-CN"/>
        </w:rPr>
        <w:t>3</w:t>
      </w:r>
      <w:r>
        <w:rPr>
          <w:rFonts w:hint="eastAsia" w:cs="宋体"/>
          <w:color w:val="auto"/>
          <w:kern w:val="0"/>
          <w:sz w:val="24"/>
          <w:lang w:eastAsia="zh-CN"/>
        </w:rPr>
        <w:t>）质保</w:t>
      </w:r>
      <w:r>
        <w:rPr>
          <w:rFonts w:hint="eastAsia" w:ascii="宋体" w:hAnsi="宋体" w:cs="宋体"/>
          <w:color w:val="auto"/>
          <w:kern w:val="0"/>
          <w:sz w:val="24"/>
        </w:rPr>
        <w:t>金</w:t>
      </w:r>
      <w:r>
        <w:rPr>
          <w:rFonts w:hint="eastAsia" w:cs="宋体"/>
          <w:color w:val="auto"/>
          <w:kern w:val="0"/>
          <w:sz w:val="24"/>
          <w:lang w:eastAsia="zh-CN"/>
        </w:rPr>
        <w:t>支付条件</w:t>
      </w:r>
      <w:r>
        <w:rPr>
          <w:rFonts w:hint="eastAsia"/>
          <w:color w:val="auto"/>
          <w:lang w:eastAsia="zh-CN"/>
        </w:rPr>
        <w:t>：</w:t>
      </w:r>
      <w:r>
        <w:rPr>
          <w:rFonts w:hint="eastAsia"/>
          <w:color w:val="auto"/>
          <w:u w:val="single"/>
          <w:lang w:eastAsia="zh-CN"/>
        </w:rPr>
        <w:t>质保期内无任何质量问题，双方无任何遗留问题</w:t>
      </w:r>
      <w:r>
        <w:rPr>
          <w:rFonts w:hint="eastAsia"/>
          <w:color w:val="auto"/>
          <w:u w:val="single"/>
        </w:rPr>
        <w:t xml:space="preserve"> </w:t>
      </w:r>
      <w:r>
        <w:rPr>
          <w:rFonts w:hint="eastAsia"/>
          <w:color w:val="auto"/>
          <w:u w:val="single"/>
          <w:lang w:eastAsia="zh-CN"/>
        </w:rPr>
        <w:t>，质保期结束后</w:t>
      </w:r>
      <w:r>
        <w:rPr>
          <w:rFonts w:hint="eastAsia"/>
          <w:color w:val="auto"/>
          <w:u w:val="single"/>
          <w:lang w:val="en-US" w:eastAsia="zh-CN"/>
        </w:rPr>
        <w:t>30天内甲方无息支付</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color w:val="auto"/>
          <w:lang w:eastAsia="zh-CN"/>
        </w:rPr>
      </w:pPr>
      <w:r>
        <w:rPr>
          <w:rFonts w:hint="eastAsia"/>
          <w:color w:val="auto"/>
          <w:lang w:val="en-US" w:eastAsia="zh-CN"/>
        </w:rPr>
        <w:t>3.</w:t>
      </w:r>
      <w:r>
        <w:rPr>
          <w:rFonts w:hint="eastAsia"/>
          <w:color w:val="auto"/>
        </w:rPr>
        <w:t>本项目资金支付的方式、时间和条件采用以下第</w:t>
      </w:r>
      <w:r>
        <w:rPr>
          <w:rFonts w:hint="eastAsia"/>
          <w:color w:val="auto"/>
          <w:u w:val="single"/>
        </w:rPr>
        <w:t xml:space="preserve">  </w:t>
      </w:r>
      <w:r>
        <w:rPr>
          <w:rFonts w:hint="eastAsia"/>
          <w:color w:val="auto"/>
          <w:u w:val="single"/>
          <w:lang w:val="en-US" w:eastAsia="zh-CN"/>
        </w:rPr>
        <w:t>（3）</w:t>
      </w:r>
      <w:r>
        <w:rPr>
          <w:rFonts w:hint="eastAsia"/>
          <w:color w:val="auto"/>
          <w:u w:val="single"/>
        </w:rPr>
        <w:t xml:space="preserve"> </w:t>
      </w:r>
      <w:r>
        <w:rPr>
          <w:rFonts w:hint="eastAsia"/>
          <w:color w:val="auto"/>
        </w:rPr>
        <w:t>条款规定</w:t>
      </w:r>
      <w:r>
        <w:rPr>
          <w:rFonts w:hint="eastAsia"/>
          <w:color w:val="auto"/>
          <w:lang w:eastAsia="zh-CN"/>
        </w:rPr>
        <w:t>：</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color w:val="auto"/>
          <w:u w:val="single"/>
          <w:lang w:val="en-US" w:eastAsia="zh-CN"/>
        </w:rPr>
      </w:pPr>
      <w:r>
        <w:rPr>
          <w:rFonts w:hint="eastAsia"/>
          <w:b w:val="0"/>
          <w:bCs w:val="0"/>
          <w:i w:val="0"/>
          <w:iCs w:val="0"/>
          <w:color w:val="auto"/>
          <w:u w:val="single"/>
          <w:lang w:val="en-US" w:eastAsia="zh-CN"/>
        </w:rPr>
        <w:t>（1） 按月支付，本月服务费用次月结算，</w:t>
      </w:r>
      <w:r>
        <w:rPr>
          <w:rFonts w:hint="eastAsia"/>
          <w:u w:val="single"/>
        </w:rPr>
        <w:t>甲方收到</w:t>
      </w:r>
      <w:r>
        <w:rPr>
          <w:rFonts w:hint="eastAsia"/>
          <w:b w:val="0"/>
          <w:bCs w:val="0"/>
          <w:i w:val="0"/>
          <w:iCs w:val="0"/>
          <w:u w:val="single"/>
          <w:lang w:val="en-US" w:eastAsia="zh-CN"/>
        </w:rPr>
        <w:t>乙方提供的增值税专用发票后</w:t>
      </w:r>
      <w:r>
        <w:rPr>
          <w:rFonts w:hint="eastAsia"/>
          <w:b w:val="0"/>
          <w:bCs w:val="0"/>
          <w:i w:val="0"/>
          <w:iCs w:val="0"/>
          <w:color w:val="auto"/>
          <w:u w:val="single"/>
          <w:lang w:val="en-US" w:eastAsia="zh-CN"/>
        </w:rPr>
        <w:t>，甲方在本合同</w:t>
      </w:r>
      <w:r>
        <w:rPr>
          <w:rFonts w:hint="eastAsia"/>
          <w:b/>
          <w:bCs/>
          <w:i w:val="0"/>
          <w:iCs w:val="0"/>
          <w:color w:val="auto"/>
          <w:u w:val="single"/>
          <w:lang w:val="en-US" w:eastAsia="zh-CN"/>
        </w:rPr>
        <w:t>约定时间</w:t>
      </w:r>
      <w:r>
        <w:rPr>
          <w:rFonts w:hint="eastAsia"/>
          <w:b w:val="0"/>
          <w:bCs w:val="0"/>
          <w:i w:val="0"/>
          <w:iCs w:val="0"/>
          <w:color w:val="auto"/>
          <w:u w:val="single"/>
          <w:lang w:val="en-US" w:eastAsia="zh-CN"/>
        </w:rPr>
        <w:t>内完成支付 ；</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color w:val="auto"/>
          <w:u w:val="single"/>
          <w:lang w:val="en-US" w:eastAsia="zh-CN"/>
        </w:rPr>
      </w:pPr>
      <w:r>
        <w:rPr>
          <w:rFonts w:hint="eastAsia"/>
          <w:b w:val="0"/>
          <w:bCs w:val="0"/>
          <w:i w:val="0"/>
          <w:iCs w:val="0"/>
          <w:color w:val="auto"/>
          <w:u w:val="single"/>
          <w:lang w:val="en-US" w:eastAsia="zh-CN"/>
        </w:rPr>
        <w:t>（2）按季度支付，本季度服务费用次季度结算，</w:t>
      </w:r>
      <w:r>
        <w:rPr>
          <w:rFonts w:hint="eastAsia"/>
          <w:u w:val="single"/>
        </w:rPr>
        <w:t>甲方收到</w:t>
      </w:r>
      <w:r>
        <w:rPr>
          <w:rFonts w:hint="eastAsia"/>
          <w:b w:val="0"/>
          <w:bCs w:val="0"/>
          <w:i w:val="0"/>
          <w:iCs w:val="0"/>
          <w:u w:val="single"/>
          <w:lang w:val="en-US" w:eastAsia="zh-CN"/>
        </w:rPr>
        <w:t>乙方提供的增值税专用发票后</w:t>
      </w:r>
      <w:r>
        <w:rPr>
          <w:rFonts w:hint="eastAsia"/>
          <w:b w:val="0"/>
          <w:bCs w:val="0"/>
          <w:i w:val="0"/>
          <w:iCs w:val="0"/>
          <w:color w:val="auto"/>
          <w:u w:val="single"/>
          <w:lang w:val="en-US" w:eastAsia="zh-CN"/>
        </w:rPr>
        <w:t>，甲方在本合同</w:t>
      </w:r>
      <w:r>
        <w:rPr>
          <w:rFonts w:hint="eastAsia"/>
          <w:b/>
          <w:bCs/>
          <w:i w:val="0"/>
          <w:iCs w:val="0"/>
          <w:color w:val="auto"/>
          <w:u w:val="single"/>
          <w:lang w:val="en-US" w:eastAsia="zh-CN"/>
        </w:rPr>
        <w:t>约定时间</w:t>
      </w:r>
      <w:r>
        <w:rPr>
          <w:rFonts w:hint="eastAsia"/>
          <w:b w:val="0"/>
          <w:bCs w:val="0"/>
          <w:i w:val="0"/>
          <w:iCs w:val="0"/>
          <w:color w:val="auto"/>
          <w:u w:val="single"/>
          <w:lang w:val="en-US" w:eastAsia="zh-CN"/>
        </w:rPr>
        <w:t>内完成支付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eastAsia"/>
          <w:color w:val="auto"/>
          <w:lang w:val="en-US" w:eastAsia="zh-CN"/>
        </w:rPr>
      </w:pPr>
      <w:r>
        <w:rPr>
          <w:rFonts w:hint="eastAsia"/>
          <w:b w:val="0"/>
          <w:bCs w:val="0"/>
          <w:i w:val="0"/>
          <w:iCs w:val="0"/>
          <w:color w:val="auto"/>
          <w:u w:val="single"/>
          <w:lang w:val="en-US" w:eastAsia="zh-CN"/>
        </w:rPr>
        <w:t>（3）一次性付款，经甲方验收合格后，</w:t>
      </w:r>
      <w:r>
        <w:rPr>
          <w:rFonts w:hint="eastAsia"/>
          <w:u w:val="single"/>
        </w:rPr>
        <w:t>甲方收到</w:t>
      </w:r>
      <w:r>
        <w:rPr>
          <w:rFonts w:hint="eastAsia"/>
          <w:b w:val="0"/>
          <w:bCs w:val="0"/>
          <w:i w:val="0"/>
          <w:iCs w:val="0"/>
          <w:u w:val="single"/>
          <w:lang w:val="en-US" w:eastAsia="zh-CN"/>
        </w:rPr>
        <w:t>乙方提供的增值税专用发票后</w:t>
      </w:r>
      <w:r>
        <w:rPr>
          <w:rFonts w:hint="eastAsia"/>
          <w:b w:val="0"/>
          <w:bCs w:val="0"/>
          <w:i w:val="0"/>
          <w:iCs w:val="0"/>
          <w:color w:val="auto"/>
          <w:u w:val="single"/>
          <w:lang w:val="en-US" w:eastAsia="zh-CN"/>
        </w:rPr>
        <w:t>，甲方在本合同30日内完成支付。</w:t>
      </w:r>
      <w:r>
        <w:rPr>
          <w:rFonts w:hint="eastAsia"/>
          <w:color w:val="auto"/>
          <w:lang w:val="en-US" w:eastAsia="zh-CN"/>
        </w:rPr>
        <w:t xml:space="preserve">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default"/>
          <w:color w:val="auto"/>
          <w:lang w:val="en-US" w:eastAsia="zh-CN"/>
        </w:rPr>
      </w:pPr>
      <w:r>
        <w:rPr>
          <w:rFonts w:hint="eastAsia"/>
          <w:color w:val="auto"/>
          <w:lang w:val="en-US" w:eastAsia="zh-CN"/>
        </w:rPr>
        <w:t>（4）</w:t>
      </w:r>
      <w:r>
        <w:rPr>
          <w:rFonts w:hint="eastAsia"/>
          <w:color w:val="auto"/>
          <w:u w:val="none"/>
          <w:lang w:val="en-US" w:eastAsia="zh-CN"/>
        </w:rPr>
        <w:t>其他付款方式：</w:t>
      </w:r>
      <w:r>
        <w:rPr>
          <w:rFonts w:hint="eastAsia"/>
          <w:color w:val="auto"/>
          <w:u w:val="single"/>
          <w:lang w:val="en-US" w:eastAsia="zh-CN"/>
        </w:rPr>
        <w:t xml:space="preserve">     /      </w:t>
      </w:r>
      <w:r>
        <w:rPr>
          <w:rFonts w:hint="eastAsia"/>
          <w:color w:val="auto"/>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七、</w:t>
      </w:r>
      <w:r>
        <w:rPr>
          <w:rFonts w:ascii="宋体" w:hAnsi="宋体"/>
          <w:b/>
          <w:color w:val="auto"/>
          <w:sz w:val="24"/>
        </w:rPr>
        <w:t>履行期限</w:t>
      </w:r>
      <w:r>
        <w:rPr>
          <w:rFonts w:hint="eastAsia" w:ascii="宋体" w:hAnsi="宋体"/>
          <w:b/>
          <w:color w:val="auto"/>
          <w:sz w:val="24"/>
        </w:rPr>
        <w:t>、地点</w:t>
      </w:r>
      <w:r>
        <w:rPr>
          <w:rFonts w:hint="eastAsia" w:ascii="宋体" w:hAnsi="宋体"/>
          <w:b/>
          <w:color w:val="auto"/>
          <w:sz w:val="24"/>
          <w:lang w:eastAsia="zh-CN"/>
        </w:rPr>
        <w:t>、联系方式、交付</w:t>
      </w:r>
      <w:r>
        <w:rPr>
          <w:rFonts w:hint="eastAsia" w:ascii="宋体" w:hAnsi="宋体"/>
          <w:b/>
          <w:color w:val="auto"/>
          <w:sz w:val="24"/>
        </w:rPr>
        <w:t>方式</w:t>
      </w:r>
      <w:bookmarkEnd w:id="407"/>
      <w:bookmarkEnd w:id="408"/>
      <w:bookmarkEnd w:id="409"/>
      <w:bookmarkEnd w:id="410"/>
      <w:bookmarkEnd w:id="411"/>
    </w:p>
    <w:p>
      <w:pPr>
        <w:pageBreakBefore w:val="0"/>
        <w:kinsoku/>
        <w:wordWrap/>
        <w:overflowPunct/>
        <w:topLinePunct w:val="0"/>
        <w:bidi w:val="0"/>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服务交付（实施）的时间（期限）</w:t>
      </w:r>
      <w:r>
        <w:rPr>
          <w:rFonts w:ascii="宋体" w:hAnsi="宋体"/>
          <w:color w:val="auto"/>
          <w:sz w:val="24"/>
        </w:rPr>
        <w:t>：</w:t>
      </w:r>
      <w:r>
        <w:rPr>
          <w:rFonts w:hint="eastAsia" w:ascii="宋体" w:hAnsi="宋体"/>
          <w:color w:val="auto"/>
          <w:sz w:val="24"/>
          <w:u w:val="single"/>
          <w:lang w:val="en-US" w:eastAsia="zh-CN"/>
        </w:rPr>
        <w:t xml:space="preserve">签订合同后7日内完成成果，一次性交付 </w:t>
      </w:r>
      <w:r>
        <w:rPr>
          <w:rFonts w:hint="eastAsia" w:ascii="宋体" w:hAnsi="宋体"/>
          <w:color w:val="auto"/>
          <w:sz w:val="24"/>
          <w:lang w:val="en-US" w:eastAsia="zh-CN"/>
        </w:rPr>
        <w:t xml:space="preserve"> </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i/>
          <w:color w:val="auto"/>
          <w:sz w:val="24"/>
          <w:u w:val="single"/>
          <w:lang w:val="en-US" w:eastAsia="zh-CN"/>
        </w:rPr>
        <w:t xml:space="preserve"> </w:t>
      </w:r>
      <w:r>
        <w:rPr>
          <w:rFonts w:hint="eastAsia" w:ascii="宋体" w:hAnsi="宋体"/>
          <w:b w:val="0"/>
          <w:bCs/>
          <w:i w:val="0"/>
          <w:iCs/>
          <w:color w:val="auto"/>
          <w:sz w:val="24"/>
          <w:u w:val="single"/>
          <w:lang w:val="en-US" w:eastAsia="zh-CN"/>
        </w:rPr>
        <w:t xml:space="preserve">浙江省杭州市钱塘区临江街道红十五路10388-123号，杭州临江环境能源有限公司厂区内 </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hint="eastAsia" w:ascii="宋体" w:hAnsi="宋体" w:eastAsiaTheme="minorEastAsia"/>
          <w:color w:val="auto"/>
          <w:sz w:val="24"/>
          <w:lang w:eastAsia="zh-CN"/>
        </w:rPr>
      </w:pPr>
      <w:r>
        <w:rPr>
          <w:rFonts w:hint="eastAsia" w:ascii="宋体" w:hAnsi="宋体"/>
          <w:color w:val="auto"/>
          <w:sz w:val="24"/>
          <w:lang w:val="en-US" w:eastAsia="zh-CN"/>
        </w:rPr>
        <w:t>3.</w:t>
      </w:r>
      <w:r>
        <w:rPr>
          <w:rFonts w:hint="eastAsia" w:ascii="宋体" w:hAnsi="宋体"/>
          <w:color w:val="auto"/>
          <w:sz w:val="24"/>
        </w:rPr>
        <w:t>服务交付（实施）的方式：</w:t>
      </w:r>
      <w:r>
        <w:rPr>
          <w:rFonts w:hint="eastAsia" w:ascii="宋体" w:hAnsi="宋体"/>
          <w:b/>
          <w:i/>
          <w:color w:val="auto"/>
          <w:sz w:val="24"/>
          <w:u w:val="single"/>
          <w:lang w:val="en-US" w:eastAsia="zh-CN"/>
        </w:rPr>
        <w:t xml:space="preserve"> </w:t>
      </w:r>
      <w:r>
        <w:rPr>
          <w:rFonts w:hint="eastAsia" w:ascii="宋体" w:hAnsi="宋体"/>
          <w:b w:val="0"/>
          <w:bCs/>
          <w:i w:val="0"/>
          <w:iCs/>
          <w:color w:val="auto"/>
          <w:sz w:val="24"/>
          <w:u w:val="single"/>
          <w:lang w:val="en-US" w:eastAsia="zh-CN"/>
        </w:rPr>
        <w:t xml:space="preserve">实现DCS与黑匣子正常通讯，数据传输  </w:t>
      </w:r>
      <w:r>
        <w:rPr>
          <w:rFonts w:hint="eastAsia" w:ascii="宋体" w:hAnsi="宋体"/>
          <w:color w:val="auto"/>
          <w:sz w:val="24"/>
          <w:lang w:eastAsia="zh-CN"/>
        </w:rPr>
        <w:t>；</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sz w:val="24"/>
          <w:u w:val="single"/>
          <w:lang w:val="en-US" w:eastAsia="zh-CN"/>
        </w:rPr>
      </w:pPr>
      <w:bookmarkStart w:id="412" w:name="_Toc24662"/>
      <w:bookmarkStart w:id="413" w:name="_Toc2375"/>
      <w:bookmarkStart w:id="414" w:name="_Toc8586"/>
      <w:bookmarkStart w:id="415" w:name="_Toc3079"/>
      <w:bookmarkStart w:id="416" w:name="_Toc5698"/>
      <w:r>
        <w:rPr>
          <w:rFonts w:hint="eastAsia" w:ascii="宋体" w:hAnsi="宋体"/>
          <w:bCs/>
          <w:color w:val="auto"/>
          <w:sz w:val="24"/>
          <w:lang w:val="en-US" w:eastAsia="zh-CN"/>
        </w:rPr>
        <w:t>4.</w:t>
      </w:r>
      <w:r>
        <w:rPr>
          <w:rFonts w:hint="eastAsia" w:ascii="宋体" w:hAnsi="宋体" w:cs="宋体"/>
          <w:color w:val="auto"/>
          <w:sz w:val="24"/>
          <w:u w:val="none"/>
          <w:lang w:val="en-US" w:eastAsia="zh-CN"/>
        </w:rPr>
        <w:t>交付甲方联系人及联系方式：</w:t>
      </w:r>
      <w:r>
        <w:rPr>
          <w:rFonts w:hint="eastAsia" w:ascii="宋体" w:hAnsi="宋体" w:cs="宋体"/>
          <w:color w:val="auto"/>
          <w:sz w:val="24"/>
          <w:u w:val="single"/>
          <w:lang w:val="en-US" w:eastAsia="zh-CN"/>
        </w:rPr>
        <w:t xml:space="preserve"> 王亮，15988832859      </w:t>
      </w:r>
      <w:r>
        <w:rPr>
          <w:rFonts w:hint="eastAsia" w:ascii="宋体" w:hAnsi="宋体" w:cs="宋体"/>
          <w:color w:val="auto"/>
          <w:sz w:val="24"/>
          <w:u w:val="none"/>
          <w:lang w:val="en-US" w:eastAsia="zh-CN"/>
        </w:rPr>
        <w:t xml:space="preserve"> ；</w:t>
      </w:r>
    </w:p>
    <w:p>
      <w:pPr>
        <w:pageBreakBefore w:val="0"/>
        <w:kinsoku/>
        <w:wordWrap/>
        <w:overflowPunct/>
        <w:topLinePunct w:val="0"/>
        <w:bidi w:val="0"/>
        <w:spacing w:line="360" w:lineRule="auto"/>
        <w:ind w:firstLine="480" w:firstLineChars="200"/>
        <w:textAlignment w:val="auto"/>
        <w:outlineLvl w:val="0"/>
        <w:rPr>
          <w:rFonts w:hint="default"/>
          <w:color w:val="auto"/>
          <w:lang w:val="en-US" w:eastAsia="zh-CN"/>
        </w:rPr>
      </w:pPr>
      <w:r>
        <w:rPr>
          <w:rFonts w:hint="eastAsia" w:ascii="宋体" w:hAnsi="宋体" w:cs="宋体"/>
          <w:color w:val="auto"/>
          <w:sz w:val="24"/>
          <w:u w:val="none"/>
          <w:lang w:val="en-US" w:eastAsia="zh-CN"/>
        </w:rPr>
        <w:t>5.乙方联系人及联系方式：</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p>
    <w:p>
      <w:pPr>
        <w:pageBreakBefore w:val="0"/>
        <w:kinsoku/>
        <w:wordWrap/>
        <w:overflowPunct/>
        <w:topLinePunct w:val="0"/>
        <w:bidi w:val="0"/>
        <w:spacing w:line="360" w:lineRule="auto"/>
        <w:ind w:firstLine="480" w:firstLineChars="200"/>
        <w:textAlignment w:val="auto"/>
        <w:outlineLvl w:val="0"/>
        <w:rPr>
          <w:rFonts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若服务</w:t>
      </w:r>
      <w:r>
        <w:rPr>
          <w:rFonts w:hint="eastAsia"/>
          <w:bCs/>
          <w:color w:val="auto"/>
          <w:sz w:val="24"/>
        </w:rPr>
        <w:t>涉及货物的，则货物的：</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交付期限：</w:t>
      </w:r>
      <w:r>
        <w:rPr>
          <w:rFonts w:hint="eastAsia" w:ascii="宋体" w:hAnsi="宋体" w:cs="宋体"/>
          <w:b/>
          <w:i/>
          <w:color w:val="auto"/>
          <w:sz w:val="24"/>
          <w:u w:val="single"/>
          <w:lang w:val="en-US" w:eastAsia="zh-CN"/>
        </w:rPr>
        <w:t xml:space="preserve">    /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交付地点：</w:t>
      </w:r>
      <w:r>
        <w:rPr>
          <w:rFonts w:hint="eastAsia" w:ascii="宋体" w:hAnsi="宋体" w:cs="宋体"/>
          <w:b/>
          <w:i/>
          <w:color w:val="auto"/>
          <w:sz w:val="24"/>
          <w:u w:val="single"/>
          <w:lang w:val="en-US" w:eastAsia="zh-CN"/>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 xml:space="preserve"> 交付方式：</w:t>
      </w:r>
      <w:r>
        <w:rPr>
          <w:rFonts w:hint="eastAsia" w:ascii="宋体" w:hAnsi="宋体" w:cs="宋体"/>
          <w:b/>
          <w:i/>
          <w:color w:val="auto"/>
          <w:sz w:val="24"/>
          <w:u w:val="single"/>
          <w:lang w:val="en-US" w:eastAsia="zh-CN"/>
        </w:rPr>
        <w:t xml:space="preserve">   /   </w:t>
      </w:r>
      <w:r>
        <w:rPr>
          <w:rFonts w:hint="eastAsia" w:ascii="宋体" w:hAnsi="宋体" w:cs="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u w:val="single"/>
        </w:rPr>
      </w:pPr>
      <w:r>
        <w:rPr>
          <w:rFonts w:hint="eastAsia" w:ascii="宋体" w:hAnsi="宋体"/>
          <w:b/>
          <w:color w:val="auto"/>
          <w:sz w:val="24"/>
          <w:lang w:eastAsia="zh-CN"/>
        </w:rPr>
        <w:t>八、</w:t>
      </w:r>
      <w:r>
        <w:rPr>
          <w:rFonts w:hint="eastAsia" w:ascii="宋体" w:hAnsi="宋体"/>
          <w:b/>
          <w:color w:val="auto"/>
          <w:sz w:val="24"/>
        </w:rPr>
        <w:t>违约责任</w:t>
      </w:r>
      <w:bookmarkEnd w:id="412"/>
      <w:bookmarkEnd w:id="413"/>
      <w:bookmarkEnd w:id="414"/>
      <w:bookmarkEnd w:id="415"/>
      <w:bookmarkEnd w:id="416"/>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1.</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b/>
          <w:bCs/>
          <w:i/>
          <w:iCs/>
          <w:color w:val="auto"/>
          <w:sz w:val="24"/>
          <w:u w:val="single"/>
        </w:rPr>
        <w:t>0.05</w:t>
      </w:r>
      <w:r>
        <w:rPr>
          <w:rFonts w:ascii="宋体" w:hAnsi="宋体"/>
          <w:b/>
          <w:bCs/>
          <w:i/>
          <w:iCs/>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w:t>
      </w:r>
      <w:r>
        <w:rPr>
          <w:rFonts w:ascii="宋体" w:hAnsi="宋体"/>
          <w:b/>
          <w:bCs/>
          <w:i/>
          <w:iCs/>
          <w:color w:val="auto"/>
          <w:sz w:val="24"/>
          <w:u w:val="single"/>
        </w:rPr>
        <w:t xml:space="preserve">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US"/>
        </w:rPr>
        <w:t>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bCs/>
          <w:i/>
          <w:iCs/>
          <w:color w:val="auto"/>
          <w:sz w:val="24"/>
          <w:szCs w:val="24"/>
          <w:u w:val="single"/>
          <w:lang w:val="en-US"/>
        </w:rPr>
        <w:t>0.05</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val="0"/>
          <w:bCs w:val="0"/>
          <w:color w:val="auto"/>
          <w:sz w:val="24"/>
          <w:szCs w:val="24"/>
          <w:lang w:val="en-US"/>
        </w:rPr>
        <w:t>%计算，最高限额为本合同总价的</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bCs/>
          <w:i/>
          <w:iCs/>
          <w:color w:val="auto"/>
          <w:sz w:val="24"/>
          <w:szCs w:val="24"/>
          <w:u w:val="single"/>
          <w:lang w:val="en-US"/>
        </w:rPr>
        <w:t>20</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val="0"/>
          <w:bCs w:val="0"/>
          <w:color w:val="auto"/>
          <w:sz w:val="24"/>
          <w:szCs w:val="24"/>
          <w:lang w:val="en-US"/>
        </w:rPr>
        <w:t>%；迟延交付货物的违约金计算数额达到前述最高限额之日起，甲方有权在要求乙方支付违约金的同时，书面通知乙方解除本合同；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i/>
          <w:iCs/>
          <w:color w:val="auto"/>
          <w:sz w:val="24"/>
          <w:u w:val="single"/>
        </w:rPr>
        <w:t xml:space="preserve">0.05  </w:t>
      </w:r>
      <w:r>
        <w:rPr>
          <w:rFonts w:hint="eastAsia" w:ascii="宋体" w:hAnsi="宋体" w:cs="宋体"/>
          <w:color w:val="auto"/>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w:t>
      </w:r>
      <w:r>
        <w:rPr>
          <w:rFonts w:hint="eastAsia" w:ascii="宋体" w:hAnsi="宋体" w:cs="宋体"/>
          <w:b/>
          <w:bCs/>
          <w:i/>
          <w:iCs/>
          <w:color w:val="auto"/>
          <w:sz w:val="24"/>
          <w:u w:val="single"/>
        </w:rPr>
        <w:t xml:space="preserve">20 </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bookmarkStart w:id="417" w:name="_Toc18683"/>
      <w:bookmarkStart w:id="418" w:name="_Toc26807"/>
      <w:bookmarkStart w:id="419" w:name="_Toc30329"/>
      <w:bookmarkStart w:id="420" w:name="_Toc32454"/>
      <w:bookmarkStart w:id="421" w:name="_Toc9497"/>
      <w:r>
        <w:rPr>
          <w:rFonts w:hint="eastAsia" w:ascii="宋体" w:hAnsi="宋体" w:cs="宋体"/>
          <w:color w:val="auto"/>
          <w:sz w:val="24"/>
          <w:lang w:val="en-US" w:eastAsia="zh-CN"/>
        </w:rPr>
        <w:t>4.</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如果出现政府采购监督管理部门</w:t>
      </w:r>
      <w:r>
        <w:rPr>
          <w:rFonts w:hint="eastAsia" w:ascii="宋体" w:hAnsi="宋体" w:cs="宋体"/>
          <w:color w:val="auto"/>
          <w:sz w:val="24"/>
          <w:lang w:eastAsia="zh-CN"/>
        </w:rPr>
        <w:t>或者纪检部门</w:t>
      </w:r>
      <w:r>
        <w:rPr>
          <w:rFonts w:hint="eastAsia" w:ascii="宋体" w:hAnsi="宋体" w:cs="宋体"/>
          <w:color w:val="auto"/>
          <w:sz w:val="24"/>
        </w:rPr>
        <w:t>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lang w:eastAsia="zh-CN"/>
        </w:rPr>
      </w:pPr>
      <w:r>
        <w:rPr>
          <w:rFonts w:hint="eastAsia" w:ascii="宋体" w:hAnsi="宋体" w:cs="宋体"/>
          <w:color w:val="auto"/>
          <w:sz w:val="24"/>
          <w:lang w:val="en-US" w:eastAsia="zh-CN"/>
        </w:rPr>
        <w:t>7.</w:t>
      </w:r>
      <w:r>
        <w:rPr>
          <w:rFonts w:hint="eastAsia" w:ascii="宋体" w:hAnsi="宋体" w:cs="宋体"/>
          <w:color w:val="auto"/>
          <w:sz w:val="24"/>
        </w:rPr>
        <w:t>违约责任另有约定的，从其约定</w:t>
      </w:r>
      <w:r>
        <w:rPr>
          <w:rFonts w:hint="eastAsia" w:ascii="宋体" w:hAnsi="宋体" w:cs="宋体"/>
          <w:color w:val="auto"/>
          <w:sz w:val="24"/>
          <w:lang w:eastAsia="zh-CN"/>
        </w:rPr>
        <w:t>，具体如下：</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color w:val="auto"/>
          <w:sz w:val="24"/>
          <w:u w:val="single"/>
          <w:lang w:val="en-US" w:eastAsia="zh-CN"/>
        </w:rPr>
      </w:pPr>
      <w:r>
        <w:rPr>
          <w:rFonts w:hint="eastAsia" w:ascii="宋体" w:hAnsi="宋体" w:cs="宋体"/>
          <w:color w:val="auto"/>
          <w:sz w:val="24"/>
          <w:u w:val="single"/>
          <w:lang w:val="en-US" w:eastAsia="zh-CN"/>
        </w:rPr>
        <w:t xml:space="preserve"> （1）乙方交付的服务或者货物不符合合同约定或验收不合格的，应当及时更换完善，因此延误成果交付期限的，按照逾期成果交付承担违约责任 ；</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u w:val="single"/>
          <w:lang w:val="en-US" w:eastAsia="zh-CN"/>
        </w:rPr>
        <w:t>（2）乙方不履行售后服务义务的，每次应向甲方承担500元的违约金，且仍应履行售后服务义务；</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u w:val="single"/>
          <w:lang w:val="en-US" w:eastAsia="zh-CN"/>
        </w:rPr>
        <w:t>（3）甲方无故拒收成果交付，乙方有权要求甲方按照合同原价支付费用  。</w:t>
      </w:r>
    </w:p>
    <w:p>
      <w:pPr>
        <w:pageBreakBefore w:val="0"/>
        <w:kinsoku/>
        <w:wordWrap/>
        <w:overflowPunct/>
        <w:topLinePunct w:val="0"/>
        <w:bidi w:val="0"/>
        <w:spacing w:line="360" w:lineRule="auto"/>
        <w:ind w:right="-420" w:rightChars="-200" w:firstLine="480" w:firstLineChars="200"/>
        <w:textAlignment w:val="auto"/>
        <w:rPr>
          <w:rFonts w:hint="default" w:ascii="宋体" w:hAnsi="宋体" w:eastAsia="宋体" w:cs="宋体"/>
          <w:color w:val="auto"/>
          <w:u w:val="single"/>
          <w:lang w:val="en-US" w:eastAsia="zh-CN"/>
        </w:rPr>
      </w:pPr>
      <w:r>
        <w:rPr>
          <w:rFonts w:hint="eastAsia" w:ascii="宋体" w:hAnsi="宋体" w:cs="宋体"/>
          <w:color w:val="auto"/>
          <w:sz w:val="24"/>
          <w:u w:val="single"/>
          <w:lang w:val="en-US" w:eastAsia="zh-CN"/>
        </w:rPr>
        <w:t>（4）若质保期内出现质量问题，甲方有权从质保金中扣除违约金，同时乙方应免费维修或更换。</w:t>
      </w:r>
    </w:p>
    <w:bookmarkEnd w:id="417"/>
    <w:bookmarkEnd w:id="418"/>
    <w:bookmarkEnd w:id="419"/>
    <w:bookmarkEnd w:id="420"/>
    <w:bookmarkEnd w:id="421"/>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22" w:name="_Toc15583"/>
      <w:bookmarkStart w:id="423" w:name="_Toc28375"/>
      <w:bookmarkStart w:id="424" w:name="_Toc16021"/>
      <w:r>
        <w:rPr>
          <w:rFonts w:hint="eastAsia" w:ascii="宋体" w:hAnsi="宋体" w:cs="宋体"/>
          <w:b/>
          <w:color w:val="auto"/>
          <w:sz w:val="24"/>
          <w:lang w:eastAsia="zh-CN"/>
        </w:rPr>
        <w:t>九、</w:t>
      </w:r>
      <w:r>
        <w:rPr>
          <w:rFonts w:hint="eastAsia" w:ascii="宋体" w:hAnsi="宋体" w:cs="宋体"/>
          <w:b/>
          <w:color w:val="auto"/>
          <w:sz w:val="24"/>
        </w:rPr>
        <w:t>合同争议的解决</w:t>
      </w:r>
      <w:bookmarkEnd w:id="422"/>
      <w:bookmarkEnd w:id="423"/>
      <w:bookmarkEnd w:id="424"/>
    </w:p>
    <w:p>
      <w:pPr>
        <w:pageBreakBefore w:val="0"/>
        <w:kinsoku/>
        <w:wordWrap/>
        <w:overflowPunct/>
        <w:topLinePunct w:val="0"/>
        <w:bidi w:val="0"/>
        <w:spacing w:line="360" w:lineRule="auto"/>
        <w:ind w:left="-61" w:leftChars="-29" w:right="-420" w:rightChars="-200" w:firstLine="240" w:firstLineChars="100"/>
        <w:textAlignment w:val="auto"/>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color w:val="auto"/>
          <w:sz w:val="24"/>
          <w:u w:val="single"/>
          <w:lang w:val="en-US" w:eastAsia="zh-CN"/>
        </w:rPr>
        <w:t>2</w:t>
      </w:r>
      <w:r>
        <w:rPr>
          <w:rFonts w:hint="eastAsia" w:ascii="宋体" w:hAnsi="宋体" w:cs="宋体"/>
          <w:b/>
          <w:i/>
          <w:color w:val="auto"/>
          <w:sz w:val="24"/>
          <w:u w:val="single"/>
        </w:rPr>
        <w:t xml:space="preserve"> </w:t>
      </w:r>
      <w:r>
        <w:rPr>
          <w:rFonts w:hint="eastAsia" w:ascii="宋体" w:hAnsi="宋体" w:cs="宋体"/>
          <w:color w:val="auto"/>
          <w:sz w:val="24"/>
        </w:rPr>
        <w:t>条款规定的方式解决：</w:t>
      </w:r>
    </w:p>
    <w:p>
      <w:pPr>
        <w:pageBreakBefore w:val="0"/>
        <w:kinsoku/>
        <w:wordWrap/>
        <w:overflowPunct/>
        <w:topLinePunct w:val="0"/>
        <w:bidi w:val="0"/>
        <w:spacing w:line="360" w:lineRule="auto"/>
        <w:ind w:right="-420" w:rightChars="-200" w:firstLine="480" w:firstLineChars="200"/>
        <w:textAlignment w:val="auto"/>
        <w:rPr>
          <w:rFonts w:ascii="宋体" w:hAnsi="宋体" w:cs="宋体"/>
          <w:i w:val="0"/>
          <w:iCs w:val="0"/>
          <w:color w:val="auto"/>
          <w:sz w:val="24"/>
        </w:rPr>
      </w:pPr>
      <w:r>
        <w:rPr>
          <w:rFonts w:hint="eastAsia" w:ascii="宋体" w:hAnsi="宋体" w:cs="宋体"/>
          <w:color w:val="auto"/>
          <w:sz w:val="24"/>
          <w:lang w:val="en-US" w:eastAsia="zh-CN"/>
        </w:rPr>
        <w:t>1.</w:t>
      </w:r>
      <w:r>
        <w:rPr>
          <w:rFonts w:hint="eastAsia" w:ascii="宋体" w:hAnsi="宋体" w:cs="宋体"/>
          <w:color w:val="auto"/>
          <w:sz w:val="24"/>
        </w:rPr>
        <w:t>将</w:t>
      </w:r>
      <w:r>
        <w:rPr>
          <w:rFonts w:hint="eastAsia" w:ascii="宋体" w:hAnsi="宋体" w:cs="宋体"/>
          <w:i w:val="0"/>
          <w:iCs w:val="0"/>
          <w:color w:val="auto"/>
          <w:sz w:val="24"/>
        </w:rPr>
        <w:t>争议提交</w:t>
      </w:r>
      <w:r>
        <w:rPr>
          <w:rFonts w:hint="eastAsia" w:ascii="宋体" w:hAnsi="宋体" w:cs="宋体"/>
          <w:b/>
          <w:i w:val="0"/>
          <w:iCs w:val="0"/>
          <w:color w:val="auto"/>
          <w:sz w:val="24"/>
          <w:u w:val="single"/>
        </w:rPr>
        <w:t>甲方所在地</w:t>
      </w:r>
      <w:r>
        <w:rPr>
          <w:rFonts w:hint="eastAsia" w:ascii="宋体" w:hAnsi="宋体" w:cs="宋体"/>
          <w:i w:val="0"/>
          <w:iCs w:val="0"/>
          <w:color w:val="auto"/>
          <w:sz w:val="24"/>
        </w:rPr>
        <w:t>仲裁委员会依申请仲裁时其现行有效的仲裁规则裁决；</w:t>
      </w:r>
    </w:p>
    <w:p>
      <w:pPr>
        <w:pageBreakBefore w:val="0"/>
        <w:kinsoku/>
        <w:wordWrap/>
        <w:overflowPunct/>
        <w:topLinePunct w:val="0"/>
        <w:bidi w:val="0"/>
        <w:spacing w:line="360" w:lineRule="auto"/>
        <w:ind w:left="-420" w:leftChars="-200" w:right="-420" w:rightChars="-200" w:firstLine="840" w:firstLineChars="35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2.</w:t>
      </w:r>
      <w:r>
        <w:rPr>
          <w:rFonts w:hint="eastAsia" w:ascii="宋体" w:hAnsi="宋体" w:cs="宋体"/>
          <w:i w:val="0"/>
          <w:iCs w:val="0"/>
          <w:color w:val="auto"/>
          <w:sz w:val="24"/>
        </w:rPr>
        <w:t>向</w:t>
      </w:r>
      <w:r>
        <w:rPr>
          <w:rFonts w:hint="eastAsia" w:ascii="宋体" w:hAnsi="宋体" w:cs="宋体"/>
          <w:b/>
          <w:i w:val="0"/>
          <w:iCs w:val="0"/>
          <w:color w:val="auto"/>
          <w:sz w:val="24"/>
          <w:u w:val="single"/>
          <w:lang w:eastAsia="zh-CN"/>
        </w:rPr>
        <w:t>甲方所在地</w:t>
      </w:r>
      <w:r>
        <w:rPr>
          <w:rFonts w:hint="eastAsia" w:ascii="宋体" w:hAnsi="宋体" w:cs="宋体"/>
          <w:i w:val="0"/>
          <w:iCs w:val="0"/>
          <w:color w:val="auto"/>
          <w:sz w:val="24"/>
        </w:rPr>
        <w:t>人民法院起诉。</w:t>
      </w:r>
    </w:p>
    <w:p>
      <w:pPr>
        <w:pageBreakBefore w:val="0"/>
        <w:kinsoku/>
        <w:wordWrap/>
        <w:overflowPunct/>
        <w:topLinePunct w:val="0"/>
        <w:bidi w:val="0"/>
        <w:spacing w:line="360" w:lineRule="auto"/>
        <w:ind w:firstLine="482" w:firstLineChars="200"/>
        <w:textAlignment w:val="auto"/>
        <w:outlineLvl w:val="0"/>
        <w:rPr>
          <w:rFonts w:hint="eastAsia"/>
          <w:color w:val="auto"/>
          <w:lang w:eastAsia="zh-CN"/>
        </w:rPr>
      </w:pPr>
      <w:bookmarkStart w:id="425" w:name="_Toc7245"/>
      <w:bookmarkStart w:id="426" w:name="_Toc11173"/>
      <w:bookmarkStart w:id="427" w:name="_Toc15322"/>
      <w:r>
        <w:rPr>
          <w:rFonts w:hint="eastAsia" w:ascii="宋体" w:hAnsi="宋体" w:cs="宋体"/>
          <w:b/>
          <w:color w:val="auto"/>
          <w:sz w:val="24"/>
          <w:lang w:eastAsia="zh-CN"/>
        </w:rPr>
        <w:t>十、其他约定条款</w:t>
      </w:r>
    </w:p>
    <w:p>
      <w:pPr>
        <w:pageBreakBefore w:val="0"/>
        <w:kinsoku/>
        <w:wordWrap/>
        <w:overflowPunct/>
        <w:topLinePunct w:val="0"/>
        <w:bidi w:val="0"/>
        <w:spacing w:line="360" w:lineRule="auto"/>
        <w:ind w:right="-420" w:rightChars="-200"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若本合同其他条款与本条款有冲突矛盾的，以本条款约定为准。</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color w:val="auto"/>
          <w:sz w:val="24"/>
          <w:u w:val="single"/>
          <w:lang w:val="en-US" w:eastAsia="zh-CN"/>
        </w:rPr>
      </w:pPr>
      <w:r>
        <w:rPr>
          <w:rFonts w:hint="eastAsia" w:ascii="宋体" w:hAnsi="宋体" w:cs="宋体"/>
          <w:color w:val="auto"/>
          <w:sz w:val="24"/>
          <w:u w:val="single"/>
          <w:lang w:val="en-US" w:eastAsia="zh-CN"/>
        </w:rPr>
        <w:t xml:space="preserve">   </w:t>
      </w:r>
      <w:r>
        <w:rPr>
          <w:rFonts w:hint="eastAsia" w:ascii="宋体" w:hAnsi="宋体" w:cs="宋体"/>
          <w:b w:val="0"/>
          <w:bCs w:val="0"/>
          <w:i w:val="0"/>
          <w:iCs w:val="0"/>
          <w:color w:val="auto"/>
          <w:sz w:val="24"/>
          <w:u w:val="single"/>
          <w:lang w:val="en-US" w:eastAsia="zh-CN"/>
        </w:rPr>
        <w:t xml:space="preserve"> 无     </w:t>
      </w:r>
      <w:r>
        <w:rPr>
          <w:rFonts w:hint="eastAsia" w:ascii="宋体" w:hAnsi="宋体" w:cs="宋体"/>
          <w:b w:val="0"/>
          <w:bCs w:val="0"/>
          <w:i/>
          <w:iCs/>
          <w:color w:val="auto"/>
          <w:sz w:val="24"/>
          <w:u w:val="single"/>
          <w:lang w:val="en-US" w:eastAsia="zh-CN"/>
        </w:rPr>
        <w:t xml:space="preserve">              </w:t>
      </w:r>
      <w:r>
        <w:rPr>
          <w:rFonts w:hint="eastAsia" w:ascii="宋体" w:hAnsi="宋体" w:cs="宋体"/>
          <w:color w:val="auto"/>
          <w:sz w:val="24"/>
          <w:u w:val="single"/>
          <w:lang w:val="en-US" w:eastAsia="zh-CN"/>
        </w:rPr>
        <w:t xml:space="preserve">  。 </w:t>
      </w:r>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r>
        <w:rPr>
          <w:rFonts w:hint="eastAsia" w:ascii="宋体" w:hAnsi="宋体" w:cs="宋体"/>
          <w:b/>
          <w:color w:val="auto"/>
          <w:sz w:val="24"/>
          <w:lang w:eastAsia="zh-CN"/>
        </w:rPr>
        <w:t>十一、</w:t>
      </w:r>
      <w:r>
        <w:rPr>
          <w:rFonts w:hint="eastAsia" w:ascii="宋体" w:hAnsi="宋体" w:cs="宋体"/>
          <w:b/>
          <w:color w:val="auto"/>
          <w:sz w:val="24"/>
        </w:rPr>
        <w:t>合同生效</w:t>
      </w:r>
      <w:bookmarkEnd w:id="425"/>
      <w:bookmarkEnd w:id="426"/>
      <w:bookmarkEnd w:id="427"/>
    </w:p>
    <w:p>
      <w:pPr>
        <w:pStyle w:val="21"/>
        <w:pageBreakBefore w:val="0"/>
        <w:kinsoku/>
        <w:wordWrap/>
        <w:overflowPunct/>
        <w:topLinePunct w:val="0"/>
        <w:bidi w:val="0"/>
        <w:spacing w:line="360" w:lineRule="auto"/>
        <w:ind w:left="0" w:leftChars="0" w:firstLine="480" w:firstLineChars="200"/>
        <w:jc w:val="left"/>
        <w:textAlignment w:val="auto"/>
        <w:rPr>
          <w:rFonts w:ascii="宋体" w:hAnsi="宋体"/>
          <w:color w:val="auto"/>
          <w:sz w:val="24"/>
        </w:rPr>
      </w:pPr>
      <w:r>
        <w:rPr>
          <w:rFonts w:hint="eastAsia" w:ascii="宋体" w:hAnsi="宋体" w:cs="宋体"/>
          <w:color w:val="auto"/>
          <w:sz w:val="24"/>
        </w:rPr>
        <w:t>本合同自双方盖章</w:t>
      </w:r>
      <w:r>
        <w:rPr>
          <w:rFonts w:hint="eastAsia" w:ascii="宋体" w:hAnsi="宋体" w:cs="宋体"/>
          <w:color w:val="auto"/>
          <w:sz w:val="24"/>
          <w:lang w:eastAsia="zh-CN"/>
        </w:rPr>
        <w:t>、</w:t>
      </w:r>
      <w:r>
        <w:rPr>
          <w:rFonts w:hint="eastAsia" w:ascii="宋体" w:hAnsi="宋体" w:cs="宋体"/>
          <w:color w:val="auto"/>
          <w:sz w:val="24"/>
        </w:rPr>
        <w:t>签字时生效。</w:t>
      </w:r>
      <w:r>
        <w:rPr>
          <w:rFonts w:ascii="宋体" w:hAnsi="宋体"/>
          <w:color w:val="auto"/>
          <w:sz w:val="24"/>
        </w:rPr>
        <w:t>合同份数按</w:t>
      </w:r>
      <w:r>
        <w:rPr>
          <w:rFonts w:hint="eastAsia" w:ascii="宋体" w:hAnsi="宋体"/>
          <w:b/>
          <w:bCs/>
          <w:color w:val="auto"/>
          <w:sz w:val="24"/>
          <w:u w:val="single"/>
          <w:lang w:eastAsia="zh-CN"/>
        </w:rPr>
        <w:t>一式四份</w:t>
      </w:r>
      <w:r>
        <w:rPr>
          <w:rFonts w:ascii="宋体" w:hAnsi="宋体"/>
          <w:color w:val="auto"/>
          <w:sz w:val="24"/>
        </w:rPr>
        <w:t>规定</w:t>
      </w:r>
      <w:r>
        <w:rPr>
          <w:rFonts w:hint="eastAsia" w:ascii="宋体" w:hAnsi="宋体"/>
          <w:color w:val="auto"/>
          <w:sz w:val="24"/>
        </w:rPr>
        <w:t>，</w:t>
      </w:r>
      <w:r>
        <w:rPr>
          <w:rFonts w:hint="eastAsia" w:ascii="宋体" w:hAnsi="宋体"/>
          <w:b w:val="0"/>
          <w:bCs/>
          <w:color w:val="auto"/>
          <w:szCs w:val="24"/>
          <w:lang w:eastAsia="zh-CN"/>
        </w:rPr>
        <w:t>第二章</w:t>
      </w:r>
      <w:r>
        <w:rPr>
          <w:rFonts w:hint="eastAsia" w:ascii="宋体" w:hAnsi="宋体"/>
          <w:b w:val="0"/>
          <w:bCs/>
          <w:color w:val="auto"/>
          <w:szCs w:val="24"/>
        </w:rPr>
        <w:t>合同一般条款</w:t>
      </w:r>
      <w:r>
        <w:rPr>
          <w:rFonts w:hint="eastAsia" w:ascii="宋体" w:hAnsi="宋体"/>
          <w:color w:val="auto"/>
          <w:sz w:val="24"/>
          <w:lang w:eastAsia="zh-CN"/>
        </w:rPr>
        <w:t>、第三章合同清单、第四章安全协议（若有）、第五章廉洁协议为本合同不可分割的一部分，</w:t>
      </w:r>
      <w:r>
        <w:rPr>
          <w:rFonts w:ascii="宋体" w:hAnsi="宋体"/>
          <w:color w:val="auto"/>
          <w:sz w:val="24"/>
        </w:rPr>
        <w:t>均具有同等法律效力</w:t>
      </w:r>
      <w:r>
        <w:rPr>
          <w:rFonts w:hint="eastAsia" w:ascii="宋体" w:hAnsi="宋体"/>
          <w:color w:val="auto"/>
          <w:sz w:val="24"/>
        </w:rPr>
        <w:t>。</w:t>
      </w:r>
    </w:p>
    <w:p>
      <w:pPr>
        <w:pStyle w:val="21"/>
        <w:pageBreakBefore w:val="0"/>
        <w:kinsoku/>
        <w:wordWrap/>
        <w:overflowPunct/>
        <w:topLinePunct w:val="0"/>
        <w:bidi w:val="0"/>
        <w:spacing w:line="360" w:lineRule="auto"/>
        <w:ind w:left="0" w:leftChars="0" w:firstLine="0" w:firstLineChars="0"/>
        <w:jc w:val="both"/>
        <w:textAlignment w:val="auto"/>
        <w:rPr>
          <w:rFonts w:hint="eastAsia" w:ascii="宋体" w:hAnsi="宋体"/>
          <w:b/>
          <w:color w:val="auto"/>
          <w:szCs w:val="24"/>
        </w:rPr>
      </w:pPr>
    </w:p>
    <w:p>
      <w:pPr>
        <w:pStyle w:val="21"/>
        <w:pageBreakBefore w:val="0"/>
        <w:kinsoku/>
        <w:wordWrap/>
        <w:overflowPunct/>
        <w:topLinePunct w:val="0"/>
        <w:bidi w:val="0"/>
        <w:spacing w:line="360" w:lineRule="auto"/>
        <w:ind w:left="0" w:leftChars="0" w:firstLine="0" w:firstLineChars="0"/>
        <w:jc w:val="center"/>
        <w:textAlignment w:val="auto"/>
        <w:rPr>
          <w:rFonts w:ascii="宋体" w:hAnsi="宋体"/>
          <w:b/>
          <w:color w:val="auto"/>
          <w:szCs w:val="24"/>
        </w:rPr>
      </w:pPr>
      <w:r>
        <w:rPr>
          <w:rFonts w:hint="eastAsia" w:ascii="宋体" w:hAnsi="宋体"/>
          <w:b/>
          <w:color w:val="auto"/>
          <w:szCs w:val="24"/>
          <w:lang w:eastAsia="zh-CN"/>
        </w:rPr>
        <w:t>第二章</w:t>
      </w:r>
      <w:r>
        <w:rPr>
          <w:rFonts w:ascii="宋体" w:hAnsi="宋体"/>
          <w:b/>
          <w:color w:val="auto"/>
          <w:szCs w:val="24"/>
        </w:rPr>
        <w:t xml:space="preserve"> </w:t>
      </w:r>
      <w:r>
        <w:rPr>
          <w:rFonts w:hint="eastAsia" w:ascii="宋体" w:hAnsi="宋体"/>
          <w:b/>
          <w:color w:val="auto"/>
          <w:szCs w:val="24"/>
        </w:rPr>
        <w:t>合同一般条款</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28" w:name="_Toc14021"/>
      <w:bookmarkStart w:id="429" w:name="_Toc31297"/>
      <w:bookmarkStart w:id="430" w:name="_Toc25079"/>
      <w:bookmarkStart w:id="431" w:name="_Toc19680"/>
      <w:bookmarkStart w:id="432" w:name="_Toc5228"/>
      <w:r>
        <w:rPr>
          <w:rFonts w:hint="eastAsia" w:ascii="宋体" w:hAnsi="宋体"/>
          <w:b/>
          <w:color w:val="auto"/>
          <w:sz w:val="24"/>
          <w:lang w:eastAsia="zh-CN"/>
        </w:rPr>
        <w:t>一、</w:t>
      </w:r>
      <w:r>
        <w:rPr>
          <w:rFonts w:ascii="宋体" w:hAnsi="宋体"/>
          <w:b/>
          <w:color w:val="auto"/>
          <w:sz w:val="24"/>
        </w:rPr>
        <w:t>定义</w:t>
      </w:r>
      <w:bookmarkEnd w:id="428"/>
      <w:bookmarkEnd w:id="429"/>
      <w:bookmarkEnd w:id="430"/>
      <w:bookmarkEnd w:id="431"/>
      <w:bookmarkEnd w:id="43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ascii="宋体" w:hAnsi="宋体"/>
          <w:color w:val="auto"/>
          <w:sz w:val="24"/>
        </w:rPr>
        <w:t>“现场”系指合同约定提供服务的地点。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3" w:name="_Toc16752"/>
      <w:bookmarkStart w:id="434" w:name="_Toc23289"/>
      <w:bookmarkStart w:id="435" w:name="_Toc31402"/>
      <w:bookmarkStart w:id="436" w:name="_Toc19539"/>
      <w:bookmarkStart w:id="437" w:name="_Toc3769"/>
      <w:r>
        <w:rPr>
          <w:rFonts w:hint="eastAsia" w:ascii="宋体" w:hAnsi="宋体"/>
          <w:b/>
          <w:color w:val="auto"/>
          <w:sz w:val="24"/>
          <w:lang w:eastAsia="zh-CN"/>
        </w:rPr>
        <w:t>二、</w:t>
      </w:r>
      <w:r>
        <w:rPr>
          <w:rFonts w:ascii="宋体" w:hAnsi="宋体"/>
          <w:b/>
          <w:color w:val="auto"/>
          <w:sz w:val="24"/>
        </w:rPr>
        <w:t xml:space="preserve"> 技术规范</w:t>
      </w:r>
      <w:bookmarkEnd w:id="433"/>
      <w:bookmarkEnd w:id="434"/>
      <w:bookmarkEnd w:id="435"/>
      <w:bookmarkEnd w:id="436"/>
      <w:bookmarkEnd w:id="437"/>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所应遵守的技术规范应与采购文件规定的技术规范和技术规范附件及其技术规范偏差表相一致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8" w:name="_Toc4133"/>
      <w:bookmarkStart w:id="439" w:name="_Toc13673"/>
      <w:bookmarkStart w:id="440" w:name="_Toc27945"/>
      <w:bookmarkStart w:id="441" w:name="_Toc9161"/>
      <w:bookmarkStart w:id="442" w:name="_Toc12412"/>
      <w:r>
        <w:rPr>
          <w:rFonts w:hint="eastAsia" w:ascii="宋体" w:hAnsi="宋体"/>
          <w:b/>
          <w:color w:val="auto"/>
          <w:sz w:val="24"/>
          <w:lang w:eastAsia="zh-CN"/>
        </w:rPr>
        <w:t>三、</w:t>
      </w:r>
      <w:r>
        <w:rPr>
          <w:rFonts w:ascii="宋体" w:hAnsi="宋体"/>
          <w:b/>
          <w:color w:val="auto"/>
          <w:sz w:val="24"/>
        </w:rPr>
        <w:t xml:space="preserve"> 知识产权</w:t>
      </w:r>
      <w:bookmarkEnd w:id="438"/>
      <w:bookmarkEnd w:id="439"/>
      <w:bookmarkEnd w:id="440"/>
      <w:bookmarkEnd w:id="441"/>
      <w:bookmarkEnd w:id="44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合同涉及技术成果的归属和收益的分成办法的，</w:t>
      </w:r>
      <w:r>
        <w:rPr>
          <w:rFonts w:hint="eastAsia" w:ascii="宋体" w:hAnsi="宋体"/>
          <w:color w:val="auto"/>
          <w:sz w:val="24"/>
          <w:lang w:eastAsia="zh-CN"/>
        </w:rPr>
        <w:t>双方另行商定签订协议</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rPr>
          <w:rFonts w:ascii="宋体" w:hAnsi="宋体"/>
          <w:b/>
          <w:color w:val="auto"/>
          <w:sz w:val="24"/>
        </w:rPr>
      </w:pPr>
      <w:r>
        <w:rPr>
          <w:rFonts w:hint="eastAsia" w:ascii="宋体" w:hAnsi="宋体"/>
          <w:b/>
          <w:color w:val="auto"/>
          <w:sz w:val="24"/>
          <w:lang w:eastAsia="zh-CN"/>
        </w:rPr>
        <w:t>四、</w:t>
      </w:r>
      <w:r>
        <w:rPr>
          <w:rFonts w:hint="eastAsia" w:ascii="宋体" w:hAnsi="宋体"/>
          <w:b/>
          <w:color w:val="auto"/>
          <w:sz w:val="24"/>
        </w:rPr>
        <w:t>履约检查和问题反馈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合同履行期间，甲方有权将履行过程中出现的问题反馈给乙方，双方当事人应以书面形式约定需要完善和改进的内容。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43" w:name="_Toc15447"/>
      <w:bookmarkStart w:id="444" w:name="_Toc22011"/>
      <w:bookmarkStart w:id="445" w:name="_Toc31233"/>
      <w:bookmarkStart w:id="446" w:name="_Toc26555"/>
      <w:bookmarkStart w:id="447" w:name="_Toc32670"/>
      <w:r>
        <w:rPr>
          <w:rFonts w:hint="eastAsia" w:ascii="宋体" w:hAnsi="宋体"/>
          <w:b/>
          <w:color w:val="auto"/>
          <w:sz w:val="24"/>
          <w:lang w:eastAsia="zh-CN"/>
        </w:rPr>
        <w:t>五、</w:t>
      </w:r>
      <w:r>
        <w:rPr>
          <w:rFonts w:ascii="宋体" w:hAnsi="宋体"/>
          <w:b/>
          <w:color w:val="auto"/>
          <w:sz w:val="24"/>
        </w:rPr>
        <w:t>结算方式和付款条件</w:t>
      </w:r>
      <w:bookmarkEnd w:id="443"/>
      <w:bookmarkEnd w:id="444"/>
      <w:bookmarkEnd w:id="445"/>
      <w:bookmarkEnd w:id="446"/>
      <w:bookmarkEnd w:id="447"/>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bookmarkStart w:id="448" w:name="_Toc18990"/>
      <w:bookmarkStart w:id="449" w:name="_Toc30507"/>
      <w:bookmarkStart w:id="450" w:name="_Toc13154"/>
      <w:bookmarkStart w:id="451" w:name="_Toc13467"/>
      <w:bookmarkStart w:id="452" w:name="_Toc16163"/>
      <w:r>
        <w:rPr>
          <w:rFonts w:hint="eastAsia" w:ascii="宋体" w:hAnsi="宋体"/>
          <w:b w:val="0"/>
          <w:bCs/>
          <w:color w:val="auto"/>
          <w:sz w:val="24"/>
          <w:u w:val="none"/>
          <w:lang w:val="en-US" w:eastAsia="zh-CN"/>
        </w:rPr>
        <w:t>1.结算方式为转账或者电汇 ，若甲方采用银行承兑支付，双方另行协商；</w:t>
      </w:r>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r>
        <w:rPr>
          <w:rFonts w:hint="eastAsia" w:ascii="宋体" w:hAnsi="宋体"/>
          <w:b w:val="0"/>
          <w:bCs/>
          <w:color w:val="auto"/>
          <w:sz w:val="24"/>
          <w:u w:val="none"/>
          <w:lang w:val="en-US" w:eastAsia="zh-CN"/>
        </w:rPr>
        <w:t>2.付款条件：乙方提供的服务或者货物应满足合同约定要求，未出现违规违约的情况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六、</w:t>
      </w:r>
      <w:r>
        <w:rPr>
          <w:rFonts w:ascii="宋体" w:hAnsi="宋体"/>
          <w:b/>
          <w:color w:val="auto"/>
          <w:sz w:val="24"/>
        </w:rPr>
        <w:t>技术资料和保密义务</w:t>
      </w:r>
      <w:bookmarkEnd w:id="448"/>
      <w:bookmarkEnd w:id="449"/>
      <w:bookmarkEnd w:id="450"/>
      <w:bookmarkEnd w:id="451"/>
      <w:bookmarkEnd w:id="45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乙方有权依据合同约定和项目需要，向甲方了解有关情况，调阅有关资料等，甲方应予积极配合；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3" w:name="_Toc19069"/>
      <w:r>
        <w:rPr>
          <w:rFonts w:hint="eastAsia" w:ascii="宋体" w:hAnsi="宋体"/>
          <w:b/>
          <w:color w:val="auto"/>
          <w:sz w:val="24"/>
          <w:lang w:eastAsia="zh-CN"/>
        </w:rPr>
        <w:t>七、</w:t>
      </w:r>
      <w:r>
        <w:rPr>
          <w:rFonts w:hint="eastAsia" w:ascii="宋体" w:hAnsi="宋体"/>
          <w:b/>
          <w:color w:val="auto"/>
          <w:sz w:val="24"/>
        </w:rPr>
        <w:t>质量保证</w:t>
      </w:r>
      <w:bookmarkEnd w:id="453"/>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4" w:name="_Toc22267"/>
      <w:r>
        <w:rPr>
          <w:rFonts w:hint="eastAsia" w:ascii="宋体" w:hAnsi="宋体"/>
          <w:b/>
          <w:color w:val="auto"/>
          <w:sz w:val="24"/>
          <w:lang w:eastAsia="zh-CN"/>
        </w:rPr>
        <w:t>八、</w:t>
      </w:r>
      <w:r>
        <w:rPr>
          <w:rFonts w:ascii="宋体" w:hAnsi="宋体"/>
          <w:b/>
          <w:color w:val="auto"/>
          <w:sz w:val="24"/>
        </w:rPr>
        <w:t xml:space="preserve"> </w:t>
      </w:r>
      <w:r>
        <w:rPr>
          <w:rFonts w:hint="eastAsia" w:ascii="宋体" w:hAnsi="宋体"/>
          <w:b/>
          <w:color w:val="auto"/>
          <w:sz w:val="24"/>
        </w:rPr>
        <w:t>延迟履行</w:t>
      </w:r>
      <w:bookmarkEnd w:id="454"/>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5" w:name="_Toc10611"/>
      <w:r>
        <w:rPr>
          <w:rFonts w:hint="eastAsia" w:ascii="宋体" w:hAnsi="宋体"/>
          <w:b/>
          <w:color w:val="auto"/>
          <w:sz w:val="24"/>
          <w:lang w:eastAsia="zh-CN"/>
        </w:rPr>
        <w:t>九、</w:t>
      </w:r>
      <w:r>
        <w:rPr>
          <w:rFonts w:hint="eastAsia" w:ascii="宋体" w:hAnsi="宋体"/>
          <w:b/>
          <w:color w:val="auto"/>
          <w:sz w:val="24"/>
        </w:rPr>
        <w:t>合同变更</w:t>
      </w:r>
      <w:bookmarkEnd w:id="455"/>
      <w:r>
        <w:rPr>
          <w:rFonts w:hint="eastAsia" w:ascii="宋体" w:hAnsi="宋体" w:cs="宋体"/>
          <w:b/>
          <w:color w:val="auto"/>
          <w:sz w:val="24"/>
          <w:lang w:eastAsia="zh-CN"/>
        </w:rPr>
        <w:t>或补充</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lang w:val="en-US" w:eastAsia="zh-CN"/>
        </w:rPr>
      </w:pPr>
      <w:bookmarkStart w:id="456" w:name="_Toc42"/>
      <w:bookmarkStart w:id="457" w:name="_Toc21830"/>
      <w:bookmarkStart w:id="458" w:name="_Toc26689"/>
      <w:bookmarkStart w:id="459" w:name="_Toc10663"/>
      <w:bookmarkStart w:id="460" w:name="_Toc23368"/>
      <w:r>
        <w:rPr>
          <w:rFonts w:hint="eastAsia" w:ascii="宋体" w:hAnsi="宋体"/>
          <w:color w:val="auto"/>
          <w:sz w:val="24"/>
          <w:lang w:val="en-US" w:eastAsia="zh-CN"/>
        </w:rPr>
        <w:t>2.本合同如有未尽事宜，双方协商解决。经双方协商后以补充协议形式书面确认，并作为本合同不可分割部分。如补充协议与本合同有不同之处，以补充协议为准。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360" w:lineRule="auto"/>
        <w:ind w:firstLine="480" w:firstLineChars="200"/>
        <w:textAlignment w:val="auto"/>
        <w:rPr>
          <w:rFonts w:hint="default" w:ascii="宋体" w:hAnsi="宋体"/>
          <w:color w:val="auto"/>
          <w:sz w:val="24"/>
          <w:lang w:val="en-US" w:eastAsia="zh-CN"/>
        </w:rPr>
      </w:pPr>
      <w:r>
        <w:rPr>
          <w:rFonts w:hint="eastAsia" w:ascii="宋体" w:hAnsi="宋体"/>
          <w:color w:val="auto"/>
          <w:sz w:val="24"/>
          <w:lang w:val="en-US" w:eastAsia="zh-CN"/>
        </w:rPr>
        <w:t>3.本</w:t>
      </w:r>
      <w:r>
        <w:rPr>
          <w:rFonts w:hint="default" w:ascii="宋体" w:hAnsi="宋体"/>
          <w:color w:val="auto"/>
          <w:sz w:val="24"/>
          <w:lang w:val="en-US" w:eastAsia="zh-CN"/>
        </w:rPr>
        <w:t>合同生效后，</w:t>
      </w:r>
      <w:r>
        <w:rPr>
          <w:rFonts w:hint="eastAsia" w:ascii="宋体" w:hAnsi="宋体"/>
          <w:color w:val="auto"/>
          <w:sz w:val="24"/>
          <w:lang w:val="en-US" w:eastAsia="zh-CN"/>
        </w:rPr>
        <w:t>双方</w:t>
      </w:r>
      <w:r>
        <w:rPr>
          <w:rFonts w:hint="default" w:ascii="宋体" w:hAnsi="宋体"/>
          <w:color w:val="auto"/>
          <w:sz w:val="24"/>
          <w:lang w:val="en-US" w:eastAsia="zh-CN"/>
        </w:rPr>
        <w:t>就质量、价款或者报酬、履行地点等内容没有约定或者约定不明确的</w:t>
      </w:r>
      <w:r>
        <w:rPr>
          <w:rFonts w:hint="eastAsia" w:ascii="宋体" w:hAnsi="宋体"/>
          <w:color w:val="auto"/>
          <w:sz w:val="24"/>
          <w:lang w:val="en-US" w:eastAsia="zh-CN"/>
        </w:rPr>
        <w:t>，或者存在明显错误的</w:t>
      </w:r>
      <w:r>
        <w:rPr>
          <w:rFonts w:hint="default" w:ascii="宋体" w:hAnsi="宋体"/>
          <w:color w:val="auto"/>
          <w:sz w:val="24"/>
          <w:lang w:val="en-US" w:eastAsia="zh-CN"/>
        </w:rPr>
        <w:t>，可以协议补充；不能达成补充协议的，按照合同相关条款确定</w:t>
      </w:r>
      <w:r>
        <w:rPr>
          <w:rFonts w:hint="eastAsia" w:ascii="宋体" w:hAnsi="宋体"/>
          <w:color w:val="auto"/>
          <w:sz w:val="24"/>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w:t>
      </w:r>
      <w:r>
        <w:rPr>
          <w:rFonts w:ascii="宋体" w:hAnsi="宋体"/>
          <w:b/>
          <w:color w:val="auto"/>
          <w:sz w:val="24"/>
        </w:rPr>
        <w:t>合同转让和分包</w:t>
      </w:r>
      <w:bookmarkEnd w:id="456"/>
      <w:bookmarkEnd w:id="457"/>
      <w:bookmarkEnd w:id="458"/>
      <w:bookmarkEnd w:id="459"/>
      <w:bookmarkEnd w:id="46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1" w:name="_Toc32494"/>
      <w:bookmarkStart w:id="462" w:name="_Toc25571"/>
      <w:bookmarkStart w:id="463" w:name="_Toc4720"/>
      <w:bookmarkStart w:id="464" w:name="_Toc14371"/>
      <w:bookmarkStart w:id="465" w:name="_Toc26633"/>
      <w:r>
        <w:rPr>
          <w:rFonts w:hint="eastAsia" w:ascii="宋体" w:hAnsi="宋体"/>
          <w:b/>
          <w:color w:val="auto"/>
          <w:sz w:val="24"/>
          <w:lang w:eastAsia="zh-CN"/>
        </w:rPr>
        <w:t>十一、</w:t>
      </w:r>
      <w:r>
        <w:rPr>
          <w:rFonts w:ascii="宋体" w:hAnsi="宋体"/>
          <w:b/>
          <w:color w:val="auto"/>
          <w:sz w:val="24"/>
        </w:rPr>
        <w:t>不可抗力</w:t>
      </w:r>
      <w:bookmarkEnd w:id="461"/>
      <w:bookmarkEnd w:id="462"/>
      <w:bookmarkEnd w:id="463"/>
      <w:bookmarkEnd w:id="464"/>
      <w:bookmarkEnd w:id="46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因不可抗力致使不能实现合同目的的，当事人可以解除合同；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因</w:t>
      </w:r>
      <w:r>
        <w:rPr>
          <w:rFonts w:ascii="宋体" w:hAnsi="宋体"/>
          <w:color w:val="auto"/>
          <w:sz w:val="24"/>
        </w:rPr>
        <w:t>不可抗力致使合同有变更必要的，双方当事人应在</w:t>
      </w:r>
      <w:r>
        <w:rPr>
          <w:rFonts w:hint="eastAsia" w:ascii="宋体" w:hAnsi="宋体"/>
          <w:color w:val="auto"/>
          <w:sz w:val="24"/>
          <w:u w:val="single"/>
          <w:lang w:val="en-US" w:eastAsia="zh-CN"/>
        </w:rPr>
        <w:t>5个工作日</w:t>
      </w:r>
      <w:r>
        <w:rPr>
          <w:rFonts w:ascii="宋体" w:hAnsi="宋体"/>
          <w:color w:val="auto"/>
          <w:sz w:val="24"/>
        </w:rPr>
        <w:t>内以书面形式变更合同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lang w:val="en-US" w:eastAsia="zh-CN"/>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lang w:val="en-US" w:eastAsia="zh-CN"/>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6" w:name="_Toc3638"/>
      <w:bookmarkStart w:id="467" w:name="_Toc14115"/>
      <w:bookmarkStart w:id="468" w:name="_Toc25783"/>
      <w:bookmarkStart w:id="469" w:name="_Toc23854"/>
      <w:bookmarkStart w:id="470" w:name="_Toc24465"/>
      <w:r>
        <w:rPr>
          <w:rFonts w:hint="eastAsia" w:ascii="宋体" w:hAnsi="宋体"/>
          <w:b/>
          <w:color w:val="auto"/>
          <w:sz w:val="24"/>
          <w:lang w:eastAsia="zh-CN"/>
        </w:rPr>
        <w:t>十二、</w:t>
      </w:r>
      <w:r>
        <w:rPr>
          <w:rFonts w:ascii="宋体" w:hAnsi="宋体"/>
          <w:b/>
          <w:color w:val="auto"/>
          <w:sz w:val="24"/>
        </w:rPr>
        <w:t>税费</w:t>
      </w:r>
      <w:bookmarkEnd w:id="466"/>
      <w:bookmarkEnd w:id="467"/>
      <w:bookmarkEnd w:id="468"/>
      <w:bookmarkEnd w:id="469"/>
      <w:bookmarkEnd w:id="47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1" w:name="_Toc26883"/>
      <w:bookmarkStart w:id="472" w:name="_Toc30105"/>
      <w:bookmarkStart w:id="473" w:name="_Toc14814"/>
      <w:bookmarkStart w:id="474" w:name="_Toc25525"/>
      <w:bookmarkStart w:id="475" w:name="_Toc7315"/>
      <w:r>
        <w:rPr>
          <w:rFonts w:hint="eastAsia" w:ascii="宋体" w:hAnsi="宋体"/>
          <w:b/>
          <w:color w:val="auto"/>
          <w:sz w:val="24"/>
          <w:lang w:eastAsia="zh-CN"/>
        </w:rPr>
        <w:t>十三、</w:t>
      </w:r>
      <w:r>
        <w:rPr>
          <w:rFonts w:ascii="宋体" w:hAnsi="宋体"/>
          <w:b/>
          <w:color w:val="auto"/>
          <w:sz w:val="24"/>
        </w:rPr>
        <w:t>乙方破产</w:t>
      </w:r>
      <w:bookmarkEnd w:id="471"/>
      <w:bookmarkEnd w:id="472"/>
      <w:bookmarkEnd w:id="473"/>
      <w:bookmarkEnd w:id="474"/>
      <w:bookmarkEnd w:id="47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6" w:name="_Toc1123"/>
      <w:bookmarkStart w:id="477" w:name="_Toc23323"/>
      <w:bookmarkStart w:id="478" w:name="_Toc2016"/>
      <w:r>
        <w:rPr>
          <w:rFonts w:hint="eastAsia" w:ascii="宋体" w:hAnsi="宋体"/>
          <w:b/>
          <w:color w:val="auto"/>
          <w:sz w:val="24"/>
          <w:lang w:eastAsia="zh-CN"/>
        </w:rPr>
        <w:t>十四、</w:t>
      </w:r>
      <w:r>
        <w:rPr>
          <w:rFonts w:ascii="宋体" w:hAnsi="宋体"/>
          <w:b/>
          <w:color w:val="auto"/>
          <w:sz w:val="24"/>
        </w:rPr>
        <w:t>合同中止、终止</w:t>
      </w:r>
      <w:bookmarkEnd w:id="476"/>
      <w:bookmarkEnd w:id="477"/>
      <w:bookmarkEnd w:id="47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双方当事人不得擅自中止或者终止合同；</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olor w:val="auto"/>
          <w:sz w:val="24"/>
          <w:lang w:val="en-US" w:eastAsia="zh-CN"/>
        </w:rPr>
        <w:t>2.</w:t>
      </w:r>
      <w:r>
        <w:rPr>
          <w:rFonts w:hint="eastAsia" w:ascii="宋体" w:hAnsi="宋体" w:cs="宋体"/>
          <w:color w:val="auto"/>
          <w:sz w:val="24"/>
        </w:rPr>
        <w:t>双方当事人应当中止或者终止合同</w:t>
      </w:r>
      <w:r>
        <w:rPr>
          <w:rFonts w:hint="eastAsia" w:ascii="宋体" w:hAnsi="宋体" w:cs="宋体"/>
          <w:color w:val="auto"/>
          <w:sz w:val="24"/>
          <w:lang w:eastAsia="zh-CN"/>
        </w:rPr>
        <w:t>，</w:t>
      </w:r>
      <w:r>
        <w:rPr>
          <w:rFonts w:hint="eastAsia" w:ascii="宋体" w:hAnsi="宋体" w:cs="宋体"/>
          <w:color w:val="auto"/>
          <w:sz w:val="24"/>
        </w:rPr>
        <w:t>有过错的一方应当承担赔偿责任，双方当事人都有过错的，各自承担相应的责任</w:t>
      </w:r>
      <w:r>
        <w:rPr>
          <w:rFonts w:hint="eastAsia" w:ascii="宋体" w:hAnsi="宋体" w:cs="宋体"/>
          <w:color w:val="auto"/>
          <w:sz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3.合同到期后，自动终止合同；</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4.乙方完成合同约定内容的（不得超过合同总金额），自动终止合同；若在合同有效期之前完成的，提前终止合同，无须再另行签订终止补充协议；</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s="宋体"/>
          <w:color w:val="auto"/>
          <w:sz w:val="24"/>
          <w:lang w:val="en-US" w:eastAsia="zh-CN"/>
        </w:rPr>
        <w:t>5.出现违约行为的，甲方有权中止或解除合同。</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9" w:name="_Toc1969"/>
      <w:bookmarkStart w:id="480" w:name="_Toc14525"/>
      <w:bookmarkStart w:id="481" w:name="_Toc17363"/>
      <w:r>
        <w:rPr>
          <w:rFonts w:hint="eastAsia" w:ascii="宋体" w:hAnsi="宋体"/>
          <w:b/>
          <w:color w:val="auto"/>
          <w:sz w:val="24"/>
          <w:lang w:eastAsia="zh-CN"/>
        </w:rPr>
        <w:t>十五、</w:t>
      </w:r>
      <w:r>
        <w:rPr>
          <w:rFonts w:ascii="宋体" w:hAnsi="宋体"/>
          <w:b/>
          <w:color w:val="auto"/>
          <w:sz w:val="24"/>
        </w:rPr>
        <w:t>检验和验收</w:t>
      </w:r>
      <w:bookmarkEnd w:id="479"/>
      <w:bookmarkEnd w:id="480"/>
      <w:bookmarkEnd w:id="481"/>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olor w:val="auto"/>
          <w:sz w:val="24"/>
          <w:lang w:val="en-US" w:eastAsia="zh-CN"/>
        </w:rPr>
        <w:t>1.</w:t>
      </w:r>
      <w:r>
        <w:rPr>
          <w:rFonts w:hint="eastAsia" w:ascii="宋体" w:hAnsi="宋体"/>
          <w:color w:val="auto"/>
          <w:sz w:val="24"/>
          <w:u w:val="none"/>
        </w:rPr>
        <w:t>乙方按照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rPr>
        <w:t>，</w:t>
      </w:r>
      <w:r>
        <w:rPr>
          <w:rFonts w:hint="eastAsia" w:ascii="宋体" w:hAnsi="宋体"/>
          <w:color w:val="auto"/>
          <w:sz w:val="24"/>
          <w:u w:val="none"/>
          <w:lang w:eastAsia="zh-CN"/>
        </w:rPr>
        <w:t>完成合同约定的工作内容</w:t>
      </w:r>
      <w:r>
        <w:rPr>
          <w:rFonts w:hint="eastAsia" w:ascii="宋体" w:hAnsi="宋体"/>
          <w:color w:val="auto"/>
          <w:sz w:val="24"/>
          <w:u w:val="none"/>
        </w:rPr>
        <w:t>，甲方按照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lang w:eastAsia="zh-CN"/>
        </w:rPr>
        <w:t>要求</w:t>
      </w:r>
      <w:r>
        <w:rPr>
          <w:rFonts w:ascii="宋体" w:hAnsi="宋体"/>
          <w:color w:val="auto"/>
          <w:sz w:val="24"/>
          <w:u w:val="none"/>
        </w:rPr>
        <w:t>进行验收</w:t>
      </w:r>
      <w:r>
        <w:rPr>
          <w:rFonts w:hint="eastAsia" w:ascii="宋体" w:hAnsi="宋体"/>
          <w:color w:val="auto"/>
          <w:sz w:val="24"/>
          <w:u w:val="none"/>
          <w:lang w:eastAsia="zh-CN"/>
        </w:rPr>
        <w:t>。</w:t>
      </w:r>
      <w:r>
        <w:rPr>
          <w:rFonts w:hint="eastAsia" w:ascii="宋体" w:hAnsi="宋体" w:cs="宋体"/>
          <w:b w:val="0"/>
          <w:bCs w:val="0"/>
          <w:i w:val="0"/>
          <w:iCs w:val="0"/>
          <w:color w:val="auto"/>
          <w:sz w:val="24"/>
          <w:u w:val="none"/>
          <w:lang w:eastAsia="zh-CN"/>
        </w:rPr>
        <w:t>若甲方认为有必要</w:t>
      </w:r>
      <w:r>
        <w:rPr>
          <w:rFonts w:hint="eastAsia" w:ascii="宋体" w:hAnsi="宋体" w:cs="宋体"/>
          <w:color w:val="auto"/>
          <w:sz w:val="24"/>
        </w:rPr>
        <w:t>可邀请相关方参加。</w:t>
      </w:r>
      <w:r>
        <w:rPr>
          <w:rFonts w:hint="eastAsia" w:ascii="宋体" w:hAnsi="宋体" w:cs="宋体"/>
          <w:b/>
          <w:bCs/>
          <w:color w:val="auto"/>
          <w:sz w:val="24"/>
          <w:lang w:eastAsia="zh-CN"/>
        </w:rPr>
        <w:t>若有验收的特别约定合同条款，按特别约定条款执行。</w:t>
      </w:r>
    </w:p>
    <w:p>
      <w:pPr>
        <w:pageBreakBefore w:val="0"/>
        <w:tabs>
          <w:tab w:val="left" w:pos="360"/>
          <w:tab w:val="left" w:pos="540"/>
          <w:tab w:val="left" w:pos="1080"/>
        </w:tabs>
        <w:kinsoku/>
        <w:wordWrap/>
        <w:overflowPunct/>
        <w:topLinePunct w:val="0"/>
        <w:bidi w:val="0"/>
        <w:spacing w:line="360" w:lineRule="auto"/>
        <w:ind w:firstLine="480" w:firstLineChars="200"/>
        <w:jc w:val="left"/>
        <w:textAlignment w:val="auto"/>
        <w:rPr>
          <w:rFonts w:hint="eastAsia" w:ascii="宋体" w:hAnsi="宋体" w:eastAsia="宋体"/>
          <w:i w:val="0"/>
          <w:iCs w:val="0"/>
          <w:color w:val="auto"/>
          <w:sz w:val="24"/>
          <w:lang w:eastAsia="zh-CN"/>
        </w:rPr>
      </w:pPr>
      <w:r>
        <w:rPr>
          <w:rFonts w:hint="eastAsia" w:ascii="宋体" w:hAnsi="宋体"/>
          <w:i w:val="0"/>
          <w:iCs w:val="0"/>
          <w:color w:val="auto"/>
          <w:sz w:val="24"/>
          <w:lang w:val="en-US" w:eastAsia="zh-CN"/>
        </w:rPr>
        <w:t>2.</w:t>
      </w:r>
      <w:r>
        <w:rPr>
          <w:rFonts w:hint="eastAsia" w:ascii="宋体" w:hAnsi="宋体"/>
          <w:i w:val="0"/>
          <w:iCs w:val="0"/>
          <w:color w:val="auto"/>
          <w:sz w:val="24"/>
        </w:rPr>
        <w:t>合同期满或者履行完毕后，甲方有权组织（包括邀请国家认可的质量检测机构参加）对乙方履约的验收，即：按照合同约定的标准，组织对乙方履约情况的验收，并出具</w:t>
      </w:r>
      <w:r>
        <w:rPr>
          <w:rFonts w:hint="eastAsia" w:ascii="宋体" w:hAnsi="宋体"/>
          <w:b/>
          <w:bCs/>
          <w:i w:val="0"/>
          <w:iCs w:val="0"/>
          <w:color w:val="auto"/>
          <w:sz w:val="24"/>
        </w:rPr>
        <w:t>验收</w:t>
      </w:r>
      <w:r>
        <w:rPr>
          <w:rFonts w:hint="eastAsia" w:ascii="宋体" w:hAnsi="宋体"/>
          <w:b/>
          <w:bCs/>
          <w:i w:val="0"/>
          <w:iCs w:val="0"/>
          <w:color w:val="auto"/>
          <w:sz w:val="24"/>
          <w:lang w:eastAsia="zh-CN"/>
        </w:rPr>
        <w:t>单或者验收报告</w:t>
      </w:r>
      <w:r>
        <w:rPr>
          <w:rFonts w:hint="eastAsia" w:ascii="宋体" w:hAnsi="宋体"/>
          <w:i w:val="0"/>
          <w:iCs w:val="0"/>
          <w:color w:val="auto"/>
          <w:sz w:val="24"/>
          <w:lang w:eastAsia="zh-CN"/>
        </w:rPr>
        <w:t>。</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检验和验收标准、程序等具体内容以及前述验收</w:t>
      </w:r>
      <w:r>
        <w:rPr>
          <w:rFonts w:hint="eastAsia" w:ascii="宋体" w:hAnsi="宋体"/>
          <w:color w:val="auto"/>
          <w:sz w:val="24"/>
          <w:lang w:eastAsia="zh-CN"/>
        </w:rPr>
        <w:t>单或者验收报告</w:t>
      </w:r>
      <w:r>
        <w:rPr>
          <w:rFonts w:hint="eastAsia" w:ascii="宋体" w:hAnsi="宋体"/>
          <w:color w:val="auto"/>
          <w:sz w:val="24"/>
        </w:rPr>
        <w:t>的效力</w:t>
      </w:r>
      <w:r>
        <w:rPr>
          <w:rFonts w:hint="eastAsia" w:ascii="宋体" w:hAnsi="宋体"/>
          <w:color w:val="auto"/>
          <w:sz w:val="24"/>
          <w:lang w:eastAsia="zh-CN"/>
        </w:rPr>
        <w:t>如下：</w:t>
      </w:r>
    </w:p>
    <w:p>
      <w:pPr>
        <w:pageBreakBefore w:val="0"/>
        <w:kinsoku/>
        <w:wordWrap/>
        <w:overflowPunct/>
        <w:topLinePunct w:val="0"/>
        <w:bidi w:val="0"/>
        <w:spacing w:line="360" w:lineRule="auto"/>
        <w:ind w:firstLine="480" w:firstLineChars="200"/>
        <w:textAlignment w:val="auto"/>
        <w:outlineLvl w:val="0"/>
        <w:rPr>
          <w:rFonts w:hint="eastAsia" w:ascii="宋体" w:hAnsi="宋体"/>
          <w:b/>
          <w:color w:val="auto"/>
          <w:sz w:val="24"/>
          <w:u w:val="single"/>
          <w:lang w:val="en-US" w:eastAsia="zh-CN"/>
        </w:rPr>
      </w:pPr>
      <w:bookmarkStart w:id="482" w:name="_Toc2308"/>
      <w:bookmarkStart w:id="483" w:name="_Toc31892"/>
      <w:bookmarkStart w:id="484" w:name="_Toc12666"/>
      <w:bookmarkStart w:id="485" w:name="_Toc9808"/>
      <w:bookmarkStart w:id="486" w:name="_Toc25198"/>
      <w:r>
        <w:rPr>
          <w:rFonts w:hint="eastAsia" w:ascii="宋体" w:hAnsi="宋体"/>
          <w:color w:val="auto"/>
          <w:sz w:val="24"/>
          <w:u w:val="single"/>
        </w:rPr>
        <w:t>检验和验收标准、程序</w:t>
      </w:r>
      <w:r>
        <w:rPr>
          <w:rFonts w:hint="eastAsia" w:ascii="宋体" w:hAnsi="宋体"/>
          <w:color w:val="auto"/>
          <w:sz w:val="24"/>
          <w:u w:val="single"/>
          <w:lang w:eastAsia="zh-CN"/>
        </w:rPr>
        <w:t>效力</w:t>
      </w:r>
      <w:r>
        <w:rPr>
          <w:rFonts w:hint="eastAsia" w:ascii="宋体" w:hAnsi="宋体"/>
          <w:color w:val="auto"/>
          <w:sz w:val="24"/>
          <w:u w:val="single"/>
          <w:lang w:val="en-US" w:eastAsia="zh-CN"/>
        </w:rPr>
        <w:t xml:space="preserve"> </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有合法资质第三方机构验收单或者验收报告效力</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甲方的验收单或者验收报告。</w:t>
      </w:r>
      <w:r>
        <w:rPr>
          <w:rFonts w:hint="eastAsia" w:ascii="宋体" w:hAnsi="宋体"/>
          <w:b/>
          <w:color w:val="auto"/>
          <w:sz w:val="24"/>
          <w:u w:val="none"/>
          <w:lang w:val="en-US" w:eastAsia="zh-CN"/>
        </w:rPr>
        <w:t xml:space="preserve">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十六、</w:t>
      </w:r>
      <w:r>
        <w:rPr>
          <w:rFonts w:ascii="宋体" w:hAnsi="宋体"/>
          <w:b/>
          <w:color w:val="auto"/>
          <w:sz w:val="24"/>
        </w:rPr>
        <w:t>通知和送达</w:t>
      </w:r>
      <w:bookmarkEnd w:id="482"/>
      <w:bookmarkEnd w:id="483"/>
      <w:bookmarkEnd w:id="484"/>
      <w:bookmarkEnd w:id="485"/>
      <w:bookmarkEnd w:id="486"/>
    </w:p>
    <w:p>
      <w:pPr>
        <w:pageBreakBefore w:val="0"/>
        <w:kinsoku/>
        <w:wordWrap/>
        <w:overflowPunct/>
        <w:topLinePunct w:val="0"/>
        <w:bidi w:val="0"/>
        <w:spacing w:line="360" w:lineRule="auto"/>
        <w:ind w:firstLine="480" w:firstLineChars="200"/>
        <w:textAlignment w:val="auto"/>
        <w:rPr>
          <w:rFonts w:ascii="宋体" w:hAnsi="宋体"/>
          <w:color w:val="auto"/>
          <w:sz w:val="24"/>
        </w:rPr>
      </w:pPr>
      <w:bookmarkStart w:id="487" w:name="_Toc18401"/>
      <w:bookmarkStart w:id="488" w:name="_Toc27674"/>
      <w:r>
        <w:rPr>
          <w:rFonts w:hint="eastAsia" w:ascii="宋体" w:hAnsi="宋体"/>
          <w:color w:val="auto"/>
          <w:sz w:val="24"/>
          <w:lang w:val="en-US" w:eastAsia="zh-CN"/>
        </w:rPr>
        <w:t>1.</w:t>
      </w:r>
      <w:r>
        <w:rPr>
          <w:rFonts w:hint="eastAsia" w:ascii="宋体" w:hAnsi="宋体"/>
          <w:color w:val="auto"/>
          <w:sz w:val="24"/>
        </w:rPr>
        <w:t>任何一方因履行合同而以合同</w:t>
      </w:r>
      <w:r>
        <w:rPr>
          <w:rFonts w:hint="eastAsia" w:ascii="宋体" w:hAnsi="宋体"/>
          <w:color w:val="auto"/>
          <w:sz w:val="24"/>
          <w:lang w:eastAsia="zh-CN"/>
        </w:rPr>
        <w:t>第一章</w:t>
      </w:r>
      <w:r>
        <w:rPr>
          <w:rFonts w:hint="eastAsia" w:ascii="宋体" w:hAnsi="宋体"/>
          <w:color w:val="auto"/>
          <w:sz w:val="24"/>
        </w:rPr>
        <w:t>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7"/>
      <w:bookmarkEnd w:id="488"/>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89" w:name="_Toc4355"/>
      <w:bookmarkStart w:id="490" w:name="_Toc30599"/>
      <w:bookmarkStart w:id="491" w:name="_Toc18540"/>
      <w:bookmarkStart w:id="492" w:name="_Toc27644"/>
      <w:bookmarkStart w:id="493" w:name="_Toc5063"/>
      <w:bookmarkStart w:id="494" w:name="_Toc12254"/>
      <w:bookmarkStart w:id="495" w:name="_Toc28906"/>
      <w:bookmarkStart w:id="496" w:name="_Toc20808"/>
      <w:r>
        <w:rPr>
          <w:rFonts w:hint="eastAsia" w:ascii="宋体" w:hAnsi="宋体" w:cs="宋体"/>
          <w:b/>
          <w:color w:val="auto"/>
          <w:sz w:val="24"/>
          <w:lang w:eastAsia="zh-CN"/>
        </w:rPr>
        <w:t>十七、</w:t>
      </w:r>
      <w:r>
        <w:rPr>
          <w:rFonts w:hint="eastAsia" w:ascii="宋体" w:hAnsi="宋体" w:cs="宋体"/>
          <w:b/>
          <w:color w:val="auto"/>
          <w:sz w:val="24"/>
        </w:rPr>
        <w:t>计量单位</w:t>
      </w:r>
      <w:bookmarkEnd w:id="489"/>
      <w:bookmarkEnd w:id="490"/>
      <w:bookmarkEnd w:id="491"/>
    </w:p>
    <w:p>
      <w:pPr>
        <w:pageBreakBefore w:val="0"/>
        <w:kinsoku/>
        <w:wordWrap/>
        <w:overflowPunct/>
        <w:topLinePunct w:val="0"/>
        <w:bidi w:val="0"/>
        <w:spacing w:line="360" w:lineRule="auto"/>
        <w:ind w:firstLine="480" w:firstLineChars="200"/>
        <w:textAlignment w:val="auto"/>
        <w:rPr>
          <w:rFonts w:hint="eastAsia" w:ascii="宋体" w:hAnsi="宋体"/>
          <w:b/>
          <w:color w:val="auto"/>
          <w:sz w:val="24"/>
          <w:lang w:eastAsia="zh-CN"/>
        </w:rPr>
      </w:pPr>
      <w:r>
        <w:rPr>
          <w:rFonts w:hint="eastAsia" w:ascii="宋体" w:hAnsi="宋体" w:cs="宋体"/>
          <w:color w:val="auto"/>
          <w:sz w:val="24"/>
        </w:rPr>
        <w:t>除技术规范中另有规定外,合同的计量单位均使用国家法定计量单位。</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十八、</w:t>
      </w:r>
      <w:r>
        <w:rPr>
          <w:rFonts w:hint="eastAsia" w:ascii="宋体" w:hAnsi="宋体"/>
          <w:b/>
          <w:color w:val="auto"/>
          <w:sz w:val="24"/>
        </w:rPr>
        <w:t>合同使用的文字和</w:t>
      </w:r>
      <w:r>
        <w:rPr>
          <w:rFonts w:ascii="宋体" w:hAnsi="宋体"/>
          <w:b/>
          <w:color w:val="auto"/>
          <w:sz w:val="24"/>
        </w:rPr>
        <w:t>适用的法律</w:t>
      </w:r>
      <w:bookmarkEnd w:id="492"/>
      <w:bookmarkEnd w:id="493"/>
      <w:bookmarkEnd w:id="494"/>
      <w:bookmarkEnd w:id="495"/>
      <w:bookmarkEnd w:id="496"/>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合同适用</w:t>
      </w:r>
      <w:r>
        <w:rPr>
          <w:rFonts w:ascii="宋体" w:hAnsi="宋体"/>
          <w:color w:val="auto"/>
          <w:sz w:val="24"/>
        </w:rPr>
        <w:t>中华人民共和国法律。</w:t>
      </w:r>
    </w:p>
    <w:p>
      <w:pPr>
        <w:pStyle w:val="2"/>
      </w:pP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lang w:val="en-US" w:eastAsia="zh-CN"/>
        </w:rPr>
        <w:t xml:space="preserve">              </w:t>
      </w:r>
      <w:r>
        <w:rPr>
          <w:rFonts w:ascii="宋体" w:hAnsi="宋体"/>
          <w:color w:val="auto"/>
          <w:sz w:val="24"/>
          <w:lang w:val="zh-CN"/>
        </w:rPr>
        <w:t xml:space="preserve">  </w:t>
      </w:r>
      <w:r>
        <w:rPr>
          <w:rFonts w:hint="eastAsia" w:ascii="宋体" w:hAnsi="宋体"/>
          <w:color w:val="auto"/>
          <w:sz w:val="24"/>
          <w:lang w:val="zh-CN"/>
        </w:rPr>
        <w:t>地址：</w:t>
      </w:r>
    </w:p>
    <w:p>
      <w:pPr>
        <w:pageBreakBefore w:val="0"/>
        <w:kinsoku/>
        <w:wordWrap/>
        <w:overflowPunct/>
        <w:topLinePunct w:val="0"/>
        <w:autoSpaceDE w:val="0"/>
        <w:autoSpaceDN w:val="0"/>
        <w:bidi w:val="0"/>
        <w:spacing w:line="360" w:lineRule="auto"/>
        <w:textAlignment w:val="auto"/>
        <w:rPr>
          <w:rFonts w:hint="eastAsia" w:ascii="宋体" w:hAnsi="宋体"/>
          <w:color w:val="auto"/>
          <w:sz w:val="24"/>
          <w:lang w:val="zh-CN"/>
        </w:rPr>
      </w:pPr>
      <w:r>
        <w:rPr>
          <w:rFonts w:hint="eastAsia" w:ascii="宋体" w:hAnsi="宋体"/>
          <w:color w:val="auto"/>
          <w:sz w:val="24"/>
          <w:lang w:val="zh-CN"/>
        </w:rPr>
        <w:t>临江街道红十五路10388-123号</w:t>
      </w:r>
    </w:p>
    <w:p>
      <w:pPr>
        <w:pageBreakBefore w:val="0"/>
        <w:kinsoku/>
        <w:wordWrap/>
        <w:overflowPunct/>
        <w:topLinePunct w:val="0"/>
        <w:autoSpaceDE w:val="0"/>
        <w:autoSpaceDN w:val="0"/>
        <w:bidi w:val="0"/>
        <w:spacing w:line="360" w:lineRule="auto"/>
        <w:textAlignment w:val="auto"/>
        <w:rPr>
          <w:rFonts w:hint="eastAsia"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lang w:val="en-US" w:eastAsia="zh-CN"/>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lang w:val="en-US" w:eastAsia="zh-CN"/>
        </w:rPr>
        <w:t xml:space="preserve">          </w:t>
      </w:r>
      <w:r>
        <w:rPr>
          <w:rFonts w:ascii="宋体" w:hAnsi="宋体"/>
          <w:color w:val="auto"/>
          <w:sz w:val="24"/>
          <w:lang w:val="zh-CN"/>
        </w:rPr>
        <w:t xml:space="preserve">  （签字）: </w:t>
      </w:r>
    </w:p>
    <w:p>
      <w:pPr>
        <w:pageBreakBefore w:val="0"/>
        <w:kinsoku/>
        <w:wordWrap/>
        <w:overflowPunct/>
        <w:topLinePunct w:val="0"/>
        <w:autoSpaceDE w:val="0"/>
        <w:autoSpaceDN w:val="0"/>
        <w:bidi w:val="0"/>
        <w:spacing w:line="360" w:lineRule="auto"/>
        <w:textAlignment w:val="auto"/>
        <w:rPr>
          <w:rFonts w:ascii="宋体" w:hAnsi="宋体"/>
          <w:color w:val="auto"/>
          <w:sz w:val="24"/>
        </w:rPr>
      </w:pPr>
      <w:r>
        <w:rPr>
          <w:rFonts w:hint="eastAsia" w:ascii="宋体" w:hAnsi="宋体"/>
          <w:color w:val="auto"/>
          <w:sz w:val="24"/>
        </w:rPr>
        <w:t>开户银行</w:t>
      </w:r>
      <w:r>
        <w:rPr>
          <w:rFonts w:hint="eastAsia" w:ascii="宋体" w:hAnsi="宋体"/>
          <w:color w:val="auto"/>
          <w:sz w:val="24"/>
          <w:lang w:eastAsia="zh-CN"/>
        </w:rPr>
        <w:t>：</w:t>
      </w:r>
      <w:r>
        <w:rPr>
          <w:rFonts w:hint="eastAsia" w:ascii="宋体" w:hAnsi="宋体"/>
          <w:color w:val="auto"/>
          <w:sz w:val="24"/>
        </w:rPr>
        <w:t>杭州银行大江东支行：</w:t>
      </w:r>
      <w:r>
        <w:rPr>
          <w:rFonts w:ascii="宋体" w:hAnsi="宋体"/>
          <w:color w:val="auto"/>
          <w:sz w:val="24"/>
        </w:rPr>
        <w:t xml:space="preserve">          开户银行： </w:t>
      </w:r>
    </w:p>
    <w:p>
      <w:pPr>
        <w:pageBreakBefore w:val="0"/>
        <w:kinsoku/>
        <w:wordWrap/>
        <w:overflowPunct/>
        <w:topLinePunct w:val="0"/>
        <w:autoSpaceDE w:val="0"/>
        <w:autoSpaceDN w:val="0"/>
        <w:bidi w:val="0"/>
        <w:spacing w:line="360" w:lineRule="auto"/>
        <w:textAlignment w:val="auto"/>
        <w:rPr>
          <w:rFonts w:hint="eastAsia" w:ascii="宋体" w:hAnsi="宋体"/>
          <w:b/>
          <w:color w:val="auto"/>
          <w:szCs w:val="24"/>
          <w:lang w:eastAsia="zh-CN"/>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21"/>
        <w:spacing w:line="560" w:lineRule="exact"/>
        <w:ind w:left="0" w:leftChars="0" w:firstLine="0" w:firstLineChars="0"/>
        <w:jc w:val="both"/>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eastAsia="宋体"/>
          <w:b/>
          <w:color w:val="auto"/>
          <w:szCs w:val="24"/>
          <w:lang w:eastAsia="zh-CN"/>
        </w:rPr>
      </w:pPr>
      <w:r>
        <w:rPr>
          <w:rFonts w:hint="eastAsia" w:ascii="宋体" w:hAnsi="宋体"/>
          <w:b/>
          <w:color w:val="auto"/>
          <w:szCs w:val="24"/>
          <w:lang w:eastAsia="zh-CN"/>
        </w:rPr>
        <w:t>第三章</w:t>
      </w:r>
      <w:r>
        <w:rPr>
          <w:rFonts w:ascii="宋体" w:hAnsi="宋体"/>
          <w:b/>
          <w:color w:val="auto"/>
          <w:szCs w:val="24"/>
        </w:rPr>
        <w:t xml:space="preserve"> </w:t>
      </w:r>
      <w:r>
        <w:rPr>
          <w:rFonts w:hint="eastAsia" w:ascii="宋体" w:hAnsi="宋体"/>
          <w:b/>
          <w:color w:val="auto"/>
          <w:szCs w:val="24"/>
          <w:lang w:eastAsia="zh-CN"/>
        </w:rPr>
        <w:t>合同清单</w:t>
      </w:r>
    </w:p>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一、服务内容分项清单</w:t>
      </w:r>
    </w:p>
    <w:tbl>
      <w:tblPr>
        <w:tblStyle w:val="13"/>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538"/>
        <w:gridCol w:w="1540"/>
        <w:gridCol w:w="1527"/>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6" w:type="dxa"/>
            <w:noWrap w:val="0"/>
            <w:vAlign w:val="center"/>
          </w:tcPr>
          <w:p>
            <w:pPr>
              <w:pStyle w:val="23"/>
              <w:spacing w:line="560" w:lineRule="exact"/>
              <w:jc w:val="center"/>
              <w:rPr>
                <w:rFonts w:hAnsi="宋体"/>
                <w:color w:val="auto"/>
                <w:sz w:val="24"/>
                <w:szCs w:val="24"/>
              </w:rPr>
            </w:pPr>
            <w:r>
              <w:rPr>
                <w:rFonts w:hAnsi="宋体"/>
                <w:color w:val="auto"/>
                <w:sz w:val="24"/>
                <w:szCs w:val="24"/>
              </w:rPr>
              <w:t>序号</w:t>
            </w:r>
          </w:p>
        </w:tc>
        <w:tc>
          <w:tcPr>
            <w:tcW w:w="3538" w:type="dxa"/>
            <w:noWrap w:val="0"/>
            <w:vAlign w:val="center"/>
          </w:tcPr>
          <w:p>
            <w:pPr>
              <w:pStyle w:val="23"/>
              <w:spacing w:line="560" w:lineRule="exact"/>
              <w:ind w:firstLine="200"/>
              <w:jc w:val="center"/>
              <w:rPr>
                <w:rFonts w:hAnsi="宋体"/>
                <w:color w:val="auto"/>
                <w:sz w:val="24"/>
                <w:szCs w:val="24"/>
              </w:rPr>
            </w:pPr>
            <w:r>
              <w:rPr>
                <w:rFonts w:hint="eastAsia" w:hAnsi="宋体"/>
                <w:color w:val="auto"/>
                <w:sz w:val="24"/>
                <w:szCs w:val="24"/>
              </w:rPr>
              <w:t>分项名称</w:t>
            </w:r>
          </w:p>
        </w:tc>
        <w:tc>
          <w:tcPr>
            <w:tcW w:w="1540" w:type="dxa"/>
            <w:noWrap w:val="0"/>
            <w:vAlign w:val="center"/>
          </w:tcPr>
          <w:p>
            <w:pPr>
              <w:pStyle w:val="23"/>
              <w:spacing w:line="560" w:lineRule="exact"/>
              <w:jc w:val="center"/>
              <w:rPr>
                <w:rFonts w:hAnsi="宋体"/>
                <w:color w:val="auto"/>
                <w:sz w:val="24"/>
                <w:szCs w:val="24"/>
              </w:rPr>
            </w:pPr>
            <w:r>
              <w:rPr>
                <w:rFonts w:hAnsi="宋体"/>
                <w:color w:val="auto"/>
                <w:sz w:val="24"/>
                <w:szCs w:val="24"/>
              </w:rPr>
              <w:t>分项价格</w:t>
            </w:r>
          </w:p>
        </w:tc>
        <w:tc>
          <w:tcPr>
            <w:tcW w:w="1527" w:type="dxa"/>
            <w:noWrap w:val="0"/>
            <w:vAlign w:val="center"/>
          </w:tcPr>
          <w:p>
            <w:pPr>
              <w:pStyle w:val="23"/>
              <w:spacing w:line="560" w:lineRule="exact"/>
              <w:jc w:val="center"/>
              <w:rPr>
                <w:rFonts w:hint="eastAsia" w:hAnsi="宋体" w:eastAsia="宋体"/>
                <w:color w:val="auto"/>
                <w:sz w:val="24"/>
                <w:szCs w:val="24"/>
                <w:lang w:eastAsia="zh-CN"/>
              </w:rPr>
            </w:pPr>
            <w:r>
              <w:rPr>
                <w:rFonts w:hint="eastAsia" w:hAnsi="宋体"/>
                <w:color w:val="auto"/>
                <w:sz w:val="24"/>
                <w:szCs w:val="24"/>
                <w:lang w:eastAsia="zh-CN"/>
              </w:rPr>
              <w:t>分项数量</w:t>
            </w:r>
          </w:p>
        </w:tc>
        <w:tc>
          <w:tcPr>
            <w:tcW w:w="1744" w:type="dxa"/>
            <w:noWrap w:val="0"/>
            <w:vAlign w:val="center"/>
          </w:tcPr>
          <w:p>
            <w:pPr>
              <w:pStyle w:val="23"/>
              <w:spacing w:line="560" w:lineRule="exact"/>
              <w:jc w:val="center"/>
              <w:rPr>
                <w:rFonts w:hint="eastAsia" w:hAnsi="宋体" w:eastAsia="宋体"/>
                <w:color w:val="auto"/>
                <w:sz w:val="24"/>
                <w:szCs w:val="24"/>
                <w:lang w:eastAsia="zh-CN"/>
              </w:rPr>
            </w:pPr>
            <w:r>
              <w:rPr>
                <w:rFonts w:hint="eastAsia" w:hAnsi="宋体"/>
                <w:color w:val="auto"/>
                <w:sz w:val="24"/>
                <w:szCs w:val="24"/>
                <w:lang w:eastAsia="zh-CN"/>
              </w:rPr>
              <w:t>分项金额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6" w:type="dxa"/>
            <w:noWrap w:val="0"/>
            <w:vAlign w:val="center"/>
          </w:tcPr>
          <w:p>
            <w:pPr>
              <w:pStyle w:val="23"/>
              <w:spacing w:line="560" w:lineRule="exact"/>
              <w:ind w:firstLine="200"/>
              <w:jc w:val="center"/>
              <w:rPr>
                <w:rFonts w:hint="eastAsia" w:hAnsi="宋体" w:eastAsiaTheme="minorEastAsia"/>
                <w:color w:val="auto"/>
                <w:sz w:val="24"/>
                <w:szCs w:val="24"/>
                <w:lang w:val="en-US" w:eastAsia="zh-CN"/>
              </w:rPr>
            </w:pPr>
            <w:r>
              <w:rPr>
                <w:rFonts w:hint="eastAsia" w:hAnsi="宋体"/>
                <w:color w:val="auto"/>
                <w:sz w:val="24"/>
                <w:szCs w:val="24"/>
                <w:lang w:val="en-US" w:eastAsia="zh-CN"/>
              </w:rPr>
              <w:t>1</w:t>
            </w:r>
          </w:p>
        </w:tc>
        <w:tc>
          <w:tcPr>
            <w:tcW w:w="3538" w:type="dxa"/>
            <w:noWrap w:val="0"/>
            <w:vAlign w:val="center"/>
          </w:tcPr>
          <w:p>
            <w:pPr>
              <w:pStyle w:val="23"/>
              <w:spacing w:line="560" w:lineRule="exact"/>
              <w:ind w:firstLine="200"/>
              <w:jc w:val="center"/>
              <w:rPr>
                <w:rFonts w:hAnsi="宋体"/>
                <w:color w:val="auto"/>
                <w:sz w:val="24"/>
                <w:szCs w:val="24"/>
              </w:rPr>
            </w:pPr>
            <w:r>
              <w:rPr>
                <w:rFonts w:hint="eastAsia" w:hAnsi="宋体"/>
                <w:color w:val="auto"/>
                <w:sz w:val="24"/>
                <w:szCs w:val="24"/>
              </w:rPr>
              <w:t>黑匣子数据监测调试服务采购</w:t>
            </w:r>
          </w:p>
        </w:tc>
        <w:tc>
          <w:tcPr>
            <w:tcW w:w="1540" w:type="dxa"/>
            <w:noWrap w:val="0"/>
            <w:vAlign w:val="center"/>
          </w:tcPr>
          <w:p>
            <w:pPr>
              <w:pStyle w:val="23"/>
              <w:spacing w:line="560" w:lineRule="exact"/>
              <w:ind w:firstLine="200"/>
              <w:jc w:val="center"/>
              <w:rPr>
                <w:rFonts w:hAnsi="宋体"/>
                <w:color w:val="auto"/>
                <w:sz w:val="24"/>
                <w:szCs w:val="24"/>
              </w:rPr>
            </w:pPr>
          </w:p>
        </w:tc>
        <w:tc>
          <w:tcPr>
            <w:tcW w:w="1527" w:type="dxa"/>
            <w:noWrap w:val="0"/>
            <w:vAlign w:val="center"/>
          </w:tcPr>
          <w:p>
            <w:pPr>
              <w:pStyle w:val="23"/>
              <w:spacing w:line="560" w:lineRule="exact"/>
              <w:ind w:firstLine="200"/>
              <w:jc w:val="center"/>
              <w:rPr>
                <w:rFonts w:hint="eastAsia" w:hAnsi="宋体" w:eastAsiaTheme="minorEastAsia"/>
                <w:color w:val="auto"/>
                <w:sz w:val="24"/>
                <w:szCs w:val="24"/>
                <w:lang w:val="en-US" w:eastAsia="zh-CN"/>
              </w:rPr>
            </w:pPr>
            <w:r>
              <w:rPr>
                <w:rFonts w:hint="eastAsia" w:hAnsi="宋体"/>
                <w:color w:val="auto"/>
                <w:sz w:val="24"/>
                <w:szCs w:val="24"/>
                <w:lang w:val="en-US" w:eastAsia="zh-CN"/>
              </w:rPr>
              <w:t>1</w:t>
            </w:r>
          </w:p>
        </w:tc>
        <w:tc>
          <w:tcPr>
            <w:tcW w:w="1744" w:type="dxa"/>
            <w:noWrap w:val="0"/>
            <w:vAlign w:val="center"/>
          </w:tcPr>
          <w:p>
            <w:pPr>
              <w:pStyle w:val="23"/>
              <w:spacing w:line="560" w:lineRule="exact"/>
              <w:ind w:firstLine="200"/>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54" w:type="dxa"/>
            <w:gridSpan w:val="2"/>
            <w:noWrap w:val="0"/>
            <w:vAlign w:val="center"/>
          </w:tcPr>
          <w:p>
            <w:pPr>
              <w:pStyle w:val="23"/>
              <w:spacing w:line="560" w:lineRule="exact"/>
              <w:ind w:firstLine="200"/>
              <w:jc w:val="center"/>
              <w:rPr>
                <w:rFonts w:hAnsi="宋体"/>
                <w:color w:val="auto"/>
                <w:sz w:val="24"/>
                <w:szCs w:val="24"/>
              </w:rPr>
            </w:pPr>
            <w:r>
              <w:rPr>
                <w:rFonts w:hint="eastAsia" w:hAnsi="宋体"/>
                <w:color w:val="auto"/>
                <w:sz w:val="24"/>
                <w:szCs w:val="24"/>
              </w:rPr>
              <w:t>总价</w:t>
            </w:r>
          </w:p>
        </w:tc>
        <w:tc>
          <w:tcPr>
            <w:tcW w:w="1540" w:type="dxa"/>
            <w:noWrap w:val="0"/>
            <w:vAlign w:val="center"/>
          </w:tcPr>
          <w:p>
            <w:pPr>
              <w:pStyle w:val="23"/>
              <w:spacing w:line="560" w:lineRule="exact"/>
              <w:ind w:firstLine="200"/>
              <w:jc w:val="center"/>
              <w:rPr>
                <w:rFonts w:hAnsi="宋体"/>
                <w:color w:val="auto"/>
                <w:sz w:val="24"/>
                <w:szCs w:val="24"/>
              </w:rPr>
            </w:pPr>
          </w:p>
        </w:tc>
        <w:tc>
          <w:tcPr>
            <w:tcW w:w="1527" w:type="dxa"/>
            <w:noWrap w:val="0"/>
            <w:vAlign w:val="center"/>
          </w:tcPr>
          <w:p>
            <w:pPr>
              <w:pStyle w:val="23"/>
              <w:spacing w:line="560" w:lineRule="exact"/>
              <w:ind w:firstLine="200"/>
              <w:jc w:val="center"/>
              <w:rPr>
                <w:rFonts w:hAnsi="宋体"/>
                <w:color w:val="auto"/>
                <w:sz w:val="24"/>
                <w:szCs w:val="24"/>
              </w:rPr>
            </w:pPr>
          </w:p>
        </w:tc>
        <w:tc>
          <w:tcPr>
            <w:tcW w:w="1744" w:type="dxa"/>
            <w:noWrap w:val="0"/>
            <w:vAlign w:val="center"/>
          </w:tcPr>
          <w:p>
            <w:pPr>
              <w:pStyle w:val="23"/>
              <w:spacing w:line="560" w:lineRule="exact"/>
              <w:ind w:firstLine="200"/>
              <w:jc w:val="center"/>
              <w:rPr>
                <w:rFonts w:hAnsi="宋体"/>
                <w:color w:val="auto"/>
                <w:sz w:val="24"/>
                <w:szCs w:val="24"/>
              </w:rPr>
            </w:pPr>
          </w:p>
        </w:tc>
      </w:tr>
    </w:tbl>
    <w:p>
      <w:pPr>
        <w:rPr>
          <w:rFonts w:hint="eastAsia" w:ascii="宋体" w:hAnsi="宋体" w:eastAsia="宋体" w:cs="宋体"/>
          <w:b w:val="0"/>
          <w:bCs w:val="0"/>
          <w:color w:val="auto"/>
          <w:sz w:val="24"/>
          <w:szCs w:val="24"/>
          <w:lang w:eastAsia="zh-CN"/>
        </w:rPr>
      </w:pPr>
    </w:p>
    <w:p>
      <w:pPr>
        <w:pStyle w:val="4"/>
        <w:tabs>
          <w:tab w:val="left" w:pos="432"/>
        </w:tabs>
        <w:rPr>
          <w:rFonts w:hint="eastAsia"/>
          <w:color w:val="auto"/>
          <w:lang w:eastAsia="zh-CN"/>
        </w:rPr>
      </w:pPr>
    </w:p>
    <w:p>
      <w:pPr>
        <w:pStyle w:val="4"/>
        <w:numPr>
          <w:ilvl w:val="0"/>
          <w:numId w:val="0"/>
        </w:numPr>
        <w:tabs>
          <w:tab w:val="left" w:pos="432"/>
        </w:tabs>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二、</w:t>
      </w:r>
      <w:r>
        <w:rPr>
          <w:rFonts w:hint="eastAsia" w:ascii="宋体" w:hAnsi="宋体" w:eastAsia="宋体" w:cs="宋体"/>
          <w:b w:val="0"/>
          <w:bCs w:val="0"/>
          <w:color w:val="auto"/>
          <w:sz w:val="24"/>
          <w:szCs w:val="24"/>
          <w:lang w:eastAsia="zh-CN"/>
        </w:rPr>
        <w:t>货物分项清单（本项目不适用）</w:t>
      </w:r>
    </w:p>
    <w:tbl>
      <w:tblPr>
        <w:tblStyle w:val="14"/>
        <w:tblW w:w="945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921"/>
        <w:gridCol w:w="1629"/>
        <w:gridCol w:w="1286"/>
        <w:gridCol w:w="770"/>
        <w:gridCol w:w="1180"/>
        <w:gridCol w:w="1178"/>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序号</w:t>
            </w:r>
          </w:p>
        </w:tc>
        <w:tc>
          <w:tcPr>
            <w:tcW w:w="921"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货物名称</w:t>
            </w:r>
          </w:p>
        </w:tc>
        <w:tc>
          <w:tcPr>
            <w:tcW w:w="1629"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规格型号/技术要求</w:t>
            </w:r>
          </w:p>
        </w:tc>
        <w:tc>
          <w:tcPr>
            <w:tcW w:w="1286"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品牌/制造商</w:t>
            </w:r>
          </w:p>
        </w:tc>
        <w:tc>
          <w:tcPr>
            <w:tcW w:w="77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暂定数量</w:t>
            </w:r>
          </w:p>
        </w:tc>
        <w:tc>
          <w:tcPr>
            <w:tcW w:w="118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单价</w:t>
            </w:r>
          </w:p>
        </w:tc>
        <w:tc>
          <w:tcPr>
            <w:tcW w:w="1178"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金额</w:t>
            </w:r>
          </w:p>
        </w:tc>
        <w:tc>
          <w:tcPr>
            <w:tcW w:w="167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w:t>
            </w:r>
          </w:p>
        </w:tc>
        <w:tc>
          <w:tcPr>
            <w:tcW w:w="921"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29"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286"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77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8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78"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7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2</w:t>
            </w:r>
          </w:p>
        </w:tc>
        <w:tc>
          <w:tcPr>
            <w:tcW w:w="921"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29"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286"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77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8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78"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7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3</w:t>
            </w:r>
          </w:p>
        </w:tc>
        <w:tc>
          <w:tcPr>
            <w:tcW w:w="921"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29"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286"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77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8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78"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7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r>
    </w:tbl>
    <w:p>
      <w:pPr>
        <w:numPr>
          <w:ilvl w:val="0"/>
          <w:numId w:val="0"/>
        </w:numPr>
        <w:rPr>
          <w:rFonts w:hint="eastAsia"/>
          <w:color w:val="auto"/>
          <w:lang w:eastAsia="zh-CN"/>
        </w:rPr>
      </w:pPr>
    </w:p>
    <w:p>
      <w:pPr>
        <w:pStyle w:val="11"/>
        <w:rPr>
          <w:rFonts w:hint="eastAsia"/>
          <w:color w:val="auto"/>
          <w:lang w:eastAsia="zh-CN"/>
        </w:rPr>
      </w:pPr>
    </w:p>
    <w:p>
      <w:pPr>
        <w:rPr>
          <w:rFonts w:hint="eastAsia"/>
          <w:color w:val="auto"/>
          <w:lang w:eastAsia="zh-CN"/>
        </w:rPr>
      </w:pPr>
    </w:p>
    <w:p>
      <w:pPr>
        <w:rPr>
          <w:rFonts w:hint="eastAsia"/>
          <w:color w:val="auto"/>
          <w:lang w:eastAsia="zh-CN"/>
        </w:rPr>
      </w:pPr>
    </w:p>
    <w:p>
      <w:pPr>
        <w:pStyle w:val="21"/>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7"/>
        <w:rPr>
          <w:rFonts w:hint="eastAsia"/>
          <w:color w:val="auto"/>
          <w:lang w:val="en-US" w:eastAsia="zh-CN"/>
        </w:rPr>
      </w:pPr>
    </w:p>
    <w:p>
      <w:pPr>
        <w:pStyle w:val="21"/>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第四章  </w:t>
      </w:r>
      <w:r>
        <w:rPr>
          <w:rFonts w:hint="eastAsia" w:ascii="宋体" w:hAnsi="宋体"/>
          <w:b/>
          <w:color w:val="auto"/>
          <w:szCs w:val="24"/>
          <w:lang w:eastAsia="zh-CN"/>
        </w:rPr>
        <w:t>安全协议（若有）</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发包单位：</w:t>
      </w:r>
      <w:r>
        <w:rPr>
          <w:rFonts w:hint="eastAsia" w:ascii="宋体" w:hAnsi="宋体" w:eastAsia="宋体" w:cs="宋体"/>
          <w:color w:val="auto"/>
          <w:kern w:val="0"/>
          <w:sz w:val="24"/>
          <w:szCs w:val="24"/>
          <w:u w:val="single"/>
          <w:lang w:bidi="ar"/>
        </w:rPr>
        <w:t>杭州临江环境能源有限公司</w:t>
      </w:r>
      <w:r>
        <w:rPr>
          <w:rFonts w:hint="eastAsia" w:ascii="宋体" w:hAnsi="宋体" w:eastAsia="宋体" w:cs="宋体"/>
          <w:color w:val="auto"/>
          <w:kern w:val="0"/>
          <w:sz w:val="24"/>
          <w:szCs w:val="24"/>
          <w:lang w:bidi="ar"/>
        </w:rPr>
        <w:t xml:space="preserve">（简称甲方）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承包单位：</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bidi="ar"/>
        </w:rPr>
        <w:t xml:space="preserve">（筒称乙方）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甲方将</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2023年临江公司黑匣子数据监测调试服务采购项目 </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一、服务项目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 xml:space="preserve">1、项目名称： </w:t>
      </w:r>
      <w:r>
        <w:rPr>
          <w:rFonts w:hint="eastAsia" w:ascii="宋体" w:hAnsi="宋体" w:eastAsia="宋体" w:cs="宋体"/>
          <w:color w:val="auto"/>
          <w:kern w:val="0"/>
          <w:sz w:val="24"/>
          <w:szCs w:val="24"/>
          <w:u w:val="single"/>
          <w:lang w:val="en-US" w:eastAsia="zh-CN" w:bidi="ar"/>
        </w:rPr>
        <w:t xml:space="preserve">  2023年临江公司黑匣子数据监测调试服务采购项目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2、项目地址：</w:t>
      </w:r>
      <w:r>
        <w:rPr>
          <w:rFonts w:hint="eastAsia" w:ascii="宋体" w:hAnsi="宋体" w:eastAsia="宋体" w:cs="宋体"/>
          <w:color w:val="auto"/>
          <w:kern w:val="0"/>
          <w:sz w:val="24"/>
          <w:szCs w:val="24"/>
          <w:u w:val="single"/>
          <w:lang w:bidi="ar"/>
        </w:rPr>
        <w:t>浙江省杭州钱塘区临江街道杭州临江环境能源有限公司</w:t>
      </w:r>
      <w:r>
        <w:rPr>
          <w:rFonts w:hint="eastAsia" w:ascii="宋体" w:hAnsi="宋体" w:eastAsia="宋体" w:cs="宋体"/>
          <w:color w:val="auto"/>
          <w:kern w:val="0"/>
          <w:sz w:val="24"/>
          <w:szCs w:val="24"/>
          <w:u w:val="single"/>
          <w:lang w:eastAsia="zh-CN" w:bidi="ar"/>
        </w:rPr>
        <w:t>厂区内</w:t>
      </w:r>
      <w:r>
        <w:rPr>
          <w:rFonts w:hint="eastAsia" w:ascii="宋体" w:hAnsi="宋体" w:eastAsia="宋体" w:cs="宋体"/>
          <w:color w:val="auto"/>
          <w:kern w:val="0"/>
          <w:sz w:val="24"/>
          <w:szCs w:val="24"/>
          <w:lang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二、期限：本协议有效期自承包单位进场服务日起，至</w:t>
      </w:r>
      <w:r>
        <w:rPr>
          <w:rFonts w:hint="eastAsia" w:ascii="宋体" w:hAnsi="宋体" w:eastAsia="宋体" w:cs="宋体"/>
          <w:color w:val="auto"/>
          <w:kern w:val="0"/>
          <w:sz w:val="24"/>
          <w:szCs w:val="24"/>
          <w:u w:val="single"/>
          <w:lang w:bidi="ar"/>
        </w:rPr>
        <w:t>本项目</w:t>
      </w:r>
      <w:r>
        <w:rPr>
          <w:rFonts w:hint="eastAsia" w:ascii="宋体" w:hAnsi="宋体" w:eastAsia="宋体" w:cs="宋体"/>
          <w:color w:val="auto"/>
          <w:kern w:val="0"/>
          <w:sz w:val="24"/>
          <w:szCs w:val="24"/>
          <w:u w:val="single"/>
          <w:lang w:eastAsia="zh-CN" w:bidi="ar"/>
        </w:rPr>
        <w:t>合同</w:t>
      </w:r>
      <w:r>
        <w:rPr>
          <w:rFonts w:hint="eastAsia" w:ascii="宋体" w:hAnsi="宋体" w:eastAsia="宋体" w:cs="宋体"/>
          <w:color w:val="auto"/>
          <w:kern w:val="0"/>
          <w:sz w:val="24"/>
          <w:szCs w:val="24"/>
          <w:u w:val="single"/>
          <w:lang w:bidi="ar"/>
        </w:rPr>
        <w:t>结束</w:t>
      </w:r>
      <w:r>
        <w:rPr>
          <w:rFonts w:hint="eastAsia" w:ascii="宋体" w:hAnsi="宋体" w:eastAsia="宋体" w:cs="宋体"/>
          <w:color w:val="auto"/>
          <w:kern w:val="0"/>
          <w:sz w:val="24"/>
          <w:szCs w:val="24"/>
          <w:lang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三、甲、乙双方安全责任、权利、义务：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 甲乙双方必须认真贯彻执行国家、地方政府制定的有关安全生产的方针、政策，严格执行有关劳动保护、安全生产的法律法规、规章以及安全工作规程、安全生产工作规定。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3.4 乙方应建立完善有效的安全生产管理体系，确保在作业期间（服务）的人员安全、设备安全。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3.5 乙方管理员应当定期检查工作环境安全、职业健康状况，建立和健全职业卫生健康管理档案。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3.7 乙方进场人员必须具备胜任该项工作的技术素质和安全素质，特种作业人员必须持证上岗。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3.10 必须按照甲方的要求提供相关材料，接受甲方的资质和条件等必须的审查。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批准后，指派有关车间、班组完成。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3.14 现场作业中，必须严格执行有关安全、消防、治安及文明生产的相关规定。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3.16 乙方因违章作业造成设备停运、损坏，火灾及人身伤亡等影响安全生产的，必须接受甲方的处罚。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3.17 乙方在办理手续时需提供工作人员的花名册，注明所有工作人员的年龄、文化程度、从事专业、身体健康状况等。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3.18 乙方不得使用未年满 18 岁人员。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3.19 乙方特种作业人员，必须经过有关部门的安全、技术培训，并取得相应的证件，持证上岗。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3.20 做好工作人员的职业病安全防护，负责作业人员安全技能的培训教育及劳动保护用品发放和正确使用。</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3.21 做好现场环境保护，不得产生环境污染。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4、事故责任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乙方人员作业（服务）过程的人身安全，均</w:t>
      </w:r>
      <w:r>
        <w:rPr>
          <w:rFonts w:hint="eastAsia" w:ascii="宋体" w:hAnsi="宋体" w:eastAsia="宋体" w:cs="宋体"/>
          <w:color w:val="auto"/>
          <w:kern w:val="0"/>
          <w:sz w:val="24"/>
          <w:szCs w:val="24"/>
          <w:lang w:eastAsia="zh-CN" w:bidi="ar"/>
        </w:rPr>
        <w:t>全部</w:t>
      </w:r>
      <w:r>
        <w:rPr>
          <w:rFonts w:hint="eastAsia" w:ascii="宋体" w:hAnsi="宋体" w:eastAsia="宋体" w:cs="宋体"/>
          <w:color w:val="auto"/>
          <w:kern w:val="0"/>
          <w:sz w:val="24"/>
          <w:szCs w:val="24"/>
          <w:lang w:bidi="ar"/>
        </w:rPr>
        <w:t>由乙方负责</w:t>
      </w:r>
      <w:r>
        <w:rPr>
          <w:rFonts w:hint="eastAsia" w:ascii="宋体" w:hAnsi="宋体" w:eastAsia="宋体" w:cs="宋体"/>
          <w:color w:val="auto"/>
          <w:kern w:val="0"/>
          <w:sz w:val="24"/>
          <w:szCs w:val="24"/>
          <w:lang w:eastAsia="zh-CN" w:bidi="ar"/>
        </w:rPr>
        <w:t>，甲方不承担任何连带责任</w:t>
      </w:r>
      <w:r>
        <w:rPr>
          <w:rFonts w:hint="eastAsia" w:ascii="宋体" w:hAnsi="宋体" w:eastAsia="宋体" w:cs="宋体"/>
          <w:color w:val="auto"/>
          <w:kern w:val="0"/>
          <w:sz w:val="24"/>
          <w:szCs w:val="24"/>
          <w:lang w:bidi="ar"/>
        </w:rPr>
        <w:t xml:space="preserve">；因乙方原因造成甲方人员伤亡、设备损坏、火灾、环保污染等事故，应由乙方承担安全责任并负责全部经济损失的赔偿。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5、现场安全管理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5.1 乙方须提前到甲方有关部门办理临时出入证，进入厂区应配戴出入证，并不得将证件转借他人。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5.2 如果甲方发现乙方人员违章或违反规定，则按甲方的相关条例进行处罚。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5.3 乙方必须接受甲方综管和安环人员的监督、管理和指导，对综合部和应急管理部提出的意见必须及时整改；发生人身事故或危及生产运行的不安全情况，应立即通知甲方应急管理部处理。</w:t>
      </w:r>
    </w:p>
    <w:p>
      <w:pPr>
        <w:pStyle w:val="2"/>
        <w:rPr>
          <w:rFonts w:hint="eastAsia" w:ascii="宋体" w:hAnsi="宋体" w:eastAsia="宋体" w:cs="宋体"/>
          <w:color w:val="auto"/>
          <w:kern w:val="0"/>
          <w:sz w:val="24"/>
          <w:szCs w:val="24"/>
          <w:lang w:bidi="ar"/>
        </w:rPr>
      </w:pPr>
    </w:p>
    <w:p>
      <w:pPr>
        <w:pStyle w:val="3"/>
        <w:rPr>
          <w:rFonts w:hint="eastAsia"/>
          <w:color w:val="auto"/>
        </w:rPr>
      </w:pP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甲方（盖章）：                            乙方（盖章）：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法定代表人或授权代理人：                  法定代表人或授权代理人：</w:t>
      </w:r>
    </w:p>
    <w:p>
      <w:pPr>
        <w:pStyle w:val="11"/>
        <w:keepNext w:val="0"/>
        <w:keepLines w:val="0"/>
        <w:pageBreakBefore w:val="0"/>
        <w:tabs>
          <w:tab w:val="right" w:leader="dot" w:pos="87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（签字或盖章）                           （签字或盖章）</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签订日期：                                签订日期：</w:t>
      </w:r>
    </w:p>
    <w:p>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1"/>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第五章 </w:t>
      </w:r>
      <w:r>
        <w:rPr>
          <w:rFonts w:hint="eastAsia" w:ascii="宋体" w:hAnsi="宋体"/>
          <w:b/>
          <w:color w:val="auto"/>
          <w:szCs w:val="24"/>
          <w:lang w:eastAsia="zh-CN"/>
        </w:rPr>
        <w:t>廉洁协议</w:t>
      </w:r>
    </w:p>
    <w:p>
      <w:pPr>
        <w:pStyle w:val="7"/>
        <w:numPr>
          <w:ilvl w:val="0"/>
          <w:numId w:val="0"/>
        </w:numPr>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u w:val="single"/>
          <w:lang w:eastAsia="zh-CN"/>
        </w:rPr>
      </w:pPr>
      <w:r>
        <w:rPr>
          <w:rFonts w:hint="eastAsia" w:ascii="宋体" w:hAnsi="宋体" w:eastAsia="宋体" w:cs="宋体"/>
          <w:color w:val="auto"/>
          <w:spacing w:val="0"/>
          <w:position w:val="0"/>
          <w:sz w:val="24"/>
          <w:szCs w:val="24"/>
        </w:rPr>
        <w:t>甲方：</w:t>
      </w:r>
      <w:r>
        <w:rPr>
          <w:rFonts w:hint="eastAsia" w:ascii="宋体" w:hAnsi="宋体" w:eastAsia="宋体" w:cs="宋体"/>
          <w:color w:val="auto"/>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auto"/>
          <w:spacing w:val="0"/>
          <w:position w:val="0"/>
          <w:sz w:val="24"/>
          <w:szCs w:val="24"/>
          <w:u w:val="single"/>
          <w:lang w:val="en-US" w:eastAsia="zh-CN"/>
        </w:rPr>
      </w:pPr>
      <w:r>
        <w:rPr>
          <w:rFonts w:hint="eastAsia" w:ascii="宋体" w:hAnsi="宋体" w:eastAsia="宋体" w:cs="宋体"/>
          <w:color w:val="auto"/>
          <w:spacing w:val="0"/>
          <w:position w:val="0"/>
          <w:sz w:val="24"/>
          <w:szCs w:val="24"/>
        </w:rPr>
        <w:t>乙方：</w:t>
      </w:r>
      <w:r>
        <w:rPr>
          <w:rFonts w:hint="eastAsia" w:ascii="宋体" w:hAnsi="宋体" w:cs="宋体"/>
          <w:color w:val="auto"/>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一、</w:t>
      </w:r>
      <w:r>
        <w:rPr>
          <w:rFonts w:hint="eastAsia" w:ascii="宋体" w:hAnsi="宋体" w:eastAsia="宋体" w:cs="宋体"/>
          <w:b/>
          <w:bCs/>
          <w:color w:val="auto"/>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甲、乙双方应共同严格遵守国家和省市以及</w:t>
      </w:r>
      <w:r>
        <w:rPr>
          <w:rFonts w:hint="eastAsia" w:ascii="宋体" w:hAnsi="宋体" w:eastAsia="宋体" w:cs="宋体"/>
          <w:color w:val="auto"/>
          <w:spacing w:val="0"/>
          <w:position w:val="0"/>
          <w:sz w:val="24"/>
          <w:szCs w:val="24"/>
          <w:lang w:eastAsia="zh-CN"/>
        </w:rPr>
        <w:t>采购人</w:t>
      </w:r>
      <w:r>
        <w:rPr>
          <w:rFonts w:hint="eastAsia" w:ascii="宋体" w:hAnsi="宋体" w:eastAsia="宋体" w:cs="宋体"/>
          <w:color w:val="auto"/>
          <w:spacing w:val="0"/>
          <w:position w:val="0"/>
          <w:sz w:val="24"/>
          <w:szCs w:val="24"/>
        </w:rPr>
        <w:t>主管部门关于市场准入、项目招标投标、市场经济活动等有关法律、法规和相关政策，以及项目廉政建设的各项规定。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甲、乙双方应认真执行双方签订的合同文件，  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二、</w:t>
      </w:r>
      <w:r>
        <w:rPr>
          <w:rFonts w:hint="eastAsia" w:ascii="宋体" w:hAnsi="宋体" w:eastAsia="宋体" w:cs="宋体"/>
          <w:b/>
          <w:bCs/>
          <w:color w:val="auto"/>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三、</w:t>
      </w:r>
      <w:r>
        <w:rPr>
          <w:rFonts w:hint="eastAsia" w:ascii="宋体" w:hAnsi="宋体" w:eastAsia="宋体" w:cs="宋体"/>
          <w:b/>
          <w:bCs/>
          <w:color w:val="auto"/>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7.</w:t>
      </w:r>
      <w:r>
        <w:rPr>
          <w:rFonts w:hint="eastAsia" w:ascii="宋体" w:hAnsi="宋体" w:eastAsia="宋体" w:cs="宋体"/>
          <w:color w:val="auto"/>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四、</w:t>
      </w:r>
      <w:r>
        <w:rPr>
          <w:rFonts w:hint="eastAsia" w:ascii="宋体" w:hAnsi="宋体" w:eastAsia="宋体" w:cs="宋体"/>
          <w:b/>
          <w:bCs/>
          <w:color w:val="auto"/>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乙方贿赂甲方人员的，被纪检监察部门或检察机关立案查处的，甲方有权中止项目合同，由此造成甲方的损失以及一切费用均由乙方承担。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auto"/>
          <w:spacing w:val="0"/>
          <w:position w:val="0"/>
          <w:sz w:val="24"/>
          <w:szCs w:val="24"/>
          <w:lang w:eastAsia="zh-CN"/>
        </w:rPr>
      </w:pPr>
      <w:r>
        <w:rPr>
          <w:rFonts w:hint="eastAsia" w:ascii="宋体" w:hAnsi="宋体" w:cs="宋体"/>
          <w:b/>
          <w:bCs/>
          <w:color w:val="auto"/>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本协议有效期为双方签署之日起至双方权利义务履行完毕为止。有效期内发生的违约事实，有效期后发现的适用本协议。</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auto"/>
          <w:spacing w:val="0"/>
          <w:position w:val="0"/>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cs="宋体"/>
          <w:color w:val="auto"/>
          <w:spacing w:val="0"/>
          <w:position w:val="0"/>
          <w:sz w:val="24"/>
          <w:szCs w:val="24"/>
          <w:lang w:eastAsia="zh-CN"/>
        </w:rPr>
      </w:pPr>
      <w:r>
        <w:rPr>
          <w:rFonts w:hint="eastAsia" w:ascii="宋体" w:hAnsi="宋体" w:eastAsia="宋体" w:cs="宋体"/>
          <w:b/>
          <w:bCs/>
          <w:color w:val="auto"/>
          <w:spacing w:val="0"/>
          <w:position w:val="0"/>
          <w:sz w:val="24"/>
          <w:szCs w:val="24"/>
        </w:rPr>
        <w:t>甲方（盖章）</w:t>
      </w:r>
      <w:r>
        <w:rPr>
          <w:rFonts w:hint="eastAsia" w:ascii="宋体" w:hAnsi="宋体" w:eastAsia="宋体" w:cs="宋体"/>
          <w:color w:val="auto"/>
          <w:spacing w:val="0"/>
          <w:position w:val="0"/>
          <w:sz w:val="24"/>
          <w:szCs w:val="24"/>
        </w:rPr>
        <w:t>：</w:t>
      </w:r>
      <w:r>
        <w:rPr>
          <w:rFonts w:hint="eastAsia" w:ascii="宋体" w:hAnsi="宋体" w:cs="宋体"/>
          <w:color w:val="auto"/>
          <w:spacing w:val="0"/>
          <w:position w:val="0"/>
          <w:sz w:val="24"/>
          <w:szCs w:val="24"/>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法定代表人或受委托人（签字）：</w:t>
      </w:r>
      <w:r>
        <w:rPr>
          <w:rFonts w:hint="eastAsia" w:ascii="宋体" w:hAnsi="宋体" w:cs="宋体"/>
          <w:color w:val="auto"/>
          <w:spacing w:val="0"/>
          <w:positio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rPr>
      </w:pPr>
    </w:p>
    <w:p>
      <w:pPr>
        <w:pStyle w:val="2"/>
        <w:rPr>
          <w:rFonts w:hint="eastAsia"/>
          <w:color w:val="auto"/>
          <w:spacing w:val="0"/>
          <w:position w:val="0"/>
          <w:sz w:val="24"/>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rPr>
      </w:pPr>
      <w:r>
        <w:rPr>
          <w:rFonts w:hint="eastAsia" w:ascii="宋体" w:hAnsi="宋体" w:eastAsia="宋体" w:cs="宋体"/>
          <w:b/>
          <w:bCs/>
          <w:color w:val="auto"/>
          <w:spacing w:val="0"/>
          <w:position w:val="0"/>
          <w:sz w:val="24"/>
          <w:szCs w:val="24"/>
        </w:rPr>
        <w:t>乙方（盖章）</w:t>
      </w:r>
      <w:r>
        <w:rPr>
          <w:rFonts w:hint="eastAsia" w:ascii="宋体" w:hAnsi="宋体" w:eastAsia="宋体" w:cs="宋体"/>
          <w:color w:val="auto"/>
          <w:spacing w:val="0"/>
          <w:position w:val="0"/>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rPr>
        <w:t>法定代表人或受委托人（签字）：</w:t>
      </w:r>
    </w:p>
    <w:p>
      <w:pPr>
        <w:rPr>
          <w:color w:val="auto"/>
        </w:rPr>
      </w:pPr>
    </w:p>
    <w:p>
      <w:pPr>
        <w:pStyle w:val="2"/>
        <w:rPr>
          <w:color w:val="auto"/>
        </w:rPr>
      </w:pPr>
    </w:p>
    <w:p>
      <w:pPr>
        <w:pStyle w:val="3"/>
        <w:rPr>
          <w:color w:val="auto"/>
        </w:rPr>
      </w:pPr>
    </w:p>
    <w:p>
      <w:pPr>
        <w:rPr>
          <w:color w:val="auto"/>
        </w:rPr>
      </w:pPr>
    </w:p>
    <w:p>
      <w:pPr>
        <w:pStyle w:val="2"/>
      </w:pPr>
    </w:p>
    <w:p>
      <w:pPr>
        <w:pStyle w:val="2"/>
        <w:rPr>
          <w:color w:val="auto"/>
        </w:rPr>
      </w:pPr>
    </w:p>
    <w:p>
      <w:pPr>
        <w:pStyle w:val="3"/>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2"/>
        <w:rPr>
          <w:color w:val="auto"/>
        </w:rPr>
      </w:pPr>
    </w:p>
    <w:p>
      <w:pPr>
        <w:pStyle w:val="3"/>
        <w:rPr>
          <w:color w:val="auto"/>
        </w:rPr>
      </w:pPr>
    </w:p>
    <w:p>
      <w:pPr>
        <w:rPr>
          <w:color w:val="auto"/>
        </w:rPr>
      </w:pPr>
    </w:p>
    <w:p>
      <w:pPr>
        <w:pStyle w:val="2"/>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2023年临江公司黑匣子数据监测调试服务</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202308x</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pPr>
    </w:p>
    <w:p>
      <w:pPr>
        <w:pStyle w:val="3"/>
        <w:rPr>
          <w:color w:val="auto"/>
        </w:rPr>
      </w:pPr>
    </w:p>
    <w:p>
      <w:pPr>
        <w:rPr>
          <w:color w:val="auto"/>
        </w:rPr>
      </w:pPr>
    </w:p>
    <w:p>
      <w:pPr>
        <w:pStyle w:val="2"/>
        <w:rPr>
          <w:color w:val="auto"/>
        </w:rPr>
      </w:pPr>
    </w:p>
    <w:p>
      <w:pPr>
        <w:pStyle w:val="3"/>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2"/>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pPr>
    </w:p>
    <w:p>
      <w:pPr>
        <w:pStyle w:val="2"/>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pStyle w:val="3"/>
        <w:ind w:left="0" w:leftChars="0" w:firstLine="0" w:firstLineChars="0"/>
      </w:pPr>
    </w:p>
    <w:p>
      <w:pPr>
        <w:pStyle w:val="3"/>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 xml:space="preserve"> 2023年临江公司黑匣子数据监测调试服务</w:t>
      </w:r>
      <w:r>
        <w:rPr>
          <w:rFonts w:hint="eastAsia" w:cs="仿宋" w:asciiTheme="minorEastAsia" w:hAnsiTheme="minorEastAsia"/>
          <w:color w:val="auto"/>
          <w:sz w:val="24"/>
        </w:rPr>
        <w:t>【项目编号：</w:t>
      </w:r>
      <w:r>
        <w:rPr>
          <w:rFonts w:hint="default" w:cs="仿宋" w:asciiTheme="minorEastAsia" w:hAnsiTheme="minorEastAsia"/>
          <w:color w:val="auto"/>
          <w:sz w:val="24"/>
          <w:lang w:val="en-US"/>
        </w:rPr>
        <w:t>202308x</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2"/>
        <w:widowControl w:val="0"/>
        <w:numPr>
          <w:ilvl w:val="0"/>
          <w:numId w:val="0"/>
        </w:numPr>
        <w:autoSpaceDE w:val="0"/>
        <w:autoSpaceDN w:val="0"/>
        <w:adjustRightInd w:val="0"/>
        <w:spacing w:line="360" w:lineRule="auto"/>
        <w:jc w:val="both"/>
        <w:rPr>
          <w:color w:val="auto"/>
        </w:rPr>
      </w:pPr>
    </w:p>
    <w:p>
      <w:pPr>
        <w:pStyle w:val="3"/>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（采购项目名称、采购编号）</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3"/>
        <w:rPr>
          <w:rFonts w:hint="eastAsia"/>
          <w:color w:val="auto"/>
          <w:lang w:val="zh-CN"/>
        </w:rPr>
      </w:pPr>
    </w:p>
    <w:p>
      <w:pPr>
        <w:rPr>
          <w:color w:val="auto"/>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4"/>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4"/>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4"/>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3"/>
        <w:rPr>
          <w:rFonts w:cs="仿宋" w:asciiTheme="minorEastAsia" w:hAnsiTheme="minorEastAsia"/>
          <w:color w:val="auto"/>
          <w:lang w:val="en-US"/>
        </w:rPr>
      </w:pPr>
    </w:p>
    <w:tbl>
      <w:tblPr>
        <w:tblStyle w:val="1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2"/>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2"/>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询价评标小组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6"/>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rPr>
        <w:t>2023年临江公司黑匣子数据监测调试服务采购</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202308x</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7"/>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2023年临江公司黑匣子数据监测调试服务</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202308x</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3"/>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256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cs="仿宋" w:asciiTheme="minorEastAsia" w:hAnsiTheme="minorEastAsia"/>
                <w:color w:val="auto"/>
                <w:sz w:val="24"/>
              </w:rPr>
            </w:pPr>
            <w:r>
              <w:rPr>
                <w:rFonts w:hint="default" w:cs="仿宋" w:asciiTheme="minorEastAsia" w:hAnsiTheme="minorEastAsia"/>
                <w:color w:val="auto"/>
                <w:sz w:val="24"/>
                <w:u w:val="none"/>
                <w:lang w:val="en-US"/>
              </w:rPr>
              <w:t>黑匣子数据监测调试服务</w:t>
            </w:r>
          </w:p>
        </w:tc>
        <w:tc>
          <w:tcPr>
            <w:tcW w:w="2238"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2562"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825"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3、特别提示：采购人将对项目名称和项目编号，成交供应商名称、成交标金额予以公示。</w:t>
      </w: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7" w:name="_Toc465665161"/>
      <w:r>
        <w:rPr>
          <w:rFonts w:hint="eastAsia" w:cs="宋体" w:asciiTheme="minorEastAsia" w:hAnsiTheme="minorEastAsia"/>
          <w:b/>
          <w:bCs/>
          <w:color w:val="auto"/>
          <w:kern w:val="44"/>
          <w:sz w:val="44"/>
          <w:szCs w:val="44"/>
        </w:rPr>
        <w:t>附件</w:t>
      </w:r>
      <w:bookmarkEnd w:id="497"/>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2023年临江公司黑匣子数据监测调试服务</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202308x</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2023年临江公司黑匣子数据监测调试服务</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2"/>
        <w:rPr>
          <w:color w:val="auto"/>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000000"/>
    <w:rsid w:val="023E1286"/>
    <w:rsid w:val="04E634F4"/>
    <w:rsid w:val="05150472"/>
    <w:rsid w:val="09EC7123"/>
    <w:rsid w:val="09ED56C9"/>
    <w:rsid w:val="0C492847"/>
    <w:rsid w:val="0F81598B"/>
    <w:rsid w:val="14521AA0"/>
    <w:rsid w:val="166F3635"/>
    <w:rsid w:val="185A544F"/>
    <w:rsid w:val="18890233"/>
    <w:rsid w:val="198737C7"/>
    <w:rsid w:val="19DC6BDA"/>
    <w:rsid w:val="1AA56FDE"/>
    <w:rsid w:val="1B7913A6"/>
    <w:rsid w:val="1F457921"/>
    <w:rsid w:val="21677697"/>
    <w:rsid w:val="284A39BF"/>
    <w:rsid w:val="2A6366FF"/>
    <w:rsid w:val="2B32649C"/>
    <w:rsid w:val="2C4141D8"/>
    <w:rsid w:val="2F5836E9"/>
    <w:rsid w:val="314B6E80"/>
    <w:rsid w:val="32843E96"/>
    <w:rsid w:val="36162BCB"/>
    <w:rsid w:val="37514AF4"/>
    <w:rsid w:val="377C0298"/>
    <w:rsid w:val="39C31C6C"/>
    <w:rsid w:val="3C283344"/>
    <w:rsid w:val="3C485F9D"/>
    <w:rsid w:val="3C7C70D7"/>
    <w:rsid w:val="3DEB4C8D"/>
    <w:rsid w:val="3E0C6463"/>
    <w:rsid w:val="403E57B7"/>
    <w:rsid w:val="4179370E"/>
    <w:rsid w:val="42112513"/>
    <w:rsid w:val="435518AD"/>
    <w:rsid w:val="472961BF"/>
    <w:rsid w:val="4AE27CAC"/>
    <w:rsid w:val="4BAC48C9"/>
    <w:rsid w:val="4FEB08B0"/>
    <w:rsid w:val="523875F5"/>
    <w:rsid w:val="52506204"/>
    <w:rsid w:val="53FA1DF3"/>
    <w:rsid w:val="54AB2D04"/>
    <w:rsid w:val="571F3A0C"/>
    <w:rsid w:val="57F2034A"/>
    <w:rsid w:val="58235318"/>
    <w:rsid w:val="59121C77"/>
    <w:rsid w:val="59DE0E09"/>
    <w:rsid w:val="5A283DD0"/>
    <w:rsid w:val="5ACD76EE"/>
    <w:rsid w:val="5B3D7F5F"/>
    <w:rsid w:val="5F0279C4"/>
    <w:rsid w:val="5F944466"/>
    <w:rsid w:val="6139287F"/>
    <w:rsid w:val="63CF15A0"/>
    <w:rsid w:val="673E5F91"/>
    <w:rsid w:val="67D649B5"/>
    <w:rsid w:val="6A4E3ABD"/>
    <w:rsid w:val="6AE63D7E"/>
    <w:rsid w:val="6B462C2B"/>
    <w:rsid w:val="700E4F44"/>
    <w:rsid w:val="70173239"/>
    <w:rsid w:val="721A5B23"/>
    <w:rsid w:val="72B931C1"/>
    <w:rsid w:val="738D03F5"/>
    <w:rsid w:val="767E5B01"/>
    <w:rsid w:val="79EB254B"/>
    <w:rsid w:val="7AF4716D"/>
    <w:rsid w:val="7BA82ABD"/>
    <w:rsid w:val="7D797C2B"/>
    <w:rsid w:val="7DA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qFormat/>
    <w:uiPriority w:val="0"/>
    <w:pPr>
      <w:ind w:firstLine="420"/>
    </w:pPr>
    <w:rPr>
      <w:rFonts w:hAnsi="Times New Roman" w:cs="Times New Roman"/>
      <w:snapToGrid/>
      <w:szCs w:val="20"/>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Indent"/>
    <w:basedOn w:val="1"/>
    <w:qFormat/>
    <w:uiPriority w:val="0"/>
    <w:pPr>
      <w:spacing w:line="480" w:lineRule="exact"/>
      <w:ind w:firstLine="480" w:firstLineChars="200"/>
    </w:pPr>
    <w:rPr>
      <w:rFonts w:ascii="宋体" w:hAnsi="宋体"/>
      <w:sz w:val="24"/>
    </w:rPr>
  </w:style>
  <w:style w:type="paragraph" w:styleId="8">
    <w:name w:val="Plain Text"/>
    <w:basedOn w:val="1"/>
    <w:next w:val="1"/>
    <w:qFormat/>
    <w:uiPriority w:val="0"/>
    <w:rPr>
      <w:rFonts w:ascii="宋体" w:hAnsi="Courier New"/>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jc w:val="left"/>
    </w:pPr>
    <w:rPr>
      <w:b/>
      <w:caps/>
    </w:rPr>
  </w:style>
  <w:style w:type="paragraph" w:styleId="12">
    <w:name w:val="toc 6"/>
    <w:basedOn w:val="1"/>
    <w:next w:val="1"/>
    <w:qFormat/>
    <w:uiPriority w:val="0"/>
    <w:pPr>
      <w:ind w:left="2100" w:leftChars="1000"/>
    </w:p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Table Paragraph"/>
    <w:basedOn w:val="1"/>
    <w:qFormat/>
    <w:uiPriority w:val="1"/>
    <w:rPr>
      <w:rFonts w:ascii="宋体" w:hAnsi="宋体" w:eastAsia="宋体" w:cs="宋体"/>
      <w:lang w:val="zh-CN" w:bidi="zh-CN"/>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样式1"/>
    <w:basedOn w:val="1"/>
    <w:qFormat/>
    <w:uiPriority w:val="0"/>
    <w:pPr>
      <w:spacing w:line="360" w:lineRule="exact"/>
      <w:ind w:firstLine="200" w:firstLineChars="200"/>
    </w:pPr>
    <w:rPr>
      <w:rFonts w:ascii="Arial" w:hAnsi="Arial"/>
    </w:rPr>
  </w:style>
  <w:style w:type="paragraph" w:customStyle="1" w:styleId="19">
    <w:name w:val="正文2"/>
    <w:basedOn w:val="1"/>
    <w:qFormat/>
    <w:uiPriority w:val="0"/>
    <w:pPr>
      <w:spacing w:before="156" w:line="360" w:lineRule="auto"/>
      <w:ind w:firstLine="510" w:firstLineChars="200"/>
    </w:pPr>
    <w:rPr>
      <w:sz w:val="24"/>
      <w:szCs w:val="20"/>
    </w:rPr>
  </w:style>
  <w:style w:type="paragraph" w:customStyle="1" w:styleId="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
    <w:name w:val="正文缩进1"/>
    <w:basedOn w:val="1"/>
    <w:next w:val="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2">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3">
    <w:name w:val="纯文本1"/>
    <w:basedOn w:val="1"/>
    <w:qFormat/>
    <w:uiPriority w:val="0"/>
    <w:rPr>
      <w:rFonts w:ascii="宋体" w:hAnsi="Courier New"/>
      <w:kern w:val="0"/>
      <w:sz w:val="20"/>
      <w:szCs w:val="20"/>
    </w:rPr>
  </w:style>
  <w:style w:type="paragraph" w:customStyle="1" w:styleId="24">
    <w:name w:val="纯文本_0_0"/>
    <w:basedOn w:val="25"/>
    <w:qFormat/>
    <w:uiPriority w:val="0"/>
    <w:rPr>
      <w:rFonts w:ascii="宋体" w:hAnsi="Courier New"/>
      <w:szCs w:val="21"/>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 w:type="paragraph" w:customStyle="1" w:styleId="2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25554</Words>
  <Characters>26717</Characters>
  <Lines>0</Lines>
  <Paragraphs>0</Paragraphs>
  <TotalTime>4</TotalTime>
  <ScaleCrop>false</ScaleCrop>
  <LinksUpToDate>false</LinksUpToDate>
  <CharactersWithSpaces>30081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2023-08-28T04:35:21Z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A1ED29D5195F42DC88B15D6E555041E6</vt:lpwstr>
  </property>
</Properties>
</file>