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rFonts w:hint="eastAsia" w:cs="宋体" w:asciiTheme="minorEastAsia" w:hAnsiTheme="minorEastAsia"/>
          <w:color w:val="auto"/>
          <w:sz w:val="48"/>
          <w:szCs w:val="48"/>
          <w:u w:val="single"/>
        </w:rPr>
      </w:pPr>
    </w:p>
    <w:p>
      <w:pPr>
        <w:pStyle w:val="7"/>
        <w:jc w:val="center"/>
        <w:rPr>
          <w:color w:val="auto"/>
        </w:rPr>
      </w:pPr>
      <w:r>
        <w:rPr>
          <w:rFonts w:hint="eastAsia" w:cs="宋体" w:asciiTheme="minorEastAsia" w:hAnsiTheme="minorEastAsia"/>
          <w:color w:val="auto"/>
          <w:sz w:val="48"/>
          <w:szCs w:val="48"/>
          <w:u w:val="single"/>
        </w:rPr>
        <w:t>2023年临江公司能源项目消防维保服务采购</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202308011</w:t>
      </w:r>
    </w:p>
    <w:p>
      <w:pPr>
        <w:spacing w:line="360" w:lineRule="auto"/>
        <w:jc w:val="center"/>
        <w:rPr>
          <w:rFonts w:cs="仿宋" w:asciiTheme="minorEastAsia" w:hAnsiTheme="minorEastAsia"/>
          <w:b/>
          <w:bCs/>
          <w:color w:val="auto"/>
          <w:sz w:val="72"/>
          <w:szCs w:val="72"/>
        </w:rPr>
      </w:pPr>
    </w:p>
    <w:p>
      <w:pPr>
        <w:pStyle w:val="2"/>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7"/>
        <w:rPr>
          <w:color w:val="auto"/>
        </w:rPr>
      </w:pPr>
    </w:p>
    <w:p>
      <w:pPr>
        <w:rPr>
          <w:color w:val="auto"/>
        </w:rPr>
      </w:pPr>
    </w:p>
    <w:p>
      <w:pPr>
        <w:pStyle w:val="7"/>
        <w:rPr>
          <w:color w:val="auto"/>
        </w:rPr>
      </w:pPr>
    </w:p>
    <w:p>
      <w:pPr>
        <w:rPr>
          <w:color w:val="auto"/>
        </w:rPr>
      </w:pPr>
    </w:p>
    <w:p>
      <w:pPr>
        <w:spacing w:line="360" w:lineRule="auto"/>
        <w:rPr>
          <w:rFonts w:cs="仿宋" w:asciiTheme="minorEastAsia" w:hAnsiTheme="minorEastAsia"/>
          <w:color w:val="auto"/>
          <w:sz w:val="24"/>
        </w:rPr>
      </w:pPr>
    </w:p>
    <w:p>
      <w:pPr>
        <w:pStyle w:val="7"/>
        <w:rPr>
          <w:rFonts w:cs="仿宋" w:asciiTheme="minorEastAsia" w:hAnsiTheme="minorEastAsia"/>
          <w:color w:val="auto"/>
          <w:sz w:val="24"/>
          <w:szCs w:val="24"/>
        </w:rPr>
      </w:pPr>
    </w:p>
    <w:p>
      <w:pPr>
        <w:pStyle w:val="7"/>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default" w:cs="仿宋" w:asciiTheme="minorEastAsia" w:hAnsiTheme="minorEastAsia"/>
          <w:color w:val="auto"/>
          <w:sz w:val="32"/>
          <w:szCs w:val="32"/>
          <w:lang w:val="en-US"/>
        </w:rPr>
        <w:t>8</w:t>
      </w:r>
      <w:r>
        <w:rPr>
          <w:rFonts w:hint="eastAsia" w:cs="仿宋" w:asciiTheme="minorEastAsia" w:hAnsiTheme="minorEastAsia"/>
          <w:color w:val="auto"/>
          <w:sz w:val="32"/>
          <w:szCs w:val="32"/>
        </w:rPr>
        <w:t>月   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default" w:cs="仿宋" w:asciiTheme="minorEastAsia" w:hAnsiTheme="minorEastAsia"/>
          <w:color w:val="auto"/>
          <w:sz w:val="24"/>
          <w:u w:val="single"/>
          <w:lang w:val="en-US"/>
        </w:rPr>
        <w:t>2023年临江公司能源项目消防维保服务采购项目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default" w:cs="仿宋" w:asciiTheme="minorEastAsia" w:hAnsiTheme="minorEastAsia"/>
          <w:color w:val="auto"/>
          <w:sz w:val="24"/>
          <w:u w:val="single"/>
          <w:lang w:val="en-US"/>
        </w:rPr>
        <w:t>202308</w:t>
      </w:r>
      <w:r>
        <w:rPr>
          <w:rFonts w:hint="eastAsia" w:cs="仿宋" w:asciiTheme="minorEastAsia" w:hAnsiTheme="minorEastAsia"/>
          <w:color w:val="auto"/>
          <w:sz w:val="24"/>
          <w:u w:val="single"/>
          <w:lang w:val="en-US" w:eastAsia="zh-CN"/>
        </w:rPr>
        <w:t>011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w:t>
      </w:r>
      <w:r>
        <w:rPr>
          <w:rFonts w:hint="default" w:cs="仿宋" w:asciiTheme="minorEastAsia" w:hAnsiTheme="minorEastAsia"/>
          <w:color w:val="auto"/>
          <w:sz w:val="24"/>
          <w:u w:val="single"/>
          <w:lang w:val="en-US"/>
        </w:rPr>
        <w:t>023年临江公司能源项目消防维保服务采购项目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总金额</w:t>
      </w:r>
      <w:r>
        <w:rPr>
          <w:rFonts w:hint="eastAsia" w:cs="仿宋" w:asciiTheme="minorEastAsia" w:hAnsiTheme="minorEastAsia"/>
          <w:color w:val="auto"/>
          <w:sz w:val="24"/>
          <w:u w:val="single"/>
          <w:lang w:val="en-US" w:eastAsia="zh-CN"/>
        </w:rPr>
        <w:t>限价</w:t>
      </w:r>
      <w:r>
        <w:rPr>
          <w:rFonts w:hint="eastAsia" w:cs="仿宋" w:asciiTheme="minorEastAsia" w:hAnsiTheme="minorEastAsia"/>
          <w:color w:val="auto"/>
          <w:sz w:val="24"/>
          <w:u w:val="single"/>
        </w:rPr>
        <w:t>为</w:t>
      </w:r>
      <w:r>
        <w:rPr>
          <w:rFonts w:hint="eastAsia" w:cs="仿宋" w:asciiTheme="minorEastAsia" w:hAnsiTheme="minorEastAsia"/>
          <w:color w:val="auto"/>
          <w:sz w:val="24"/>
          <w:u w:val="single"/>
          <w:lang w:val="en-US" w:eastAsia="zh-CN"/>
        </w:rPr>
        <w:t>7.8万</w:t>
      </w:r>
      <w:r>
        <w:rPr>
          <w:rFonts w:hint="eastAsia" w:cs="仿宋" w:asciiTheme="minorEastAsia" w:hAnsiTheme="minorEastAsia"/>
          <w:color w:val="auto"/>
          <w:sz w:val="24"/>
          <w:u w:val="single"/>
        </w:rPr>
        <w:t>元</w:t>
      </w:r>
      <w:r>
        <w:rPr>
          <w:rFonts w:hint="eastAsia" w:cs="仿宋" w:asciiTheme="minorEastAsia" w:hAnsiTheme="minorEastAsia"/>
          <w:color w:val="auto"/>
          <w:sz w:val="24"/>
          <w:u w:val="single"/>
          <w:lang w:eastAsia="zh-CN"/>
        </w:rPr>
        <w:t>，</w:t>
      </w:r>
      <w:r>
        <w:rPr>
          <w:rFonts w:hint="eastAsia" w:cs="仿宋" w:asciiTheme="minorEastAsia" w:hAnsiTheme="minorEastAsia"/>
          <w:color w:val="auto"/>
          <w:sz w:val="24"/>
          <w:u w:val="single"/>
          <w:lang w:val="en-US" w:eastAsia="zh-CN"/>
        </w:rPr>
        <w:t>其中维保费用限额5万元，备件类限额2.8万元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rPr>
        <w:t xml:space="preserve"> </w:t>
      </w:r>
      <w:r>
        <w:rPr>
          <w:rFonts w:hint="eastAsia" w:hAnsi="宋体" w:cs="宋体"/>
          <w:bCs/>
          <w:color w:val="auto"/>
          <w:sz w:val="24"/>
          <w:lang w:eastAsia="zh-CN"/>
        </w:rPr>
        <w:t>主要负责进行每月消防设备、设施、电气的检查、维护、保养并填写维保记录，年度消防设施和消防电气检测并出具合格的《建筑消防设施年度检测报告》和《建筑电气消防安全年度检测报告》。</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2023年12月17日-2024年6月30日</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81"/>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w:t>
      </w:r>
      <w:r>
        <w:rPr>
          <w:rFonts w:hint="eastAsia" w:cs="仿宋" w:asciiTheme="minorEastAsia" w:hAnsiTheme="minorEastAsia"/>
          <w:bCs/>
          <w:color w:val="auto"/>
          <w:sz w:val="24"/>
          <w:lang w:val="en-US" w:eastAsia="zh-CN"/>
        </w:rPr>
        <w:t>有能力提供消防维保及检测</w:t>
      </w:r>
      <w:r>
        <w:rPr>
          <w:rFonts w:hint="eastAsia" w:cs="仿宋" w:asciiTheme="minorEastAsia" w:hAnsiTheme="minorEastAsia"/>
          <w:bCs/>
          <w:color w:val="auto"/>
          <w:sz w:val="24"/>
        </w:rPr>
        <w:t>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3.供应商必须有自</w:t>
      </w:r>
      <w:r>
        <w:rPr>
          <w:rFonts w:hint="eastAsia" w:cs="仿宋" w:asciiTheme="minorEastAsia" w:hAnsiTheme="minorEastAsia"/>
          <w:bCs/>
          <w:color w:val="auto"/>
          <w:sz w:val="24"/>
          <w:u w:val="single"/>
        </w:rPr>
        <w:t>2020年1月1日起的化工或制造等企业消防维保业绩1份</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符合《消防技术服务机构从业条件》的从事消防设施维护保养检测服务的消防技术服务机构（含已公示）提供证明材料</w:t>
      </w:r>
      <w:r>
        <w:rPr>
          <w:rFonts w:hint="eastAsia" w:cs="仿宋" w:asciiTheme="minorEastAsia" w:hAnsiTheme="minorEastAsia"/>
          <w:bCs/>
          <w:i/>
          <w:i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9</w:t>
      </w:r>
      <w:r>
        <w:rPr>
          <w:rFonts w:hint="eastAsia" w:cs="仿宋" w:asciiTheme="minorEastAsia" w:hAnsiTheme="minorEastAsia"/>
          <w:bCs/>
          <w:color w:val="auto"/>
          <w:sz w:val="24"/>
          <w:u w:val="single"/>
        </w:rPr>
        <w:t xml:space="preserve">月 </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日10点30分00秒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年 9月 7日10点30分00秒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13777455137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 xml:space="preserve">  月  </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3"/>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keepNext w:val="0"/>
              <w:keepLines w:val="0"/>
              <w:numPr>
                <w:ilvl w:val="0"/>
                <w:numId w:val="0"/>
              </w:numPr>
              <w:suppressLineNumbers w:val="0"/>
              <w:spacing w:before="0" w:beforeAutospacing="0" w:after="0" w:afterAutospacing="0" w:line="360" w:lineRule="auto"/>
              <w:ind w:left="0" w:right="0"/>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  </w:t>
            </w:r>
            <w:r>
              <w:rPr>
                <w:rFonts w:hint="eastAsia" w:ascii="宋体" w:hAnsi="宋体" w:eastAsia="宋体" w:cs="宋体"/>
                <w:b/>
                <w:bCs/>
                <w:color w:val="auto"/>
                <w:sz w:val="21"/>
                <w:szCs w:val="21"/>
                <w:lang w:eastAsia="zh-CN"/>
              </w:rPr>
              <w:t>询价保证金</w:t>
            </w:r>
          </w:p>
          <w:p>
            <w:pPr>
              <w:pStyle w:val="17"/>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7"/>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keepNext w:val="0"/>
              <w:keepLines w:val="0"/>
              <w:suppressLineNumbers w:val="0"/>
              <w:spacing w:before="0" w:beforeAutospacing="0" w:after="0" w:afterAutospacing="0" w:line="360" w:lineRule="auto"/>
              <w:ind w:left="0" w:right="0"/>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w:t>
            </w:r>
            <w:r>
              <w:rPr>
                <w:rFonts w:hint="eastAsia" w:ascii="宋体" w:hAnsi="宋体" w:eastAsia="宋体" w:cs="宋体"/>
                <w:color w:val="auto"/>
                <w:sz w:val="21"/>
                <w:szCs w:val="21"/>
                <w:lang w:val="en-US" w:eastAsia="zh-CN"/>
              </w:rPr>
              <w:t>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，如供应商填写的报价函与响应文件中响应报价明细表不一致的，以响应报价函为准。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keepNext w:val="0"/>
              <w:keepLines w:val="0"/>
              <w:suppressLineNumbers w:val="0"/>
              <w:snapToGrid w:val="0"/>
              <w:spacing w:before="0" w:beforeAutospacing="0" w:after="0" w:afterAutospacing="0" w:line="360" w:lineRule="auto"/>
              <w:ind w:left="0" w:right="0"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color w:val="auto"/>
              </w:rPr>
            </w:pPr>
            <w:r>
              <w:rPr>
                <w:rFonts w:hint="eastAsia" w:ascii="宋体" w:hAnsi="宋体" w:cs="宋体"/>
                <w:color w:val="auto"/>
                <w:kern w:val="0"/>
                <w:szCs w:val="21"/>
                <w:lang w:bidi="ar"/>
              </w:rPr>
              <w:sym w:font="Wingdings" w:char="00A8"/>
            </w:r>
            <w:r>
              <w:rPr>
                <w:rFonts w:hint="eastAsia"/>
                <w:color w:val="auto"/>
              </w:rPr>
              <w:t>综合评分法。</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val="en-US" w:eastAsia="zh-CN" w:bidi="ar"/>
              </w:rPr>
              <w:t>其他</w:t>
            </w:r>
            <w:r>
              <w:rPr>
                <w:rFonts w:hint="eastAsia"/>
                <w:color w:val="auto"/>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b/>
                <w:color w:val="auto"/>
                <w:kern w:val="0"/>
                <w:sz w:val="21"/>
                <w:szCs w:val="21"/>
              </w:rPr>
            </w:pPr>
            <w:r>
              <w:rPr>
                <w:rFonts w:hint="eastAsia"/>
                <w:color w:val="auto"/>
              </w:rPr>
              <w:t>详见</w:t>
            </w:r>
            <w:r>
              <w:rPr>
                <w:rFonts w:hint="eastAsia"/>
                <w:color w:val="auto"/>
                <w:lang w:eastAsia="zh-CN"/>
              </w:rPr>
              <w:t>询价采购文件“第四部分 《评审方法》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snapToGrid w:val="0"/>
                <w:color w:val="auto"/>
                <w:szCs w:val="21"/>
              </w:rPr>
            </w:pPr>
            <w:r>
              <w:rPr>
                <w:rFonts w:hint="default"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hint="default"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履约保证金缴纳时间：合同签订</w:t>
            </w:r>
            <w:r>
              <w:rPr>
                <w:rFonts w:hint="eastAsia" w:ascii="宋体" w:hAnsi="宋体" w:cs="宋体"/>
                <w:b w:val="0"/>
                <w:bCs w:val="0"/>
                <w:color w:val="auto"/>
                <w:kern w:val="2"/>
                <w:sz w:val="21"/>
                <w:szCs w:val="24"/>
                <w:lang w:val="en-US" w:eastAsia="zh-CN"/>
              </w:rPr>
              <w:t>后10日内缴纳</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default"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18"/>
              <w:keepNext w:val="0"/>
              <w:keepLines w:val="0"/>
              <w:suppressLineNumbers w:val="0"/>
              <w:snapToGrid w:val="0"/>
              <w:spacing w:before="0" w:beforeAutospacing="0" w:after="0" w:afterAutospacing="0" w:line="400" w:lineRule="exact"/>
              <w:ind w:left="0" w:leftChars="0" w:right="0" w:firstLine="0" w:firstLineChars="0"/>
              <w:jc w:val="left"/>
              <w:rPr>
                <w:rFonts w:hint="default"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eastAsia" w:ascii="宋体" w:hAnsi="宋体" w:cs="宋体"/>
                <w:b w:val="0"/>
                <w:bCs w:val="0"/>
                <w:color w:val="auto"/>
                <w:kern w:val="2"/>
                <w:sz w:val="21"/>
                <w:szCs w:val="24"/>
                <w:lang w:val="en-US" w:eastAsia="zh-CN"/>
              </w:rPr>
              <w:t>30个工作日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6"/>
              <w:keepNext w:val="0"/>
              <w:keepLines w:val="0"/>
              <w:suppressLineNumbers w:val="0"/>
              <w:snapToGrid w:val="0"/>
              <w:spacing w:before="0" w:beforeAutospacing="0" w:after="0" w:afterAutospacing="0" w:line="400" w:lineRule="exact"/>
              <w:ind w:left="0" w:right="42" w:rightChars="20"/>
              <w:jc w:val="both"/>
              <w:rPr>
                <w:rFonts w:hint="default"/>
                <w:snapToGrid w:val="0"/>
                <w:color w:val="auto"/>
                <w:sz w:val="21"/>
                <w:szCs w:val="21"/>
                <w:u w:val="single"/>
                <w:lang w:eastAsia="zh-CN"/>
              </w:rPr>
            </w:pPr>
            <w:r>
              <w:rPr>
                <w:rFonts w:hint="eastAsia"/>
                <w:snapToGrid w:val="0"/>
                <w:color w:val="auto"/>
                <w:szCs w:val="21"/>
                <w:lang w:eastAsia="zh-CN"/>
              </w:rPr>
              <w:sym w:font="Wingdings 2" w:char="00A3"/>
            </w:r>
            <w:r>
              <w:rPr>
                <w:rFonts w:hint="eastAsia"/>
                <w:snapToGrid w:val="0"/>
                <w:color w:val="auto"/>
                <w:sz w:val="21"/>
                <w:szCs w:val="21"/>
                <w:lang w:eastAsia="zh-CN"/>
              </w:rPr>
              <w:t>分册装订。</w:t>
            </w:r>
          </w:p>
          <w:p>
            <w:pPr>
              <w:pStyle w:val="16"/>
              <w:keepNext w:val="0"/>
              <w:keepLines w:val="0"/>
              <w:suppressLineNumbers w:val="0"/>
              <w:snapToGrid w:val="0"/>
              <w:spacing w:before="0" w:beforeAutospacing="0" w:after="0" w:afterAutospacing="0" w:line="400" w:lineRule="exact"/>
              <w:ind w:left="0"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snapToGrid w:val="0"/>
                <w:color w:val="auto"/>
                <w:sz w:val="21"/>
                <w:szCs w:val="21"/>
                <w:lang w:val="en-US" w:eastAsia="zh-CN"/>
              </w:rPr>
              <w:t>正本1份，副本2份，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keepNext w:val="0"/>
              <w:keepLines w:val="0"/>
              <w:suppressLineNumbers w:val="0"/>
              <w:snapToGrid w:val="0"/>
              <w:spacing w:before="0" w:beforeAutospacing="0" w:after="0" w:afterAutospacing="0" w:line="400" w:lineRule="exact"/>
              <w:ind w:left="0" w:right="42" w:rightChars="20"/>
              <w:jc w:val="both"/>
              <w:rPr>
                <w:rFonts w:hint="eastAsia"/>
                <w:snapToGrid w:val="0"/>
                <w:color w:val="auto"/>
                <w:sz w:val="21"/>
                <w:szCs w:val="21"/>
                <w:lang w:eastAsia="zh-CN"/>
              </w:rPr>
            </w:pPr>
            <w:r>
              <w:rPr>
                <w:rFonts w:hint="eastAsia" w:ascii="宋体" w:hAnsi="宋体" w:eastAsia="宋体" w:cs="宋体"/>
                <w:color w:val="auto"/>
                <w:sz w:val="21"/>
                <w:szCs w:val="21"/>
              </w:rPr>
              <w:t>响应有效期为从提交响应文件的截止之日起</w:t>
            </w:r>
            <w:r>
              <w:rPr>
                <w:rFonts w:hint="eastAsia" w:ascii="宋体" w:hAnsi="宋体" w:eastAsia="宋体" w:cs="宋体"/>
                <w:color w:val="auto"/>
                <w:sz w:val="21"/>
                <w:szCs w:val="21"/>
                <w:u w:val="single"/>
              </w:rPr>
              <w:t>90</w:t>
            </w:r>
            <w:r>
              <w:rPr>
                <w:rFonts w:hint="eastAsia" w:ascii="宋体" w:hAnsi="宋体" w:eastAsia="宋体" w:cs="宋体"/>
                <w:color w:val="auto"/>
                <w:sz w:val="21"/>
                <w:szCs w:val="21"/>
              </w:rPr>
              <w:t>天。▲</w:t>
            </w:r>
            <w:r>
              <w:rPr>
                <w:rFonts w:hint="eastAsia" w:ascii="宋体" w:hAnsi="宋体" w:eastAsia="宋体" w:cs="宋体"/>
                <w:b/>
                <w:color w:val="auto"/>
                <w:sz w:val="21"/>
                <w:szCs w:val="21"/>
              </w:rPr>
              <w:t>供应商的响应文件中承诺的响应有效期少于</w:t>
            </w:r>
            <w:r>
              <w:rPr>
                <w:rFonts w:hint="eastAsia" w:ascii="宋体" w:hAnsi="宋体" w:eastAsia="宋体" w:cs="宋体"/>
                <w:b/>
                <w:color w:val="auto"/>
                <w:sz w:val="21"/>
                <w:szCs w:val="21"/>
                <w:lang w:eastAsia="zh-CN"/>
              </w:rPr>
              <w:t>询价采购文件</w:t>
            </w:r>
            <w:r>
              <w:rPr>
                <w:rFonts w:hint="eastAsia" w:ascii="宋体" w:hAnsi="宋体" w:eastAsia="宋体" w:cs="宋体"/>
                <w:b/>
                <w:color w:val="auto"/>
                <w:sz w:val="21"/>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pStyle w:val="12"/>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7"/>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7"/>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2"/>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7"/>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7"/>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7"/>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7"/>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.2.2授权委托书或法定代表人（单位负责人、自然人本人）身份证明；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19"/>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19"/>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拆分</w:t>
      </w:r>
      <w:r>
        <w:rPr>
          <w:rFonts w:hint="eastAsia" w:cs="仿宋" w:asciiTheme="minorEastAsia" w:hAnsiTheme="minorEastAsia"/>
          <w:color w:val="auto"/>
          <w:szCs w:val="24"/>
        </w:rPr>
        <w:t>响应文件。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6"/>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19"/>
        <w:spacing w:before="0"/>
        <w:ind w:firstLine="0" w:firstLineChars="0"/>
        <w:jc w:val="center"/>
        <w:rPr>
          <w:rFonts w:cs="仿宋" w:asciiTheme="minorEastAsia" w:hAnsiTheme="minorEastAsia"/>
          <w:b/>
          <w:color w:val="auto"/>
          <w:sz w:val="32"/>
        </w:rPr>
      </w:pPr>
    </w:p>
    <w:p>
      <w:pPr>
        <w:pStyle w:val="19"/>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0"/>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0"/>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的，不得开启响应文件。</w:t>
      </w:r>
    </w:p>
    <w:p>
      <w:pPr>
        <w:pStyle w:val="20"/>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19"/>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19"/>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19"/>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19"/>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6"/>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6"/>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19"/>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。采购人重新开展采购活动。</w:t>
      </w:r>
    </w:p>
    <w:p>
      <w:pPr>
        <w:pStyle w:val="6"/>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6"/>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7"/>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2"/>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2"/>
        <w:numPr>
          <w:ilvl w:val="0"/>
          <w:numId w:val="0"/>
        </w:numPr>
        <w:ind w:firstLine="480" w:firstLineChars="200"/>
        <w:rPr>
          <w:rFonts w:hint="eastAsia"/>
          <w:color w:val="auto"/>
          <w:lang w:val="en-US" w:eastAsia="zh-CN"/>
        </w:rPr>
      </w:pPr>
      <w:r>
        <w:rPr>
          <w:rFonts w:hint="eastAsia"/>
          <w:color w:val="auto"/>
          <w:lang w:val="en-US" w:eastAsia="zh-CN"/>
        </w:rPr>
        <w:t>1.建筑面积：共133761.98平方米；</w:t>
      </w:r>
    </w:p>
    <w:p>
      <w:pPr>
        <w:pStyle w:val="2"/>
        <w:numPr>
          <w:ilvl w:val="0"/>
          <w:numId w:val="0"/>
        </w:numPr>
        <w:ind w:firstLine="480" w:firstLineChars="200"/>
        <w:rPr>
          <w:rFonts w:hint="eastAsia"/>
          <w:color w:val="auto"/>
          <w:lang w:val="en-US" w:eastAsia="zh-CN"/>
        </w:rPr>
      </w:pPr>
      <w:r>
        <w:rPr>
          <w:rFonts w:hint="eastAsia"/>
          <w:color w:val="auto"/>
          <w:lang w:val="en-US" w:eastAsia="zh-CN"/>
        </w:rPr>
        <w:t>2.消防系统维保项目：</w:t>
      </w:r>
    </w:p>
    <w:p>
      <w:pPr>
        <w:pStyle w:val="2"/>
        <w:numPr>
          <w:ilvl w:val="0"/>
          <w:numId w:val="0"/>
        </w:numPr>
        <w:ind w:firstLine="480" w:firstLineChars="200"/>
        <w:rPr>
          <w:rFonts w:hint="eastAsia"/>
          <w:color w:val="auto"/>
          <w:lang w:val="en-US" w:eastAsia="zh-CN"/>
        </w:rPr>
      </w:pPr>
      <w:r>
        <w:rPr>
          <w:rFonts w:hint="eastAsia"/>
          <w:color w:val="auto"/>
          <w:lang w:val="en-US" w:eastAsia="zh-CN"/>
        </w:rPr>
        <w:t>建筑防火分隔和安全疏散设施、火灾自动报警系统及联动控制系统、消防栓给水设施、消火栓系统、自动喷水灭火系统、消防水炮系统、消防电气和通讯设施、防烟排烟设施、火灾应急广播及报警装置、消防电梯及通讯系统、移动式灭火器材。</w:t>
      </w:r>
    </w:p>
    <w:p>
      <w:pPr>
        <w:pStyle w:val="2"/>
        <w:numPr>
          <w:ilvl w:val="0"/>
          <w:numId w:val="0"/>
        </w:numPr>
        <w:ind w:firstLine="480" w:firstLineChars="200"/>
        <w:rPr>
          <w:rFonts w:hint="eastAsia"/>
          <w:color w:val="auto"/>
          <w:lang w:val="en-US" w:eastAsia="zh-CN"/>
        </w:rPr>
      </w:pPr>
      <w:r>
        <w:rPr>
          <w:rFonts w:hint="eastAsia"/>
          <w:color w:val="auto"/>
          <w:lang w:val="en-US" w:eastAsia="zh-CN"/>
        </w:rPr>
        <w:t>3.服务内容：</w:t>
      </w:r>
    </w:p>
    <w:p>
      <w:pPr>
        <w:pStyle w:val="2"/>
        <w:numPr>
          <w:ilvl w:val="0"/>
          <w:numId w:val="0"/>
        </w:numPr>
        <w:ind w:firstLine="480" w:firstLineChars="200"/>
        <w:rPr>
          <w:rFonts w:hint="eastAsia"/>
          <w:color w:val="auto"/>
          <w:lang w:val="en-US" w:eastAsia="zh-CN"/>
        </w:rPr>
      </w:pPr>
      <w:r>
        <w:rPr>
          <w:rFonts w:hint="eastAsia"/>
          <w:color w:val="auto"/>
          <w:lang w:val="en-US" w:eastAsia="zh-CN"/>
        </w:rPr>
        <w:t>3.1每月消防设备、设施、电气的检查、维护、保养并填写维保记录，提供年度消防设施和消防电气检测并出具盖章合格的《建筑消防设施年度检测报告》和《建筑电气消防安全年度检测报告》。</w:t>
      </w:r>
    </w:p>
    <w:p>
      <w:pPr>
        <w:pStyle w:val="2"/>
        <w:numPr>
          <w:ilvl w:val="0"/>
          <w:numId w:val="0"/>
        </w:numPr>
        <w:ind w:firstLine="480" w:firstLineChars="200"/>
        <w:rPr>
          <w:rFonts w:hint="eastAsia"/>
          <w:color w:val="auto"/>
          <w:lang w:val="en-US" w:eastAsia="zh-CN"/>
        </w:rPr>
      </w:pPr>
      <w:r>
        <w:rPr>
          <w:rFonts w:hint="eastAsia"/>
          <w:color w:val="auto"/>
          <w:lang w:val="en-US" w:eastAsia="zh-CN"/>
        </w:rPr>
        <w:t>3.2更换损坏备件，详见报价清单。</w:t>
      </w:r>
    </w:p>
    <w:p>
      <w:pPr>
        <w:pStyle w:val="2"/>
        <w:numPr>
          <w:ilvl w:val="0"/>
          <w:numId w:val="0"/>
        </w:numPr>
        <w:ind w:firstLine="480" w:firstLineChars="200"/>
        <w:rPr>
          <w:rFonts w:hint="default"/>
          <w:lang w:val="en-US" w:eastAsia="zh-CN"/>
        </w:rPr>
      </w:pPr>
      <w:r>
        <w:rPr>
          <w:rFonts w:hint="eastAsia"/>
          <w:color w:val="auto"/>
          <w:lang w:val="en-US" w:eastAsia="zh-CN"/>
        </w:rPr>
        <w:t>3.3服务时间为2023年12月17日-2024年6月30日。</w:t>
      </w:r>
    </w:p>
    <w:p>
      <w:pPr>
        <w:pStyle w:val="12"/>
        <w:numPr>
          <w:ilvl w:val="0"/>
          <w:numId w:val="0"/>
        </w:numPr>
        <w:ind w:firstLine="480" w:firstLineChars="200"/>
        <w:rPr>
          <w:rFonts w:hint="default"/>
          <w:lang w:val="en-US" w:eastAsia="zh-CN"/>
        </w:rPr>
      </w:pPr>
      <w:r>
        <w:rPr>
          <w:rFonts w:hint="eastAsia" w:ascii="宋体" w:hAnsi="Arial"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需要维保的设备清单（维保数量以实际配置为准）</w:t>
      </w:r>
    </w:p>
    <w:tbl>
      <w:tblPr>
        <w:tblStyle w:val="13"/>
        <w:tblpPr w:leftFromText="180" w:rightFromText="180" w:vertAnchor="page" w:horzAnchor="page" w:tblpX="1836" w:tblpY="7838"/>
        <w:tblOverlap w:val="never"/>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160"/>
        <w:gridCol w:w="1074"/>
        <w:gridCol w:w="244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设施名称</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设施名称</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火灾自动报警及联动控制系统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集中报警器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感烟火灾探测器</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联动控制器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感温火灾探测器</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楼层控制器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手动火灾报警按钮</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消防栓给水设施</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室内消防栓</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522</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消防水泵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室外消防栓</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稳压泵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直接启泵按钮</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498</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气压水罐</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水泵接合器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自动喷水灭火系统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水流指示器</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稳压泵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报警阀</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喷淋泵</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压力开关</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水泵接合器</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喷头</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3100</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末端试水装置</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防排烟系统</w:t>
            </w: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送风机</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排烟风机</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送风口</w:t>
            </w:r>
          </w:p>
        </w:tc>
        <w:tc>
          <w:tcPr>
            <w:tcW w:w="107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44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排烟口</w:t>
            </w:r>
          </w:p>
        </w:tc>
        <w:tc>
          <w:tcPr>
            <w:tcW w:w="120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排烟防火阀</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火灾应急照明和疏散指示标志</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应急照明</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疏散指示</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安全出口</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火灾应急广播及报警装置</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扩音器</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扬声器</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警报装置</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消防电梯及通讯系统</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消防专用电话</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电话插孔</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外线电话</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消防电梯</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防火分隔</w:t>
            </w: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防火门（甲）</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防火门（乙）</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1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防火门（丙）</w:t>
            </w:r>
          </w:p>
        </w:tc>
        <w:tc>
          <w:tcPr>
            <w:tcW w:w="107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w:t>
            </w:r>
          </w:p>
        </w:tc>
        <w:tc>
          <w:tcPr>
            <w:tcW w:w="244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防火卷帘</w:t>
            </w:r>
          </w:p>
        </w:tc>
        <w:tc>
          <w:tcPr>
            <w:tcW w:w="12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r>
    </w:tbl>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2"/>
        <w:numPr>
          <w:ilvl w:val="0"/>
          <w:numId w:val="0"/>
        </w:numPr>
        <w:ind w:firstLine="480" w:firstLineChars="200"/>
        <w:rPr>
          <w:rFonts w:hint="default"/>
          <w:color w:val="auto"/>
          <w:lang w:val="en-US" w:eastAsia="zh-CN"/>
        </w:rPr>
      </w:pPr>
      <w:r>
        <w:rPr>
          <w:rFonts w:hint="eastAsia"/>
          <w:color w:val="auto"/>
          <w:lang w:val="en-US" w:eastAsia="zh-CN"/>
        </w:rPr>
        <w:t>1.合同期限：2023年12月17日-2024年 6月30日；</w:t>
      </w:r>
    </w:p>
    <w:p>
      <w:pPr>
        <w:pStyle w:val="2"/>
        <w:numPr>
          <w:ilvl w:val="0"/>
          <w:numId w:val="0"/>
        </w:numPr>
        <w:ind w:firstLine="480" w:firstLineChars="200"/>
        <w:rPr>
          <w:rFonts w:hint="eastAsia"/>
          <w:color w:val="auto"/>
          <w:lang w:val="en-US" w:eastAsia="zh-CN"/>
        </w:rPr>
      </w:pPr>
      <w:r>
        <w:rPr>
          <w:rFonts w:hint="eastAsia"/>
          <w:color w:val="auto"/>
          <w:lang w:val="en-US" w:eastAsia="zh-CN"/>
        </w:rPr>
        <w:t>2.履约方式：按服务要求每月、每季度交付服务成果。</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2"/>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制定建筑消防设施维护保养计划，派遣已通过消防行业特有工种职业技能鉴定，持有职业资格证书的保养人员（每次至少2人）进行每月消防设备、设施、电气的维保检测，如实出具《建筑消防设施维修保养报告书》报采购人确认，并抄送当地公安消防机构备案；按要求进行年度消防设施和消防电气检测并出具盖章合格的《建筑消防设施年度检测报告》和《建筑电气消防安全年度检测报告》；</w:t>
      </w:r>
    </w:p>
    <w:p>
      <w:pPr>
        <w:pStyle w:val="2"/>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2.对采购人值班检查、巡查或管理人员进行专业技术指导；</w:t>
      </w:r>
    </w:p>
    <w:p>
      <w:pPr>
        <w:pStyle w:val="2"/>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接到故障报告后，在接到采购人通知后24小时内做出书面答复并提供解决方案。若需要派遣技术人员，则应在接到采购人通知后48小时内派遣已通过消防行业特有工种职业技能鉴定，持有中级以上等级职业资格证书的维修人员（每次至少2人）到达现场修复存在问题和故障的消防设施，并承担不及时维修发生的责任；一般故障，中标人应确保在【48】小时内完成维修和故障排除；特殊故障需要延长维修时间的。经采购人认可后可以适当延长。维修完毕后，中标人应如实填写《建筑消防设施故障维修记录表》并报采购人验收维修成果。</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12"/>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完成每月消防设备、设施、电气的检查、维护、保养并填写维保记录，年度消防设施和消防电气检测并出具盖章合格的《建筑消防设施年度检测报告》和《建筑电气消防安全年度检测报告》，完成日常紧急入厂维修并更换损坏备件，通过采购人对检查、维护、保养的结果确认。</w:t>
      </w:r>
    </w:p>
    <w:p>
      <w:pPr>
        <w:pStyle w:val="2"/>
        <w:numPr>
          <w:ilvl w:val="0"/>
          <w:numId w:val="1"/>
        </w:numPr>
        <w:ind w:firstLine="482" w:firstLineChars="200"/>
        <w:rPr>
          <w:rFonts w:hint="eastAsia"/>
          <w:b/>
          <w:bCs/>
          <w:color w:val="auto"/>
          <w:lang w:val="en-US" w:eastAsia="zh-CN"/>
        </w:rPr>
      </w:pPr>
      <w:r>
        <w:rPr>
          <w:rFonts w:hint="eastAsia"/>
          <w:b/>
          <w:bCs/>
          <w:color w:val="auto"/>
          <w:lang w:val="en-US" w:eastAsia="zh-CN"/>
        </w:rPr>
        <w:t>服务要求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所使用的工具、材料和设备符合国家有关安全、环保等标准、规范要求，且应合格。</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1.技术标准及作业要求（包括但不限于以下内容）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1.1采购服务要求：按照《建筑消防设施检测技术规程》（GA503-2004）或《建筑消防设施检测评定技术规范》DB33/T 2129-2018执行</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1.2技术方案：按照《火灾自动报警系统施工及验收规范》（GA50166-2016）、《建筑消防设施检测技术规程》（GA503-2004）或《建筑消防设施检测评定技术规范》DB 33/T 2129-2018、《建筑设计防火规范》GB 50016-（2018修订版）相关要求执行。</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设定了对建筑消防设施的巡视检查、测试检查和检验检查三种方式。</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1.3.1</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消防设施巡视检查的由</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遵循《建筑消防设施检测技术规程》（GA503-2004）或《建筑消防设施检测评定技术规范》DB 33/T 2129-2018的有关规定实施。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1.3.2</w:t>
      </w:r>
      <w:r>
        <w:rPr>
          <w:rFonts w:hint="eastAsia"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lang w:val="en-US" w:eastAsia="zh-CN" w:bidi="ar-SA"/>
        </w:rPr>
        <w:t>建立建筑消防设施故障报告和故障消除的登记制度。发生故障，</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应当及时组织修复。因故障、维修等原因，需要暂时停用的，应当采取有效措施确保安全。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1.3.3建筑消防设施测试检查记录表，应由操作人员和</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的消防安全责任人或者消防安全管理人签字认可。《建筑消防设施年度检测报告》和《建筑电气消防安全年度检测报告》的合格报告，以具备资质的检测单位的盖章书面报告为准。</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2.巡视检查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2.1一般要求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2.1.1每月组织对2.2所列项目巡视检查。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2.1.2建筑消防设施电源开关、管道阀门，均应指示正常运行位置，并标识开、关的状态；对需要保持常开状态的阀门，应当采取铅封、标识等限位措施。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2.2巡视检查内容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2.2.1火灾探测器外观完好情况。</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2.2.2火灾自动报警系统区域显示器是否处于运行状态。</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2.2.3消火栓及消火栓箱包括箱内附近外观，每层配水管控制阀门启、闭状态，消防水泵外观、供电状态和泵房工作环境。</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2.2.4自动喷水灭火系统的喷头外观、水源控制阀、报警控制阀组开启状态，消防水泵外观、供电状态和泵房工作环境，系统各末端压力表压力值，每层配水管控制阀门启、闭状态。</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2.2.5防烟和排烟设施的排烟阀、送风阀的启、闭状态，机械排烟风机、正风送风机外观、供电状态和风机房工作环境，自然排烟窗的启、闭状态。</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2.2.6应急照明和疏散指示标志发光情况，位置和指示方向有无改变。</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2.2.7消防电话或者电话插孔外观有无改变。</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2.2.8防火门、防火卷帘开启是否处于正常状态，外观完好情况，有无遮挡。</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2.2.9其他需要巡视检查内容。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3.测试检查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3.1一般要求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3.1.1每月组织对3.2-3.10所列项目测试检查一次，并填写表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3.1.2测试方法和技术要求应依照《建筑消防设施检测技术规程》（GA503—2004）或《建筑消防设施检测评定技术规范》DB33/T 2129-2018的相关规定。</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3.2火灾自动报警系统</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3.2.1火灾自动报警装置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3.2.1.1至少检查总数量10%的火灾报警探测器功能。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3.2.1.2至少检查总数量10%的手动报警功能。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3.2.2报警装置。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3.2.3火灾报警控制器、图形显示器、火灾显示盘。</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3.2.4消防联动控制设备。</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3.2.5系统功能。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3.3消防给水系统</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3.3.1消防水池、水箱或增压设施。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3.3.2消防水泵及水泵控制柜。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3.3.3水泵接合器。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3.3.4室内消火栓、消防卷盘、消火栓启泵按钮。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3.3.5室外消火栓。</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3.3.6系统功能。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3.4自动喷水灭火系统</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3.4.1水池、水箱和增压设施。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3.4.2消防水泵及水泵控制柜。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3.4.3报警阀组。</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3.4.4控制信号阀。</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3.4.5水流指示器。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3.4.6通过末端试水，至少10%喷头进行功能检查。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3.4.7末端试水装置。</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3.4.8系统功能。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3.5防烟和排烟设施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3.5.1机械加压送风机以及系统功能，送风机控制柜。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3.5.2机械排烟风机、排烟阀以及系统功能，排烟风机控制柜。</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3.6消防电话。</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3.6.1电源切换和充电功能。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3.6.2标识正确性。</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3.6.3通话质量。</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3.6.4应急情况下强制切换功能。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3.7防火分隔设施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3.7.1防火门启闭功能。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3.7.2防火卷帘自动启动和现场手动功能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3.7.3电动防火门联动功能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3.7.4电动防火阀的启、闭功能。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3.8消防供电设施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3.8.1消防用电设备电源末级配电箱处主、备电切换功能。</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4.检验检查</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4.1一般规定</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4.1.1每年12月份前（具体按公安消防部门要求）对建筑消防设施系统的联动控制功能等全系统进行综合检验、评定，出具消防设施、电器线路检测报告各1份，并报当地消防主管部门备案，</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不再另行支付相关检测费用。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4.1.2火灾报警探测器等消防电子设备，应根据产品的技术性能需要进行清洗保养。</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4.1.3维保人员在接收到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4.2检验检查内容</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4.2.1火灾自动报警装置每层、每回路报警系统和联动控制设备的功能实验。每12个月累计对每只探测器、手动报警按钮检查不少于一次；</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4.2.3消防给水系统最不利点消防栓出水，并用水泵接合器供水。每12个月累计对每个消火栓、卷盘检查不少于一次；</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4.2.4消防供电设施功能检查，主备电源切换，检验供电能力；</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4.2.5通过报警联动，检查电梯迫降功能；通过报警联动，检查防火卷帘门及电动防火试风速、风压值。</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5.服务方案：</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5.1</w:t>
      </w:r>
      <w:r>
        <w:rPr>
          <w:rFonts w:hint="eastAsia" w:cs="Arial"/>
          <w:snapToGrid w:val="0"/>
          <w:color w:val="auto"/>
          <w:kern w:val="2"/>
          <w:sz w:val="24"/>
          <w:szCs w:val="21"/>
          <w:highlight w:val="none"/>
          <w:lang w:val="en-US" w:eastAsia="zh-CN" w:bidi="ar-SA"/>
        </w:rPr>
        <w:t>中标人</w:t>
      </w:r>
      <w:r>
        <w:rPr>
          <w:rFonts w:hint="eastAsia" w:ascii="宋体" w:hAnsi="Arial" w:cs="Arial" w:eastAsiaTheme="minorEastAsia"/>
          <w:snapToGrid w:val="0"/>
          <w:color w:val="auto"/>
          <w:kern w:val="2"/>
          <w:sz w:val="24"/>
          <w:szCs w:val="21"/>
          <w:lang w:val="en-US" w:eastAsia="zh-CN" w:bidi="ar-SA"/>
        </w:rPr>
        <w:t>应根据本项目的情况编制详细的《建筑消防设施维修保养方案》，</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每月需提供月度维护保养工作报告（或检查记录），以及每年一次对全系统状态的测试评估并按照上级部门消防要求出具检测报告（包含消防设施、电气线路检测报告），按消防主管部门要求时间完成。</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5.2</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需提供应急响应电话号码，接收到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pPr>
        <w:pStyle w:val="2"/>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6.维修期间确需暂时停用消防系统的，必须报经采购人消防安全责任人批准；故障排除后要进行相应功能试验并报经采购人消防安全管理人检查确认；维修情况要如实记入《建筑消防设施故障维修记录表》；维修期间确需暂时停用消防系统的，必须报经采购人消防安全责任人批准；故障排除后要进行相应功能试验并报经采购人消防安全管理人检查确认；维修情况要如实记入《建筑消防设施故障维修记录表》；</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设备备件维修更换要求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维保期内，如需更换新的备件时，</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应向采购人报送需更换的备件清单，经采购人同意批准后方可更换。更换的备件按维修备件清单内的价格按需更换、按实结算。（维修备件清单内的备件价格为更换备件的综合价格，含税、工时费、车辆费、工具费等所有费用。）清单之外由采购人提供，安装、维修由</w:t>
      </w:r>
      <w:r>
        <w:rPr>
          <w:rFonts w:hint="eastAsia" w:cs="Arial"/>
          <w:snapToGrid w:val="0"/>
          <w:color w:val="auto"/>
          <w:kern w:val="2"/>
          <w:sz w:val="24"/>
          <w:szCs w:val="21"/>
          <w:lang w:val="en-US" w:eastAsia="zh-CN" w:bidi="ar-SA"/>
        </w:rPr>
        <w:t>中标人</w:t>
      </w:r>
      <w:r>
        <w:rPr>
          <w:rFonts w:hint="eastAsia" w:ascii="宋体" w:hAnsi="Arial" w:cs="Arial" w:eastAsiaTheme="minorEastAsia"/>
          <w:snapToGrid w:val="0"/>
          <w:color w:val="auto"/>
          <w:kern w:val="2"/>
          <w:sz w:val="24"/>
          <w:szCs w:val="21"/>
          <w:lang w:val="en-US" w:eastAsia="zh-CN" w:bidi="ar-SA"/>
        </w:rPr>
        <w:t>承担，一般情况下工时费不另外支付，但若因维修工时超过24个工时，工时费双方协商解决。</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1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2"/>
        <w:numPr>
          <w:ilvl w:val="0"/>
          <w:numId w:val="0"/>
        </w:numPr>
        <w:ind w:firstLine="480" w:firstLineChars="200"/>
        <w:rPr>
          <w:rFonts w:hint="eastAsia"/>
          <w:color w:val="auto"/>
          <w:lang w:val="en-US" w:eastAsia="zh-CN"/>
        </w:rPr>
      </w:pPr>
      <w:r>
        <w:rPr>
          <w:rFonts w:hint="eastAsia"/>
          <w:color w:val="auto"/>
          <w:lang w:val="en-US" w:eastAsia="zh-CN"/>
        </w:rPr>
        <w:t>1.中标人必须满足采购人售后服务要求。如使用过程发生问题，</w:t>
      </w:r>
      <w:r>
        <w:rPr>
          <w:rFonts w:hint="eastAsia" w:cs="Arial"/>
          <w:snapToGrid w:val="0"/>
          <w:color w:val="auto"/>
          <w:kern w:val="2"/>
          <w:sz w:val="24"/>
          <w:szCs w:val="21"/>
          <w:lang w:val="en-US" w:eastAsia="zh-CN" w:bidi="ar-SA"/>
        </w:rPr>
        <w:t>中标人</w:t>
      </w:r>
      <w:r>
        <w:rPr>
          <w:rFonts w:hint="eastAsia"/>
          <w:color w:val="auto"/>
          <w:lang w:val="en-US" w:eastAsia="zh-CN"/>
        </w:rPr>
        <w:t>须在接到采购人通知后24小时内做出书面答复并提供解决方案。若需要派遣技术人员，则应在接到采购人通知后48小时内派人员到达现场进行免费指导解决问题。</w:t>
      </w:r>
    </w:p>
    <w:p>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2.采购人不再对任何售后服务进行付费。中标人的派遣人员产生的一切费用由中标人承担。</w:t>
      </w:r>
    </w:p>
    <w:p>
      <w:pPr>
        <w:pStyle w:val="10"/>
        <w:rPr>
          <w:rFonts w:hint="eastAsia"/>
          <w:color w:val="auto"/>
          <w:lang w:eastAsia="zh-CN"/>
        </w:rPr>
      </w:pPr>
    </w:p>
    <w:p>
      <w:pPr>
        <w:rPr>
          <w:rFonts w:hint="eastAsia"/>
          <w:color w:val="auto"/>
          <w:lang w:eastAsia="zh-CN"/>
        </w:rPr>
      </w:pPr>
    </w:p>
    <w:p>
      <w:pPr>
        <w:pStyle w:val="10"/>
        <w:rPr>
          <w:rFonts w:hint="eastAsia"/>
          <w:color w:val="auto"/>
          <w:lang w:eastAsia="zh-CN"/>
        </w:rPr>
      </w:pPr>
    </w:p>
    <w:p>
      <w:pPr>
        <w:rPr>
          <w:rFonts w:hint="eastAsia"/>
          <w:color w:val="auto"/>
          <w:lang w:eastAsia="zh-CN"/>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lang w:val="en-US" w:eastAsia="zh-CN"/>
        </w:rPr>
        <w:t xml:space="preserve">  </w:t>
      </w:r>
      <w:r>
        <w:rPr>
          <w:rFonts w:hint="eastAsia" w:cs="仿宋" w:asciiTheme="minorEastAsia" w:hAnsiTheme="minorEastAsia"/>
          <w:b/>
          <w:color w:val="auto"/>
          <w:sz w:val="36"/>
          <w:szCs w:val="36"/>
        </w:rPr>
        <w:t xml:space="preserve">第四部分  </w:t>
      </w:r>
      <w:bookmarkStart w:id="19" w:name="_Toc184313290"/>
      <w:bookmarkEnd w:id="19"/>
      <w:bookmarkStart w:id="20" w:name="_Toc184310295"/>
      <w:bookmarkEnd w:id="20"/>
      <w:bookmarkStart w:id="21" w:name="_Toc184310274"/>
      <w:bookmarkEnd w:id="21"/>
      <w:bookmarkStart w:id="22" w:name="_Toc184308055"/>
      <w:bookmarkEnd w:id="22"/>
      <w:bookmarkStart w:id="23" w:name="_Toc184312076"/>
      <w:bookmarkEnd w:id="23"/>
      <w:bookmarkStart w:id="24" w:name="_Toc184308085"/>
      <w:bookmarkEnd w:id="24"/>
      <w:bookmarkStart w:id="25" w:name="_Toc184310331"/>
      <w:bookmarkEnd w:id="25"/>
      <w:bookmarkStart w:id="26" w:name="_Toc184314412"/>
      <w:bookmarkEnd w:id="26"/>
      <w:bookmarkStart w:id="27" w:name="_Toc184312087"/>
      <w:bookmarkEnd w:id="27"/>
      <w:bookmarkStart w:id="28" w:name="_Toc184310294"/>
      <w:bookmarkEnd w:id="28"/>
      <w:bookmarkStart w:id="29" w:name="_Toc184310335"/>
      <w:bookmarkEnd w:id="29"/>
      <w:bookmarkStart w:id="30" w:name="_Toc184308044"/>
      <w:bookmarkEnd w:id="30"/>
      <w:bookmarkStart w:id="31" w:name="_Toc184308052"/>
      <w:bookmarkEnd w:id="31"/>
      <w:bookmarkStart w:id="32" w:name="_Toc184312073"/>
      <w:bookmarkEnd w:id="32"/>
      <w:bookmarkStart w:id="33" w:name="_Toc184312097"/>
      <w:bookmarkEnd w:id="33"/>
      <w:bookmarkStart w:id="34" w:name="_Toc184313277"/>
      <w:bookmarkEnd w:id="34"/>
      <w:bookmarkStart w:id="35" w:name="_Toc184308082"/>
      <w:bookmarkEnd w:id="35"/>
      <w:bookmarkStart w:id="36" w:name="_Toc184313264"/>
      <w:bookmarkEnd w:id="36"/>
      <w:bookmarkStart w:id="37" w:name="_Toc184310342"/>
      <w:bookmarkEnd w:id="37"/>
      <w:bookmarkStart w:id="38" w:name="_Toc184310296"/>
      <w:bookmarkEnd w:id="38"/>
      <w:bookmarkStart w:id="39" w:name="_Toc184310279"/>
      <w:bookmarkEnd w:id="39"/>
      <w:bookmarkStart w:id="40" w:name="_Toc184314428"/>
      <w:bookmarkEnd w:id="40"/>
      <w:bookmarkStart w:id="41" w:name="_Toc184313279"/>
      <w:bookmarkEnd w:id="41"/>
      <w:bookmarkStart w:id="42" w:name="_Toc184312091"/>
      <w:bookmarkEnd w:id="42"/>
      <w:bookmarkStart w:id="43" w:name="_Toc184308099"/>
      <w:bookmarkEnd w:id="43"/>
      <w:bookmarkStart w:id="44" w:name="_Toc184308047"/>
      <w:bookmarkEnd w:id="44"/>
      <w:bookmarkStart w:id="45" w:name="_Toc184310281"/>
      <w:bookmarkEnd w:id="45"/>
      <w:bookmarkStart w:id="46" w:name="_Toc184313259"/>
      <w:bookmarkEnd w:id="46"/>
      <w:bookmarkStart w:id="47" w:name="_Toc184313254"/>
      <w:bookmarkEnd w:id="47"/>
      <w:bookmarkStart w:id="48" w:name="_Toc184314475"/>
      <w:bookmarkEnd w:id="48"/>
      <w:bookmarkStart w:id="49" w:name="_Toc184314467"/>
      <w:bookmarkEnd w:id="49"/>
      <w:bookmarkStart w:id="50" w:name="_Toc184308063"/>
      <w:bookmarkEnd w:id="50"/>
      <w:bookmarkStart w:id="51" w:name="_Toc184312137"/>
      <w:bookmarkEnd w:id="51"/>
      <w:bookmarkStart w:id="52" w:name="_Toc184310336"/>
      <w:bookmarkEnd w:id="52"/>
      <w:bookmarkStart w:id="53" w:name="_Toc184308064"/>
      <w:bookmarkEnd w:id="53"/>
      <w:bookmarkStart w:id="54" w:name="_Toc184308077"/>
      <w:bookmarkEnd w:id="54"/>
      <w:bookmarkStart w:id="55" w:name="_Toc184308065"/>
      <w:bookmarkEnd w:id="55"/>
      <w:bookmarkStart w:id="56" w:name="_Toc184310338"/>
      <w:bookmarkEnd w:id="56"/>
      <w:bookmarkStart w:id="57" w:name="_Toc184313309"/>
      <w:bookmarkEnd w:id="57"/>
      <w:bookmarkStart w:id="58" w:name="_Toc184308069"/>
      <w:bookmarkEnd w:id="58"/>
      <w:bookmarkStart w:id="59" w:name="_Toc184312081"/>
      <w:bookmarkEnd w:id="59"/>
      <w:bookmarkStart w:id="60" w:name="_Toc184314441"/>
      <w:bookmarkEnd w:id="60"/>
      <w:bookmarkStart w:id="61" w:name="_Toc184308060"/>
      <w:bookmarkEnd w:id="61"/>
      <w:bookmarkStart w:id="62" w:name="_Toc184312095"/>
      <w:bookmarkEnd w:id="62"/>
      <w:bookmarkStart w:id="63" w:name="_Toc184313286"/>
      <w:bookmarkEnd w:id="63"/>
      <w:bookmarkStart w:id="64" w:name="_Toc184308039"/>
      <w:bookmarkEnd w:id="64"/>
      <w:bookmarkStart w:id="65" w:name="_Toc184313248"/>
      <w:bookmarkEnd w:id="65"/>
      <w:bookmarkStart w:id="66" w:name="_Toc184308075"/>
      <w:bookmarkEnd w:id="66"/>
      <w:bookmarkStart w:id="67" w:name="_Toc184312112"/>
      <w:bookmarkEnd w:id="67"/>
      <w:bookmarkStart w:id="68" w:name="_Toc184308072"/>
      <w:bookmarkEnd w:id="68"/>
      <w:bookmarkStart w:id="69" w:name="_Toc184310300"/>
      <w:bookmarkEnd w:id="69"/>
      <w:bookmarkStart w:id="70" w:name="_Toc184313283"/>
      <w:bookmarkEnd w:id="70"/>
      <w:bookmarkStart w:id="71" w:name="_Toc184313302"/>
      <w:bookmarkEnd w:id="71"/>
      <w:bookmarkStart w:id="72" w:name="_Toc184310339"/>
      <w:bookmarkEnd w:id="72"/>
      <w:bookmarkStart w:id="73" w:name="_Toc184312114"/>
      <w:bookmarkEnd w:id="73"/>
      <w:bookmarkStart w:id="74" w:name="_Toc184308100"/>
      <w:bookmarkEnd w:id="74"/>
      <w:bookmarkStart w:id="75" w:name="_Toc184310287"/>
      <w:bookmarkEnd w:id="75"/>
      <w:bookmarkStart w:id="76" w:name="_Toc184312084"/>
      <w:bookmarkEnd w:id="76"/>
      <w:bookmarkStart w:id="77" w:name="_Toc184314430"/>
      <w:bookmarkEnd w:id="77"/>
      <w:bookmarkStart w:id="78" w:name="_Toc184308097"/>
      <w:bookmarkEnd w:id="78"/>
      <w:bookmarkStart w:id="79" w:name="_Toc184310275"/>
      <w:bookmarkEnd w:id="79"/>
      <w:bookmarkStart w:id="80" w:name="_Toc184314446"/>
      <w:bookmarkEnd w:id="80"/>
      <w:bookmarkStart w:id="81" w:name="_Toc184313243"/>
      <w:bookmarkEnd w:id="81"/>
      <w:bookmarkStart w:id="82" w:name="_Toc184310292"/>
      <w:bookmarkEnd w:id="82"/>
      <w:bookmarkStart w:id="83" w:name="_Toc184313294"/>
      <w:bookmarkEnd w:id="83"/>
      <w:bookmarkStart w:id="84" w:name="_Toc184310313"/>
      <w:bookmarkEnd w:id="84"/>
      <w:bookmarkStart w:id="85" w:name="_Toc184312082"/>
      <w:bookmarkEnd w:id="85"/>
      <w:bookmarkStart w:id="86" w:name="_Toc184314419"/>
      <w:bookmarkEnd w:id="86"/>
      <w:bookmarkStart w:id="87" w:name="_Toc184312109"/>
      <w:bookmarkEnd w:id="87"/>
      <w:bookmarkStart w:id="88" w:name="_Toc184312080"/>
      <w:bookmarkEnd w:id="88"/>
      <w:bookmarkStart w:id="89" w:name="_Toc184310277"/>
      <w:bookmarkEnd w:id="89"/>
      <w:bookmarkStart w:id="90" w:name="_Toc184308068"/>
      <w:bookmarkEnd w:id="90"/>
      <w:bookmarkStart w:id="91" w:name="_Toc184313270"/>
      <w:bookmarkEnd w:id="91"/>
      <w:bookmarkStart w:id="92" w:name="_Toc184313240"/>
      <w:bookmarkEnd w:id="92"/>
      <w:bookmarkStart w:id="93" w:name="_Toc184314459"/>
      <w:bookmarkEnd w:id="93"/>
      <w:bookmarkStart w:id="94" w:name="_Toc184314421"/>
      <w:bookmarkEnd w:id="94"/>
      <w:bookmarkStart w:id="95" w:name="_Toc184310329"/>
      <w:bookmarkEnd w:id="95"/>
      <w:bookmarkStart w:id="96" w:name="_Toc184308094"/>
      <w:bookmarkEnd w:id="96"/>
      <w:bookmarkStart w:id="97" w:name="_Toc184313287"/>
      <w:bookmarkEnd w:id="97"/>
      <w:bookmarkStart w:id="98" w:name="_Toc184312085"/>
      <w:bookmarkEnd w:id="98"/>
      <w:bookmarkStart w:id="99" w:name="_Toc184312106"/>
      <w:bookmarkEnd w:id="99"/>
      <w:bookmarkStart w:id="100" w:name="_Toc184312108"/>
      <w:bookmarkEnd w:id="100"/>
      <w:bookmarkStart w:id="101" w:name="_Toc184314413"/>
      <w:bookmarkEnd w:id="101"/>
      <w:bookmarkStart w:id="102" w:name="_Toc184312100"/>
      <w:bookmarkEnd w:id="102"/>
      <w:bookmarkStart w:id="103" w:name="_Toc184310334"/>
      <w:bookmarkEnd w:id="103"/>
      <w:bookmarkStart w:id="104" w:name="_Toc184308058"/>
      <w:bookmarkEnd w:id="104"/>
      <w:bookmarkStart w:id="105" w:name="_Toc184310307"/>
      <w:bookmarkEnd w:id="105"/>
      <w:bookmarkStart w:id="106" w:name="_Toc184314445"/>
      <w:bookmarkEnd w:id="106"/>
      <w:bookmarkStart w:id="107" w:name="_Toc184313300"/>
      <w:bookmarkEnd w:id="107"/>
      <w:bookmarkStart w:id="108" w:name="_Toc184313278"/>
      <w:bookmarkEnd w:id="108"/>
      <w:bookmarkStart w:id="109" w:name="_Toc184313261"/>
      <w:bookmarkEnd w:id="109"/>
      <w:bookmarkStart w:id="110" w:name="_Toc184313293"/>
      <w:bookmarkEnd w:id="110"/>
      <w:bookmarkStart w:id="111" w:name="_Toc184308091"/>
      <w:bookmarkEnd w:id="111"/>
      <w:bookmarkStart w:id="112" w:name="_Toc184314469"/>
      <w:bookmarkEnd w:id="112"/>
      <w:bookmarkStart w:id="113" w:name="_Toc184308051"/>
      <w:bookmarkEnd w:id="113"/>
      <w:bookmarkStart w:id="114" w:name="_Toc184313284"/>
      <w:bookmarkEnd w:id="114"/>
      <w:bookmarkStart w:id="115" w:name="_Toc184308038"/>
      <w:bookmarkEnd w:id="115"/>
      <w:bookmarkStart w:id="116" w:name="_Toc184308036"/>
      <w:bookmarkEnd w:id="116"/>
      <w:bookmarkStart w:id="117" w:name="_Toc184312094"/>
      <w:bookmarkEnd w:id="117"/>
      <w:bookmarkStart w:id="118" w:name="_Toc184312083"/>
      <w:bookmarkEnd w:id="118"/>
      <w:bookmarkStart w:id="119" w:name="_Toc184310324"/>
      <w:bookmarkEnd w:id="119"/>
      <w:bookmarkStart w:id="120" w:name="_Toc184312116"/>
      <w:bookmarkEnd w:id="120"/>
      <w:bookmarkStart w:id="121" w:name="_Toc184313256"/>
      <w:bookmarkEnd w:id="121"/>
      <w:bookmarkStart w:id="122" w:name="_Toc184308056"/>
      <w:bookmarkEnd w:id="122"/>
      <w:bookmarkStart w:id="123" w:name="_Toc184314454"/>
      <w:bookmarkEnd w:id="123"/>
      <w:bookmarkStart w:id="124" w:name="_Toc184308108"/>
      <w:bookmarkEnd w:id="124"/>
      <w:bookmarkStart w:id="125" w:name="_Toc184314472"/>
      <w:bookmarkEnd w:id="125"/>
      <w:bookmarkStart w:id="126" w:name="_Toc184314426"/>
      <w:bookmarkEnd w:id="126"/>
      <w:bookmarkStart w:id="127" w:name="_Toc184314478"/>
      <w:bookmarkEnd w:id="127"/>
      <w:bookmarkStart w:id="128" w:name="_Toc184310309"/>
      <w:bookmarkEnd w:id="128"/>
      <w:bookmarkStart w:id="129" w:name="_Toc184314422"/>
      <w:bookmarkEnd w:id="129"/>
      <w:bookmarkStart w:id="130" w:name="_Toc184308079"/>
      <w:bookmarkEnd w:id="130"/>
      <w:bookmarkStart w:id="131" w:name="_Toc184310310"/>
      <w:bookmarkEnd w:id="131"/>
      <w:bookmarkStart w:id="132" w:name="_Toc184312139"/>
      <w:bookmarkEnd w:id="132"/>
      <w:bookmarkStart w:id="133" w:name="_Toc184310285"/>
      <w:bookmarkEnd w:id="133"/>
      <w:bookmarkStart w:id="134" w:name="_Toc184314438"/>
      <w:bookmarkEnd w:id="134"/>
      <w:bookmarkStart w:id="135" w:name="_Toc184310340"/>
      <w:bookmarkEnd w:id="135"/>
      <w:bookmarkStart w:id="136" w:name="_Toc184313249"/>
      <w:bookmarkEnd w:id="136"/>
      <w:bookmarkStart w:id="137" w:name="_Toc184313298"/>
      <w:bookmarkEnd w:id="137"/>
      <w:bookmarkStart w:id="138" w:name="_Toc184308049"/>
      <w:bookmarkEnd w:id="138"/>
      <w:bookmarkStart w:id="139" w:name="_Toc184312121"/>
      <w:bookmarkEnd w:id="139"/>
      <w:bookmarkStart w:id="140" w:name="_Toc184312118"/>
      <w:bookmarkEnd w:id="140"/>
      <w:bookmarkStart w:id="141" w:name="_Toc184312110"/>
      <w:bookmarkEnd w:id="141"/>
      <w:bookmarkStart w:id="142" w:name="_Toc184314457"/>
      <w:bookmarkEnd w:id="142"/>
      <w:bookmarkStart w:id="143" w:name="_Toc184313282"/>
      <w:bookmarkEnd w:id="143"/>
      <w:bookmarkStart w:id="144" w:name="_Toc184308062"/>
      <w:bookmarkEnd w:id="144"/>
      <w:bookmarkStart w:id="145" w:name="_Toc184314429"/>
      <w:bookmarkEnd w:id="145"/>
      <w:bookmarkStart w:id="146" w:name="_Toc184312126"/>
      <w:bookmarkEnd w:id="146"/>
      <w:bookmarkStart w:id="147" w:name="_Toc184313296"/>
      <w:bookmarkEnd w:id="147"/>
      <w:bookmarkStart w:id="148" w:name="_Toc184312138"/>
      <w:bookmarkEnd w:id="148"/>
      <w:bookmarkStart w:id="149" w:name="_Toc184312113"/>
      <w:bookmarkEnd w:id="149"/>
      <w:bookmarkStart w:id="150" w:name="_Toc184313238"/>
      <w:bookmarkEnd w:id="150"/>
      <w:bookmarkStart w:id="151" w:name="_Toc184313301"/>
      <w:bookmarkEnd w:id="151"/>
      <w:bookmarkStart w:id="152" w:name="_Toc184308101"/>
      <w:bookmarkEnd w:id="152"/>
      <w:bookmarkStart w:id="153" w:name="_Toc184314480"/>
      <w:bookmarkEnd w:id="153"/>
      <w:bookmarkStart w:id="154" w:name="_Toc184313260"/>
      <w:bookmarkEnd w:id="154"/>
      <w:bookmarkStart w:id="155" w:name="_Toc184314474"/>
      <w:bookmarkEnd w:id="155"/>
      <w:bookmarkStart w:id="156" w:name="_Toc184314443"/>
      <w:bookmarkEnd w:id="156"/>
      <w:bookmarkStart w:id="157" w:name="_Toc184314465"/>
      <w:bookmarkEnd w:id="157"/>
      <w:bookmarkStart w:id="158" w:name="_Toc184312115"/>
      <w:bookmarkEnd w:id="158"/>
      <w:bookmarkStart w:id="159" w:name="_Toc184313242"/>
      <w:bookmarkEnd w:id="159"/>
      <w:bookmarkStart w:id="160" w:name="_Toc184312107"/>
      <w:bookmarkEnd w:id="160"/>
      <w:bookmarkStart w:id="161" w:name="_Toc184310341"/>
      <w:bookmarkEnd w:id="161"/>
      <w:bookmarkStart w:id="162" w:name="_Toc184314444"/>
      <w:bookmarkEnd w:id="162"/>
      <w:bookmarkStart w:id="163" w:name="_Toc184312071"/>
      <w:bookmarkEnd w:id="163"/>
      <w:bookmarkStart w:id="164" w:name="_Toc184308104"/>
      <w:bookmarkEnd w:id="164"/>
      <w:bookmarkStart w:id="165" w:name="_Toc184314431"/>
      <w:bookmarkEnd w:id="165"/>
      <w:bookmarkStart w:id="166" w:name="_Toc184314414"/>
      <w:bookmarkEnd w:id="166"/>
      <w:bookmarkStart w:id="167" w:name="_Toc184308088"/>
      <w:bookmarkEnd w:id="167"/>
      <w:bookmarkStart w:id="168" w:name="_Toc184313247"/>
      <w:bookmarkEnd w:id="168"/>
      <w:bookmarkStart w:id="169" w:name="_Toc184313246"/>
      <w:bookmarkEnd w:id="169"/>
      <w:bookmarkStart w:id="170" w:name="_Toc184312079"/>
      <w:bookmarkEnd w:id="170"/>
      <w:bookmarkStart w:id="171" w:name="_Toc184314418"/>
      <w:bookmarkEnd w:id="171"/>
      <w:bookmarkStart w:id="172" w:name="_Toc184314447"/>
      <w:bookmarkEnd w:id="172"/>
      <w:bookmarkStart w:id="173" w:name="_Toc184314482"/>
      <w:bookmarkEnd w:id="173"/>
      <w:bookmarkStart w:id="174" w:name="_Toc184314460"/>
      <w:bookmarkEnd w:id="174"/>
      <w:bookmarkStart w:id="175" w:name="_Toc184314476"/>
      <w:bookmarkEnd w:id="175"/>
      <w:bookmarkStart w:id="176" w:name="_Toc184312132"/>
      <w:bookmarkEnd w:id="176"/>
      <w:bookmarkStart w:id="177" w:name="_Toc184314462"/>
      <w:bookmarkEnd w:id="177"/>
      <w:bookmarkStart w:id="178" w:name="_Toc184314448"/>
      <w:bookmarkEnd w:id="178"/>
      <w:bookmarkStart w:id="179" w:name="_Toc184310318"/>
      <w:bookmarkEnd w:id="179"/>
      <w:bookmarkStart w:id="180" w:name="_Toc184314424"/>
      <w:bookmarkEnd w:id="180"/>
      <w:bookmarkStart w:id="181" w:name="_Toc184310323"/>
      <w:bookmarkEnd w:id="181"/>
      <w:bookmarkStart w:id="182" w:name="_Toc184312127"/>
      <w:bookmarkEnd w:id="182"/>
      <w:bookmarkStart w:id="183" w:name="_Toc184308076"/>
      <w:bookmarkEnd w:id="183"/>
      <w:bookmarkStart w:id="184" w:name="_Toc184312093"/>
      <w:bookmarkEnd w:id="184"/>
      <w:bookmarkStart w:id="185" w:name="_Toc184313299"/>
      <w:bookmarkEnd w:id="185"/>
      <w:bookmarkStart w:id="186" w:name="_Toc184308098"/>
      <w:bookmarkEnd w:id="186"/>
      <w:bookmarkStart w:id="187" w:name="_Toc184312128"/>
      <w:bookmarkEnd w:id="187"/>
      <w:bookmarkStart w:id="188" w:name="_Toc184313262"/>
      <w:bookmarkEnd w:id="188"/>
      <w:bookmarkStart w:id="189" w:name="_Toc184313280"/>
      <w:bookmarkEnd w:id="189"/>
      <w:bookmarkStart w:id="190" w:name="_Toc184310315"/>
      <w:bookmarkEnd w:id="190"/>
      <w:bookmarkStart w:id="191" w:name="_Toc184308074"/>
      <w:bookmarkEnd w:id="191"/>
      <w:bookmarkStart w:id="192" w:name="_Toc184308041"/>
      <w:bookmarkEnd w:id="192"/>
      <w:bookmarkStart w:id="193" w:name="_Toc184312090"/>
      <w:bookmarkEnd w:id="193"/>
      <w:bookmarkStart w:id="194" w:name="_Toc184314481"/>
      <w:bookmarkEnd w:id="194"/>
      <w:bookmarkStart w:id="195" w:name="_Toc184312123"/>
      <w:bookmarkEnd w:id="195"/>
      <w:bookmarkStart w:id="196" w:name="_Toc184308050"/>
      <w:bookmarkEnd w:id="196"/>
      <w:bookmarkStart w:id="197" w:name="_Toc184310337"/>
      <w:bookmarkEnd w:id="197"/>
      <w:bookmarkStart w:id="198" w:name="_Toc184308045"/>
      <w:bookmarkEnd w:id="198"/>
      <w:bookmarkStart w:id="199" w:name="_Toc184310325"/>
      <w:bookmarkEnd w:id="199"/>
      <w:bookmarkStart w:id="200" w:name="_Toc184313310"/>
      <w:bookmarkEnd w:id="200"/>
      <w:bookmarkStart w:id="201" w:name="_Toc184312125"/>
      <w:bookmarkEnd w:id="201"/>
      <w:bookmarkStart w:id="202" w:name="_Toc184310289"/>
      <w:bookmarkEnd w:id="202"/>
      <w:bookmarkStart w:id="203" w:name="_Toc184313307"/>
      <w:bookmarkEnd w:id="203"/>
      <w:bookmarkStart w:id="204" w:name="_Toc184313289"/>
      <w:bookmarkEnd w:id="204"/>
      <w:bookmarkStart w:id="205" w:name="_Toc184310321"/>
      <w:bookmarkEnd w:id="205"/>
      <w:bookmarkStart w:id="206" w:name="_Toc184313266"/>
      <w:bookmarkEnd w:id="206"/>
      <w:bookmarkStart w:id="207" w:name="_Toc184313268"/>
      <w:bookmarkEnd w:id="207"/>
      <w:bookmarkStart w:id="208" w:name="_Toc184312122"/>
      <w:bookmarkEnd w:id="208"/>
      <w:bookmarkStart w:id="209" w:name="_Toc184312075"/>
      <w:bookmarkEnd w:id="209"/>
      <w:bookmarkStart w:id="210" w:name="_Toc184313303"/>
      <w:bookmarkEnd w:id="210"/>
      <w:bookmarkStart w:id="211" w:name="_Toc184313265"/>
      <w:bookmarkEnd w:id="211"/>
      <w:bookmarkStart w:id="212" w:name="_Toc184312070"/>
      <w:bookmarkEnd w:id="212"/>
      <w:bookmarkStart w:id="213" w:name="_Toc184308105"/>
      <w:bookmarkEnd w:id="213"/>
      <w:bookmarkStart w:id="214" w:name="_Toc184308081"/>
      <w:bookmarkEnd w:id="214"/>
      <w:bookmarkStart w:id="215" w:name="_Toc184314436"/>
      <w:bookmarkEnd w:id="215"/>
      <w:bookmarkStart w:id="216" w:name="_Toc184308073"/>
      <w:bookmarkEnd w:id="216"/>
      <w:bookmarkStart w:id="217" w:name="_Toc184313305"/>
      <w:bookmarkEnd w:id="217"/>
      <w:bookmarkStart w:id="218" w:name="_Toc184314471"/>
      <w:bookmarkEnd w:id="218"/>
      <w:bookmarkStart w:id="219" w:name="_Toc184314440"/>
      <w:bookmarkEnd w:id="219"/>
      <w:bookmarkStart w:id="220" w:name="_Toc184314439"/>
      <w:bookmarkEnd w:id="220"/>
      <w:bookmarkStart w:id="221" w:name="_Toc184310284"/>
      <w:bookmarkEnd w:id="221"/>
      <w:bookmarkStart w:id="222" w:name="_Toc184310290"/>
      <w:bookmarkEnd w:id="222"/>
      <w:bookmarkStart w:id="223" w:name="_Toc184308043"/>
      <w:bookmarkEnd w:id="223"/>
      <w:bookmarkStart w:id="224" w:name="_Toc184310327"/>
      <w:bookmarkEnd w:id="224"/>
      <w:bookmarkStart w:id="225" w:name="_Toc184310343"/>
      <w:bookmarkEnd w:id="225"/>
      <w:bookmarkStart w:id="226" w:name="_Toc184314420"/>
      <w:bookmarkEnd w:id="226"/>
      <w:bookmarkStart w:id="227" w:name="_Toc184310326"/>
      <w:bookmarkEnd w:id="227"/>
      <w:bookmarkStart w:id="228" w:name="_Toc184310278"/>
      <w:bookmarkEnd w:id="228"/>
      <w:bookmarkStart w:id="229" w:name="_Toc184310319"/>
      <w:bookmarkEnd w:id="229"/>
      <w:bookmarkStart w:id="230" w:name="_Toc184310330"/>
      <w:bookmarkEnd w:id="230"/>
      <w:bookmarkStart w:id="231" w:name="_Toc184314425"/>
      <w:bookmarkEnd w:id="231"/>
      <w:bookmarkStart w:id="232" w:name="_Toc184308090"/>
      <w:bookmarkEnd w:id="232"/>
      <w:bookmarkStart w:id="233" w:name="_Toc184312078"/>
      <w:bookmarkEnd w:id="233"/>
      <w:bookmarkStart w:id="234" w:name="_Toc184313269"/>
      <w:bookmarkEnd w:id="234"/>
      <w:bookmarkStart w:id="235" w:name="_Toc184313253"/>
      <w:bookmarkEnd w:id="235"/>
      <w:bookmarkStart w:id="236" w:name="_Toc184314473"/>
      <w:bookmarkEnd w:id="236"/>
      <w:bookmarkStart w:id="237" w:name="_Toc184308080"/>
      <w:bookmarkEnd w:id="237"/>
      <w:bookmarkStart w:id="238" w:name="_Toc184313273"/>
      <w:bookmarkEnd w:id="238"/>
      <w:bookmarkStart w:id="239" w:name="_Toc184313267"/>
      <w:bookmarkEnd w:id="239"/>
      <w:bookmarkStart w:id="240" w:name="_Toc184313281"/>
      <w:bookmarkEnd w:id="240"/>
      <w:bookmarkStart w:id="241" w:name="_Toc184308061"/>
      <w:bookmarkEnd w:id="241"/>
      <w:bookmarkStart w:id="242" w:name="_Toc184308053"/>
      <w:bookmarkEnd w:id="242"/>
      <w:bookmarkStart w:id="243" w:name="_Toc184313250"/>
      <w:bookmarkEnd w:id="243"/>
      <w:bookmarkStart w:id="244" w:name="_Toc184308096"/>
      <w:bookmarkEnd w:id="244"/>
      <w:bookmarkStart w:id="245" w:name="_Toc184310276"/>
      <w:bookmarkEnd w:id="245"/>
      <w:bookmarkStart w:id="246" w:name="_Toc184310297"/>
      <w:bookmarkEnd w:id="246"/>
      <w:bookmarkStart w:id="247" w:name="_Toc184314434"/>
      <w:bookmarkEnd w:id="247"/>
      <w:bookmarkStart w:id="248" w:name="_Toc184310291"/>
      <w:bookmarkEnd w:id="248"/>
      <w:bookmarkStart w:id="249" w:name="_Toc184308054"/>
      <w:bookmarkEnd w:id="249"/>
      <w:bookmarkStart w:id="250" w:name="_Toc184313308"/>
      <w:bookmarkEnd w:id="250"/>
      <w:bookmarkStart w:id="251" w:name="_Toc184308037"/>
      <w:bookmarkEnd w:id="251"/>
      <w:bookmarkStart w:id="252" w:name="_Toc184314449"/>
      <w:bookmarkEnd w:id="252"/>
      <w:bookmarkStart w:id="253" w:name="_Toc184313245"/>
      <w:bookmarkEnd w:id="253"/>
      <w:bookmarkStart w:id="254" w:name="_Toc184308087"/>
      <w:bookmarkEnd w:id="254"/>
      <w:bookmarkStart w:id="255" w:name="_Toc184312130"/>
      <w:bookmarkEnd w:id="255"/>
      <w:bookmarkStart w:id="256" w:name="_Toc184312134"/>
      <w:bookmarkEnd w:id="256"/>
      <w:bookmarkStart w:id="257" w:name="_Toc184313244"/>
      <w:bookmarkEnd w:id="257"/>
      <w:bookmarkStart w:id="258" w:name="_Toc184312120"/>
      <w:bookmarkEnd w:id="258"/>
      <w:bookmarkStart w:id="259" w:name="_Toc184313255"/>
      <w:bookmarkEnd w:id="259"/>
      <w:bookmarkStart w:id="260" w:name="_Toc184308083"/>
      <w:bookmarkEnd w:id="260"/>
      <w:bookmarkStart w:id="261" w:name="_Toc184308046"/>
      <w:bookmarkEnd w:id="261"/>
      <w:bookmarkStart w:id="262" w:name="_Toc184314415"/>
      <w:bookmarkEnd w:id="262"/>
      <w:bookmarkStart w:id="263" w:name="_Toc184313272"/>
      <w:bookmarkEnd w:id="263"/>
      <w:bookmarkStart w:id="264" w:name="_Toc184314470"/>
      <w:bookmarkEnd w:id="264"/>
      <w:bookmarkStart w:id="265" w:name="_Toc184314463"/>
      <w:bookmarkEnd w:id="265"/>
      <w:bookmarkStart w:id="266" w:name="_Toc184314410"/>
      <w:bookmarkEnd w:id="266"/>
      <w:bookmarkStart w:id="267" w:name="_Toc184310306"/>
      <w:bookmarkEnd w:id="267"/>
      <w:bookmarkStart w:id="268" w:name="_Toc184314437"/>
      <w:bookmarkEnd w:id="268"/>
      <w:bookmarkStart w:id="269" w:name="_Toc184308093"/>
      <w:bookmarkEnd w:id="269"/>
      <w:bookmarkStart w:id="270" w:name="_Toc184310286"/>
      <w:bookmarkEnd w:id="270"/>
      <w:bookmarkStart w:id="271" w:name="_Toc184314455"/>
      <w:bookmarkEnd w:id="271"/>
      <w:bookmarkStart w:id="272" w:name="_Toc184312133"/>
      <w:bookmarkEnd w:id="272"/>
      <w:bookmarkStart w:id="273" w:name="_Toc184313241"/>
      <w:bookmarkEnd w:id="273"/>
      <w:bookmarkStart w:id="274" w:name="_Toc184314452"/>
      <w:bookmarkEnd w:id="274"/>
      <w:bookmarkStart w:id="275" w:name="_Toc184308078"/>
      <w:bookmarkEnd w:id="275"/>
      <w:bookmarkStart w:id="276" w:name="_Toc184312104"/>
      <w:bookmarkEnd w:id="276"/>
      <w:bookmarkStart w:id="277" w:name="_Toc184314477"/>
      <w:bookmarkEnd w:id="277"/>
      <w:bookmarkStart w:id="278" w:name="_Toc184308089"/>
      <w:bookmarkEnd w:id="278"/>
      <w:bookmarkStart w:id="279" w:name="_Toc184308071"/>
      <w:bookmarkEnd w:id="279"/>
      <w:bookmarkStart w:id="280" w:name="_Toc184308048"/>
      <w:bookmarkEnd w:id="280"/>
      <w:bookmarkStart w:id="281" w:name="_Toc184312088"/>
      <w:bookmarkEnd w:id="281"/>
      <w:bookmarkStart w:id="282" w:name="_Toc184313252"/>
      <w:bookmarkEnd w:id="282"/>
      <w:bookmarkStart w:id="283" w:name="_Toc184314461"/>
      <w:bookmarkEnd w:id="283"/>
      <w:bookmarkStart w:id="284" w:name="_Toc184314458"/>
      <w:bookmarkEnd w:id="284"/>
      <w:bookmarkStart w:id="285" w:name="_Toc184312103"/>
      <w:bookmarkEnd w:id="285"/>
      <w:bookmarkStart w:id="286" w:name="_Toc184312131"/>
      <w:bookmarkEnd w:id="286"/>
      <w:bookmarkStart w:id="287" w:name="_Toc184310308"/>
      <w:bookmarkEnd w:id="287"/>
      <w:bookmarkStart w:id="288" w:name="_Toc184310344"/>
      <w:bookmarkEnd w:id="288"/>
      <w:bookmarkStart w:id="289" w:name="_Toc184308084"/>
      <w:bookmarkEnd w:id="289"/>
      <w:bookmarkStart w:id="290" w:name="_Toc184312069"/>
      <w:bookmarkEnd w:id="290"/>
      <w:bookmarkStart w:id="291" w:name="_Toc184313239"/>
      <w:bookmarkEnd w:id="291"/>
      <w:bookmarkStart w:id="292" w:name="_Toc184310302"/>
      <w:bookmarkEnd w:id="292"/>
      <w:bookmarkStart w:id="293" w:name="_Toc184308070"/>
      <w:bookmarkEnd w:id="293"/>
      <w:bookmarkStart w:id="294" w:name="_Toc184312111"/>
      <w:bookmarkEnd w:id="294"/>
      <w:bookmarkStart w:id="295" w:name="_Toc184313295"/>
      <w:bookmarkEnd w:id="295"/>
      <w:bookmarkStart w:id="296" w:name="_Toc184312105"/>
      <w:bookmarkEnd w:id="296"/>
      <w:bookmarkStart w:id="297" w:name="_Toc184312124"/>
      <w:bookmarkEnd w:id="297"/>
      <w:bookmarkStart w:id="298" w:name="_Toc184310283"/>
      <w:bookmarkEnd w:id="298"/>
      <w:bookmarkStart w:id="299" w:name="_Toc184310314"/>
      <w:bookmarkEnd w:id="299"/>
      <w:bookmarkStart w:id="300" w:name="_Toc184313257"/>
      <w:bookmarkEnd w:id="300"/>
      <w:bookmarkStart w:id="301" w:name="_Toc184310332"/>
      <w:bookmarkEnd w:id="301"/>
      <w:bookmarkStart w:id="302" w:name="_Toc184308102"/>
      <w:bookmarkEnd w:id="302"/>
      <w:bookmarkStart w:id="303" w:name="_Toc184308103"/>
      <w:bookmarkEnd w:id="303"/>
      <w:bookmarkStart w:id="304" w:name="_Toc184310280"/>
      <w:bookmarkEnd w:id="304"/>
      <w:bookmarkStart w:id="305" w:name="_Toc184312135"/>
      <w:bookmarkEnd w:id="305"/>
      <w:bookmarkStart w:id="306" w:name="_Toc184308095"/>
      <w:bookmarkEnd w:id="306"/>
      <w:bookmarkStart w:id="307" w:name="_Toc184312129"/>
      <w:bookmarkEnd w:id="307"/>
      <w:bookmarkStart w:id="308" w:name="_Toc184310293"/>
      <w:bookmarkEnd w:id="308"/>
      <w:bookmarkStart w:id="309" w:name="_Toc184310272"/>
      <w:bookmarkEnd w:id="309"/>
      <w:bookmarkStart w:id="310" w:name="_Toc184314417"/>
      <w:bookmarkEnd w:id="310"/>
      <w:bookmarkStart w:id="311" w:name="_Toc184313292"/>
      <w:bookmarkEnd w:id="311"/>
      <w:bookmarkStart w:id="312" w:name="_Toc184310328"/>
      <w:bookmarkEnd w:id="312"/>
      <w:bookmarkStart w:id="313" w:name="_Toc184312099"/>
      <w:bookmarkEnd w:id="313"/>
      <w:bookmarkStart w:id="314" w:name="_Toc184308067"/>
      <w:bookmarkEnd w:id="314"/>
      <w:bookmarkStart w:id="315" w:name="_Toc184314450"/>
      <w:bookmarkEnd w:id="315"/>
      <w:bookmarkStart w:id="316" w:name="_Toc184308066"/>
      <w:bookmarkEnd w:id="316"/>
      <w:bookmarkStart w:id="317" w:name="_Toc184310316"/>
      <w:bookmarkEnd w:id="317"/>
      <w:bookmarkStart w:id="318" w:name="_Toc184310317"/>
      <w:bookmarkEnd w:id="318"/>
      <w:bookmarkStart w:id="319" w:name="_Toc184313297"/>
      <w:bookmarkEnd w:id="319"/>
      <w:bookmarkStart w:id="320" w:name="_Toc184313275"/>
      <w:bookmarkEnd w:id="320"/>
      <w:bookmarkStart w:id="321" w:name="_Toc184314453"/>
      <w:bookmarkEnd w:id="321"/>
      <w:bookmarkStart w:id="322" w:name="_Toc184313288"/>
      <w:bookmarkEnd w:id="322"/>
      <w:bookmarkStart w:id="323" w:name="_Toc184314464"/>
      <w:bookmarkEnd w:id="323"/>
      <w:bookmarkStart w:id="324" w:name="_Toc184310305"/>
      <w:bookmarkEnd w:id="324"/>
      <w:bookmarkStart w:id="325" w:name="_Toc184312136"/>
      <w:bookmarkEnd w:id="325"/>
      <w:bookmarkStart w:id="326" w:name="_Toc184310282"/>
      <w:bookmarkEnd w:id="326"/>
      <w:bookmarkStart w:id="327" w:name="_Toc184310299"/>
      <w:bookmarkEnd w:id="327"/>
      <w:bookmarkStart w:id="328" w:name="_Toc184310311"/>
      <w:bookmarkEnd w:id="328"/>
      <w:bookmarkStart w:id="329" w:name="_Toc184310304"/>
      <w:bookmarkEnd w:id="329"/>
      <w:bookmarkStart w:id="330" w:name="_Toc184314433"/>
      <w:bookmarkEnd w:id="330"/>
      <w:bookmarkStart w:id="331" w:name="_Toc184313291"/>
      <w:bookmarkEnd w:id="331"/>
      <w:bookmarkStart w:id="332" w:name="_Toc184313258"/>
      <w:bookmarkEnd w:id="332"/>
      <w:bookmarkStart w:id="333" w:name="_Toc184313276"/>
      <w:bookmarkEnd w:id="333"/>
      <w:bookmarkStart w:id="334" w:name="_Toc184314456"/>
      <w:bookmarkEnd w:id="334"/>
      <w:bookmarkStart w:id="335" w:name="_Toc184313285"/>
      <w:bookmarkEnd w:id="335"/>
      <w:bookmarkStart w:id="336" w:name="_Toc184314432"/>
      <w:bookmarkEnd w:id="336"/>
      <w:bookmarkStart w:id="337" w:name="_Toc184310303"/>
      <w:bookmarkEnd w:id="337"/>
      <w:bookmarkStart w:id="338" w:name="_Toc184313271"/>
      <w:bookmarkEnd w:id="338"/>
      <w:bookmarkStart w:id="339" w:name="_Toc184312074"/>
      <w:bookmarkEnd w:id="339"/>
      <w:bookmarkStart w:id="340" w:name="_Toc184312101"/>
      <w:bookmarkEnd w:id="340"/>
      <w:bookmarkStart w:id="341" w:name="_Toc184310288"/>
      <w:bookmarkEnd w:id="341"/>
      <w:bookmarkStart w:id="342" w:name="_Toc184310298"/>
      <w:bookmarkEnd w:id="342"/>
      <w:bookmarkStart w:id="343" w:name="_Toc184312092"/>
      <w:bookmarkEnd w:id="343"/>
      <w:bookmarkStart w:id="344" w:name="_Toc184314466"/>
      <w:bookmarkEnd w:id="344"/>
      <w:bookmarkStart w:id="345" w:name="_Toc184314468"/>
      <w:bookmarkEnd w:id="345"/>
      <w:bookmarkStart w:id="346" w:name="_Toc184310273"/>
      <w:bookmarkEnd w:id="346"/>
      <w:bookmarkStart w:id="347" w:name="_Toc184313251"/>
      <w:bookmarkEnd w:id="347"/>
      <w:bookmarkStart w:id="348" w:name="_Toc184312068"/>
      <w:bookmarkEnd w:id="348"/>
      <w:bookmarkStart w:id="349" w:name="_Toc184310322"/>
      <w:bookmarkEnd w:id="349"/>
      <w:bookmarkStart w:id="350" w:name="_Toc184310320"/>
      <w:bookmarkEnd w:id="350"/>
      <w:bookmarkStart w:id="351" w:name="_Toc184310301"/>
      <w:bookmarkEnd w:id="351"/>
      <w:bookmarkStart w:id="352" w:name="_Toc184314416"/>
      <w:bookmarkEnd w:id="352"/>
      <w:bookmarkStart w:id="353" w:name="_Toc184308059"/>
      <w:bookmarkEnd w:id="353"/>
      <w:bookmarkStart w:id="354" w:name="_Toc184313304"/>
      <w:bookmarkEnd w:id="354"/>
      <w:bookmarkStart w:id="355" w:name="_Toc184313263"/>
      <w:bookmarkEnd w:id="355"/>
      <w:bookmarkStart w:id="356" w:name="_Toc184308092"/>
      <w:bookmarkEnd w:id="356"/>
      <w:bookmarkStart w:id="357" w:name="_Toc184312067"/>
      <w:bookmarkEnd w:id="357"/>
      <w:bookmarkStart w:id="358" w:name="_Toc184308106"/>
      <w:bookmarkEnd w:id="358"/>
      <w:bookmarkStart w:id="359" w:name="_Toc184314479"/>
      <w:bookmarkEnd w:id="359"/>
      <w:bookmarkStart w:id="360" w:name="_Toc184312077"/>
      <w:bookmarkEnd w:id="360"/>
      <w:bookmarkStart w:id="361" w:name="_Toc184312102"/>
      <w:bookmarkEnd w:id="361"/>
      <w:bookmarkStart w:id="362" w:name="_Toc184314451"/>
      <w:bookmarkEnd w:id="362"/>
      <w:bookmarkStart w:id="363" w:name="_Toc184312119"/>
      <w:bookmarkEnd w:id="363"/>
      <w:bookmarkStart w:id="364" w:name="_Toc184308107"/>
      <w:bookmarkEnd w:id="364"/>
      <w:bookmarkStart w:id="365" w:name="_Toc184312089"/>
      <w:bookmarkEnd w:id="365"/>
      <w:bookmarkStart w:id="366" w:name="_Toc184308042"/>
      <w:bookmarkEnd w:id="366"/>
      <w:bookmarkStart w:id="367" w:name="_Toc184314442"/>
      <w:bookmarkEnd w:id="367"/>
      <w:bookmarkStart w:id="368" w:name="_Toc184312072"/>
      <w:bookmarkEnd w:id="368"/>
      <w:bookmarkStart w:id="369" w:name="_Toc184308040"/>
      <w:bookmarkEnd w:id="369"/>
      <w:bookmarkStart w:id="370" w:name="_Toc184308086"/>
      <w:bookmarkEnd w:id="370"/>
      <w:bookmarkStart w:id="371" w:name="_Toc184312086"/>
      <w:bookmarkEnd w:id="371"/>
      <w:bookmarkStart w:id="372" w:name="_Toc184312096"/>
      <w:bookmarkEnd w:id="372"/>
      <w:bookmarkStart w:id="373" w:name="_Toc184314435"/>
      <w:bookmarkEnd w:id="373"/>
      <w:bookmarkStart w:id="374" w:name="_Toc184313306"/>
      <w:bookmarkEnd w:id="374"/>
      <w:bookmarkStart w:id="375" w:name="_Toc184314411"/>
      <w:bookmarkEnd w:id="375"/>
      <w:bookmarkStart w:id="376" w:name="_Toc184314427"/>
      <w:bookmarkEnd w:id="376"/>
      <w:bookmarkStart w:id="377" w:name="_Toc184314423"/>
      <w:bookmarkEnd w:id="377"/>
      <w:bookmarkStart w:id="378" w:name="_Toc184310312"/>
      <w:bookmarkEnd w:id="378"/>
      <w:bookmarkStart w:id="379" w:name="_Toc184312098"/>
      <w:bookmarkEnd w:id="379"/>
      <w:bookmarkStart w:id="380" w:name="_Toc184310333"/>
      <w:bookmarkEnd w:id="380"/>
      <w:bookmarkStart w:id="381" w:name="_Toc184312117"/>
      <w:bookmarkEnd w:id="381"/>
      <w:bookmarkStart w:id="382" w:name="_Toc184308057"/>
      <w:bookmarkEnd w:id="382"/>
      <w:bookmarkStart w:id="383" w:name="_Toc184313274"/>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负责审标、询标、评审等工作，并向采购人提出评审意见和评审报告。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5.在询价响应文件的审查、澄清、评价和比较以及授予合同的过程中，供应商对采购人</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6"/>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工作人员</w:t>
      </w:r>
      <w:r>
        <w:rPr>
          <w:rFonts w:hint="eastAsia" w:cs="仿宋" w:asciiTheme="minorEastAsia" w:hAnsiTheme="minorEastAsia"/>
          <w:b w:val="0"/>
          <w:bCs w:val="0"/>
          <w:color w:val="auto"/>
          <w:sz w:val="24"/>
          <w:lang w:eastAsia="zh-CN"/>
        </w:rPr>
        <w:t>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）、询价</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实质性响应要求的供应商中，按照报价由低到高的顺序提出成交候选人。</w:t>
      </w:r>
    </w:p>
    <w:p>
      <w:pPr>
        <w:pStyle w:val="2"/>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2"/>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。如报价再相同，则由采购人</w:t>
      </w:r>
      <w:r>
        <w:rPr>
          <w:rFonts w:hint="eastAsia"/>
          <w:b/>
          <w:bCs/>
          <w:color w:val="auto"/>
          <w:lang w:val="en-US" w:eastAsia="zh-CN"/>
        </w:rPr>
        <w:t>工作人员组织询价评审小组成员与供应商分别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2"/>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1"/>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LJGS-2023-</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3"/>
        <w:tabs>
          <w:tab w:val="left" w:pos="432"/>
        </w:tabs>
        <w:rPr>
          <w:color w:val="auto"/>
        </w:rPr>
      </w:pPr>
    </w:p>
    <w:p>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2023年临江公司能源项目消防维保服务采购</w:t>
      </w:r>
      <w:r>
        <w:rPr>
          <w:rFonts w:hint="eastAsia" w:ascii="宋体" w:hAnsi="宋体" w:cs="宋体"/>
          <w:color w:val="auto"/>
          <w:sz w:val="24"/>
          <w:u w:val="single"/>
        </w:rPr>
        <w:t xml:space="preserve">项目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2"/>
        <w:jc w:val="center"/>
        <w:rPr>
          <w:rFonts w:hint="eastAsia"/>
          <w:b/>
          <w:bCs/>
          <w:color w:val="auto"/>
          <w:lang w:eastAsia="zh-CN"/>
        </w:rPr>
      </w:pPr>
    </w:p>
    <w:p>
      <w:pPr>
        <w:pStyle w:val="12"/>
        <w:jc w:val="center"/>
        <w:rPr>
          <w:rFonts w:hint="eastAsia"/>
          <w:b/>
          <w:bCs/>
          <w:color w:val="auto"/>
          <w:lang w:eastAsia="zh-CN"/>
        </w:rPr>
      </w:pPr>
    </w:p>
    <w:p>
      <w:pPr>
        <w:pStyle w:val="12"/>
        <w:jc w:val="center"/>
        <w:rPr>
          <w:rFonts w:hint="eastAsia"/>
          <w:b/>
          <w:bCs/>
          <w:color w:val="auto"/>
          <w:lang w:eastAsia="zh-CN"/>
        </w:rPr>
      </w:pPr>
    </w:p>
    <w:p>
      <w:pPr>
        <w:pStyle w:val="12"/>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第三章 合同清单……………………………………………………………（页码）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第四章 安全协议……………………………………………………………（页码）</w:t>
      </w:r>
    </w:p>
    <w:p>
      <w:pPr>
        <w:pStyle w:val="6"/>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第五章 廉洁协议……………………………………………………………（页码）</w:t>
      </w: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both"/>
        <w:rPr>
          <w:rFonts w:hint="eastAsia" w:ascii="宋体" w:hAnsi="宋体" w:cs="宋体"/>
          <w:b/>
          <w:color w:val="auto"/>
          <w:szCs w:val="24"/>
          <w:lang w:eastAsia="zh-CN"/>
        </w:rPr>
      </w:pPr>
    </w:p>
    <w:p>
      <w:pPr>
        <w:pStyle w:val="21"/>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eastAsia="zh-CN"/>
        </w:rPr>
        <w:t>公开招标</w:t>
      </w:r>
      <w:r>
        <w:rPr>
          <w:rFonts w:hint="eastAsia" w:ascii="宋体" w:hAnsi="宋体"/>
          <w:color w:val="auto"/>
          <w:sz w:val="24"/>
          <w:u w:val="single"/>
          <w:lang w:val="en-US" w:eastAsia="zh-CN"/>
        </w:rPr>
        <w:t>/询价/比价/谈判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2023年临江公司能源项目消防维保服务采购项目</w:t>
      </w:r>
      <w:r>
        <w:rPr>
          <w:rFonts w:hint="eastAsia" w:ascii="宋体" w:hAnsi="宋体" w:cs="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s="宋体"/>
          <w:sz w:val="24"/>
        </w:rPr>
        <w:t>10个工作日</w:t>
      </w:r>
      <w:r>
        <w:rPr>
          <w:rFonts w:hint="eastAsia" w:ascii="宋体" w:hAnsi="宋体"/>
          <w:color w:val="auto"/>
          <w:sz w:val="24"/>
        </w:rPr>
        <w:t>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15367"/>
      <w:bookmarkStart w:id="385" w:name="_Toc28855"/>
      <w:bookmarkStart w:id="386" w:name="_Toc22967"/>
      <w:bookmarkStart w:id="387" w:name="_Toc20421"/>
      <w:bookmarkStart w:id="388" w:name="_Toc19273"/>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highlight w:val="none"/>
        </w:rPr>
      </w:pPr>
      <w:bookmarkStart w:id="389" w:name="_Toc18585"/>
      <w:bookmarkStart w:id="390" w:name="_Toc22185"/>
      <w:bookmarkStart w:id="391" w:name="_Toc6311"/>
      <w:bookmarkStart w:id="392" w:name="_Toc6773"/>
      <w:bookmarkStart w:id="393" w:name="_Toc2918"/>
      <w:r>
        <w:rPr>
          <w:rFonts w:hint="eastAsia" w:ascii="宋体" w:hAnsi="宋体"/>
          <w:b/>
          <w:color w:val="auto"/>
          <w:sz w:val="24"/>
          <w:highlight w:val="none"/>
          <w:lang w:eastAsia="zh-CN"/>
        </w:rPr>
        <w:t>二、</w:t>
      </w:r>
      <w:r>
        <w:rPr>
          <w:rFonts w:hint="eastAsia" w:ascii="宋体" w:hAnsi="宋体"/>
          <w:b/>
          <w:color w:val="auto"/>
          <w:sz w:val="24"/>
          <w:highlight w:val="none"/>
        </w:rPr>
        <w:t>标的</w:t>
      </w:r>
      <w:bookmarkEnd w:id="389"/>
      <w:bookmarkEnd w:id="390"/>
      <w:bookmarkEnd w:id="391"/>
      <w:bookmarkEnd w:id="392"/>
      <w:bookmarkEnd w:id="393"/>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Theme="minorEastAsia"/>
          <w:color w:val="auto"/>
          <w:sz w:val="24"/>
          <w:highlight w:val="none"/>
          <w:u w:val="singl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主要负责进行厂内每月消防设备、设施、电气的检查、维护、保养。</w:t>
      </w:r>
      <w:r>
        <w:rPr>
          <w:rFonts w:hint="eastAsia" w:ascii="宋体" w:hAnsi="宋体"/>
          <w:color w:val="auto"/>
          <w:sz w:val="24"/>
          <w:highlight w:val="none"/>
          <w:u w:val="single"/>
          <w:lang w:val="en-US" w:eastAsia="zh-CN"/>
        </w:rPr>
        <w:t>进行</w:t>
      </w:r>
      <w:r>
        <w:rPr>
          <w:rFonts w:hint="eastAsia" w:ascii="宋体" w:hAnsi="宋体"/>
          <w:color w:val="auto"/>
          <w:sz w:val="24"/>
          <w:highlight w:val="none"/>
          <w:u w:val="single"/>
        </w:rPr>
        <w:t>年度消防设施和消防电气检测，出具《建筑消防设施年度检测报告》和《建筑电气消防安全年度检测报告》并更换损坏的备件</w:t>
      </w:r>
      <w:r>
        <w:rPr>
          <w:rFonts w:hint="eastAsia" w:ascii="宋体" w:hAnsi="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auto"/>
          <w:sz w:val="24"/>
          <w:highlight w:val="none"/>
          <w:u w:val="single"/>
        </w:rPr>
      </w:pPr>
      <w:r>
        <w:rPr>
          <w:rFonts w:hint="eastAsia" w:ascii="宋体" w:hAnsi="宋体"/>
          <w:color w:val="auto"/>
          <w:sz w:val="24"/>
          <w:highlight w:val="none"/>
          <w:lang w:val="en-US" w:eastAsia="zh-CN"/>
        </w:rPr>
        <w:t>2.</w:t>
      </w:r>
      <w:r>
        <w:rPr>
          <w:rFonts w:hint="eastAsia" w:ascii="宋体" w:hAnsi="宋体"/>
          <w:color w:val="auto"/>
          <w:sz w:val="24"/>
          <w:highlight w:val="none"/>
        </w:rPr>
        <w:t>服务标准</w:t>
      </w:r>
      <w:r>
        <w:rPr>
          <w:rFonts w:hint="eastAsia" w:ascii="宋体" w:hAnsi="宋体"/>
          <w:color w:val="auto"/>
          <w:sz w:val="24"/>
          <w:highlight w:val="none"/>
          <w:lang w:eastAsia="zh-CN"/>
        </w:rPr>
        <w:t>要求（</w:t>
      </w:r>
      <w:r>
        <w:rPr>
          <w:rFonts w:hint="eastAsia" w:ascii="宋体" w:hAnsi="宋体"/>
          <w:b/>
          <w:bCs/>
          <w:color w:val="auto"/>
          <w:sz w:val="24"/>
          <w:highlight w:val="none"/>
          <w:u w:val="none"/>
          <w:lang w:eastAsia="zh-CN"/>
        </w:rPr>
        <w:t>验收标准</w:t>
      </w:r>
      <w:r>
        <w:rPr>
          <w:rFonts w:hint="eastAsia" w:ascii="宋体" w:hAnsi="宋体"/>
          <w:color w:val="auto"/>
          <w:sz w:val="24"/>
          <w:highlight w:val="none"/>
          <w:lang w:eastAsia="zh-CN"/>
        </w:rPr>
        <w:t>）</w:t>
      </w:r>
      <w:r>
        <w:rPr>
          <w:rFonts w:ascii="宋体" w:hAnsi="宋体"/>
          <w:color w:val="auto"/>
          <w:sz w:val="24"/>
          <w:highlight w:val="none"/>
        </w:rPr>
        <w:t>：</w:t>
      </w:r>
      <w:r>
        <w:rPr>
          <w:rFonts w:hint="eastAsia" w:ascii="宋体" w:hAnsi="宋体"/>
          <w:color w:val="auto"/>
          <w:sz w:val="24"/>
          <w:highlight w:val="none"/>
          <w:u w:val="single"/>
          <w:lang w:val="en-US" w:eastAsia="zh-CN"/>
        </w:rPr>
        <w:t>制定建筑消防设施维护保养计划，严格按照甲方要求派遣保养人员（每次至少2人）进行</w:t>
      </w:r>
      <w:r>
        <w:rPr>
          <w:rFonts w:hint="eastAsia" w:ascii="宋体" w:hAnsi="宋体"/>
          <w:color w:val="auto"/>
          <w:sz w:val="24"/>
          <w:highlight w:val="none"/>
          <w:u w:val="single"/>
        </w:rPr>
        <w:t>每月消防设备、设施、电气的维保</w:t>
      </w:r>
      <w:r>
        <w:rPr>
          <w:rFonts w:hint="eastAsia" w:ascii="宋体" w:hAnsi="宋体"/>
          <w:color w:val="auto"/>
          <w:sz w:val="24"/>
          <w:highlight w:val="none"/>
          <w:u w:val="single"/>
          <w:lang w:val="en-US" w:eastAsia="zh-CN"/>
        </w:rPr>
        <w:t>检测</w:t>
      </w:r>
      <w:r>
        <w:rPr>
          <w:rFonts w:hint="eastAsia" w:ascii="宋体" w:hAnsi="宋体"/>
          <w:color w:val="auto"/>
          <w:sz w:val="24"/>
          <w:highlight w:val="none"/>
          <w:u w:val="single"/>
        </w:rPr>
        <w:t>，并抄送当地公安消防机构备案；按要求</w:t>
      </w:r>
      <w:r>
        <w:rPr>
          <w:rFonts w:hint="eastAsia" w:ascii="宋体" w:hAnsi="宋体" w:eastAsiaTheme="minorEastAsia" w:cstheme="minorBidi"/>
          <w:b w:val="0"/>
          <w:bCs/>
          <w:i w:val="0"/>
          <w:iCs/>
          <w:snapToGrid/>
          <w:color w:val="auto"/>
          <w:kern w:val="2"/>
          <w:sz w:val="24"/>
          <w:szCs w:val="24"/>
          <w:highlight w:val="none"/>
          <w:u w:val="single"/>
          <w:lang w:val="en-US" w:eastAsia="zh-CN" w:bidi="ar-SA"/>
        </w:rPr>
        <w:t>进行年度消防设施和消防电气检测并出具盖章合格的《建筑消防设施年度检测报告》和《建筑电气消防安全年度检测报告》，</w:t>
      </w:r>
      <w:r>
        <w:rPr>
          <w:rFonts w:hint="eastAsia" w:ascii="宋体" w:hAnsi="宋体"/>
          <w:color w:val="auto"/>
          <w:sz w:val="24"/>
          <w:highlight w:val="none"/>
          <w:u w:val="single"/>
          <w:lang w:val="en-US" w:eastAsia="zh-CN"/>
        </w:rPr>
        <w:t>完成</w:t>
      </w:r>
      <w:r>
        <w:rPr>
          <w:rFonts w:hint="eastAsia" w:ascii="宋体" w:hAnsi="宋体"/>
          <w:color w:val="auto"/>
          <w:sz w:val="24"/>
          <w:highlight w:val="none"/>
          <w:u w:val="single"/>
        </w:rPr>
        <w:t>日常紧急入厂维修更换损坏备件，通过</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对检查、维护、保养的结果确认</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Theme="minorEastAsia"/>
          <w:color w:val="auto"/>
          <w:sz w:val="24"/>
          <w:u w:val="single"/>
          <w:lang w:eastAsia="zh-CN"/>
        </w:rPr>
      </w:pPr>
      <w:r>
        <w:rPr>
          <w:rFonts w:hint="eastAsia" w:ascii="宋体" w:hAnsi="宋体"/>
          <w:color w:val="auto"/>
          <w:sz w:val="24"/>
          <w:lang w:val="en-US" w:eastAsia="zh-CN"/>
        </w:rPr>
        <w:t>3.</w:t>
      </w:r>
      <w:r>
        <w:rPr>
          <w:rFonts w:hint="eastAsia" w:ascii="宋体" w:hAnsi="宋体"/>
          <w:color w:val="auto"/>
          <w:sz w:val="24"/>
        </w:rPr>
        <w:t>技术保障</w:t>
      </w:r>
      <w:r>
        <w:rPr>
          <w:rFonts w:hint="eastAsia" w:ascii="宋体" w:hAnsi="宋体"/>
          <w:color w:val="auto"/>
          <w:sz w:val="24"/>
          <w:lang w:eastAsia="zh-CN"/>
        </w:rPr>
        <w:t>（</w:t>
      </w:r>
      <w:r>
        <w:rPr>
          <w:rFonts w:hint="eastAsia" w:ascii="宋体" w:hAnsi="宋体"/>
          <w:b/>
          <w:bCs/>
          <w:color w:val="auto"/>
          <w:sz w:val="24"/>
          <w:lang w:eastAsia="zh-CN"/>
        </w:rPr>
        <w:t>售后服务要求</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必须满足</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售后服务要求。如使用过程发生问题，</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须在接到</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通知后24小时内做出书面答复并提供解决方案。若需要派遣技术人员，则应在接到</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通知后</w:t>
      </w:r>
      <w:r>
        <w:rPr>
          <w:rFonts w:hint="eastAsia" w:ascii="宋体" w:hAnsi="宋体"/>
          <w:color w:val="auto"/>
          <w:sz w:val="24"/>
          <w:highlight w:val="none"/>
          <w:u w:val="single"/>
          <w:lang w:val="en-US" w:eastAsia="zh-CN"/>
        </w:rPr>
        <w:t>48</w:t>
      </w:r>
      <w:r>
        <w:rPr>
          <w:rFonts w:hint="eastAsia" w:ascii="宋体" w:hAnsi="宋体"/>
          <w:color w:val="auto"/>
          <w:sz w:val="24"/>
          <w:highlight w:val="none"/>
          <w:u w:val="single"/>
        </w:rPr>
        <w:t>小时内派遣维修人员（每次至少2人）到达现场修复存在问题和故障的消防设施</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甲方</w:t>
      </w:r>
      <w:r>
        <w:rPr>
          <w:rFonts w:hint="eastAsia" w:ascii="宋体" w:hAnsi="宋体"/>
          <w:color w:val="auto"/>
          <w:sz w:val="24"/>
          <w:highlight w:val="none"/>
          <w:u w:val="single"/>
        </w:rPr>
        <w:t>不再对任何售后服务进行付费。</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的派遣人员产生的一切费用由</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承担</w:t>
      </w:r>
      <w:r>
        <w:rPr>
          <w:rFonts w:hint="eastAsia" w:ascii="宋体" w:hAnsi="宋体"/>
          <w:color w:val="auto"/>
          <w:sz w:val="24"/>
          <w:u w:val="single"/>
          <w:lang w:eastAsia="zh-CN"/>
        </w:rPr>
        <w:t>；</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服务人员组成：</w:t>
      </w:r>
      <w:r>
        <w:rPr>
          <w:rFonts w:ascii="宋体" w:hAnsi="宋体"/>
          <w:color w:val="auto"/>
          <w:sz w:val="24"/>
          <w:u w:val="single"/>
        </w:rPr>
        <w:t xml:space="preserve">　　             　      </w:t>
      </w:r>
      <w:r>
        <w:rPr>
          <w:rFonts w:hint="eastAsia" w:ascii="宋体" w:hAnsi="宋体"/>
          <w:color w:val="auto"/>
          <w:sz w:val="24"/>
        </w:rPr>
        <w:t>；</w:t>
      </w:r>
    </w:p>
    <w:p>
      <w:pPr>
        <w:pStyle w:val="22"/>
        <w:keepNext w:val="0"/>
        <w:keepLines w:val="0"/>
        <w:pageBreakBefore w:val="0"/>
        <w:kinsoku/>
        <w:wordWrap/>
        <w:overflowPunct/>
        <w:topLinePunct w:val="0"/>
        <w:autoSpaceDE/>
        <w:autoSpaceDN/>
        <w:bidi w:val="0"/>
        <w:snapToGrid/>
        <w:spacing w:before="0" w:beforeAutospacing="0" w:after="0" w:afterAutospacing="0" w:line="360" w:lineRule="auto"/>
        <w:ind w:firstLine="480"/>
        <w:textAlignment w:val="auto"/>
        <w:rPr>
          <w:color w:val="auto"/>
        </w:rPr>
      </w:pPr>
      <w:r>
        <w:rPr>
          <w:rFonts w:hint="eastAsia"/>
          <w:color w:val="auto"/>
          <w:lang w:val="en-US" w:eastAsia="zh-CN"/>
        </w:rPr>
        <w:t>5.</w:t>
      </w:r>
      <w:r>
        <w:rPr>
          <w:rFonts w:hint="eastAsia"/>
          <w:color w:val="auto"/>
        </w:rPr>
        <w:t>合同</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rPr>
        <w:t>否</w:t>
      </w:r>
      <w:r>
        <w:rPr>
          <w:rFonts w:hint="default"/>
          <w:color w:val="auto"/>
          <w:u w:val="single"/>
          <w:lang w:val="en-US"/>
        </w:rPr>
        <w:t xml:space="preserve">  </w:t>
      </w:r>
      <w:r>
        <w:rPr>
          <w:rFonts w:hint="eastAsia"/>
          <w:color w:val="auto"/>
        </w:rPr>
        <w:t>涉及货物。若涉及货物的，则：</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bookmarkStart w:id="394" w:name="_Toc21124"/>
      <w:bookmarkStart w:id="395" w:name="_Toc4929"/>
      <w:bookmarkStart w:id="396" w:name="_Toc5635"/>
      <w:bookmarkStart w:id="397" w:name="_Toc13918"/>
      <w:bookmarkStart w:id="398" w:name="_Toc1386"/>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 xml:space="preserve"> 货物名称、品牌、规格型号：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详见第三章合同清单</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货物</w:t>
      </w:r>
      <w:r>
        <w:rPr>
          <w:rFonts w:hint="eastAsia" w:ascii="宋体" w:hAnsi="宋体" w:cs="宋体"/>
          <w:color w:val="auto"/>
          <w:sz w:val="24"/>
          <w:lang w:eastAsia="zh-CN"/>
        </w:rPr>
        <w:t>税率</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货物数量：</w:t>
      </w:r>
      <w:r>
        <w:rPr>
          <w:rFonts w:hint="eastAsia" w:ascii="宋体" w:hAnsi="宋体" w:cs="宋体"/>
          <w:color w:val="auto"/>
          <w:sz w:val="24"/>
          <w:u w:val="single"/>
        </w:rPr>
        <w:t xml:space="preserve"> 按需供货，按实结算，</w:t>
      </w:r>
      <w:r>
        <w:rPr>
          <w:rFonts w:hint="eastAsia" w:ascii="宋体" w:hAnsi="宋体" w:cs="宋体"/>
          <w:color w:val="auto"/>
          <w:sz w:val="24"/>
          <w:u w:val="single"/>
          <w:lang w:val="en-US" w:eastAsia="zh-CN"/>
        </w:rPr>
        <w:t>详见第三章合同清单</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货物质量</w:t>
      </w:r>
      <w:r>
        <w:rPr>
          <w:rFonts w:hint="eastAsia" w:ascii="宋体" w:hAnsi="宋体" w:cs="宋体"/>
          <w:color w:val="auto"/>
          <w:sz w:val="24"/>
          <w:lang w:eastAsia="zh-CN"/>
        </w:rPr>
        <w:t>要求</w:t>
      </w:r>
      <w:r>
        <w:rPr>
          <w:rFonts w:hint="eastAsia" w:ascii="宋体" w:hAnsi="宋体" w:cs="宋体"/>
          <w:color w:val="auto"/>
          <w:sz w:val="24"/>
        </w:rPr>
        <w:t>：</w:t>
      </w:r>
      <w:r>
        <w:rPr>
          <w:rFonts w:hint="eastAsia" w:ascii="宋体" w:hAnsi="宋体" w:cs="宋体"/>
          <w:color w:val="auto"/>
          <w:sz w:val="24"/>
          <w:u w:val="single"/>
        </w:rPr>
        <w:t>　</w:t>
      </w:r>
      <w:r>
        <w:rPr>
          <w:rFonts w:hint="eastAsia" w:ascii="宋体" w:hAnsi="宋体" w:cs="宋体"/>
          <w:color w:val="auto"/>
          <w:sz w:val="24"/>
          <w:highlight w:val="none"/>
          <w:u w:val="single"/>
          <w:lang w:val="en-US" w:eastAsia="zh-CN"/>
        </w:rPr>
        <w:t>全新正品，正常使用，</w:t>
      </w:r>
      <w:r>
        <w:rPr>
          <w:rFonts w:hint="eastAsia" w:ascii="宋体" w:hAnsi="宋体" w:cs="宋体"/>
          <w:sz w:val="24"/>
          <w:u w:val="single"/>
          <w:lang w:eastAsia="zh-CN"/>
        </w:rPr>
        <w:t>如有国家、地方、行业标准、规范（含强制适用标准、规范和推荐适用标准、规范）的，按相应标准、规范执行（不同标准、规范之间要求不一的，按要求较高者执行）</w:t>
      </w:r>
      <w:r>
        <w:rPr>
          <w:rFonts w:hint="eastAsia" w:ascii="宋体" w:hAnsi="宋体" w:cs="宋体"/>
          <w:sz w:val="24"/>
          <w:u w:val="single"/>
        </w:rPr>
        <w:t xml:space="preserve"> </w:t>
      </w:r>
      <w:r>
        <w:rPr>
          <w:rFonts w:hint="eastAsia" w:ascii="宋体" w:hAnsi="宋体" w:cs="宋体"/>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三、</w:t>
      </w:r>
      <w:r>
        <w:rPr>
          <w:rFonts w:ascii="宋体" w:hAnsi="宋体"/>
          <w:b/>
          <w:color w:val="auto"/>
          <w:sz w:val="24"/>
        </w:rPr>
        <w:t>价款</w:t>
      </w:r>
      <w:bookmarkEnd w:id="394"/>
      <w:bookmarkEnd w:id="395"/>
      <w:bookmarkEnd w:id="396"/>
      <w:bookmarkEnd w:id="397"/>
      <w:bookmarkEnd w:id="39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，其中服务费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val="en-US"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%；货物</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w:t>
      </w:r>
      <w:r>
        <w:rPr>
          <w:rFonts w:hint="eastAsia" w:ascii="宋体" w:hAnsi="宋体" w:cs="宋体"/>
          <w:color w:val="auto"/>
          <w:sz w:val="24"/>
          <w:lang w:val="en-US" w:eastAsia="zh-CN"/>
        </w:rPr>
        <w:t xml:space="preserve">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rPr>
      </w:pPr>
      <w:r>
        <w:rPr>
          <w:rFonts w:hint="eastAsia" w:ascii="宋体" w:hAnsi="宋体" w:cs="宋体"/>
          <w:color w:val="auto"/>
          <w:sz w:val="24"/>
          <w:lang w:val="en-US" w:eastAsia="zh-CN"/>
        </w:rPr>
        <w:t>1.服务费</w:t>
      </w:r>
      <w:r>
        <w:rPr>
          <w:rFonts w:hint="eastAsia" w:ascii="宋体" w:hAnsi="宋体" w:cs="宋体"/>
          <w:color w:val="auto"/>
          <w:sz w:val="24"/>
        </w:rPr>
        <w:t>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单价和总价中均包括了服务类、运费、安装调试费、人工费、服务费、税率、杂费等所有费用，本合同履行中，甲方不再另行支付任何费用。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合同清单</w:t>
      </w:r>
      <w:r>
        <w:rPr>
          <w:rFonts w:hint="eastAsia" w:ascii="宋体" w:hAnsi="宋体" w:cs="宋体"/>
          <w:color w:val="auto"/>
          <w:sz w:val="24"/>
          <w:u w:val="single"/>
        </w:rPr>
        <w:t xml:space="preserve"> </w:t>
      </w:r>
      <w:r>
        <w:rPr>
          <w:rFonts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sz w:val="24"/>
        </w:rPr>
      </w:pPr>
      <w:bookmarkStart w:id="399" w:name="_Toc30506"/>
      <w:bookmarkStart w:id="400" w:name="_Toc14993"/>
      <w:bookmarkStart w:id="401" w:name="_Toc30158"/>
      <w:bookmarkStart w:id="402" w:name="_Toc3654"/>
      <w:bookmarkStart w:id="403" w:name="_Toc26916"/>
      <w:r>
        <w:rPr>
          <w:rFonts w:hint="eastAsia" w:ascii="宋体" w:hAnsi="宋体"/>
          <w:bCs/>
          <w:sz w:val="24"/>
          <w:lang w:val="en-US" w:eastAsia="zh-CN"/>
        </w:rPr>
        <w:t>（2）</w:t>
      </w:r>
      <w:r>
        <w:rPr>
          <w:rFonts w:hint="eastAsia" w:ascii="宋体" w:hAnsi="宋体"/>
          <w:bCs/>
          <w:sz w:val="24"/>
        </w:rPr>
        <w:t>单价合同，本合同单价（含税）标准为：</w:t>
      </w:r>
      <w:r>
        <w:rPr>
          <w:rFonts w:hint="eastAsia" w:ascii="宋体" w:hAnsi="宋体"/>
          <w:bCs/>
          <w:sz w:val="24"/>
          <w:u w:val="single"/>
        </w:rPr>
        <w:t xml:space="preserve">    </w:t>
      </w:r>
      <w:r>
        <w:rPr>
          <w:rFonts w:hint="eastAsia" w:ascii="宋体" w:hAnsi="宋体"/>
          <w:bCs/>
          <w:sz w:val="24"/>
          <w:u w:val="single"/>
          <w:lang w:val="en-US" w:eastAsia="zh-CN"/>
        </w:rPr>
        <w:t>/</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bCs/>
          <w:sz w:val="24"/>
          <w:u w:val="single"/>
          <w:lang w:val="en-US" w:eastAsia="zh-CN"/>
        </w:rPr>
        <w:t>/</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元人民币）该</w:t>
      </w:r>
      <w:r>
        <w:rPr>
          <w:rFonts w:hint="eastAsia" w:ascii="宋体" w:hAnsi="宋体"/>
          <w:sz w:val="24"/>
          <w:lang w:eastAsia="zh-CN"/>
        </w:rPr>
        <w:t>单项</w:t>
      </w:r>
      <w:r>
        <w:rPr>
          <w:rFonts w:hint="eastAsia" w:ascii="宋体" w:hAnsi="宋体"/>
          <w:sz w:val="24"/>
        </w:rPr>
        <w:t>价格已包含甲方为履行本合同所需的全部费用，未列名的分项视为优惠,本合同履行中，甲方不再另行支付任何费用。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（3）其他计价方式： </w:t>
      </w:r>
      <w:r>
        <w:rPr>
          <w:rFonts w:hint="eastAsia" w:ascii="宋体" w:hAnsi="宋体" w:eastAsia="宋体" w:cs="Times New Roman"/>
          <w:b w:val="0"/>
          <w:bCs w:val="0"/>
          <w:color w:val="auto"/>
          <w:kern w:val="2"/>
          <w:sz w:val="24"/>
          <w:szCs w:val="24"/>
          <w:u w:val="single"/>
          <w:lang w:val="en-US" w:eastAsia="zh-CN" w:bidi="ar-SA"/>
        </w:rPr>
        <w:t xml:space="preserve">     /     </w:t>
      </w:r>
      <w:r>
        <w:rPr>
          <w:rFonts w:hint="eastAsia" w:ascii="宋体" w:hAnsi="宋体"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2.货物采用以下第 </w:t>
      </w:r>
      <w:r>
        <w:rPr>
          <w:rFonts w:hint="eastAsia" w:ascii="宋体" w:hAnsi="宋体" w:eastAsia="宋体" w:cs="Times New Roman"/>
          <w:b w:val="0"/>
          <w:bCs w:val="0"/>
          <w:color w:val="auto"/>
          <w:kern w:val="2"/>
          <w:sz w:val="24"/>
          <w:szCs w:val="24"/>
          <w:u w:val="single"/>
          <w:lang w:val="en-US" w:eastAsia="zh-CN" w:bidi="ar-SA"/>
        </w:rPr>
        <w:t xml:space="preserve">  （2） </w:t>
      </w:r>
      <w:r>
        <w:rPr>
          <w:rFonts w:hint="eastAsia" w:ascii="宋体" w:hAnsi="宋体" w:eastAsia="宋体" w:cs="Times New Roman"/>
          <w:b w:val="0"/>
          <w:bCs w:val="0"/>
          <w:color w:val="auto"/>
          <w:kern w:val="2"/>
          <w:sz w:val="24"/>
          <w:szCs w:val="24"/>
          <w:lang w:val="en-US" w:eastAsia="zh-CN" w:bidi="ar-SA"/>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w:t>
      </w:r>
      <w:r>
        <w:rPr>
          <w:rFonts w:hint="eastAsia" w:ascii="宋体" w:hAnsi="宋体" w:cs="宋体"/>
          <w:color w:val="auto"/>
          <w:sz w:val="24"/>
          <w:lang w:val="en-US" w:eastAsia="zh-CN"/>
        </w:rPr>
        <w:t>金</w:t>
      </w:r>
      <w:r>
        <w:rPr>
          <w:rFonts w:hint="eastAsia" w:ascii="宋体" w:hAnsi="宋体" w:cs="宋体"/>
          <w:color w:val="auto"/>
          <w:sz w:val="24"/>
          <w:lang w:eastAsia="zh-CN"/>
        </w:rPr>
        <w:t>、杂费等所有费用，本合同履行中，</w:t>
      </w:r>
      <w:r>
        <w:rPr>
          <w:rFonts w:hint="eastAsia" w:ascii="宋体" w:hAnsi="宋体" w:cs="宋体"/>
          <w:sz w:val="24"/>
          <w:lang w:eastAsia="zh-CN"/>
        </w:rPr>
        <w:t>，</w:t>
      </w:r>
      <w:r>
        <w:rPr>
          <w:rFonts w:hint="eastAsia" w:ascii="宋体" w:hAnsi="宋体" w:cs="宋体"/>
          <w:b/>
          <w:bCs/>
          <w:sz w:val="24"/>
          <w:lang w:val="en-US" w:eastAsia="zh-CN"/>
        </w:rPr>
        <w:t>合同单价不做调整</w:t>
      </w:r>
      <w:r>
        <w:rPr>
          <w:rFonts w:hint="eastAsia" w:ascii="宋体" w:hAnsi="宋体" w:cs="宋体"/>
          <w:sz w:val="24"/>
          <w:lang w:val="en-US" w:eastAsia="zh-CN"/>
        </w:rPr>
        <w:t>，</w:t>
      </w:r>
      <w:r>
        <w:rPr>
          <w:rFonts w:hint="eastAsia" w:ascii="宋体" w:hAnsi="宋体" w:cs="宋体"/>
          <w:color w:val="auto"/>
          <w:sz w:val="24"/>
          <w:lang w:eastAsia="zh-CN"/>
        </w:rPr>
        <w:t>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olor w:val="auto"/>
          <w:sz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u w:val="single"/>
          <w:lang w:val="en-US" w:eastAsia="zh-CN"/>
        </w:rPr>
        <w:t>按需更换、按实结算，货物总额控制</w:t>
      </w:r>
      <w:r>
        <w:rPr>
          <w:rFonts w:hint="eastAsia" w:ascii="宋体" w:hAnsi="宋体" w:cs="宋体"/>
          <w:color w:val="auto"/>
          <w:sz w:val="24"/>
          <w:lang w:val="en-US" w:eastAsia="zh-CN"/>
        </w:rPr>
        <w:t>。</w:t>
      </w:r>
      <w:r>
        <w:rPr>
          <w:rFonts w:hint="eastAsia" w:ascii="宋体" w:hAnsi="宋体" w:cs="宋体"/>
          <w:color w:val="auto"/>
          <w:sz w:val="24"/>
          <w:u w:val="none"/>
        </w:rPr>
        <w:t>合同清单</w:t>
      </w:r>
      <w:r>
        <w:rPr>
          <w:rFonts w:hint="eastAsia" w:ascii="宋体" w:hAnsi="宋体" w:cs="宋体"/>
          <w:color w:val="auto"/>
          <w:sz w:val="24"/>
          <w:u w:val="none"/>
          <w:lang w:val="en-US" w:eastAsia="zh-CN"/>
        </w:rPr>
        <w:t>内</w:t>
      </w:r>
      <w:r>
        <w:rPr>
          <w:rFonts w:hint="eastAsia" w:ascii="宋体" w:hAnsi="宋体" w:cs="宋体"/>
          <w:color w:val="auto"/>
          <w:sz w:val="24"/>
          <w:lang w:val="en-US" w:eastAsia="zh-CN"/>
        </w:rPr>
        <w:t>货物价格为综合价格，含货款、税金、安装调试费、车辆费、工具费等所有费用。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s="宋体"/>
          <w:b/>
          <w:bCs/>
          <w:color w:val="auto"/>
          <w:sz w:val="24"/>
          <w:u w:val="single"/>
          <w:lang w:eastAsia="zh-CN"/>
        </w:rPr>
        <w:t>。</w:t>
      </w:r>
    </w:p>
    <w:bookmarkEnd w:id="399"/>
    <w:bookmarkEnd w:id="400"/>
    <w:bookmarkEnd w:id="401"/>
    <w:bookmarkEnd w:id="402"/>
    <w:bookmarkEnd w:id="403"/>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b/>
          <w:color w:val="auto"/>
        </w:rPr>
      </w:pPr>
      <w:bookmarkStart w:id="404" w:name="_Toc1814"/>
      <w:bookmarkStart w:id="405" w:name="_Toc22618"/>
      <w:bookmarkStart w:id="406" w:name="_Toc10340"/>
      <w:bookmarkStart w:id="407" w:name="_Toc8772"/>
      <w:bookmarkStart w:id="408" w:name="_Toc11108"/>
      <w:bookmarkStart w:id="409" w:name="_Toc4760"/>
      <w:bookmarkStart w:id="410" w:name="_Toc3625"/>
      <w:bookmarkStart w:id="411" w:name="_Toc31421"/>
      <w:r>
        <w:rPr>
          <w:rFonts w:hint="eastAsia"/>
          <w:b/>
          <w:color w:val="auto"/>
          <w:lang w:eastAsia="zh-CN"/>
        </w:rPr>
        <w:t>四、</w:t>
      </w:r>
      <w:r>
        <w:rPr>
          <w:rFonts w:hint="eastAsia"/>
          <w:b/>
          <w:color w:val="auto"/>
        </w:rPr>
        <w:t>履约保证金</w:t>
      </w:r>
    </w:p>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olor w:val="auto"/>
        </w:rPr>
        <w:t>乙方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需要支付履约保证金。若需要支付履约保证金的，则：</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履约保证金的比例为合同金额的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ascii="宋体" w:hAnsi="宋体" w:cs="宋体"/>
          <w:kern w:val="0"/>
          <w:sz w:val="24"/>
          <w:lang w:eastAsia="zh-CN"/>
        </w:rPr>
        <w:t>，</w:t>
      </w:r>
      <w:r>
        <w:rPr>
          <w:rFonts w:hint="eastAsia" w:ascii="宋体" w:hAnsi="宋体" w:cs="宋体"/>
          <w:kern w:val="0"/>
          <w:sz w:val="24"/>
          <w:lang w:val="en-US" w:eastAsia="zh-CN"/>
        </w:rPr>
        <w:t>金额为</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元</w:t>
      </w:r>
      <w:r>
        <w:rPr>
          <w:rFonts w:hint="eastAsia" w:ascii="宋体" w:hAnsi="宋体" w:cs="宋体"/>
          <w:kern w:val="0"/>
          <w:sz w:val="24"/>
        </w:rPr>
        <w:t>；</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2.履约保证金支付时间：乙方应于本合同签订后</w:t>
      </w:r>
      <w:r>
        <w:rPr>
          <w:rFonts w:hint="eastAsia" w:ascii="宋体" w:hAnsi="宋体" w:cs="宋体"/>
          <w:kern w:val="0"/>
          <w:sz w:val="24"/>
          <w:u w:val="single"/>
          <w:lang w:val="en-US" w:eastAsia="zh-CN"/>
        </w:rPr>
        <w:t xml:space="preserve"> 10 </w:t>
      </w:r>
      <w:r>
        <w:rPr>
          <w:rFonts w:hint="eastAsia" w:ascii="宋体" w:hAnsi="宋体" w:cs="宋体"/>
          <w:color w:val="auto"/>
          <w:kern w:val="0"/>
          <w:sz w:val="24"/>
          <w:lang w:val="en-US" w:eastAsia="zh-CN"/>
        </w:rPr>
        <w:t>日内按本合同约定的支付支付履约保证金</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none"/>
        </w:rPr>
      </w:pPr>
      <w:r>
        <w:rPr>
          <w:rFonts w:hint="eastAsia" w:ascii="宋体" w:hAnsi="宋体" w:cs="宋体"/>
          <w:color w:val="auto"/>
          <w:kern w:val="0"/>
          <w:sz w:val="24"/>
          <w:lang w:val="en-US" w:eastAsia="zh-CN"/>
        </w:rPr>
        <w:t>3.</w:t>
      </w:r>
      <w:r>
        <w:rPr>
          <w:rFonts w:hint="eastAsia" w:ascii="宋体" w:hAnsi="宋体" w:cs="宋体"/>
          <w:color w:val="auto"/>
          <w:kern w:val="0"/>
          <w:sz w:val="24"/>
        </w:rPr>
        <w:t>履约保证金支付方式</w:t>
      </w:r>
      <w:r>
        <w:rPr>
          <w:rFonts w:hint="eastAsia" w:ascii="宋体" w:hAnsi="宋体" w:cs="宋体"/>
          <w:color w:val="auto"/>
          <w:kern w:val="0"/>
          <w:sz w:val="24"/>
          <w:lang w:eastAsia="zh-CN"/>
        </w:rPr>
        <w:t>：</w:t>
      </w:r>
      <w:r>
        <w:rPr>
          <w:rFonts w:hint="eastAsia" w:ascii="宋体" w:hAnsi="宋体" w:cs="宋体"/>
          <w:color w:val="auto"/>
          <w:kern w:val="0"/>
          <w:sz w:val="24"/>
          <w:u w:val="single"/>
          <w:lang w:val="en-US" w:eastAsia="zh-CN"/>
        </w:rPr>
        <w:t xml:space="preserve"> 电汇/转账 ；</w:t>
      </w:r>
      <w:r>
        <w:rPr>
          <w:rFonts w:hint="eastAsia" w:ascii="宋体" w:hAnsi="宋体" w:cs="宋体"/>
          <w:color w:val="auto"/>
          <w:kern w:val="0"/>
          <w:sz w:val="24"/>
          <w:u w:val="none"/>
        </w:rPr>
        <w:t>账户信息如下：</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lang w:val="en-US" w:eastAsia="zh-CN"/>
        </w:rPr>
      </w:pPr>
      <w:r>
        <w:rPr>
          <w:rFonts w:hint="eastAsia" w:ascii="宋体" w:hAnsi="宋体" w:cs="宋体"/>
          <w:color w:val="auto"/>
          <w:kern w:val="0"/>
          <w:sz w:val="24"/>
          <w:u w:val="single"/>
        </w:rPr>
        <w:t>名称：杭州临江环境能源有限公司</w:t>
      </w:r>
      <w:r>
        <w:rPr>
          <w:rFonts w:hint="eastAsia" w:ascii="宋体" w:hAnsi="宋体" w:cs="宋体"/>
          <w:color w:val="auto"/>
          <w:kern w:val="0"/>
          <w:sz w:val="24"/>
          <w:u w:val="single"/>
          <w:lang w:val="en-US" w:eastAsia="zh-CN"/>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税号：91330100MA2B02NX2L</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pageBreakBefore w:val="0"/>
        <w:kinsoku/>
        <w:wordWrap/>
        <w:overflowPunct/>
        <w:topLinePunct w:val="0"/>
        <w:bidi w:val="0"/>
        <w:spacing w:line="360" w:lineRule="auto"/>
        <w:ind w:firstLine="480" w:firstLineChars="200"/>
        <w:textAlignment w:val="auto"/>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bookmarkEnd w:id="404"/>
    <w:bookmarkEnd w:id="405"/>
    <w:bookmarkEnd w:id="406"/>
    <w:p>
      <w:pPr>
        <w:pageBreakBefore w:val="0"/>
        <w:numPr>
          <w:ilvl w:val="0"/>
          <w:numId w:val="2"/>
        </w:numPr>
        <w:kinsoku/>
        <w:wordWrap/>
        <w:overflowPunct/>
        <w:topLinePunct w:val="0"/>
        <w:bidi w:val="0"/>
        <w:spacing w:line="360" w:lineRule="auto"/>
        <w:ind w:firstLine="480" w:firstLineChars="200"/>
        <w:textAlignment w:val="auto"/>
        <w:outlineLvl w:val="0"/>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numPr>
          <w:ilvl w:val="0"/>
          <w:numId w:val="0"/>
        </w:numPr>
        <w:kinsoku/>
        <w:wordWrap/>
        <w:overflowPunct/>
        <w:topLinePunct w:val="0"/>
        <w:bidi w:val="0"/>
        <w:spacing w:line="360" w:lineRule="auto"/>
        <w:ind w:firstLine="480" w:firstLineChars="200"/>
        <w:textAlignment w:val="auto"/>
        <w:outlineLvl w:val="0"/>
        <w:rPr>
          <w:rFonts w:hint="eastAsia" w:ascii="宋体" w:hAnsi="宋体" w:cs="宋体"/>
          <w:kern w:val="0"/>
          <w:sz w:val="24"/>
        </w:rPr>
      </w:pPr>
      <w:r>
        <w:rPr>
          <w:rFonts w:hint="default" w:ascii="宋体" w:hAnsi="宋体" w:cs="宋体"/>
          <w:kern w:val="0"/>
          <w:sz w:val="24"/>
          <w:lang w:val="en-US" w:eastAsia="zh-CN"/>
        </w:rPr>
        <w:t>5</w:t>
      </w:r>
      <w:r>
        <w:rPr>
          <w:rFonts w:hint="eastAsia" w:ascii="宋体" w:hAnsi="宋体" w:cs="宋体"/>
          <w:kern w:val="0"/>
          <w:sz w:val="24"/>
          <w:lang w:val="en-US" w:eastAsia="zh-CN"/>
        </w:rPr>
        <w:t>.</w:t>
      </w:r>
      <w:r>
        <w:rPr>
          <w:rFonts w:hint="eastAsia" w:ascii="宋体" w:hAnsi="宋体" w:cs="宋体"/>
          <w:kern w:val="0"/>
          <w:sz w:val="24"/>
        </w:rPr>
        <w:t>甲方在项目验收结束后</w:t>
      </w:r>
      <w:r>
        <w:rPr>
          <w:rFonts w:hint="eastAsia" w:ascii="宋体" w:hAnsi="宋体" w:cs="宋体"/>
          <w:kern w:val="0"/>
          <w:sz w:val="24"/>
          <w:lang w:eastAsia="zh-CN"/>
        </w:rPr>
        <w:t>，</w:t>
      </w:r>
      <w:r>
        <w:rPr>
          <w:rFonts w:hint="eastAsia" w:ascii="宋体" w:hAnsi="宋体" w:cs="宋体"/>
          <w:kern w:val="0"/>
          <w:sz w:val="24"/>
        </w:rPr>
        <w:t>扣除</w:t>
      </w:r>
      <w:r>
        <w:rPr>
          <w:rFonts w:hint="eastAsia" w:ascii="宋体" w:hAnsi="宋体" w:cs="宋体"/>
          <w:kern w:val="0"/>
          <w:sz w:val="24"/>
          <w:lang w:eastAsia="zh-CN"/>
        </w:rPr>
        <w:t>乙方</w:t>
      </w:r>
      <w:r>
        <w:rPr>
          <w:rFonts w:hint="eastAsia" w:ascii="宋体" w:hAnsi="宋体" w:cs="宋体"/>
          <w:kern w:val="0"/>
          <w:sz w:val="24"/>
        </w:rPr>
        <w:t>应承担的违约金、损失赔偿金等款项后经</w:t>
      </w:r>
      <w:r>
        <w:rPr>
          <w:rFonts w:hint="eastAsia" w:ascii="宋体" w:hAnsi="宋体" w:cs="宋体"/>
          <w:kern w:val="0"/>
          <w:sz w:val="24"/>
          <w:lang w:eastAsia="zh-CN"/>
        </w:rPr>
        <w:t>乙方</w:t>
      </w:r>
      <w:r>
        <w:rPr>
          <w:rFonts w:hint="eastAsia" w:ascii="宋体" w:hAnsi="宋体" w:cs="宋体"/>
          <w:kern w:val="0"/>
          <w:sz w:val="24"/>
        </w:rPr>
        <w:t xml:space="preserve">申请后 </w:t>
      </w:r>
      <w:r>
        <w:rPr>
          <w:rFonts w:hint="eastAsia" w:ascii="宋体" w:hAnsi="宋体" w:cs="宋体"/>
          <w:kern w:val="0"/>
          <w:sz w:val="24"/>
          <w:u w:val="single"/>
        </w:rPr>
        <w:t xml:space="preserve">30 </w:t>
      </w:r>
      <w:r>
        <w:rPr>
          <w:rFonts w:hint="eastAsia" w:ascii="宋体" w:hAnsi="宋体" w:cs="宋体"/>
          <w:kern w:val="0"/>
          <w:sz w:val="24"/>
        </w:rPr>
        <w:t>个工作日内无息退还。</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6.乙方提前完成合同约定内容且无任何遗留问题，双方可提前终止合同（按第二章合同一般条款中的合同中止、终止条款执行），甲方应在终止合同之后提前退还乙方履约保证金。</w:t>
      </w:r>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五、</w:t>
      </w:r>
      <w:r>
        <w:rPr>
          <w:rFonts w:hint="eastAsia" w:ascii="宋体" w:hAnsi="宋体" w:cs="宋体"/>
          <w:b/>
          <w:color w:val="auto"/>
          <w:sz w:val="24"/>
        </w:rPr>
        <w:t>预付款</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甲方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需要支付预付款。若需要支付预付款的，则：</w:t>
      </w:r>
    </w:p>
    <w:p>
      <w:pPr>
        <w:pageBreakBefore w:val="0"/>
        <w:kinsoku/>
        <w:wordWrap/>
        <w:overflowPunct/>
        <w:topLinePunct w:val="0"/>
        <w:bidi w:val="0"/>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预付款比例、支付方式、时间</w:t>
      </w:r>
      <w:r>
        <w:rPr>
          <w:rFonts w:hint="eastAsia" w:ascii="宋体" w:hAnsi="宋体" w:cs="宋体"/>
          <w:color w:val="auto"/>
          <w:kern w:val="0"/>
          <w:sz w:val="24"/>
          <w:lang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lang w:val="en-US" w:eastAsia="zh-CN"/>
        </w:rPr>
        <w:t>2.</w:t>
      </w:r>
      <w:r>
        <w:rPr>
          <w:rFonts w:hint="eastAsia"/>
          <w:color w:val="auto"/>
        </w:rPr>
        <w:t>预付款的扣回方式</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u w:val="single"/>
        </w:rPr>
      </w:pPr>
      <w:r>
        <w:rPr>
          <w:rFonts w:hint="eastAsia"/>
          <w:color w:val="auto"/>
          <w:lang w:val="en-US" w:eastAsia="zh-CN"/>
        </w:rPr>
        <w:t>3.</w:t>
      </w:r>
      <w:r>
        <w:rPr>
          <w:rFonts w:hint="eastAsia"/>
          <w:color w:val="auto"/>
        </w:rPr>
        <w:t>预付款的担保措施</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b/>
          <w:bCs/>
          <w:color w:val="auto"/>
        </w:rPr>
      </w:pPr>
      <w:r>
        <w:rPr>
          <w:rFonts w:hint="eastAsia"/>
          <w:b/>
          <w:bCs/>
          <w:color w:val="auto"/>
          <w:lang w:eastAsia="zh-CN"/>
        </w:rPr>
        <w:t>六、</w:t>
      </w:r>
      <w:r>
        <w:rPr>
          <w:rFonts w:hint="eastAsia"/>
          <w:b/>
          <w:bCs/>
          <w:color w:val="auto"/>
        </w:rPr>
        <w:t>资金支付</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rPr>
      </w:pPr>
      <w:r>
        <w:rPr>
          <w:rFonts w:hint="eastAsia"/>
          <w:color w:val="auto"/>
          <w:lang w:val="en-US" w:eastAsia="zh-CN"/>
        </w:rPr>
        <w:t>1.</w:t>
      </w:r>
      <w:r>
        <w:rPr>
          <w:rFonts w:hint="eastAsia"/>
          <w:color w:val="auto"/>
        </w:rPr>
        <w:t>甲方应严格履行合同，及时组织验收，验收合格后及时将合同款支付完毕。对于满足合同约定支付条件的，甲方自收到发票后</w:t>
      </w:r>
      <w:r>
        <w:rPr>
          <w:rFonts w:hint="eastAsia"/>
          <w:b/>
          <w:bCs/>
          <w:i/>
          <w:iCs/>
          <w:color w:val="auto"/>
          <w:u w:val="single"/>
          <w:lang w:val="en-US" w:eastAsia="zh-CN"/>
        </w:rPr>
        <w:t>30</w:t>
      </w:r>
      <w:r>
        <w:rPr>
          <w:rFonts w:hint="eastAsia"/>
          <w:color w:val="auto"/>
        </w:rPr>
        <w:t>个工作日内将资金支付到合同约定的乙方账户。</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2.</w:t>
      </w:r>
      <w:r>
        <w:rPr>
          <w:rFonts w:hint="eastAsia"/>
          <w:color w:val="auto"/>
          <w:lang w:eastAsia="zh-CN"/>
        </w:rPr>
        <w:t>本合同</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b/>
          <w:bCs/>
          <w:color w:val="auto"/>
          <w:u w:val="single"/>
          <w:lang w:val="en-US" w:eastAsia="zh-CN"/>
        </w:rPr>
        <w:t xml:space="preserve"> </w:t>
      </w:r>
      <w:r>
        <w:rPr>
          <w:rFonts w:hint="eastAsia"/>
          <w:color w:val="auto"/>
          <w:lang w:eastAsia="zh-CN"/>
        </w:rPr>
        <w:t>有质保金。若有质保金的，则：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s="宋体"/>
          <w:color w:val="auto"/>
          <w:kern w:val="0"/>
          <w:sz w:val="24"/>
          <w:lang w:eastAsia="zh-CN"/>
        </w:rPr>
        <w:t>（</w:t>
      </w:r>
      <w:r>
        <w:rPr>
          <w:rFonts w:hint="eastAsia" w:cs="宋体"/>
          <w:color w:val="auto"/>
          <w:kern w:val="0"/>
          <w:sz w:val="24"/>
          <w:lang w:val="en-US" w:eastAsia="zh-CN"/>
        </w:rPr>
        <w:t>2</w:t>
      </w:r>
      <w:r>
        <w:rPr>
          <w:rFonts w:hint="eastAsia" w:cs="宋体"/>
          <w:color w:val="auto"/>
          <w:kern w:val="0"/>
          <w:sz w:val="24"/>
          <w:lang w:eastAsia="zh-CN"/>
        </w:rPr>
        <w:t>）质保</w:t>
      </w:r>
      <w:r>
        <w:rPr>
          <w:rFonts w:hint="eastAsia" w:ascii="宋体" w:hAnsi="宋体" w:cs="宋体"/>
          <w:color w:val="auto"/>
          <w:kern w:val="0"/>
          <w:sz w:val="24"/>
        </w:rPr>
        <w:t>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color w:val="auto"/>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rPr>
      </w:pPr>
      <w:r>
        <w:rPr>
          <w:rFonts w:hint="eastAsia" w:cs="宋体"/>
          <w:color w:val="auto"/>
          <w:kern w:val="0"/>
          <w:sz w:val="24"/>
          <w:lang w:eastAsia="zh-CN"/>
        </w:rPr>
        <w:t>（</w:t>
      </w:r>
      <w:r>
        <w:rPr>
          <w:rFonts w:hint="eastAsia" w:cs="宋体"/>
          <w:color w:val="auto"/>
          <w:kern w:val="0"/>
          <w:sz w:val="24"/>
          <w:lang w:val="en-US" w:eastAsia="zh-CN"/>
        </w:rPr>
        <w:t>3</w:t>
      </w:r>
      <w:r>
        <w:rPr>
          <w:rFonts w:hint="eastAsia" w:cs="宋体"/>
          <w:color w:val="auto"/>
          <w:kern w:val="0"/>
          <w:sz w:val="24"/>
          <w:lang w:eastAsia="zh-CN"/>
        </w:rPr>
        <w:t>）质保</w:t>
      </w:r>
      <w:r>
        <w:rPr>
          <w:rFonts w:hint="eastAsia" w:ascii="宋体" w:hAnsi="宋体" w:cs="宋体"/>
          <w:color w:val="auto"/>
          <w:kern w:val="0"/>
          <w:sz w:val="24"/>
        </w:rPr>
        <w:t>金</w:t>
      </w:r>
      <w:r>
        <w:rPr>
          <w:rFonts w:hint="eastAsia" w:cs="宋体"/>
          <w:color w:val="auto"/>
          <w:kern w:val="0"/>
          <w:sz w:val="24"/>
          <w:lang w:eastAsia="zh-CN"/>
        </w:rPr>
        <w:t>支付条件</w:t>
      </w:r>
      <w:r>
        <w:rPr>
          <w:rFonts w:hint="eastAsia"/>
          <w:color w:val="auto"/>
          <w:lang w:eastAsia="zh-CN"/>
        </w:rPr>
        <w:t>：</w:t>
      </w:r>
      <w:r>
        <w:rPr>
          <w:rFonts w:hint="eastAsia"/>
          <w:color w:val="auto"/>
          <w:u w:val="single"/>
          <w:lang w:eastAsia="zh-CN"/>
        </w:rPr>
        <w:t>质保期内无任何质量问题，双方无任何遗留问题</w:t>
      </w:r>
      <w:r>
        <w:rPr>
          <w:rFonts w:hint="eastAsia"/>
          <w:color w:val="auto"/>
          <w:u w:val="single"/>
        </w:rPr>
        <w:t xml:space="preserve"> </w:t>
      </w:r>
      <w:r>
        <w:rPr>
          <w:rFonts w:hint="eastAsia"/>
          <w:color w:val="auto"/>
          <w:u w:val="single"/>
          <w:lang w:eastAsia="zh-CN"/>
        </w:rPr>
        <w:t>，质保期结束后</w:t>
      </w:r>
      <w:r>
        <w:rPr>
          <w:rFonts w:hint="eastAsia"/>
          <w:color w:val="auto"/>
          <w:u w:val="single"/>
          <w:lang w:val="en-US" w:eastAsia="zh-CN"/>
        </w:rPr>
        <w:t>30天内甲方无息支付</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3.</w:t>
      </w:r>
      <w:r>
        <w:rPr>
          <w:rFonts w:hint="eastAsia"/>
          <w:color w:val="auto"/>
        </w:rPr>
        <w:t>本项目资金支付的方式、时间和条件采用以下第</w:t>
      </w:r>
      <w:r>
        <w:rPr>
          <w:rFonts w:hint="eastAsia"/>
          <w:color w:val="auto"/>
          <w:u w:val="single"/>
        </w:rPr>
        <w:t xml:space="preserve">  </w:t>
      </w:r>
      <w:r>
        <w:rPr>
          <w:rFonts w:hint="eastAsia"/>
          <w:color w:val="auto"/>
          <w:u w:val="single"/>
          <w:lang w:val="en-US" w:eastAsia="zh-CN"/>
        </w:rPr>
        <w:t>（3）</w:t>
      </w:r>
      <w:r>
        <w:rPr>
          <w:rFonts w:hint="eastAsia"/>
          <w:color w:val="auto"/>
          <w:u w:val="single"/>
        </w:rPr>
        <w:t xml:space="preserve"> </w:t>
      </w:r>
      <w:r>
        <w:rPr>
          <w:rFonts w:hint="eastAsia"/>
          <w:color w:val="auto"/>
        </w:rPr>
        <w:t>条款规定</w:t>
      </w:r>
      <w:r>
        <w:rPr>
          <w:rFonts w:hint="eastAsia"/>
          <w:color w:val="auto"/>
          <w:lang w:eastAsia="zh-CN"/>
        </w:rPr>
        <w:t>：</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（1） 按月支付，本月服务费用次月结算，乙方提供增值税专用发票后，甲方在本合同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（2）按季度支付，本季度服务费用次季度结算，乙方提供增值税专用发票后，甲方在本合同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eastAsia"/>
          <w:color w:val="auto"/>
          <w:lang w:val="en-US" w:eastAsia="zh-CN"/>
        </w:rPr>
      </w:pPr>
      <w:r>
        <w:rPr>
          <w:rFonts w:hint="eastAsia"/>
          <w:b w:val="0"/>
          <w:bCs w:val="0"/>
          <w:i w:val="0"/>
          <w:iCs w:val="0"/>
          <w:color w:val="auto"/>
          <w:u w:val="single"/>
          <w:lang w:val="en-US" w:eastAsia="zh-CN"/>
        </w:rPr>
        <w:t>（3）一次性付款，经甲方验收合格后，乙方提供增值税专用发票后，甲方在本合同30日内完成支付。</w:t>
      </w:r>
      <w:r>
        <w:rPr>
          <w:rFonts w:hint="eastAsia"/>
          <w:color w:val="auto"/>
          <w:lang w:val="en-US" w:eastAsia="zh-CN"/>
        </w:rPr>
        <w:t xml:space="preserve">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default"/>
          <w:color w:val="auto"/>
          <w:lang w:val="en-US" w:eastAsia="zh-CN"/>
        </w:rPr>
      </w:pPr>
      <w:r>
        <w:rPr>
          <w:rFonts w:hint="eastAsia"/>
          <w:color w:val="auto"/>
          <w:lang w:val="en-US" w:eastAsia="zh-CN"/>
        </w:rPr>
        <w:t>（4）</w:t>
      </w:r>
      <w:r>
        <w:rPr>
          <w:rFonts w:hint="eastAsia"/>
          <w:color w:val="auto"/>
          <w:u w:val="none"/>
          <w:lang w:val="en-US" w:eastAsia="zh-CN"/>
        </w:rPr>
        <w:t>其他付款方式：</w:t>
      </w:r>
      <w:r>
        <w:rPr>
          <w:rFonts w:hint="eastAsia"/>
          <w:color w:val="auto"/>
          <w:u w:val="single"/>
          <w:lang w:val="en-US" w:eastAsia="zh-CN"/>
        </w:rPr>
        <w:t xml:space="preserve">     /      </w:t>
      </w:r>
      <w:r>
        <w:rPr>
          <w:rFonts w:hint="eastAsia"/>
          <w:color w:val="auto"/>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七、</w:t>
      </w:r>
      <w:r>
        <w:rPr>
          <w:rFonts w:ascii="宋体" w:hAnsi="宋体"/>
          <w:b/>
          <w:color w:val="auto"/>
          <w:sz w:val="24"/>
        </w:rPr>
        <w:t>履行期限</w:t>
      </w:r>
      <w:r>
        <w:rPr>
          <w:rFonts w:hint="eastAsia" w:ascii="宋体" w:hAnsi="宋体"/>
          <w:b/>
          <w:color w:val="auto"/>
          <w:sz w:val="24"/>
        </w:rPr>
        <w:t>、地点</w:t>
      </w:r>
      <w:r>
        <w:rPr>
          <w:rFonts w:hint="eastAsia" w:ascii="宋体" w:hAnsi="宋体"/>
          <w:b/>
          <w:color w:val="auto"/>
          <w:sz w:val="24"/>
          <w:lang w:eastAsia="zh-CN"/>
        </w:rPr>
        <w:t>、联系方式、交付</w:t>
      </w:r>
      <w:r>
        <w:rPr>
          <w:rFonts w:hint="eastAsia" w:ascii="宋体" w:hAnsi="宋体"/>
          <w:b/>
          <w:color w:val="auto"/>
          <w:sz w:val="24"/>
        </w:rPr>
        <w:t>方式</w:t>
      </w:r>
      <w:bookmarkEnd w:id="407"/>
      <w:bookmarkEnd w:id="408"/>
      <w:bookmarkEnd w:id="409"/>
      <w:bookmarkEnd w:id="410"/>
      <w:bookmarkEnd w:id="411"/>
    </w:p>
    <w:p>
      <w:pPr>
        <w:pageBreakBefore w:val="0"/>
        <w:kinsoku/>
        <w:wordWrap/>
        <w:overflowPunct/>
        <w:topLinePunct w:val="0"/>
        <w:bidi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服务交付（实施）的时间（期限）</w:t>
      </w:r>
      <w:r>
        <w:rPr>
          <w:rFonts w:ascii="宋体" w:hAnsi="宋体"/>
          <w:color w:val="auto"/>
          <w:sz w:val="24"/>
        </w:rPr>
        <w:t>：</w:t>
      </w:r>
      <w:r>
        <w:rPr>
          <w:rFonts w:hint="eastAsia" w:ascii="宋体" w:hAnsi="宋体"/>
          <w:color w:val="auto"/>
          <w:sz w:val="24"/>
          <w:u w:val="single"/>
          <w:lang w:val="en-US" w:eastAsia="zh-CN"/>
        </w:rPr>
        <w:t>2023年12月17日-2024年6月30日</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i/>
          <w:color w:val="auto"/>
          <w:sz w:val="24"/>
          <w:u w:val="single"/>
          <w:lang w:val="en-US" w:eastAsia="zh-CN"/>
        </w:rPr>
        <w:t xml:space="preserve"> </w:t>
      </w:r>
      <w:r>
        <w:rPr>
          <w:rFonts w:hint="eastAsia" w:ascii="宋体" w:hAnsi="宋体"/>
          <w:b w:val="0"/>
          <w:bCs/>
          <w:i w:val="0"/>
          <w:iCs/>
          <w:color w:val="auto"/>
          <w:sz w:val="24"/>
          <w:u w:val="single"/>
          <w:lang w:val="en-US" w:eastAsia="zh-CN"/>
        </w:rPr>
        <w:t xml:space="preserve">浙江省杭州市钱塘区临江街道红十五路10388-123号，杭州临江环境能源有限公司厂区内 </w:t>
      </w:r>
      <w:r>
        <w:rPr>
          <w:rFonts w:hint="eastAsia" w:ascii="宋体" w:hAnsi="宋体"/>
          <w:color w:val="auto"/>
          <w:sz w:val="24"/>
        </w:rPr>
        <w:t>；</w:t>
      </w:r>
    </w:p>
    <w:p>
      <w:pPr>
        <w:pStyle w:val="12"/>
        <w:numPr>
          <w:ilvl w:val="0"/>
          <w:numId w:val="0"/>
        </w:numPr>
        <w:ind w:firstLine="480" w:firstLineChars="200"/>
        <w:rPr>
          <w:rFonts w:hint="eastAsia" w:ascii="宋体" w:hAnsi="宋体" w:eastAsiaTheme="minorEastAsia"/>
          <w:color w:val="auto"/>
          <w:sz w:val="24"/>
          <w:lang w:eastAsia="zh-CN"/>
        </w:rPr>
      </w:pPr>
      <w:r>
        <w:rPr>
          <w:rFonts w:hint="eastAsia" w:ascii="宋体" w:hAnsi="宋体"/>
          <w:color w:val="auto"/>
          <w:sz w:val="24"/>
          <w:lang w:val="en-US" w:eastAsia="zh-CN"/>
        </w:rPr>
        <w:t>3.</w:t>
      </w:r>
      <w:r>
        <w:rPr>
          <w:rFonts w:hint="eastAsia" w:ascii="宋体" w:hAnsi="宋体"/>
          <w:color w:val="auto"/>
          <w:sz w:val="24"/>
        </w:rPr>
        <w:t>服务交付（实施）的方式：</w:t>
      </w:r>
      <w:r>
        <w:rPr>
          <w:rFonts w:hint="eastAsia" w:ascii="宋体" w:hAnsi="宋体" w:eastAsiaTheme="minorEastAsia" w:cstheme="minorBidi"/>
          <w:b w:val="0"/>
          <w:bCs/>
          <w:i w:val="0"/>
          <w:iCs/>
          <w:snapToGrid/>
          <w:color w:val="auto"/>
          <w:kern w:val="2"/>
          <w:sz w:val="24"/>
          <w:szCs w:val="24"/>
          <w:u w:val="single"/>
          <w:lang w:val="en-US" w:eastAsia="zh-CN" w:bidi="ar-SA"/>
        </w:rPr>
        <w:t>完成每月消防设备、设施、电气的检查、维护、保养并填写维保记录，进行年度消防设施和消防电气检测并出具盖章合格的《建筑消防设施年度检测报告》和《建筑电气消防安全年度检测报告》，完成日常紧急入厂维修并更换损坏备件</w:t>
      </w:r>
      <w:r>
        <w:rPr>
          <w:rFonts w:hint="eastAsia" w:ascii="宋体" w:hAnsi="宋体"/>
          <w:color w:val="auto"/>
          <w:sz w:val="24"/>
          <w:lang w:eastAsia="zh-CN"/>
        </w:rPr>
        <w:t>；</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sz w:val="24"/>
          <w:u w:val="single"/>
          <w:lang w:val="en-US" w:eastAsia="zh-CN"/>
        </w:rPr>
      </w:pPr>
      <w:bookmarkStart w:id="412" w:name="_Toc3079"/>
      <w:bookmarkStart w:id="413" w:name="_Toc2375"/>
      <w:bookmarkStart w:id="414" w:name="_Toc24662"/>
      <w:bookmarkStart w:id="415" w:name="_Toc8586"/>
      <w:bookmarkStart w:id="416" w:name="_Toc5698"/>
      <w:r>
        <w:rPr>
          <w:rFonts w:hint="eastAsia" w:ascii="宋体" w:hAnsi="宋体"/>
          <w:bCs/>
          <w:color w:val="auto"/>
          <w:sz w:val="24"/>
          <w:lang w:val="en-US" w:eastAsia="zh-CN"/>
        </w:rPr>
        <w:t>4.</w:t>
      </w:r>
      <w:r>
        <w:rPr>
          <w:rFonts w:hint="eastAsia" w:ascii="宋体" w:hAnsi="宋体" w:cs="宋体"/>
          <w:color w:val="auto"/>
          <w:sz w:val="24"/>
          <w:u w:val="none"/>
          <w:lang w:val="en-US" w:eastAsia="zh-CN"/>
        </w:rPr>
        <w:t>交付甲方联系人及联系方式：</w:t>
      </w:r>
      <w:r>
        <w:rPr>
          <w:rFonts w:hint="eastAsia" w:ascii="宋体" w:hAnsi="宋体" w:cs="宋体"/>
          <w:color w:val="auto"/>
          <w:sz w:val="24"/>
          <w:u w:val="single"/>
          <w:lang w:val="en-US" w:eastAsia="zh-CN"/>
        </w:rPr>
        <w:t xml:space="preserve"> 彭兆华，13750830489      </w:t>
      </w:r>
      <w:r>
        <w:rPr>
          <w:rFonts w:hint="eastAsia" w:ascii="宋体" w:hAnsi="宋体" w:cs="宋体"/>
          <w:color w:val="auto"/>
          <w:sz w:val="24"/>
          <w:u w:val="none"/>
          <w:lang w:val="en-US" w:eastAsia="zh-CN"/>
        </w:rPr>
        <w:t xml:space="preserve"> ；</w:t>
      </w:r>
    </w:p>
    <w:p>
      <w:pPr>
        <w:pageBreakBefore w:val="0"/>
        <w:kinsoku/>
        <w:wordWrap/>
        <w:overflowPunct/>
        <w:topLinePunct w:val="0"/>
        <w:bidi w:val="0"/>
        <w:spacing w:line="360" w:lineRule="auto"/>
        <w:ind w:firstLine="480" w:firstLineChars="200"/>
        <w:textAlignment w:val="auto"/>
        <w:outlineLvl w:val="0"/>
        <w:rPr>
          <w:rFonts w:hint="default"/>
          <w:color w:val="auto"/>
          <w:lang w:val="en-US" w:eastAsia="zh-CN"/>
        </w:rPr>
      </w:pPr>
      <w:r>
        <w:rPr>
          <w:rFonts w:hint="eastAsia" w:ascii="宋体" w:hAnsi="宋体" w:cs="宋体"/>
          <w:color w:val="auto"/>
          <w:sz w:val="24"/>
          <w:u w:val="none"/>
          <w:lang w:val="en-US" w:eastAsia="zh-CN"/>
        </w:rPr>
        <w:t>5.乙方联系人及联系方式：</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p>
    <w:p>
      <w:pPr>
        <w:pageBreakBefore w:val="0"/>
        <w:kinsoku/>
        <w:wordWrap/>
        <w:overflowPunct/>
        <w:topLinePunct w:val="0"/>
        <w:bidi w:val="0"/>
        <w:spacing w:line="360" w:lineRule="auto"/>
        <w:ind w:firstLine="480" w:firstLineChars="200"/>
        <w:textAlignment w:val="auto"/>
        <w:outlineLvl w:val="0"/>
        <w:rPr>
          <w:rFonts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若服务</w:t>
      </w:r>
      <w:r>
        <w:rPr>
          <w:rFonts w:hint="eastAsia"/>
          <w:bCs/>
          <w:color w:val="auto"/>
          <w:sz w:val="24"/>
        </w:rPr>
        <w:t>涉及货物的，则货物的：</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u w:val="single"/>
        </w:rPr>
      </w:pPr>
      <w:r>
        <w:rPr>
          <w:rFonts w:hint="eastAsia" w:ascii="宋体" w:hAnsi="宋体" w:cs="宋体"/>
          <w:i w:val="0"/>
          <w:iCs w:val="0"/>
          <w:color w:val="auto"/>
          <w:sz w:val="24"/>
          <w:lang w:eastAsia="zh-CN"/>
        </w:rPr>
        <w:t>（</w:t>
      </w:r>
      <w:r>
        <w:rPr>
          <w:rFonts w:hint="eastAsia" w:ascii="宋体" w:hAnsi="宋体" w:cs="宋体"/>
          <w:i w:val="0"/>
          <w:iCs w:val="0"/>
          <w:color w:val="auto"/>
          <w:sz w:val="24"/>
          <w:lang w:val="en-US" w:eastAsia="zh-CN"/>
        </w:rPr>
        <w:t>1</w:t>
      </w:r>
      <w:r>
        <w:rPr>
          <w:rFonts w:hint="eastAsia" w:ascii="宋体" w:hAnsi="宋体" w:cs="宋体"/>
          <w:i w:val="0"/>
          <w:iCs w:val="0"/>
          <w:color w:val="auto"/>
          <w:sz w:val="24"/>
          <w:lang w:eastAsia="zh-CN"/>
        </w:rPr>
        <w:t>）</w:t>
      </w:r>
      <w:r>
        <w:rPr>
          <w:rFonts w:hint="eastAsia" w:ascii="宋体" w:hAnsi="宋体" w:cs="宋体"/>
          <w:i w:val="0"/>
          <w:iCs w:val="0"/>
          <w:color w:val="auto"/>
          <w:sz w:val="24"/>
        </w:rPr>
        <w:t>交付期限：</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u w:val="single"/>
          <w:lang w:val="en-US" w:eastAsia="zh-CN"/>
        </w:rPr>
        <w:t xml:space="preserve">  按合同要求的维修故障时间</w:t>
      </w:r>
      <w:r>
        <w:rPr>
          <w:rFonts w:hint="eastAsia" w:ascii="宋体" w:hAnsi="宋体" w:cs="宋体"/>
          <w:i w:val="0"/>
          <w:iCs w:val="0"/>
          <w:color w:val="auto"/>
          <w:sz w:val="24"/>
          <w:lang w:val="en-US" w:eastAsia="zh-CN"/>
        </w:rPr>
        <w:t xml:space="preserve">  </w:t>
      </w:r>
      <w:r>
        <w:rPr>
          <w:rFonts w:hint="eastAsia" w:ascii="宋体" w:hAnsi="宋体" w:cs="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eastAsia="zh-CN"/>
        </w:rPr>
        <w:t>（</w:t>
      </w:r>
      <w:r>
        <w:rPr>
          <w:rFonts w:hint="eastAsia" w:ascii="宋体" w:hAnsi="宋体" w:cs="宋体"/>
          <w:i w:val="0"/>
          <w:iCs w:val="0"/>
          <w:color w:val="auto"/>
          <w:sz w:val="24"/>
          <w:lang w:val="en-US" w:eastAsia="zh-CN"/>
        </w:rPr>
        <w:t>2</w:t>
      </w:r>
      <w:r>
        <w:rPr>
          <w:rFonts w:hint="eastAsia" w:ascii="宋体" w:hAnsi="宋体" w:cs="宋体"/>
          <w:i w:val="0"/>
          <w:iCs w:val="0"/>
          <w:color w:val="auto"/>
          <w:sz w:val="24"/>
          <w:lang w:eastAsia="zh-CN"/>
        </w:rPr>
        <w:t>）</w:t>
      </w:r>
      <w:r>
        <w:rPr>
          <w:rFonts w:hint="eastAsia" w:ascii="宋体" w:hAnsi="宋体" w:cs="宋体"/>
          <w:i w:val="0"/>
          <w:iCs w:val="0"/>
          <w:color w:val="auto"/>
          <w:sz w:val="24"/>
        </w:rPr>
        <w:t>交付地点：</w:t>
      </w:r>
      <w:r>
        <w:rPr>
          <w:rFonts w:hint="eastAsia" w:ascii="宋体" w:hAnsi="宋体" w:cs="宋体"/>
          <w:i w:val="0"/>
          <w:iCs w:val="0"/>
          <w:color w:val="auto"/>
          <w:sz w:val="24"/>
          <w:u w:val="single"/>
          <w:lang w:val="en-US" w:eastAsia="zh-CN"/>
        </w:rPr>
        <w:t xml:space="preserve">浙江省杭州市钱塘区临江街道红十五路10388-123号，杭州临江环境能源有限公司厂区内 </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eastAsia="zh-CN"/>
        </w:rPr>
        <w:t>（</w:t>
      </w:r>
      <w:r>
        <w:rPr>
          <w:rFonts w:hint="eastAsia" w:ascii="宋体" w:hAnsi="宋体" w:cs="宋体"/>
          <w:i w:val="0"/>
          <w:iCs w:val="0"/>
          <w:color w:val="auto"/>
          <w:sz w:val="24"/>
          <w:lang w:val="en-US" w:eastAsia="zh-CN"/>
        </w:rPr>
        <w:t>3</w:t>
      </w:r>
      <w:r>
        <w:rPr>
          <w:rFonts w:hint="eastAsia" w:ascii="宋体" w:hAnsi="宋体" w:cs="宋体"/>
          <w:i w:val="0"/>
          <w:iCs w:val="0"/>
          <w:color w:val="auto"/>
          <w:sz w:val="24"/>
          <w:lang w:eastAsia="zh-CN"/>
        </w:rPr>
        <w:t>）</w:t>
      </w:r>
      <w:r>
        <w:rPr>
          <w:rFonts w:hint="eastAsia" w:ascii="宋体" w:hAnsi="宋体" w:cs="宋体"/>
          <w:i w:val="0"/>
          <w:iCs w:val="0"/>
          <w:color w:val="auto"/>
          <w:sz w:val="24"/>
        </w:rPr>
        <w:t xml:space="preserve"> 交付方式：</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u w:val="single"/>
          <w:lang w:val="en-US" w:eastAsia="zh-CN"/>
        </w:rPr>
        <w:t xml:space="preserve">以现场安装验收后交付 </w:t>
      </w:r>
      <w:r>
        <w:rPr>
          <w:rFonts w:hint="eastAsia" w:ascii="宋体" w:hAnsi="宋体" w:cs="宋体"/>
          <w:b/>
          <w:i w:val="0"/>
          <w:iCs w:val="0"/>
          <w:color w:val="auto"/>
          <w:sz w:val="24"/>
          <w:u w:val="single"/>
          <w:lang w:val="en-US" w:eastAsia="zh-CN"/>
        </w:rPr>
        <w:t xml:space="preserve"> </w:t>
      </w:r>
      <w:r>
        <w:rPr>
          <w:rFonts w:hint="eastAsia" w:ascii="宋体" w:hAnsi="宋体" w:cs="宋体"/>
          <w:i w:val="0"/>
          <w:iCs w:val="0"/>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i w:val="0"/>
          <w:iCs w:val="0"/>
          <w:color w:val="auto"/>
          <w:sz w:val="24"/>
          <w:u w:val="single"/>
        </w:rPr>
      </w:pPr>
      <w:r>
        <w:rPr>
          <w:rFonts w:hint="eastAsia" w:ascii="宋体" w:hAnsi="宋体"/>
          <w:b/>
          <w:i w:val="0"/>
          <w:iCs w:val="0"/>
          <w:color w:val="auto"/>
          <w:sz w:val="24"/>
          <w:lang w:eastAsia="zh-CN"/>
        </w:rPr>
        <w:t>八、</w:t>
      </w:r>
      <w:r>
        <w:rPr>
          <w:rFonts w:hint="eastAsia" w:ascii="宋体" w:hAnsi="宋体"/>
          <w:b/>
          <w:i w:val="0"/>
          <w:iCs w:val="0"/>
          <w:color w:val="auto"/>
          <w:sz w:val="24"/>
        </w:rPr>
        <w:t>违约责任</w:t>
      </w:r>
      <w:bookmarkEnd w:id="412"/>
      <w:bookmarkEnd w:id="413"/>
      <w:bookmarkEnd w:id="414"/>
      <w:bookmarkEnd w:id="415"/>
      <w:bookmarkEnd w:id="416"/>
    </w:p>
    <w:p>
      <w:pPr>
        <w:pageBreakBefore w:val="0"/>
        <w:kinsoku/>
        <w:wordWrap/>
        <w:overflowPunct/>
        <w:topLinePunct w:val="0"/>
        <w:bidi w:val="0"/>
        <w:spacing w:line="360" w:lineRule="auto"/>
        <w:ind w:firstLine="480" w:firstLineChars="200"/>
        <w:textAlignment w:val="auto"/>
        <w:rPr>
          <w:rFonts w:hint="eastAsia" w:ascii="宋体" w:hAnsi="宋体"/>
          <w:i w:val="0"/>
          <w:iCs w:val="0"/>
          <w:color w:val="auto"/>
          <w:sz w:val="24"/>
        </w:rPr>
      </w:pPr>
      <w:r>
        <w:rPr>
          <w:rFonts w:hint="eastAsia" w:ascii="宋体" w:hAnsi="宋体"/>
          <w:i w:val="0"/>
          <w:iCs w:val="0"/>
          <w:color w:val="auto"/>
          <w:sz w:val="24"/>
          <w:lang w:val="en-US" w:eastAsia="zh-CN"/>
        </w:rPr>
        <w:t>1.</w:t>
      </w:r>
      <w:r>
        <w:rPr>
          <w:rFonts w:ascii="宋体" w:hAnsi="宋体"/>
          <w:i w:val="0"/>
          <w:iCs w:val="0"/>
          <w:color w:val="auto"/>
          <w:sz w:val="24"/>
        </w:rPr>
        <w:t>除不可抗力外，如果乙方没有按照本合同约定的期限</w:t>
      </w:r>
      <w:r>
        <w:rPr>
          <w:rFonts w:hint="eastAsia" w:ascii="宋体" w:hAnsi="宋体"/>
          <w:i w:val="0"/>
          <w:iCs w:val="0"/>
          <w:color w:val="auto"/>
          <w:sz w:val="24"/>
        </w:rPr>
        <w:t>、</w:t>
      </w:r>
      <w:r>
        <w:rPr>
          <w:rFonts w:ascii="宋体" w:hAnsi="宋体"/>
          <w:i w:val="0"/>
          <w:iCs w:val="0"/>
          <w:color w:val="auto"/>
          <w:sz w:val="24"/>
        </w:rPr>
        <w:t>地点和方式</w:t>
      </w:r>
      <w:r>
        <w:rPr>
          <w:rFonts w:hint="eastAsia" w:ascii="宋体" w:hAnsi="宋体"/>
          <w:i w:val="0"/>
          <w:iCs w:val="0"/>
          <w:color w:val="auto"/>
          <w:sz w:val="24"/>
        </w:rPr>
        <w:t>交付服务成果或者实施服务</w:t>
      </w:r>
      <w:r>
        <w:rPr>
          <w:rFonts w:ascii="宋体" w:hAnsi="宋体"/>
          <w:i w:val="0"/>
          <w:iCs w:val="0"/>
          <w:color w:val="auto"/>
          <w:sz w:val="24"/>
        </w:rPr>
        <w:t>，那么甲方可要求乙方支付违约金</w:t>
      </w:r>
      <w:r>
        <w:rPr>
          <w:rFonts w:hint="eastAsia" w:ascii="宋体" w:hAnsi="宋体"/>
          <w:i w:val="0"/>
          <w:iCs w:val="0"/>
          <w:color w:val="auto"/>
          <w:sz w:val="24"/>
        </w:rPr>
        <w:t>，迟延履行</w:t>
      </w:r>
      <w:r>
        <w:rPr>
          <w:rFonts w:ascii="宋体" w:hAnsi="宋体"/>
          <w:i w:val="0"/>
          <w:iCs w:val="0"/>
          <w:color w:val="auto"/>
          <w:sz w:val="24"/>
        </w:rPr>
        <w:t>违约金按每迟延</w:t>
      </w:r>
      <w:r>
        <w:rPr>
          <w:rFonts w:hint="eastAsia" w:ascii="宋体" w:hAnsi="宋体"/>
          <w:i w:val="0"/>
          <w:iCs w:val="0"/>
          <w:color w:val="auto"/>
          <w:sz w:val="24"/>
        </w:rPr>
        <w:t>履行</w:t>
      </w:r>
      <w:r>
        <w:rPr>
          <w:rFonts w:ascii="宋体" w:hAnsi="宋体"/>
          <w:i w:val="0"/>
          <w:iCs w:val="0"/>
          <w:color w:val="auto"/>
          <w:sz w:val="24"/>
        </w:rPr>
        <w:t>一日的应提供而未</w:t>
      </w:r>
      <w:r>
        <w:rPr>
          <w:rFonts w:hint="eastAsia" w:ascii="宋体" w:hAnsi="宋体"/>
          <w:i w:val="0"/>
          <w:iCs w:val="0"/>
          <w:color w:val="auto"/>
          <w:sz w:val="24"/>
        </w:rPr>
        <w:t>提供</w:t>
      </w:r>
      <w:r>
        <w:rPr>
          <w:rFonts w:ascii="宋体" w:hAnsi="宋体"/>
          <w:i w:val="0"/>
          <w:iCs w:val="0"/>
          <w:color w:val="auto"/>
          <w:sz w:val="24"/>
        </w:rPr>
        <w:t>服务价格的</w:t>
      </w:r>
      <w:r>
        <w:rPr>
          <w:rFonts w:hint="eastAsia" w:ascii="宋体" w:hAnsi="宋体"/>
          <w:b/>
          <w:bCs/>
          <w:i w:val="0"/>
          <w:iCs w:val="0"/>
          <w:color w:val="auto"/>
          <w:sz w:val="24"/>
          <w:u w:val="single"/>
        </w:rPr>
        <w:t>0.05</w:t>
      </w:r>
      <w:r>
        <w:rPr>
          <w:rFonts w:ascii="宋体" w:hAnsi="宋体"/>
          <w:b/>
          <w:bCs/>
          <w:i w:val="0"/>
          <w:iCs w:val="0"/>
          <w:color w:val="auto"/>
          <w:sz w:val="24"/>
          <w:u w:val="single"/>
        </w:rPr>
        <w:t xml:space="preserve"> </w:t>
      </w:r>
      <w:r>
        <w:rPr>
          <w:rFonts w:ascii="宋体" w:hAnsi="宋体"/>
          <w:i w:val="0"/>
          <w:iCs w:val="0"/>
          <w:color w:val="auto"/>
          <w:sz w:val="24"/>
        </w:rPr>
        <w:t>%计算</w:t>
      </w:r>
      <w:r>
        <w:rPr>
          <w:rFonts w:hint="eastAsia" w:ascii="宋体" w:hAnsi="宋体"/>
          <w:i w:val="0"/>
          <w:iCs w:val="0"/>
          <w:color w:val="auto"/>
          <w:sz w:val="24"/>
        </w:rPr>
        <w:t>，</w:t>
      </w:r>
      <w:r>
        <w:rPr>
          <w:rFonts w:ascii="宋体" w:hAnsi="宋体"/>
          <w:i w:val="0"/>
          <w:iCs w:val="0"/>
          <w:color w:val="auto"/>
          <w:sz w:val="24"/>
        </w:rPr>
        <w:t>最高限额为</w:t>
      </w:r>
      <w:r>
        <w:rPr>
          <w:rFonts w:hint="eastAsia" w:ascii="宋体" w:hAnsi="宋体"/>
          <w:i w:val="0"/>
          <w:iCs w:val="0"/>
          <w:color w:val="auto"/>
          <w:sz w:val="24"/>
        </w:rPr>
        <w:t>本</w:t>
      </w:r>
      <w:r>
        <w:rPr>
          <w:rFonts w:ascii="宋体" w:hAnsi="宋体"/>
          <w:i w:val="0"/>
          <w:iCs w:val="0"/>
          <w:color w:val="auto"/>
          <w:sz w:val="24"/>
        </w:rPr>
        <w:t>合同总价的</w:t>
      </w:r>
      <w:r>
        <w:rPr>
          <w:rFonts w:ascii="宋体" w:hAnsi="宋体"/>
          <w:i w:val="0"/>
          <w:iCs w:val="0"/>
          <w:color w:val="auto"/>
          <w:sz w:val="24"/>
          <w:u w:val="single"/>
        </w:rPr>
        <w:t xml:space="preserve"> </w:t>
      </w:r>
      <w:r>
        <w:rPr>
          <w:rFonts w:ascii="宋体" w:hAnsi="宋体"/>
          <w:b/>
          <w:bCs/>
          <w:i w:val="0"/>
          <w:iCs w:val="0"/>
          <w:color w:val="auto"/>
          <w:sz w:val="24"/>
          <w:u w:val="single"/>
        </w:rPr>
        <w:t xml:space="preserve">20 </w:t>
      </w:r>
      <w:r>
        <w:rPr>
          <w:rFonts w:ascii="宋体" w:hAnsi="宋体"/>
          <w:i w:val="0"/>
          <w:iCs w:val="0"/>
          <w:color w:val="auto"/>
          <w:sz w:val="24"/>
        </w:rPr>
        <w:t>%</w:t>
      </w:r>
      <w:r>
        <w:rPr>
          <w:rFonts w:hint="eastAsia" w:ascii="宋体" w:hAnsi="宋体"/>
          <w:i w:val="0"/>
          <w:iCs w:val="0"/>
          <w:color w:val="auto"/>
          <w:sz w:val="24"/>
        </w:rPr>
        <w:t>；</w:t>
      </w:r>
      <w:r>
        <w:rPr>
          <w:rFonts w:ascii="宋体" w:hAnsi="宋体"/>
          <w:i w:val="0"/>
          <w:iCs w:val="0"/>
          <w:color w:val="auto"/>
          <w:sz w:val="24"/>
        </w:rPr>
        <w:t>迟延</w:t>
      </w:r>
      <w:r>
        <w:rPr>
          <w:rFonts w:hint="eastAsia" w:ascii="宋体" w:hAnsi="宋体"/>
          <w:i w:val="0"/>
          <w:iCs w:val="0"/>
          <w:color w:val="auto"/>
          <w:sz w:val="24"/>
        </w:rPr>
        <w:t>履行</w:t>
      </w:r>
      <w:r>
        <w:rPr>
          <w:rFonts w:ascii="宋体" w:hAnsi="宋体"/>
          <w:i w:val="0"/>
          <w:iCs w:val="0"/>
          <w:color w:val="auto"/>
          <w:sz w:val="24"/>
        </w:rPr>
        <w:t>的违约金计算数额达到前述最高限额之日起</w:t>
      </w:r>
      <w:r>
        <w:rPr>
          <w:rFonts w:hint="eastAsia" w:ascii="宋体" w:hAnsi="宋体"/>
          <w:i w:val="0"/>
          <w:iCs w:val="0"/>
          <w:color w:val="auto"/>
          <w:sz w:val="24"/>
        </w:rPr>
        <w:t>，</w:t>
      </w:r>
      <w:r>
        <w:rPr>
          <w:rFonts w:ascii="宋体" w:hAnsi="宋体"/>
          <w:i w:val="0"/>
          <w:iCs w:val="0"/>
          <w:color w:val="auto"/>
          <w:sz w:val="24"/>
        </w:rPr>
        <w:t>甲方有权在要求乙方支付违约金的同时</w:t>
      </w:r>
      <w:r>
        <w:rPr>
          <w:rFonts w:hint="eastAsia" w:ascii="宋体" w:hAnsi="宋体"/>
          <w:i w:val="0"/>
          <w:iCs w:val="0"/>
          <w:color w:val="auto"/>
          <w:sz w:val="24"/>
        </w:rPr>
        <w:t>，书面通知乙方</w:t>
      </w:r>
      <w:r>
        <w:rPr>
          <w:rFonts w:ascii="宋体" w:hAnsi="宋体"/>
          <w:i w:val="0"/>
          <w:iCs w:val="0"/>
          <w:color w:val="auto"/>
          <w:sz w:val="24"/>
        </w:rPr>
        <w:t>解除本合同</w:t>
      </w:r>
      <w:r>
        <w:rPr>
          <w:rFonts w:hint="eastAsia" w:ascii="宋体" w:hAnsi="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eastAsia="宋体" w:cs="宋体"/>
          <w:b w:val="0"/>
          <w:bCs w:val="0"/>
          <w:i w:val="0"/>
          <w:iCs w:val="0"/>
          <w:color w:val="auto"/>
          <w:sz w:val="24"/>
          <w:szCs w:val="24"/>
          <w:lang w:val="en-US"/>
        </w:rPr>
      </w:pP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val="en-US"/>
        </w:rPr>
        <w:t>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bCs/>
          <w:i w:val="0"/>
          <w:iCs w:val="0"/>
          <w:color w:val="auto"/>
          <w:sz w:val="24"/>
          <w:szCs w:val="24"/>
          <w:u w:val="single"/>
          <w:lang w:val="en-US"/>
        </w:rPr>
        <w:t>0.05</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val="0"/>
          <w:bCs w:val="0"/>
          <w:i w:val="0"/>
          <w:iCs w:val="0"/>
          <w:color w:val="auto"/>
          <w:sz w:val="24"/>
          <w:szCs w:val="24"/>
          <w:lang w:val="en-US"/>
        </w:rPr>
        <w:t>%计算，最高限额为本合同总价的</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bCs/>
          <w:i w:val="0"/>
          <w:iCs w:val="0"/>
          <w:color w:val="auto"/>
          <w:sz w:val="24"/>
          <w:szCs w:val="24"/>
          <w:u w:val="single"/>
          <w:lang w:val="en-US"/>
        </w:rPr>
        <w:t>20</w:t>
      </w:r>
      <w:r>
        <w:rPr>
          <w:rFonts w:hint="eastAsia" w:ascii="宋体" w:hAnsi="宋体" w:eastAsia="宋体" w:cs="宋体"/>
          <w:b w:val="0"/>
          <w:bCs w:val="0"/>
          <w:i w:val="0"/>
          <w:iCs w:val="0"/>
          <w:color w:val="auto"/>
          <w:sz w:val="24"/>
          <w:szCs w:val="24"/>
          <w:u w:val="single"/>
          <w:lang w:val="en-US"/>
        </w:rPr>
        <w:t xml:space="preserve">  </w:t>
      </w:r>
      <w:r>
        <w:rPr>
          <w:rFonts w:hint="eastAsia" w:ascii="宋体" w:hAnsi="宋体" w:eastAsia="宋体" w:cs="宋体"/>
          <w:b w:val="0"/>
          <w:bCs w:val="0"/>
          <w:i w:val="0"/>
          <w:iCs w:val="0"/>
          <w:color w:val="auto"/>
          <w:sz w:val="24"/>
          <w:szCs w:val="24"/>
          <w:lang w:val="en-US"/>
        </w:rPr>
        <w:t>%；迟延交付货物的违约金计算数额达到前述最高限额之日起，甲方有权在要求乙方支付违约金的同时，书面通知乙方解除本合同；</w:t>
      </w:r>
    </w:p>
    <w:p>
      <w:pPr>
        <w:pageBreakBefore w:val="0"/>
        <w:kinsoku/>
        <w:wordWrap/>
        <w:overflowPunct/>
        <w:topLinePunct w:val="0"/>
        <w:bidi w:val="0"/>
        <w:spacing w:line="360" w:lineRule="auto"/>
        <w:ind w:firstLine="480" w:firstLineChars="200"/>
        <w:textAlignment w:val="auto"/>
        <w:rPr>
          <w:rFonts w:ascii="宋体" w:hAnsi="宋体"/>
          <w:i w:val="0"/>
          <w:iCs w:val="0"/>
          <w:color w:val="auto"/>
          <w:sz w:val="24"/>
        </w:rPr>
      </w:pPr>
      <w:r>
        <w:rPr>
          <w:rFonts w:hint="eastAsia" w:ascii="宋体" w:hAnsi="宋体"/>
          <w:i w:val="0"/>
          <w:iCs w:val="0"/>
          <w:color w:val="auto"/>
          <w:sz w:val="24"/>
          <w:lang w:val="en-US" w:eastAsia="zh-CN"/>
        </w:rPr>
        <w:t>3.</w:t>
      </w:r>
      <w:r>
        <w:rPr>
          <w:rFonts w:hint="eastAsia" w:ascii="宋体" w:hAnsi="宋体" w:cs="宋体"/>
          <w:i w:val="0"/>
          <w:iCs w:val="0"/>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i w:val="0"/>
          <w:iCs w:val="0"/>
          <w:color w:val="auto"/>
          <w:sz w:val="24"/>
          <w:u w:val="single"/>
        </w:rPr>
        <w:t xml:space="preserve">   </w:t>
      </w:r>
      <w:r>
        <w:rPr>
          <w:rFonts w:hint="eastAsia" w:ascii="宋体" w:hAnsi="宋体" w:cs="宋体"/>
          <w:b/>
          <w:bCs/>
          <w:i w:val="0"/>
          <w:iCs w:val="0"/>
          <w:color w:val="auto"/>
          <w:sz w:val="24"/>
          <w:u w:val="single"/>
        </w:rPr>
        <w:t xml:space="preserve">0.05  </w:t>
      </w:r>
      <w:r>
        <w:rPr>
          <w:rFonts w:hint="eastAsia" w:ascii="宋体" w:hAnsi="宋体" w:cs="宋体"/>
          <w:i w:val="0"/>
          <w:iCs w:val="0"/>
          <w:color w:val="auto"/>
          <w:sz w:val="24"/>
          <w:u w:val="single"/>
        </w:rPr>
        <w:t xml:space="preserve"> </w:t>
      </w:r>
      <w:r>
        <w:rPr>
          <w:rFonts w:hint="eastAsia" w:ascii="宋体" w:hAnsi="宋体" w:cs="宋体"/>
          <w:i w:val="0"/>
          <w:iCs w:val="0"/>
          <w:color w:val="auto"/>
          <w:sz w:val="24"/>
        </w:rPr>
        <w:t>%计算，最高限额为本合同总价的</w:t>
      </w:r>
      <w:r>
        <w:rPr>
          <w:rFonts w:hint="eastAsia" w:ascii="宋体" w:hAnsi="宋体" w:cs="宋体"/>
          <w:i w:val="0"/>
          <w:iCs w:val="0"/>
          <w:color w:val="auto"/>
          <w:sz w:val="24"/>
          <w:u w:val="single"/>
        </w:rPr>
        <w:t xml:space="preserve">  </w:t>
      </w:r>
      <w:r>
        <w:rPr>
          <w:rFonts w:hint="eastAsia" w:ascii="宋体" w:hAnsi="宋体" w:cs="宋体"/>
          <w:b/>
          <w:bCs/>
          <w:i w:val="0"/>
          <w:iCs w:val="0"/>
          <w:color w:val="auto"/>
          <w:sz w:val="24"/>
          <w:u w:val="single"/>
        </w:rPr>
        <w:t xml:space="preserve">20 </w:t>
      </w:r>
      <w:r>
        <w:rPr>
          <w:rFonts w:hint="eastAsia" w:ascii="宋体" w:hAnsi="宋体" w:cs="宋体"/>
          <w:i w:val="0"/>
          <w:iCs w:val="0"/>
          <w:color w:val="auto"/>
          <w:sz w:val="24"/>
          <w:u w:val="single"/>
        </w:rPr>
        <w:t xml:space="preserve"> </w:t>
      </w:r>
      <w:r>
        <w:rPr>
          <w:rFonts w:hint="eastAsia" w:ascii="宋体" w:hAnsi="宋体" w:cs="宋体"/>
          <w:i w:val="0"/>
          <w:iCs w:val="0"/>
          <w:color w:val="auto"/>
          <w:sz w:val="24"/>
        </w:rPr>
        <w:t>%；迟延付款的违约金计算数额达到前述最高限额之日起，乙方有权在要求甲方支付违约金的同时，书面通知甲方解除本合同</w:t>
      </w:r>
      <w:r>
        <w:rPr>
          <w:rFonts w:hint="eastAsia" w:ascii="宋体" w:hAnsi="宋体"/>
          <w:i w:val="0"/>
          <w:iCs w:val="0"/>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bookmarkStart w:id="417" w:name="_Toc18683"/>
      <w:bookmarkStart w:id="418" w:name="_Toc9497"/>
      <w:bookmarkStart w:id="419" w:name="_Toc30329"/>
      <w:bookmarkStart w:id="420" w:name="_Toc26807"/>
      <w:bookmarkStart w:id="421" w:name="_Toc32454"/>
      <w:r>
        <w:rPr>
          <w:rFonts w:hint="eastAsia" w:ascii="宋体" w:hAnsi="宋体" w:cs="宋体"/>
          <w:i w:val="0"/>
          <w:iCs w:val="0"/>
          <w:color w:val="auto"/>
          <w:sz w:val="24"/>
          <w:lang w:val="en-US" w:eastAsia="zh-CN"/>
        </w:rPr>
        <w:t>4.</w:t>
      </w:r>
      <w:r>
        <w:rPr>
          <w:rFonts w:hint="eastAsia" w:ascii="宋体" w:hAnsi="宋体" w:cs="宋体"/>
          <w:i w:val="0"/>
          <w:iCs w:val="0"/>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5.</w:t>
      </w:r>
      <w:r>
        <w:rPr>
          <w:rFonts w:hint="eastAsia" w:ascii="宋体" w:hAnsi="宋体" w:cs="宋体"/>
          <w:i w:val="0"/>
          <w:iCs w:val="0"/>
          <w:color w:val="auto"/>
          <w:sz w:val="24"/>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360" w:lineRule="auto"/>
        <w:ind w:firstLine="480" w:firstLineChars="20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6.</w:t>
      </w:r>
      <w:r>
        <w:rPr>
          <w:rFonts w:hint="eastAsia" w:ascii="宋体" w:hAnsi="宋体" w:cs="宋体"/>
          <w:i w:val="0"/>
          <w:iCs w:val="0"/>
          <w:color w:val="auto"/>
          <w:sz w:val="24"/>
        </w:rPr>
        <w:t>如果出现政府采购监督管理部门</w:t>
      </w:r>
      <w:r>
        <w:rPr>
          <w:rFonts w:hint="eastAsia" w:ascii="宋体" w:hAnsi="宋体" w:cs="宋体"/>
          <w:i w:val="0"/>
          <w:iCs w:val="0"/>
          <w:color w:val="auto"/>
          <w:sz w:val="24"/>
          <w:lang w:eastAsia="zh-CN"/>
        </w:rPr>
        <w:t>或者纪检部门</w:t>
      </w:r>
      <w:r>
        <w:rPr>
          <w:rFonts w:hint="eastAsia" w:ascii="宋体" w:hAnsi="宋体" w:cs="宋体"/>
          <w:i w:val="0"/>
          <w:iCs w:val="0"/>
          <w:color w:val="auto"/>
          <w:sz w:val="24"/>
        </w:rPr>
        <w:t>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i w:val="0"/>
          <w:iCs w:val="0"/>
          <w:color w:val="auto"/>
          <w:sz w:val="24"/>
          <w:lang w:eastAsia="zh-CN"/>
        </w:rPr>
      </w:pPr>
      <w:r>
        <w:rPr>
          <w:rFonts w:hint="eastAsia" w:ascii="宋体" w:hAnsi="宋体" w:cs="宋体"/>
          <w:i w:val="0"/>
          <w:iCs w:val="0"/>
          <w:color w:val="auto"/>
          <w:sz w:val="24"/>
          <w:lang w:val="en-US" w:eastAsia="zh-CN"/>
        </w:rPr>
        <w:t>7.</w:t>
      </w:r>
      <w:r>
        <w:rPr>
          <w:rFonts w:hint="eastAsia" w:ascii="宋体" w:hAnsi="宋体" w:cs="宋体"/>
          <w:i w:val="0"/>
          <w:iCs w:val="0"/>
          <w:color w:val="auto"/>
          <w:sz w:val="24"/>
        </w:rPr>
        <w:t>违约责任另有约定的，从其约定</w:t>
      </w:r>
      <w:r>
        <w:rPr>
          <w:rFonts w:hint="eastAsia" w:ascii="宋体" w:hAnsi="宋体" w:cs="宋体"/>
          <w:i w:val="0"/>
          <w:iCs w:val="0"/>
          <w:color w:val="auto"/>
          <w:sz w:val="24"/>
          <w:lang w:eastAsia="zh-CN"/>
        </w:rPr>
        <w:t>，具体如下：</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i w:val="0"/>
          <w:iCs w:val="0"/>
          <w:color w:val="auto"/>
          <w:sz w:val="24"/>
          <w:u w:val="single"/>
          <w:lang w:val="en-US" w:eastAsia="zh-CN"/>
        </w:rPr>
      </w:pPr>
      <w:r>
        <w:rPr>
          <w:rFonts w:hint="eastAsia" w:ascii="宋体" w:hAnsi="宋体" w:cs="宋体"/>
          <w:i w:val="0"/>
          <w:iCs w:val="0"/>
          <w:color w:val="auto"/>
          <w:sz w:val="24"/>
          <w:u w:val="single"/>
          <w:lang w:val="en-US" w:eastAsia="zh-CN"/>
        </w:rPr>
        <w:t xml:space="preserve"> （1）乙方交付的服务或者货物不符合合同约定或验收不合格的，应当及时更换完善，因此延误成果交付期限的，按照逾期成果交付承担违约责任 ；</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i w:val="0"/>
          <w:iCs w:val="0"/>
          <w:color w:val="auto"/>
          <w:sz w:val="24"/>
          <w:u w:val="single"/>
          <w:lang w:val="en-US" w:eastAsia="zh-CN"/>
        </w:rPr>
        <w:t>（2）乙方不履行售后服务义务的，每次应向甲方承担500元的违约金，且仍应履行</w:t>
      </w:r>
      <w:r>
        <w:rPr>
          <w:rFonts w:hint="eastAsia" w:ascii="宋体" w:hAnsi="宋体" w:cs="宋体"/>
          <w:color w:val="auto"/>
          <w:sz w:val="24"/>
          <w:u w:val="single"/>
          <w:lang w:val="en-US" w:eastAsia="zh-CN"/>
        </w:rPr>
        <w:t>售后服务义务；</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（3）甲方无故拒收成果交付，乙方有权要求甲方按照合同原价支付费用  。</w:t>
      </w:r>
    </w:p>
    <w:p>
      <w:pPr>
        <w:pageBreakBefore w:val="0"/>
        <w:kinsoku/>
        <w:wordWrap/>
        <w:overflowPunct/>
        <w:topLinePunct w:val="0"/>
        <w:bidi w:val="0"/>
        <w:spacing w:line="360" w:lineRule="auto"/>
        <w:ind w:right="-420" w:rightChars="-200" w:firstLine="480" w:firstLineChars="200"/>
        <w:textAlignment w:val="auto"/>
        <w:rPr>
          <w:rFonts w:hint="default" w:ascii="宋体" w:hAnsi="宋体" w:eastAsia="宋体" w:cs="宋体"/>
          <w:color w:val="auto"/>
          <w:u w:val="single"/>
          <w:lang w:val="en-US" w:eastAsia="zh-CN"/>
        </w:rPr>
      </w:pPr>
      <w:r>
        <w:rPr>
          <w:rFonts w:hint="eastAsia" w:ascii="宋体" w:hAnsi="宋体" w:cs="宋体"/>
          <w:color w:val="auto"/>
          <w:sz w:val="24"/>
          <w:u w:val="single"/>
          <w:lang w:val="en-US" w:eastAsia="zh-CN"/>
        </w:rPr>
        <w:t>（4）若质保期内出现质量问题，甲方有权从质保金中扣除违约金，同时乙方应免费维修或更换。</w:t>
      </w:r>
    </w:p>
    <w:bookmarkEnd w:id="417"/>
    <w:bookmarkEnd w:id="418"/>
    <w:bookmarkEnd w:id="419"/>
    <w:bookmarkEnd w:id="420"/>
    <w:bookmarkEnd w:id="421"/>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22" w:name="_Toc15583"/>
      <w:bookmarkStart w:id="423" w:name="_Toc28375"/>
      <w:bookmarkStart w:id="424" w:name="_Toc16021"/>
      <w:r>
        <w:rPr>
          <w:rFonts w:hint="eastAsia" w:ascii="宋体" w:hAnsi="宋体" w:cs="宋体"/>
          <w:b/>
          <w:color w:val="auto"/>
          <w:sz w:val="24"/>
          <w:lang w:eastAsia="zh-CN"/>
        </w:rPr>
        <w:t>九、</w:t>
      </w:r>
      <w:r>
        <w:rPr>
          <w:rFonts w:hint="eastAsia" w:ascii="宋体" w:hAnsi="宋体" w:cs="宋体"/>
          <w:b/>
          <w:color w:val="auto"/>
          <w:sz w:val="24"/>
        </w:rPr>
        <w:t>合同争议的解决</w:t>
      </w:r>
      <w:bookmarkEnd w:id="422"/>
      <w:bookmarkEnd w:id="423"/>
      <w:bookmarkEnd w:id="424"/>
    </w:p>
    <w:p>
      <w:pPr>
        <w:pageBreakBefore w:val="0"/>
        <w:kinsoku/>
        <w:wordWrap/>
        <w:overflowPunct/>
        <w:topLinePunct w:val="0"/>
        <w:bidi w:val="0"/>
        <w:spacing w:line="360" w:lineRule="auto"/>
        <w:ind w:left="-61" w:leftChars="-29" w:right="-420" w:rightChars="-200" w:firstLine="240" w:firstLineChars="100"/>
        <w:textAlignment w:val="auto"/>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color w:val="auto"/>
          <w:sz w:val="24"/>
          <w:u w:val="single"/>
          <w:lang w:val="en-US" w:eastAsia="zh-CN"/>
        </w:rPr>
        <w:t>2</w:t>
      </w:r>
      <w:r>
        <w:rPr>
          <w:rFonts w:hint="eastAsia" w:ascii="宋体" w:hAnsi="宋体" w:cs="宋体"/>
          <w:b/>
          <w:i/>
          <w:color w:val="auto"/>
          <w:sz w:val="24"/>
          <w:u w:val="single"/>
        </w:rPr>
        <w:t xml:space="preserve"> </w:t>
      </w:r>
      <w:r>
        <w:rPr>
          <w:rFonts w:hint="eastAsia" w:ascii="宋体" w:hAnsi="宋体" w:cs="宋体"/>
          <w:color w:val="auto"/>
          <w:sz w:val="24"/>
        </w:rPr>
        <w:t>条款规定的方式解决：</w:t>
      </w:r>
    </w:p>
    <w:p>
      <w:pPr>
        <w:pageBreakBefore w:val="0"/>
        <w:kinsoku/>
        <w:wordWrap/>
        <w:overflowPunct/>
        <w:topLinePunct w:val="0"/>
        <w:bidi w:val="0"/>
        <w:spacing w:line="360" w:lineRule="auto"/>
        <w:ind w:right="-420" w:rightChars="-200" w:firstLine="480" w:firstLineChars="200"/>
        <w:textAlignment w:val="auto"/>
        <w:rPr>
          <w:rFonts w:ascii="宋体" w:hAnsi="宋体" w:cs="宋体"/>
          <w:i w:val="0"/>
          <w:iCs w:val="0"/>
          <w:color w:val="auto"/>
          <w:sz w:val="24"/>
        </w:rPr>
      </w:pPr>
      <w:r>
        <w:rPr>
          <w:rFonts w:hint="eastAsia" w:ascii="宋体" w:hAnsi="宋体" w:cs="宋体"/>
          <w:color w:val="auto"/>
          <w:sz w:val="24"/>
          <w:lang w:val="en-US" w:eastAsia="zh-CN"/>
        </w:rPr>
        <w:t>1.</w:t>
      </w:r>
      <w:r>
        <w:rPr>
          <w:rFonts w:hint="eastAsia" w:ascii="宋体" w:hAnsi="宋体" w:cs="宋体"/>
          <w:color w:val="auto"/>
          <w:sz w:val="24"/>
        </w:rPr>
        <w:t>将</w:t>
      </w:r>
      <w:r>
        <w:rPr>
          <w:rFonts w:hint="eastAsia" w:ascii="宋体" w:hAnsi="宋体" w:cs="宋体"/>
          <w:i w:val="0"/>
          <w:iCs w:val="0"/>
          <w:color w:val="auto"/>
          <w:sz w:val="24"/>
        </w:rPr>
        <w:t>争议提交</w:t>
      </w:r>
      <w:r>
        <w:rPr>
          <w:rFonts w:hint="eastAsia" w:ascii="宋体" w:hAnsi="宋体" w:cs="宋体"/>
          <w:b/>
          <w:i w:val="0"/>
          <w:iCs w:val="0"/>
          <w:color w:val="auto"/>
          <w:sz w:val="24"/>
          <w:u w:val="single"/>
        </w:rPr>
        <w:t>甲方所在地</w:t>
      </w:r>
      <w:r>
        <w:rPr>
          <w:rFonts w:hint="eastAsia" w:ascii="宋体" w:hAnsi="宋体" w:cs="宋体"/>
          <w:i w:val="0"/>
          <w:iCs w:val="0"/>
          <w:color w:val="auto"/>
          <w:sz w:val="24"/>
        </w:rPr>
        <w:t>仲裁委员会依申请仲裁时其现行有效的仲裁规则裁决；</w:t>
      </w:r>
    </w:p>
    <w:p>
      <w:pPr>
        <w:pageBreakBefore w:val="0"/>
        <w:kinsoku/>
        <w:wordWrap/>
        <w:overflowPunct/>
        <w:topLinePunct w:val="0"/>
        <w:bidi w:val="0"/>
        <w:spacing w:line="360" w:lineRule="auto"/>
        <w:ind w:left="-420" w:leftChars="-200" w:right="-420" w:rightChars="-200" w:firstLine="840" w:firstLineChars="35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2.</w:t>
      </w:r>
      <w:r>
        <w:rPr>
          <w:rFonts w:hint="eastAsia" w:ascii="宋体" w:hAnsi="宋体" w:cs="宋体"/>
          <w:i w:val="0"/>
          <w:iCs w:val="0"/>
          <w:color w:val="auto"/>
          <w:sz w:val="24"/>
        </w:rPr>
        <w:t>向</w:t>
      </w:r>
      <w:r>
        <w:rPr>
          <w:rFonts w:hint="eastAsia" w:ascii="宋体" w:hAnsi="宋体" w:cs="宋体"/>
          <w:b/>
          <w:i w:val="0"/>
          <w:iCs w:val="0"/>
          <w:color w:val="auto"/>
          <w:sz w:val="24"/>
          <w:u w:val="single"/>
          <w:lang w:eastAsia="zh-CN"/>
        </w:rPr>
        <w:t>甲方所在地</w:t>
      </w:r>
      <w:r>
        <w:rPr>
          <w:rFonts w:hint="eastAsia" w:ascii="宋体" w:hAnsi="宋体" w:cs="宋体"/>
          <w:i w:val="0"/>
          <w:iCs w:val="0"/>
          <w:color w:val="auto"/>
          <w:sz w:val="24"/>
        </w:rPr>
        <w:t>人民法院起诉。</w:t>
      </w:r>
    </w:p>
    <w:p>
      <w:pPr>
        <w:pageBreakBefore w:val="0"/>
        <w:kinsoku/>
        <w:wordWrap/>
        <w:overflowPunct/>
        <w:topLinePunct w:val="0"/>
        <w:bidi w:val="0"/>
        <w:spacing w:line="360" w:lineRule="auto"/>
        <w:ind w:firstLine="482" w:firstLineChars="200"/>
        <w:textAlignment w:val="auto"/>
        <w:outlineLvl w:val="0"/>
        <w:rPr>
          <w:rFonts w:hint="eastAsia"/>
          <w:color w:val="auto"/>
          <w:lang w:eastAsia="zh-CN"/>
        </w:rPr>
      </w:pPr>
      <w:bookmarkStart w:id="425" w:name="_Toc7245"/>
      <w:bookmarkStart w:id="426" w:name="_Toc11173"/>
      <w:bookmarkStart w:id="427" w:name="_Toc15322"/>
      <w:r>
        <w:rPr>
          <w:rFonts w:hint="eastAsia" w:ascii="宋体" w:hAnsi="宋体" w:cs="宋体"/>
          <w:b/>
          <w:color w:val="auto"/>
          <w:sz w:val="24"/>
          <w:lang w:eastAsia="zh-CN"/>
        </w:rPr>
        <w:t>十、其他约定条款</w:t>
      </w:r>
    </w:p>
    <w:p>
      <w:pPr>
        <w:pageBreakBefore w:val="0"/>
        <w:kinsoku/>
        <w:wordWrap/>
        <w:overflowPunct/>
        <w:topLinePunct w:val="0"/>
        <w:bidi w:val="0"/>
        <w:spacing w:line="360" w:lineRule="auto"/>
        <w:ind w:right="-420" w:rightChars="-200"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若本合同其他条款与本条款有冲突矛盾的，以本条款约定为准。</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color w:val="auto"/>
          <w:sz w:val="24"/>
          <w:u w:val="single"/>
          <w:lang w:val="en-US" w:eastAsia="zh-CN"/>
        </w:rPr>
      </w:pPr>
      <w:r>
        <w:rPr>
          <w:rFonts w:hint="eastAsia" w:ascii="宋体" w:hAnsi="宋体" w:cs="宋体"/>
          <w:color w:val="auto"/>
          <w:sz w:val="24"/>
          <w:u w:val="single"/>
          <w:lang w:val="en-US" w:eastAsia="zh-CN"/>
        </w:rPr>
        <w:t xml:space="preserve">   </w:t>
      </w:r>
      <w:r>
        <w:rPr>
          <w:rFonts w:hint="eastAsia" w:ascii="宋体" w:hAnsi="宋体" w:cs="宋体"/>
          <w:b w:val="0"/>
          <w:bCs w:val="0"/>
          <w:i w:val="0"/>
          <w:iCs w:val="0"/>
          <w:color w:val="auto"/>
          <w:sz w:val="24"/>
          <w:u w:val="single"/>
          <w:lang w:val="en-US" w:eastAsia="zh-CN"/>
        </w:rPr>
        <w:t xml:space="preserve"> 无     </w:t>
      </w:r>
      <w:r>
        <w:rPr>
          <w:rFonts w:hint="eastAsia" w:ascii="宋体" w:hAnsi="宋体" w:cs="宋体"/>
          <w:b w:val="0"/>
          <w:bCs w:val="0"/>
          <w:i/>
          <w:iCs/>
          <w:color w:val="auto"/>
          <w:sz w:val="24"/>
          <w:u w:val="single"/>
          <w:lang w:val="en-US" w:eastAsia="zh-CN"/>
        </w:rPr>
        <w:t xml:space="preserve">              </w:t>
      </w:r>
      <w:r>
        <w:rPr>
          <w:rFonts w:hint="eastAsia" w:ascii="宋体" w:hAnsi="宋体" w:cs="宋体"/>
          <w:color w:val="auto"/>
          <w:sz w:val="24"/>
          <w:u w:val="single"/>
          <w:lang w:val="en-US" w:eastAsia="zh-CN"/>
        </w:rPr>
        <w:t xml:space="preserve">  。 </w:t>
      </w:r>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十一、</w:t>
      </w:r>
      <w:r>
        <w:rPr>
          <w:rFonts w:hint="eastAsia" w:ascii="宋体" w:hAnsi="宋体" w:cs="宋体"/>
          <w:b/>
          <w:color w:val="auto"/>
          <w:sz w:val="24"/>
        </w:rPr>
        <w:t>合同生效</w:t>
      </w:r>
      <w:bookmarkEnd w:id="425"/>
      <w:bookmarkEnd w:id="426"/>
      <w:bookmarkEnd w:id="427"/>
    </w:p>
    <w:p>
      <w:pPr>
        <w:pStyle w:val="21"/>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rPr>
      </w:pPr>
      <w:r>
        <w:rPr>
          <w:rFonts w:hint="eastAsia" w:ascii="宋体" w:hAnsi="宋体" w:cs="宋体"/>
          <w:color w:val="auto"/>
          <w:sz w:val="24"/>
        </w:rPr>
        <w:t>本合同自双方盖章</w:t>
      </w:r>
      <w:r>
        <w:rPr>
          <w:rFonts w:hint="eastAsia" w:ascii="宋体" w:hAnsi="宋体" w:cs="宋体"/>
          <w:color w:val="auto"/>
          <w:sz w:val="24"/>
          <w:lang w:eastAsia="zh-CN"/>
        </w:rPr>
        <w:t>、</w:t>
      </w:r>
      <w:r>
        <w:rPr>
          <w:rFonts w:hint="eastAsia" w:ascii="宋体" w:hAnsi="宋体" w:cs="宋体"/>
          <w:color w:val="auto"/>
          <w:sz w:val="24"/>
        </w:rPr>
        <w:t>签字时生效。</w:t>
      </w:r>
      <w:r>
        <w:rPr>
          <w:rFonts w:ascii="宋体" w:hAnsi="宋体"/>
          <w:color w:val="auto"/>
          <w:sz w:val="24"/>
        </w:rPr>
        <w:t>合同份数按</w:t>
      </w:r>
      <w:r>
        <w:rPr>
          <w:rFonts w:hint="eastAsia" w:ascii="宋体" w:hAnsi="宋体"/>
          <w:b/>
          <w:bCs/>
          <w:color w:val="auto"/>
          <w:sz w:val="24"/>
          <w:u w:val="single"/>
          <w:lang w:eastAsia="zh-CN"/>
        </w:rPr>
        <w:t>一式四份</w:t>
      </w:r>
      <w:r>
        <w:rPr>
          <w:rFonts w:ascii="宋体" w:hAnsi="宋体"/>
          <w:color w:val="auto"/>
          <w:sz w:val="24"/>
        </w:rPr>
        <w:t>规定</w:t>
      </w:r>
      <w:r>
        <w:rPr>
          <w:rFonts w:hint="eastAsia" w:ascii="宋体" w:hAnsi="宋体"/>
          <w:color w:val="auto"/>
          <w:sz w:val="24"/>
        </w:rPr>
        <w:t>，</w:t>
      </w:r>
      <w:r>
        <w:rPr>
          <w:rFonts w:hint="eastAsia" w:ascii="宋体" w:hAnsi="宋体"/>
          <w:b w:val="0"/>
          <w:bCs/>
          <w:color w:val="auto"/>
          <w:szCs w:val="24"/>
          <w:lang w:eastAsia="zh-CN"/>
        </w:rPr>
        <w:t>第二章</w:t>
      </w:r>
      <w:r>
        <w:rPr>
          <w:rFonts w:hint="eastAsia" w:ascii="宋体" w:hAnsi="宋体"/>
          <w:b w:val="0"/>
          <w:bCs/>
          <w:color w:val="auto"/>
          <w:szCs w:val="24"/>
        </w:rPr>
        <w:t>合同一般条款</w:t>
      </w:r>
      <w:r>
        <w:rPr>
          <w:rFonts w:hint="eastAsia" w:ascii="宋体" w:hAnsi="宋体"/>
          <w:color w:val="auto"/>
          <w:sz w:val="24"/>
          <w:lang w:eastAsia="zh-CN"/>
        </w:rPr>
        <w:t>、第三章合同清单、第四章安全协议、第五章廉洁协议为本合同不可分割的一部分，</w:t>
      </w:r>
      <w:r>
        <w:rPr>
          <w:rFonts w:ascii="宋体" w:hAnsi="宋体"/>
          <w:color w:val="auto"/>
          <w:sz w:val="24"/>
        </w:rPr>
        <w:t>均具有同等法律效力</w:t>
      </w:r>
      <w:r>
        <w:rPr>
          <w:rFonts w:hint="eastAsia" w:ascii="宋体" w:hAnsi="宋体"/>
          <w:color w:val="auto"/>
          <w:sz w:val="24"/>
        </w:rPr>
        <w:t>。</w:t>
      </w:r>
    </w:p>
    <w:p>
      <w:pPr>
        <w:pageBreakBefore w:val="0"/>
        <w:kinsoku/>
        <w:wordWrap/>
        <w:overflowPunct/>
        <w:topLinePunct w:val="0"/>
        <w:autoSpaceDE w:val="0"/>
        <w:autoSpaceDN w:val="0"/>
        <w:bidi w:val="0"/>
        <w:spacing w:line="360" w:lineRule="auto"/>
        <w:textAlignment w:val="auto"/>
        <w:rPr>
          <w:rFonts w:hint="eastAsia" w:ascii="宋体" w:hAnsi="宋体"/>
          <w:b/>
          <w:color w:val="auto"/>
          <w:sz w:val="24"/>
          <w:lang w:val="zh-CN"/>
        </w:rPr>
      </w:pPr>
    </w:p>
    <w:p>
      <w:pPr>
        <w:pStyle w:val="2"/>
        <w:rPr>
          <w:rFonts w:hint="eastAsia" w:ascii="宋体" w:hAnsi="宋体"/>
          <w:b/>
          <w:color w:val="auto"/>
          <w:sz w:val="24"/>
          <w:lang w:val="zh-CN"/>
        </w:rPr>
      </w:pPr>
    </w:p>
    <w:p>
      <w:pPr>
        <w:pStyle w:val="12"/>
        <w:rPr>
          <w:rFonts w:hint="eastAsia"/>
          <w:lang w:val="zh-CN"/>
        </w:rPr>
      </w:pP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地址：</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临江街道红十五路10388-123号</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（签字）: </w:t>
      </w:r>
    </w:p>
    <w:p>
      <w:pPr>
        <w:pageBreakBefore w:val="0"/>
        <w:kinsoku/>
        <w:wordWrap/>
        <w:overflowPunct/>
        <w:topLinePunct w:val="0"/>
        <w:autoSpaceDE w:val="0"/>
        <w:autoSpaceDN w:val="0"/>
        <w:bidi w:val="0"/>
        <w:spacing w:line="360" w:lineRule="auto"/>
        <w:textAlignment w:val="auto"/>
        <w:rPr>
          <w:rFonts w:ascii="宋体" w:hAnsi="宋体"/>
          <w:color w:val="auto"/>
          <w:sz w:val="24"/>
        </w:rPr>
      </w:pPr>
      <w:r>
        <w:rPr>
          <w:rFonts w:hint="eastAsia" w:ascii="宋体" w:hAnsi="宋体"/>
          <w:color w:val="auto"/>
          <w:sz w:val="24"/>
        </w:rPr>
        <w:t>开户银行</w:t>
      </w:r>
      <w:r>
        <w:rPr>
          <w:rFonts w:hint="eastAsia" w:ascii="宋体" w:hAnsi="宋体"/>
          <w:color w:val="auto"/>
          <w:sz w:val="24"/>
          <w:lang w:eastAsia="zh-CN"/>
        </w:rPr>
        <w:t>：</w:t>
      </w:r>
      <w:r>
        <w:rPr>
          <w:rFonts w:hint="eastAsia" w:ascii="宋体" w:hAnsi="宋体"/>
          <w:color w:val="auto"/>
          <w:sz w:val="24"/>
        </w:rPr>
        <w:t>杭州银行大江东支行：</w:t>
      </w:r>
      <w:r>
        <w:rPr>
          <w:rFonts w:ascii="宋体" w:hAnsi="宋体"/>
          <w:color w:val="auto"/>
          <w:sz w:val="24"/>
        </w:rPr>
        <w:t xml:space="preserve">          开户银行： </w:t>
      </w:r>
    </w:p>
    <w:p>
      <w:pPr>
        <w:pageBreakBefore w:val="0"/>
        <w:kinsoku/>
        <w:wordWrap/>
        <w:overflowPunct/>
        <w:topLinePunct w:val="0"/>
        <w:autoSpaceDE w:val="0"/>
        <w:autoSpaceDN w:val="0"/>
        <w:bidi w:val="0"/>
        <w:spacing w:line="360" w:lineRule="auto"/>
        <w:textAlignment w:val="auto"/>
        <w:rPr>
          <w:rFonts w:hint="eastAsia" w:ascii="宋体" w:hAnsi="宋体"/>
          <w:b/>
          <w:color w:val="auto"/>
          <w:szCs w:val="24"/>
          <w:lang w:eastAsia="zh-CN"/>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6"/>
        <w:ind w:left="0" w:leftChars="0" w:firstLine="0" w:firstLineChars="0"/>
        <w:rPr>
          <w:rFonts w:hint="eastAsia"/>
          <w:lang w:eastAsia="zh-CN"/>
        </w:rPr>
      </w:pPr>
    </w:p>
    <w:p>
      <w:pPr>
        <w:pStyle w:val="6"/>
        <w:ind w:left="0" w:leftChars="0" w:firstLine="0" w:firstLineChars="0"/>
        <w:rPr>
          <w:rFonts w:hint="eastAsia"/>
          <w:lang w:eastAsia="zh-CN"/>
        </w:rPr>
      </w:pPr>
    </w:p>
    <w:p>
      <w:pPr>
        <w:pStyle w:val="21"/>
        <w:pageBreakBefore w:val="0"/>
        <w:kinsoku/>
        <w:wordWrap/>
        <w:overflowPunct/>
        <w:topLinePunct w:val="0"/>
        <w:bidi w:val="0"/>
        <w:spacing w:line="360" w:lineRule="auto"/>
        <w:ind w:left="0" w:leftChars="0" w:firstLine="0" w:firstLineChars="0"/>
        <w:jc w:val="center"/>
        <w:textAlignment w:val="auto"/>
        <w:rPr>
          <w:rFonts w:ascii="宋体" w:hAnsi="宋体"/>
          <w:b/>
          <w:color w:val="auto"/>
          <w:szCs w:val="24"/>
        </w:rPr>
      </w:pPr>
      <w:r>
        <w:rPr>
          <w:rFonts w:hint="eastAsia" w:ascii="宋体" w:hAnsi="宋体"/>
          <w:b/>
          <w:color w:val="auto"/>
          <w:szCs w:val="24"/>
          <w:lang w:eastAsia="zh-CN"/>
        </w:rPr>
        <w:t>第二章</w:t>
      </w:r>
      <w:r>
        <w:rPr>
          <w:rFonts w:ascii="宋体" w:hAnsi="宋体"/>
          <w:b/>
          <w:color w:val="auto"/>
          <w:szCs w:val="24"/>
        </w:rPr>
        <w:t xml:space="preserve"> </w:t>
      </w:r>
      <w:r>
        <w:rPr>
          <w:rFonts w:hint="eastAsia" w:ascii="宋体" w:hAnsi="宋体"/>
          <w:b/>
          <w:color w:val="auto"/>
          <w:szCs w:val="24"/>
        </w:rPr>
        <w:t>合同一般条款</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28" w:name="_Toc5228"/>
      <w:bookmarkStart w:id="429" w:name="_Toc14021"/>
      <w:bookmarkStart w:id="430" w:name="_Toc31297"/>
      <w:bookmarkStart w:id="431" w:name="_Toc25079"/>
      <w:bookmarkStart w:id="432" w:name="_Toc19680"/>
      <w:r>
        <w:rPr>
          <w:rFonts w:hint="eastAsia" w:ascii="宋体" w:hAnsi="宋体"/>
          <w:b/>
          <w:color w:val="auto"/>
          <w:sz w:val="24"/>
          <w:lang w:eastAsia="zh-CN"/>
        </w:rPr>
        <w:t>一、</w:t>
      </w:r>
      <w:r>
        <w:rPr>
          <w:rFonts w:ascii="宋体" w:hAnsi="宋体"/>
          <w:b/>
          <w:color w:val="auto"/>
          <w:sz w:val="24"/>
        </w:rPr>
        <w:t>定义</w:t>
      </w:r>
      <w:bookmarkEnd w:id="428"/>
      <w:bookmarkEnd w:id="429"/>
      <w:bookmarkEnd w:id="430"/>
      <w:bookmarkEnd w:id="431"/>
      <w:bookmarkEnd w:id="43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ascii="宋体" w:hAnsi="宋体"/>
          <w:color w:val="auto"/>
          <w:sz w:val="24"/>
        </w:rPr>
        <w:t>“现场”系指合同约定提供服务的地点。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3" w:name="_Toc16752"/>
      <w:bookmarkStart w:id="434" w:name="_Toc23289"/>
      <w:bookmarkStart w:id="435" w:name="_Toc19539"/>
      <w:bookmarkStart w:id="436" w:name="_Toc3769"/>
      <w:bookmarkStart w:id="437" w:name="_Toc31402"/>
      <w:r>
        <w:rPr>
          <w:rFonts w:hint="eastAsia" w:ascii="宋体" w:hAnsi="宋体"/>
          <w:b/>
          <w:color w:val="auto"/>
          <w:sz w:val="24"/>
          <w:lang w:eastAsia="zh-CN"/>
        </w:rPr>
        <w:t>二、</w:t>
      </w:r>
      <w:r>
        <w:rPr>
          <w:rFonts w:ascii="宋体" w:hAnsi="宋体"/>
          <w:b/>
          <w:color w:val="auto"/>
          <w:sz w:val="24"/>
        </w:rPr>
        <w:t xml:space="preserve"> 技术规范</w:t>
      </w:r>
      <w:bookmarkEnd w:id="433"/>
      <w:bookmarkEnd w:id="434"/>
      <w:bookmarkEnd w:id="435"/>
      <w:bookmarkEnd w:id="436"/>
      <w:bookmarkEnd w:id="437"/>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所应遵守的技术规范应与采购文件规定的技术规范和技术规范附件及其技术规范偏差表相一致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8" w:name="_Toc13673"/>
      <w:bookmarkStart w:id="439" w:name="_Toc27945"/>
      <w:bookmarkStart w:id="440" w:name="_Toc12412"/>
      <w:bookmarkStart w:id="441" w:name="_Toc4133"/>
      <w:bookmarkStart w:id="442" w:name="_Toc9161"/>
      <w:r>
        <w:rPr>
          <w:rFonts w:hint="eastAsia" w:ascii="宋体" w:hAnsi="宋体"/>
          <w:b/>
          <w:color w:val="auto"/>
          <w:sz w:val="24"/>
          <w:lang w:eastAsia="zh-CN"/>
        </w:rPr>
        <w:t>三、</w:t>
      </w:r>
      <w:r>
        <w:rPr>
          <w:rFonts w:ascii="宋体" w:hAnsi="宋体"/>
          <w:b/>
          <w:color w:val="auto"/>
          <w:sz w:val="24"/>
        </w:rPr>
        <w:t xml:space="preserve"> 知识产权</w:t>
      </w:r>
      <w:bookmarkEnd w:id="438"/>
      <w:bookmarkEnd w:id="439"/>
      <w:bookmarkEnd w:id="440"/>
      <w:bookmarkEnd w:id="441"/>
      <w:bookmarkEnd w:id="44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合同涉及技术成果的归属和收益的分成办法的，</w:t>
      </w:r>
      <w:r>
        <w:rPr>
          <w:rFonts w:hint="eastAsia" w:ascii="宋体" w:hAnsi="宋体"/>
          <w:color w:val="auto"/>
          <w:sz w:val="24"/>
          <w:lang w:eastAsia="zh-CN"/>
        </w:rPr>
        <w:t>双方另行商定签订协议</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rPr>
          <w:rFonts w:ascii="宋体" w:hAnsi="宋体"/>
          <w:b/>
          <w:color w:val="auto"/>
          <w:sz w:val="24"/>
        </w:rPr>
      </w:pPr>
      <w:r>
        <w:rPr>
          <w:rFonts w:hint="eastAsia" w:ascii="宋体" w:hAnsi="宋体"/>
          <w:b/>
          <w:color w:val="auto"/>
          <w:sz w:val="24"/>
          <w:lang w:eastAsia="zh-CN"/>
        </w:rPr>
        <w:t>四、</w:t>
      </w:r>
      <w:r>
        <w:rPr>
          <w:rFonts w:hint="eastAsia" w:ascii="宋体" w:hAnsi="宋体"/>
          <w:b/>
          <w:color w:val="auto"/>
          <w:sz w:val="24"/>
        </w:rPr>
        <w:t>履约检查和问题反馈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合同履行期间，甲方有权将履行过程中出现的问题反馈给乙方，双方当事人应以书面形式约定需要完善和改进的内容。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43" w:name="_Toc26555"/>
      <w:bookmarkStart w:id="444" w:name="_Toc22011"/>
      <w:bookmarkStart w:id="445" w:name="_Toc31233"/>
      <w:bookmarkStart w:id="446" w:name="_Toc15447"/>
      <w:bookmarkStart w:id="447" w:name="_Toc32670"/>
      <w:r>
        <w:rPr>
          <w:rFonts w:hint="eastAsia" w:ascii="宋体" w:hAnsi="宋体"/>
          <w:b/>
          <w:color w:val="auto"/>
          <w:sz w:val="24"/>
          <w:lang w:eastAsia="zh-CN"/>
        </w:rPr>
        <w:t>五、</w:t>
      </w:r>
      <w:r>
        <w:rPr>
          <w:rFonts w:ascii="宋体" w:hAnsi="宋体"/>
          <w:b/>
          <w:color w:val="auto"/>
          <w:sz w:val="24"/>
        </w:rPr>
        <w:t>结算方式和付款条件</w:t>
      </w:r>
      <w:bookmarkEnd w:id="443"/>
      <w:bookmarkEnd w:id="444"/>
      <w:bookmarkEnd w:id="445"/>
      <w:bookmarkEnd w:id="446"/>
      <w:bookmarkEnd w:id="447"/>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bookmarkStart w:id="448" w:name="_Toc13154"/>
      <w:bookmarkStart w:id="449" w:name="_Toc30507"/>
      <w:bookmarkStart w:id="450" w:name="_Toc16163"/>
      <w:bookmarkStart w:id="451" w:name="_Toc13467"/>
      <w:bookmarkStart w:id="452" w:name="_Toc18990"/>
      <w:r>
        <w:rPr>
          <w:rFonts w:hint="eastAsia" w:ascii="宋体" w:hAnsi="宋体"/>
          <w:b w:val="0"/>
          <w:bCs/>
          <w:color w:val="auto"/>
          <w:sz w:val="24"/>
          <w:u w:val="none"/>
          <w:lang w:val="en-US" w:eastAsia="zh-CN"/>
        </w:rPr>
        <w:t>1.结算方式为转账或者电汇 ，若甲方采用银行承兑支付，双方另行协商；</w:t>
      </w:r>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r>
        <w:rPr>
          <w:rFonts w:hint="eastAsia" w:ascii="宋体" w:hAnsi="宋体"/>
          <w:b w:val="0"/>
          <w:bCs/>
          <w:color w:val="auto"/>
          <w:sz w:val="24"/>
          <w:u w:val="none"/>
          <w:lang w:val="en-US" w:eastAsia="zh-CN"/>
        </w:rPr>
        <w:t>2.付款条件：乙方提供的服务或者货物应满足合同约定要求，未出现违规违约的情况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六、</w:t>
      </w:r>
      <w:r>
        <w:rPr>
          <w:rFonts w:ascii="宋体" w:hAnsi="宋体"/>
          <w:b/>
          <w:color w:val="auto"/>
          <w:sz w:val="24"/>
        </w:rPr>
        <w:t>技术资料和保密义务</w:t>
      </w:r>
      <w:bookmarkEnd w:id="448"/>
      <w:bookmarkEnd w:id="449"/>
      <w:bookmarkEnd w:id="450"/>
      <w:bookmarkEnd w:id="451"/>
      <w:bookmarkEnd w:id="45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乙方有权依据合同约定和项目需要，向甲方了解有关情况，调阅有关资料等，甲方应予积极配合；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3" w:name="_Toc19069"/>
      <w:r>
        <w:rPr>
          <w:rFonts w:hint="eastAsia" w:ascii="宋体" w:hAnsi="宋体"/>
          <w:b/>
          <w:color w:val="auto"/>
          <w:sz w:val="24"/>
          <w:lang w:eastAsia="zh-CN"/>
        </w:rPr>
        <w:t>七、</w:t>
      </w:r>
      <w:r>
        <w:rPr>
          <w:rFonts w:hint="eastAsia" w:ascii="宋体" w:hAnsi="宋体"/>
          <w:b/>
          <w:color w:val="auto"/>
          <w:sz w:val="24"/>
        </w:rPr>
        <w:t>质量保证</w:t>
      </w:r>
      <w:bookmarkEnd w:id="453"/>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4" w:name="_Toc22267"/>
      <w:r>
        <w:rPr>
          <w:rFonts w:hint="eastAsia" w:ascii="宋体" w:hAnsi="宋体"/>
          <w:b/>
          <w:color w:val="auto"/>
          <w:sz w:val="24"/>
          <w:lang w:eastAsia="zh-CN"/>
        </w:rPr>
        <w:t>八、</w:t>
      </w:r>
      <w:r>
        <w:rPr>
          <w:rFonts w:ascii="宋体" w:hAnsi="宋体"/>
          <w:b/>
          <w:color w:val="auto"/>
          <w:sz w:val="24"/>
        </w:rPr>
        <w:t xml:space="preserve"> </w:t>
      </w:r>
      <w:r>
        <w:rPr>
          <w:rFonts w:hint="eastAsia" w:ascii="宋体" w:hAnsi="宋体"/>
          <w:b/>
          <w:color w:val="auto"/>
          <w:sz w:val="24"/>
        </w:rPr>
        <w:t>延迟履行</w:t>
      </w:r>
      <w:bookmarkEnd w:id="454"/>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5" w:name="_Toc10611"/>
      <w:r>
        <w:rPr>
          <w:rFonts w:hint="eastAsia" w:ascii="宋体" w:hAnsi="宋体"/>
          <w:b/>
          <w:color w:val="auto"/>
          <w:sz w:val="24"/>
          <w:lang w:eastAsia="zh-CN"/>
        </w:rPr>
        <w:t>九、</w:t>
      </w:r>
      <w:r>
        <w:rPr>
          <w:rFonts w:hint="eastAsia" w:ascii="宋体" w:hAnsi="宋体"/>
          <w:b/>
          <w:color w:val="auto"/>
          <w:sz w:val="24"/>
        </w:rPr>
        <w:t>合同变更</w:t>
      </w:r>
      <w:bookmarkEnd w:id="455"/>
      <w:r>
        <w:rPr>
          <w:rFonts w:hint="eastAsia" w:ascii="宋体" w:hAnsi="宋体" w:cs="宋体"/>
          <w:b/>
          <w:color w:val="auto"/>
          <w:sz w:val="24"/>
          <w:lang w:eastAsia="zh-CN"/>
        </w:rPr>
        <w:t>或补充</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lang w:val="en-US" w:eastAsia="zh-CN"/>
        </w:rPr>
      </w:pPr>
      <w:bookmarkStart w:id="456" w:name="_Toc21830"/>
      <w:bookmarkStart w:id="457" w:name="_Toc42"/>
      <w:bookmarkStart w:id="458" w:name="_Toc23368"/>
      <w:bookmarkStart w:id="459" w:name="_Toc10663"/>
      <w:bookmarkStart w:id="460" w:name="_Toc26689"/>
      <w:r>
        <w:rPr>
          <w:rFonts w:hint="eastAsia" w:ascii="宋体" w:hAnsi="宋体"/>
          <w:color w:val="auto"/>
          <w:sz w:val="24"/>
          <w:lang w:val="en-US" w:eastAsia="zh-CN"/>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360" w:lineRule="auto"/>
        <w:ind w:firstLine="480" w:firstLineChars="200"/>
        <w:textAlignment w:val="auto"/>
        <w:rPr>
          <w:rFonts w:hint="default" w:ascii="宋体" w:hAnsi="宋体"/>
          <w:color w:val="auto"/>
          <w:sz w:val="24"/>
          <w:lang w:val="en-US" w:eastAsia="zh-CN"/>
        </w:rPr>
      </w:pPr>
      <w:r>
        <w:rPr>
          <w:rFonts w:hint="eastAsia" w:ascii="宋体" w:hAnsi="宋体"/>
          <w:color w:val="auto"/>
          <w:sz w:val="24"/>
          <w:lang w:val="en-US" w:eastAsia="zh-CN"/>
        </w:rPr>
        <w:t>3.本</w:t>
      </w:r>
      <w:r>
        <w:rPr>
          <w:rFonts w:hint="default" w:ascii="宋体" w:hAnsi="宋体"/>
          <w:color w:val="auto"/>
          <w:sz w:val="24"/>
          <w:lang w:val="en-US" w:eastAsia="zh-CN"/>
        </w:rPr>
        <w:t>合同生效后，</w:t>
      </w:r>
      <w:r>
        <w:rPr>
          <w:rFonts w:hint="eastAsia" w:ascii="宋体" w:hAnsi="宋体"/>
          <w:color w:val="auto"/>
          <w:sz w:val="24"/>
          <w:lang w:val="en-US" w:eastAsia="zh-CN"/>
        </w:rPr>
        <w:t>双方</w:t>
      </w:r>
      <w:r>
        <w:rPr>
          <w:rFonts w:hint="default" w:ascii="宋体" w:hAnsi="宋体"/>
          <w:color w:val="auto"/>
          <w:sz w:val="24"/>
          <w:lang w:val="en-US" w:eastAsia="zh-CN"/>
        </w:rPr>
        <w:t>就质量、价款或者报酬、履行地点等内容没有约定或者约定不明确的</w:t>
      </w:r>
      <w:r>
        <w:rPr>
          <w:rFonts w:hint="eastAsia" w:ascii="宋体" w:hAnsi="宋体"/>
          <w:color w:val="auto"/>
          <w:sz w:val="24"/>
          <w:lang w:val="en-US" w:eastAsia="zh-CN"/>
        </w:rPr>
        <w:t>，或者存在明显错误的</w:t>
      </w:r>
      <w:r>
        <w:rPr>
          <w:rFonts w:hint="default" w:ascii="宋体" w:hAnsi="宋体"/>
          <w:color w:val="auto"/>
          <w:sz w:val="24"/>
          <w:lang w:val="en-US" w:eastAsia="zh-CN"/>
        </w:rPr>
        <w:t>，可以协议补充；不能达成补充协议的，按照合同相关条款确定</w:t>
      </w:r>
      <w:r>
        <w:rPr>
          <w:rFonts w:hint="eastAsia" w:ascii="宋体" w:hAnsi="宋体"/>
          <w:color w:val="auto"/>
          <w:sz w:val="24"/>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w:t>
      </w:r>
      <w:r>
        <w:rPr>
          <w:rFonts w:ascii="宋体" w:hAnsi="宋体"/>
          <w:b/>
          <w:color w:val="auto"/>
          <w:sz w:val="24"/>
        </w:rPr>
        <w:t>合同转让和分包</w:t>
      </w:r>
      <w:bookmarkEnd w:id="456"/>
      <w:bookmarkEnd w:id="457"/>
      <w:bookmarkEnd w:id="458"/>
      <w:bookmarkEnd w:id="459"/>
      <w:bookmarkEnd w:id="46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1" w:name="_Toc32494"/>
      <w:bookmarkStart w:id="462" w:name="_Toc4720"/>
      <w:bookmarkStart w:id="463" w:name="_Toc26633"/>
      <w:bookmarkStart w:id="464" w:name="_Toc14371"/>
      <w:bookmarkStart w:id="465" w:name="_Toc25571"/>
      <w:r>
        <w:rPr>
          <w:rFonts w:hint="eastAsia" w:ascii="宋体" w:hAnsi="宋体"/>
          <w:b/>
          <w:color w:val="auto"/>
          <w:sz w:val="24"/>
          <w:lang w:eastAsia="zh-CN"/>
        </w:rPr>
        <w:t>十一、</w:t>
      </w:r>
      <w:r>
        <w:rPr>
          <w:rFonts w:ascii="宋体" w:hAnsi="宋体"/>
          <w:b/>
          <w:color w:val="auto"/>
          <w:sz w:val="24"/>
        </w:rPr>
        <w:t>不可抗力</w:t>
      </w:r>
      <w:bookmarkEnd w:id="461"/>
      <w:bookmarkEnd w:id="462"/>
      <w:bookmarkEnd w:id="463"/>
      <w:bookmarkEnd w:id="464"/>
      <w:bookmarkEnd w:id="46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因不可抗力致使不能实现合同目的的，当事人可以解除合同；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因</w:t>
      </w:r>
      <w:r>
        <w:rPr>
          <w:rFonts w:ascii="宋体" w:hAnsi="宋体"/>
          <w:color w:val="auto"/>
          <w:sz w:val="24"/>
        </w:rPr>
        <w:t>不可抗力致使合同有变更必要的，双方当事人应在</w:t>
      </w:r>
      <w:r>
        <w:rPr>
          <w:rFonts w:hint="eastAsia" w:ascii="宋体" w:hAnsi="宋体"/>
          <w:color w:val="auto"/>
          <w:sz w:val="24"/>
          <w:u w:val="single"/>
          <w:lang w:val="en-US" w:eastAsia="zh-CN"/>
        </w:rPr>
        <w:t>5个工作日</w:t>
      </w:r>
      <w:r>
        <w:rPr>
          <w:rFonts w:ascii="宋体" w:hAnsi="宋体"/>
          <w:color w:val="auto"/>
          <w:sz w:val="24"/>
        </w:rPr>
        <w:t>内以书面形式变更合同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lang w:val="en-US" w:eastAsia="zh-CN"/>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lang w:val="en-US" w:eastAsia="zh-CN"/>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6" w:name="_Toc24465"/>
      <w:bookmarkStart w:id="467" w:name="_Toc23854"/>
      <w:bookmarkStart w:id="468" w:name="_Toc14115"/>
      <w:bookmarkStart w:id="469" w:name="_Toc3638"/>
      <w:bookmarkStart w:id="470" w:name="_Toc25783"/>
      <w:r>
        <w:rPr>
          <w:rFonts w:hint="eastAsia" w:ascii="宋体" w:hAnsi="宋体"/>
          <w:b/>
          <w:color w:val="auto"/>
          <w:sz w:val="24"/>
          <w:lang w:eastAsia="zh-CN"/>
        </w:rPr>
        <w:t>十二、</w:t>
      </w:r>
      <w:r>
        <w:rPr>
          <w:rFonts w:ascii="宋体" w:hAnsi="宋体"/>
          <w:b/>
          <w:color w:val="auto"/>
          <w:sz w:val="24"/>
        </w:rPr>
        <w:t>税费</w:t>
      </w:r>
      <w:bookmarkEnd w:id="466"/>
      <w:bookmarkEnd w:id="467"/>
      <w:bookmarkEnd w:id="468"/>
      <w:bookmarkEnd w:id="469"/>
      <w:bookmarkEnd w:id="47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1" w:name="_Toc26883"/>
      <w:bookmarkStart w:id="472" w:name="_Toc7315"/>
      <w:bookmarkStart w:id="473" w:name="_Toc14814"/>
      <w:bookmarkStart w:id="474" w:name="_Toc25525"/>
      <w:bookmarkStart w:id="475" w:name="_Toc30105"/>
      <w:r>
        <w:rPr>
          <w:rFonts w:hint="eastAsia" w:ascii="宋体" w:hAnsi="宋体"/>
          <w:b/>
          <w:color w:val="auto"/>
          <w:sz w:val="24"/>
          <w:lang w:eastAsia="zh-CN"/>
        </w:rPr>
        <w:t>十三、</w:t>
      </w:r>
      <w:r>
        <w:rPr>
          <w:rFonts w:ascii="宋体" w:hAnsi="宋体"/>
          <w:b/>
          <w:color w:val="auto"/>
          <w:sz w:val="24"/>
        </w:rPr>
        <w:t>乙方破产</w:t>
      </w:r>
      <w:bookmarkEnd w:id="471"/>
      <w:bookmarkEnd w:id="472"/>
      <w:bookmarkEnd w:id="473"/>
      <w:bookmarkEnd w:id="474"/>
      <w:bookmarkEnd w:id="47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6" w:name="_Toc2016"/>
      <w:bookmarkStart w:id="477" w:name="_Toc23323"/>
      <w:bookmarkStart w:id="478" w:name="_Toc1123"/>
      <w:r>
        <w:rPr>
          <w:rFonts w:hint="eastAsia" w:ascii="宋体" w:hAnsi="宋体"/>
          <w:b/>
          <w:color w:val="auto"/>
          <w:sz w:val="24"/>
          <w:lang w:eastAsia="zh-CN"/>
        </w:rPr>
        <w:t>十四、</w:t>
      </w:r>
      <w:r>
        <w:rPr>
          <w:rFonts w:ascii="宋体" w:hAnsi="宋体"/>
          <w:b/>
          <w:color w:val="auto"/>
          <w:sz w:val="24"/>
        </w:rPr>
        <w:t>合同中止、终止</w:t>
      </w:r>
      <w:bookmarkEnd w:id="476"/>
      <w:bookmarkEnd w:id="477"/>
      <w:bookmarkEnd w:id="47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双方当事人不得擅自中止或者终止合同；</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olor w:val="auto"/>
          <w:sz w:val="24"/>
          <w:lang w:val="en-US" w:eastAsia="zh-CN"/>
        </w:rPr>
        <w:t>2.</w:t>
      </w:r>
      <w:r>
        <w:rPr>
          <w:rFonts w:hint="eastAsia" w:ascii="宋体" w:hAnsi="宋体" w:cs="宋体"/>
          <w:color w:val="auto"/>
          <w:sz w:val="24"/>
        </w:rPr>
        <w:t>双方当事人应当中止或者终止合同</w:t>
      </w:r>
      <w:r>
        <w:rPr>
          <w:rFonts w:hint="eastAsia" w:ascii="宋体" w:hAnsi="宋体" w:cs="宋体"/>
          <w:color w:val="auto"/>
          <w:sz w:val="24"/>
          <w:lang w:eastAsia="zh-CN"/>
        </w:rPr>
        <w:t>，</w:t>
      </w:r>
      <w:r>
        <w:rPr>
          <w:rFonts w:hint="eastAsia" w:ascii="宋体" w:hAnsi="宋体" w:cs="宋体"/>
          <w:color w:val="auto"/>
          <w:sz w:val="24"/>
        </w:rPr>
        <w:t>有过错的一方应当承担赔偿责任，双方当事人都有过错的，各自承担相应的责任</w:t>
      </w:r>
      <w:r>
        <w:rPr>
          <w:rFonts w:hint="eastAsia" w:ascii="宋体" w:hAnsi="宋体" w:cs="宋体"/>
          <w:color w:val="auto"/>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3.合同到期后，自动终止合同；</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4.乙方完成合同约定内容的（不得超过合同总金额），自动终止合同；若在合同有效期之前完成的，提前终止合同，无须再另行签订终止补充协议；</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sz w:val="24"/>
          <w:lang w:val="en-US" w:eastAsia="zh-CN"/>
        </w:rPr>
        <w:t>5.出现违约行为的，甲方有权中止或解除合同。</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9" w:name="_Toc1969"/>
      <w:bookmarkStart w:id="480" w:name="_Toc17363"/>
      <w:bookmarkStart w:id="481" w:name="_Toc14525"/>
      <w:r>
        <w:rPr>
          <w:rFonts w:hint="eastAsia" w:ascii="宋体" w:hAnsi="宋体"/>
          <w:b/>
          <w:color w:val="auto"/>
          <w:sz w:val="24"/>
          <w:lang w:eastAsia="zh-CN"/>
        </w:rPr>
        <w:t>十五、</w:t>
      </w:r>
      <w:r>
        <w:rPr>
          <w:rFonts w:ascii="宋体" w:hAnsi="宋体"/>
          <w:b/>
          <w:color w:val="auto"/>
          <w:sz w:val="24"/>
        </w:rPr>
        <w:t>检验和验收</w:t>
      </w:r>
      <w:bookmarkEnd w:id="479"/>
      <w:bookmarkEnd w:id="480"/>
      <w:bookmarkEnd w:id="481"/>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olor w:val="auto"/>
          <w:sz w:val="24"/>
          <w:lang w:val="en-US" w:eastAsia="zh-CN"/>
        </w:rPr>
        <w:t>1.</w:t>
      </w:r>
      <w:r>
        <w:rPr>
          <w:rFonts w:hint="eastAsia" w:ascii="宋体" w:hAnsi="宋体"/>
          <w:color w:val="auto"/>
          <w:sz w:val="24"/>
          <w:u w:val="none"/>
        </w:rPr>
        <w:t>乙方按照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rPr>
        <w:t>，</w:t>
      </w:r>
      <w:r>
        <w:rPr>
          <w:rFonts w:hint="eastAsia" w:ascii="宋体" w:hAnsi="宋体"/>
          <w:color w:val="auto"/>
          <w:sz w:val="24"/>
          <w:u w:val="none"/>
          <w:lang w:eastAsia="zh-CN"/>
        </w:rPr>
        <w:t>完成合同约定的工作内容</w:t>
      </w:r>
      <w:r>
        <w:rPr>
          <w:rFonts w:hint="eastAsia" w:ascii="宋体" w:hAnsi="宋体"/>
          <w:color w:val="auto"/>
          <w:sz w:val="24"/>
          <w:u w:val="none"/>
        </w:rPr>
        <w:t>，甲方按照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lang w:eastAsia="zh-CN"/>
        </w:rPr>
        <w:t>要求</w:t>
      </w:r>
      <w:r>
        <w:rPr>
          <w:rFonts w:ascii="宋体" w:hAnsi="宋体"/>
          <w:color w:val="auto"/>
          <w:sz w:val="24"/>
          <w:u w:val="none"/>
        </w:rPr>
        <w:t>进行验收</w:t>
      </w:r>
      <w:r>
        <w:rPr>
          <w:rFonts w:hint="eastAsia" w:ascii="宋体" w:hAnsi="宋体"/>
          <w:color w:val="auto"/>
          <w:sz w:val="24"/>
          <w:u w:val="none"/>
          <w:lang w:eastAsia="zh-CN"/>
        </w:rPr>
        <w:t>。</w:t>
      </w:r>
      <w:r>
        <w:rPr>
          <w:rFonts w:hint="eastAsia" w:ascii="宋体" w:hAnsi="宋体" w:cs="宋体"/>
          <w:b w:val="0"/>
          <w:bCs w:val="0"/>
          <w:i w:val="0"/>
          <w:iCs w:val="0"/>
          <w:color w:val="auto"/>
          <w:sz w:val="24"/>
          <w:u w:val="none"/>
          <w:lang w:eastAsia="zh-CN"/>
        </w:rPr>
        <w:t>若甲方认为有必要</w:t>
      </w:r>
      <w:r>
        <w:rPr>
          <w:rFonts w:hint="eastAsia" w:ascii="宋体" w:hAnsi="宋体" w:cs="宋体"/>
          <w:color w:val="auto"/>
          <w:sz w:val="24"/>
        </w:rPr>
        <w:t>可邀请相关方参加。</w:t>
      </w:r>
      <w:r>
        <w:rPr>
          <w:rFonts w:hint="eastAsia" w:ascii="宋体" w:hAnsi="宋体" w:cs="宋体"/>
          <w:b/>
          <w:bCs/>
          <w:color w:val="auto"/>
          <w:sz w:val="24"/>
          <w:lang w:eastAsia="zh-CN"/>
        </w:rPr>
        <w:t>若有验收的特别约定合同条款，按特别约定条款执行。</w:t>
      </w:r>
    </w:p>
    <w:p>
      <w:pPr>
        <w:pageBreakBefore w:val="0"/>
        <w:tabs>
          <w:tab w:val="left" w:pos="360"/>
          <w:tab w:val="left" w:pos="540"/>
          <w:tab w:val="left" w:pos="1080"/>
        </w:tabs>
        <w:kinsoku/>
        <w:wordWrap/>
        <w:overflowPunct/>
        <w:topLinePunct w:val="0"/>
        <w:bidi w:val="0"/>
        <w:spacing w:line="360" w:lineRule="auto"/>
        <w:ind w:firstLine="480" w:firstLineChars="200"/>
        <w:jc w:val="left"/>
        <w:textAlignment w:val="auto"/>
        <w:rPr>
          <w:rFonts w:hint="eastAsia" w:ascii="宋体" w:hAnsi="宋体" w:eastAsia="宋体"/>
          <w:i w:val="0"/>
          <w:iCs w:val="0"/>
          <w:color w:val="auto"/>
          <w:sz w:val="24"/>
          <w:lang w:eastAsia="zh-CN"/>
        </w:rPr>
      </w:pPr>
      <w:r>
        <w:rPr>
          <w:rFonts w:hint="eastAsia" w:ascii="宋体" w:hAnsi="宋体"/>
          <w:i w:val="0"/>
          <w:iCs w:val="0"/>
          <w:color w:val="auto"/>
          <w:sz w:val="24"/>
          <w:lang w:val="en-US" w:eastAsia="zh-CN"/>
        </w:rPr>
        <w:t>2.</w:t>
      </w:r>
      <w:r>
        <w:rPr>
          <w:rFonts w:hint="eastAsia" w:ascii="宋体" w:hAnsi="宋体"/>
          <w:i w:val="0"/>
          <w:iCs w:val="0"/>
          <w:color w:val="auto"/>
          <w:sz w:val="24"/>
        </w:rPr>
        <w:t>合同期满或者履行完毕后，甲方有权组织（包括邀请国家认可的质量检测机构参加）对乙方履约的验收，即：按照合同约定的标准，组织对乙方履约情况的验收，并出具</w:t>
      </w:r>
      <w:r>
        <w:rPr>
          <w:rFonts w:hint="eastAsia" w:ascii="宋体" w:hAnsi="宋体"/>
          <w:b/>
          <w:bCs/>
          <w:i w:val="0"/>
          <w:iCs w:val="0"/>
          <w:color w:val="auto"/>
          <w:sz w:val="24"/>
        </w:rPr>
        <w:t>验收</w:t>
      </w:r>
      <w:r>
        <w:rPr>
          <w:rFonts w:hint="eastAsia" w:ascii="宋体" w:hAnsi="宋体"/>
          <w:b/>
          <w:bCs/>
          <w:i w:val="0"/>
          <w:iCs w:val="0"/>
          <w:color w:val="auto"/>
          <w:sz w:val="24"/>
          <w:lang w:eastAsia="zh-CN"/>
        </w:rPr>
        <w:t>单或者验收报告</w:t>
      </w:r>
      <w:r>
        <w:rPr>
          <w:rFonts w:hint="eastAsia" w:ascii="宋体" w:hAnsi="宋体"/>
          <w:i w:val="0"/>
          <w:iCs w:val="0"/>
          <w:color w:val="auto"/>
          <w:sz w:val="24"/>
          <w:lang w:eastAsia="zh-CN"/>
        </w:rPr>
        <w:t>。</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检验和验收标准、程序等具体内容以及前述验收</w:t>
      </w:r>
      <w:r>
        <w:rPr>
          <w:rFonts w:hint="eastAsia" w:ascii="宋体" w:hAnsi="宋体"/>
          <w:color w:val="auto"/>
          <w:sz w:val="24"/>
          <w:lang w:eastAsia="zh-CN"/>
        </w:rPr>
        <w:t>单或者验收报告</w:t>
      </w:r>
      <w:r>
        <w:rPr>
          <w:rFonts w:hint="eastAsia" w:ascii="宋体" w:hAnsi="宋体"/>
          <w:color w:val="auto"/>
          <w:sz w:val="24"/>
        </w:rPr>
        <w:t>的效力</w:t>
      </w:r>
      <w:r>
        <w:rPr>
          <w:rFonts w:hint="eastAsia" w:ascii="宋体" w:hAnsi="宋体"/>
          <w:color w:val="auto"/>
          <w:sz w:val="24"/>
          <w:lang w:eastAsia="zh-CN"/>
        </w:rPr>
        <w:t>如下：</w:t>
      </w:r>
    </w:p>
    <w:p>
      <w:pPr>
        <w:pageBreakBefore w:val="0"/>
        <w:kinsoku/>
        <w:wordWrap/>
        <w:overflowPunct/>
        <w:topLinePunct w:val="0"/>
        <w:bidi w:val="0"/>
        <w:spacing w:line="360" w:lineRule="auto"/>
        <w:ind w:firstLine="480" w:firstLineChars="200"/>
        <w:textAlignment w:val="auto"/>
        <w:outlineLvl w:val="0"/>
        <w:rPr>
          <w:rFonts w:hint="eastAsia" w:ascii="宋体" w:hAnsi="宋体"/>
          <w:b/>
          <w:color w:val="auto"/>
          <w:sz w:val="24"/>
          <w:u w:val="single"/>
          <w:lang w:val="en-US" w:eastAsia="zh-CN"/>
        </w:rPr>
      </w:pPr>
      <w:bookmarkStart w:id="482" w:name="_Toc12666"/>
      <w:bookmarkStart w:id="483" w:name="_Toc2308"/>
      <w:bookmarkStart w:id="484" w:name="_Toc25198"/>
      <w:bookmarkStart w:id="485" w:name="_Toc31892"/>
      <w:bookmarkStart w:id="486" w:name="_Toc9808"/>
      <w:r>
        <w:rPr>
          <w:rFonts w:hint="eastAsia" w:ascii="宋体" w:hAnsi="宋体"/>
          <w:color w:val="auto"/>
          <w:sz w:val="24"/>
          <w:u w:val="single"/>
        </w:rPr>
        <w:t>检验和验收标准、程序</w:t>
      </w:r>
      <w:r>
        <w:rPr>
          <w:rFonts w:hint="eastAsia" w:ascii="宋体" w:hAnsi="宋体"/>
          <w:color w:val="auto"/>
          <w:sz w:val="24"/>
          <w:u w:val="single"/>
          <w:lang w:eastAsia="zh-CN"/>
        </w:rPr>
        <w:t>效力</w:t>
      </w:r>
      <w:r>
        <w:rPr>
          <w:rFonts w:hint="eastAsia" w:ascii="宋体" w:hAnsi="宋体"/>
          <w:color w:val="auto"/>
          <w:sz w:val="24"/>
          <w:u w:val="single"/>
          <w:lang w:val="en-US" w:eastAsia="zh-CN"/>
        </w:rPr>
        <w:t xml:space="preserve"> </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有合法资质第三方机构验收单或者验收报告效力</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甲方的验收单或者验收报告。</w:t>
      </w:r>
      <w:r>
        <w:rPr>
          <w:rFonts w:hint="eastAsia" w:ascii="宋体" w:hAnsi="宋体"/>
          <w:b/>
          <w:color w:val="auto"/>
          <w:sz w:val="24"/>
          <w:u w:val="none"/>
          <w:lang w:val="en-US" w:eastAsia="zh-CN"/>
        </w:rPr>
        <w:t xml:space="preserve">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十六、</w:t>
      </w:r>
      <w:r>
        <w:rPr>
          <w:rFonts w:ascii="宋体" w:hAnsi="宋体"/>
          <w:b/>
          <w:color w:val="auto"/>
          <w:sz w:val="24"/>
        </w:rPr>
        <w:t>通知和送达</w:t>
      </w:r>
      <w:bookmarkEnd w:id="482"/>
      <w:bookmarkEnd w:id="483"/>
      <w:bookmarkEnd w:id="484"/>
      <w:bookmarkEnd w:id="485"/>
      <w:bookmarkEnd w:id="486"/>
    </w:p>
    <w:p>
      <w:pPr>
        <w:pageBreakBefore w:val="0"/>
        <w:kinsoku/>
        <w:wordWrap/>
        <w:overflowPunct/>
        <w:topLinePunct w:val="0"/>
        <w:bidi w:val="0"/>
        <w:spacing w:line="360" w:lineRule="auto"/>
        <w:ind w:firstLine="480" w:firstLineChars="200"/>
        <w:textAlignment w:val="auto"/>
        <w:rPr>
          <w:rFonts w:ascii="宋体" w:hAnsi="宋体"/>
          <w:color w:val="auto"/>
          <w:sz w:val="24"/>
        </w:rPr>
      </w:pPr>
      <w:bookmarkStart w:id="487" w:name="_Toc18401"/>
      <w:bookmarkStart w:id="488" w:name="_Toc27674"/>
      <w:r>
        <w:rPr>
          <w:rFonts w:hint="eastAsia" w:ascii="宋体" w:hAnsi="宋体"/>
          <w:color w:val="auto"/>
          <w:sz w:val="24"/>
          <w:lang w:val="en-US" w:eastAsia="zh-CN"/>
        </w:rPr>
        <w:t>1.</w:t>
      </w:r>
      <w:r>
        <w:rPr>
          <w:rFonts w:hint="eastAsia" w:ascii="宋体" w:hAnsi="宋体"/>
          <w:color w:val="auto"/>
          <w:sz w:val="24"/>
        </w:rPr>
        <w:t>任何一方因履行合同而以合同</w:t>
      </w:r>
      <w:r>
        <w:rPr>
          <w:rFonts w:hint="eastAsia" w:ascii="宋体" w:hAnsi="宋体"/>
          <w:color w:val="auto"/>
          <w:sz w:val="24"/>
          <w:lang w:eastAsia="zh-CN"/>
        </w:rPr>
        <w:t>第一章</w:t>
      </w:r>
      <w:r>
        <w:rPr>
          <w:rFonts w:hint="eastAsia" w:ascii="宋体" w:hAnsi="宋体"/>
          <w:color w:val="auto"/>
          <w:sz w:val="24"/>
        </w:rPr>
        <w:t>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7"/>
      <w:bookmarkEnd w:id="488"/>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89" w:name="_Toc4355"/>
      <w:bookmarkStart w:id="490" w:name="_Toc18540"/>
      <w:bookmarkStart w:id="491" w:name="_Toc30599"/>
      <w:bookmarkStart w:id="492" w:name="_Toc12254"/>
      <w:bookmarkStart w:id="493" w:name="_Toc5063"/>
      <w:bookmarkStart w:id="494" w:name="_Toc28906"/>
      <w:bookmarkStart w:id="495" w:name="_Toc20808"/>
      <w:bookmarkStart w:id="496" w:name="_Toc27644"/>
      <w:r>
        <w:rPr>
          <w:rFonts w:hint="eastAsia" w:ascii="宋体" w:hAnsi="宋体" w:cs="宋体"/>
          <w:b/>
          <w:color w:val="auto"/>
          <w:sz w:val="24"/>
          <w:lang w:eastAsia="zh-CN"/>
        </w:rPr>
        <w:t>十七、</w:t>
      </w:r>
      <w:r>
        <w:rPr>
          <w:rFonts w:hint="eastAsia" w:ascii="宋体" w:hAnsi="宋体" w:cs="宋体"/>
          <w:b/>
          <w:color w:val="auto"/>
          <w:sz w:val="24"/>
        </w:rPr>
        <w:t>计量单位</w:t>
      </w:r>
      <w:bookmarkEnd w:id="489"/>
      <w:bookmarkEnd w:id="490"/>
      <w:bookmarkEnd w:id="491"/>
    </w:p>
    <w:p>
      <w:pPr>
        <w:pageBreakBefore w:val="0"/>
        <w:kinsoku/>
        <w:wordWrap/>
        <w:overflowPunct/>
        <w:topLinePunct w:val="0"/>
        <w:bidi w:val="0"/>
        <w:spacing w:line="360" w:lineRule="auto"/>
        <w:ind w:firstLine="480" w:firstLineChars="200"/>
        <w:textAlignment w:val="auto"/>
        <w:rPr>
          <w:rFonts w:hint="eastAsia" w:ascii="宋体" w:hAnsi="宋体"/>
          <w:b/>
          <w:color w:val="auto"/>
          <w:sz w:val="24"/>
          <w:lang w:eastAsia="zh-CN"/>
        </w:rPr>
      </w:pPr>
      <w:r>
        <w:rPr>
          <w:rFonts w:hint="eastAsia" w:ascii="宋体" w:hAnsi="宋体" w:cs="宋体"/>
          <w:color w:val="auto"/>
          <w:sz w:val="24"/>
        </w:rPr>
        <w:t>除技术规范中另有规定外,合同的计量单位均使用国家法定计量单位。</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十八、</w:t>
      </w:r>
      <w:r>
        <w:rPr>
          <w:rFonts w:hint="eastAsia" w:ascii="宋体" w:hAnsi="宋体"/>
          <w:b/>
          <w:color w:val="auto"/>
          <w:sz w:val="24"/>
        </w:rPr>
        <w:t>合同使用的文字和</w:t>
      </w:r>
      <w:r>
        <w:rPr>
          <w:rFonts w:ascii="宋体" w:hAnsi="宋体"/>
          <w:b/>
          <w:color w:val="auto"/>
          <w:sz w:val="24"/>
        </w:rPr>
        <w:t>适用的法律</w:t>
      </w:r>
      <w:bookmarkEnd w:id="492"/>
      <w:bookmarkEnd w:id="493"/>
      <w:bookmarkEnd w:id="494"/>
      <w:bookmarkEnd w:id="495"/>
      <w:bookmarkEnd w:id="496"/>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olor w:val="auto"/>
          <w:sz w:val="24"/>
          <w:lang w:val="en-US" w:eastAsia="zh-CN"/>
        </w:rPr>
        <w:t>2.</w:t>
      </w:r>
      <w:r>
        <w:rPr>
          <w:rFonts w:hint="eastAsia" w:ascii="宋体" w:hAnsi="宋体"/>
          <w:color w:val="auto"/>
          <w:sz w:val="24"/>
        </w:rPr>
        <w:t>合同适用</w:t>
      </w:r>
      <w:r>
        <w:rPr>
          <w:rFonts w:ascii="宋体" w:hAnsi="宋体"/>
          <w:color w:val="auto"/>
          <w:sz w:val="24"/>
        </w:rPr>
        <w:t>中华人民共和国法律。</w:t>
      </w:r>
    </w:p>
    <w:p>
      <w:pPr>
        <w:pageBreakBefore w:val="0"/>
        <w:kinsoku/>
        <w:wordWrap/>
        <w:overflowPunct/>
        <w:topLinePunct w:val="0"/>
        <w:autoSpaceDE w:val="0"/>
        <w:autoSpaceDN w:val="0"/>
        <w:bidi w:val="0"/>
        <w:spacing w:line="360" w:lineRule="auto"/>
        <w:textAlignment w:val="auto"/>
        <w:rPr>
          <w:rFonts w:hint="eastAsia" w:ascii="宋体" w:hAnsi="宋体"/>
          <w:b/>
          <w:color w:val="auto"/>
          <w:sz w:val="24"/>
          <w:lang w:val="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b/>
          <w:color w:val="auto"/>
          <w:szCs w:val="24"/>
          <w:lang w:eastAsia="zh-CN"/>
        </w:rPr>
      </w:pPr>
    </w:p>
    <w:p>
      <w:pPr>
        <w:pStyle w:val="21"/>
        <w:spacing w:line="560" w:lineRule="exact"/>
        <w:ind w:left="0" w:leftChars="0" w:firstLine="0" w:firstLineChars="0"/>
        <w:jc w:val="both"/>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eastAsia="宋体"/>
          <w:b/>
          <w:color w:val="auto"/>
          <w:szCs w:val="24"/>
          <w:lang w:eastAsia="zh-CN"/>
        </w:rPr>
      </w:pPr>
      <w:r>
        <w:rPr>
          <w:rFonts w:hint="eastAsia" w:ascii="宋体" w:hAnsi="宋体"/>
          <w:b/>
          <w:color w:val="auto"/>
          <w:szCs w:val="24"/>
          <w:lang w:eastAsia="zh-CN"/>
        </w:rPr>
        <w:t>第三章</w:t>
      </w:r>
      <w:r>
        <w:rPr>
          <w:rFonts w:ascii="宋体" w:hAnsi="宋体"/>
          <w:b/>
          <w:color w:val="auto"/>
          <w:szCs w:val="24"/>
        </w:rPr>
        <w:t xml:space="preserve"> </w:t>
      </w:r>
      <w:r>
        <w:rPr>
          <w:rFonts w:hint="eastAsia" w:ascii="宋体" w:hAnsi="宋体"/>
          <w:b/>
          <w:color w:val="auto"/>
          <w:szCs w:val="24"/>
          <w:lang w:eastAsia="zh-CN"/>
        </w:rPr>
        <w:t>合同清单</w:t>
      </w:r>
    </w:p>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一、服务内容分项清单</w:t>
      </w:r>
    </w:p>
    <w:tbl>
      <w:tblPr>
        <w:tblStyle w:val="13"/>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678"/>
        <w:gridCol w:w="1604"/>
        <w:gridCol w:w="1418"/>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39"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367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分项名称</w:t>
            </w:r>
          </w:p>
        </w:tc>
        <w:tc>
          <w:tcPr>
            <w:tcW w:w="1604"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分项价格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c>
          <w:tcPr>
            <w:tcW w:w="1418"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分项数量</w:t>
            </w:r>
          </w:p>
        </w:tc>
        <w:tc>
          <w:tcPr>
            <w:tcW w:w="1826"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分项金额（</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39"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67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能源项目建筑及设备消防维保</w:t>
            </w:r>
          </w:p>
        </w:tc>
        <w:tc>
          <w:tcPr>
            <w:tcW w:w="1604"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418" w:type="dxa"/>
            <w:noWrap w:val="0"/>
            <w:vAlign w:val="center"/>
          </w:tcPr>
          <w:p>
            <w:pPr>
              <w:pStyle w:val="23"/>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133761.98平方米</w:t>
            </w:r>
          </w:p>
        </w:tc>
        <w:tc>
          <w:tcPr>
            <w:tcW w:w="1826"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39"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67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年度检测报告</w:t>
            </w:r>
          </w:p>
        </w:tc>
        <w:tc>
          <w:tcPr>
            <w:tcW w:w="1604"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41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共2份</w:t>
            </w:r>
          </w:p>
        </w:tc>
        <w:tc>
          <w:tcPr>
            <w:tcW w:w="1826"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517" w:type="dxa"/>
            <w:gridSpan w:val="2"/>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604"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418"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c>
          <w:tcPr>
            <w:tcW w:w="1826" w:type="dxa"/>
            <w:noWrap w:val="0"/>
            <w:vAlign w:val="center"/>
          </w:tcPr>
          <w:p>
            <w:pPr>
              <w:pStyle w:val="23"/>
              <w:keepNext w:val="0"/>
              <w:keepLines w:val="0"/>
              <w:suppressLineNumbers w:val="0"/>
              <w:spacing w:before="0" w:beforeAutospacing="0" w:after="0" w:afterAutospacing="0" w:line="560" w:lineRule="exact"/>
              <w:ind w:left="0" w:right="0" w:firstLine="200"/>
              <w:jc w:val="center"/>
              <w:rPr>
                <w:rFonts w:hint="eastAsia" w:ascii="宋体" w:hAnsi="宋体" w:eastAsia="宋体" w:cs="宋体"/>
                <w:color w:val="auto"/>
                <w:sz w:val="24"/>
                <w:szCs w:val="24"/>
              </w:rPr>
            </w:pPr>
          </w:p>
        </w:tc>
      </w:tr>
    </w:tbl>
    <w:p>
      <w:pPr>
        <w:pStyle w:val="3"/>
        <w:numPr>
          <w:ilvl w:val="0"/>
          <w:numId w:val="3"/>
        </w:numPr>
        <w:tabs>
          <w:tab w:val="left" w:pos="432"/>
        </w:tabs>
        <w:rPr>
          <w:rFonts w:hint="eastAsia"/>
          <w:lang w:eastAsia="zh-CN"/>
        </w:rPr>
      </w:pPr>
      <w:r>
        <w:rPr>
          <w:rFonts w:hint="eastAsia" w:ascii="宋体" w:hAnsi="宋体" w:eastAsia="宋体" w:cs="宋体"/>
          <w:b w:val="0"/>
          <w:bCs w:val="0"/>
          <w:color w:val="auto"/>
          <w:sz w:val="24"/>
          <w:szCs w:val="24"/>
          <w:lang w:val="en-US" w:eastAsia="zh-CN"/>
        </w:rPr>
        <w:t xml:space="preserve">货物分项清单    </w:t>
      </w:r>
    </w:p>
    <w:tbl>
      <w:tblPr>
        <w:tblStyle w:val="14"/>
        <w:tblW w:w="901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772"/>
        <w:gridCol w:w="1900"/>
        <w:gridCol w:w="1075"/>
        <w:gridCol w:w="725"/>
        <w:gridCol w:w="987"/>
        <w:gridCol w:w="983"/>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货物名称</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规格型号/技术要求</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品牌/制造商</w:t>
            </w:r>
          </w:p>
        </w:tc>
        <w:tc>
          <w:tcPr>
            <w:tcW w:w="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暂定数量</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金额</w:t>
            </w: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感烟探测器</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JTY-GD-G3T</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感温探测器</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JTY-ECD-G3N</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772"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喷头</w:t>
            </w:r>
          </w:p>
        </w:tc>
        <w:tc>
          <w:tcPr>
            <w:tcW w:w="190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ZSTZ15-60°C</w:t>
            </w:r>
          </w:p>
        </w:tc>
        <w:tc>
          <w:tcPr>
            <w:tcW w:w="10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喷头</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T-ZSTZ15-93°C</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水流指示器</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1771X-16</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手动报警按钮</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J-SAM-GST9123A</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水泵接合器</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SQS150-1.3=6</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压力开关</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ZSJY1.6BP-S</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输入模块</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输出模块</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火灾显示屏</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消防专用电话</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TS-GSTN601</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消防电话插孔</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TS-GSTN602</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排烟防火阀</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280°C</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扬声器</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HY6251 HY6253</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16</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警报装置</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GST-HX-200B</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直接启泵按钮</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J-SAM-GS9123A</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18</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室内消火栓</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SG18E65ZJ1800*18*700</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19</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室外消火栓</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SG24B65Z-J</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消火栓箱（含铝合金门框）</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70cm*100cm</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21</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应急指示灯</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DJ-BLZD-I1LROE3W-01T-S</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应急照明灯</w:t>
            </w: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OP-ZFZD-E3W-Z201</w:t>
            </w: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合计</w:t>
            </w:r>
          </w:p>
        </w:tc>
        <w:tc>
          <w:tcPr>
            <w:tcW w:w="1772"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900" w:type="dxa"/>
            <w:vAlign w:val="center"/>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0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725" w:type="dxa"/>
            <w:vAlign w:val="top"/>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7"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983"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875" w:type="dxa"/>
          </w:tcPr>
          <w:p>
            <w:pPr>
              <w:pStyle w:val="3"/>
              <w:numPr>
                <w:ilvl w:val="0"/>
                <w:numId w:val="0"/>
              </w:numPr>
              <w:suppressLineNumbers w:val="0"/>
              <w:tabs>
                <w:tab w:val="left" w:pos="432"/>
              </w:tabs>
              <w:spacing w:beforeAutospacing="0" w:afterAutospacing="0"/>
              <w:ind w:left="0" w:right="0"/>
              <w:jc w:val="center"/>
              <w:rPr>
                <w:rFonts w:hint="eastAsia" w:ascii="宋体" w:hAnsi="宋体" w:eastAsia="宋体" w:cs="宋体"/>
                <w:b w:val="0"/>
                <w:bCs w:val="0"/>
                <w:color w:val="auto"/>
                <w:kern w:val="2"/>
                <w:sz w:val="24"/>
                <w:szCs w:val="24"/>
                <w:lang w:val="en-US" w:eastAsia="zh-CN" w:bidi="ar-SA"/>
              </w:rPr>
            </w:pPr>
          </w:p>
        </w:tc>
      </w:tr>
    </w:tbl>
    <w:p>
      <w:pPr>
        <w:pStyle w:val="21"/>
        <w:numPr>
          <w:ilvl w:val="0"/>
          <w:numId w:val="0"/>
        </w:numPr>
        <w:spacing w:line="560" w:lineRule="exact"/>
        <w:ind w:left="0" w:leftChars="0" w:firstLine="2880" w:firstLineChars="1200"/>
        <w:jc w:val="both"/>
        <w:rPr>
          <w:rFonts w:hint="eastAsia" w:ascii="宋体" w:hAnsi="宋体" w:eastAsia="宋体" w:cs="宋体"/>
          <w:b w:val="0"/>
          <w:bCs w:val="0"/>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2891" w:firstLineChars="1200"/>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jc w:val="both"/>
        <w:rPr>
          <w:rFonts w:hint="eastAsia" w:ascii="宋体" w:hAnsi="宋体" w:cs="Times New Roman"/>
          <w:b/>
          <w:color w:val="auto"/>
          <w:kern w:val="2"/>
          <w:sz w:val="24"/>
          <w:szCs w:val="24"/>
          <w:lang w:val="en-US" w:eastAsia="zh-CN" w:bidi="ar-SA"/>
        </w:rPr>
      </w:pPr>
    </w:p>
    <w:p>
      <w:pPr>
        <w:pStyle w:val="21"/>
        <w:numPr>
          <w:ilvl w:val="0"/>
          <w:numId w:val="0"/>
        </w:numPr>
        <w:spacing w:line="560" w:lineRule="exact"/>
        <w:jc w:val="both"/>
        <w:rPr>
          <w:rFonts w:hint="eastAsia" w:ascii="宋体" w:hAnsi="宋体" w:cs="Times New Roman"/>
          <w:b/>
          <w:color w:val="auto"/>
          <w:kern w:val="2"/>
          <w:sz w:val="24"/>
          <w:szCs w:val="24"/>
          <w:lang w:val="en-US" w:eastAsia="zh-CN" w:bidi="ar-SA"/>
        </w:rPr>
      </w:pPr>
    </w:p>
    <w:p>
      <w:pPr>
        <w:pStyle w:val="6"/>
        <w:rPr>
          <w:rFonts w:hint="eastAsia" w:ascii="宋体" w:hAnsi="宋体" w:cs="Times New Roman"/>
          <w:b/>
          <w:color w:val="auto"/>
          <w:kern w:val="2"/>
          <w:sz w:val="24"/>
          <w:szCs w:val="24"/>
          <w:lang w:val="en-US" w:eastAsia="zh-CN" w:bidi="ar-SA"/>
        </w:rPr>
      </w:pPr>
    </w:p>
    <w:p>
      <w:pPr>
        <w:pStyle w:val="6"/>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firstLine="2891" w:firstLineChars="1200"/>
        <w:jc w:val="both"/>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第四章  </w:t>
      </w:r>
      <w:r>
        <w:rPr>
          <w:rFonts w:hint="eastAsia" w:ascii="宋体" w:hAnsi="宋体"/>
          <w:b/>
          <w:color w:val="auto"/>
          <w:szCs w:val="24"/>
          <w:lang w:eastAsia="zh-CN"/>
        </w:rPr>
        <w:t>安全协议</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发包单位：</w:t>
      </w:r>
      <w:r>
        <w:rPr>
          <w:rFonts w:hint="eastAsia" w:ascii="宋体" w:hAnsi="宋体" w:eastAsia="宋体" w:cs="宋体"/>
          <w:color w:val="auto"/>
          <w:kern w:val="0"/>
          <w:sz w:val="24"/>
          <w:szCs w:val="24"/>
          <w:u w:val="single"/>
          <w:lang w:bidi="ar"/>
        </w:rPr>
        <w:t>杭州临江环境能源有限公司</w:t>
      </w:r>
      <w:r>
        <w:rPr>
          <w:rFonts w:hint="eastAsia" w:ascii="宋体" w:hAnsi="宋体" w:eastAsia="宋体" w:cs="宋体"/>
          <w:color w:val="auto"/>
          <w:kern w:val="0"/>
          <w:sz w:val="24"/>
          <w:szCs w:val="24"/>
          <w:lang w:bidi="ar"/>
        </w:rPr>
        <w:t xml:space="preserve">（简称甲方）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承包单位：</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甲方将</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2023年临江公司能源项目消防维保服务采购项目 </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 xml:space="preserve">1、项目名称： </w:t>
      </w:r>
      <w:r>
        <w:rPr>
          <w:rFonts w:hint="eastAsia" w:ascii="宋体" w:hAnsi="宋体" w:eastAsia="宋体" w:cs="宋体"/>
          <w:color w:val="auto"/>
          <w:kern w:val="0"/>
          <w:sz w:val="24"/>
          <w:szCs w:val="24"/>
          <w:u w:val="single"/>
          <w:lang w:val="en-US" w:eastAsia="zh-CN" w:bidi="ar"/>
        </w:rPr>
        <w:t xml:space="preserve">  2023年临江公司能源项目消防维保服务采购项目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2、项目地址：</w:t>
      </w:r>
      <w:r>
        <w:rPr>
          <w:rFonts w:hint="eastAsia" w:ascii="宋体" w:hAnsi="宋体" w:eastAsia="宋体" w:cs="宋体"/>
          <w:color w:val="000000"/>
          <w:kern w:val="0"/>
          <w:sz w:val="24"/>
          <w:szCs w:val="24"/>
          <w:u w:val="single"/>
          <w:lang w:bidi="ar"/>
        </w:rPr>
        <w:t>位于</w:t>
      </w:r>
      <w:r>
        <w:rPr>
          <w:rFonts w:hint="eastAsia" w:ascii="宋体" w:hAnsi="宋体" w:eastAsia="宋体" w:cs="宋体"/>
          <w:color w:val="auto"/>
          <w:kern w:val="0"/>
          <w:sz w:val="24"/>
          <w:szCs w:val="24"/>
          <w:u w:val="single"/>
          <w:lang w:bidi="ar"/>
        </w:rPr>
        <w:t>浙江省杭州钱塘区临江街道杭州临江环境能源有限公司</w:t>
      </w:r>
      <w:r>
        <w:rPr>
          <w:rFonts w:hint="eastAsia" w:ascii="宋体" w:hAnsi="宋体" w:eastAsia="宋体" w:cs="宋体"/>
          <w:color w:val="auto"/>
          <w:kern w:val="0"/>
          <w:sz w:val="24"/>
          <w:szCs w:val="24"/>
          <w:u w:val="single"/>
          <w:lang w:eastAsia="zh-CN" w:bidi="ar"/>
        </w:rPr>
        <w:t>厂区内</w:t>
      </w:r>
      <w:r>
        <w:rPr>
          <w:rFonts w:hint="eastAsia" w:ascii="宋体" w:hAnsi="宋体" w:eastAsia="宋体" w:cs="宋体"/>
          <w:color w:val="auto"/>
          <w:kern w:val="0"/>
          <w:sz w:val="24"/>
          <w:szCs w:val="24"/>
          <w:lang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cs="宋体"/>
          <w:b/>
          <w:sz w:val="24"/>
          <w:szCs w:val="24"/>
          <w:lang w:eastAsia="zh-CN"/>
        </w:rPr>
        <w:t>二</w:t>
      </w:r>
      <w:r>
        <w:rPr>
          <w:rFonts w:hint="eastAsia" w:ascii="宋体" w:hAnsi="宋体" w:eastAsia="宋体" w:cs="宋体"/>
          <w:b/>
          <w:sz w:val="24"/>
          <w:szCs w:val="24"/>
        </w:rPr>
        <w:t>、甲方职责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1.甲方对乙方资质进行审查，确保符合要求，并为乙方正常服务场所工作提供便利，</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项目实施</w:t>
      </w:r>
      <w:r>
        <w:rPr>
          <w:rFonts w:hint="eastAsia" w:ascii="宋体" w:hAnsi="宋体" w:eastAsia="宋体" w:cs="宋体"/>
          <w:sz w:val="24"/>
          <w:szCs w:val="24"/>
        </w:rPr>
        <w:t>前就各</w:t>
      </w:r>
      <w:r>
        <w:rPr>
          <w:rFonts w:hint="eastAsia" w:ascii="宋体" w:hAnsi="宋体" w:eastAsia="宋体" w:cs="宋体"/>
          <w:sz w:val="24"/>
          <w:szCs w:val="24"/>
          <w:lang w:val="en-US" w:eastAsia="zh-CN"/>
        </w:rPr>
        <w:t>实施</w:t>
      </w:r>
      <w:r>
        <w:rPr>
          <w:rFonts w:hint="eastAsia" w:ascii="宋体" w:hAnsi="宋体" w:eastAsia="宋体" w:cs="宋体"/>
          <w:sz w:val="24"/>
          <w:szCs w:val="24"/>
          <w:lang w:val="en-US"/>
        </w:rPr>
        <w:t>区域的</w:t>
      </w:r>
      <w:r>
        <w:rPr>
          <w:rFonts w:hint="eastAsia" w:ascii="宋体" w:hAnsi="宋体" w:eastAsia="宋体" w:cs="宋体"/>
          <w:sz w:val="24"/>
          <w:szCs w:val="24"/>
        </w:rPr>
        <w:t>现状及周边情况向乙方进行交底。如：</w:t>
      </w:r>
      <w:r>
        <w:rPr>
          <w:rFonts w:hint="eastAsia" w:ascii="宋体" w:hAnsi="宋体" w:eastAsia="宋体" w:cs="宋体"/>
          <w:sz w:val="24"/>
          <w:szCs w:val="24"/>
          <w:lang w:val="en-US" w:eastAsia="zh-CN"/>
        </w:rPr>
        <w:t>实施项目</w:t>
      </w:r>
      <w:r>
        <w:rPr>
          <w:rFonts w:hint="eastAsia" w:ascii="宋体" w:hAnsi="宋体" w:eastAsia="宋体" w:cs="宋体"/>
          <w:sz w:val="24"/>
          <w:szCs w:val="24"/>
          <w:lang w:val="en-US"/>
        </w:rPr>
        <w:t>周边的</w:t>
      </w:r>
      <w:r>
        <w:rPr>
          <w:rFonts w:hint="eastAsia" w:ascii="宋体" w:hAnsi="宋体" w:eastAsia="宋体" w:cs="宋体"/>
          <w:sz w:val="24"/>
          <w:szCs w:val="24"/>
        </w:rPr>
        <w:t>电缆线、消防管道及排水沟</w:t>
      </w:r>
      <w:r>
        <w:rPr>
          <w:rFonts w:hint="eastAsia" w:ascii="宋体" w:hAnsi="宋体" w:eastAsia="宋体" w:cs="宋体"/>
          <w:sz w:val="24"/>
          <w:szCs w:val="24"/>
          <w:lang w:val="en-US"/>
        </w:rPr>
        <w:t>及</w:t>
      </w:r>
      <w:r>
        <w:rPr>
          <w:rFonts w:hint="eastAsia" w:ascii="宋体" w:hAnsi="宋体" w:eastAsia="宋体" w:cs="宋体"/>
          <w:sz w:val="24"/>
          <w:szCs w:val="24"/>
        </w:rPr>
        <w:t>周边车辆行驶情况等。</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2.为本项目指定专人负责具体的联系沟通工作。</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3.做好与本项目有关的其他各级单位的沟通协调工作。</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eastAsia="zh-CN"/>
        </w:rPr>
        <w:t>三</w:t>
      </w:r>
      <w:r>
        <w:rPr>
          <w:rFonts w:hint="eastAsia" w:ascii="宋体" w:hAnsi="宋体" w:eastAsia="宋体" w:cs="宋体"/>
          <w:b/>
          <w:sz w:val="24"/>
          <w:szCs w:val="24"/>
        </w:rPr>
        <w:t>、乙方职责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1.建立健全本单位该项目的安全生产责任制度和安全生产管理制度，健全组织机构，落实本现场专职安全管理人员。</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2.乙方在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服务期间，必须对工作人员进行安全生产教育，落实安全技术交底工作，确保各类专业技术人员持证上岗。</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4.乙方在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w:t>
      </w:r>
      <w:r>
        <w:rPr>
          <w:rFonts w:hint="eastAsia" w:ascii="宋体" w:hAnsi="宋体" w:eastAsia="宋体" w:cs="宋体"/>
          <w:sz w:val="24"/>
          <w:szCs w:val="24"/>
        </w:rPr>
        <w:t>期间应严格按照用电规范要求，严禁私拉乱接电线，各类电器、照明设备必须使用防爆产品或设置防爆装置。</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5.乙方内部要建立安全生产检查制度、落实自查自检，按“定人、定时间、定措施”的隐患整改原则，消除现场不安全因素。</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6．安全、规范、文明、科学作业，不损坏甲方的地上地下各类设施，确保</w:t>
      </w:r>
      <w:r>
        <w:rPr>
          <w:rFonts w:hint="eastAsia" w:ascii="宋体" w:hAnsi="宋体" w:eastAsia="宋体" w:cs="宋体"/>
          <w:sz w:val="24"/>
          <w:szCs w:val="24"/>
          <w:u w:val="none"/>
          <w:lang w:val="en-US" w:eastAsia="zh-CN"/>
        </w:rPr>
        <w:t>项目实施</w:t>
      </w:r>
      <w:r>
        <w:rPr>
          <w:rFonts w:hint="eastAsia" w:ascii="宋体" w:hAnsi="宋体" w:eastAsia="宋体" w:cs="宋体"/>
          <w:sz w:val="24"/>
          <w:szCs w:val="24"/>
          <w:lang w:val="en-US"/>
        </w:rPr>
        <w:t>区域安全有序</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7.接受甲方的监督检查。</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cs="宋体"/>
          <w:b/>
          <w:sz w:val="24"/>
          <w:szCs w:val="24"/>
          <w:lang w:eastAsia="zh-CN"/>
        </w:rPr>
        <w:t>四</w:t>
      </w:r>
      <w:r>
        <w:rPr>
          <w:rFonts w:hint="eastAsia" w:ascii="宋体" w:hAnsi="宋体" w:eastAsia="宋体" w:cs="宋体"/>
          <w:b/>
          <w:sz w:val="24"/>
          <w:szCs w:val="24"/>
        </w:rPr>
        <w:t>、违约责任</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rPr>
        <w:t>1</w:t>
      </w:r>
      <w:r>
        <w:rPr>
          <w:rFonts w:hint="eastAsia" w:ascii="宋体" w:hAnsi="宋体" w:eastAsia="宋体" w:cs="宋体"/>
          <w:sz w:val="24"/>
          <w:szCs w:val="24"/>
          <w:u w:val="none"/>
          <w:lang w:val="en-US"/>
        </w:rPr>
        <w:t>.</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服务过程中，乙方必须做到安全生产，并服从甲方管理人员的调度指挥，有下列行为的，乙方扣罚履约保证金500-1000元/次：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不服从甲方指挥，强令冒险作业；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未按要求参加甲方组织的各项安全检查、会议活动；</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3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③</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工作人员在禁烟区擅自动火、吸烟；</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4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④</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工作人员未按规定穿戴劳动防护用品，经劝说不听或不服从管理的；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5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⑤</w:t>
      </w:r>
      <w:r>
        <w:rPr>
          <w:rFonts w:hint="eastAsia" w:ascii="宋体" w:hAnsi="宋体" w:eastAsia="宋体" w:cs="宋体"/>
          <w:sz w:val="24"/>
          <w:szCs w:val="24"/>
          <w:u w:val="none"/>
        </w:rPr>
        <w:fldChar w:fldCharType="end"/>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lang w:val="en-US"/>
        </w:rPr>
        <w:t>服务</w:t>
      </w:r>
      <w:r>
        <w:rPr>
          <w:rFonts w:hint="eastAsia" w:ascii="宋体" w:hAnsi="宋体" w:eastAsia="宋体" w:cs="宋体"/>
          <w:sz w:val="24"/>
          <w:szCs w:val="24"/>
          <w:u w:val="none"/>
        </w:rPr>
        <w:t>过程造成环境影响。</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2</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在项目</w:t>
      </w:r>
      <w:r>
        <w:rPr>
          <w:rFonts w:hint="eastAsia" w:ascii="宋体" w:hAnsi="宋体" w:eastAsia="宋体" w:cs="宋体"/>
          <w:sz w:val="24"/>
          <w:szCs w:val="24"/>
          <w:u w:val="none"/>
        </w:rPr>
        <w:t>服务过程中有下列行为的，扣罚履约保证金5000元/次：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1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①</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由于乙方原因造成甲方被主管单位、新闻媒体、12345公开电话投诉或其他上级有关部门书面警告等通报批评的；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 2 \* GB3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②</w:t>
      </w:r>
      <w:r>
        <w:rPr>
          <w:rFonts w:hint="eastAsia" w:ascii="宋体" w:hAnsi="宋体" w:eastAsia="宋体" w:cs="宋体"/>
          <w:sz w:val="24"/>
          <w:szCs w:val="24"/>
          <w:u w:val="none"/>
        </w:rPr>
        <w:fldChar w:fldCharType="end"/>
      </w:r>
      <w:r>
        <w:rPr>
          <w:rFonts w:hint="eastAsia" w:ascii="宋体" w:hAnsi="宋体" w:eastAsia="宋体" w:cs="宋体"/>
          <w:sz w:val="24"/>
          <w:szCs w:val="24"/>
          <w:u w:val="none"/>
        </w:rPr>
        <w:t>乙方未履行职责，经甲方三次书面警告的，进行停业整顿的，每次停业整顿。</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3</w:t>
      </w:r>
      <w:r>
        <w:rPr>
          <w:rFonts w:hint="eastAsia" w:ascii="宋体" w:hAnsi="宋体" w:eastAsia="宋体" w:cs="宋体"/>
          <w:sz w:val="24"/>
          <w:szCs w:val="24"/>
          <w:u w:val="none"/>
        </w:rPr>
        <w:t>.乙方</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4</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服务过程中，对甲方的设施、绿化道路造成影响，由乙方应按甲方要求及时进行原貌恢复或清理，如乙方未能及时进行处理的，甲方有权委托相关部门执行，相应费用在乙方</w:t>
      </w:r>
      <w:r>
        <w:rPr>
          <w:rFonts w:hint="eastAsia" w:ascii="宋体" w:hAnsi="宋体" w:eastAsia="宋体" w:cs="宋体"/>
          <w:sz w:val="24"/>
          <w:szCs w:val="24"/>
          <w:u w:val="none"/>
          <w:lang w:val="en-US"/>
        </w:rPr>
        <w:t>履约保证金</w:t>
      </w:r>
      <w:r>
        <w:rPr>
          <w:rFonts w:hint="eastAsia" w:ascii="宋体" w:hAnsi="宋体" w:eastAsia="宋体" w:cs="宋体"/>
          <w:sz w:val="24"/>
          <w:szCs w:val="24"/>
          <w:u w:val="none"/>
        </w:rPr>
        <w:t>中扣除。</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5</w:t>
      </w:r>
      <w:r>
        <w:rPr>
          <w:rFonts w:hint="eastAsia" w:ascii="宋体" w:hAnsi="宋体" w:eastAsia="宋体" w:cs="宋体"/>
          <w:sz w:val="24"/>
          <w:szCs w:val="24"/>
          <w:u w:val="none"/>
        </w:rPr>
        <w:t>.乙方在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6</w:t>
      </w:r>
      <w:r>
        <w:rPr>
          <w:rFonts w:hint="eastAsia" w:ascii="宋体" w:hAnsi="宋体" w:eastAsia="宋体" w:cs="宋体"/>
          <w:sz w:val="24"/>
          <w:szCs w:val="24"/>
          <w:u w:val="none"/>
        </w:rPr>
        <w:t>.发生紧急情况，乙方应及时向上级主管和甲方报告，同时向相关领导或值班人员汇报。如发生人员伤亡应迅速抢救伤员，并在第一时间送就近医院。</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7</w:t>
      </w:r>
      <w:r>
        <w:rPr>
          <w:rFonts w:hint="eastAsia" w:ascii="宋体" w:hAnsi="宋体" w:eastAsia="宋体" w:cs="宋体"/>
          <w:sz w:val="24"/>
          <w:szCs w:val="24"/>
          <w:u w:val="none"/>
        </w:rPr>
        <w:t>.在</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rPr>
        <w:t>服务期间，乙方发生的安全事故以及造成的人员或财产损失由乙方全额负责。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rPr>
        <w:t>8</w:t>
      </w:r>
      <w:r>
        <w:rPr>
          <w:rFonts w:hint="eastAsia" w:ascii="宋体" w:hAnsi="宋体" w:eastAsia="宋体" w:cs="宋体"/>
          <w:sz w:val="24"/>
          <w:szCs w:val="24"/>
          <w:u w:val="none"/>
        </w:rPr>
        <w:t>.其他违反</w:t>
      </w:r>
      <w:r>
        <w:rPr>
          <w:rFonts w:hint="eastAsia" w:ascii="宋体" w:hAnsi="宋体" w:eastAsia="宋体" w:cs="宋体"/>
          <w:sz w:val="24"/>
          <w:szCs w:val="24"/>
          <w:u w:val="none"/>
          <w:lang w:val="en-US"/>
        </w:rPr>
        <w:t>甲方</w:t>
      </w:r>
      <w:r>
        <w:rPr>
          <w:rFonts w:hint="eastAsia" w:ascii="宋体" w:hAnsi="宋体" w:eastAsia="宋体" w:cs="宋体"/>
          <w:sz w:val="24"/>
          <w:szCs w:val="24"/>
          <w:u w:val="none"/>
        </w:rPr>
        <w:t>相关安全规章制度的现象，根据违规情况每次酌情扣罚履约保证金200—1000元。</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sz w:val="24"/>
          <w:szCs w:val="24"/>
          <w:u w:val="none"/>
          <w:lang w:val="en-US"/>
        </w:rPr>
      </w:pPr>
      <w:r>
        <w:rPr>
          <w:rFonts w:hint="eastAsia" w:ascii="宋体" w:hAnsi="宋体" w:cs="宋体"/>
          <w:b/>
          <w:sz w:val="24"/>
          <w:szCs w:val="24"/>
          <w:u w:val="none"/>
          <w:lang w:val="en-US" w:eastAsia="zh-CN"/>
        </w:rPr>
        <w:t>五</w:t>
      </w:r>
      <w:r>
        <w:rPr>
          <w:rFonts w:hint="eastAsia" w:ascii="宋体" w:hAnsi="宋体" w:eastAsia="宋体" w:cs="宋体"/>
          <w:b/>
          <w:sz w:val="24"/>
          <w:szCs w:val="24"/>
          <w:u w:val="none"/>
          <w:lang w:val="en-US"/>
        </w:rPr>
        <w:t>、其他</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rPr>
        <w:t xml:space="preserve">   </w:t>
      </w:r>
      <w:r>
        <w:rPr>
          <w:rFonts w:hint="eastAsia" w:ascii="宋体" w:hAnsi="宋体" w:eastAsia="宋体" w:cs="宋体"/>
          <w:sz w:val="24"/>
          <w:szCs w:val="24"/>
          <w:u w:val="none"/>
        </w:rPr>
        <w:t>本协议有效期为双方签署之日起至双方权利义务履行完毕为止。有效期内发生的违约事实，有效期后发现的适用本协议。</w:t>
      </w:r>
    </w:p>
    <w:p>
      <w:pPr>
        <w:pStyle w:val="12"/>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kern w:val="0"/>
          <w:sz w:val="24"/>
          <w:szCs w:val="24"/>
          <w:u w:val="none"/>
          <w:lang w:val="en-US" w:eastAsia="zh-CN" w:bidi="ar"/>
        </w:rPr>
      </w:pPr>
    </w:p>
    <w:p>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甲方（盖章）：                            乙方（盖章）：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法定代表人或授权代理人：                  法定代表人或授权代理人：</w:t>
      </w:r>
    </w:p>
    <w:p>
      <w:pPr>
        <w:pStyle w:val="10"/>
        <w:keepNext w:val="0"/>
        <w:keepLines w:val="0"/>
        <w:pageBreakBefore w:val="0"/>
        <w:tabs>
          <w:tab w:val="right" w:leader="dot" w:pos="87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（签字或盖章）                           （签字或盖章）</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签订日期：                                签订日期：</w:t>
      </w:r>
    </w:p>
    <w:p>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1"/>
        <w:numPr>
          <w:ilvl w:val="0"/>
          <w:numId w:val="0"/>
        </w:numPr>
        <w:spacing w:line="560" w:lineRule="exact"/>
        <w:ind w:left="0" w:leftChars="0" w:firstLine="0" w:firstLineChars="0"/>
        <w:jc w:val="center"/>
        <w:rPr>
          <w:rFonts w:hint="eastAsia" w:ascii="宋体" w:hAnsi="宋体" w:cs="Times New Roman"/>
          <w:b/>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kern w:val="2"/>
          <w:sz w:val="24"/>
          <w:szCs w:val="24"/>
          <w:lang w:val="en-US" w:eastAsia="zh-CN" w:bidi="ar-SA"/>
        </w:rPr>
      </w:pPr>
    </w:p>
    <w:p>
      <w:pPr>
        <w:pStyle w:val="21"/>
        <w:numPr>
          <w:ilvl w:val="0"/>
          <w:numId w:val="0"/>
        </w:numPr>
        <w:spacing w:line="560" w:lineRule="exact"/>
        <w:ind w:left="0" w:leftChars="0" w:firstLine="0" w:firstLineChars="0"/>
        <w:jc w:val="both"/>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6"/>
        <w:rPr>
          <w:rFonts w:hint="default"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第五章 </w:t>
      </w:r>
      <w:r>
        <w:rPr>
          <w:rFonts w:hint="eastAsia" w:ascii="宋体" w:hAnsi="宋体"/>
          <w:b/>
          <w:color w:val="auto"/>
          <w:szCs w:val="24"/>
          <w:lang w:eastAsia="zh-CN"/>
        </w:rPr>
        <w:t>廉洁协议</w:t>
      </w:r>
    </w:p>
    <w:p>
      <w:pPr>
        <w:pStyle w:val="6"/>
        <w:numPr>
          <w:ilvl w:val="0"/>
          <w:numId w:val="0"/>
        </w:numPr>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u w:val="single"/>
          <w:lang w:eastAsia="zh-CN"/>
        </w:rPr>
      </w:pPr>
      <w:r>
        <w:rPr>
          <w:rFonts w:hint="eastAsia" w:ascii="宋体" w:hAnsi="宋体" w:eastAsia="宋体" w:cs="宋体"/>
          <w:color w:val="auto"/>
          <w:spacing w:val="0"/>
          <w:position w:val="0"/>
          <w:sz w:val="24"/>
          <w:szCs w:val="24"/>
        </w:rPr>
        <w:t>甲方：</w:t>
      </w:r>
      <w:r>
        <w:rPr>
          <w:rFonts w:hint="eastAsia" w:ascii="宋体" w:hAnsi="宋体" w:eastAsia="宋体" w:cs="宋体"/>
          <w:color w:val="auto"/>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auto"/>
          <w:spacing w:val="0"/>
          <w:position w:val="0"/>
          <w:sz w:val="24"/>
          <w:szCs w:val="24"/>
          <w:u w:val="single"/>
          <w:lang w:val="en-US" w:eastAsia="zh-CN"/>
        </w:rPr>
      </w:pPr>
      <w:r>
        <w:rPr>
          <w:rFonts w:hint="eastAsia" w:ascii="宋体" w:hAnsi="宋体" w:eastAsia="宋体" w:cs="宋体"/>
          <w:color w:val="auto"/>
          <w:spacing w:val="0"/>
          <w:position w:val="0"/>
          <w:sz w:val="24"/>
          <w:szCs w:val="24"/>
        </w:rPr>
        <w:t>乙方：</w:t>
      </w:r>
      <w:r>
        <w:rPr>
          <w:rFonts w:hint="eastAsia" w:ascii="宋体" w:hAnsi="宋体" w:cs="宋体"/>
          <w:color w:val="auto"/>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一、</w:t>
      </w:r>
      <w:r>
        <w:rPr>
          <w:rFonts w:hint="eastAsia" w:ascii="宋体" w:hAnsi="宋体" w:eastAsia="宋体" w:cs="宋体"/>
          <w:b/>
          <w:bCs/>
          <w:color w:val="auto"/>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甲、乙双方应共同严格遵守国家和省市以及</w:t>
      </w:r>
      <w:r>
        <w:rPr>
          <w:rFonts w:hint="eastAsia" w:ascii="宋体" w:hAnsi="宋体" w:eastAsia="宋体" w:cs="宋体"/>
          <w:color w:val="auto"/>
          <w:spacing w:val="0"/>
          <w:position w:val="0"/>
          <w:sz w:val="24"/>
          <w:szCs w:val="24"/>
          <w:lang w:eastAsia="zh-CN"/>
        </w:rPr>
        <w:t>采购人</w:t>
      </w:r>
      <w:r>
        <w:rPr>
          <w:rFonts w:hint="eastAsia" w:ascii="宋体" w:hAnsi="宋体" w:eastAsia="宋体" w:cs="宋体"/>
          <w:color w:val="auto"/>
          <w:spacing w:val="0"/>
          <w:position w:val="0"/>
          <w:sz w:val="24"/>
          <w:szCs w:val="24"/>
        </w:rPr>
        <w:t>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甲、乙双方应认真执行双方签订的合同文件，自觉按合同约定履行责任。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二、</w:t>
      </w:r>
      <w:r>
        <w:rPr>
          <w:rFonts w:hint="eastAsia" w:ascii="宋体" w:hAnsi="宋体" w:eastAsia="宋体" w:cs="宋体"/>
          <w:b/>
          <w:bCs/>
          <w:color w:val="auto"/>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三、</w:t>
      </w:r>
      <w:r>
        <w:rPr>
          <w:rFonts w:hint="eastAsia" w:ascii="宋体" w:hAnsi="宋体" w:eastAsia="宋体" w:cs="宋体"/>
          <w:b/>
          <w:bCs/>
          <w:color w:val="auto"/>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7.</w:t>
      </w:r>
      <w:r>
        <w:rPr>
          <w:rFonts w:hint="eastAsia" w:ascii="宋体" w:hAnsi="宋体" w:eastAsia="宋体" w:cs="宋体"/>
          <w:color w:val="auto"/>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四、</w:t>
      </w:r>
      <w:r>
        <w:rPr>
          <w:rFonts w:hint="eastAsia" w:ascii="宋体" w:hAnsi="宋体" w:eastAsia="宋体" w:cs="宋体"/>
          <w:b/>
          <w:bCs/>
          <w:color w:val="auto"/>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auto"/>
          <w:spacing w:val="0"/>
          <w:position w:val="0"/>
          <w:sz w:val="24"/>
          <w:szCs w:val="24"/>
          <w:lang w:eastAsia="zh-CN"/>
        </w:rPr>
      </w:pPr>
      <w:r>
        <w:rPr>
          <w:rFonts w:hint="eastAsia" w:ascii="宋体" w:hAnsi="宋体" w:cs="宋体"/>
          <w:b/>
          <w:bCs/>
          <w:color w:val="auto"/>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cs="宋体"/>
          <w:color w:val="auto"/>
          <w:spacing w:val="0"/>
          <w:position w:val="0"/>
          <w:sz w:val="24"/>
          <w:szCs w:val="24"/>
          <w:lang w:eastAsia="zh-CN"/>
        </w:rPr>
      </w:pPr>
      <w:r>
        <w:rPr>
          <w:rFonts w:hint="eastAsia" w:ascii="宋体" w:hAnsi="宋体" w:eastAsia="宋体" w:cs="宋体"/>
          <w:b/>
          <w:bCs/>
          <w:color w:val="auto"/>
          <w:spacing w:val="0"/>
          <w:position w:val="0"/>
          <w:sz w:val="24"/>
          <w:szCs w:val="24"/>
        </w:rPr>
        <w:t>甲方（盖章）</w:t>
      </w:r>
      <w:r>
        <w:rPr>
          <w:rFonts w:hint="eastAsia" w:ascii="宋体" w:hAnsi="宋体" w:eastAsia="宋体" w:cs="宋体"/>
          <w:color w:val="auto"/>
          <w:spacing w:val="0"/>
          <w:position w:val="0"/>
          <w:sz w:val="24"/>
          <w:szCs w:val="24"/>
        </w:rPr>
        <w:t>：</w:t>
      </w:r>
      <w:r>
        <w:rPr>
          <w:rFonts w:hint="eastAsia" w:ascii="宋体" w:hAnsi="宋体" w:cs="宋体"/>
          <w:color w:val="auto"/>
          <w:spacing w:val="0"/>
          <w:position w:val="0"/>
          <w:sz w:val="24"/>
          <w:szCs w:val="24"/>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法定代表人或受委托人（签字）：</w:t>
      </w:r>
      <w:r>
        <w:rPr>
          <w:rFonts w:hint="eastAsia" w:ascii="宋体" w:hAnsi="宋体" w:cs="宋体"/>
          <w:color w:val="auto"/>
          <w:spacing w:val="0"/>
          <w:positio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p>
    <w:p>
      <w:pPr>
        <w:pStyle w:val="2"/>
        <w:rPr>
          <w:rFonts w:hint="eastAsia"/>
          <w:color w:val="auto"/>
          <w:spacing w:val="0"/>
          <w:position w:val="0"/>
          <w:sz w:val="24"/>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r>
        <w:rPr>
          <w:rFonts w:hint="eastAsia" w:ascii="宋体" w:hAnsi="宋体" w:eastAsia="宋体" w:cs="宋体"/>
          <w:b/>
          <w:bCs/>
          <w:color w:val="auto"/>
          <w:spacing w:val="0"/>
          <w:position w:val="0"/>
          <w:sz w:val="24"/>
          <w:szCs w:val="24"/>
        </w:rPr>
        <w:t>乙方（盖章）</w:t>
      </w:r>
      <w:r>
        <w:rPr>
          <w:rFonts w:hint="eastAsia" w:ascii="宋体" w:hAnsi="宋体" w:eastAsia="宋体" w:cs="宋体"/>
          <w:color w:val="auto"/>
          <w:spacing w:val="0"/>
          <w:position w:val="0"/>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法定代表人或受委托人（签字）：</w:t>
      </w:r>
    </w:p>
    <w:p>
      <w:pPr>
        <w:rPr>
          <w:color w:val="auto"/>
        </w:rPr>
      </w:pPr>
    </w:p>
    <w:p>
      <w:pPr>
        <w:pStyle w:val="2"/>
        <w:rPr>
          <w:color w:val="auto"/>
        </w:rPr>
      </w:pPr>
    </w:p>
    <w:p>
      <w:pPr>
        <w:pStyle w:val="12"/>
        <w:rPr>
          <w:color w:val="auto"/>
        </w:rPr>
      </w:pPr>
    </w:p>
    <w:p>
      <w:pPr>
        <w:rPr>
          <w:color w:val="auto"/>
        </w:rPr>
      </w:pPr>
    </w:p>
    <w:p>
      <w:pPr>
        <w:pStyle w:val="2"/>
      </w:pPr>
    </w:p>
    <w:p>
      <w:pPr>
        <w:pStyle w:val="2"/>
        <w:rPr>
          <w:color w:val="auto"/>
        </w:rPr>
      </w:pPr>
    </w:p>
    <w:p>
      <w:pPr>
        <w:pStyle w:val="1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snapToGrid w:val="0"/>
        <w:spacing w:line="360" w:lineRule="auto"/>
        <w:ind w:right="48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w:t>
      </w: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2023年临江公司能源项目消防维保服务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202308011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2"/>
        <w:rPr>
          <w:color w:val="auto"/>
        </w:rPr>
      </w:pPr>
    </w:p>
    <w:p>
      <w:pPr>
        <w:pStyle w:val="12"/>
        <w:rPr>
          <w:color w:val="auto"/>
        </w:rPr>
      </w:pPr>
    </w:p>
    <w:p>
      <w:pPr>
        <w:pStyle w:val="2"/>
        <w:rPr>
          <w:color w:val="auto"/>
        </w:rPr>
      </w:pPr>
    </w:p>
    <w:p>
      <w:pPr>
        <w:pStyle w:val="12"/>
        <w:rPr>
          <w:color w:val="auto"/>
        </w:rPr>
      </w:pPr>
    </w:p>
    <w:p>
      <w:pPr>
        <w:rPr>
          <w:color w:val="auto"/>
        </w:rPr>
      </w:pPr>
    </w:p>
    <w:p>
      <w:pPr>
        <w:pStyle w:val="2"/>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2"/>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pStyle w:val="2"/>
        <w:rPr>
          <w:color w:val="auto"/>
        </w:rPr>
      </w:pPr>
    </w:p>
    <w:p>
      <w:pPr>
        <w:spacing w:line="360" w:lineRule="auto"/>
        <w:ind w:right="420"/>
        <w:jc w:val="center"/>
        <w:rPr>
          <w:rFonts w:hint="eastAsia" w:cs="仿宋" w:asciiTheme="minorEastAsia" w:hAnsiTheme="minorEastAsia"/>
          <w:b/>
          <w:color w:val="auto"/>
          <w:kern w:val="0"/>
          <w:sz w:val="36"/>
          <w:szCs w:val="36"/>
        </w:rPr>
      </w:pPr>
    </w:p>
    <w:p>
      <w:pPr>
        <w:spacing w:line="360" w:lineRule="auto"/>
        <w:ind w:right="420"/>
        <w:jc w:val="center"/>
        <w:rPr>
          <w:rFonts w:hint="eastAsia" w:cs="仿宋" w:asciiTheme="minorEastAsia" w:hAnsiTheme="minorEastAsia"/>
          <w:b/>
          <w:color w:val="auto"/>
          <w:kern w:val="0"/>
          <w:sz w:val="36"/>
          <w:szCs w:val="36"/>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2"/>
        <w:rPr>
          <w:color w:val="auto"/>
        </w:rPr>
      </w:pPr>
    </w:p>
    <w:p>
      <w:pPr>
        <w:pStyle w:val="12"/>
      </w:pPr>
    </w:p>
    <w:p>
      <w:pPr>
        <w:pStyle w:val="12"/>
        <w:rPr>
          <w:color w:val="auto"/>
        </w:rPr>
      </w:pPr>
    </w:p>
    <w:p>
      <w:pPr>
        <w:snapToGrid w:val="0"/>
        <w:spacing w:line="360" w:lineRule="auto"/>
        <w:jc w:val="center"/>
        <w:outlineLvl w:val="0"/>
        <w:rPr>
          <w:rFonts w:hint="eastAsia" w:cs="仿宋" w:asciiTheme="minorEastAsia" w:hAnsiTheme="minorEastAsia"/>
          <w:b/>
          <w:color w:val="auto"/>
          <w:kern w:val="0"/>
          <w:sz w:val="32"/>
          <w:szCs w:val="32"/>
        </w:rPr>
      </w:pPr>
    </w:p>
    <w:p>
      <w:pPr>
        <w:snapToGrid w:val="0"/>
        <w:spacing w:line="360" w:lineRule="auto"/>
        <w:jc w:val="center"/>
        <w:outlineLvl w:val="0"/>
        <w:rPr>
          <w:rFonts w:hint="eastAsia" w:cs="仿宋" w:asciiTheme="minorEastAsia" w:hAnsiTheme="minorEastAsia"/>
          <w:b/>
          <w:color w:val="auto"/>
          <w:kern w:val="0"/>
          <w:sz w:val="32"/>
          <w:szCs w:val="32"/>
        </w:rPr>
      </w:pPr>
    </w:p>
    <w:p>
      <w:pPr>
        <w:snapToGrid w:val="0"/>
        <w:spacing w:line="360" w:lineRule="auto"/>
        <w:jc w:val="center"/>
        <w:outlineLvl w:val="0"/>
        <w:rPr>
          <w:rFonts w:hint="eastAsia" w:cs="仿宋" w:asciiTheme="minorEastAsia" w:hAnsiTheme="minorEastAsia"/>
          <w:b/>
          <w:color w:val="auto"/>
          <w:kern w:val="0"/>
          <w:sz w:val="32"/>
          <w:szCs w:val="32"/>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2023年临江公司能源项目消防维保服务</w:t>
      </w:r>
      <w:r>
        <w:rPr>
          <w:rFonts w:hint="eastAsia" w:cs="仿宋" w:asciiTheme="minorEastAsia" w:hAnsiTheme="minorEastAsia"/>
          <w:color w:val="auto"/>
          <w:sz w:val="24"/>
        </w:rPr>
        <w:t>【项目编号：</w:t>
      </w:r>
      <w:r>
        <w:rPr>
          <w:rFonts w:hint="default" w:cs="仿宋" w:asciiTheme="minorEastAsia" w:hAnsiTheme="minorEastAsia"/>
          <w:color w:val="auto"/>
          <w:sz w:val="24"/>
          <w:lang w:val="en-US"/>
        </w:rPr>
        <w:t>202308</w:t>
      </w:r>
      <w:r>
        <w:rPr>
          <w:rFonts w:hint="eastAsia" w:cs="仿宋" w:asciiTheme="minorEastAsia" w:hAnsiTheme="minorEastAsia"/>
          <w:color w:val="auto"/>
          <w:sz w:val="24"/>
          <w:lang w:val="en-US" w:eastAsia="zh-CN"/>
        </w:rPr>
        <w:t>011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4"/>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2"/>
        <w:widowControl w:val="0"/>
        <w:numPr>
          <w:ilvl w:val="0"/>
          <w:numId w:val="0"/>
        </w:numPr>
        <w:autoSpaceDE w:val="0"/>
        <w:autoSpaceDN w:val="0"/>
        <w:adjustRightInd w:val="0"/>
        <w:spacing w:line="360" w:lineRule="auto"/>
        <w:jc w:val="both"/>
        <w:rPr>
          <w:color w:val="auto"/>
        </w:rPr>
      </w:pPr>
    </w:p>
    <w:p>
      <w:pPr>
        <w:pStyle w:val="1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2"/>
        <w:rPr>
          <w:rFonts w:hint="eastAsia"/>
          <w:color w:val="auto"/>
          <w:lang w:val="zh-CN"/>
        </w:rPr>
      </w:pPr>
    </w:p>
    <w:p>
      <w:pPr>
        <w:rPr>
          <w:color w:val="auto"/>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4"/>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响应文件中的</w:t>
            </w:r>
          </w:p>
          <w:p>
            <w:pPr>
              <w:keepNext w:val="0"/>
              <w:keepLines w:val="0"/>
              <w:suppressLineNumbers w:val="0"/>
              <w:snapToGrid w:val="0"/>
              <w:spacing w:before="0" w:beforeAutospacing="0" w:after="0" w:afterAutospacing="0" w:line="240" w:lineRule="atLeast"/>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p>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见响应文件</w:t>
            </w:r>
          </w:p>
          <w:p>
            <w:pPr>
              <w:keepNext w:val="0"/>
              <w:keepLines w:val="0"/>
              <w:suppressLineNumbers w:val="0"/>
              <w:spacing w:before="0" w:beforeAutospacing="0" w:after="0" w:afterAutospacing="0"/>
              <w:ind w:left="0" w:right="0"/>
              <w:jc w:val="center"/>
              <w:rPr>
                <w:rFonts w:hint="default"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keepNext w:val="0"/>
              <w:keepLines w:val="0"/>
              <w:suppressLineNumbers w:val="0"/>
              <w:spacing w:before="0" w:beforeAutospacing="0" w:after="0" w:afterAutospacing="0"/>
              <w:ind w:left="0" w:right="0"/>
              <w:jc w:val="center"/>
              <w:rPr>
                <w:rFonts w:hint="default"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12"/>
        <w:rPr>
          <w:rFonts w:cs="仿宋" w:asciiTheme="minorEastAsia" w:hAnsiTheme="minorEastAsia"/>
          <w:color w:val="auto"/>
          <w:lang w:val="en-US"/>
        </w:rPr>
      </w:pPr>
    </w:p>
    <w:tbl>
      <w:tblPr>
        <w:tblStyle w:val="1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rPr>
                <w:rFonts w:hint="default"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olor w:val="auto"/>
                <w:sz w:val="24"/>
              </w:rPr>
            </w:pPr>
          </w:p>
        </w:tc>
      </w:tr>
    </w:tbl>
    <w:p>
      <w:pPr>
        <w:pStyle w:val="2"/>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default"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354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c>
          <w:tcPr>
            <w:tcW w:w="1276" w:type="dxa"/>
          </w:tcPr>
          <w:p>
            <w:pPr>
              <w:keepNext w:val="0"/>
              <w:keepLines w:val="0"/>
              <w:suppressLineNumbers w:val="0"/>
              <w:spacing w:before="0" w:beforeAutospacing="0" w:after="0" w:afterAutospacing="0"/>
              <w:ind w:left="0" w:right="0"/>
              <w:jc w:val="center"/>
              <w:rPr>
                <w:rFonts w:hint="default"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2"/>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0"/>
        <w:widowControl w:val="0"/>
        <w:numPr>
          <w:ilvl w:val="0"/>
          <w:numId w:val="0"/>
        </w:numPr>
        <w:jc w:val="left"/>
        <w:rPr>
          <w:rFonts w:hint="eastAsia"/>
          <w:color w:val="auto"/>
          <w:lang w:val="zh-CN"/>
        </w:rPr>
      </w:pPr>
    </w:p>
    <w:p>
      <w:pPr>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482"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881"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482"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881"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2881" w:type="dxa"/>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0"/>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538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c>
          <w:tcPr>
            <w:tcW w:w="538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6"/>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2023年临江公司能源项目消防维保服务采购</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202308011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7"/>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2023年临江公司能源项目消防维保服务采购项目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202308</w:t>
      </w:r>
      <w:r>
        <w:rPr>
          <w:rFonts w:hint="eastAsia" w:cs="仿宋" w:asciiTheme="minorEastAsia" w:hAnsiTheme="minorEastAsia"/>
          <w:color w:val="auto"/>
          <w:sz w:val="24"/>
          <w:u w:val="single"/>
          <w:lang w:val="en-US" w:eastAsia="zh-CN"/>
        </w:rPr>
        <w:t>011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pPr>
        <w:pStyle w:val="10"/>
        <w:ind w:firstLine="1124" w:firstLineChars="400"/>
        <w:rPr>
          <w:lang w:val="zh-CN"/>
        </w:rPr>
      </w:pPr>
      <w:r>
        <w:rPr>
          <w:rFonts w:hint="eastAsia" w:ascii="仿宋" w:hAnsi="仿宋" w:eastAsia="仿宋" w:cs="仿宋"/>
          <w:b/>
          <w:bCs w:val="0"/>
          <w:sz w:val="28"/>
          <w:szCs w:val="28"/>
          <w:lang w:val="en-US" w:eastAsia="zh-CN"/>
        </w:rPr>
        <w:t>维保服务内容</w:t>
      </w:r>
      <w:r>
        <w:rPr>
          <w:rFonts w:hint="eastAsia" w:ascii="仿宋" w:hAnsi="仿宋" w:eastAsia="仿宋" w:cs="仿宋"/>
          <w:color w:val="auto"/>
          <w:sz w:val="24"/>
          <w:szCs w:val="24"/>
          <w:highlight w:val="none"/>
          <w:lang w:val="en-US" w:eastAsia="zh-CN"/>
        </w:rPr>
        <w:t>：</w:t>
      </w:r>
    </w:p>
    <w:tbl>
      <w:tblPr>
        <w:tblStyle w:val="13"/>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1715"/>
        <w:gridCol w:w="1800"/>
        <w:gridCol w:w="2110"/>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名称</w:t>
            </w:r>
          </w:p>
        </w:tc>
        <w:tc>
          <w:tcPr>
            <w:tcW w:w="17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品牌（如果有）</w:t>
            </w:r>
          </w:p>
        </w:tc>
        <w:tc>
          <w:tcPr>
            <w:tcW w:w="180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规格型号</w:t>
            </w:r>
          </w:p>
        </w:tc>
        <w:tc>
          <w:tcPr>
            <w:tcW w:w="211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pStyle w:val="23"/>
              <w:keepNext w:val="0"/>
              <w:keepLines w:val="0"/>
              <w:suppressLineNumbers w:val="0"/>
              <w:spacing w:before="0" w:beforeAutospacing="0" w:after="0" w:afterAutospacing="0" w:line="560" w:lineRule="exact"/>
              <w:ind w:left="0" w:leftChars="0" w:right="0" w:rightChars="0" w:firstLine="200" w:firstLineChars="0"/>
              <w:jc w:val="center"/>
              <w:rPr>
                <w:rFonts w:hint="default" w:ascii="宋体" w:hAnsi="宋体" w:eastAsiaTheme="minorEastAsia" w:cstheme="minorBidi"/>
                <w:color w:val="auto"/>
                <w:kern w:val="0"/>
                <w:sz w:val="24"/>
                <w:szCs w:val="24"/>
                <w:lang w:val="en-US" w:eastAsia="zh-CN" w:bidi="ar-SA"/>
              </w:rPr>
            </w:pPr>
            <w:r>
              <w:rPr>
                <w:rFonts w:hint="eastAsia" w:ascii="宋体" w:hAnsi="宋体"/>
                <w:color w:val="auto"/>
                <w:sz w:val="24"/>
                <w:szCs w:val="24"/>
                <w:lang w:val="en-US" w:eastAsia="zh-CN"/>
              </w:rPr>
              <w:t>能源项目建筑及设备消防维保</w:t>
            </w:r>
          </w:p>
        </w:tc>
        <w:tc>
          <w:tcPr>
            <w:tcW w:w="1715"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80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11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ascii="宋体" w:hAnsi="宋体"/>
                <w:color w:val="auto"/>
                <w:sz w:val="24"/>
                <w:szCs w:val="24"/>
                <w:lang w:val="en-US" w:eastAsia="zh-CN"/>
              </w:rPr>
              <w:t>133761.98平方米</w:t>
            </w: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927"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u w:val="none"/>
                <w:lang w:val="en-US"/>
              </w:rPr>
            </w:pPr>
            <w:r>
              <w:rPr>
                <w:rFonts w:hint="eastAsia" w:ascii="宋体" w:hAnsi="宋体"/>
                <w:color w:val="auto"/>
                <w:sz w:val="24"/>
                <w:szCs w:val="24"/>
                <w:lang w:val="en-US" w:eastAsia="zh-CN"/>
              </w:rPr>
              <w:t>年度检测报告</w:t>
            </w:r>
          </w:p>
        </w:tc>
        <w:tc>
          <w:tcPr>
            <w:tcW w:w="1715"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1800"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w:t>
            </w:r>
          </w:p>
        </w:tc>
        <w:tc>
          <w:tcPr>
            <w:tcW w:w="2110" w:type="dxa"/>
            <w:vAlign w:val="center"/>
          </w:tcPr>
          <w:p>
            <w:pPr>
              <w:keepNext w:val="0"/>
              <w:keepLines w:val="0"/>
              <w:suppressLineNumbers w:val="0"/>
              <w:snapToGrid w:val="0"/>
              <w:spacing w:before="0" w:beforeAutospacing="0" w:after="0" w:afterAutospacing="0" w:line="360" w:lineRule="auto"/>
              <w:ind w:left="0" w:right="0"/>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2份</w:t>
            </w: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keepNext w:val="0"/>
              <w:keepLines w:val="0"/>
              <w:suppressLineNumbers w:val="0"/>
              <w:spacing w:before="0" w:beforeAutospacing="0" w:after="0" w:afterAutospacing="0" w:line="360" w:lineRule="auto"/>
              <w:ind w:left="0" w:right="0"/>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3</w:t>
            </w:r>
          </w:p>
        </w:tc>
        <w:tc>
          <w:tcPr>
            <w:tcW w:w="1927" w:type="dxa"/>
            <w:vAlign w:val="center"/>
          </w:tcPr>
          <w:p>
            <w:pPr>
              <w:keepNext w:val="0"/>
              <w:keepLines w:val="0"/>
              <w:suppressLineNumbers w:val="0"/>
              <w:spacing w:before="0" w:beforeAutospacing="0" w:after="0" w:afterAutospacing="0"/>
              <w:ind w:left="0" w:right="0"/>
              <w:jc w:val="both"/>
              <w:rPr>
                <w:rFonts w:hint="default" w:cs="仿宋" w:asciiTheme="minorEastAsia" w:hAnsiTheme="minorEastAsia"/>
                <w:color w:val="auto"/>
                <w:sz w:val="24"/>
                <w:u w:val="none"/>
                <w:lang w:val="en-US"/>
              </w:rPr>
            </w:pPr>
            <w:r>
              <w:rPr>
                <w:rFonts w:hint="eastAsia" w:ascii="宋体" w:hAnsi="宋体" w:eastAsiaTheme="minorEastAsia" w:cstheme="minorBidi"/>
                <w:color w:val="auto"/>
                <w:kern w:val="0"/>
                <w:sz w:val="24"/>
                <w:szCs w:val="24"/>
                <w:lang w:val="en-US" w:eastAsia="zh-CN" w:bidi="ar-SA"/>
              </w:rPr>
              <w:t>维修备件（详见</w:t>
            </w:r>
            <w:r>
              <w:rPr>
                <w:rFonts w:hint="eastAsia" w:ascii="宋体" w:hAnsi="宋体" w:cstheme="minorBidi"/>
                <w:color w:val="auto"/>
                <w:kern w:val="0"/>
                <w:sz w:val="24"/>
                <w:szCs w:val="24"/>
                <w:lang w:val="en-US" w:eastAsia="zh-CN" w:bidi="ar-SA"/>
              </w:rPr>
              <w:t>附件</w:t>
            </w:r>
            <w:r>
              <w:rPr>
                <w:rFonts w:hint="eastAsia" w:ascii="宋体" w:hAnsi="宋体" w:eastAsiaTheme="minorEastAsia" w:cstheme="minorBidi"/>
                <w:color w:val="auto"/>
                <w:kern w:val="0"/>
                <w:sz w:val="24"/>
                <w:szCs w:val="24"/>
                <w:lang w:val="en-US" w:eastAsia="zh-CN" w:bidi="ar-SA"/>
              </w:rPr>
              <w:t>维修备件清单）</w:t>
            </w:r>
          </w:p>
        </w:tc>
        <w:tc>
          <w:tcPr>
            <w:tcW w:w="1715"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color w:val="auto"/>
                <w:sz w:val="24"/>
                <w:lang w:val="en-US" w:eastAsia="zh-CN"/>
              </w:rPr>
            </w:pPr>
          </w:p>
        </w:tc>
        <w:tc>
          <w:tcPr>
            <w:tcW w:w="180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color w:val="auto"/>
                <w:sz w:val="24"/>
                <w:lang w:val="en-US" w:eastAsia="zh-CN"/>
              </w:rPr>
            </w:pPr>
          </w:p>
        </w:tc>
        <w:tc>
          <w:tcPr>
            <w:tcW w:w="2110" w:type="dxa"/>
            <w:vAlign w:val="center"/>
          </w:tcPr>
          <w:p>
            <w:pPr>
              <w:keepNext w:val="0"/>
              <w:keepLines w:val="0"/>
              <w:suppressLineNumbers w:val="0"/>
              <w:snapToGrid w:val="0"/>
              <w:spacing w:before="0" w:beforeAutospacing="0" w:after="0" w:afterAutospacing="0" w:line="360" w:lineRule="auto"/>
              <w:ind w:left="0" w:right="0"/>
              <w:jc w:val="center"/>
              <w:rPr>
                <w:rFonts w:hint="eastAsia" w:cs="仿宋" w:asciiTheme="minorEastAsia" w:hAnsiTheme="minorEastAsia"/>
                <w:color w:val="auto"/>
                <w:sz w:val="24"/>
                <w:lang w:val="en-US" w:eastAsia="zh-CN"/>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c>
          <w:tcPr>
            <w:tcW w:w="1515" w:type="dxa"/>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176" w:type="dxa"/>
            <w:gridSpan w:val="3"/>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735" w:type="dxa"/>
            <w:gridSpan w:val="5"/>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176" w:type="dxa"/>
            <w:gridSpan w:val="3"/>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735" w:type="dxa"/>
            <w:gridSpan w:val="5"/>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176" w:type="dxa"/>
            <w:gridSpan w:val="3"/>
            <w:vAlign w:val="center"/>
          </w:tcPr>
          <w:p>
            <w:pPr>
              <w:keepNext w:val="0"/>
              <w:keepLines w:val="0"/>
              <w:suppressLineNumbers w:val="0"/>
              <w:spacing w:before="0" w:beforeAutospacing="0" w:after="0" w:afterAutospacing="0" w:line="360" w:lineRule="auto"/>
              <w:ind w:left="0" w:right="0"/>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735" w:type="dxa"/>
            <w:gridSpan w:val="5"/>
            <w:vAlign w:val="center"/>
          </w:tcPr>
          <w:p>
            <w:pPr>
              <w:keepNext w:val="0"/>
              <w:keepLines w:val="0"/>
              <w:suppressLineNumbers w:val="0"/>
              <w:spacing w:before="0" w:beforeAutospacing="0" w:after="0" w:afterAutospacing="0" w:line="360" w:lineRule="auto"/>
              <w:ind w:left="0" w:right="0"/>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firstLine="482" w:firstLineChars="20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rPr>
          <w:color w:val="auto"/>
        </w:rPr>
      </w:pPr>
    </w:p>
    <w:p>
      <w:pPr>
        <w:pStyle w:val="2"/>
        <w:rPr>
          <w:color w:val="auto"/>
        </w:rPr>
      </w:pPr>
    </w:p>
    <w:p>
      <w:pPr>
        <w:pStyle w:val="12"/>
        <w:rPr>
          <w:color w:val="auto"/>
        </w:rPr>
      </w:pPr>
    </w:p>
    <w:p>
      <w:pPr>
        <w:pStyle w:val="3"/>
        <w:numPr>
          <w:ilvl w:val="0"/>
          <w:numId w:val="0"/>
        </w:numPr>
        <w:tabs>
          <w:tab w:val="left" w:pos="432"/>
        </w:tabs>
        <w:ind w:firstLine="6023" w:firstLineChars="2000"/>
        <w:rPr>
          <w:rFonts w:hint="eastAsia"/>
          <w:sz w:val="30"/>
          <w:szCs w:val="30"/>
          <w:lang w:eastAsia="zh-CN"/>
        </w:rPr>
      </w:pPr>
      <w:r>
        <w:rPr>
          <w:rFonts w:hint="eastAsia" w:ascii="宋体" w:hAnsi="宋体" w:eastAsiaTheme="minorEastAsia" w:cstheme="minorBidi"/>
          <w:color w:val="auto"/>
          <w:kern w:val="0"/>
          <w:sz w:val="30"/>
          <w:szCs w:val="30"/>
          <w:lang w:val="en-US" w:eastAsia="zh-CN" w:bidi="ar-SA"/>
        </w:rPr>
        <w:t>维修备件清单</w:t>
      </w:r>
    </w:p>
    <w:tbl>
      <w:tblPr>
        <w:tblStyle w:val="14"/>
        <w:tblW w:w="13892"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413"/>
        <w:gridCol w:w="2573"/>
        <w:gridCol w:w="1605"/>
        <w:gridCol w:w="1290"/>
        <w:gridCol w:w="1725"/>
        <w:gridCol w:w="183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序号</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货物名称</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规格型号/技术要求</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品牌/制造商</w:t>
            </w:r>
          </w:p>
        </w:tc>
        <w:tc>
          <w:tcPr>
            <w:tcW w:w="129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暂定数量</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单价</w:t>
            </w: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金额</w:t>
            </w: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感烟探测器</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JTY-GD-G3T</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感温探测器</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JTY-ECD-G3N</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241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喷头</w:t>
            </w:r>
          </w:p>
        </w:tc>
        <w:tc>
          <w:tcPr>
            <w:tcW w:w="2573"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ZSTZ15-60°C</w:t>
            </w:r>
          </w:p>
        </w:tc>
        <w:tc>
          <w:tcPr>
            <w:tcW w:w="160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noWrap w:val="0"/>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noWrap w:val="0"/>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喷头</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T-ZSTZ15-93°C</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水流指示器</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1771X-16</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手动报警按钮</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J-SAM-GST9123A</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7</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水泵接合器</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SQS150-1.3=6</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8</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压力开关</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ZSJY1.6BP-S</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9</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输入模块</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10</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输出模块</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11</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火灾显示屏</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12</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消防专用电话</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TS-GSTN601</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13</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消防电话插孔</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TS-GSTN602</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14</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排烟防火阀</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280°C</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3</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15</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扬声器</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HY6251 HY6253</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16</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警报装置</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GST-HX-200B</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17</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直接启泵按钮</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J-SAM-GS9123A</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18</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室内消火栓</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SG18E65ZJ1800*18*700</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19</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室外消火栓</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SG24B65Z-J</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20</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消火栓箱（含铝合金门框）</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70cm*100cm</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5</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21</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应急指示灯</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DJ-BLZD-I1LROE3W-01T-S</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6</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22</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应急照明灯</w:t>
            </w: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OP-ZFZD-E3W-Z201</w:t>
            </w: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4</w:t>
            </w: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1"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合计</w:t>
            </w:r>
          </w:p>
        </w:tc>
        <w:tc>
          <w:tcPr>
            <w:tcW w:w="241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2573" w:type="dxa"/>
            <w:vAlign w:val="center"/>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60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290" w:type="dxa"/>
            <w:vAlign w:val="top"/>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2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830"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c>
          <w:tcPr>
            <w:tcW w:w="1755" w:type="dxa"/>
          </w:tcPr>
          <w:p>
            <w:pPr>
              <w:pStyle w:val="3"/>
              <w:numPr>
                <w:ilvl w:val="0"/>
                <w:numId w:val="0"/>
              </w:numPr>
              <w:suppressLineNumbers w:val="0"/>
              <w:tabs>
                <w:tab w:val="left" w:pos="432"/>
              </w:tabs>
              <w:spacing w:beforeAutospacing="0" w:afterAutospacing="0"/>
              <w:ind w:left="0" w:right="0"/>
              <w:jc w:val="center"/>
              <w:rPr>
                <w:rFonts w:hint="eastAsia" w:asciiTheme="majorEastAsia" w:hAnsiTheme="majorEastAsia" w:eastAsiaTheme="majorEastAsia" w:cstheme="majorEastAsia"/>
                <w:b w:val="0"/>
                <w:bCs w:val="0"/>
                <w:color w:val="auto"/>
                <w:kern w:val="2"/>
                <w:sz w:val="24"/>
                <w:szCs w:val="24"/>
                <w:lang w:val="en-US" w:eastAsia="zh-CN" w:bidi="ar-SA"/>
              </w:rPr>
            </w:pPr>
          </w:p>
        </w:tc>
      </w:tr>
    </w:tbl>
    <w:p>
      <w:pPr>
        <w:snapToGrid w:val="0"/>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备注：</w:t>
      </w:r>
    </w:p>
    <w:p>
      <w:pPr>
        <w:snapToGrid w:val="0"/>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1、以上价格为含税和安装费用等综合费用，税率为    %，采购人不再另外支付安装费用；</w:t>
      </w:r>
    </w:p>
    <w:p>
      <w:pPr>
        <w:snapToGrid w:val="0"/>
        <w:spacing w:line="360" w:lineRule="auto"/>
        <w:ind w:firstLine="480" w:firstLineChars="200"/>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2、本清单物资为备用物资清单，现场需更换时方才采购，按实结算；</w:t>
      </w:r>
    </w:p>
    <w:p>
      <w:pPr>
        <w:snapToGrid w:val="0"/>
        <w:spacing w:line="360" w:lineRule="auto"/>
        <w:ind w:firstLine="9600" w:firstLineChars="4000"/>
        <w:jc w:val="left"/>
        <w:rPr>
          <w:rFonts w:hint="eastAsia"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供应商</w:t>
      </w:r>
      <w:r>
        <w:rPr>
          <w:rFonts w:hint="eastAsia" w:ascii="宋体" w:hAnsi="宋体" w:cs="宋体"/>
          <w:color w:val="auto"/>
          <w:kern w:val="0"/>
          <w:sz w:val="24"/>
          <w:lang w:val="zh-CN"/>
        </w:rPr>
        <w:t>：</w:t>
      </w:r>
    </w:p>
    <w:p>
      <w:pPr>
        <w:snapToGrid w:val="0"/>
        <w:spacing w:line="360" w:lineRule="auto"/>
        <w:ind w:firstLine="480" w:firstLineChars="200"/>
        <w:jc w:val="left"/>
        <w:rPr>
          <w:rFonts w:hint="eastAsia" w:ascii="宋体" w:hAnsi="宋体" w:cs="宋体"/>
          <w:color w:val="auto"/>
          <w:kern w:val="0"/>
          <w:sz w:val="24"/>
          <w:lang w:val="zh-CN"/>
        </w:rPr>
      </w:pPr>
    </w:p>
    <w:p>
      <w:pPr>
        <w:snapToGrid w:val="0"/>
        <w:spacing w:line="360" w:lineRule="auto"/>
        <w:ind w:firstLine="480" w:firstLineChars="200"/>
        <w:jc w:val="left"/>
        <w:rPr>
          <w:rFonts w:hint="eastAsia" w:ascii="仿宋_GB2312" w:hAnsi="宋体" w:eastAsia="仿宋_GB2312"/>
          <w:color w:val="auto"/>
          <w:sz w:val="24"/>
          <w:szCs w:val="24"/>
          <w:highlight w:val="none"/>
          <w:lang w:val="en-US" w:eastAsia="zh-CN"/>
        </w:rPr>
      </w:pPr>
      <w:r>
        <w:rPr>
          <w:rFonts w:hint="eastAsia" w:ascii="宋体" w:hAnsi="宋体" w:cs="宋体"/>
          <w:color w:val="auto"/>
          <w:kern w:val="0"/>
          <w:sz w:val="24"/>
          <w:lang w:val="zh-CN"/>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月   日</w:t>
      </w: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7" w:name="_Toc465665161"/>
      <w:r>
        <w:rPr>
          <w:rFonts w:hint="eastAsia" w:cs="宋体" w:asciiTheme="minorEastAsia" w:hAnsiTheme="minorEastAsia"/>
          <w:b/>
          <w:bCs/>
          <w:color w:val="auto"/>
          <w:kern w:val="44"/>
          <w:sz w:val="44"/>
          <w:szCs w:val="44"/>
        </w:rPr>
        <w:t>附件</w:t>
      </w:r>
      <w:bookmarkEnd w:id="497"/>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0"/>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2023年临江公司能源项目消防维保服务采购项目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202308011</w:t>
      </w:r>
      <w:bookmarkStart w:id="498" w:name="_GoBack"/>
      <w:bookmarkEnd w:id="498"/>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2023年临江公司能源项目消防维保服务</w:t>
      </w:r>
      <w:r>
        <w:rPr>
          <w:rFonts w:hint="eastAsia" w:cs="仿宋" w:asciiTheme="minorEastAsia" w:hAnsiTheme="minorEastAsia"/>
          <w:color w:val="auto"/>
          <w:sz w:val="24"/>
          <w:lang w:val="en-US" w:eastAsia="zh-CN"/>
        </w:rPr>
        <w:t>采购</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2"/>
        <w:rPr>
          <w:color w:val="auto"/>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 w:hAnsi="仿宋" w:eastAsia="仿宋" w:cs="仿宋"/>
        <w:i/>
        <w:iCs/>
      </w:rPr>
    </w:pPr>
  </w:p>
  <w:p>
    <w:pPr>
      <w:pStyle w:val="9"/>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C66E4E49"/>
    <w:multiLevelType w:val="singleLevel"/>
    <w:tmpl w:val="C66E4E49"/>
    <w:lvl w:ilvl="0" w:tentative="0">
      <w:start w:val="2"/>
      <w:numFmt w:val="chineseCounting"/>
      <w:suff w:val="nothing"/>
      <w:lvlText w:val="%1、"/>
      <w:lvlJc w:val="left"/>
      <w:rPr>
        <w:rFonts w:hint="eastAsia" w:ascii="宋体" w:hAnsi="宋体" w:eastAsia="宋体" w:cstheme="majorEastAsia"/>
        <w:sz w:val="24"/>
        <w:szCs w:val="24"/>
      </w:rPr>
    </w:lvl>
  </w:abstractNum>
  <w:abstractNum w:abstractNumId="2">
    <w:nsid w:val="F65C933B"/>
    <w:multiLevelType w:val="singleLevel"/>
    <w:tmpl w:val="F65C933B"/>
    <w:lvl w:ilvl="0" w:tentative="0">
      <w:start w:val="4"/>
      <w:numFmt w:val="decimal"/>
      <w:lvlText w:val="%1."/>
      <w:lvlJc w:val="left"/>
      <w:pPr>
        <w:tabs>
          <w:tab w:val="left" w:pos="312"/>
        </w:tabs>
      </w:pPr>
    </w:lvl>
  </w:abstractNum>
  <w:abstractNum w:abstractNumId="3">
    <w:nsid w:val="3C7E83A0"/>
    <w:multiLevelType w:val="singleLevel"/>
    <w:tmpl w:val="3C7E83A0"/>
    <w:lvl w:ilvl="0" w:tentative="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172A27"/>
    <w:rsid w:val="015C4CBF"/>
    <w:rsid w:val="023E1286"/>
    <w:rsid w:val="04446205"/>
    <w:rsid w:val="045C354F"/>
    <w:rsid w:val="055C30DB"/>
    <w:rsid w:val="089374C0"/>
    <w:rsid w:val="08966904"/>
    <w:rsid w:val="09EC7123"/>
    <w:rsid w:val="09ED56C9"/>
    <w:rsid w:val="0BA2258B"/>
    <w:rsid w:val="0C492847"/>
    <w:rsid w:val="0F81598B"/>
    <w:rsid w:val="11F72E7A"/>
    <w:rsid w:val="14AB720A"/>
    <w:rsid w:val="14E15B10"/>
    <w:rsid w:val="157F0B33"/>
    <w:rsid w:val="166F3635"/>
    <w:rsid w:val="185A544F"/>
    <w:rsid w:val="198737C7"/>
    <w:rsid w:val="19DC6BDA"/>
    <w:rsid w:val="1A2C70C8"/>
    <w:rsid w:val="1A70751B"/>
    <w:rsid w:val="1AA56FDE"/>
    <w:rsid w:val="1B7913A6"/>
    <w:rsid w:val="1CAC44F0"/>
    <w:rsid w:val="1CC72AC3"/>
    <w:rsid w:val="1E650A9A"/>
    <w:rsid w:val="1F457921"/>
    <w:rsid w:val="20BD23A3"/>
    <w:rsid w:val="21677697"/>
    <w:rsid w:val="21F93D33"/>
    <w:rsid w:val="22B719C3"/>
    <w:rsid w:val="22FF35CB"/>
    <w:rsid w:val="24F738E5"/>
    <w:rsid w:val="253C2FD0"/>
    <w:rsid w:val="27286E69"/>
    <w:rsid w:val="27B150B0"/>
    <w:rsid w:val="28D22700"/>
    <w:rsid w:val="296323DA"/>
    <w:rsid w:val="29D357B2"/>
    <w:rsid w:val="2A263B34"/>
    <w:rsid w:val="2C313E21"/>
    <w:rsid w:val="2C4141D8"/>
    <w:rsid w:val="2F5836E9"/>
    <w:rsid w:val="30751371"/>
    <w:rsid w:val="314B6E80"/>
    <w:rsid w:val="32843E96"/>
    <w:rsid w:val="33961BD1"/>
    <w:rsid w:val="34C1681F"/>
    <w:rsid w:val="35015B0A"/>
    <w:rsid w:val="36162BCB"/>
    <w:rsid w:val="37514AF4"/>
    <w:rsid w:val="377C0298"/>
    <w:rsid w:val="38AC78FA"/>
    <w:rsid w:val="39C31C6C"/>
    <w:rsid w:val="3A1C7DFC"/>
    <w:rsid w:val="3A6F7B87"/>
    <w:rsid w:val="3C283344"/>
    <w:rsid w:val="3C333E8E"/>
    <w:rsid w:val="3C485F9D"/>
    <w:rsid w:val="3C7C70D7"/>
    <w:rsid w:val="3E0C6463"/>
    <w:rsid w:val="3EB46AF7"/>
    <w:rsid w:val="403E57B7"/>
    <w:rsid w:val="40CD6240"/>
    <w:rsid w:val="42112513"/>
    <w:rsid w:val="42A61334"/>
    <w:rsid w:val="435518AD"/>
    <w:rsid w:val="439711A6"/>
    <w:rsid w:val="4430073F"/>
    <w:rsid w:val="46C20950"/>
    <w:rsid w:val="472961BF"/>
    <w:rsid w:val="478163F5"/>
    <w:rsid w:val="49961677"/>
    <w:rsid w:val="4AE27CAC"/>
    <w:rsid w:val="4BAC48C9"/>
    <w:rsid w:val="4BAE52DF"/>
    <w:rsid w:val="4EFD2805"/>
    <w:rsid w:val="4FEB08B0"/>
    <w:rsid w:val="50D21A70"/>
    <w:rsid w:val="523875F5"/>
    <w:rsid w:val="52506204"/>
    <w:rsid w:val="53E33EC5"/>
    <w:rsid w:val="54306DAA"/>
    <w:rsid w:val="54AB2D04"/>
    <w:rsid w:val="55990DAE"/>
    <w:rsid w:val="56384123"/>
    <w:rsid w:val="56BF4844"/>
    <w:rsid w:val="571F3A0C"/>
    <w:rsid w:val="58235318"/>
    <w:rsid w:val="59121C77"/>
    <w:rsid w:val="59D917F8"/>
    <w:rsid w:val="59DE0E09"/>
    <w:rsid w:val="5ACD76EE"/>
    <w:rsid w:val="5BD43467"/>
    <w:rsid w:val="5C427AAA"/>
    <w:rsid w:val="5C515F3F"/>
    <w:rsid w:val="5F0279C4"/>
    <w:rsid w:val="5F944466"/>
    <w:rsid w:val="62035F2D"/>
    <w:rsid w:val="63A92582"/>
    <w:rsid w:val="65F8250E"/>
    <w:rsid w:val="66AC69C4"/>
    <w:rsid w:val="673E5F91"/>
    <w:rsid w:val="67D649B5"/>
    <w:rsid w:val="696D1EDE"/>
    <w:rsid w:val="6A4E3ABD"/>
    <w:rsid w:val="6AE63D7E"/>
    <w:rsid w:val="6B462C2B"/>
    <w:rsid w:val="6D496D0C"/>
    <w:rsid w:val="6FAC3760"/>
    <w:rsid w:val="700E4F44"/>
    <w:rsid w:val="70173239"/>
    <w:rsid w:val="721A5B23"/>
    <w:rsid w:val="72B931C1"/>
    <w:rsid w:val="738D03F5"/>
    <w:rsid w:val="73C13552"/>
    <w:rsid w:val="740D2C3B"/>
    <w:rsid w:val="767E5B01"/>
    <w:rsid w:val="79EB254B"/>
    <w:rsid w:val="7BA82ABD"/>
    <w:rsid w:val="7BF00E78"/>
    <w:rsid w:val="7D7D673C"/>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Indent"/>
    <w:basedOn w:val="1"/>
    <w:qFormat/>
    <w:uiPriority w:val="0"/>
    <w:pPr>
      <w:spacing w:line="480" w:lineRule="exact"/>
      <w:ind w:firstLine="480" w:firstLineChars="200"/>
    </w:pPr>
    <w:rPr>
      <w:rFonts w:ascii="宋体" w:hAnsi="宋体"/>
      <w:sz w:val="24"/>
    </w:rPr>
  </w:style>
  <w:style w:type="paragraph" w:styleId="7">
    <w:name w:val="Plain Text"/>
    <w:basedOn w:val="1"/>
    <w:next w:val="1"/>
    <w:qFormat/>
    <w:uiPriority w:val="0"/>
    <w:rPr>
      <w:rFonts w:ascii="宋体" w:hAnsi="Courier New"/>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jc w:val="left"/>
    </w:pPr>
    <w:rPr>
      <w:b/>
      <w:caps/>
    </w:rPr>
  </w:style>
  <w:style w:type="paragraph" w:styleId="11">
    <w:name w:val="toc 6"/>
    <w:basedOn w:val="1"/>
    <w:next w:val="1"/>
    <w:qFormat/>
    <w:uiPriority w:val="0"/>
    <w:pPr>
      <w:ind w:left="2100" w:leftChars="1000"/>
    </w:pPr>
  </w:style>
  <w:style w:type="paragraph" w:styleId="12">
    <w:name w:val="Body Text First Indent"/>
    <w:basedOn w:val="2"/>
    <w:next w:val="1"/>
    <w:qFormat/>
    <w:uiPriority w:val="0"/>
    <w:pPr>
      <w:ind w:firstLine="420"/>
    </w:pPr>
    <w:rPr>
      <w:rFonts w:hAnsi="Times New Roman" w:cs="Times New Roman"/>
      <w:snapToGrid/>
      <w:szCs w:val="20"/>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样式1"/>
    <w:basedOn w:val="1"/>
    <w:qFormat/>
    <w:uiPriority w:val="0"/>
    <w:pPr>
      <w:spacing w:line="360" w:lineRule="exact"/>
      <w:ind w:firstLine="200" w:firstLineChars="200"/>
    </w:pPr>
    <w:rPr>
      <w:rFonts w:ascii="Arial" w:hAnsi="Arial"/>
    </w:rPr>
  </w:style>
  <w:style w:type="paragraph" w:customStyle="1" w:styleId="19">
    <w:name w:val="正文2"/>
    <w:basedOn w:val="1"/>
    <w:qFormat/>
    <w:uiPriority w:val="0"/>
    <w:pPr>
      <w:spacing w:before="156" w:line="360" w:lineRule="auto"/>
      <w:ind w:firstLine="510" w:firstLineChars="200"/>
    </w:pPr>
    <w:rPr>
      <w:sz w:val="24"/>
      <w:szCs w:val="20"/>
    </w:rPr>
  </w:style>
  <w:style w:type="paragraph" w:customStyle="1" w:styleId="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
    <w:name w:val="正文缩进1"/>
    <w:basedOn w:val="1"/>
    <w:next w:val="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2">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3">
    <w:name w:val="纯文本1"/>
    <w:basedOn w:val="1"/>
    <w:qFormat/>
    <w:uiPriority w:val="0"/>
    <w:rPr>
      <w:rFonts w:ascii="宋体" w:hAnsi="Courier New"/>
      <w:kern w:val="0"/>
      <w:sz w:val="20"/>
      <w:szCs w:val="20"/>
    </w:rPr>
  </w:style>
  <w:style w:type="paragraph" w:customStyle="1" w:styleId="24">
    <w:name w:val="纯文本_0_0"/>
    <w:basedOn w:val="25"/>
    <w:qFormat/>
    <w:uiPriority w:val="0"/>
    <w:rPr>
      <w:rFonts w:ascii="宋体" w:hAnsi="Courier New"/>
      <w:szCs w:val="21"/>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 w:type="paragraph" w:customStyle="1" w:styleId="2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character" w:customStyle="1" w:styleId="28">
    <w:name w:val="标题 1 Char Char"/>
    <w:qFormat/>
    <w:uiPriority w:val="0"/>
    <w:rPr>
      <w:rFonts w:eastAsia="宋体"/>
      <w:b/>
      <w:spacing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29389</Words>
  <Characters>31436</Characters>
  <Lines>1</Lines>
  <Paragraphs>1</Paragraphs>
  <TotalTime>6</TotalTime>
  <ScaleCrop>false</ScaleCrop>
  <LinksUpToDate>false</LinksUpToDate>
  <CharactersWithSpaces>34824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加菲51</cp:lastModifiedBy>
  <dcterms:modified xsi:type="dcterms:W3CDTF">2023-08-31T06:38:24Z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89C9D555A1564369BD7E8F6869491D25_13</vt:lpwstr>
  </property>
</Properties>
</file>