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2023年临江公司重质碳酸钠采购（重新询价）</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default"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202310009</w:t>
      </w:r>
    </w:p>
    <w:p>
      <w:pPr>
        <w:spacing w:line="360" w:lineRule="auto"/>
        <w:jc w:val="center"/>
        <w:rPr>
          <w:rFonts w:cs="仿宋" w:asciiTheme="minorEastAsia" w:hAnsiTheme="minorEastAsia"/>
          <w:b/>
          <w:bCs/>
          <w:color w:val="auto"/>
          <w:sz w:val="72"/>
          <w:szCs w:val="72"/>
        </w:rPr>
      </w:pPr>
    </w:p>
    <w:p>
      <w:pPr>
        <w:pStyle w:val="6"/>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10"/>
        <w:rPr>
          <w:color w:val="auto"/>
        </w:rPr>
      </w:pPr>
    </w:p>
    <w:p>
      <w:pPr>
        <w:rPr>
          <w:color w:val="auto"/>
        </w:rPr>
      </w:pPr>
    </w:p>
    <w:p>
      <w:pPr>
        <w:pStyle w:val="10"/>
        <w:rPr>
          <w:color w:val="auto"/>
        </w:rPr>
      </w:pPr>
    </w:p>
    <w:p>
      <w:pPr>
        <w:rPr>
          <w:color w:val="auto"/>
        </w:rPr>
      </w:pPr>
    </w:p>
    <w:p>
      <w:pPr>
        <w:spacing w:line="360" w:lineRule="auto"/>
        <w:rPr>
          <w:rFonts w:cs="仿宋" w:asciiTheme="minorEastAsia" w:hAnsiTheme="minorEastAsia"/>
          <w:color w:val="auto"/>
          <w:sz w:val="24"/>
        </w:rPr>
      </w:pPr>
    </w:p>
    <w:p>
      <w:pPr>
        <w:pStyle w:val="10"/>
        <w:rPr>
          <w:rFonts w:cs="仿宋" w:asciiTheme="minorEastAsia" w:hAnsiTheme="minorEastAsia"/>
          <w:color w:val="auto"/>
          <w:sz w:val="24"/>
          <w:szCs w:val="24"/>
        </w:rPr>
      </w:pPr>
    </w:p>
    <w:p>
      <w:pPr>
        <w:pStyle w:val="10"/>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hint="default" w:cs="仿宋" w:asciiTheme="minorEastAsia" w:hAnsiTheme="minorEastAsia" w:eastAsiaTheme="minorEastAsia"/>
          <w:b/>
          <w:color w:val="auto"/>
          <w:sz w:val="24"/>
          <w:lang w:val="en-US" w:eastAsia="zh-CN"/>
        </w:rPr>
      </w:pPr>
      <w:r>
        <w:rPr>
          <w:rFonts w:hint="default" w:cs="仿宋" w:asciiTheme="minorEastAsia" w:hAnsiTheme="minorEastAsia"/>
          <w:color w:val="auto"/>
          <w:sz w:val="32"/>
          <w:szCs w:val="32"/>
          <w:lang w:val="en-US"/>
        </w:rPr>
        <w:t>2023</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10</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31日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02"/>
      <w:bookmarkStart w:id="2" w:name="_Toc35393621"/>
      <w:bookmarkStart w:id="3" w:name="_Toc35393790"/>
      <w:bookmarkStart w:id="4" w:name="_Toc28359079"/>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2023年临江公司重质碳酸钠采购（重新询价）项目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的参加</w:t>
      </w:r>
      <w:r>
        <w:rPr>
          <w:rFonts w:hint="eastAsia" w:cs="仿宋" w:asciiTheme="minorEastAsia" w:hAnsiTheme="minorEastAsia"/>
          <w:color w:val="auto"/>
          <w:sz w:val="24"/>
          <w:u w:val="none"/>
          <w:lang w:eastAsia="zh-CN"/>
        </w:rPr>
        <w:t>本次采购项目。</w:t>
      </w:r>
    </w:p>
    <w:p>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202310009</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color w:val="auto"/>
          <w:sz w:val="24"/>
          <w:u w:val="single"/>
          <w:lang w:val="en-US"/>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default" w:cs="仿宋" w:asciiTheme="minorEastAsia" w:hAnsiTheme="minorEastAsia"/>
          <w:color w:val="auto"/>
          <w:sz w:val="24"/>
          <w:u w:val="single"/>
          <w:lang w:val="en-US"/>
        </w:rPr>
        <w:t xml:space="preserve"> 2023年临江公司重质碳酸钠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160000元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rPr>
        <w:t>杭州临江环境能源有限公司因日常生产需要，需采购重质碳酸钠</w:t>
      </w:r>
      <w:r>
        <w:rPr>
          <w:rFonts w:hint="eastAsia" w:hAnsi="宋体" w:cs="宋体"/>
          <w:bCs/>
          <w:color w:val="auto"/>
          <w:sz w:val="24"/>
          <w:lang w:val="en-US" w:eastAsia="zh-CN"/>
        </w:rPr>
        <w:t>一批</w:t>
      </w:r>
      <w:r>
        <w:rPr>
          <w:rFonts w:hint="eastAsia" w:hAnsi="宋体" w:cs="宋体"/>
          <w:bCs/>
          <w:color w:val="auto"/>
          <w:sz w:val="24"/>
          <w:lang w:eastAsia="zh-CN"/>
        </w:rPr>
        <w:t>，</w:t>
      </w:r>
      <w:r>
        <w:rPr>
          <w:rFonts w:hint="eastAsia" w:hAnsi="宋体" w:cs="宋体"/>
          <w:bCs/>
          <w:color w:val="auto"/>
          <w:sz w:val="24"/>
          <w:lang w:val="en-US" w:eastAsia="zh-CN"/>
        </w:rPr>
        <w:t>暂定数量40吨。</w:t>
      </w:r>
      <w:r>
        <w:rPr>
          <w:rFonts w:hint="eastAsia" w:cs="仿宋" w:asciiTheme="minorEastAsia" w:hAnsiTheme="minorEastAsia"/>
          <w:color w:val="auto"/>
          <w:sz w:val="24"/>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 xml:space="preserve"> 分批供货交付，供货周期为一年。在采购人发出送货通知后，中标人5个工作日内将货物如数送至采购人指定地点。采购人可根据实际使用情况调整采购总量。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80"/>
      <w:bookmarkStart w:id="7" w:name="_Toc35393622"/>
      <w:bookmarkStart w:id="8" w:name="_Toc28359003"/>
      <w:bookmarkStart w:id="9" w:name="_Toc35393791"/>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623"/>
      <w:bookmarkStart w:id="11" w:name="_Toc28359081"/>
      <w:bookmarkStart w:id="12" w:name="_Toc28359004"/>
      <w:bookmarkStart w:id="13" w:name="_Toc35393792"/>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w:t>
      </w:r>
      <w:r>
        <w:rPr>
          <w:rFonts w:hint="eastAsia" w:cs="仿宋" w:asciiTheme="minorEastAsia" w:hAnsiTheme="minorEastAsia"/>
          <w:bCs/>
          <w:color w:val="auto"/>
          <w:sz w:val="24"/>
          <w:lang w:val="en-US" w:eastAsia="zh-CN"/>
        </w:rPr>
        <w:t>货物</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bCs/>
          <w:color w:val="auto"/>
          <w:sz w:val="24"/>
          <w:lang w:eastAsia="zh-CN"/>
        </w:rPr>
      </w:pPr>
      <w:r>
        <w:rPr>
          <w:rFonts w:hint="eastAsia" w:cs="仿宋" w:asciiTheme="minorEastAsia" w:hAnsiTheme="minorEastAsia"/>
          <w:bCs/>
          <w:color w:val="auto"/>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r>
        <w:rPr>
          <w:rFonts w:hint="eastAsia" w:cs="仿宋" w:asciiTheme="minorEastAsia" w:hAnsiTheme="minorEastAsia"/>
          <w:bCs/>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rPr>
      </w:pPr>
      <w:r>
        <w:rPr>
          <w:rFonts w:hint="eastAsia" w:cs="仿宋" w:asciiTheme="minorEastAsia" w:hAnsiTheme="minorEastAsia"/>
          <w:bCs/>
          <w:color w:val="auto"/>
          <w:sz w:val="24"/>
        </w:rPr>
        <w:t>3.</w:t>
      </w:r>
      <w:r>
        <w:rPr>
          <w:rFonts w:hint="eastAsia" w:cs="仿宋" w:asciiTheme="minorEastAsia" w:hAnsiTheme="minorEastAsia"/>
          <w:bCs/>
          <w:color w:val="auto"/>
          <w:sz w:val="24"/>
          <w:lang w:eastAsia="zh-CN"/>
        </w:rPr>
        <w:t>业绩要求：</w:t>
      </w:r>
      <w:r>
        <w:rPr>
          <w:rFonts w:hint="eastAsia" w:cs="仿宋" w:asciiTheme="minorEastAsia" w:hAnsiTheme="minorEastAsia"/>
          <w:bCs/>
          <w:color w:val="auto"/>
          <w:sz w:val="24"/>
          <w:u w:val="single"/>
          <w:lang w:val="en-US" w:eastAsia="zh-CN"/>
        </w:rPr>
        <w:t xml:space="preserve"> 供应商提供自2020年1月1日起至少1例碳酸钠合同或中标通知书等（复印件）。</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4.供应商不得为</w:t>
      </w:r>
      <w:r>
        <w:rPr>
          <w:rFonts w:hint="eastAsia" w:cs="仿宋" w:asciiTheme="minorEastAsia" w:hAnsiTheme="minorEastAsia"/>
          <w:bCs/>
          <w:color w:val="auto"/>
          <w:sz w:val="24"/>
          <w:lang w:eastAsia="zh-CN"/>
        </w:rPr>
        <w:t>杭州市环境集团有限公司或</w:t>
      </w:r>
      <w:r>
        <w:rPr>
          <w:rFonts w:hint="eastAsia" w:cs="仿宋" w:asciiTheme="minorEastAsia" w:hAnsiTheme="minorEastAsia"/>
          <w:bCs/>
          <w:color w:val="auto"/>
          <w:sz w:val="24"/>
        </w:rPr>
        <w:t>杭州临江环境能源有限公司不合格供应商或者在黑名单之内。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624"/>
      <w:bookmarkStart w:id="15" w:name="_Toc28359082"/>
      <w:bookmarkStart w:id="16" w:name="_Toc35393793"/>
      <w:bookmarkStart w:id="17" w:name="_Toc28359005"/>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3</w:t>
      </w:r>
      <w:r>
        <w:rPr>
          <w:rFonts w:hint="eastAsia" w:cs="仿宋" w:asciiTheme="minorEastAsia" w:hAnsiTheme="minorEastAsia"/>
          <w:color w:val="auto"/>
          <w:sz w:val="24"/>
          <w:u w:val="single"/>
        </w:rPr>
        <w:t>年</w:t>
      </w:r>
      <w:r>
        <w:rPr>
          <w:rFonts w:hint="default" w:cs="仿宋" w:asciiTheme="minorEastAsia" w:hAnsiTheme="minorEastAsia"/>
          <w:color w:val="auto"/>
          <w:sz w:val="24"/>
          <w:u w:val="single"/>
          <w:lang w:val="en-US" w:eastAsia="zh-CN"/>
        </w:rPr>
        <w:t>1</w:t>
      </w:r>
      <w:r>
        <w:rPr>
          <w:rFonts w:hint="eastAsia" w:cs="仿宋" w:asciiTheme="minorEastAsia" w:hAnsiTheme="minorEastAsia"/>
          <w:color w:val="auto"/>
          <w:sz w:val="24"/>
          <w:u w:val="single"/>
          <w:lang w:val="en-US" w:eastAsia="zh-CN"/>
        </w:rPr>
        <w:t>1</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07</w:t>
      </w:r>
      <w:r>
        <w:rPr>
          <w:rFonts w:hint="eastAsia" w:cs="仿宋" w:asciiTheme="minorEastAsia" w:hAnsiTheme="minorEastAsia"/>
          <w:bCs/>
          <w:color w:val="auto"/>
          <w:sz w:val="24"/>
          <w:u w:val="single"/>
        </w:rPr>
        <w:t xml:space="preserve">日 </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 xml:space="preserve"> 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2023年</w:t>
      </w:r>
      <w:r>
        <w:rPr>
          <w:rFonts w:hint="default" w:cs="仿宋" w:asciiTheme="minorEastAsia" w:hAnsiTheme="minorEastAsia"/>
          <w:color w:val="auto"/>
          <w:sz w:val="24"/>
          <w:u w:val="single"/>
          <w:lang w:val="en-US" w:eastAsia="zh-CN"/>
        </w:rPr>
        <w:t>1</w:t>
      </w:r>
      <w:r>
        <w:rPr>
          <w:rFonts w:hint="eastAsia" w:cs="仿宋" w:asciiTheme="minorEastAsia" w:hAnsiTheme="minorEastAsia"/>
          <w:color w:val="auto"/>
          <w:sz w:val="24"/>
          <w:u w:val="single"/>
          <w:lang w:val="en-US" w:eastAsia="zh-CN"/>
        </w:rPr>
        <w:t>1月07</w:t>
      </w:r>
      <w:r>
        <w:rPr>
          <w:rFonts w:hint="eastAsia" w:cs="仿宋" w:asciiTheme="minorEastAsia" w:hAnsiTheme="minorEastAsia"/>
          <w:color w:val="auto"/>
          <w:sz w:val="24"/>
          <w:u w:val="single"/>
        </w:rPr>
        <w:t>日 10点00 分00秒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（1）本次询价开标采用线上和线下同时进行的方式，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可参与现场开标，</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线上参加“腾讯会议”形式参与线上现场开标。开标期间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代表通过“腾讯会议”保持全程在线直至开标结束。腾讯会议号在开标当日9:</w:t>
      </w:r>
      <w:r>
        <w:rPr>
          <w:rFonts w:hint="eastAsia" w:cs="仿宋" w:asciiTheme="minorEastAsia" w:hAnsiTheme="minorEastAsia"/>
          <w:color w:val="auto"/>
          <w:sz w:val="24"/>
          <w:lang w:val="en-US" w:eastAsia="zh-CN"/>
        </w:rPr>
        <w:t>30</w:t>
      </w:r>
      <w:r>
        <w:rPr>
          <w:rFonts w:hint="eastAsia" w:cs="仿宋" w:asciiTheme="minorEastAsia" w:hAnsiTheme="minorEastAsia"/>
          <w:color w:val="auto"/>
          <w:sz w:val="24"/>
        </w:rPr>
        <w:t>之前</w:t>
      </w:r>
      <w:r>
        <w:rPr>
          <w:rFonts w:hint="eastAsia" w:cs="仿宋" w:asciiTheme="minorEastAsia" w:hAnsiTheme="minorEastAsia"/>
          <w:color w:val="auto"/>
          <w:sz w:val="24"/>
          <w:lang w:val="en-US" w:eastAsia="zh-CN"/>
        </w:rPr>
        <w:t>致电各供应商告知</w:t>
      </w:r>
      <w:r>
        <w:rPr>
          <w:rFonts w:hint="eastAsia" w:cs="仿宋" w:asciiTheme="minorEastAsia" w:hAnsiTheme="minorEastAsia"/>
          <w:color w:val="auto"/>
          <w:sz w:val="24"/>
        </w:rPr>
        <w:t>，请各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w:t>
      </w:r>
      <w:r>
        <w:rPr>
          <w:rFonts w:hint="eastAsia" w:cs="仿宋" w:asciiTheme="minorEastAsia" w:hAnsiTheme="minorEastAsia"/>
          <w:color w:val="auto"/>
          <w:sz w:val="24"/>
          <w:lang w:val="en-US" w:eastAsia="zh-CN"/>
        </w:rPr>
        <w:t>关注准时</w:t>
      </w:r>
      <w:r>
        <w:rPr>
          <w:rFonts w:hint="eastAsia" w:cs="仿宋" w:asciiTheme="minorEastAsia" w:hAnsiTheme="minorEastAsia"/>
          <w:color w:val="auto"/>
          <w:sz w:val="24"/>
        </w:rPr>
        <w:t>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确认开标标录结果，各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在线回复确认标录结果完毕后（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因故未能确认标录结果的，默认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已确认开标结果），采购人打印开标标录，宣布开标会议结束，并负责保存“腾讯会议”录像。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（4）见证要求：开标期间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因未参与现场开标或者未参加线上直播，视为认可全过程和结果，不得提出异议。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对开标过程有异议的，应在开标会议结束前通过“腾讯会议”在线上提出，采购人应现场予以答复，并做好记录。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color w:val="auto"/>
          <w:sz w:val="24"/>
          <w:u w:val="single"/>
          <w:lang w:eastAsia="zh-CN"/>
        </w:rPr>
        <w:t>ljgsbjzy@163.com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，同时联系经本项目采购</w:t>
      </w:r>
      <w:r>
        <w:rPr>
          <w:rFonts w:hint="eastAsia" w:cs="仿宋" w:asciiTheme="minorEastAsia" w:hAnsiTheme="minorEastAsia"/>
          <w:snapToGrid w:val="0"/>
          <w:color w:val="auto"/>
          <w:kern w:val="0"/>
          <w:sz w:val="24"/>
          <w:lang w:val="en-US" w:eastAsia="zh-CN"/>
        </w:rPr>
        <w:t>工作人</w:t>
      </w:r>
      <w:r>
        <w:rPr>
          <w:rFonts w:hint="eastAsia" w:cs="仿宋" w:asciiTheme="minorEastAsia" w:hAnsiTheme="minorEastAsia"/>
          <w:color w:val="auto"/>
          <w:sz w:val="24"/>
          <w:lang w:eastAsia="zh-CN"/>
        </w:rPr>
        <w:t>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 xml:space="preserve">叶工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18458245764</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eastAsia="zh-CN"/>
        </w:rPr>
        <w:t>九、</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2023</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 xml:space="preserve"> 10月31</w:t>
      </w:r>
      <w:r>
        <w:rPr>
          <w:rFonts w:hint="eastAsia" w:cs="仿宋" w:asciiTheme="minorEastAsia" w:hAnsiTheme="minorEastAsia"/>
          <w:color w:val="auto"/>
          <w:sz w:val="24"/>
        </w:rPr>
        <w:t>日</w:t>
      </w:r>
    </w:p>
    <w:p>
      <w:pPr>
        <w:spacing w:line="460" w:lineRule="exact"/>
        <w:jc w:val="both"/>
        <w:rPr>
          <w:rFonts w:hint="eastAsia" w:cs="仿宋" w:asciiTheme="minorEastAsia" w:hAnsiTheme="minorEastAsia"/>
          <w:b/>
          <w:bCs/>
          <w:color w:val="auto"/>
          <w:sz w:val="36"/>
          <w:szCs w:val="36"/>
        </w:rPr>
      </w:pPr>
    </w:p>
    <w:p>
      <w:pPr>
        <w:spacing w:line="460" w:lineRule="exact"/>
        <w:jc w:val="center"/>
        <w:rPr>
          <w:rFonts w:hint="eastAsia"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eastAsia="宋体" w:cs="宋体"/>
                <w:b/>
                <w:bCs w:val="0"/>
                <w:snapToGrid w:val="0"/>
                <w:color w:val="auto"/>
                <w:sz w:val="21"/>
                <w:szCs w:val="21"/>
                <w:lang w:eastAsia="zh-CN"/>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jc w:val="both"/>
              <w:rPr>
                <w:rFonts w:hint="eastAsia" w:ascii="宋体" w:hAnsi="宋体" w:eastAsia="宋体" w:cs="宋体"/>
                <w:color w:val="auto"/>
                <w:sz w:val="21"/>
                <w:szCs w:val="21"/>
              </w:rPr>
            </w:pPr>
            <w:r>
              <w:rPr>
                <w:rFonts w:hint="eastAsia" w:cs="宋体"/>
                <w:snapToGrid w:val="0"/>
                <w:color w:val="auto"/>
                <w:sz w:val="21"/>
                <w:szCs w:val="21"/>
                <w:lang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rFonts w:hint="eastAsia" w:ascii="宋体" w:hAnsi="宋体" w:eastAsia="宋体" w:cs="宋体"/>
                <w:b/>
                <w:bCs w:val="0"/>
                <w:snapToGrid w:val="0"/>
                <w:color w:val="auto"/>
                <w:sz w:val="21"/>
                <w:szCs w:val="21"/>
                <w:lang w:eastAsia="zh-CN"/>
              </w:rPr>
            </w:pPr>
            <w:r>
              <w:rPr>
                <w:rFonts w:hint="eastAsia"/>
                <w:b/>
                <w:bCs/>
                <w:snapToGrid w:val="0"/>
                <w:color w:val="auto"/>
                <w:sz w:val="21"/>
                <w:szCs w:val="21"/>
                <w:lang w:eastAsia="zh-CN"/>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 xml:space="preserve">供应商资格审查方式：  □资格预审  </w:t>
            </w:r>
            <w:r>
              <w:rPr>
                <w:rFonts w:hint="eastAsia"/>
                <w:snapToGrid w:val="0"/>
                <w:color w:val="auto"/>
                <w:sz w:val="21"/>
                <w:szCs w:val="21"/>
                <w:lang w:eastAsia="zh-CN"/>
              </w:rPr>
              <w:sym w:font="Wingdings 2" w:char="0052"/>
            </w:r>
            <w:r>
              <w:rPr>
                <w:rFonts w:hint="eastAsia"/>
                <w:snapToGrid w:val="0"/>
                <w:color w:val="auto"/>
                <w:sz w:val="21"/>
                <w:szCs w:val="21"/>
                <w:lang w:eastAsia="zh-CN"/>
              </w:rPr>
              <w:t>资格后审</w:t>
            </w:r>
          </w:p>
          <w:p>
            <w:pPr>
              <w:pStyle w:val="17"/>
              <w:snapToGrid w:val="0"/>
              <w:spacing w:line="400" w:lineRule="exact"/>
              <w:ind w:right="42" w:rightChars="20"/>
              <w:jc w:val="both"/>
              <w:rPr>
                <w:rFonts w:hint="eastAsia" w:ascii="宋体" w:hAnsi="宋体" w:eastAsia="宋体" w:cs="宋体"/>
                <w:snapToGrid w:val="0"/>
                <w:color w:val="auto"/>
                <w:sz w:val="21"/>
                <w:szCs w:val="21"/>
                <w:lang w:eastAsia="zh-CN"/>
              </w:rPr>
            </w:pPr>
            <w:r>
              <w:rPr>
                <w:rFonts w:hint="eastAsia"/>
                <w:snapToGrid w:val="0"/>
                <w:color w:val="auto"/>
                <w:sz w:val="21"/>
                <w:szCs w:val="21"/>
                <w:lang w:eastAsia="zh-CN"/>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（1）分包：</w:t>
            </w:r>
            <w:r>
              <w:rPr>
                <w:rFonts w:hint="eastAsia"/>
                <w:snapToGrid w:val="0"/>
                <w:color w:val="auto"/>
                <w:szCs w:val="21"/>
                <w:lang w:eastAsia="zh-CN"/>
              </w:rPr>
              <w:t>□</w:t>
            </w:r>
            <w:r>
              <w:rPr>
                <w:rFonts w:hint="eastAsia"/>
                <w:snapToGrid w:val="0"/>
                <w:color w:val="auto"/>
                <w:sz w:val="21"/>
                <w:szCs w:val="21"/>
                <w:lang w:eastAsia="zh-CN"/>
              </w:rPr>
              <w:t xml:space="preserve">允许  </w:t>
            </w:r>
            <w:r>
              <w:rPr>
                <w:rFonts w:hint="eastAsia"/>
                <w:color w:val="auto"/>
                <w:szCs w:val="21"/>
                <w:lang w:bidi="ar"/>
              </w:rPr>
              <w:sym w:font="Wingdings" w:char="00FE"/>
            </w:r>
            <w:r>
              <w:rPr>
                <w:rFonts w:hint="eastAsia"/>
                <w:snapToGrid w:val="0"/>
                <w:color w:val="auto"/>
                <w:sz w:val="21"/>
                <w:szCs w:val="21"/>
                <w:lang w:eastAsia="zh-CN"/>
              </w:rPr>
              <w:t>不允许</w:t>
            </w:r>
          </w:p>
          <w:p>
            <w:pPr>
              <w:pStyle w:val="17"/>
              <w:snapToGrid w:val="0"/>
              <w:spacing w:line="400" w:lineRule="exact"/>
              <w:ind w:right="42" w:rightChars="20"/>
              <w:jc w:val="both"/>
              <w:rPr>
                <w:rFonts w:hint="eastAsia" w:ascii="宋体" w:hAnsi="宋体" w:eastAsia="宋体" w:cs="宋体"/>
                <w:color w:val="auto"/>
                <w:sz w:val="21"/>
                <w:szCs w:val="21"/>
              </w:rPr>
            </w:pPr>
            <w:r>
              <w:rPr>
                <w:rFonts w:hint="eastAsia"/>
                <w:snapToGrid w:val="0"/>
                <w:color w:val="auto"/>
                <w:sz w:val="21"/>
                <w:szCs w:val="21"/>
                <w:lang w:eastAsia="zh-CN"/>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7"/>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8"/>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r>
              <w:rPr>
                <w:rFonts w:hint="eastAsia" w:ascii="宋体" w:hAnsi="宋体" w:eastAsia="宋体" w:cs="宋体"/>
                <w:color w:val="auto"/>
                <w:kern w:val="0"/>
                <w:sz w:val="21"/>
                <w:szCs w:val="21"/>
              </w:rPr>
              <w:t>B组织，</w:t>
            </w:r>
            <w:r>
              <w:rPr>
                <w:rFonts w:hint="eastAsia" w:ascii="宋体" w:hAnsi="宋体" w:eastAsia="宋体" w:cs="宋体"/>
                <w:color w:val="auto"/>
                <w:sz w:val="21"/>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不要求提供。</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B要求提供。</w:t>
            </w:r>
          </w:p>
          <w:p>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lang w:eastAsia="zh-CN"/>
              </w:rPr>
              <w:t>潜在供应商</w:t>
            </w:r>
            <w:r>
              <w:rPr>
                <w:rFonts w:hint="eastAsia" w:ascii="宋体" w:hAnsi="宋体" w:eastAsia="宋体" w:cs="宋体"/>
                <w:color w:val="auto"/>
                <w:sz w:val="21"/>
                <w:szCs w:val="21"/>
              </w:rPr>
              <w:t>需要提供</w:t>
            </w:r>
            <w:r>
              <w:rPr>
                <w:rFonts w:hint="eastAsia" w:ascii="宋体" w:hAnsi="宋体" w:eastAsia="宋体" w:cs="宋体"/>
                <w:color w:val="auto"/>
                <w:sz w:val="21"/>
                <w:szCs w:val="21"/>
                <w:u w:val="single"/>
                <w:lang w:val="en-US" w:eastAsia="zh-CN"/>
              </w:rPr>
              <w:t xml:space="preserve">  / </w:t>
            </w:r>
            <w:r>
              <w:rPr>
                <w:rFonts w:hint="eastAsia" w:ascii="宋体" w:hAnsi="宋体" w:eastAsia="宋体" w:cs="宋体"/>
                <w:color w:val="auto"/>
                <w:sz w:val="21"/>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1"/>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b/>
                <w:bCs w:val="0"/>
                <w:color w:val="auto"/>
                <w:sz w:val="21"/>
                <w:szCs w:val="21"/>
              </w:rPr>
            </w:pPr>
            <w:r>
              <w:rPr>
                <w:rFonts w:hint="eastAsia" w:ascii="宋体" w:hAnsi="宋体" w:eastAsia="宋体" w:cs="宋体"/>
                <w:b/>
                <w:bCs/>
                <w:color w:val="auto"/>
                <w:sz w:val="21"/>
                <w:szCs w:val="21"/>
                <w:lang w:eastAsia="zh-CN"/>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lang w:eastAsia="zh-CN"/>
              </w:rPr>
            </w:pPr>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w:t>
            </w:r>
            <w:r>
              <w:rPr>
                <w:rFonts w:hint="eastAsia" w:ascii="宋体" w:hAnsi="宋体" w:eastAsia="宋体" w:cs="宋体"/>
                <w:color w:val="auto"/>
                <w:sz w:val="21"/>
                <w:szCs w:val="21"/>
                <w:lang w:eastAsia="zh-CN"/>
              </w:rPr>
              <w:t>询价保证金</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w:t>
            </w:r>
            <w:r>
              <w:rPr>
                <w:rFonts w:hint="eastAsia" w:ascii="宋体" w:hAnsi="宋体" w:eastAsia="宋体" w:cs="宋体"/>
                <w:color w:val="auto"/>
                <w:sz w:val="21"/>
                <w:szCs w:val="21"/>
                <w:lang w:eastAsia="zh-CN"/>
              </w:rPr>
              <w:t>询价保证金</w:t>
            </w:r>
            <w:r>
              <w:rPr>
                <w:rFonts w:hint="eastAsia" w:ascii="宋体" w:hAnsi="宋体" w:eastAsia="宋体" w:cs="宋体"/>
                <w:color w:val="auto"/>
                <w:kern w:val="0"/>
                <w:sz w:val="21"/>
                <w:szCs w:val="21"/>
              </w:rPr>
              <w:t>。</w:t>
            </w:r>
          </w:p>
          <w:p>
            <w:pPr>
              <w:numPr>
                <w:ilvl w:val="0"/>
                <w:numId w:val="0"/>
              </w:numPr>
              <w:spacing w:line="360" w:lineRule="auto"/>
              <w:jc w:val="both"/>
              <w:outlineLvl w:val="1"/>
              <w:rPr>
                <w:rFonts w:hint="eastAsia" w:ascii="宋体" w:hAnsi="宋体" w:eastAsia="宋体" w:cs="宋体"/>
                <w:b/>
                <w:bCs/>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项目</w:t>
            </w:r>
            <w:r>
              <w:rPr>
                <w:rFonts w:hint="eastAsia" w:ascii="宋体" w:hAnsi="宋体" w:eastAsia="宋体" w:cs="宋体"/>
                <w:color w:val="auto"/>
                <w:sz w:val="21"/>
                <w:szCs w:val="21"/>
                <w:lang w:val="en-US" w:eastAsia="zh-CN"/>
              </w:rPr>
              <w:t>询价</w:t>
            </w:r>
            <w:r>
              <w:rPr>
                <w:rFonts w:hint="eastAsia" w:ascii="宋体" w:hAnsi="宋体" w:eastAsia="宋体" w:cs="宋体"/>
                <w:color w:val="auto"/>
                <w:sz w:val="21"/>
                <w:szCs w:val="21"/>
              </w:rPr>
              <w:t>保证金为</w:t>
            </w:r>
            <w:r>
              <w:rPr>
                <w:rFonts w:hint="eastAsia" w:ascii="宋体" w:hAnsi="宋体" w:eastAsia="宋体" w:cs="宋体"/>
                <w:color w:val="auto"/>
                <w:sz w:val="21"/>
                <w:szCs w:val="21"/>
                <w:u w:val="single"/>
                <w:lang w:val="en-US" w:eastAsia="zh-CN"/>
              </w:rPr>
              <w:t xml:space="preserve">  / </w:t>
            </w:r>
            <w:r>
              <w:rPr>
                <w:rFonts w:hint="eastAsia" w:ascii="宋体" w:hAnsi="宋体" w:eastAsia="宋体" w:cs="宋体"/>
                <w:color w:val="auto"/>
                <w:sz w:val="21"/>
                <w:szCs w:val="21"/>
              </w:rPr>
              <w:t>元，</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应在投标截止日前以电汇或网银转账方式缴纳至杭州临江环境能源有限公司。同时将银行缴款凭证复印件作为投标文件组成部分。</w:t>
            </w:r>
            <w:r>
              <w:rPr>
                <w:rFonts w:hint="eastAsia" w:ascii="宋体" w:hAnsi="宋体" w:eastAsia="宋体" w:cs="宋体"/>
                <w:b/>
                <w:bCs/>
                <w:color w:val="auto"/>
                <w:sz w:val="21"/>
                <w:szCs w:val="21"/>
              </w:rPr>
              <w:t>须注明：</w:t>
            </w:r>
            <w:r>
              <w:rPr>
                <w:rFonts w:hint="eastAsia" w:ascii="宋体" w:hAnsi="宋体" w:eastAsia="宋体" w:cs="宋体"/>
                <w:b/>
                <w:bCs/>
                <w:color w:val="auto"/>
                <w:sz w:val="21"/>
                <w:szCs w:val="21"/>
                <w:lang w:val="en-US" w:eastAsia="zh-CN"/>
              </w:rPr>
              <w:t xml:space="preserve"> </w:t>
            </w:r>
            <w:r>
              <w:rPr>
                <w:rFonts w:hint="default"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lang w:eastAsia="zh-CN"/>
              </w:rPr>
              <w:t>询价保证金</w:t>
            </w:r>
          </w:p>
          <w:p>
            <w:pPr>
              <w:pStyle w:val="18"/>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户    名：杭州临江环境能源有限公司</w:t>
            </w:r>
          </w:p>
          <w:p>
            <w:pPr>
              <w:pStyle w:val="18"/>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开户银行：杭州银行大江东支行</w:t>
            </w:r>
          </w:p>
          <w:p>
            <w:pPr>
              <w:spacing w:line="360" w:lineRule="auto"/>
              <w:jc w:val="both"/>
              <w:outlineLvl w:val="1"/>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58"/>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5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495733405"/>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sdt>
                  <w:sdtPr>
                    <w:rPr>
                      <w:rFonts w:hint="eastAsia" w:ascii="宋体" w:hAnsi="宋体" w:eastAsia="宋体" w:cs="宋体"/>
                      <w:color w:val="auto"/>
                      <w:kern w:val="0"/>
                      <w:sz w:val="21"/>
                      <w:szCs w:val="21"/>
                    </w:rPr>
                    <w:id w:val="60"/>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kern w:val="0"/>
                <w:sz w:val="21"/>
                <w:szCs w:val="21"/>
              </w:rPr>
            </w:pPr>
            <w:sdt>
              <w:sdtPr>
                <w:rPr>
                  <w:rFonts w:hint="eastAsia" w:ascii="宋体" w:hAnsi="宋体" w:eastAsia="宋体" w:cs="宋体"/>
                  <w:color w:val="auto"/>
                  <w:kern w:val="0"/>
                  <w:sz w:val="21"/>
                  <w:szCs w:val="21"/>
                </w:rPr>
                <w:id w:val="11740717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62"/>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sdt>
                  <w:sdtPr>
                    <w:rPr>
                      <w:rFonts w:hint="eastAsia" w:ascii="宋体" w:hAnsi="宋体" w:eastAsia="宋体" w:cs="宋体"/>
                      <w:color w:val="auto"/>
                      <w:kern w:val="0"/>
                      <w:sz w:val="21"/>
                      <w:szCs w:val="21"/>
                    </w:rPr>
                    <w:id w:val="63"/>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B组织。</w:t>
            </w:r>
          </w:p>
          <w:p>
            <w:pPr>
              <w:snapToGrid w:val="0"/>
              <w:spacing w:line="360" w:lineRule="auto"/>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rPr>
              <w:t>（1）在评审时安排供应商进行方案讲解演示。每个供应商时间不超过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分钟，讲解次序以响应文件解密时间先后次序为准，讲解演示人员不超过</w:t>
            </w:r>
            <w:r>
              <w:rPr>
                <w:rFonts w:hint="eastAsia" w:ascii="宋体" w:hAnsi="宋体" w:eastAsia="宋体" w:cs="宋体"/>
                <w:color w:val="auto"/>
                <w:kern w:val="0"/>
                <w:sz w:val="21"/>
                <w:szCs w:val="21"/>
                <w:u w:val="single"/>
              </w:rPr>
              <w:t>3</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rPr>
              <w:t>人。讲解演示结束后按要求解答</w:t>
            </w:r>
            <w:r>
              <w:rPr>
                <w:rFonts w:hint="eastAsia" w:ascii="宋体" w:hAnsi="宋体" w:eastAsia="宋体" w:cs="宋体"/>
                <w:color w:val="auto"/>
                <w:kern w:val="0"/>
                <w:sz w:val="21"/>
                <w:szCs w:val="21"/>
                <w:lang w:eastAsia="zh-CN"/>
              </w:rPr>
              <w:t>询价评审小组</w:t>
            </w:r>
            <w:r>
              <w:rPr>
                <w:rFonts w:hint="eastAsia" w:ascii="宋体" w:hAnsi="宋体" w:eastAsia="宋体" w:cs="宋体"/>
                <w:color w:val="auto"/>
                <w:kern w:val="0"/>
                <w:sz w:val="21"/>
                <w:szCs w:val="21"/>
              </w:rPr>
              <w:t>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lang w:val="zh-CN"/>
              </w:rPr>
              <w:t>有关本项目实施所需的所有费用（含税费）均计入报价。</w:t>
            </w:r>
            <w:r>
              <w:rPr>
                <w:rFonts w:hint="eastAsia" w:ascii="宋体" w:hAnsi="宋体" w:eastAsia="宋体" w:cs="宋体"/>
                <w:color w:val="auto"/>
                <w:sz w:val="21"/>
                <w:szCs w:val="21"/>
                <w:lang w:val="zh-CN"/>
              </w:rPr>
              <w:t>响应报价函</w:t>
            </w:r>
            <w:r>
              <w:rPr>
                <w:rFonts w:hint="eastAsia" w:ascii="宋体" w:hAnsi="宋体" w:eastAsia="宋体" w:cs="宋体"/>
                <w:color w:val="auto"/>
                <w:sz w:val="21"/>
                <w:szCs w:val="21"/>
              </w:rPr>
              <w:t>是报价的唯一载体</w:t>
            </w:r>
            <w:r>
              <w:rPr>
                <w:rFonts w:hint="eastAsia" w:ascii="宋体" w:hAnsi="宋体" w:eastAsia="宋体" w:cs="宋体"/>
                <w:b/>
                <w:bCs/>
                <w:color w:val="auto"/>
                <w:sz w:val="21"/>
                <w:szCs w:val="21"/>
              </w:rPr>
              <w:t>，如供应商填写的报价</w:t>
            </w:r>
            <w:r>
              <w:rPr>
                <w:rFonts w:hint="eastAsia" w:ascii="宋体" w:hAnsi="宋体" w:eastAsia="宋体" w:cs="宋体"/>
                <w:b/>
                <w:bCs/>
                <w:color w:val="auto"/>
                <w:sz w:val="21"/>
                <w:szCs w:val="21"/>
                <w:lang w:eastAsia="zh-CN"/>
              </w:rPr>
              <w:t>函</w:t>
            </w:r>
            <w:r>
              <w:rPr>
                <w:rFonts w:hint="eastAsia" w:ascii="宋体" w:hAnsi="宋体" w:eastAsia="宋体" w:cs="宋体"/>
                <w:b/>
                <w:bCs/>
                <w:color w:val="auto"/>
                <w:sz w:val="21"/>
                <w:szCs w:val="21"/>
              </w:rPr>
              <w:t>与响应文件中</w:t>
            </w:r>
            <w:r>
              <w:rPr>
                <w:rFonts w:hint="eastAsia" w:ascii="宋体" w:hAnsi="宋体" w:eastAsia="宋体" w:cs="宋体"/>
                <w:b/>
                <w:bCs/>
                <w:color w:val="auto"/>
                <w:sz w:val="21"/>
                <w:szCs w:val="21"/>
                <w:lang w:val="zh-CN"/>
              </w:rPr>
              <w:t>响应报价明细表</w:t>
            </w:r>
            <w:r>
              <w:rPr>
                <w:rFonts w:hint="eastAsia" w:ascii="宋体" w:hAnsi="宋体" w:eastAsia="宋体" w:cs="宋体"/>
                <w:b/>
                <w:bCs/>
                <w:color w:val="auto"/>
                <w:sz w:val="21"/>
                <w:szCs w:val="21"/>
              </w:rPr>
              <w:t>不一致的，以</w:t>
            </w:r>
            <w:r>
              <w:rPr>
                <w:rFonts w:hint="eastAsia" w:ascii="宋体" w:hAnsi="宋体" w:eastAsia="宋体" w:cs="宋体"/>
                <w:b/>
                <w:bCs/>
                <w:color w:val="auto"/>
                <w:sz w:val="21"/>
                <w:szCs w:val="21"/>
                <w:lang w:val="zh-CN"/>
              </w:rPr>
              <w:t>响应报价函</w:t>
            </w:r>
            <w:r>
              <w:rPr>
                <w:rFonts w:hint="eastAsia" w:ascii="宋体" w:hAnsi="宋体" w:eastAsia="宋体" w:cs="宋体"/>
                <w:b/>
                <w:bCs/>
                <w:color w:val="auto"/>
                <w:sz w:val="21"/>
                <w:szCs w:val="21"/>
              </w:rPr>
              <w:t>为准。</w:t>
            </w:r>
            <w:r>
              <w:rPr>
                <w:rFonts w:hint="eastAsia" w:ascii="宋体" w:hAnsi="宋体" w:eastAsia="宋体" w:cs="宋体"/>
                <w:color w:val="auto"/>
                <w:kern w:val="0"/>
                <w:sz w:val="21"/>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rFonts w:hint="eastAsia"/>
                <w:color w:val="auto"/>
              </w:rPr>
            </w:pPr>
            <w:r>
              <w:rPr>
                <w:rFonts w:hint="eastAsia" w:ascii="宋体" w:hAnsi="宋体" w:eastAsia="宋体" w:cs="宋体"/>
                <w:b/>
                <w:color w:val="auto"/>
                <w:kern w:val="0"/>
                <w:sz w:val="21"/>
                <w:szCs w:val="21"/>
                <w:lang w:val="zh-CN"/>
              </w:rPr>
              <w:t>响应无效情形，详见</w:t>
            </w:r>
            <w:r>
              <w:rPr>
                <w:rFonts w:hint="eastAsia"/>
                <w:color w:val="auto"/>
                <w:lang w:eastAsia="zh-CN"/>
              </w:rPr>
              <w:t>“第四部分 《评审方法》</w:t>
            </w:r>
            <w:r>
              <w:rPr>
                <w:rFonts w:hint="eastAsia"/>
                <w:color w:val="auto"/>
              </w:rPr>
              <w:t>”</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评</w:t>
            </w:r>
            <w:r>
              <w:rPr>
                <w:rFonts w:hint="eastAsia" w:ascii="宋体" w:hAnsi="宋体" w:cs="宋体"/>
                <w:b/>
                <w:bCs w:val="0"/>
                <w:snapToGrid w:val="0"/>
                <w:color w:val="auto"/>
                <w:kern w:val="0"/>
                <w:szCs w:val="21"/>
                <w:lang w:eastAsia="zh-CN"/>
              </w:rPr>
              <w:t>审方</w:t>
            </w:r>
            <w:r>
              <w:rPr>
                <w:rFonts w:hint="eastAsia" w:ascii="宋体" w:hAnsi="宋体" w:cs="宋体"/>
                <w:b/>
                <w:bCs w:val="0"/>
                <w:snapToGrid w:val="0"/>
                <w:color w:val="auto"/>
                <w:kern w:val="0"/>
                <w:szCs w:val="21"/>
              </w:rPr>
              <w:t>法</w:t>
            </w:r>
          </w:p>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val="0"/>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rFonts w:hint="eastAsia"/>
                <w:color w:val="auto"/>
              </w:rPr>
            </w:pPr>
            <w:r>
              <w:rPr>
                <w:rFonts w:hint="eastAsia" w:ascii="宋体" w:hAnsi="宋体" w:cs="宋体"/>
                <w:color w:val="auto"/>
                <w:kern w:val="0"/>
                <w:szCs w:val="21"/>
                <w:lang w:bidi="ar"/>
              </w:rPr>
              <w:sym w:font="Wingdings" w:char="00A8"/>
            </w:r>
            <w:r>
              <w:rPr>
                <w:rFonts w:hint="eastAsia"/>
                <w:color w:val="auto"/>
              </w:rPr>
              <w:t>综合评分法。</w:t>
            </w:r>
          </w:p>
          <w:p>
            <w:pPr>
              <w:autoSpaceDE w:val="0"/>
              <w:autoSpaceDN w:val="0"/>
              <w:adjustRightInd w:val="0"/>
              <w:snapToGrid w:val="0"/>
              <w:spacing w:line="320" w:lineRule="exact"/>
              <w:rPr>
                <w:rFonts w:hint="eastAsia"/>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rFonts w:hint="eastAsia"/>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val="en-US" w:eastAsia="zh-CN" w:bidi="ar"/>
              </w:rPr>
              <w:t>其他</w:t>
            </w:r>
            <w:r>
              <w:rPr>
                <w:rFonts w:hint="eastAsia"/>
                <w:color w:val="auto"/>
              </w:rPr>
              <w:t>。</w:t>
            </w:r>
          </w:p>
          <w:p>
            <w:pPr>
              <w:autoSpaceDE w:val="0"/>
              <w:autoSpaceDN w:val="0"/>
              <w:adjustRightInd w:val="0"/>
              <w:snapToGrid w:val="0"/>
              <w:spacing w:line="320" w:lineRule="exact"/>
              <w:rPr>
                <w:rFonts w:hint="eastAsia" w:ascii="宋体" w:hAnsi="宋体" w:eastAsia="宋体" w:cs="宋体"/>
                <w:b/>
                <w:color w:val="auto"/>
                <w:kern w:val="0"/>
                <w:sz w:val="21"/>
                <w:szCs w:val="21"/>
              </w:rPr>
            </w:pPr>
            <w:r>
              <w:rPr>
                <w:rFonts w:hint="eastAsia"/>
                <w:color w:val="auto"/>
              </w:rPr>
              <w:t>详见</w:t>
            </w:r>
            <w:r>
              <w:rPr>
                <w:rFonts w:hint="eastAsia"/>
                <w:color w:val="auto"/>
                <w:lang w:eastAsia="zh-CN"/>
              </w:rPr>
              <w:t>询价采购文件“第四部分 《评审方法》</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履约保证金金额：</w:t>
            </w:r>
            <w:r>
              <w:rPr>
                <w:rFonts w:hint="eastAsia" w:ascii="宋体" w:hAnsi="宋体" w:cs="宋体"/>
                <w:color w:val="auto"/>
                <w:kern w:val="2"/>
                <w:sz w:val="21"/>
                <w:szCs w:val="24"/>
                <w:lang w:val="en-US"/>
              </w:rPr>
              <w:t>约合同价的</w:t>
            </w:r>
            <w:r>
              <w:rPr>
                <w:rFonts w:ascii="宋体" w:hAnsi="宋体" w:cs="宋体"/>
                <w:color w:val="auto"/>
                <w:kern w:val="2"/>
                <w:sz w:val="21"/>
                <w:szCs w:val="24"/>
                <w:lang w:val="en-US"/>
              </w:rPr>
              <w:t>5</w:t>
            </w:r>
            <w:r>
              <w:rPr>
                <w:rFonts w:hint="eastAsia" w:ascii="宋体" w:hAnsi="宋体" w:cs="宋体"/>
                <w:color w:val="auto"/>
                <w:kern w:val="2"/>
                <w:sz w:val="21"/>
                <w:szCs w:val="24"/>
                <w:lang w:val="en-US"/>
              </w:rPr>
              <w:t>%</w:t>
            </w:r>
          </w:p>
          <w:p>
            <w:pPr>
              <w:pStyle w:val="19"/>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履约保证金缴纳形式：电汇/转账</w:t>
            </w:r>
          </w:p>
          <w:p>
            <w:pPr>
              <w:pStyle w:val="19"/>
              <w:snapToGrid w:val="0"/>
              <w:spacing w:after="0" w:line="400" w:lineRule="exact"/>
              <w:ind w:left="0" w:leftChars="0" w:firstLine="0" w:firstLineChars="0"/>
              <w:jc w:val="left"/>
              <w:rPr>
                <w:rFonts w:hint="default" w:ascii="宋体" w:hAnsi="宋体" w:cs="宋体" w:eastAsiaTheme="minorEastAsia"/>
                <w:b w:val="0"/>
                <w:bCs w:val="0"/>
                <w:color w:val="auto"/>
                <w:kern w:val="2"/>
                <w:sz w:val="21"/>
                <w:szCs w:val="24"/>
                <w:lang w:val="en-US" w:eastAsia="zh-CN"/>
              </w:rPr>
            </w:pPr>
            <w:r>
              <w:rPr>
                <w:rFonts w:hint="eastAsia" w:ascii="宋体" w:hAnsi="宋体" w:cs="宋体"/>
                <w:b w:val="0"/>
                <w:bCs w:val="0"/>
                <w:color w:val="auto"/>
                <w:kern w:val="2"/>
                <w:sz w:val="21"/>
                <w:szCs w:val="24"/>
                <w:lang w:val="en-US"/>
              </w:rPr>
              <w:t>履约保证金缴纳时间：合同签订</w:t>
            </w:r>
            <w:r>
              <w:rPr>
                <w:rFonts w:hint="eastAsia" w:ascii="宋体" w:hAnsi="宋体" w:cs="宋体"/>
                <w:b w:val="0"/>
                <w:bCs w:val="0"/>
                <w:color w:val="auto"/>
                <w:kern w:val="2"/>
                <w:sz w:val="21"/>
                <w:szCs w:val="24"/>
                <w:lang w:val="en-US" w:eastAsia="zh-CN"/>
              </w:rPr>
              <w:t>后10日内缴纳</w:t>
            </w:r>
          </w:p>
          <w:p>
            <w:pPr>
              <w:pStyle w:val="19"/>
              <w:snapToGrid w:val="0"/>
              <w:spacing w:after="0" w:line="400" w:lineRule="exact"/>
              <w:ind w:left="0" w:leftChars="0" w:firstLine="0" w:firstLineChars="0"/>
              <w:jc w:val="left"/>
              <w:rPr>
                <w:rFonts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履约保证金接收人：杭州临江环境能源有限公司</w:t>
            </w:r>
          </w:p>
          <w:p>
            <w:pPr>
              <w:pStyle w:val="19"/>
              <w:snapToGrid w:val="0"/>
              <w:spacing w:after="0" w:line="400" w:lineRule="exact"/>
              <w:ind w:left="0" w:leftChars="0" w:firstLine="0" w:firstLineChars="0"/>
              <w:jc w:val="left"/>
              <w:rPr>
                <w:rFonts w:ascii="宋体" w:hAnsi="宋体" w:cs="宋体"/>
                <w:color w:val="auto"/>
              </w:rPr>
            </w:pPr>
            <w:r>
              <w:rPr>
                <w:rFonts w:hint="eastAsia" w:ascii="宋体" w:hAnsi="宋体" w:cs="宋体"/>
                <w:b w:val="0"/>
                <w:bCs w:val="0"/>
                <w:color w:val="auto"/>
                <w:kern w:val="2"/>
                <w:sz w:val="21"/>
                <w:szCs w:val="24"/>
                <w:lang w:val="en-US"/>
              </w:rPr>
              <w:t>履约保证金有效期限：履约保证金将在本项目合同到期或终止后，扣除中标人应承担的违约金、损失赔偿金等款项后经中标人申请</w:t>
            </w:r>
            <w:r>
              <w:rPr>
                <w:rFonts w:hint="eastAsia" w:ascii="宋体" w:hAnsi="宋体" w:cs="宋体"/>
                <w:b w:val="0"/>
                <w:bCs w:val="0"/>
                <w:color w:val="auto"/>
                <w:kern w:val="2"/>
                <w:sz w:val="21"/>
                <w:szCs w:val="24"/>
                <w:lang w:val="en-US" w:eastAsia="zh-CN"/>
              </w:rPr>
              <w:t>30个工作日</w:t>
            </w:r>
            <w:r>
              <w:rPr>
                <w:rFonts w:hint="eastAsia" w:ascii="宋体" w:hAnsi="宋体" w:cs="宋体"/>
                <w:b w:val="0"/>
                <w:bCs w:val="0"/>
                <w:color w:val="auto"/>
                <w:kern w:val="2"/>
                <w:sz w:val="21"/>
                <w:szCs w:val="24"/>
                <w:lang w:val="en-US"/>
              </w:rPr>
              <w:t>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是否分册装订：</w:t>
            </w:r>
          </w:p>
          <w:p>
            <w:pPr>
              <w:pStyle w:val="17"/>
              <w:snapToGrid w:val="0"/>
              <w:spacing w:line="400" w:lineRule="exact"/>
              <w:ind w:right="42" w:rightChars="20"/>
              <w:jc w:val="both"/>
              <w:rPr>
                <w:rFonts w:hint="eastAsia"/>
                <w:snapToGrid w:val="0"/>
                <w:color w:val="auto"/>
                <w:sz w:val="21"/>
                <w:szCs w:val="21"/>
                <w:lang w:eastAsia="zh-CN"/>
              </w:rPr>
            </w:pPr>
            <w:r>
              <w:rPr>
                <w:rFonts w:hint="eastAsia"/>
                <w:color w:val="auto"/>
                <w:szCs w:val="21"/>
                <w:lang w:bidi="ar"/>
              </w:rPr>
              <w:sym w:font="Wingdings" w:char="00FE"/>
            </w:r>
            <w:r>
              <w:rPr>
                <w:rFonts w:hint="eastAsia"/>
                <w:snapToGrid w:val="0"/>
                <w:color w:val="auto"/>
                <w:sz w:val="21"/>
                <w:szCs w:val="21"/>
                <w:lang w:eastAsia="zh-CN"/>
              </w:rPr>
              <w:t>不分册装订；</w:t>
            </w:r>
          </w:p>
          <w:p>
            <w:pPr>
              <w:pStyle w:val="17"/>
              <w:snapToGrid w:val="0"/>
              <w:spacing w:line="400" w:lineRule="exact"/>
              <w:ind w:right="42" w:rightChars="20"/>
              <w:jc w:val="both"/>
              <w:rPr>
                <w:snapToGrid w:val="0"/>
                <w:color w:val="auto"/>
                <w:sz w:val="21"/>
                <w:szCs w:val="21"/>
                <w:u w:val="single"/>
                <w:lang w:eastAsia="zh-CN"/>
              </w:rPr>
            </w:pPr>
            <w:r>
              <w:rPr>
                <w:rFonts w:hint="eastAsia"/>
                <w:snapToGrid w:val="0"/>
                <w:color w:val="auto"/>
                <w:szCs w:val="21"/>
                <w:lang w:eastAsia="zh-CN"/>
              </w:rPr>
              <w:sym w:font="Wingdings 2" w:char="00A3"/>
            </w:r>
            <w:r>
              <w:rPr>
                <w:rFonts w:hint="eastAsia"/>
                <w:snapToGrid w:val="0"/>
                <w:color w:val="auto"/>
                <w:sz w:val="21"/>
                <w:szCs w:val="21"/>
                <w:lang w:eastAsia="zh-CN"/>
              </w:rPr>
              <w:t>分册装订。</w:t>
            </w:r>
          </w:p>
          <w:p>
            <w:pPr>
              <w:pStyle w:val="17"/>
              <w:snapToGrid w:val="0"/>
              <w:spacing w:line="400" w:lineRule="exact"/>
              <w:ind w:right="42" w:rightChars="20"/>
              <w:jc w:val="both"/>
              <w:rPr>
                <w:rFonts w:hint="eastAsia" w:ascii="宋体" w:hAnsi="宋体" w:cs="宋体"/>
                <w:b w:val="0"/>
                <w:bCs w:val="0"/>
                <w:color w:val="auto"/>
                <w:kern w:val="2"/>
                <w:sz w:val="21"/>
                <w:szCs w:val="24"/>
                <w:lang w:val="en-US"/>
              </w:rPr>
            </w:pPr>
            <w:r>
              <w:rPr>
                <w:rFonts w:hint="eastAsia"/>
                <w:snapToGrid w:val="0"/>
                <w:color w:val="auto"/>
                <w:sz w:val="21"/>
                <w:szCs w:val="21"/>
                <w:lang w:eastAsia="zh-CN"/>
              </w:rPr>
              <w:t>装订要求：</w:t>
            </w:r>
            <w:r>
              <w:rPr>
                <w:rFonts w:hint="eastAsia"/>
                <w:snapToGrid w:val="0"/>
                <w:color w:val="auto"/>
                <w:sz w:val="21"/>
                <w:szCs w:val="21"/>
                <w:lang w:val="en-US" w:eastAsia="zh-CN"/>
              </w:rPr>
              <w:t>正本1份，副本2份，</w:t>
            </w:r>
            <w:r>
              <w:rPr>
                <w:rFonts w:hint="eastAsia"/>
                <w:snapToGrid w:val="0"/>
                <w:color w:val="auto"/>
                <w:sz w:val="21"/>
                <w:szCs w:val="21"/>
                <w:lang w:eastAsia="zh-CN"/>
              </w:rPr>
              <w:t>A4幅面，单面或</w:t>
            </w:r>
            <w:r>
              <w:rPr>
                <w:rFonts w:hint="eastAsia"/>
                <w:b/>
                <w:bCs/>
                <w:snapToGrid w:val="0"/>
                <w:color w:val="auto"/>
                <w:sz w:val="21"/>
                <w:szCs w:val="21"/>
                <w:lang w:eastAsia="zh-CN"/>
              </w:rPr>
              <w:t>双面</w:t>
            </w:r>
            <w:r>
              <w:rPr>
                <w:rFonts w:hint="eastAsia"/>
                <w:snapToGrid w:val="0"/>
                <w:color w:val="auto"/>
                <w:sz w:val="21"/>
                <w:szCs w:val="21"/>
                <w:lang w:eastAsia="zh-CN"/>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eastAsiaTheme="minorEastAsia"/>
                <w:b/>
                <w:bCs/>
                <w:snapToGrid w:val="0"/>
                <w:color w:val="auto"/>
                <w:kern w:val="0"/>
                <w:szCs w:val="21"/>
                <w:lang w:eastAsia="zh-CN"/>
              </w:rPr>
            </w:pPr>
            <w:r>
              <w:rPr>
                <w:rFonts w:hint="eastAsia" w:ascii="宋体" w:hAnsi="宋体" w:cs="宋体"/>
                <w:b/>
                <w:bCs/>
                <w:snapToGrid w:val="0"/>
                <w:color w:val="auto"/>
                <w:kern w:val="0"/>
                <w:szCs w:val="21"/>
                <w:lang w:eastAsia="zh-CN"/>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jc w:val="both"/>
              <w:rPr>
                <w:rFonts w:hint="eastAsia"/>
                <w:snapToGrid w:val="0"/>
                <w:color w:val="auto"/>
                <w:sz w:val="21"/>
                <w:szCs w:val="21"/>
                <w:lang w:eastAsia="zh-CN"/>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6"/>
        <w:rPr>
          <w:rFonts w:hint="eastAsia" w:cs="仿宋" w:asciiTheme="minorEastAsia" w:hAnsiTheme="minorEastAsia"/>
          <w:b/>
          <w:color w:val="auto"/>
          <w:sz w:val="32"/>
          <w:szCs w:val="20"/>
        </w:rPr>
      </w:pPr>
    </w:p>
    <w:p>
      <w:pPr>
        <w:pStyle w:val="7"/>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p>
    <w:p>
      <w:pPr>
        <w:spacing w:line="360" w:lineRule="auto"/>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 xml:space="preserve"> </w:t>
      </w:r>
      <w:r>
        <w:rPr>
          <w:rFonts w:hint="eastAsia" w:cs="仿宋" w:asciiTheme="minorEastAsia" w:hAnsiTheme="minorEastAsia"/>
          <w:color w:val="auto"/>
          <w:sz w:val="24"/>
          <w:lang w:eastAsia="zh-CN"/>
        </w:rPr>
        <w:t>“中标人”</w:t>
      </w:r>
      <w:r>
        <w:rPr>
          <w:rFonts w:hint="eastAsia" w:cs="仿宋" w:asciiTheme="minorEastAsia" w:hAnsiTheme="minorEastAsia"/>
          <w:color w:val="auto"/>
          <w:sz w:val="24"/>
        </w:rPr>
        <w:t>系指是指</w:t>
      </w:r>
      <w:r>
        <w:rPr>
          <w:rFonts w:hint="eastAsia" w:cs="仿宋" w:asciiTheme="minorEastAsia" w:hAnsiTheme="minorEastAsia"/>
          <w:color w:val="auto"/>
          <w:sz w:val="24"/>
          <w:lang w:eastAsia="zh-CN"/>
        </w:rPr>
        <w:t>经采购人确定的本项目供应商。</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2.4</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0"/>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0"/>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6"/>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.响应截至前答疑会或现场考察</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0"/>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0"/>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0"/>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0"/>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0"/>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w:t>
      </w:r>
      <w:r>
        <w:rPr>
          <w:rFonts w:hint="eastAsia" w:cs="仿宋" w:asciiTheme="minorEastAsia" w:hAnsiTheme="minorEastAsia"/>
          <w:color w:val="auto"/>
          <w:szCs w:val="24"/>
          <w:lang w:val="en-US" w:eastAsia="zh-CN"/>
        </w:rPr>
        <w:t>封开启</w:t>
      </w:r>
      <w:r>
        <w:rPr>
          <w:rFonts w:hint="eastAsia" w:cs="仿宋" w:asciiTheme="minorEastAsia" w:hAnsiTheme="minorEastAsia"/>
          <w:color w:val="auto"/>
          <w:szCs w:val="24"/>
        </w:rPr>
        <w:t>响应文件。</w:t>
      </w:r>
    </w:p>
    <w:p>
      <w:pPr>
        <w:pStyle w:val="20"/>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0"/>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0"/>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color w:val="auto"/>
          <w:sz w:val="32"/>
        </w:rPr>
      </w:pPr>
    </w:p>
    <w:p>
      <w:pPr>
        <w:pStyle w:val="20"/>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1"/>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开标</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的，不得开启</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响应文件。</w:t>
      </w:r>
    </w:p>
    <w:p>
      <w:pPr>
        <w:pStyle w:val="21"/>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20"/>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0"/>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0"/>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0"/>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pPr>
        <w:pStyle w:val="20"/>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0"/>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.3信用信息的使用规则：经查询列入失信被执行人名单、重大税收违法案件当事人名单、政府采购严重违法失信行为记录名单的供应商将被拒绝参与</w:t>
      </w:r>
      <w:r>
        <w:rPr>
          <w:rFonts w:hint="eastAsia" w:cs="仿宋" w:asciiTheme="minorEastAsia" w:hAnsiTheme="minorEastAsia"/>
          <w:color w:val="auto"/>
          <w:kern w:val="0"/>
          <w:szCs w:val="24"/>
          <w:lang w:eastAsia="zh-CN"/>
        </w:rPr>
        <w:t>杭州临江环境能源有限公司</w:t>
      </w:r>
      <w:r>
        <w:rPr>
          <w:rFonts w:hint="eastAsia" w:cs="仿宋" w:asciiTheme="minorEastAsia" w:hAnsiTheme="minorEastAsia"/>
          <w:color w:val="auto"/>
          <w:kern w:val="0"/>
          <w:szCs w:val="24"/>
        </w:rPr>
        <w:t>采购活动。</w:t>
      </w:r>
    </w:p>
    <w:p>
      <w:pPr>
        <w:pStyle w:val="20"/>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0"/>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0"/>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0"/>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除不可抗力等特殊情况外，原则上采购人应当在成交通知书发出之日起10个工作日内，与成交供应商按照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0"/>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0"/>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。采购人重新开展采购活动。</w:t>
      </w:r>
    </w:p>
    <w:p>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val="en-US" w:eastAsia="zh-CN"/>
        </w:rPr>
      </w:pPr>
      <w:r>
        <w:rPr>
          <w:rFonts w:hint="eastAsia" w:cs="仿宋" w:asciiTheme="minorEastAsia" w:hAnsiTheme="minorEastAsia"/>
          <w:color w:val="auto"/>
          <w:sz w:val="24"/>
          <w:szCs w:val="20"/>
          <w:lang w:eastAsia="zh-CN"/>
        </w:rPr>
        <w:t>供应商的询价保证金将在采购人与中标人签订合同后全额退还。退保证金前，供应商必须提供加盖公章或财务专用章的收款收据</w:t>
      </w:r>
      <w:r>
        <w:rPr>
          <w:rFonts w:hint="eastAsia" w:cs="仿宋" w:asciiTheme="minorEastAsia" w:hAnsiTheme="minorEastAsia"/>
          <w:b/>
          <w:bCs/>
          <w:color w:val="auto"/>
          <w:sz w:val="24"/>
          <w:szCs w:val="20"/>
          <w:lang w:eastAsia="zh-CN"/>
        </w:rPr>
        <w:t>（格式自理）</w:t>
      </w:r>
      <w:r>
        <w:rPr>
          <w:rFonts w:hint="eastAsia" w:cs="仿宋" w:asciiTheme="minorEastAsia" w:hAnsiTheme="minorEastAsia"/>
          <w:color w:val="auto"/>
          <w:sz w:val="24"/>
          <w:szCs w:val="20"/>
          <w:lang w:eastAsia="zh-CN"/>
        </w:rPr>
        <w:t>。</w:t>
      </w:r>
      <w:r>
        <w:rPr>
          <w:rFonts w:hint="eastAsia" w:cs="仿宋" w:asciiTheme="minorEastAsia" w:hAnsiTheme="minorEastAsia"/>
          <w:color w:val="auto"/>
          <w:sz w:val="24"/>
          <w:szCs w:val="20"/>
          <w:lang w:val="en-US" w:eastAsia="zh-CN"/>
        </w:rPr>
        <w:t xml:space="preserve">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w:t>
      </w:r>
      <w:r>
        <w:rPr>
          <w:rFonts w:hint="eastAsia" w:cs="仿宋" w:asciiTheme="minorEastAsia" w:hAnsiTheme="minorEastAsia"/>
          <w:color w:val="auto"/>
          <w:sz w:val="24"/>
          <w:szCs w:val="20"/>
          <w:lang w:eastAsia="zh-CN"/>
        </w:rPr>
        <w:t>法律、法规规定的其他情形。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rPr>
      </w:pPr>
    </w:p>
    <w:p>
      <w:pPr>
        <w:pStyle w:val="6"/>
        <w:rPr>
          <w:rFonts w:hint="eastAsia"/>
          <w:color w:val="auto"/>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color w:val="auto"/>
          <w:sz w:val="24"/>
          <w:szCs w:val="20"/>
        </w:rPr>
        <w:t>▲</w:t>
      </w: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pStyle w:val="6"/>
        <w:numPr>
          <w:ilvl w:val="0"/>
          <w:numId w:val="0"/>
        </w:numPr>
        <w:ind w:firstLine="480" w:firstLineChars="200"/>
        <w:rPr>
          <w:rFonts w:hint="eastAsia"/>
          <w:color w:val="auto"/>
          <w:lang w:val="en-US" w:eastAsia="zh-CN"/>
        </w:rPr>
      </w:pPr>
      <w:r>
        <w:rPr>
          <w:rFonts w:hint="eastAsia"/>
          <w:color w:val="auto"/>
          <w:lang w:val="en-US" w:eastAsia="zh-CN"/>
        </w:rPr>
        <w:t>杭州临江环境能源有限公司因日常生产需要，需采购重质碳酸钠一批，暂定数量40吨。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138"/>
        <w:gridCol w:w="2157"/>
        <w:gridCol w:w="844"/>
        <w:gridCol w:w="773"/>
        <w:gridCol w:w="3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451" w:type="dxa"/>
            <w:noWrap w:val="0"/>
            <w:vAlign w:val="center"/>
          </w:tcPr>
          <w:p>
            <w:pPr>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序号</w:t>
            </w:r>
          </w:p>
        </w:tc>
        <w:tc>
          <w:tcPr>
            <w:tcW w:w="1138" w:type="dxa"/>
            <w:noWrap w:val="0"/>
            <w:vAlign w:val="center"/>
          </w:tcPr>
          <w:p>
            <w:pPr>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货物名称</w:t>
            </w:r>
          </w:p>
        </w:tc>
        <w:tc>
          <w:tcPr>
            <w:tcW w:w="2157" w:type="dxa"/>
            <w:noWrap w:val="0"/>
            <w:vAlign w:val="center"/>
          </w:tcPr>
          <w:p>
            <w:pPr>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规格型号/技术要求</w:t>
            </w:r>
          </w:p>
        </w:tc>
        <w:tc>
          <w:tcPr>
            <w:tcW w:w="844" w:type="dxa"/>
            <w:noWrap w:val="0"/>
            <w:vAlign w:val="center"/>
          </w:tcPr>
          <w:p>
            <w:pPr>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暂定数量</w:t>
            </w:r>
          </w:p>
        </w:tc>
        <w:tc>
          <w:tcPr>
            <w:tcW w:w="773" w:type="dxa"/>
            <w:noWrap w:val="0"/>
            <w:vAlign w:val="center"/>
          </w:tcPr>
          <w:p>
            <w:pPr>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单位</w:t>
            </w:r>
          </w:p>
        </w:tc>
        <w:tc>
          <w:tcPr>
            <w:tcW w:w="3429" w:type="dxa"/>
            <w:noWrap w:val="0"/>
            <w:vAlign w:val="center"/>
          </w:tcPr>
          <w:p>
            <w:pPr>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exact"/>
          <w:jc w:val="center"/>
        </w:trPr>
        <w:tc>
          <w:tcPr>
            <w:tcW w:w="451" w:type="dxa"/>
            <w:noWrap w:val="0"/>
            <w:vAlign w:val="center"/>
          </w:tcPr>
          <w:p>
            <w:pPr>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w:t>
            </w:r>
          </w:p>
        </w:tc>
        <w:tc>
          <w:tcPr>
            <w:tcW w:w="1138" w:type="dxa"/>
            <w:noWrap w:val="0"/>
            <w:vAlign w:val="center"/>
          </w:tcPr>
          <w:p>
            <w:pPr>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重质</w:t>
            </w:r>
            <w:r>
              <w:rPr>
                <w:rFonts w:hint="default" w:ascii="宋体" w:hAnsi="Arial" w:cs="Arial" w:eastAsiaTheme="minorEastAsia"/>
                <w:snapToGrid w:val="0"/>
                <w:color w:val="auto"/>
                <w:kern w:val="2"/>
                <w:sz w:val="24"/>
                <w:szCs w:val="21"/>
                <w:lang w:val="en-US" w:eastAsia="zh-CN" w:bidi="ar-SA"/>
              </w:rPr>
              <w:t>碳酸钠</w:t>
            </w:r>
          </w:p>
        </w:tc>
        <w:tc>
          <w:tcPr>
            <w:tcW w:w="2157" w:type="dxa"/>
            <w:noWrap w:val="0"/>
            <w:vAlign w:val="center"/>
          </w:tcPr>
          <w:p>
            <w:pPr>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符</w:t>
            </w:r>
            <w:r>
              <w:rPr>
                <w:rFonts w:hint="eastAsia" w:ascii="宋体" w:hAnsi="Arial" w:cs="Arial" w:eastAsiaTheme="minorEastAsia"/>
                <w:snapToGrid w:val="0"/>
                <w:color w:val="auto"/>
                <w:kern w:val="2"/>
                <w:sz w:val="24"/>
                <w:szCs w:val="21"/>
                <w:lang w:val="en-US" w:eastAsia="zh-CN" w:bidi="ar-SA"/>
              </w:rPr>
              <w:t>合《GB/T210-2022》中工业Ⅱ类优等品标准，含量(以干基Na2CO3计)≥99.2%,袋装</w:t>
            </w:r>
          </w:p>
        </w:tc>
        <w:tc>
          <w:tcPr>
            <w:tcW w:w="844" w:type="dxa"/>
            <w:noWrap w:val="0"/>
            <w:vAlign w:val="center"/>
          </w:tcPr>
          <w:p>
            <w:pPr>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40</w:t>
            </w:r>
          </w:p>
        </w:tc>
        <w:tc>
          <w:tcPr>
            <w:tcW w:w="773" w:type="dxa"/>
            <w:noWrap w:val="0"/>
            <w:vAlign w:val="center"/>
          </w:tcPr>
          <w:p>
            <w:pPr>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吨</w:t>
            </w:r>
          </w:p>
        </w:tc>
        <w:tc>
          <w:tcPr>
            <w:tcW w:w="3429" w:type="dxa"/>
            <w:noWrap w:val="0"/>
            <w:vAlign w:val="center"/>
          </w:tcPr>
          <w:p>
            <w:pPr>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中标人</w:t>
            </w:r>
            <w:r>
              <w:rPr>
                <w:rFonts w:hint="eastAsia" w:ascii="宋体" w:hAnsi="Arial" w:cs="Arial" w:eastAsiaTheme="minorEastAsia"/>
                <w:snapToGrid w:val="0"/>
                <w:color w:val="auto"/>
                <w:kern w:val="2"/>
                <w:sz w:val="24"/>
                <w:szCs w:val="21"/>
                <w:lang w:val="en-US" w:eastAsia="zh-CN" w:bidi="ar-SA"/>
              </w:rPr>
              <w:t>负责卸货，采用托盘或者吨袋最佳，采购人可免费提供叉车服务。若无，由</w:t>
            </w:r>
            <w:r>
              <w:rPr>
                <w:rFonts w:hint="eastAsia" w:ascii="宋体" w:hAnsi="Arial" w:cs="Arial"/>
                <w:snapToGrid w:val="0"/>
                <w:color w:val="auto"/>
                <w:kern w:val="2"/>
                <w:sz w:val="24"/>
                <w:szCs w:val="21"/>
                <w:lang w:val="en-US" w:eastAsia="zh-CN" w:bidi="ar-SA"/>
              </w:rPr>
              <w:t>中标人</w:t>
            </w:r>
            <w:r>
              <w:rPr>
                <w:rFonts w:hint="eastAsia" w:ascii="宋体" w:hAnsi="Arial" w:cs="Arial" w:eastAsiaTheme="minorEastAsia"/>
                <w:snapToGrid w:val="0"/>
                <w:color w:val="auto"/>
                <w:kern w:val="2"/>
                <w:sz w:val="24"/>
                <w:szCs w:val="21"/>
                <w:lang w:val="en-US" w:eastAsia="zh-CN" w:bidi="ar-SA"/>
              </w:rPr>
              <w:t>负责组织人工卸货，人工费由</w:t>
            </w:r>
            <w:r>
              <w:rPr>
                <w:rFonts w:hint="eastAsia" w:ascii="宋体" w:hAnsi="Arial" w:cs="Arial"/>
                <w:snapToGrid w:val="0"/>
                <w:color w:val="auto"/>
                <w:kern w:val="2"/>
                <w:sz w:val="24"/>
                <w:szCs w:val="21"/>
                <w:lang w:val="en-US" w:eastAsia="zh-CN" w:bidi="ar-SA"/>
              </w:rPr>
              <w:t>中标人</w:t>
            </w:r>
            <w:r>
              <w:rPr>
                <w:rFonts w:hint="eastAsia" w:ascii="宋体" w:hAnsi="Arial" w:cs="Arial" w:eastAsiaTheme="minorEastAsia"/>
                <w:snapToGrid w:val="0"/>
                <w:color w:val="auto"/>
                <w:kern w:val="2"/>
                <w:sz w:val="24"/>
                <w:szCs w:val="21"/>
                <w:lang w:val="en-US" w:eastAsia="zh-CN" w:bidi="ar-SA"/>
              </w:rPr>
              <w:t>承担。每次供货不少于10吨。</w:t>
            </w:r>
          </w:p>
        </w:tc>
      </w:tr>
    </w:tbl>
    <w:p>
      <w:pPr>
        <w:pStyle w:val="6"/>
        <w:numPr>
          <w:ilvl w:val="0"/>
          <w:numId w:val="0"/>
        </w:numPr>
        <w:ind w:firstLine="482" w:firstLineChars="200"/>
        <w:rPr>
          <w:rFonts w:hint="eastAsia"/>
          <w:b/>
          <w:bCs/>
          <w:color w:val="auto"/>
          <w:lang w:val="en-US" w:eastAsia="zh-CN"/>
        </w:rPr>
      </w:pPr>
      <w:r>
        <w:rPr>
          <w:rFonts w:hint="eastAsia"/>
          <w:b/>
          <w:bCs/>
          <w:color w:val="auto"/>
          <w:lang w:val="en-US" w:eastAsia="zh-CN"/>
        </w:rPr>
        <w:t>二、合同期限及履约方式</w:t>
      </w:r>
    </w:p>
    <w:p>
      <w:pPr>
        <w:pStyle w:val="6"/>
        <w:numPr>
          <w:ilvl w:val="0"/>
          <w:numId w:val="0"/>
        </w:numPr>
        <w:ind w:firstLine="480" w:firstLineChars="200"/>
        <w:rPr>
          <w:rFonts w:hint="default"/>
          <w:color w:val="auto"/>
          <w:lang w:val="en-US" w:eastAsia="zh-CN"/>
        </w:rPr>
      </w:pPr>
      <w:r>
        <w:rPr>
          <w:rFonts w:hint="eastAsia"/>
          <w:color w:val="auto"/>
          <w:lang w:val="en-US" w:eastAsia="zh-CN"/>
        </w:rPr>
        <w:t>1.合同期限：自合同签订后12个月；</w:t>
      </w:r>
    </w:p>
    <w:p>
      <w:pPr>
        <w:pStyle w:val="6"/>
        <w:numPr>
          <w:ilvl w:val="0"/>
          <w:numId w:val="0"/>
        </w:numPr>
        <w:ind w:firstLine="480" w:firstLineChars="200"/>
        <w:rPr>
          <w:rFonts w:hint="eastAsia"/>
          <w:color w:val="auto"/>
          <w:lang w:val="en-US" w:eastAsia="zh-CN"/>
        </w:rPr>
      </w:pPr>
      <w:r>
        <w:rPr>
          <w:rFonts w:hint="eastAsia"/>
          <w:color w:val="auto"/>
          <w:lang w:val="en-US" w:eastAsia="zh-CN"/>
        </w:rPr>
        <w:t>2.履约方式：分批次供货，</w:t>
      </w:r>
      <w:r>
        <w:rPr>
          <w:rFonts w:hint="eastAsia" w:ascii="宋体" w:hAnsi="Arial" w:cs="Arial" w:eastAsiaTheme="minorEastAsia"/>
          <w:snapToGrid w:val="0"/>
          <w:color w:val="auto"/>
          <w:kern w:val="2"/>
          <w:sz w:val="24"/>
          <w:szCs w:val="21"/>
          <w:lang w:val="en-US" w:eastAsia="zh-CN" w:bidi="ar-SA"/>
        </w:rPr>
        <w:t>每次供货不少于10吨</w:t>
      </w:r>
      <w:r>
        <w:rPr>
          <w:rFonts w:hint="eastAsia"/>
          <w:color w:val="auto"/>
          <w:lang w:val="en-US" w:eastAsia="zh-CN"/>
        </w:rPr>
        <w:t>。</w:t>
      </w:r>
    </w:p>
    <w:p>
      <w:pPr>
        <w:pStyle w:val="6"/>
        <w:numPr>
          <w:ilvl w:val="0"/>
          <w:numId w:val="0"/>
        </w:numPr>
        <w:ind w:firstLine="482" w:firstLineChars="200"/>
        <w:rPr>
          <w:rFonts w:hint="eastAsia"/>
          <w:b/>
          <w:bCs/>
          <w:color w:val="auto"/>
          <w:lang w:val="en-US" w:eastAsia="zh-CN"/>
        </w:rPr>
      </w:pPr>
      <w:r>
        <w:rPr>
          <w:rFonts w:hint="eastAsia"/>
          <w:b/>
          <w:bCs/>
          <w:color w:val="auto"/>
          <w:lang w:val="en-US" w:eastAsia="zh-CN"/>
        </w:rPr>
        <w:t>三、技术要求</w:t>
      </w:r>
    </w:p>
    <w:p>
      <w:pPr>
        <w:pStyle w:val="6"/>
        <w:numPr>
          <w:ilvl w:val="0"/>
          <w:numId w:val="0"/>
        </w:numPr>
        <w:ind w:firstLine="480" w:firstLineChars="200"/>
        <w:rPr>
          <w:rFonts w:hint="default" w:cs="Arial"/>
          <w:b w:val="0"/>
          <w:bCs w:val="0"/>
          <w:snapToGrid w:val="0"/>
          <w:color w:val="auto"/>
          <w:kern w:val="2"/>
          <w:sz w:val="24"/>
          <w:szCs w:val="21"/>
          <w:highlight w:val="yellow"/>
          <w:lang w:val="en-US" w:eastAsia="zh-CN" w:bidi="ar-SA"/>
        </w:rPr>
      </w:pPr>
      <w:r>
        <w:rPr>
          <w:rFonts w:hint="eastAsia" w:cs="Arial"/>
          <w:snapToGrid w:val="0"/>
          <w:color w:val="auto"/>
          <w:kern w:val="2"/>
          <w:sz w:val="24"/>
          <w:szCs w:val="21"/>
          <w:lang w:val="en-US" w:eastAsia="zh-CN" w:bidi="ar-SA"/>
        </w:rPr>
        <w:t>详见采购内容中的规格型号/技术要求</w:t>
      </w:r>
      <w:r>
        <w:rPr>
          <w:rFonts w:hint="eastAsia" w:ascii="宋体" w:cs="Arial"/>
          <w:snapToGrid w:val="0"/>
          <w:color w:val="auto"/>
          <w:kern w:val="2"/>
          <w:sz w:val="24"/>
          <w:szCs w:val="21"/>
          <w:lang w:val="en-US" w:eastAsia="zh-CN" w:bidi="ar-SA"/>
        </w:rPr>
        <w:t>。</w:t>
      </w:r>
    </w:p>
    <w:p>
      <w:pPr>
        <w:pStyle w:val="6"/>
        <w:numPr>
          <w:ilvl w:val="0"/>
          <w:numId w:val="0"/>
        </w:numPr>
        <w:ind w:firstLine="482" w:firstLineChars="200"/>
        <w:rPr>
          <w:rFonts w:hint="eastAsia"/>
          <w:b/>
          <w:bCs/>
          <w:color w:val="auto"/>
          <w:lang w:val="en-US" w:eastAsia="zh-CN"/>
        </w:rPr>
      </w:pP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lang w:val="en-US" w:eastAsia="zh-CN"/>
        </w:rPr>
        <w:t>验收方式</w:t>
      </w:r>
    </w:p>
    <w:p>
      <w:pPr>
        <w:pStyle w:val="6"/>
        <w:numPr>
          <w:ilvl w:val="0"/>
          <w:numId w:val="0"/>
        </w:numPr>
        <w:ind w:firstLine="480" w:firstLineChars="200"/>
        <w:rPr>
          <w:rFonts w:hint="eastAsia"/>
          <w:b/>
          <w:bCs/>
          <w:color w:val="auto"/>
          <w:lang w:val="en-US" w:eastAsia="zh-CN"/>
        </w:rPr>
      </w:pPr>
      <w:r>
        <w:rPr>
          <w:rFonts w:hint="eastAsia"/>
          <w:color w:val="auto"/>
          <w:lang w:val="en-US" w:eastAsia="zh-CN"/>
        </w:rPr>
        <w:t>中标人须提供该批次货物出厂检验合格报告或合格证和送货单，配合采购人做好货物的到货数量验收工作，将货物运达采购人指定交货地点后及时书面通知采购人,在采购人指定地磅进行双向称量确定到货数量，双方指定人员现场确认送货数量并由双方签字确认。</w:t>
      </w:r>
    </w:p>
    <w:p>
      <w:pPr>
        <w:pStyle w:val="6"/>
        <w:numPr>
          <w:ilvl w:val="0"/>
          <w:numId w:val="0"/>
        </w:numPr>
        <w:ind w:firstLine="482" w:firstLineChars="200"/>
        <w:rPr>
          <w:rFonts w:hint="eastAsia"/>
          <w:b/>
          <w:bCs/>
          <w:color w:val="auto"/>
          <w:lang w:val="en-US" w:eastAsia="zh-CN"/>
        </w:rPr>
      </w:pPr>
      <w:r>
        <w:rPr>
          <w:rFonts w:hint="eastAsia" w:ascii="宋体" w:hAnsi="Arial" w:cs="Arial" w:eastAsiaTheme="minorEastAsia"/>
          <w:b/>
          <w:bCs/>
          <w:snapToGrid w:val="0"/>
          <w:color w:val="auto"/>
          <w:kern w:val="2"/>
          <w:sz w:val="24"/>
          <w:szCs w:val="21"/>
          <w:lang w:val="en-US" w:eastAsia="zh-CN" w:bidi="ar-SA"/>
        </w:rPr>
        <w:t>五、</w:t>
      </w:r>
      <w:r>
        <w:rPr>
          <w:rFonts w:hint="eastAsia"/>
          <w:b/>
          <w:bCs/>
          <w:color w:val="auto"/>
          <w:lang w:val="en-US" w:eastAsia="zh-CN"/>
        </w:rPr>
        <w:t>服务要求</w:t>
      </w:r>
    </w:p>
    <w:p>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根据采购人生产计划，确定送货数量要求，</w:t>
      </w:r>
      <w:r>
        <w:rPr>
          <w:rFonts w:hint="eastAsia" w:cs="Arial"/>
          <w:snapToGrid w:val="0"/>
          <w:color w:val="auto"/>
          <w:kern w:val="2"/>
          <w:sz w:val="24"/>
          <w:szCs w:val="21"/>
          <w:lang w:val="en-US" w:eastAsia="zh-CN" w:bidi="ar-SA"/>
        </w:rPr>
        <w:t>分批次</w:t>
      </w:r>
      <w:r>
        <w:rPr>
          <w:rFonts w:hint="eastAsia" w:ascii="宋体" w:hAnsi="Arial" w:cs="Arial" w:eastAsiaTheme="minorEastAsia"/>
          <w:snapToGrid w:val="0"/>
          <w:color w:val="auto"/>
          <w:kern w:val="2"/>
          <w:sz w:val="24"/>
          <w:szCs w:val="21"/>
          <w:lang w:val="en-US" w:eastAsia="zh-CN" w:bidi="ar-SA"/>
        </w:rPr>
        <w:t>供货，中标人负责在接到采购人电话或书面通知后在5个工作日内完成供货。</w:t>
      </w:r>
      <w:r>
        <w:rPr>
          <w:rFonts w:hint="eastAsia" w:ascii="宋体" w:cs="Arial"/>
          <w:snapToGrid w:val="0"/>
          <w:color w:val="auto"/>
          <w:kern w:val="2"/>
          <w:sz w:val="24"/>
          <w:szCs w:val="21"/>
          <w:lang w:val="en-US" w:eastAsia="zh-CN" w:bidi="ar-SA"/>
        </w:rPr>
        <w:t>中标人</w:t>
      </w:r>
      <w:r>
        <w:rPr>
          <w:rFonts w:hint="eastAsia" w:ascii="宋体" w:hAnsi="Arial" w:cs="Arial" w:eastAsiaTheme="minorEastAsia"/>
          <w:snapToGrid w:val="0"/>
          <w:color w:val="auto"/>
          <w:kern w:val="2"/>
          <w:sz w:val="24"/>
          <w:szCs w:val="21"/>
          <w:lang w:val="en-US" w:eastAsia="zh-CN" w:bidi="ar-SA"/>
        </w:rPr>
        <w:t>负责卸货，采用托盘或者吨袋最佳，采购人可免费提供叉车服务。若无，由</w:t>
      </w:r>
      <w:r>
        <w:rPr>
          <w:rFonts w:hint="eastAsia" w:ascii="宋体" w:cs="Arial"/>
          <w:snapToGrid w:val="0"/>
          <w:color w:val="auto"/>
          <w:kern w:val="2"/>
          <w:sz w:val="24"/>
          <w:szCs w:val="21"/>
          <w:lang w:val="en-US" w:eastAsia="zh-CN" w:bidi="ar-SA"/>
        </w:rPr>
        <w:t>中标人</w:t>
      </w:r>
      <w:r>
        <w:rPr>
          <w:rFonts w:hint="eastAsia" w:ascii="宋体" w:hAnsi="Arial" w:cs="Arial" w:eastAsiaTheme="minorEastAsia"/>
          <w:snapToGrid w:val="0"/>
          <w:color w:val="auto"/>
          <w:kern w:val="2"/>
          <w:sz w:val="24"/>
          <w:szCs w:val="21"/>
          <w:lang w:val="en-US" w:eastAsia="zh-CN" w:bidi="ar-SA"/>
        </w:rPr>
        <w:t>负责组织人工卸货，人工费由</w:t>
      </w:r>
      <w:r>
        <w:rPr>
          <w:rFonts w:hint="eastAsia" w:ascii="宋体" w:cs="Arial"/>
          <w:snapToGrid w:val="0"/>
          <w:color w:val="auto"/>
          <w:kern w:val="2"/>
          <w:sz w:val="24"/>
          <w:szCs w:val="21"/>
          <w:lang w:val="en-US" w:eastAsia="zh-CN" w:bidi="ar-SA"/>
        </w:rPr>
        <w:t>中标人</w:t>
      </w:r>
      <w:r>
        <w:rPr>
          <w:rFonts w:hint="eastAsia" w:ascii="宋体" w:hAnsi="Arial" w:cs="Arial" w:eastAsiaTheme="minorEastAsia"/>
          <w:snapToGrid w:val="0"/>
          <w:color w:val="auto"/>
          <w:kern w:val="2"/>
          <w:sz w:val="24"/>
          <w:szCs w:val="21"/>
          <w:lang w:val="en-US" w:eastAsia="zh-CN" w:bidi="ar-SA"/>
        </w:rPr>
        <w:t>承担。</w:t>
      </w:r>
    </w:p>
    <w:p>
      <w:pPr>
        <w:pStyle w:val="6"/>
        <w:numPr>
          <w:ilvl w:val="0"/>
          <w:numId w:val="0"/>
        </w:numPr>
        <w:ind w:firstLine="482" w:firstLineChars="200"/>
        <w:rPr>
          <w:rFonts w:hint="eastAsia"/>
          <w:b/>
          <w:bCs/>
          <w:color w:val="auto"/>
          <w:lang w:val="en-US" w:eastAsia="zh-CN"/>
        </w:rPr>
      </w:pPr>
      <w:r>
        <w:rPr>
          <w:rFonts w:hint="eastAsia"/>
          <w:b/>
          <w:bCs/>
          <w:color w:val="auto"/>
          <w:lang w:val="en-US" w:eastAsia="zh-CN"/>
        </w:rPr>
        <w:t>六、结算方式</w:t>
      </w:r>
    </w:p>
    <w:p>
      <w:pPr>
        <w:pStyle w:val="7"/>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pPr>
        <w:pStyle w:val="6"/>
        <w:numPr>
          <w:ilvl w:val="0"/>
          <w:numId w:val="0"/>
        </w:numPr>
        <w:ind w:firstLine="482" w:firstLineChars="200"/>
        <w:rPr>
          <w:rFonts w:hint="eastAsia"/>
          <w:b/>
          <w:bCs/>
          <w:color w:val="auto"/>
          <w:lang w:val="en-US" w:eastAsia="zh-CN"/>
        </w:rPr>
      </w:pPr>
      <w:r>
        <w:rPr>
          <w:rFonts w:hint="eastAsia"/>
          <w:b/>
          <w:bCs/>
          <w:color w:val="auto"/>
          <w:lang w:val="en-US" w:eastAsia="zh-CN"/>
        </w:rPr>
        <w:t>七、售后要求</w:t>
      </w:r>
    </w:p>
    <w:p>
      <w:pPr>
        <w:pStyle w:val="6"/>
        <w:numPr>
          <w:ilvl w:val="0"/>
          <w:numId w:val="0"/>
        </w:numPr>
        <w:ind w:firstLine="480" w:firstLineChars="200"/>
        <w:rPr>
          <w:rFonts w:hint="eastAsia"/>
          <w:color w:val="auto"/>
          <w:lang w:val="en-US" w:eastAsia="zh-CN"/>
        </w:rPr>
      </w:pPr>
      <w:r>
        <w:rPr>
          <w:rFonts w:hint="eastAsia"/>
          <w:color w:val="auto"/>
          <w:lang w:val="en-US" w:eastAsia="zh-CN"/>
        </w:rPr>
        <w:t>1.供应商必须满足采购人售后服务要求。如使用过程发生问题，供应商须在接到采购人通知后24小时内做出书面答复并提供解决方案。若需要派遣技术人员，则应在接到采购人通知后48小时内派人员到达现场进行免费指导解决问题。</w:t>
      </w:r>
    </w:p>
    <w:p>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pPr>
        <w:pStyle w:val="13"/>
        <w:rPr>
          <w:rFonts w:hint="eastAsia"/>
          <w:color w:val="auto"/>
          <w:lang w:eastAsia="zh-CN"/>
        </w:rPr>
      </w:pPr>
    </w:p>
    <w:p>
      <w:pPr>
        <w:rPr>
          <w:rFonts w:hint="eastAsia"/>
          <w:color w:val="auto"/>
          <w:lang w:eastAsia="zh-CN"/>
        </w:rPr>
      </w:pPr>
    </w:p>
    <w:p>
      <w:pPr>
        <w:pStyle w:val="13"/>
        <w:rPr>
          <w:rFonts w:hint="eastAsia"/>
          <w:color w:val="auto"/>
          <w:lang w:eastAsia="zh-CN"/>
        </w:rPr>
      </w:pPr>
    </w:p>
    <w:p>
      <w:pPr>
        <w:rPr>
          <w:rFonts w:hint="eastAsia"/>
          <w:color w:val="auto"/>
          <w:lang w:eastAsia="zh-CN"/>
        </w:rPr>
      </w:pPr>
    </w:p>
    <w:p>
      <w:pPr>
        <w:spacing w:line="460" w:lineRule="exact"/>
        <w:jc w:val="both"/>
        <w:rPr>
          <w:rFonts w:hint="eastAsia" w:cs="仿宋" w:asciiTheme="minorEastAsia" w:hAnsiTheme="minorEastAsia"/>
          <w:b/>
          <w:color w:val="auto"/>
          <w:sz w:val="36"/>
          <w:szCs w:val="36"/>
        </w:rPr>
      </w:pPr>
    </w:p>
    <w:p>
      <w:pPr>
        <w:spacing w:line="460" w:lineRule="exact"/>
        <w:jc w:val="center"/>
        <w:rPr>
          <w:rFonts w:hint="eastAsia" w:cs="仿宋" w:asciiTheme="minorEastAsia" w:hAnsiTheme="minorEastAsia"/>
          <w:b/>
          <w:color w:val="auto"/>
          <w:sz w:val="36"/>
          <w:szCs w:val="36"/>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3253"/>
      <w:bookmarkEnd w:id="19"/>
      <w:bookmarkStart w:id="20" w:name="_Toc184310336"/>
      <w:bookmarkEnd w:id="20"/>
      <w:bookmarkStart w:id="21" w:name="_Toc184310282"/>
      <w:bookmarkEnd w:id="21"/>
      <w:bookmarkStart w:id="22" w:name="_Toc184308073"/>
      <w:bookmarkEnd w:id="22"/>
      <w:bookmarkStart w:id="23" w:name="_Toc184313250"/>
      <w:bookmarkEnd w:id="23"/>
      <w:bookmarkStart w:id="24" w:name="_Toc184310338"/>
      <w:bookmarkEnd w:id="24"/>
      <w:bookmarkStart w:id="25" w:name="_Toc184313254"/>
      <w:bookmarkEnd w:id="25"/>
      <w:bookmarkStart w:id="26" w:name="_Toc184312103"/>
      <w:bookmarkEnd w:id="26"/>
      <w:bookmarkStart w:id="27" w:name="_Toc184312137"/>
      <w:bookmarkEnd w:id="27"/>
      <w:bookmarkStart w:id="28" w:name="_Toc184308078"/>
      <w:bookmarkEnd w:id="28"/>
      <w:bookmarkStart w:id="29" w:name="_Toc184310343"/>
      <w:bookmarkEnd w:id="29"/>
      <w:bookmarkStart w:id="30" w:name="_Toc184313309"/>
      <w:bookmarkEnd w:id="30"/>
      <w:bookmarkStart w:id="31" w:name="_Toc184310280"/>
      <w:bookmarkEnd w:id="31"/>
      <w:bookmarkStart w:id="32" w:name="_Toc184312111"/>
      <w:bookmarkEnd w:id="32"/>
      <w:bookmarkStart w:id="33" w:name="_Toc184310342"/>
      <w:bookmarkEnd w:id="33"/>
      <w:bookmarkStart w:id="34" w:name="_Toc184313238"/>
      <w:bookmarkEnd w:id="34"/>
      <w:bookmarkStart w:id="35" w:name="_Toc184308061"/>
      <w:bookmarkEnd w:id="35"/>
      <w:bookmarkStart w:id="36" w:name="_Toc184312115"/>
      <w:bookmarkEnd w:id="36"/>
      <w:bookmarkStart w:id="37" w:name="_Toc184310274"/>
      <w:bookmarkEnd w:id="37"/>
      <w:bookmarkStart w:id="38" w:name="_Toc184308103"/>
      <w:bookmarkEnd w:id="38"/>
      <w:bookmarkStart w:id="39" w:name="_Toc184308077"/>
      <w:bookmarkEnd w:id="39"/>
      <w:bookmarkStart w:id="40" w:name="_Toc184312087"/>
      <w:bookmarkEnd w:id="40"/>
      <w:bookmarkStart w:id="41" w:name="_Toc184313278"/>
      <w:bookmarkEnd w:id="41"/>
      <w:bookmarkStart w:id="42" w:name="_Toc184312080"/>
      <w:bookmarkEnd w:id="42"/>
      <w:bookmarkStart w:id="43" w:name="_Toc184312121"/>
      <w:bookmarkEnd w:id="43"/>
      <w:bookmarkStart w:id="44" w:name="_Toc184313302"/>
      <w:bookmarkEnd w:id="44"/>
      <w:bookmarkStart w:id="45" w:name="_Toc184308056"/>
      <w:bookmarkEnd w:id="45"/>
      <w:bookmarkStart w:id="46" w:name="_Toc184312139"/>
      <w:bookmarkEnd w:id="46"/>
      <w:bookmarkStart w:id="47" w:name="_Toc184313244"/>
      <w:bookmarkEnd w:id="47"/>
      <w:bookmarkStart w:id="48" w:name="_Toc184308057"/>
      <w:bookmarkEnd w:id="48"/>
      <w:bookmarkStart w:id="49" w:name="_Toc184313272"/>
      <w:bookmarkEnd w:id="49"/>
      <w:bookmarkStart w:id="50" w:name="_Toc184314420"/>
      <w:bookmarkEnd w:id="50"/>
      <w:bookmarkStart w:id="51" w:name="_Toc184310294"/>
      <w:bookmarkEnd w:id="51"/>
      <w:bookmarkStart w:id="52" w:name="_Toc184313259"/>
      <w:bookmarkEnd w:id="52"/>
      <w:bookmarkStart w:id="53" w:name="_Toc184312126"/>
      <w:bookmarkEnd w:id="53"/>
      <w:bookmarkStart w:id="54" w:name="_Toc184308087"/>
      <w:bookmarkEnd w:id="54"/>
      <w:bookmarkStart w:id="55" w:name="_Toc184310290"/>
      <w:bookmarkEnd w:id="55"/>
      <w:bookmarkStart w:id="56" w:name="_Toc184310297"/>
      <w:bookmarkEnd w:id="56"/>
      <w:bookmarkStart w:id="57" w:name="_Toc184312110"/>
      <w:bookmarkEnd w:id="57"/>
      <w:bookmarkStart w:id="58" w:name="_Toc184313257"/>
      <w:bookmarkEnd w:id="58"/>
      <w:bookmarkStart w:id="59" w:name="_Toc184312067"/>
      <w:bookmarkEnd w:id="59"/>
      <w:bookmarkStart w:id="60" w:name="_Toc184308040"/>
      <w:bookmarkEnd w:id="60"/>
      <w:bookmarkStart w:id="61" w:name="_Toc184312127"/>
      <w:bookmarkEnd w:id="61"/>
      <w:bookmarkStart w:id="62" w:name="_Toc184310295"/>
      <w:bookmarkEnd w:id="62"/>
      <w:bookmarkStart w:id="63" w:name="_Toc184310333"/>
      <w:bookmarkEnd w:id="63"/>
      <w:bookmarkStart w:id="64" w:name="_Toc184310272"/>
      <w:bookmarkEnd w:id="64"/>
      <w:bookmarkStart w:id="65" w:name="_Toc184308067"/>
      <w:bookmarkEnd w:id="65"/>
      <w:bookmarkStart w:id="66" w:name="_Toc184313252"/>
      <w:bookmarkEnd w:id="66"/>
      <w:bookmarkStart w:id="67" w:name="_Toc184308107"/>
      <w:bookmarkEnd w:id="67"/>
      <w:bookmarkStart w:id="68" w:name="_Toc184308048"/>
      <w:bookmarkEnd w:id="68"/>
      <w:bookmarkStart w:id="69" w:name="_Toc184314437"/>
      <w:bookmarkEnd w:id="69"/>
      <w:bookmarkStart w:id="70" w:name="_Toc184310320"/>
      <w:bookmarkEnd w:id="70"/>
      <w:bookmarkStart w:id="71" w:name="_Toc184313241"/>
      <w:bookmarkEnd w:id="71"/>
      <w:bookmarkStart w:id="72" w:name="_Toc184310302"/>
      <w:bookmarkEnd w:id="72"/>
      <w:bookmarkStart w:id="73" w:name="_Toc184312131"/>
      <w:bookmarkEnd w:id="73"/>
      <w:bookmarkStart w:id="74" w:name="_Toc184314433"/>
      <w:bookmarkEnd w:id="74"/>
      <w:bookmarkStart w:id="75" w:name="_Toc184313286"/>
      <w:bookmarkEnd w:id="75"/>
      <w:bookmarkStart w:id="76" w:name="_Toc184312119"/>
      <w:bookmarkEnd w:id="76"/>
      <w:bookmarkStart w:id="77" w:name="_Toc184310331"/>
      <w:bookmarkEnd w:id="77"/>
      <w:bookmarkStart w:id="78" w:name="_Toc184314427"/>
      <w:bookmarkEnd w:id="78"/>
      <w:bookmarkStart w:id="79" w:name="_Toc184310298"/>
      <w:bookmarkEnd w:id="79"/>
      <w:bookmarkStart w:id="80" w:name="_Toc184312129"/>
      <w:bookmarkEnd w:id="80"/>
      <w:bookmarkStart w:id="81" w:name="_Toc184314416"/>
      <w:bookmarkEnd w:id="81"/>
      <w:bookmarkStart w:id="82" w:name="_Toc184313283"/>
      <w:bookmarkEnd w:id="82"/>
      <w:bookmarkStart w:id="83" w:name="_Toc184313288"/>
      <w:bookmarkEnd w:id="83"/>
      <w:bookmarkStart w:id="84" w:name="_Toc184314435"/>
      <w:bookmarkEnd w:id="84"/>
      <w:bookmarkStart w:id="85" w:name="_Toc184308055"/>
      <w:bookmarkEnd w:id="85"/>
      <w:bookmarkStart w:id="86" w:name="_Toc184313262"/>
      <w:bookmarkEnd w:id="86"/>
      <w:bookmarkStart w:id="87" w:name="_Toc184310322"/>
      <w:bookmarkEnd w:id="87"/>
      <w:bookmarkStart w:id="88" w:name="_Toc184312138"/>
      <w:bookmarkEnd w:id="88"/>
      <w:bookmarkStart w:id="89" w:name="_Toc184314467"/>
      <w:bookmarkEnd w:id="89"/>
      <w:bookmarkStart w:id="90" w:name="_Toc184308066"/>
      <w:bookmarkEnd w:id="90"/>
      <w:bookmarkStart w:id="91" w:name="_Toc184313271"/>
      <w:bookmarkEnd w:id="91"/>
      <w:bookmarkStart w:id="92" w:name="_Toc184308042"/>
      <w:bookmarkEnd w:id="92"/>
      <w:bookmarkStart w:id="93" w:name="_Toc184310304"/>
      <w:bookmarkEnd w:id="93"/>
      <w:bookmarkStart w:id="94" w:name="_Toc184314474"/>
      <w:bookmarkEnd w:id="94"/>
      <w:bookmarkStart w:id="95" w:name="_Toc184312090"/>
      <w:bookmarkEnd w:id="95"/>
      <w:bookmarkStart w:id="96" w:name="_Toc184308062"/>
      <w:bookmarkEnd w:id="96"/>
      <w:bookmarkStart w:id="97" w:name="_Toc184314456"/>
      <w:bookmarkEnd w:id="97"/>
      <w:bookmarkStart w:id="98" w:name="_Toc184312106"/>
      <w:bookmarkEnd w:id="98"/>
      <w:bookmarkStart w:id="99" w:name="_Toc184312102"/>
      <w:bookmarkEnd w:id="99"/>
      <w:bookmarkStart w:id="100" w:name="_Toc184310337"/>
      <w:bookmarkEnd w:id="100"/>
      <w:bookmarkStart w:id="101" w:name="_Toc184312135"/>
      <w:bookmarkEnd w:id="101"/>
      <w:bookmarkStart w:id="102" w:name="_Toc184314452"/>
      <w:bookmarkEnd w:id="102"/>
      <w:bookmarkStart w:id="103" w:name="_Toc184312097"/>
      <w:bookmarkEnd w:id="103"/>
      <w:bookmarkStart w:id="104" w:name="_Toc184314450"/>
      <w:bookmarkEnd w:id="104"/>
      <w:bookmarkStart w:id="105" w:name="_Toc184313290"/>
      <w:bookmarkEnd w:id="105"/>
      <w:bookmarkStart w:id="106" w:name="_Toc184312076"/>
      <w:bookmarkEnd w:id="106"/>
      <w:bookmarkStart w:id="107" w:name="_Toc184310288"/>
      <w:bookmarkEnd w:id="107"/>
      <w:bookmarkStart w:id="108" w:name="_Toc184312125"/>
      <w:bookmarkEnd w:id="108"/>
      <w:bookmarkStart w:id="109" w:name="_Toc184310300"/>
      <w:bookmarkEnd w:id="109"/>
      <w:bookmarkStart w:id="110" w:name="_Toc184310323"/>
      <w:bookmarkEnd w:id="110"/>
      <w:bookmarkStart w:id="111" w:name="_Toc184314447"/>
      <w:bookmarkEnd w:id="111"/>
      <w:bookmarkStart w:id="112" w:name="_Toc184312104"/>
      <w:bookmarkEnd w:id="112"/>
      <w:bookmarkStart w:id="113" w:name="_Toc184314468"/>
      <w:bookmarkEnd w:id="113"/>
      <w:bookmarkStart w:id="114" w:name="_Toc184310317"/>
      <w:bookmarkEnd w:id="114"/>
      <w:bookmarkStart w:id="115" w:name="_Toc184308075"/>
      <w:bookmarkEnd w:id="115"/>
      <w:bookmarkStart w:id="116" w:name="_Toc184314441"/>
      <w:bookmarkEnd w:id="116"/>
      <w:bookmarkStart w:id="117" w:name="_Toc184308089"/>
      <w:bookmarkEnd w:id="117"/>
      <w:bookmarkStart w:id="118" w:name="_Toc184310316"/>
      <w:bookmarkEnd w:id="118"/>
      <w:bookmarkStart w:id="119" w:name="_Toc184310321"/>
      <w:bookmarkEnd w:id="119"/>
      <w:bookmarkStart w:id="120" w:name="_Toc184312105"/>
      <w:bookmarkEnd w:id="120"/>
      <w:bookmarkStart w:id="121" w:name="_Toc184310332"/>
      <w:bookmarkEnd w:id="121"/>
      <w:bookmarkStart w:id="122" w:name="_Toc184314424"/>
      <w:bookmarkEnd w:id="122"/>
      <w:bookmarkStart w:id="123" w:name="_Toc184308037"/>
      <w:bookmarkEnd w:id="123"/>
      <w:bookmarkStart w:id="124" w:name="_Toc184312069"/>
      <w:bookmarkEnd w:id="124"/>
      <w:bookmarkStart w:id="125" w:name="_Toc184313276"/>
      <w:bookmarkEnd w:id="125"/>
      <w:bookmarkStart w:id="126" w:name="_Toc184308083"/>
      <w:bookmarkEnd w:id="126"/>
      <w:bookmarkStart w:id="127" w:name="_Toc184308088"/>
      <w:bookmarkEnd w:id="127"/>
      <w:bookmarkStart w:id="128" w:name="_Toc184313281"/>
      <w:bookmarkEnd w:id="128"/>
      <w:bookmarkStart w:id="129" w:name="_Toc184312081"/>
      <w:bookmarkEnd w:id="129"/>
      <w:bookmarkStart w:id="130" w:name="_Toc184308085"/>
      <w:bookmarkEnd w:id="130"/>
      <w:bookmarkStart w:id="131" w:name="_Toc184314412"/>
      <w:bookmarkEnd w:id="131"/>
      <w:bookmarkStart w:id="132" w:name="_Toc184312112"/>
      <w:bookmarkEnd w:id="132"/>
      <w:bookmarkStart w:id="133" w:name="_Toc184310283"/>
      <w:bookmarkEnd w:id="133"/>
      <w:bookmarkStart w:id="134" w:name="_Toc184310292"/>
      <w:bookmarkEnd w:id="134"/>
      <w:bookmarkStart w:id="135" w:name="_Toc184313248"/>
      <w:bookmarkEnd w:id="135"/>
      <w:bookmarkStart w:id="136" w:name="_Toc184308093"/>
      <w:bookmarkEnd w:id="136"/>
      <w:bookmarkStart w:id="137" w:name="_Toc184312124"/>
      <w:bookmarkEnd w:id="137"/>
      <w:bookmarkStart w:id="138" w:name="_Toc184313243"/>
      <w:bookmarkEnd w:id="138"/>
      <w:bookmarkStart w:id="139" w:name="_Toc184308054"/>
      <w:bookmarkEnd w:id="139"/>
      <w:bookmarkStart w:id="140" w:name="_Toc184314453"/>
      <w:bookmarkEnd w:id="140"/>
      <w:bookmarkStart w:id="141" w:name="_Toc184310293"/>
      <w:bookmarkEnd w:id="141"/>
      <w:bookmarkStart w:id="142" w:name="_Toc184312089"/>
      <w:bookmarkEnd w:id="142"/>
      <w:bookmarkStart w:id="143" w:name="_Toc184310287"/>
      <w:bookmarkEnd w:id="143"/>
      <w:bookmarkStart w:id="144" w:name="_Toc184313282"/>
      <w:bookmarkEnd w:id="144"/>
      <w:bookmarkStart w:id="145" w:name="_Toc184310303"/>
      <w:bookmarkEnd w:id="145"/>
      <w:bookmarkStart w:id="146" w:name="_Toc184314459"/>
      <w:bookmarkEnd w:id="146"/>
      <w:bookmarkStart w:id="147" w:name="_Toc184308084"/>
      <w:bookmarkEnd w:id="147"/>
      <w:bookmarkStart w:id="148" w:name="_Toc184314423"/>
      <w:bookmarkEnd w:id="148"/>
      <w:bookmarkStart w:id="149" w:name="_Toc184308102"/>
      <w:bookmarkEnd w:id="149"/>
      <w:bookmarkStart w:id="150" w:name="_Toc184310324"/>
      <w:bookmarkEnd w:id="150"/>
      <w:bookmarkStart w:id="151" w:name="_Toc184312120"/>
      <w:bookmarkEnd w:id="151"/>
      <w:bookmarkStart w:id="152" w:name="_Toc184310327"/>
      <w:bookmarkEnd w:id="152"/>
      <w:bookmarkStart w:id="153" w:name="_Toc184308065"/>
      <w:bookmarkEnd w:id="153"/>
      <w:bookmarkStart w:id="154" w:name="_Toc184312073"/>
      <w:bookmarkEnd w:id="154"/>
      <w:bookmarkStart w:id="155" w:name="_Toc184314436"/>
      <w:bookmarkEnd w:id="155"/>
      <w:bookmarkStart w:id="156" w:name="_Toc184312134"/>
      <w:bookmarkEnd w:id="156"/>
      <w:bookmarkStart w:id="157" w:name="_Toc184312098"/>
      <w:bookmarkEnd w:id="157"/>
      <w:bookmarkStart w:id="158" w:name="_Toc184314472"/>
      <w:bookmarkEnd w:id="158"/>
      <w:bookmarkStart w:id="159" w:name="_Toc184314415"/>
      <w:bookmarkEnd w:id="159"/>
      <w:bookmarkStart w:id="160" w:name="_Toc184312078"/>
      <w:bookmarkEnd w:id="160"/>
      <w:bookmarkStart w:id="161" w:name="_Toc184313300"/>
      <w:bookmarkEnd w:id="161"/>
      <w:bookmarkStart w:id="162" w:name="_Toc184308071"/>
      <w:bookmarkEnd w:id="162"/>
      <w:bookmarkStart w:id="163" w:name="_Toc184310309"/>
      <w:bookmarkEnd w:id="163"/>
      <w:bookmarkStart w:id="164" w:name="_Toc184313304"/>
      <w:bookmarkEnd w:id="164"/>
      <w:bookmarkStart w:id="165" w:name="_Toc184310305"/>
      <w:bookmarkEnd w:id="165"/>
      <w:bookmarkStart w:id="166" w:name="_Toc184312123"/>
      <w:bookmarkEnd w:id="166"/>
      <w:bookmarkStart w:id="167" w:name="_Toc184308076"/>
      <w:bookmarkEnd w:id="167"/>
      <w:bookmarkStart w:id="168" w:name="_Toc184312109"/>
      <w:bookmarkEnd w:id="168"/>
      <w:bookmarkStart w:id="169" w:name="_Toc184310286"/>
      <w:bookmarkEnd w:id="169"/>
      <w:bookmarkStart w:id="170" w:name="_Toc184313255"/>
      <w:bookmarkEnd w:id="170"/>
      <w:bookmarkStart w:id="171" w:name="_Toc184308096"/>
      <w:bookmarkEnd w:id="171"/>
      <w:bookmarkStart w:id="172" w:name="_Toc184314473"/>
      <w:bookmarkEnd w:id="172"/>
      <w:bookmarkStart w:id="173" w:name="_Toc184313310"/>
      <w:bookmarkEnd w:id="173"/>
      <w:bookmarkStart w:id="174" w:name="_Toc184313245"/>
      <w:bookmarkEnd w:id="174"/>
      <w:bookmarkStart w:id="175" w:name="_Toc184310308"/>
      <w:bookmarkEnd w:id="175"/>
      <w:bookmarkStart w:id="176" w:name="_Toc184314458"/>
      <w:bookmarkEnd w:id="176"/>
      <w:bookmarkStart w:id="177" w:name="_Toc184310273"/>
      <w:bookmarkEnd w:id="177"/>
      <w:bookmarkStart w:id="178" w:name="_Toc184314464"/>
      <w:bookmarkEnd w:id="178"/>
      <w:bookmarkStart w:id="179" w:name="_Toc184308052"/>
      <w:bookmarkEnd w:id="179"/>
      <w:bookmarkStart w:id="180" w:name="_Toc184310278"/>
      <w:bookmarkEnd w:id="180"/>
      <w:bookmarkStart w:id="181" w:name="_Toc184310296"/>
      <w:bookmarkEnd w:id="181"/>
      <w:bookmarkStart w:id="182" w:name="_Toc184313308"/>
      <w:bookmarkEnd w:id="182"/>
      <w:bookmarkStart w:id="183" w:name="_Toc184312071"/>
      <w:bookmarkEnd w:id="183"/>
      <w:bookmarkStart w:id="184" w:name="_Toc184312113"/>
      <w:bookmarkEnd w:id="184"/>
      <w:bookmarkStart w:id="185" w:name="_Toc184314425"/>
      <w:bookmarkEnd w:id="185"/>
      <w:bookmarkStart w:id="186" w:name="_Toc184308099"/>
      <w:bookmarkEnd w:id="186"/>
      <w:bookmarkStart w:id="187" w:name="_Toc184314414"/>
      <w:bookmarkEnd w:id="187"/>
      <w:bookmarkStart w:id="188" w:name="_Toc184313258"/>
      <w:bookmarkEnd w:id="188"/>
      <w:bookmarkStart w:id="189" w:name="_Toc184310314"/>
      <w:bookmarkEnd w:id="189"/>
      <w:bookmarkStart w:id="190" w:name="_Toc184310328"/>
      <w:bookmarkEnd w:id="190"/>
      <w:bookmarkStart w:id="191" w:name="_Toc184313239"/>
      <w:bookmarkEnd w:id="191"/>
      <w:bookmarkStart w:id="192" w:name="_Toc184313289"/>
      <w:bookmarkEnd w:id="192"/>
      <w:bookmarkStart w:id="193" w:name="_Toc184312096"/>
      <w:bookmarkEnd w:id="193"/>
      <w:bookmarkStart w:id="194" w:name="_Toc184308091"/>
      <w:bookmarkEnd w:id="194"/>
      <w:bookmarkStart w:id="195" w:name="_Toc184314429"/>
      <w:bookmarkEnd w:id="195"/>
      <w:bookmarkStart w:id="196" w:name="_Toc184310318"/>
      <w:bookmarkEnd w:id="196"/>
      <w:bookmarkStart w:id="197" w:name="_Toc184312088"/>
      <w:bookmarkEnd w:id="197"/>
      <w:bookmarkStart w:id="198" w:name="_Toc184313303"/>
      <w:bookmarkEnd w:id="198"/>
      <w:bookmarkStart w:id="199" w:name="_Toc184314410"/>
      <w:bookmarkEnd w:id="199"/>
      <w:bookmarkStart w:id="200" w:name="_Toc184308074"/>
      <w:bookmarkEnd w:id="200"/>
      <w:bookmarkStart w:id="201" w:name="_Toc184310315"/>
      <w:bookmarkEnd w:id="201"/>
      <w:bookmarkStart w:id="202" w:name="_Toc184312095"/>
      <w:bookmarkEnd w:id="202"/>
      <w:bookmarkStart w:id="203" w:name="_Toc184313267"/>
      <w:bookmarkEnd w:id="203"/>
      <w:bookmarkStart w:id="204" w:name="_Toc184314440"/>
      <w:bookmarkEnd w:id="204"/>
      <w:bookmarkStart w:id="205" w:name="_Toc184313240"/>
      <w:bookmarkEnd w:id="205"/>
      <w:bookmarkStart w:id="206" w:name="_Toc184312136"/>
      <w:bookmarkEnd w:id="206"/>
      <w:bookmarkStart w:id="207" w:name="_Toc184313280"/>
      <w:bookmarkEnd w:id="207"/>
      <w:bookmarkStart w:id="208" w:name="_Toc184314449"/>
      <w:bookmarkEnd w:id="208"/>
      <w:bookmarkStart w:id="209" w:name="_Toc184308098"/>
      <w:bookmarkEnd w:id="209"/>
      <w:bookmarkStart w:id="210" w:name="_Toc184308080"/>
      <w:bookmarkEnd w:id="210"/>
      <w:bookmarkStart w:id="211" w:name="_Toc184314411"/>
      <w:bookmarkEnd w:id="211"/>
      <w:bookmarkStart w:id="212" w:name="_Toc184313265"/>
      <w:bookmarkEnd w:id="212"/>
      <w:bookmarkStart w:id="213" w:name="_Toc184314463"/>
      <w:bookmarkEnd w:id="213"/>
      <w:bookmarkStart w:id="214" w:name="_Toc184314465"/>
      <w:bookmarkEnd w:id="214"/>
      <w:bookmarkStart w:id="215" w:name="_Toc184310291"/>
      <w:bookmarkEnd w:id="215"/>
      <w:bookmarkStart w:id="216" w:name="_Toc184313295"/>
      <w:bookmarkEnd w:id="216"/>
      <w:bookmarkStart w:id="217" w:name="_Toc184308044"/>
      <w:bookmarkEnd w:id="217"/>
      <w:bookmarkStart w:id="218" w:name="_Toc184312086"/>
      <w:bookmarkEnd w:id="218"/>
      <w:bookmarkStart w:id="219" w:name="_Toc184312114"/>
      <w:bookmarkEnd w:id="219"/>
      <w:bookmarkStart w:id="220" w:name="_Toc184312082"/>
      <w:bookmarkEnd w:id="220"/>
      <w:bookmarkStart w:id="221" w:name="_Toc184314476"/>
      <w:bookmarkEnd w:id="221"/>
      <w:bookmarkStart w:id="222" w:name="_Toc184314469"/>
      <w:bookmarkEnd w:id="222"/>
      <w:bookmarkStart w:id="223" w:name="_Toc184314460"/>
      <w:bookmarkEnd w:id="223"/>
      <w:bookmarkStart w:id="224" w:name="_Toc184314438"/>
      <w:bookmarkEnd w:id="224"/>
      <w:bookmarkStart w:id="225" w:name="_Toc184314477"/>
      <w:bookmarkEnd w:id="225"/>
      <w:bookmarkStart w:id="226" w:name="_Toc184314475"/>
      <w:bookmarkEnd w:id="226"/>
      <w:bookmarkStart w:id="227" w:name="_Toc184314445"/>
      <w:bookmarkEnd w:id="227"/>
      <w:bookmarkStart w:id="228" w:name="_Toc184314479"/>
      <w:bookmarkEnd w:id="228"/>
      <w:bookmarkStart w:id="229" w:name="_Toc184310279"/>
      <w:bookmarkEnd w:id="229"/>
      <w:bookmarkStart w:id="230" w:name="_Toc184308081"/>
      <w:bookmarkEnd w:id="230"/>
      <w:bookmarkStart w:id="231" w:name="_Toc184314422"/>
      <w:bookmarkEnd w:id="231"/>
      <w:bookmarkStart w:id="232" w:name="_Toc184310310"/>
      <w:bookmarkEnd w:id="232"/>
      <w:bookmarkStart w:id="233" w:name="_Toc184310289"/>
      <w:bookmarkEnd w:id="233"/>
      <w:bookmarkStart w:id="234" w:name="_Toc184312075"/>
      <w:bookmarkEnd w:id="234"/>
      <w:bookmarkStart w:id="235" w:name="_Toc184308063"/>
      <w:bookmarkEnd w:id="235"/>
      <w:bookmarkStart w:id="236" w:name="_Toc184313287"/>
      <w:bookmarkEnd w:id="236"/>
      <w:bookmarkStart w:id="237" w:name="_Toc184308053"/>
      <w:bookmarkEnd w:id="237"/>
      <w:bookmarkStart w:id="238" w:name="_Toc184314457"/>
      <w:bookmarkEnd w:id="238"/>
      <w:bookmarkStart w:id="239" w:name="_Toc184314446"/>
      <w:bookmarkEnd w:id="239"/>
      <w:bookmarkStart w:id="240" w:name="_Toc184310299"/>
      <w:bookmarkEnd w:id="240"/>
      <w:bookmarkStart w:id="241" w:name="_Toc184312079"/>
      <w:bookmarkEnd w:id="241"/>
      <w:bookmarkStart w:id="242" w:name="_Toc184314418"/>
      <w:bookmarkEnd w:id="242"/>
      <w:bookmarkStart w:id="243" w:name="_Toc184314480"/>
      <w:bookmarkEnd w:id="243"/>
      <w:bookmarkStart w:id="244" w:name="_Toc184308070"/>
      <w:bookmarkEnd w:id="244"/>
      <w:bookmarkStart w:id="245" w:name="_Toc184313294"/>
      <w:bookmarkEnd w:id="245"/>
      <w:bookmarkStart w:id="246" w:name="_Toc184308097"/>
      <w:bookmarkEnd w:id="246"/>
      <w:bookmarkStart w:id="247" w:name="_Toc184312094"/>
      <w:bookmarkEnd w:id="247"/>
      <w:bookmarkStart w:id="248" w:name="_Toc184314434"/>
      <w:bookmarkEnd w:id="248"/>
      <w:bookmarkStart w:id="249" w:name="_Toc184313242"/>
      <w:bookmarkEnd w:id="249"/>
      <w:bookmarkStart w:id="250" w:name="_Toc184310330"/>
      <w:bookmarkEnd w:id="250"/>
      <w:bookmarkStart w:id="251" w:name="_Toc184314426"/>
      <w:bookmarkEnd w:id="251"/>
      <w:bookmarkStart w:id="252" w:name="_Toc184314478"/>
      <w:bookmarkEnd w:id="252"/>
      <w:bookmarkStart w:id="253" w:name="_Toc184313246"/>
      <w:bookmarkEnd w:id="253"/>
      <w:bookmarkStart w:id="254" w:name="_Toc184310334"/>
      <w:bookmarkEnd w:id="254"/>
      <w:bookmarkStart w:id="255" w:name="_Toc184313301"/>
      <w:bookmarkEnd w:id="255"/>
      <w:bookmarkStart w:id="256" w:name="_Toc184314442"/>
      <w:bookmarkEnd w:id="256"/>
      <w:bookmarkStart w:id="257" w:name="_Toc184308047"/>
      <w:bookmarkEnd w:id="257"/>
      <w:bookmarkStart w:id="258" w:name="_Toc184313296"/>
      <w:bookmarkEnd w:id="258"/>
      <w:bookmarkStart w:id="259" w:name="_Toc184313299"/>
      <w:bookmarkEnd w:id="259"/>
      <w:bookmarkStart w:id="260" w:name="_Toc184312108"/>
      <w:bookmarkEnd w:id="260"/>
      <w:bookmarkStart w:id="261" w:name="_Toc184313256"/>
      <w:bookmarkEnd w:id="261"/>
      <w:bookmarkStart w:id="262" w:name="_Toc184310340"/>
      <w:bookmarkEnd w:id="262"/>
      <w:bookmarkStart w:id="263" w:name="_Toc184310326"/>
      <w:bookmarkEnd w:id="263"/>
      <w:bookmarkStart w:id="264" w:name="_Toc184313297"/>
      <w:bookmarkEnd w:id="264"/>
      <w:bookmarkStart w:id="265" w:name="_Toc184312116"/>
      <w:bookmarkEnd w:id="265"/>
      <w:bookmarkStart w:id="266" w:name="_Toc184312128"/>
      <w:bookmarkEnd w:id="266"/>
      <w:bookmarkStart w:id="267" w:name="_Toc184312118"/>
      <w:bookmarkEnd w:id="267"/>
      <w:bookmarkStart w:id="268" w:name="_Toc184308069"/>
      <w:bookmarkEnd w:id="268"/>
      <w:bookmarkStart w:id="269" w:name="_Toc184310276"/>
      <w:bookmarkEnd w:id="269"/>
      <w:bookmarkStart w:id="270" w:name="_Toc184314421"/>
      <w:bookmarkEnd w:id="270"/>
      <w:bookmarkStart w:id="271" w:name="_Toc184313268"/>
      <w:bookmarkEnd w:id="271"/>
      <w:bookmarkStart w:id="272" w:name="_Toc184308095"/>
      <w:bookmarkEnd w:id="272"/>
      <w:bookmarkStart w:id="273" w:name="_Toc184313274"/>
      <w:bookmarkEnd w:id="273"/>
      <w:bookmarkStart w:id="274" w:name="_Toc184312100"/>
      <w:bookmarkEnd w:id="274"/>
      <w:bookmarkStart w:id="275" w:name="_Toc184313306"/>
      <w:bookmarkEnd w:id="275"/>
      <w:bookmarkStart w:id="276" w:name="_Toc184313291"/>
      <w:bookmarkEnd w:id="276"/>
      <w:bookmarkStart w:id="277" w:name="_Toc184308051"/>
      <w:bookmarkEnd w:id="277"/>
      <w:bookmarkStart w:id="278" w:name="_Toc184313293"/>
      <w:bookmarkEnd w:id="278"/>
      <w:bookmarkStart w:id="279" w:name="_Toc184313251"/>
      <w:bookmarkEnd w:id="279"/>
      <w:bookmarkStart w:id="280" w:name="_Toc184313284"/>
      <w:bookmarkEnd w:id="280"/>
      <w:bookmarkStart w:id="281" w:name="_Toc184312092"/>
      <w:bookmarkEnd w:id="281"/>
      <w:bookmarkStart w:id="282" w:name="_Toc184313298"/>
      <w:bookmarkEnd w:id="282"/>
      <w:bookmarkStart w:id="283" w:name="_Toc184312083"/>
      <w:bookmarkEnd w:id="283"/>
      <w:bookmarkStart w:id="284" w:name="_Toc184308039"/>
      <w:bookmarkEnd w:id="284"/>
      <w:bookmarkStart w:id="285" w:name="_Toc184312132"/>
      <w:bookmarkEnd w:id="285"/>
      <w:bookmarkStart w:id="286" w:name="_Toc184314482"/>
      <w:bookmarkEnd w:id="286"/>
      <w:bookmarkStart w:id="287" w:name="_Toc184308106"/>
      <w:bookmarkEnd w:id="287"/>
      <w:bookmarkStart w:id="288" w:name="_Toc184314444"/>
      <w:bookmarkEnd w:id="288"/>
      <w:bookmarkStart w:id="289" w:name="_Toc184313249"/>
      <w:bookmarkEnd w:id="289"/>
      <w:bookmarkStart w:id="290" w:name="_Toc184313273"/>
      <w:bookmarkEnd w:id="290"/>
      <w:bookmarkStart w:id="291" w:name="_Toc184314432"/>
      <w:bookmarkEnd w:id="291"/>
      <w:bookmarkStart w:id="292" w:name="_Toc184310329"/>
      <w:bookmarkEnd w:id="292"/>
      <w:bookmarkStart w:id="293" w:name="_Toc184313260"/>
      <w:bookmarkEnd w:id="293"/>
      <w:bookmarkStart w:id="294" w:name="_Toc184308038"/>
      <w:bookmarkEnd w:id="294"/>
      <w:bookmarkStart w:id="295" w:name="_Toc184308100"/>
      <w:bookmarkEnd w:id="295"/>
      <w:bookmarkStart w:id="296" w:name="_Toc184308108"/>
      <w:bookmarkEnd w:id="296"/>
      <w:bookmarkStart w:id="297" w:name="_Toc184312107"/>
      <w:bookmarkEnd w:id="297"/>
      <w:bookmarkStart w:id="298" w:name="_Toc184308092"/>
      <w:bookmarkEnd w:id="298"/>
      <w:bookmarkStart w:id="299" w:name="_Toc184313285"/>
      <w:bookmarkEnd w:id="299"/>
      <w:bookmarkStart w:id="300" w:name="_Toc184308050"/>
      <w:bookmarkEnd w:id="300"/>
      <w:bookmarkStart w:id="301" w:name="_Toc184310341"/>
      <w:bookmarkEnd w:id="301"/>
      <w:bookmarkStart w:id="302" w:name="_Toc184310344"/>
      <w:bookmarkEnd w:id="302"/>
      <w:bookmarkStart w:id="303" w:name="_Toc184312099"/>
      <w:bookmarkEnd w:id="303"/>
      <w:bookmarkStart w:id="304" w:name="_Toc184313307"/>
      <w:bookmarkEnd w:id="304"/>
      <w:bookmarkStart w:id="305" w:name="_Toc184312093"/>
      <w:bookmarkEnd w:id="305"/>
      <w:bookmarkStart w:id="306" w:name="_Toc184308072"/>
      <w:bookmarkEnd w:id="306"/>
      <w:bookmarkStart w:id="307" w:name="_Toc184312072"/>
      <w:bookmarkEnd w:id="307"/>
      <w:bookmarkStart w:id="308" w:name="_Toc184314462"/>
      <w:bookmarkEnd w:id="308"/>
      <w:bookmarkStart w:id="309" w:name="_Toc184313305"/>
      <w:bookmarkEnd w:id="309"/>
      <w:bookmarkStart w:id="310" w:name="_Toc184312133"/>
      <w:bookmarkEnd w:id="310"/>
      <w:bookmarkStart w:id="311" w:name="_Toc184310284"/>
      <w:bookmarkEnd w:id="311"/>
      <w:bookmarkStart w:id="312" w:name="_Toc184314443"/>
      <w:bookmarkEnd w:id="312"/>
      <w:bookmarkStart w:id="313" w:name="_Toc184310275"/>
      <w:bookmarkEnd w:id="313"/>
      <w:bookmarkStart w:id="314" w:name="_Toc184310319"/>
      <w:bookmarkEnd w:id="314"/>
      <w:bookmarkStart w:id="315" w:name="_Toc184310281"/>
      <w:bookmarkEnd w:id="315"/>
      <w:bookmarkStart w:id="316" w:name="_Toc184314428"/>
      <w:bookmarkEnd w:id="316"/>
      <w:bookmarkStart w:id="317" w:name="_Toc184312085"/>
      <w:bookmarkEnd w:id="317"/>
      <w:bookmarkStart w:id="318" w:name="_Toc184313277"/>
      <w:bookmarkEnd w:id="318"/>
      <w:bookmarkStart w:id="319" w:name="_Toc184308043"/>
      <w:bookmarkEnd w:id="319"/>
      <w:bookmarkStart w:id="320" w:name="_Toc184308036"/>
      <w:bookmarkEnd w:id="320"/>
      <w:bookmarkStart w:id="321" w:name="_Toc184312122"/>
      <w:bookmarkEnd w:id="321"/>
      <w:bookmarkStart w:id="322" w:name="_Toc184310277"/>
      <w:bookmarkEnd w:id="322"/>
      <w:bookmarkStart w:id="323" w:name="_Toc184314431"/>
      <w:bookmarkEnd w:id="323"/>
      <w:bookmarkStart w:id="324" w:name="_Toc184310339"/>
      <w:bookmarkEnd w:id="324"/>
      <w:bookmarkStart w:id="325" w:name="_Toc184314470"/>
      <w:bookmarkEnd w:id="325"/>
      <w:bookmarkStart w:id="326" w:name="_Toc184312101"/>
      <w:bookmarkEnd w:id="326"/>
      <w:bookmarkStart w:id="327" w:name="_Toc184313247"/>
      <w:bookmarkEnd w:id="327"/>
      <w:bookmarkStart w:id="328" w:name="_Toc184310301"/>
      <w:bookmarkEnd w:id="328"/>
      <w:bookmarkStart w:id="329" w:name="_Toc184310335"/>
      <w:bookmarkEnd w:id="329"/>
      <w:bookmarkStart w:id="330" w:name="_Toc184310313"/>
      <w:bookmarkEnd w:id="330"/>
      <w:bookmarkStart w:id="331" w:name="_Toc184314466"/>
      <w:bookmarkEnd w:id="331"/>
      <w:bookmarkStart w:id="332" w:name="_Toc184308058"/>
      <w:bookmarkEnd w:id="332"/>
      <w:bookmarkStart w:id="333" w:name="_Toc184314413"/>
      <w:bookmarkEnd w:id="333"/>
      <w:bookmarkStart w:id="334" w:name="_Toc184312091"/>
      <w:bookmarkEnd w:id="334"/>
      <w:bookmarkStart w:id="335" w:name="_Toc184314448"/>
      <w:bookmarkEnd w:id="335"/>
      <w:bookmarkStart w:id="336" w:name="_Toc184308104"/>
      <w:bookmarkEnd w:id="336"/>
      <w:bookmarkStart w:id="337" w:name="_Toc184310325"/>
      <w:bookmarkEnd w:id="337"/>
      <w:bookmarkStart w:id="338" w:name="_Toc184308082"/>
      <w:bookmarkEnd w:id="338"/>
      <w:bookmarkStart w:id="339" w:name="_Toc184313292"/>
      <w:bookmarkEnd w:id="339"/>
      <w:bookmarkStart w:id="340" w:name="_Toc184308049"/>
      <w:bookmarkEnd w:id="340"/>
      <w:bookmarkStart w:id="341" w:name="_Toc184308064"/>
      <w:bookmarkEnd w:id="341"/>
      <w:bookmarkStart w:id="342" w:name="_Toc184314455"/>
      <w:bookmarkEnd w:id="342"/>
      <w:bookmarkStart w:id="343" w:name="_Toc184308059"/>
      <w:bookmarkEnd w:id="343"/>
      <w:bookmarkStart w:id="344" w:name="_Toc184312074"/>
      <w:bookmarkEnd w:id="344"/>
      <w:bookmarkStart w:id="345" w:name="_Toc184310285"/>
      <w:bookmarkEnd w:id="345"/>
      <w:bookmarkStart w:id="346" w:name="_Toc184314461"/>
      <w:bookmarkEnd w:id="346"/>
      <w:bookmarkStart w:id="347" w:name="_Toc184308045"/>
      <w:bookmarkEnd w:id="347"/>
      <w:bookmarkStart w:id="348" w:name="_Toc184313263"/>
      <w:bookmarkEnd w:id="348"/>
      <w:bookmarkStart w:id="349" w:name="_Toc184308068"/>
      <w:bookmarkEnd w:id="349"/>
      <w:bookmarkStart w:id="350" w:name="_Toc184312117"/>
      <w:bookmarkEnd w:id="350"/>
      <w:bookmarkStart w:id="351" w:name="_Toc184312077"/>
      <w:bookmarkEnd w:id="351"/>
      <w:bookmarkStart w:id="352" w:name="_Toc184313270"/>
      <w:bookmarkEnd w:id="352"/>
      <w:bookmarkStart w:id="353" w:name="_Toc184314481"/>
      <w:bookmarkEnd w:id="353"/>
      <w:bookmarkStart w:id="354" w:name="_Toc184313266"/>
      <w:bookmarkEnd w:id="354"/>
      <w:bookmarkStart w:id="355" w:name="_Toc184308101"/>
      <w:bookmarkEnd w:id="355"/>
      <w:bookmarkStart w:id="356" w:name="_Toc184308060"/>
      <w:bookmarkEnd w:id="356"/>
      <w:bookmarkStart w:id="357" w:name="_Toc184308079"/>
      <w:bookmarkEnd w:id="357"/>
      <w:bookmarkStart w:id="358" w:name="_Toc184308041"/>
      <w:bookmarkEnd w:id="358"/>
      <w:bookmarkStart w:id="359" w:name="_Toc184308086"/>
      <w:bookmarkEnd w:id="359"/>
      <w:bookmarkStart w:id="360" w:name="_Toc184313269"/>
      <w:bookmarkEnd w:id="360"/>
      <w:bookmarkStart w:id="361" w:name="_Toc184312068"/>
      <w:bookmarkEnd w:id="361"/>
      <w:bookmarkStart w:id="362" w:name="_Toc184314419"/>
      <w:bookmarkEnd w:id="362"/>
      <w:bookmarkStart w:id="363" w:name="_Toc184313279"/>
      <w:bookmarkEnd w:id="363"/>
      <w:bookmarkStart w:id="364" w:name="_Toc184308090"/>
      <w:bookmarkEnd w:id="364"/>
      <w:bookmarkStart w:id="365" w:name="_Toc184310306"/>
      <w:bookmarkEnd w:id="365"/>
      <w:bookmarkStart w:id="366" w:name="_Toc184314439"/>
      <w:bookmarkEnd w:id="366"/>
      <w:bookmarkStart w:id="367" w:name="_Toc184308094"/>
      <w:bookmarkEnd w:id="367"/>
      <w:bookmarkStart w:id="368" w:name="_Toc184308046"/>
      <w:bookmarkEnd w:id="368"/>
      <w:bookmarkStart w:id="369" w:name="_Toc184314451"/>
      <w:bookmarkEnd w:id="369"/>
      <w:bookmarkStart w:id="370" w:name="_Toc184314471"/>
      <w:bookmarkEnd w:id="370"/>
      <w:bookmarkStart w:id="371" w:name="_Toc184313264"/>
      <w:bookmarkEnd w:id="371"/>
      <w:bookmarkStart w:id="372" w:name="_Toc184313275"/>
      <w:bookmarkEnd w:id="372"/>
      <w:bookmarkStart w:id="373" w:name="_Toc184310312"/>
      <w:bookmarkEnd w:id="373"/>
      <w:bookmarkStart w:id="374" w:name="_Toc184312070"/>
      <w:bookmarkEnd w:id="374"/>
      <w:bookmarkStart w:id="375" w:name="_Toc184308105"/>
      <w:bookmarkEnd w:id="375"/>
      <w:bookmarkStart w:id="376" w:name="_Toc184314430"/>
      <w:bookmarkEnd w:id="376"/>
      <w:bookmarkStart w:id="377" w:name="_Toc184312084"/>
      <w:bookmarkEnd w:id="377"/>
      <w:bookmarkStart w:id="378" w:name="_Toc184310307"/>
      <w:bookmarkEnd w:id="378"/>
      <w:bookmarkStart w:id="379" w:name="_Toc184310311"/>
      <w:bookmarkEnd w:id="379"/>
      <w:bookmarkStart w:id="380" w:name="_Toc184312130"/>
      <w:bookmarkEnd w:id="380"/>
      <w:bookmarkStart w:id="381" w:name="_Toc184313261"/>
      <w:bookmarkEnd w:id="381"/>
      <w:bookmarkStart w:id="382" w:name="_Toc184314454"/>
      <w:bookmarkEnd w:id="382"/>
      <w:bookmarkStart w:id="383" w:name="_Toc184314417"/>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w:t>
      </w:r>
      <w:r>
        <w:rPr>
          <w:rFonts w:hint="eastAsia" w:cs="仿宋" w:asciiTheme="minorEastAsia" w:hAnsiTheme="minorEastAsia"/>
          <w:snapToGrid w:val="0"/>
          <w:color w:val="auto"/>
          <w:kern w:val="0"/>
          <w:sz w:val="24"/>
          <w:lang w:val="en-US" w:eastAsia="zh-CN"/>
        </w:rPr>
        <w:t>工作人员</w:t>
      </w:r>
      <w:r>
        <w:rPr>
          <w:rFonts w:hint="eastAsia" w:cs="仿宋" w:asciiTheme="minorEastAsia" w:hAnsiTheme="minorEastAsia"/>
          <w:snapToGrid w:val="0"/>
          <w:color w:val="auto"/>
          <w:kern w:val="0"/>
          <w:sz w:val="24"/>
        </w:rPr>
        <w:t>，严禁将询价过程中的任何资料带出询价现场向供应商或其他单位提供。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w:t>
      </w:r>
      <w:r>
        <w:rPr>
          <w:rFonts w:hint="eastAsia" w:cs="仿宋" w:asciiTheme="minorEastAsia" w:hAnsiTheme="minorEastAsia"/>
          <w:snapToGrid w:val="0"/>
          <w:color w:val="auto"/>
          <w:kern w:val="0"/>
          <w:sz w:val="24"/>
          <w:lang w:eastAsia="zh-CN"/>
        </w:rPr>
        <w:t>若有</w:t>
      </w:r>
      <w:r>
        <w:rPr>
          <w:rFonts w:hint="eastAsia" w:cs="仿宋" w:asciiTheme="minorEastAsia" w:hAnsiTheme="minorEastAsia"/>
          <w:snapToGrid w:val="0"/>
          <w:color w:val="auto"/>
          <w:kern w:val="0"/>
          <w:sz w:val="24"/>
        </w:rPr>
        <w:t>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2.采购</w:t>
      </w:r>
      <w:r>
        <w:rPr>
          <w:rFonts w:hint="eastAsia" w:cs="仿宋" w:asciiTheme="minorEastAsia" w:hAnsiTheme="minorEastAsia"/>
          <w:snapToGrid w:val="0"/>
          <w:color w:val="auto"/>
          <w:kern w:val="0"/>
          <w:sz w:val="24"/>
          <w:lang w:val="en-US" w:eastAsia="zh-CN"/>
        </w:rPr>
        <w:t>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w:t>
      </w:r>
      <w:r>
        <w:rPr>
          <w:rFonts w:hint="eastAsia" w:cs="仿宋" w:asciiTheme="minorEastAsia" w:hAnsiTheme="minorEastAsia"/>
          <w:color w:val="auto"/>
          <w:sz w:val="24"/>
          <w:lang w:eastAsia="zh-CN"/>
        </w:rPr>
        <w:t>若有</w:t>
      </w:r>
      <w:r>
        <w:rPr>
          <w:rFonts w:hint="eastAsia" w:cs="仿宋" w:asciiTheme="minorEastAsia" w:hAnsiTheme="minorEastAsia"/>
          <w:color w:val="auto"/>
          <w:sz w:val="24"/>
        </w:rPr>
        <w:t>），宣读最终提交采购响应文件的供应商名单。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中载明的投标有效期的；响应文件出现不是唯一的、有选择性响应报价的;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w:t>
      </w:r>
      <w:r>
        <w:rPr>
          <w:rFonts w:hint="eastAsia" w:ascii="宋体" w:hAnsi="宋体" w:cs="宋体"/>
          <w:color w:val="auto"/>
          <w:kern w:val="0"/>
          <w:sz w:val="24"/>
        </w:rPr>
        <w:t>的其它实质性要求的；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K</w:t>
      </w:r>
      <w:r>
        <w:rPr>
          <w:rFonts w:hint="eastAsia" w:ascii="宋体" w:hAnsi="宋体" w:cs="宋体"/>
          <w:color w:val="auto"/>
          <w:kern w:val="0"/>
          <w:sz w:val="24"/>
        </w:rPr>
        <w:t>.法律、法规、规章（适用本市的）及省级以上规范性文件（适用本市的）规定的其他无效情形。</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L</w:t>
      </w:r>
      <w:r>
        <w:rPr>
          <w:rFonts w:hint="eastAsia" w:ascii="宋体" w:hAnsi="宋体" w:cs="宋体"/>
          <w:color w:val="auto"/>
          <w:kern w:val="0"/>
          <w:sz w:val="24"/>
        </w:rPr>
        <w:t>在采购人规定的截止时间以后送达的</w:t>
      </w:r>
      <w:r>
        <w:rPr>
          <w:rFonts w:hint="eastAsia" w:ascii="宋体" w:hAnsi="宋体" w:cs="宋体"/>
          <w:color w:val="auto"/>
          <w:kern w:val="0"/>
          <w:sz w:val="24"/>
          <w:lang w:eastAsia="zh-CN"/>
        </w:rPr>
        <w:t>响应</w:t>
      </w:r>
      <w:r>
        <w:rPr>
          <w:rFonts w:hint="eastAsia" w:ascii="宋体" w:hAnsi="宋体" w:cs="宋体"/>
          <w:color w:val="auto"/>
          <w:kern w:val="0"/>
          <w:sz w:val="24"/>
        </w:rPr>
        <w:t>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M</w:t>
      </w:r>
      <w:r>
        <w:rPr>
          <w:rFonts w:hint="eastAsia" w:ascii="宋体" w:hAnsi="宋体" w:cs="宋体"/>
          <w:color w:val="auto"/>
          <w:kern w:val="0"/>
          <w:sz w:val="24"/>
          <w:lang w:eastAsia="zh-CN"/>
        </w:rPr>
        <w:t>未</w:t>
      </w:r>
      <w:r>
        <w:rPr>
          <w:rFonts w:hint="eastAsia" w:ascii="宋体" w:hAnsi="宋体" w:cs="宋体"/>
          <w:color w:val="auto"/>
          <w:kern w:val="0"/>
          <w:sz w:val="24"/>
        </w:rPr>
        <w:t>要求缴纳</w:t>
      </w:r>
      <w:r>
        <w:rPr>
          <w:rFonts w:hint="eastAsia" w:ascii="宋体" w:hAnsi="宋体" w:cs="宋体"/>
          <w:color w:val="auto"/>
          <w:kern w:val="0"/>
          <w:sz w:val="24"/>
          <w:lang w:eastAsia="zh-CN"/>
        </w:rPr>
        <w:t>询价保证金</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snapToGrid w:val="0"/>
          <w:color w:val="auto"/>
          <w:kern w:val="0"/>
          <w:sz w:val="24"/>
          <w:lang w:val="en-US" w:eastAsia="zh-CN"/>
        </w:rPr>
        <w:t>工作人员</w:t>
      </w:r>
      <w:r>
        <w:rPr>
          <w:rFonts w:hint="eastAsia" w:cs="仿宋" w:asciiTheme="minorEastAsia" w:hAnsiTheme="minorEastAsia"/>
          <w:b w:val="0"/>
          <w:bCs w:val="0"/>
          <w:color w:val="auto"/>
          <w:sz w:val="24"/>
          <w:lang w:eastAsia="zh-CN"/>
        </w:rPr>
        <w:t>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lang w:val="en-US" w:eastAsia="zh-CN"/>
        </w:rPr>
        <w:t>询价</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实质性响应要求的供应商中，按照报价由低到高的顺序提出成交候选人。</w:t>
      </w:r>
    </w:p>
    <w:p>
      <w:pPr>
        <w:pStyle w:val="6"/>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pPr>
        <w:pStyle w:val="6"/>
        <w:ind w:firstLine="480" w:firstLineChars="200"/>
        <w:rPr>
          <w:rFonts w:hint="eastAsia"/>
          <w:color w:val="auto"/>
        </w:rPr>
      </w:pPr>
      <w:r>
        <w:rPr>
          <w:rFonts w:hint="default"/>
          <w:color w:val="auto"/>
          <w:lang w:val="en-US"/>
        </w:rPr>
        <w:t>1.2</w:t>
      </w:r>
      <w:r>
        <w:rPr>
          <w:rFonts w:hint="eastAsia"/>
          <w:color w:val="auto"/>
          <w:lang w:val="en-US" w:eastAsia="zh-CN"/>
        </w:rPr>
        <w:t>若</w:t>
      </w:r>
      <w:r>
        <w:rPr>
          <w:rFonts w:hint="eastAsia"/>
          <w:color w:val="auto"/>
        </w:rPr>
        <w:t>出现相同总金额最低报价情况时，总金额最低报价相同的</w:t>
      </w:r>
      <w:r>
        <w:rPr>
          <w:rFonts w:hint="eastAsia"/>
          <w:color w:val="auto"/>
          <w:lang w:eastAsia="zh-CN"/>
        </w:rPr>
        <w:t>供应商</w:t>
      </w:r>
      <w:r>
        <w:rPr>
          <w:rFonts w:hint="eastAsia"/>
          <w:color w:val="auto"/>
        </w:rPr>
        <w:t>再进行一轮报价</w:t>
      </w:r>
      <w:r>
        <w:rPr>
          <w:rFonts w:hint="eastAsia"/>
          <w:b/>
          <w:bCs/>
          <w:color w:val="auto"/>
        </w:rPr>
        <w:t>。如报价再相同，则由采购人</w:t>
      </w:r>
      <w:r>
        <w:rPr>
          <w:rFonts w:hint="eastAsia"/>
          <w:b/>
          <w:bCs/>
          <w:color w:val="auto"/>
          <w:lang w:val="en-US" w:eastAsia="zh-CN"/>
        </w:rPr>
        <w:t>工作人员组织询价评审小组成员与供应商分别</w:t>
      </w:r>
      <w:r>
        <w:rPr>
          <w:rFonts w:hint="eastAsia"/>
          <w:b/>
          <w:bCs/>
          <w:color w:val="auto"/>
        </w:rPr>
        <w:t>再进行一轮报价</w:t>
      </w:r>
      <w:r>
        <w:rPr>
          <w:rFonts w:hint="eastAsia"/>
          <w:b/>
          <w:bCs/>
          <w:color w:val="auto"/>
          <w:lang w:eastAsia="zh-CN"/>
        </w:rPr>
        <w:t>，以此类推</w:t>
      </w:r>
      <w:r>
        <w:rPr>
          <w:rFonts w:hint="eastAsia"/>
          <w:b/>
          <w:bCs/>
          <w:color w:val="auto"/>
        </w:rPr>
        <w:t>。</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第二次询价后，</w:t>
      </w:r>
      <w:r>
        <w:rPr>
          <w:rFonts w:hint="eastAsia" w:cs="仿宋" w:asciiTheme="minorEastAsia" w:hAnsiTheme="minorEastAsia"/>
          <w:color w:val="auto"/>
          <w:sz w:val="24"/>
        </w:rPr>
        <w:t>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w:t>
      </w:r>
      <w:r>
        <w:rPr>
          <w:rFonts w:hint="eastAsia" w:cs="仿宋" w:asciiTheme="minorEastAsia" w:hAnsiTheme="minorEastAsia"/>
          <w:color w:val="auto"/>
          <w:sz w:val="24"/>
          <w:lang w:val="en-US" w:eastAsia="zh-CN"/>
        </w:rPr>
        <w:t>或者经评审有效的供应商仍少于3个，采购方式由询价直接转为谈判，询价采购文件即为谈判文件，</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lang w:val="en-US" w:eastAsia="zh-CN"/>
        </w:rPr>
        <w:t>成员即为</w:t>
      </w:r>
      <w:r>
        <w:rPr>
          <w:rFonts w:hint="eastAsia" w:cs="仿宋" w:asciiTheme="minorEastAsia" w:hAnsiTheme="minorEastAsia"/>
          <w:color w:val="auto"/>
          <w:sz w:val="24"/>
          <w:lang w:eastAsia="zh-CN"/>
        </w:rPr>
        <w:t>询价</w:t>
      </w:r>
      <w:r>
        <w:rPr>
          <w:rFonts w:hint="eastAsia" w:cs="仿宋" w:asciiTheme="minorEastAsia" w:hAnsiTheme="minorEastAsia"/>
          <w:color w:val="auto"/>
          <w:sz w:val="24"/>
          <w:lang w:val="en-US" w:eastAsia="zh-CN"/>
        </w:rPr>
        <w:t>谈判小组成员，询价保证金转为谈判保证金（若有）。</w:t>
      </w:r>
    </w:p>
    <w:p>
      <w:pPr>
        <w:pStyle w:val="6"/>
        <w:numPr>
          <w:ilvl w:val="0"/>
          <w:numId w:val="0"/>
        </w:numPr>
        <w:rPr>
          <w:rFonts w:hint="default"/>
          <w:color w:val="auto"/>
          <w:lang w:val="en-US" w:eastAsia="zh-CN"/>
        </w:rPr>
      </w:pP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pPr>
        <w:numPr>
          <w:ilvl w:val="0"/>
          <w:numId w:val="1"/>
        </w:numPr>
        <w:spacing w:line="460" w:lineRule="exact"/>
        <w:jc w:val="center"/>
        <w:outlineLvl w:val="0"/>
        <w:rPr>
          <w:rFonts w:hint="eastAsia" w:cs="仿宋" w:asciiTheme="minorEastAsia" w:hAnsiTheme="minorEastAsia"/>
          <w:b/>
          <w:color w:val="auto"/>
          <w:sz w:val="36"/>
          <w:szCs w:val="36"/>
        </w:rPr>
      </w:pPr>
      <w:r>
        <w:rPr>
          <w:rFonts w:hint="eastAsia" w:cs="仿宋" w:asciiTheme="minorEastAsia" w:hAnsiTheme="minorEastAsia"/>
          <w:b/>
          <w:color w:val="auto"/>
          <w:sz w:val="36"/>
          <w:szCs w:val="36"/>
        </w:rPr>
        <w:t>拟签订的合同文本</w:t>
      </w:r>
    </w:p>
    <w:p>
      <w:pPr>
        <w:rPr>
          <w:rFonts w:hint="eastAsia"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hint="eastAsia" w:ascii="宋体" w:hAnsi="宋体" w:cs="宋体"/>
          <w:b/>
          <w:sz w:val="36"/>
          <w:szCs w:val="36"/>
        </w:rPr>
      </w:pPr>
      <w:r>
        <w:rPr>
          <w:rFonts w:hint="eastAsia" w:ascii="宋体" w:hAnsi="宋体" w:cs="宋体"/>
          <w:b/>
          <w:sz w:val="36"/>
          <w:szCs w:val="36"/>
        </w:rPr>
        <w:t>货物类采购合同</w:t>
      </w:r>
    </w:p>
    <w:p>
      <w:pPr>
        <w:pStyle w:val="22"/>
        <w:rPr>
          <w:rFonts w:ascii="宋体" w:hAnsi="宋体" w:cs="宋体"/>
          <w:szCs w:val="24"/>
        </w:rPr>
      </w:pPr>
    </w:p>
    <w:p>
      <w:pPr>
        <w:spacing w:before="120" w:line="22" w:lineRule="atLeast"/>
        <w:ind w:left="960"/>
        <w:rPr>
          <w:rFonts w:ascii="宋体" w:hAnsi="宋体" w:cs="宋体"/>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val="en-US" w:eastAsia="zh-CN"/>
        </w:rPr>
        <w:t>2023年临江公司重质碳酸钠采购项目</w:t>
      </w:r>
      <w:r>
        <w:rPr>
          <w:rFonts w:hint="eastAsia"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hint="eastAsia" w:ascii="宋体" w:hAnsi="宋体" w:cs="宋体"/>
          <w:sz w:val="24"/>
          <w:lang w:val="en-US" w:eastAsia="zh-CN"/>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hint="eastAsia" w:ascii="宋体" w:hAnsi="宋体" w:cs="宋体"/>
          <w:sz w:val="24"/>
          <w:lang w:val="en-US" w:eastAsia="zh-CN"/>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hint="eastAsia" w:ascii="宋体" w:hAnsi="宋体" w:cs="宋体"/>
          <w:sz w:val="24"/>
          <w:lang w:val="en-US" w:eastAsia="zh-CN"/>
        </w:rPr>
        <w:t xml:space="preserve"> </w:t>
      </w:r>
      <w:r>
        <w:rPr>
          <w:rFonts w:hint="eastAsia" w:ascii="宋体" w:hAnsi="宋体" w:cs="宋体"/>
          <w:sz w:val="24"/>
        </w:rPr>
        <w:t>订</w:t>
      </w:r>
      <w:r>
        <w:rPr>
          <w:rFonts w:hint="eastAsia" w:ascii="宋体" w:hAnsi="宋体" w:cs="宋体"/>
          <w:sz w:val="24"/>
          <w:lang w:val="en-US" w:eastAsia="zh-CN"/>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rPr>
          <w:rFonts w:hint="eastAsia"/>
        </w:rPr>
      </w:pPr>
    </w:p>
    <w:p>
      <w:pPr>
        <w:pStyle w:val="7"/>
        <w:rPr>
          <w:rFonts w:hint="eastAsia"/>
        </w:rPr>
      </w:pPr>
    </w:p>
    <w:p>
      <w:pPr>
        <w:rPr>
          <w:rFonts w:hint="eastAsia"/>
        </w:rPr>
      </w:pPr>
    </w:p>
    <w:p>
      <w:pPr>
        <w:pStyle w:val="6"/>
        <w:rPr>
          <w:rFonts w:hint="eastAsia"/>
        </w:rPr>
      </w:pPr>
    </w:p>
    <w:p>
      <w:pPr>
        <w:pStyle w:val="7"/>
        <w:rPr>
          <w:rFonts w:hint="eastAsia"/>
        </w:rPr>
      </w:pPr>
    </w:p>
    <w:p>
      <w:pPr>
        <w:rPr>
          <w:rFonts w:hint="eastAsia"/>
        </w:rPr>
      </w:pPr>
    </w:p>
    <w:p>
      <w:pPr>
        <w:pStyle w:val="6"/>
        <w:rPr>
          <w:rFonts w:hint="eastAsia"/>
        </w:rPr>
      </w:pPr>
    </w:p>
    <w:p>
      <w:pPr>
        <w:pStyle w:val="7"/>
        <w:rPr>
          <w:rFonts w:hint="eastAsia"/>
        </w:rPr>
      </w:pPr>
    </w:p>
    <w:p>
      <w:pPr>
        <w:rPr>
          <w:rFonts w:hint="eastAsia"/>
        </w:rPr>
      </w:pPr>
    </w:p>
    <w:p>
      <w:pPr>
        <w:pStyle w:val="6"/>
        <w:rPr>
          <w:rFonts w:hint="eastAsia"/>
        </w:rPr>
      </w:pPr>
    </w:p>
    <w:p>
      <w:pPr>
        <w:pStyle w:val="7"/>
        <w:rPr>
          <w:rFonts w:hint="eastAsia"/>
        </w:rPr>
      </w:pPr>
    </w:p>
    <w:p>
      <w:pPr>
        <w:rPr>
          <w:rFonts w:hint="eastAsia"/>
        </w:rPr>
      </w:pPr>
    </w:p>
    <w:p>
      <w:pPr>
        <w:pStyle w:val="6"/>
        <w:rPr>
          <w:rFonts w:hint="eastAsia"/>
        </w:rPr>
      </w:pPr>
    </w:p>
    <w:p>
      <w:pPr>
        <w:pStyle w:val="7"/>
        <w:rPr>
          <w:rFonts w:hint="eastAsia"/>
        </w:rPr>
      </w:pPr>
    </w:p>
    <w:p>
      <w:pPr>
        <w:rPr>
          <w:rFonts w:hint="eastAsia"/>
        </w:rPr>
      </w:pPr>
    </w:p>
    <w:p>
      <w:pPr>
        <w:pStyle w:val="6"/>
        <w:rPr>
          <w:rFonts w:hint="eastAsia"/>
        </w:rPr>
      </w:pPr>
    </w:p>
    <w:p>
      <w:pPr>
        <w:pStyle w:val="7"/>
        <w:jc w:val="center"/>
        <w:rPr>
          <w:rFonts w:hint="eastAsia"/>
          <w:b/>
          <w:bCs/>
        </w:rPr>
      </w:pPr>
    </w:p>
    <w:p>
      <w:pPr>
        <w:pStyle w:val="7"/>
        <w:jc w:val="center"/>
        <w:rPr>
          <w:rFonts w:hint="eastAsia"/>
          <w:b/>
          <w:bCs/>
        </w:rPr>
      </w:pPr>
    </w:p>
    <w:p>
      <w:pPr>
        <w:pStyle w:val="7"/>
        <w:jc w:val="center"/>
        <w:rPr>
          <w:rFonts w:hint="eastAsia"/>
          <w:b/>
          <w:bCs/>
        </w:rPr>
      </w:pPr>
    </w:p>
    <w:p>
      <w:pPr>
        <w:pStyle w:val="7"/>
        <w:jc w:val="center"/>
        <w:rPr>
          <w:rFonts w:hint="eastAsia"/>
          <w:b/>
          <w:bCs/>
        </w:rPr>
      </w:pPr>
      <w:r>
        <w:rPr>
          <w:rFonts w:hint="eastAsia"/>
          <w:b/>
          <w:bCs/>
        </w:rPr>
        <w:t>目录</w:t>
      </w:r>
    </w:p>
    <w:p>
      <w:pPr>
        <w:pStyle w:val="8"/>
        <w:rPr>
          <w:rFonts w:hint="eastAsia"/>
        </w:rPr>
      </w:pPr>
    </w:p>
    <w:p>
      <w:pPr>
        <w:pStyle w:val="9"/>
        <w:spacing w:line="360" w:lineRule="auto"/>
        <w:ind w:firstLine="240" w:firstLineChars="100"/>
      </w:pPr>
      <w:r>
        <w:rPr>
          <w:rFonts w:hint="eastAsia"/>
        </w:rPr>
        <w:t>第一章 合同书  ……………………………………………………………（页码）</w:t>
      </w:r>
    </w:p>
    <w:p>
      <w:pPr>
        <w:pStyle w:val="9"/>
        <w:spacing w:line="360" w:lineRule="auto"/>
        <w:ind w:firstLine="240" w:firstLineChars="100"/>
        <w:rPr>
          <w:rFonts w:hint="eastAsia"/>
        </w:rPr>
      </w:pPr>
      <w:r>
        <w:rPr>
          <w:rFonts w:hint="eastAsia"/>
        </w:rPr>
        <w:t>第二章 合同一般条款………………………………………………………（页码）</w:t>
      </w:r>
    </w:p>
    <w:p>
      <w:pPr>
        <w:pStyle w:val="9"/>
        <w:spacing w:line="360" w:lineRule="auto"/>
        <w:ind w:firstLine="240" w:firstLineChars="100"/>
      </w:pPr>
      <w:r>
        <w:rPr>
          <w:rFonts w:hint="eastAsia"/>
        </w:rPr>
        <w:t>第三章 廉洁协议……………………………………………………………（页码）</w:t>
      </w:r>
    </w:p>
    <w:p>
      <w:pPr>
        <w:pStyle w:val="22"/>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ind w:left="0" w:leftChars="0" w:firstLine="0" w:firstLineChars="0"/>
        <w:rPr>
          <w:rFonts w:cs="宋体"/>
        </w:rPr>
      </w:pPr>
    </w:p>
    <w:p>
      <w:pPr>
        <w:pStyle w:val="9"/>
        <w:ind w:left="0" w:leftChars="0" w:firstLine="0" w:firstLineChars="0"/>
        <w:rPr>
          <w:rFonts w:cs="宋体"/>
        </w:rPr>
      </w:pPr>
    </w:p>
    <w:p>
      <w:pPr>
        <w:pStyle w:val="9"/>
        <w:rPr>
          <w:rFonts w:cs="宋体"/>
        </w:rPr>
      </w:pPr>
    </w:p>
    <w:p>
      <w:pPr>
        <w:pStyle w:val="22"/>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color w:val="auto"/>
          <w:sz w:val="24"/>
          <w:u w:val="single"/>
        </w:rPr>
        <w:t xml:space="preserve"> 杭州临江环境能源有限公司   </w:t>
      </w:r>
      <w:r>
        <w:rPr>
          <w:rFonts w:hint="eastAsia" w:ascii="宋体" w:hAnsi="宋体" w:cs="宋体"/>
          <w:color w:val="auto"/>
          <w:sz w:val="24"/>
        </w:rPr>
        <w:t>以</w:t>
      </w:r>
      <w:r>
        <w:rPr>
          <w:rFonts w:hint="eastAsia" w:ascii="宋体" w:hAnsi="宋体" w:cs="宋体"/>
          <w:color w:val="auto"/>
          <w:sz w:val="24"/>
          <w:u w:val="single"/>
        </w:rPr>
        <w:t xml:space="preserve">   </w:t>
      </w:r>
      <w:r>
        <w:rPr>
          <w:rFonts w:hint="eastAsia" w:ascii="宋体" w:hAnsi="宋体"/>
          <w:color w:val="auto"/>
          <w:sz w:val="24"/>
          <w:u w:val="single"/>
        </w:rPr>
        <w:t>询价</w:t>
      </w:r>
      <w:r>
        <w:rPr>
          <w:rFonts w:hint="eastAsia" w:ascii="宋体" w:hAnsi="宋体"/>
          <w:color w:val="auto"/>
          <w:sz w:val="24"/>
          <w:u w:val="single"/>
          <w:lang w:val="en-US" w:eastAsia="zh-CN"/>
        </w:rPr>
        <w:t xml:space="preserve"> </w:t>
      </w:r>
      <w:r>
        <w:rPr>
          <w:rFonts w:hint="eastAsia" w:ascii="宋体" w:hAnsi="宋体"/>
          <w:color w:val="auto"/>
          <w:sz w:val="24"/>
        </w:rPr>
        <w:t>形式</w:t>
      </w:r>
      <w:r>
        <w:rPr>
          <w:rFonts w:hint="eastAsia" w:ascii="宋体" w:hAnsi="宋体" w:cs="宋体"/>
          <w:color w:val="auto"/>
          <w:sz w:val="24"/>
        </w:rPr>
        <w:t>对</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2023年临江公司重质碳酸钠采购（重新询价）</w:t>
      </w:r>
      <w:r>
        <w:rPr>
          <w:rFonts w:hint="eastAsia" w:ascii="宋体" w:hAnsi="宋体" w:cs="宋体"/>
          <w:color w:val="0000FF"/>
          <w:sz w:val="24"/>
          <w:u w:val="single"/>
        </w:rPr>
        <w:t xml:space="preserve"> </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w:t>
      </w:r>
      <w:r>
        <w:rPr>
          <w:rFonts w:hint="eastAsia" w:ascii="宋体" w:hAnsi="宋体" w:cs="宋体"/>
          <w:sz w:val="24"/>
          <w:u w:val="single"/>
          <w:lang w:eastAsia="zh-CN"/>
        </w:rPr>
        <w:t>评审</w:t>
      </w:r>
      <w:r>
        <w:rPr>
          <w:rFonts w:hint="eastAsia" w:ascii="宋体" w:hAnsi="宋体" w:cs="宋体"/>
          <w:sz w:val="24"/>
          <w:u w:val="single"/>
        </w:rPr>
        <w:t xml:space="preserve">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hint="eastAsia" w:ascii="宋体" w:hAnsi="宋体" w:cs="宋体"/>
          <w:b/>
          <w:sz w:val="24"/>
        </w:rPr>
      </w:pPr>
      <w:bookmarkStart w:id="387" w:name="_Toc27126"/>
      <w:bookmarkStart w:id="388" w:name="_Toc24300"/>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350"/>
        <w:gridCol w:w="1896"/>
        <w:gridCol w:w="1077"/>
        <w:gridCol w:w="984"/>
        <w:gridCol w:w="883"/>
        <w:gridCol w:w="1065"/>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noWrap w:val="0"/>
            <w:vAlign w:val="center"/>
          </w:tcPr>
          <w:p>
            <w:pPr>
              <w:pStyle w:val="3"/>
              <w:jc w:val="center"/>
              <w:rPr>
                <w:rFonts w:hint="eastAsia"/>
                <w:sz w:val="21"/>
                <w:szCs w:val="21"/>
              </w:rPr>
            </w:pPr>
            <w:r>
              <w:rPr>
                <w:rFonts w:hint="eastAsia" w:ascii="宋体" w:hAnsi="宋体" w:eastAsia="宋体" w:cs="Times New Roman"/>
                <w:b w:val="0"/>
                <w:sz w:val="21"/>
                <w:szCs w:val="21"/>
              </w:rPr>
              <w:t>序号</w:t>
            </w:r>
          </w:p>
        </w:tc>
        <w:tc>
          <w:tcPr>
            <w:tcW w:w="1350" w:type="dxa"/>
            <w:shd w:val="clear" w:color="auto" w:fill="auto"/>
            <w:noWrap w:val="0"/>
            <w:vAlign w:val="center"/>
          </w:tcPr>
          <w:p>
            <w:pPr>
              <w:pStyle w:val="3"/>
              <w:jc w:val="center"/>
              <w:rPr>
                <w:rFonts w:hint="eastAsia"/>
                <w:sz w:val="21"/>
                <w:szCs w:val="21"/>
              </w:rPr>
            </w:pPr>
            <w:r>
              <w:rPr>
                <w:rFonts w:hint="eastAsia" w:ascii="宋体" w:hAnsi="宋体" w:eastAsia="宋体" w:cs="Times New Roman"/>
                <w:b w:val="0"/>
                <w:sz w:val="21"/>
                <w:szCs w:val="21"/>
              </w:rPr>
              <w:t>货物名称</w:t>
            </w:r>
          </w:p>
        </w:tc>
        <w:tc>
          <w:tcPr>
            <w:tcW w:w="1439" w:type="dxa"/>
            <w:shd w:val="clear" w:color="auto" w:fill="auto"/>
            <w:noWrap w:val="0"/>
            <w:vAlign w:val="center"/>
          </w:tcPr>
          <w:p>
            <w:pPr>
              <w:pStyle w:val="3"/>
              <w:jc w:val="center"/>
              <w:rPr>
                <w:rFonts w:hint="eastAsia"/>
                <w:sz w:val="21"/>
                <w:szCs w:val="21"/>
              </w:rPr>
            </w:pPr>
            <w:r>
              <w:rPr>
                <w:rFonts w:hint="eastAsia" w:ascii="宋体" w:hAnsi="宋体" w:eastAsia="宋体" w:cs="Times New Roman"/>
                <w:b w:val="0"/>
                <w:sz w:val="21"/>
                <w:szCs w:val="21"/>
              </w:rPr>
              <w:t>规格型号/技术要求</w:t>
            </w:r>
          </w:p>
        </w:tc>
        <w:tc>
          <w:tcPr>
            <w:tcW w:w="1077" w:type="dxa"/>
            <w:shd w:val="clear" w:color="auto" w:fill="auto"/>
            <w:noWrap w:val="0"/>
            <w:vAlign w:val="center"/>
          </w:tcPr>
          <w:p>
            <w:pPr>
              <w:pStyle w:val="3"/>
              <w:jc w:val="center"/>
              <w:rPr>
                <w:rFonts w:hint="eastAsia"/>
                <w:sz w:val="21"/>
                <w:szCs w:val="21"/>
              </w:rPr>
            </w:pPr>
            <w:r>
              <w:rPr>
                <w:rFonts w:hint="eastAsia" w:ascii="宋体" w:hAnsi="宋体" w:eastAsia="宋体" w:cs="Times New Roman"/>
                <w:b w:val="0"/>
                <w:sz w:val="21"/>
                <w:szCs w:val="21"/>
              </w:rPr>
              <w:t>品牌/制造商</w:t>
            </w:r>
          </w:p>
        </w:tc>
        <w:tc>
          <w:tcPr>
            <w:tcW w:w="984" w:type="dxa"/>
            <w:shd w:val="clear" w:color="auto" w:fill="auto"/>
            <w:noWrap w:val="0"/>
            <w:vAlign w:val="center"/>
          </w:tcPr>
          <w:p>
            <w:pPr>
              <w:pStyle w:val="3"/>
              <w:jc w:val="center"/>
              <w:rPr>
                <w:rFonts w:hint="eastAsia"/>
                <w:sz w:val="21"/>
                <w:szCs w:val="21"/>
              </w:rPr>
            </w:pPr>
            <w:r>
              <w:rPr>
                <w:rFonts w:hint="eastAsia" w:ascii="宋体" w:hAnsi="宋体" w:eastAsia="宋体" w:cs="Times New Roman"/>
                <w:b w:val="0"/>
                <w:sz w:val="21"/>
                <w:szCs w:val="21"/>
              </w:rPr>
              <w:t>暂定数量</w:t>
            </w:r>
          </w:p>
        </w:tc>
        <w:tc>
          <w:tcPr>
            <w:tcW w:w="883" w:type="dxa"/>
            <w:shd w:val="clear" w:color="auto" w:fill="auto"/>
            <w:noWrap w:val="0"/>
            <w:vAlign w:val="center"/>
          </w:tcPr>
          <w:p>
            <w:pPr>
              <w:pStyle w:val="3"/>
              <w:jc w:val="center"/>
              <w:rPr>
                <w:rFonts w:hint="eastAsia"/>
                <w:sz w:val="21"/>
                <w:szCs w:val="21"/>
              </w:rPr>
            </w:pPr>
            <w:r>
              <w:rPr>
                <w:rFonts w:hint="eastAsia" w:ascii="宋体" w:hAnsi="宋体" w:eastAsia="宋体" w:cs="Times New Roman"/>
                <w:b w:val="0"/>
                <w:sz w:val="21"/>
                <w:szCs w:val="21"/>
              </w:rPr>
              <w:t>单价</w:t>
            </w:r>
          </w:p>
        </w:tc>
        <w:tc>
          <w:tcPr>
            <w:tcW w:w="1065" w:type="dxa"/>
            <w:shd w:val="clear" w:color="auto" w:fill="auto"/>
            <w:noWrap w:val="0"/>
            <w:vAlign w:val="center"/>
          </w:tcPr>
          <w:p>
            <w:pPr>
              <w:pStyle w:val="3"/>
              <w:jc w:val="center"/>
              <w:rPr>
                <w:rFonts w:hint="eastAsia" w:ascii="宋体" w:hAnsi="宋体" w:eastAsia="宋体" w:cs="Times New Roman"/>
                <w:b w:val="0"/>
                <w:sz w:val="21"/>
                <w:szCs w:val="21"/>
              </w:rPr>
            </w:pPr>
            <w:r>
              <w:rPr>
                <w:rFonts w:hint="eastAsia" w:ascii="宋体" w:hAnsi="宋体" w:eastAsia="宋体" w:cs="Times New Roman"/>
                <w:b w:val="0"/>
                <w:sz w:val="21"/>
                <w:szCs w:val="21"/>
              </w:rPr>
              <w:t>金额</w:t>
            </w:r>
          </w:p>
        </w:tc>
        <w:tc>
          <w:tcPr>
            <w:tcW w:w="1065" w:type="dxa"/>
            <w:shd w:val="clear" w:color="auto" w:fill="auto"/>
            <w:noWrap w:val="0"/>
            <w:vAlign w:val="center"/>
          </w:tcPr>
          <w:p>
            <w:pPr>
              <w:pStyle w:val="3"/>
              <w:jc w:val="center"/>
              <w:rPr>
                <w:rFonts w:hint="eastAsia" w:ascii="宋体" w:hAnsi="宋体" w:eastAsia="宋体" w:cs="Times New Roman"/>
                <w:b w:val="0"/>
                <w:sz w:val="21"/>
                <w:szCs w:val="21"/>
              </w:rPr>
            </w:pPr>
            <w:r>
              <w:rPr>
                <w:rFonts w:hint="eastAsia" w:ascii="宋体" w:hAnsi="宋体" w:eastAsia="宋体" w:cs="Times New Roman"/>
                <w:b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noWrap w:val="0"/>
            <w:vAlign w:val="center"/>
          </w:tcPr>
          <w:p>
            <w:pPr>
              <w:pStyle w:val="6"/>
              <w:jc w:val="center"/>
              <w:rPr>
                <w:sz w:val="21"/>
                <w:lang w:val="en-US"/>
              </w:rPr>
            </w:pPr>
            <w:r>
              <w:rPr>
                <w:rFonts w:hint="eastAsia"/>
                <w:sz w:val="21"/>
                <w:lang w:val="en-US"/>
              </w:rPr>
              <w:t>1</w:t>
            </w:r>
          </w:p>
        </w:tc>
        <w:tc>
          <w:tcPr>
            <w:tcW w:w="1350" w:type="dxa"/>
            <w:shd w:val="clear" w:color="auto" w:fill="auto"/>
            <w:noWrap w:val="0"/>
            <w:vAlign w:val="center"/>
          </w:tcPr>
          <w:p>
            <w:pPr>
              <w:pStyle w:val="6"/>
              <w:jc w:val="center"/>
              <w:rPr>
                <w:rFonts w:hint="default" w:eastAsiaTheme="minorEastAsia"/>
                <w:sz w:val="21"/>
                <w:lang w:val="en-US" w:eastAsia="zh-CN"/>
              </w:rPr>
            </w:pPr>
            <w:r>
              <w:rPr>
                <w:rFonts w:hint="eastAsia"/>
                <w:sz w:val="21"/>
                <w:lang w:val="en-US" w:eastAsia="zh-CN"/>
              </w:rPr>
              <w:t>重质碳酸钠</w:t>
            </w:r>
          </w:p>
        </w:tc>
        <w:tc>
          <w:tcPr>
            <w:tcW w:w="1439" w:type="dxa"/>
            <w:shd w:val="clear" w:color="auto" w:fill="auto"/>
            <w:noWrap w:val="0"/>
            <w:vAlign w:val="center"/>
          </w:tcPr>
          <w:p>
            <w:pPr>
              <w:pStyle w:val="6"/>
              <w:jc w:val="center"/>
              <w:rPr>
                <w:rFonts w:hint="eastAsia"/>
                <w:sz w:val="21"/>
              </w:rPr>
            </w:pPr>
            <w:r>
              <w:rPr>
                <w:rFonts w:hint="eastAsia"/>
                <w:sz w:val="21"/>
              </w:rPr>
              <w:t>符合《GB/T210-2022》中工业Ⅱ类优等品标准，含量(以干基Na2CO3计)≥99.2%,袋装</w:t>
            </w:r>
          </w:p>
        </w:tc>
        <w:tc>
          <w:tcPr>
            <w:tcW w:w="1077" w:type="dxa"/>
            <w:shd w:val="clear" w:color="auto" w:fill="auto"/>
            <w:noWrap w:val="0"/>
            <w:vAlign w:val="center"/>
          </w:tcPr>
          <w:p>
            <w:pPr>
              <w:pStyle w:val="6"/>
              <w:jc w:val="center"/>
              <w:rPr>
                <w:rFonts w:hint="eastAsia"/>
                <w:sz w:val="21"/>
              </w:rPr>
            </w:pPr>
          </w:p>
        </w:tc>
        <w:tc>
          <w:tcPr>
            <w:tcW w:w="984" w:type="dxa"/>
            <w:shd w:val="clear" w:color="auto" w:fill="auto"/>
            <w:noWrap w:val="0"/>
            <w:vAlign w:val="center"/>
          </w:tcPr>
          <w:p>
            <w:pPr>
              <w:pStyle w:val="6"/>
              <w:jc w:val="center"/>
              <w:rPr>
                <w:rFonts w:hint="eastAsia" w:eastAsiaTheme="minorEastAsia"/>
                <w:sz w:val="21"/>
                <w:lang w:val="en-US" w:eastAsia="zh-CN"/>
              </w:rPr>
            </w:pPr>
            <w:r>
              <w:rPr>
                <w:rFonts w:hint="default"/>
                <w:sz w:val="21"/>
                <w:lang w:val="en-US"/>
              </w:rPr>
              <w:t>40</w:t>
            </w:r>
            <w:r>
              <w:rPr>
                <w:rFonts w:hint="eastAsia"/>
                <w:sz w:val="21"/>
                <w:lang w:val="en-US" w:eastAsia="zh-CN"/>
              </w:rPr>
              <w:t>吨</w:t>
            </w:r>
          </w:p>
        </w:tc>
        <w:tc>
          <w:tcPr>
            <w:tcW w:w="883" w:type="dxa"/>
            <w:shd w:val="clear" w:color="auto" w:fill="auto"/>
            <w:noWrap w:val="0"/>
            <w:vAlign w:val="center"/>
          </w:tcPr>
          <w:p>
            <w:pPr>
              <w:pStyle w:val="6"/>
              <w:jc w:val="center"/>
              <w:rPr>
                <w:rFonts w:hint="eastAsia"/>
                <w:sz w:val="21"/>
              </w:rPr>
            </w:pPr>
          </w:p>
        </w:tc>
        <w:tc>
          <w:tcPr>
            <w:tcW w:w="1065" w:type="dxa"/>
            <w:shd w:val="clear" w:color="auto" w:fill="auto"/>
            <w:noWrap w:val="0"/>
            <w:vAlign w:val="center"/>
          </w:tcPr>
          <w:p>
            <w:pPr>
              <w:pStyle w:val="6"/>
              <w:jc w:val="center"/>
              <w:rPr>
                <w:rFonts w:hint="eastAsia"/>
                <w:sz w:val="21"/>
              </w:rPr>
            </w:pPr>
          </w:p>
        </w:tc>
        <w:tc>
          <w:tcPr>
            <w:tcW w:w="1065" w:type="dxa"/>
            <w:shd w:val="clear" w:color="auto" w:fill="auto"/>
            <w:noWrap w:val="0"/>
            <w:vAlign w:val="center"/>
          </w:tcPr>
          <w:p>
            <w:pPr>
              <w:pStyle w:val="6"/>
              <w:jc w:val="center"/>
              <w:rPr>
                <w:rFonts w:hint="eastAsia"/>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noWrap w:val="0"/>
            <w:vAlign w:val="center"/>
          </w:tcPr>
          <w:p>
            <w:pPr>
              <w:pStyle w:val="6"/>
              <w:jc w:val="center"/>
              <w:rPr>
                <w:rFonts w:hint="eastAsia"/>
                <w:sz w:val="21"/>
                <w:lang w:val="en-US"/>
              </w:rPr>
            </w:pPr>
            <w:r>
              <w:rPr>
                <w:rFonts w:hint="eastAsia"/>
                <w:sz w:val="21"/>
                <w:lang w:val="en-US"/>
              </w:rPr>
              <w:t>合计</w:t>
            </w:r>
          </w:p>
        </w:tc>
        <w:tc>
          <w:tcPr>
            <w:tcW w:w="1350" w:type="dxa"/>
            <w:shd w:val="clear" w:color="auto" w:fill="auto"/>
            <w:noWrap w:val="0"/>
            <w:vAlign w:val="center"/>
          </w:tcPr>
          <w:p>
            <w:pPr>
              <w:pStyle w:val="6"/>
              <w:jc w:val="center"/>
              <w:rPr>
                <w:rFonts w:hint="eastAsia"/>
                <w:sz w:val="21"/>
              </w:rPr>
            </w:pPr>
          </w:p>
        </w:tc>
        <w:tc>
          <w:tcPr>
            <w:tcW w:w="1439" w:type="dxa"/>
            <w:shd w:val="clear" w:color="auto" w:fill="auto"/>
            <w:noWrap w:val="0"/>
            <w:vAlign w:val="center"/>
          </w:tcPr>
          <w:p>
            <w:pPr>
              <w:pStyle w:val="6"/>
              <w:jc w:val="center"/>
              <w:rPr>
                <w:rFonts w:hint="eastAsia"/>
                <w:sz w:val="21"/>
              </w:rPr>
            </w:pPr>
          </w:p>
        </w:tc>
        <w:tc>
          <w:tcPr>
            <w:tcW w:w="1077" w:type="dxa"/>
            <w:shd w:val="clear" w:color="auto" w:fill="auto"/>
            <w:noWrap w:val="0"/>
            <w:vAlign w:val="center"/>
          </w:tcPr>
          <w:p>
            <w:pPr>
              <w:pStyle w:val="6"/>
              <w:jc w:val="center"/>
              <w:rPr>
                <w:rFonts w:hint="eastAsia"/>
                <w:sz w:val="21"/>
              </w:rPr>
            </w:pPr>
          </w:p>
        </w:tc>
        <w:tc>
          <w:tcPr>
            <w:tcW w:w="984" w:type="dxa"/>
            <w:shd w:val="clear" w:color="auto" w:fill="auto"/>
            <w:noWrap w:val="0"/>
            <w:vAlign w:val="center"/>
          </w:tcPr>
          <w:p>
            <w:pPr>
              <w:pStyle w:val="6"/>
              <w:jc w:val="center"/>
              <w:rPr>
                <w:rFonts w:hint="eastAsia"/>
                <w:sz w:val="21"/>
              </w:rPr>
            </w:pPr>
          </w:p>
        </w:tc>
        <w:tc>
          <w:tcPr>
            <w:tcW w:w="883" w:type="dxa"/>
            <w:shd w:val="clear" w:color="auto" w:fill="auto"/>
            <w:noWrap w:val="0"/>
            <w:vAlign w:val="center"/>
          </w:tcPr>
          <w:p>
            <w:pPr>
              <w:pStyle w:val="6"/>
              <w:jc w:val="center"/>
              <w:rPr>
                <w:rFonts w:hint="eastAsia"/>
                <w:sz w:val="21"/>
              </w:rPr>
            </w:pPr>
          </w:p>
        </w:tc>
        <w:tc>
          <w:tcPr>
            <w:tcW w:w="1065" w:type="dxa"/>
            <w:shd w:val="clear" w:color="auto" w:fill="auto"/>
            <w:noWrap w:val="0"/>
            <w:vAlign w:val="center"/>
          </w:tcPr>
          <w:p>
            <w:pPr>
              <w:pStyle w:val="6"/>
              <w:jc w:val="center"/>
              <w:rPr>
                <w:rFonts w:hint="eastAsia"/>
                <w:sz w:val="21"/>
              </w:rPr>
            </w:pPr>
          </w:p>
        </w:tc>
        <w:tc>
          <w:tcPr>
            <w:tcW w:w="1065" w:type="dxa"/>
            <w:shd w:val="clear" w:color="auto" w:fill="auto"/>
            <w:noWrap w:val="0"/>
            <w:vAlign w:val="center"/>
          </w:tcPr>
          <w:p>
            <w:pPr>
              <w:pStyle w:val="6"/>
              <w:jc w:val="center"/>
              <w:rPr>
                <w:rFonts w:hint="eastAsia"/>
                <w:sz w:val="21"/>
              </w:rPr>
            </w:pPr>
          </w:p>
        </w:tc>
      </w:tr>
    </w:tbl>
    <w:p>
      <w:pPr>
        <w:spacing w:line="360" w:lineRule="auto"/>
        <w:ind w:firstLine="480" w:firstLineChars="200"/>
        <w:rPr>
          <w:rFonts w:hint="eastAsia"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3"/>
        <w:spacing w:before="0" w:beforeAutospacing="0" w:after="0" w:afterAutospacing="0" w:line="360" w:lineRule="auto"/>
        <w:ind w:firstLine="480"/>
        <w:rPr>
          <w:rFonts w:hint="eastAsia"/>
        </w:rPr>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：按需供货，按实结算</w:t>
      </w:r>
      <w:r>
        <w:rPr>
          <w:rFonts w:hint="eastAsia" w:ascii="宋体" w:hAnsi="宋体" w:cs="宋体"/>
          <w:sz w:val="24"/>
          <w:u w:val="single"/>
          <w:lang w:eastAsia="zh-CN"/>
        </w:rPr>
        <w:t>，</w:t>
      </w:r>
      <w:r>
        <w:rPr>
          <w:rFonts w:hint="eastAsia" w:ascii="宋体" w:hAnsi="Arial" w:cs="Arial" w:eastAsiaTheme="minorEastAsia"/>
          <w:snapToGrid w:val="0"/>
          <w:color w:val="auto"/>
          <w:kern w:val="2"/>
          <w:sz w:val="24"/>
          <w:szCs w:val="21"/>
          <w:u w:val="single"/>
          <w:lang w:val="en-US" w:eastAsia="zh-CN" w:bidi="ar-SA"/>
        </w:rPr>
        <w:t>每次供货不少于10吨</w:t>
      </w:r>
      <w:r>
        <w:rPr>
          <w:rFonts w:hint="eastAsia" w:ascii="宋体" w:hAnsi="宋体" w:cs="宋体"/>
          <w:sz w:val="24"/>
        </w:rPr>
        <w:t>；</w:t>
      </w:r>
      <w:r>
        <w:rPr>
          <w:rFonts w:hint="eastAsia" w:ascii="宋体" w:hAnsi="宋体" w:cs="宋体"/>
          <w:color w:val="auto"/>
          <w:sz w:val="24"/>
        </w:rPr>
        <w:t>合同清单数量仅为甲方暂定数量，乙方须按照甲方的采购订单数量供货，不得以超过合同暂定数量为由停止供货。</w:t>
      </w:r>
    </w:p>
    <w:p>
      <w:pPr>
        <w:pStyle w:val="23"/>
        <w:spacing w:before="0" w:beforeAutospacing="0" w:after="0" w:afterAutospacing="0" w:line="360" w:lineRule="auto"/>
        <w:ind w:firstLine="480"/>
        <w:rPr>
          <w:b/>
        </w:rPr>
      </w:pPr>
      <w:bookmarkStart w:id="390" w:name="_Toc1814"/>
      <w:bookmarkStart w:id="391" w:name="_Toc10340"/>
      <w:bookmarkStart w:id="392" w:name="_Toc22618"/>
      <w:r>
        <w:rPr>
          <w:rFonts w:hint="eastAsia"/>
          <w:b/>
        </w:rPr>
        <w:t>三、合同期限期限、货物交付期限、地点和联系方式、交付方式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自合同签订后12个月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hint="eastAsia"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hint="eastAsia"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hint="eastAsia"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hint="eastAsia" w:ascii="宋体" w:hAnsi="宋体" w:cs="宋体"/>
          <w:color w:val="auto"/>
          <w:sz w:val="24"/>
          <w:u w:val="single"/>
        </w:rPr>
      </w:pPr>
      <w:r>
        <w:rPr>
          <w:rFonts w:hint="eastAsia" w:ascii="宋体" w:hAnsi="宋体" w:cs="宋体"/>
          <w:color w:val="auto"/>
          <w:sz w:val="24"/>
          <w:u w:val="single"/>
        </w:rPr>
        <w:t>（1）推荐乙方安排自有员工送货到甲方指定地点；</w:t>
      </w:r>
    </w:p>
    <w:p>
      <w:pPr>
        <w:spacing w:line="360" w:lineRule="auto"/>
        <w:ind w:firstLine="480" w:firstLineChars="200"/>
        <w:rPr>
          <w:rFonts w:hint="eastAsia" w:ascii="宋体" w:hAnsi="宋体" w:cs="宋体"/>
          <w:color w:val="auto"/>
          <w:sz w:val="24"/>
          <w:u w:val="single"/>
        </w:rPr>
      </w:pPr>
      <w:r>
        <w:rPr>
          <w:rFonts w:hint="eastAsia" w:ascii="宋体" w:hAnsi="宋体" w:cs="宋体"/>
          <w:color w:val="auto"/>
          <w:sz w:val="24"/>
          <w:u w:val="single"/>
        </w:rPr>
        <w:t>（2）乙方委托物流公司交货的，乙方应提前告知甲方经办人员，同时须授权物流人员办理交货、验收、退换货等事宜。</w:t>
      </w:r>
    </w:p>
    <w:p>
      <w:pPr>
        <w:spacing w:line="360" w:lineRule="auto"/>
        <w:ind w:firstLine="480" w:firstLineChars="200"/>
        <w:rPr>
          <w:rFonts w:hint="eastAsia"/>
          <w:b/>
          <w:color w:val="auto"/>
        </w:rPr>
      </w:pPr>
      <w:r>
        <w:rPr>
          <w:rFonts w:hint="eastAsia" w:ascii="宋体" w:hAnsi="宋体" w:cs="宋体"/>
          <w:color w:val="auto"/>
          <w:sz w:val="24"/>
          <w:u w:val="single"/>
        </w:rPr>
        <w:t>（3）特殊情况下，双方友好协商解决。</w:t>
      </w:r>
    </w:p>
    <w:p>
      <w:pPr>
        <w:pStyle w:val="23"/>
        <w:spacing w:before="0" w:beforeAutospacing="0" w:after="0" w:afterAutospacing="0" w:line="360" w:lineRule="auto"/>
        <w:ind w:firstLine="480"/>
        <w:rPr>
          <w:rFonts w:hint="eastAsia"/>
          <w:b/>
        </w:rPr>
      </w:pPr>
      <w:r>
        <w:rPr>
          <w:rFonts w:hint="eastAsia"/>
          <w:b/>
        </w:rPr>
        <w:t>四、技术和质量要求</w:t>
      </w:r>
    </w:p>
    <w:p>
      <w:pPr>
        <w:spacing w:line="360" w:lineRule="auto"/>
        <w:ind w:firstLine="480" w:firstLineChars="200"/>
        <w:rPr>
          <w:rFonts w:ascii="宋体" w:hAnsi="宋体" w:cs="宋体"/>
          <w:sz w:val="24"/>
          <w:u w:val="single"/>
        </w:rPr>
      </w:pPr>
      <w:r>
        <w:rPr>
          <w:rFonts w:hint="eastAsia" w:ascii="宋体" w:hAnsi="宋体" w:cs="宋体"/>
          <w:sz w:val="24"/>
        </w:rPr>
        <w:t>1.品牌和和型号等技术参数满足采购内容中的规格型号/技术要求</w:t>
      </w:r>
      <w:r>
        <w:rPr>
          <w:rFonts w:hint="eastAsia" w:cs="宋体"/>
          <w:sz w:val="24"/>
        </w:rPr>
        <w:t>，</w:t>
      </w:r>
      <w:r>
        <w:rPr>
          <w:rFonts w:hint="eastAsia" w:ascii="宋体" w:hAnsi="宋体" w:cs="宋体"/>
          <w:sz w:val="24"/>
          <w:u w:val="single"/>
        </w:rPr>
        <w:t xml:space="preserve">有国家、地方、行业标准、规范（含强制适用标准、规范和推荐适用标准、规范）的，按相应标准、规范执行（不同标准、规范之间要求不一的，按要求较高者执行）。 </w:t>
      </w:r>
    </w:p>
    <w:p>
      <w:pPr>
        <w:pStyle w:val="23"/>
        <w:spacing w:before="0" w:beforeAutospacing="0" w:after="0" w:afterAutospacing="0" w:line="360" w:lineRule="auto"/>
        <w:ind w:firstLine="480" w:firstLineChars="200"/>
        <w:rPr>
          <w:rFonts w:hint="default" w:eastAsiaTheme="minorEastAsia"/>
          <w:kern w:val="2"/>
          <w:lang w:val="en-US" w:eastAsia="zh-CN"/>
        </w:rPr>
      </w:pPr>
      <w:r>
        <w:rPr>
          <w:rFonts w:hint="eastAsia"/>
          <w:kern w:val="2"/>
          <w:lang w:val="en-US" w:eastAsia="zh-CN"/>
        </w:rPr>
        <w:t>2.乙方提供的货物必须为原厂正品，不得为假冒伪劣产品。</w:t>
      </w:r>
    </w:p>
    <w:p>
      <w:pPr>
        <w:pStyle w:val="23"/>
        <w:spacing w:before="0" w:beforeAutospacing="0" w:after="0" w:afterAutospacing="0" w:line="360" w:lineRule="auto"/>
        <w:ind w:firstLine="480" w:firstLineChars="200"/>
        <w:rPr>
          <w:rFonts w:hint="eastAsia"/>
        </w:rPr>
      </w:pPr>
      <w:r>
        <w:rPr>
          <w:rFonts w:hint="eastAsia"/>
          <w:kern w:val="2"/>
          <w:lang w:val="en-US" w:eastAsia="zh-CN"/>
        </w:rPr>
        <w:t>3</w:t>
      </w:r>
      <w:r>
        <w:rPr>
          <w:rFonts w:hint="eastAsia"/>
          <w:kern w:val="2"/>
        </w:rPr>
        <w:t>.</w:t>
      </w:r>
      <w:r>
        <w:rPr>
          <w:rFonts w:hint="eastAsia"/>
        </w:rPr>
        <w:t>货期有效期：到货验收合格之日起算不少于</w:t>
      </w:r>
      <w:r>
        <w:rPr>
          <w:rFonts w:hint="eastAsia"/>
          <w:lang w:val="en-US" w:eastAsia="zh-CN"/>
        </w:rPr>
        <w:t>6个月</w:t>
      </w:r>
      <w:r>
        <w:rPr>
          <w:rFonts w:hint="eastAsia"/>
        </w:rPr>
        <w:t>。</w:t>
      </w:r>
    </w:p>
    <w:p>
      <w:pPr>
        <w:pStyle w:val="23"/>
        <w:spacing w:before="0" w:beforeAutospacing="0" w:after="0" w:afterAutospacing="0" w:line="360" w:lineRule="auto"/>
        <w:ind w:firstLine="480" w:firstLineChars="200"/>
        <w:rPr>
          <w:rFonts w:hint="eastAsia"/>
        </w:rPr>
      </w:pPr>
      <w:r>
        <w:rPr>
          <w:rFonts w:hint="eastAsia"/>
          <w:lang w:val="en-US" w:eastAsia="zh-CN"/>
        </w:rPr>
        <w:t>4</w:t>
      </w:r>
      <w:r>
        <w:rPr>
          <w:rFonts w:hint="eastAsia"/>
        </w:rPr>
        <w:t>.其他要求：</w:t>
      </w:r>
    </w:p>
    <w:p>
      <w:pPr>
        <w:pStyle w:val="23"/>
        <w:spacing w:before="0" w:beforeAutospacing="0" w:after="0" w:afterAutospacing="0" w:line="360" w:lineRule="auto"/>
        <w:ind w:firstLine="480" w:firstLineChars="200"/>
      </w:pPr>
      <w:r>
        <w:rPr>
          <w:rFonts w:hint="eastAsia"/>
          <w:lang w:val="en-US" w:eastAsia="zh-CN"/>
        </w:rPr>
        <w:t>4</w:t>
      </w:r>
      <w:r>
        <w:rPr>
          <w:rFonts w:hint="eastAsia"/>
        </w:rPr>
        <w:t>.1</w:t>
      </w:r>
      <w:r>
        <w:rPr>
          <w:rFonts w:hint="eastAsia"/>
          <w:u w:val="single"/>
        </w:rPr>
        <w:t xml:space="preserve">            </w:t>
      </w:r>
      <w:r>
        <w:rPr>
          <w:rFonts w:hint="eastAsia"/>
          <w:u w:val="single"/>
          <w:lang w:eastAsia="zh-CN"/>
        </w:rPr>
        <w:t>无</w:t>
      </w:r>
      <w:r>
        <w:rPr>
          <w:rFonts w:hint="eastAsia"/>
          <w:u w:val="single"/>
        </w:rPr>
        <w:t xml:space="preserve">                         </w:t>
      </w:r>
    </w:p>
    <w:p>
      <w:pPr>
        <w:spacing w:line="360" w:lineRule="auto"/>
        <w:ind w:firstLine="482" w:firstLineChars="200"/>
        <w:outlineLvl w:val="0"/>
        <w:rPr>
          <w:rFonts w:hint="eastAsia" w:ascii="宋体" w:hAnsi="宋体" w:cs="宋体"/>
          <w:b/>
          <w:sz w:val="24"/>
        </w:rPr>
      </w:pPr>
      <w:bookmarkStart w:id="393" w:name="_Toc1125"/>
      <w:bookmarkStart w:id="394" w:name="_Toc14563"/>
      <w:bookmarkStart w:id="395" w:name="_Toc6596"/>
      <w:r>
        <w:rPr>
          <w:rFonts w:hint="eastAsia" w:ascii="宋体" w:hAnsi="宋体" w:cs="宋体"/>
          <w:b/>
          <w:sz w:val="24"/>
        </w:rPr>
        <w:t>五、服务要求</w:t>
      </w:r>
    </w:p>
    <w:p>
      <w:pPr>
        <w:pStyle w:val="6"/>
        <w:ind w:firstLine="480" w:firstLineChars="200"/>
        <w:rPr>
          <w:rFonts w:hint="eastAsia" w:eastAsiaTheme="minorEastAsia"/>
          <w:b/>
          <w:bCs/>
          <w:lang w:val="en-US" w:eastAsia="zh-CN"/>
        </w:rPr>
      </w:pPr>
      <w:r>
        <w:rPr>
          <w:rFonts w:hint="eastAsia"/>
          <w:lang w:val="en-US"/>
        </w:rPr>
        <w:t>1.根据甲方生产计划，确定送货数量要求，分</w:t>
      </w:r>
      <w:r>
        <w:rPr>
          <w:rFonts w:hint="eastAsia"/>
          <w:lang w:val="en-US" w:eastAsia="zh-CN"/>
        </w:rPr>
        <w:t>批次</w:t>
      </w:r>
      <w:r>
        <w:rPr>
          <w:rFonts w:hint="eastAsia"/>
          <w:lang w:val="en-US"/>
        </w:rPr>
        <w:t>供货，乙方负责在接到甲方电话或书面通知后在</w:t>
      </w:r>
      <w:r>
        <w:rPr>
          <w:rFonts w:hint="eastAsia"/>
          <w:lang w:val="en-US" w:eastAsia="zh-CN"/>
        </w:rPr>
        <w:t>5</w:t>
      </w:r>
      <w:r>
        <w:rPr>
          <w:rFonts w:hint="eastAsia"/>
          <w:lang w:val="en-US"/>
        </w:rPr>
        <w:t>个工作日内完成供货。</w:t>
      </w:r>
      <w:r>
        <w:rPr>
          <w:rFonts w:hint="eastAsia"/>
          <w:b/>
          <w:bCs/>
          <w:lang w:val="en-US"/>
        </w:rPr>
        <w:t>乙方负责卸货，人工费由乙方承担，甲方可免费提供叉车服务</w:t>
      </w:r>
      <w:r>
        <w:rPr>
          <w:rFonts w:hint="eastAsia"/>
          <w:b/>
          <w:bCs/>
          <w:lang w:val="en-US" w:eastAsia="zh-CN"/>
        </w:rPr>
        <w:t>。</w:t>
      </w:r>
    </w:p>
    <w:p>
      <w:pPr>
        <w:pStyle w:val="6"/>
        <w:ind w:firstLine="480" w:firstLineChars="200"/>
        <w:rPr>
          <w:rFonts w:hint="eastAsia"/>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6"/>
        <w:ind w:firstLine="480" w:firstLineChars="200"/>
        <w:rPr>
          <w:rFonts w:hint="eastAsia"/>
          <w:color w:val="auto"/>
          <w:lang w:val="en-US"/>
        </w:rPr>
      </w:pPr>
      <w:r>
        <w:rPr>
          <w:rFonts w:hint="eastAsia"/>
          <w:lang w:val="en-US"/>
        </w:rPr>
        <w:t>3.甲方不再对任何售后服务进行付费。乙方的派遣人员产生的一切费用由供应商承</w:t>
      </w:r>
      <w:r>
        <w:rPr>
          <w:rFonts w:hint="eastAsia"/>
          <w:color w:val="auto"/>
          <w:lang w:val="en-US"/>
        </w:rPr>
        <w:t>担。</w:t>
      </w:r>
    </w:p>
    <w:p>
      <w:pPr>
        <w:pStyle w:val="6"/>
        <w:ind w:firstLine="480" w:firstLineChars="200"/>
        <w:rPr>
          <w:rFonts w:hint="eastAsia"/>
          <w:color w:val="auto"/>
        </w:rPr>
      </w:pPr>
      <w:r>
        <w:rPr>
          <w:rFonts w:hint="eastAsia"/>
          <w:color w:val="auto"/>
          <w:u w:val="single"/>
          <w:lang w:val="en-US" w:eastAsia="zh-CN"/>
        </w:rPr>
        <w:t>4</w:t>
      </w:r>
      <w:r>
        <w:rPr>
          <w:rFonts w:hint="eastAsia"/>
          <w:color w:val="auto"/>
          <w:u w:val="single"/>
          <w:lang w:val="en-US"/>
        </w:rPr>
        <w:t>.在乙方所供的货物使用过程中，经甲方检测不合格的，乙方应在12小时内更换合格货物，造成甲方机械设备故障或货物损坏，由乙方承担甲方的一切损失，包括直接和间接损失。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hint="eastAsia" w:ascii="宋体" w:hAnsi="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rPr>
        <w:t>2.证明货物符合合同约定的文件是指包括但不限于合格证、检测报告（制造厂家或者第三方机构）、质量承诺（格式自拟）等证明材料。以下情况在甲方同意的前提下，可采用质量承诺的方式：</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rPr>
        <w:t>（1）低值易耗或者非标件等货物不能提供合格证或者检测报告的；</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hint="eastAsia"/>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sz w:val="24"/>
          <w:u w:val="single"/>
        </w:rPr>
      </w:pPr>
      <w:r>
        <w:rPr>
          <w:rFonts w:hint="eastAsia" w:ascii="宋体" w:hAnsi="宋体"/>
          <w:sz w:val="24"/>
          <w:u w:val="single"/>
        </w:rPr>
        <w:t>（1）有合法资质第三方机构验收单或者验收报告效力&gt;甲方的验收单或者验收报告&gt;合格证或出厂检测报告；</w:t>
      </w:r>
    </w:p>
    <w:p>
      <w:pPr>
        <w:spacing w:line="360" w:lineRule="auto"/>
        <w:ind w:firstLine="480" w:firstLineChars="200"/>
        <w:outlineLvl w:val="0"/>
        <w:rPr>
          <w:rFonts w:hint="eastAsia" w:ascii="宋体" w:hAnsi="宋体"/>
          <w:b w:val="0"/>
          <w:sz w:val="24"/>
          <w:u w:val="single"/>
        </w:rPr>
      </w:pPr>
      <w:r>
        <w:rPr>
          <w:rFonts w:hint="eastAsia" w:ascii="宋体" w:hAnsi="宋体"/>
          <w:sz w:val="24"/>
          <w:u w:val="single"/>
        </w:rPr>
        <w:t>（2）任何一方拒不配合检验（包括但不限于拒不配合取样、送样等）的，另一方有权单方委托检验；此种情形下出具的检验报告对拒不配合方产生约束力。</w:t>
      </w:r>
    </w:p>
    <w:p>
      <w:pPr>
        <w:pStyle w:val="6"/>
        <w:ind w:firstLine="482" w:firstLineChars="200"/>
        <w:rPr>
          <w:rFonts w:hint="eastAsia" w:hAnsi="宋体"/>
          <w:b/>
          <w:lang w:val="en-US"/>
        </w:rPr>
      </w:pPr>
      <w:r>
        <w:rPr>
          <w:rFonts w:hint="eastAsia" w:hAnsi="宋体"/>
          <w:b/>
          <w:lang w:val="en-US"/>
        </w:rPr>
        <w:t>七、验收特别约定条款</w:t>
      </w:r>
    </w:p>
    <w:p>
      <w:pPr>
        <w:tabs>
          <w:tab w:val="left" w:pos="360"/>
          <w:tab w:val="left" w:pos="540"/>
          <w:tab w:val="left" w:pos="1080"/>
        </w:tabs>
        <w:spacing w:line="360" w:lineRule="auto"/>
        <w:ind w:firstLine="480" w:firstLineChars="200"/>
        <w:rPr>
          <w:rFonts w:hint="eastAsia" w:ascii="宋体" w:hAnsi="宋体" w:cs="宋体" w:eastAsiaTheme="minorEastAsia"/>
          <w:sz w:val="24"/>
          <w:u w:val="none"/>
          <w:lang w:eastAsia="zh-CN"/>
        </w:rPr>
      </w:pPr>
      <w:r>
        <w:rPr>
          <w:rFonts w:hint="eastAsia" w:ascii="宋体" w:hAnsi="宋体" w:cs="宋体"/>
          <w:sz w:val="24"/>
          <w:u w:val="none"/>
        </w:rPr>
        <w:t>1.</w:t>
      </w:r>
      <w:r>
        <w:rPr>
          <w:rFonts w:hint="eastAsia" w:ascii="宋体" w:hAnsi="宋体" w:cs="宋体"/>
          <w:sz w:val="24"/>
          <w:u w:val="none"/>
          <w:lang w:eastAsia="zh-CN"/>
        </w:rPr>
        <w:t>数量</w:t>
      </w:r>
      <w:r>
        <w:rPr>
          <w:rFonts w:hint="eastAsia" w:ascii="宋体" w:hAnsi="宋体" w:cs="宋体"/>
          <w:sz w:val="24"/>
          <w:u w:val="single"/>
          <w:lang w:eastAsia="zh-CN"/>
        </w:rPr>
        <w:t>以甲方过磅净重</w:t>
      </w:r>
      <w:r>
        <w:rPr>
          <w:rFonts w:hint="eastAsia" w:ascii="宋体" w:hAnsi="宋体" w:cs="宋体"/>
          <w:sz w:val="24"/>
          <w:u w:val="none"/>
          <w:lang w:eastAsia="zh-CN"/>
        </w:rPr>
        <w:t>为结算依据，若甲方过磅净重小于乙方提供的送货数量，以甲方过磅净重为准；若甲方过磅净重大于等于乙方提供的送货数量，以乙方的送货数量为准。</w:t>
      </w:r>
    </w:p>
    <w:p>
      <w:pPr>
        <w:tabs>
          <w:tab w:val="left" w:pos="360"/>
          <w:tab w:val="left" w:pos="540"/>
          <w:tab w:val="left" w:pos="1080"/>
        </w:tabs>
        <w:spacing w:line="360" w:lineRule="auto"/>
        <w:ind w:firstLine="480" w:firstLineChars="200"/>
        <w:rPr>
          <w:rFonts w:hint="eastAsia" w:ascii="宋体" w:hAnsi="宋体" w:cs="宋体"/>
          <w:sz w:val="24"/>
          <w:u w:val="none"/>
        </w:rPr>
      </w:pPr>
      <w:r>
        <w:rPr>
          <w:rFonts w:hint="eastAsia" w:ascii="宋体" w:hAnsi="宋体" w:cs="宋体"/>
          <w:sz w:val="24"/>
          <w:u w:val="none"/>
          <w:lang w:val="en-US" w:eastAsia="zh-CN"/>
        </w:rPr>
        <w:t>2.</w:t>
      </w:r>
      <w:r>
        <w:rPr>
          <w:rFonts w:hint="eastAsia" w:ascii="宋体" w:hAnsi="宋体" w:cs="宋体"/>
          <w:sz w:val="24"/>
          <w:u w:val="none"/>
        </w:rPr>
        <w:t>甲方对乙方所供的重质碳酸钠抽样检测，以甲方对重质碳酸钠含量(以干基Na2CO3计)检测为验收依据，若满足合同约定指标要求，视为合格，反之则为不合格。同时甲方有权抽样并送双方认可且有检测资质的第三方检测机构检测，结果合格则由甲方承担，结果不合格，检测费由乙方承担。</w:t>
      </w:r>
    </w:p>
    <w:p>
      <w:pPr>
        <w:tabs>
          <w:tab w:val="left" w:pos="360"/>
          <w:tab w:val="left" w:pos="540"/>
          <w:tab w:val="left" w:pos="1080"/>
        </w:tabs>
        <w:spacing w:line="360" w:lineRule="auto"/>
        <w:ind w:firstLine="480" w:firstLineChars="200"/>
        <w:rPr>
          <w:rFonts w:hint="eastAsia" w:ascii="宋体" w:hAnsi="宋体" w:cs="宋体"/>
          <w:sz w:val="24"/>
          <w:u w:val="none"/>
        </w:rPr>
      </w:pPr>
      <w:r>
        <w:rPr>
          <w:rFonts w:hint="eastAsia" w:ascii="宋体" w:hAnsi="宋体" w:cs="宋体"/>
          <w:sz w:val="24"/>
          <w:u w:val="none"/>
          <w:lang w:val="en-US" w:eastAsia="zh-CN"/>
        </w:rPr>
        <w:t>3</w:t>
      </w:r>
      <w:r>
        <w:rPr>
          <w:rFonts w:hint="eastAsia" w:ascii="宋体" w:hAnsi="宋体" w:cs="宋体"/>
          <w:sz w:val="24"/>
          <w:u w:val="none"/>
        </w:rPr>
        <w:t>.若乙方对甲方的检测结果不认可，乙方有权提出送双方认可且有检测资质的第三方机构检测，检测费由乙方承担。</w:t>
      </w:r>
    </w:p>
    <w:p>
      <w:pPr>
        <w:tabs>
          <w:tab w:val="left" w:pos="360"/>
          <w:tab w:val="left" w:pos="540"/>
          <w:tab w:val="left" w:pos="1080"/>
        </w:tabs>
        <w:spacing w:line="360" w:lineRule="auto"/>
        <w:ind w:firstLine="480" w:firstLineChars="200"/>
        <w:rPr>
          <w:rFonts w:ascii="宋体" w:hAnsi="宋体" w:cs="宋体"/>
          <w:sz w:val="24"/>
          <w:u w:val="none"/>
        </w:rPr>
      </w:pPr>
      <w:r>
        <w:rPr>
          <w:rFonts w:hint="eastAsia" w:ascii="宋体" w:hAnsi="宋体" w:cs="宋体"/>
          <w:sz w:val="24"/>
          <w:u w:val="none"/>
          <w:lang w:val="en-US" w:eastAsia="zh-CN"/>
        </w:rPr>
        <w:t>4</w:t>
      </w:r>
      <w:r>
        <w:rPr>
          <w:rFonts w:hint="eastAsia" w:ascii="宋体" w:hAnsi="宋体" w:cs="宋体"/>
          <w:sz w:val="24"/>
          <w:u w:val="none"/>
        </w:rPr>
        <w:t>.若因甲方生产急需但甲方检测结果未出的情况下，甲方使用该批货物前需征求乙方同意，使用的部分按合格品验收。</w:t>
      </w:r>
    </w:p>
    <w:p>
      <w:pPr>
        <w:pStyle w:val="6"/>
        <w:ind w:firstLine="482" w:firstLineChars="200"/>
        <w:rPr>
          <w:b/>
        </w:rPr>
      </w:pPr>
      <w:r>
        <w:rPr>
          <w:rFonts w:hint="eastAsia" w:hAnsi="宋体"/>
          <w:b/>
          <w:lang w:val="en-US"/>
        </w:rPr>
        <w:t>八、</w:t>
      </w:r>
      <w:r>
        <w:rPr>
          <w:rFonts w:hint="eastAsia"/>
          <w:b/>
        </w:rPr>
        <w:t>履约保证金</w:t>
      </w:r>
    </w:p>
    <w:p>
      <w:pPr>
        <w:pStyle w:val="23"/>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val="0"/>
          <w:iCs w:val="0"/>
          <w:kern w:val="0"/>
          <w:sz w:val="24"/>
          <w:u w:val="single"/>
        </w:rPr>
        <w:t xml:space="preserve">5 </w:t>
      </w:r>
      <w:r>
        <w:rPr>
          <w:rFonts w:hint="eastAsia" w:ascii="宋体" w:hAnsi="宋体" w:cs="宋体"/>
          <w:i w:val="0"/>
          <w:iCs w:val="0"/>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hint="eastAsia"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hint="eastAsia"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cs="宋体"/>
          <w:b/>
          <w:sz w:val="24"/>
        </w:rPr>
      </w:pPr>
      <w:r>
        <w:rPr>
          <w:rFonts w:hint="eastAsia" w:ascii="宋体" w:hAnsi="宋体" w:cs="宋体"/>
          <w:b/>
          <w:sz w:val="24"/>
        </w:rPr>
        <w:t>九、预付款</w:t>
      </w:r>
    </w:p>
    <w:p>
      <w:pPr>
        <w:pStyle w:val="23"/>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w:t>
      </w:r>
      <w:r>
        <w:rPr>
          <w:rFonts w:hint="eastAsia" w:ascii="宋体" w:hAnsi="宋体" w:cs="宋体"/>
          <w:kern w:val="0"/>
          <w:sz w:val="24"/>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2.预付款的扣回方式：</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3"/>
        <w:spacing w:before="0" w:beforeAutospacing="0" w:after="0" w:afterAutospacing="0" w:line="360" w:lineRule="auto"/>
        <w:ind w:firstLine="480"/>
        <w:rPr>
          <w:u w:val="single"/>
        </w:rPr>
      </w:pPr>
      <w:r>
        <w:rPr>
          <w:rFonts w:hint="eastAsia"/>
        </w:rPr>
        <w:t>3.预付款的担保措施：</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3"/>
        <w:spacing w:before="0" w:beforeAutospacing="0" w:after="0" w:afterAutospacing="0" w:line="360" w:lineRule="auto"/>
        <w:ind w:firstLine="480"/>
        <w:rPr>
          <w:b/>
          <w:bCs/>
        </w:rPr>
      </w:pPr>
      <w:r>
        <w:rPr>
          <w:rFonts w:hint="eastAsia"/>
          <w:b/>
          <w:bCs/>
        </w:rPr>
        <w:t>十、资金支付</w:t>
      </w:r>
    </w:p>
    <w:p>
      <w:pPr>
        <w:pStyle w:val="23"/>
        <w:spacing w:before="0" w:beforeAutospacing="0" w:after="0" w:afterAutospacing="0" w:line="360" w:lineRule="auto"/>
        <w:ind w:firstLine="480"/>
        <w:rPr>
          <w:rFonts w:hint="eastAsia"/>
        </w:rPr>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3"/>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5 /10/20</w:t>
      </w:r>
      <w:r>
        <w:rPr>
          <w:rFonts w:hint="eastAsia"/>
          <w:u w:val="single"/>
        </w:rPr>
        <w:t xml:space="preserve">  </w:t>
      </w:r>
      <w:r>
        <w:rPr>
          <w:rFonts w:hint="eastAsia"/>
        </w:rPr>
        <w:t>%；</w:t>
      </w:r>
    </w:p>
    <w:p>
      <w:pPr>
        <w:pStyle w:val="23"/>
        <w:spacing w:before="0" w:beforeAutospacing="0" w:after="0" w:afterAutospacing="0" w:line="360" w:lineRule="auto"/>
        <w:ind w:firstLine="480"/>
        <w:rPr>
          <w:rFonts w:hint="eastAsia"/>
        </w:rPr>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3"/>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b/>
          <w:bCs/>
          <w:u w:val="single"/>
          <w:lang w:eastAsia="zh-CN"/>
        </w:rPr>
        <w:t>（</w:t>
      </w:r>
      <w:r>
        <w:rPr>
          <w:rFonts w:hint="eastAsia"/>
          <w:b/>
          <w:bCs/>
          <w:u w:val="single"/>
          <w:lang w:val="en-US" w:eastAsia="zh-CN"/>
        </w:rPr>
        <w:t>1</w:t>
      </w:r>
      <w:r>
        <w:rPr>
          <w:rFonts w:hint="eastAsia"/>
          <w:b/>
          <w:bCs/>
          <w:u w:val="single"/>
          <w:lang w:eastAsia="zh-CN"/>
        </w:rPr>
        <w:t>）</w:t>
      </w:r>
      <w:r>
        <w:rPr>
          <w:rFonts w:hint="eastAsia"/>
          <w:u w:val="single"/>
        </w:rPr>
        <w:t xml:space="preserve">  </w:t>
      </w:r>
      <w:r>
        <w:rPr>
          <w:rFonts w:hint="eastAsia"/>
        </w:rPr>
        <w:t>条款规定：</w:t>
      </w:r>
    </w:p>
    <w:p>
      <w:pPr>
        <w:pStyle w:val="23"/>
        <w:spacing w:before="0" w:beforeAutospacing="0" w:after="0" w:afterAutospacing="0" w:line="360" w:lineRule="auto"/>
        <w:ind w:firstLine="480"/>
        <w:rPr>
          <w:u w:val="single"/>
        </w:rPr>
      </w:pPr>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3"/>
        <w:spacing w:before="0" w:beforeAutospacing="0" w:after="0" w:afterAutospacing="0" w:line="360" w:lineRule="auto"/>
        <w:ind w:firstLine="480"/>
        <w:rPr>
          <w:u w:val="none"/>
        </w:rPr>
      </w:pPr>
      <w:r>
        <w:rPr>
          <w:rFonts w:hint="eastAsia"/>
          <w:u w:val="non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3"/>
        <w:spacing w:before="0" w:beforeAutospacing="0" w:after="0" w:afterAutospacing="0" w:line="360" w:lineRule="auto"/>
        <w:ind w:firstLine="480"/>
        <w:rPr>
          <w:rFonts w:hint="eastAsia"/>
          <w:u w:val="none"/>
        </w:rPr>
      </w:pPr>
      <w:r>
        <w:rPr>
          <w:rFonts w:hint="eastAsia"/>
          <w:u w:val="none"/>
        </w:rPr>
        <w:t xml:space="preserve">（3）一次性付款，经甲方验收合格后，甲方收到乙方提供的增值税专用发票后，甲方在本合同约定时间内完成支付。  </w:t>
      </w:r>
    </w:p>
    <w:p>
      <w:pPr>
        <w:pStyle w:val="23"/>
        <w:spacing w:before="0" w:beforeAutospacing="0" w:after="0" w:afterAutospacing="0" w:line="360" w:lineRule="auto"/>
        <w:ind w:firstLine="480" w:firstLineChars="200"/>
        <w:rPr>
          <w:rFonts w:hint="eastAsia"/>
          <w:u w:val="none"/>
        </w:rPr>
      </w:pPr>
      <w:r>
        <w:rPr>
          <w:rFonts w:hint="eastAsia"/>
          <w:u w:val="none"/>
        </w:rPr>
        <w:t>（4）其他付款方式：</w:t>
      </w:r>
      <w:r>
        <w:rPr>
          <w:rFonts w:hint="eastAsia"/>
          <w:u w:val="single"/>
        </w:rPr>
        <w:t xml:space="preserve">      </w:t>
      </w:r>
      <w:r>
        <w:rPr>
          <w:rFonts w:hint="eastAsia"/>
          <w:u w:val="single"/>
          <w:lang w:val="en-US" w:eastAsia="zh-CN"/>
        </w:rPr>
        <w:t>/</w:t>
      </w:r>
      <w:r>
        <w:rPr>
          <w:rFonts w:hint="eastAsia"/>
          <w:u w:val="single"/>
        </w:rPr>
        <w:t xml:space="preserve">     </w:t>
      </w:r>
      <w:r>
        <w:rPr>
          <w:rFonts w:hint="eastAsia"/>
          <w:u w:val="none"/>
        </w:rPr>
        <w:t xml:space="preserve">  。         </w:t>
      </w:r>
    </w:p>
    <w:bookmarkEnd w:id="396"/>
    <w:bookmarkEnd w:id="397"/>
    <w:bookmarkEnd w:id="398"/>
    <w:p>
      <w:pPr>
        <w:spacing w:line="360" w:lineRule="auto"/>
        <w:ind w:firstLine="482" w:firstLineChars="200"/>
        <w:outlineLvl w:val="0"/>
        <w:rPr>
          <w:rFonts w:ascii="宋体" w:hAnsi="宋体" w:cs="宋体"/>
          <w:b/>
          <w:sz w:val="24"/>
        </w:rPr>
      </w:pPr>
      <w:bookmarkStart w:id="399" w:name="_Toc27250"/>
      <w:bookmarkStart w:id="400" w:name="_Toc21423"/>
      <w:bookmarkStart w:id="401" w:name="_Toc19554"/>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%计算，迟延交付达到</w:t>
      </w:r>
      <w:r>
        <w:rPr>
          <w:rFonts w:hint="eastAsia" w:ascii="宋体" w:hAnsi="宋体"/>
          <w:b/>
          <w:bCs/>
          <w:sz w:val="24"/>
          <w:u w:val="single"/>
          <w:lang w:val="en-US" w:eastAsia="zh-CN"/>
        </w:rPr>
        <w:t>15</w:t>
      </w:r>
      <w:r>
        <w:rPr>
          <w:rFonts w:hint="eastAsia" w:ascii="宋体" w:hAnsi="宋体"/>
          <w:sz w:val="24"/>
        </w:rPr>
        <w:t>天的</w:t>
      </w:r>
      <w:r>
        <w:rPr>
          <w:rFonts w:hint="eastAsia" w:ascii="宋体" w:hAnsi="宋体" w:cs="宋体"/>
          <w:sz w:val="24"/>
        </w:rPr>
        <w:t>，甲方有权单方解除本合同</w:t>
      </w:r>
      <w:r>
        <w:rPr>
          <w:rFonts w:hint="eastAsia" w:ascii="宋体" w:hAnsi="宋体"/>
          <w:sz w:val="24"/>
        </w:rPr>
        <w:t>，并要求乙方一次性承担（□本合同累计已发生金额/</w:t>
      </w:r>
      <w:r>
        <w:rPr>
          <w:rFonts w:hint="eastAsia" w:ascii="宋体" w:hAnsi="宋体"/>
          <w:sz w:val="24"/>
          <w:lang w:eastAsia="zh-CN"/>
        </w:rPr>
        <w:t>☑</w:t>
      </w:r>
      <w:r>
        <w:rPr>
          <w:rFonts w:hint="eastAsia" w:ascii="宋体" w:hAnsi="宋体"/>
          <w:sz w:val="24"/>
        </w:rPr>
        <w:t>合同约定总金额）</w:t>
      </w:r>
      <w:r>
        <w:rPr>
          <w:rFonts w:ascii="宋体" w:hAnsi="宋体"/>
          <w:sz w:val="24"/>
        </w:rPr>
        <w:t>30%</w:t>
      </w:r>
      <w:r>
        <w:rPr>
          <w:rFonts w:hint="eastAsia" w:ascii="宋体" w:hAnsi="宋体"/>
          <w:sz w:val="24"/>
        </w:rPr>
        <w:t>的违约金</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ascii="宋体" w:hAnsi="宋体"/>
          <w:sz w:val="24"/>
        </w:rPr>
        <w:t xml:space="preserve">  </w:t>
      </w:r>
      <w:r>
        <w:rPr>
          <w:rFonts w:hint="eastAsia" w:ascii="宋体" w:hAnsi="宋体"/>
          <w:sz w:val="24"/>
        </w:rPr>
        <w:t>天的</w:t>
      </w:r>
      <w:r>
        <w:rPr>
          <w:rFonts w:hint="eastAsia" w:ascii="宋体" w:hAnsi="宋体" w:cs="宋体"/>
          <w:sz w:val="24"/>
        </w:rPr>
        <w:t>，乙方有权在要求甲方支付违约金的同时，书面通知甲方解除本合同；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rPr>
          <w:rFonts w:hint="eastAsia"/>
        </w:rPr>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5583"/>
      <w:bookmarkStart w:id="403" w:name="_Toc28375"/>
      <w:bookmarkStart w:id="404" w:name="_Toc16021"/>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bCs w:val="0"/>
          <w:i w:val="0"/>
          <w:iCs/>
          <w:sz w:val="24"/>
          <w:u w:val="single"/>
        </w:rPr>
        <w:t>2</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1173"/>
      <w:bookmarkStart w:id="407" w:name="_Toc15322"/>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i w:val="0"/>
          <w:iCs w:val="0"/>
          <w:sz w:val="24"/>
        </w:rPr>
      </w:pPr>
      <w:r>
        <w:rPr>
          <w:rFonts w:hint="eastAsia" w:ascii="宋体" w:hAnsi="宋体" w:cs="宋体"/>
          <w:i w:val="0"/>
          <w:iCs w:val="0"/>
          <w:sz w:val="24"/>
        </w:rPr>
        <w:t>2.向</w:t>
      </w:r>
      <w:r>
        <w:rPr>
          <w:rFonts w:hint="eastAsia" w:ascii="宋体" w:hAnsi="宋体" w:cs="宋体"/>
          <w:b/>
          <w:i w:val="0"/>
          <w:iCs w:val="0"/>
          <w:sz w:val="24"/>
          <w:u w:val="single"/>
        </w:rPr>
        <w:t>甲方所在地</w:t>
      </w:r>
      <w:r>
        <w:rPr>
          <w:rFonts w:hint="eastAsia" w:ascii="宋体" w:hAnsi="宋体" w:cs="宋体"/>
          <w:i w:val="0"/>
          <w:iCs w:val="0"/>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2"/>
        <w:ind w:left="0" w:leftChars="0"/>
        <w:jc w:val="left"/>
        <w:rPr>
          <w:rFonts w:hint="eastAsia"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2"/>
        <w:ind w:left="0" w:leftChars="0" w:firstLine="0" w:firstLineChars="0"/>
        <w:rPr>
          <w:rFonts w:hint="eastAsia"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8499"/>
      <w:bookmarkStart w:id="409" w:name="_Toc19614"/>
      <w:bookmarkStart w:id="410" w:name="_Toc487900349"/>
      <w:bookmarkStart w:id="411" w:name="_Ref467379101"/>
      <w:bookmarkStart w:id="412" w:name="_Ref467379109"/>
      <w:bookmarkStart w:id="413" w:name="_Toc28763"/>
      <w:bookmarkStart w:id="414" w:name="_Ref467379214"/>
      <w:bookmarkStart w:id="415" w:name="_Ref467379205"/>
      <w:bookmarkStart w:id="416" w:name="_Toc16917"/>
      <w:bookmarkStart w:id="417" w:name="_Toc259093669"/>
      <w:bookmarkStart w:id="418" w:name="_Ref467378463"/>
      <w:bookmarkStart w:id="419" w:name="_Ref467379094"/>
      <w:bookmarkStart w:id="420" w:name="_Ref467378404"/>
      <w:bookmarkStart w:id="421" w:name="_Toc279701240"/>
      <w:bookmarkStart w:id="422" w:name="_Ref467379225"/>
      <w:bookmarkStart w:id="423" w:name="_Ref46737919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487900350"/>
      <w:bookmarkStart w:id="428" w:name="_Toc279701241"/>
      <w:bookmarkStart w:id="429" w:name="_Toc27635"/>
      <w:bookmarkStart w:id="430" w:name="_Toc259093670"/>
      <w:bookmarkStart w:id="431" w:name="_Toc13336"/>
      <w:bookmarkStart w:id="432" w:name="_Toc32504"/>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31634"/>
      <w:bookmarkStart w:id="434" w:name="_Toc27853"/>
      <w:bookmarkStart w:id="435" w:name="_Toc9829"/>
      <w:bookmarkStart w:id="436" w:name="_Toc487900351"/>
      <w:bookmarkStart w:id="437" w:name="_Toc259093671"/>
      <w:bookmarkStart w:id="438" w:name="_Toc279701242"/>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hint="eastAsia" w:ascii="宋体" w:hAnsi="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hint="eastAsia" w:ascii="宋体" w:hAnsi="宋体" w:cs="宋体"/>
          <w:b/>
          <w:bCs/>
          <w:sz w:val="24"/>
        </w:rPr>
      </w:pPr>
      <w:r>
        <w:rPr>
          <w:rFonts w:hint="eastAsia" w:ascii="宋体" w:hAnsi="宋体" w:cs="宋体"/>
          <w:b/>
          <w:bCs/>
          <w:sz w:val="24"/>
        </w:rPr>
        <w:t>2.乙方交付货物的要求如下：</w:t>
      </w:r>
    </w:p>
    <w:p>
      <w:pPr>
        <w:spacing w:line="360" w:lineRule="auto"/>
        <w:ind w:firstLine="480" w:firstLineChars="200"/>
        <w:rPr>
          <w:rFonts w:hint="eastAsia"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hint="eastAsia"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hint="eastAsia"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hint="eastAsia" w:ascii="宋体" w:hAnsi="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793"/>
      <w:bookmarkStart w:id="447" w:name="_Ref467379807"/>
      <w:bookmarkStart w:id="448" w:name="_Toc259093676"/>
      <w:bookmarkStart w:id="449" w:name="_Toc487900357"/>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52"/>
      <w:bookmarkStart w:id="453" w:name="_Toc487900358"/>
      <w:bookmarkStart w:id="454" w:name="_Ref467379863"/>
      <w:bookmarkStart w:id="455" w:name="_Toc259093677"/>
      <w:bookmarkStart w:id="456" w:name="_Ref467379923"/>
      <w:bookmarkStart w:id="457" w:name="_Toc279701248"/>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hint="eastAsia" w:ascii="宋体" w:hAnsi="宋体" w:cs="宋体"/>
          <w:b/>
          <w:sz w:val="24"/>
        </w:rPr>
      </w:pPr>
      <w:bookmarkStart w:id="467" w:name="_Toc7502"/>
      <w:bookmarkStart w:id="468" w:name="_Toc279701254"/>
      <w:bookmarkStart w:id="469" w:name="_Toc259093683"/>
      <w:bookmarkStart w:id="470" w:name="_Toc487900364"/>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hint="eastAsia" w:ascii="宋体" w:hAnsi="宋体"/>
          <w:sz w:val="24"/>
        </w:rPr>
      </w:pPr>
      <w:bookmarkStart w:id="472" w:name="_Toc487900369"/>
      <w:bookmarkStart w:id="473" w:name="_Toc279701259"/>
      <w:bookmarkStart w:id="474" w:name="_Toc259093688"/>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59093684"/>
      <w:bookmarkStart w:id="482" w:name="_Toc6969"/>
      <w:bookmarkStart w:id="483" w:name="_Toc487900365"/>
      <w:bookmarkStart w:id="484" w:name="_Toc279701255"/>
      <w:bookmarkStart w:id="485" w:name="_Toc689"/>
      <w:bookmarkStart w:id="486"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16959"/>
      <w:bookmarkStart w:id="488" w:name="_Toc259093687"/>
      <w:bookmarkStart w:id="489" w:name="_Toc279701258"/>
      <w:bookmarkStart w:id="490" w:name="_Toc7102"/>
      <w:bookmarkStart w:id="491" w:name="_Toc487900368"/>
      <w:bookmarkStart w:id="492" w:name="_Toc829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hint="eastAsia"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hint="eastAsia"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3.合同到期后，自动终止合同；</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279701262"/>
      <w:bookmarkStart w:id="505" w:name="_Toc30599"/>
      <w:bookmarkStart w:id="506" w:name="_Toc4355"/>
      <w:bookmarkStart w:id="507" w:name="_Toc259093691"/>
      <w:bookmarkStart w:id="508" w:name="_Toc487900372"/>
      <w:bookmarkStart w:id="509" w:name="_Toc18540"/>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18567"/>
      <w:bookmarkStart w:id="511" w:name="_Toc12773"/>
      <w:bookmarkStart w:id="512" w:name="_Toc279701263"/>
      <w:bookmarkStart w:id="513" w:name="_Toc487900373"/>
      <w:bookmarkStart w:id="514" w:name="_Toc259093692"/>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下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2"/>
        <w:spacing w:line="360" w:lineRule="auto"/>
        <w:ind w:firstLine="640" w:firstLineChars="200"/>
        <w:jc w:val="both"/>
        <w:rPr>
          <w:rFonts w:hint="eastAsia" w:ascii="Arial" w:hAnsi="Arial" w:cs="Arial"/>
          <w:sz w:val="32"/>
        </w:rPr>
      </w:pPr>
    </w:p>
    <w:p>
      <w:pPr>
        <w:jc w:val="center"/>
        <w:rPr>
          <w:rFonts w:hint="eastAsia" w:ascii="宋体" w:hAnsi="宋体"/>
          <w:b/>
        </w:rPr>
      </w:pPr>
    </w:p>
    <w:p>
      <w:pPr>
        <w:jc w:val="center"/>
        <w:rPr>
          <w:rFonts w:hint="eastAsia" w:ascii="宋体" w:hAnsi="宋体"/>
          <w:b/>
        </w:rPr>
      </w:pPr>
    </w:p>
    <w:p>
      <w:pPr>
        <w:jc w:val="center"/>
        <w:rPr>
          <w:rFonts w:hint="eastAsia" w:ascii="宋体" w:hAnsi="宋体"/>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hint="eastAsia"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hint="eastAsia"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jc w:val="center"/>
        <w:rPr>
          <w:rFonts w:hint="eastAsia" w:ascii="宋体" w:hAnsi="宋体"/>
          <w:b/>
        </w:rPr>
      </w:pPr>
    </w:p>
    <w:p>
      <w:pPr>
        <w:jc w:val="center"/>
        <w:rPr>
          <w:rFonts w:hint="eastAsia" w:ascii="宋体" w:hAnsi="宋体"/>
          <w:b/>
        </w:rPr>
      </w:pPr>
    </w:p>
    <w:p>
      <w:pPr>
        <w:jc w:val="center"/>
        <w:rPr>
          <w:rFonts w:hint="eastAsia" w:ascii="宋体" w:hAnsi="宋体"/>
          <w:b/>
        </w:rPr>
      </w:pPr>
    </w:p>
    <w:p>
      <w:pPr>
        <w:jc w:val="center"/>
        <w:rPr>
          <w:rFonts w:hint="eastAsia" w:ascii="宋体" w:hAnsi="宋体"/>
          <w:b/>
        </w:rPr>
      </w:pPr>
    </w:p>
    <w:p>
      <w:pPr>
        <w:jc w:val="center"/>
        <w:rPr>
          <w:rFonts w:hint="eastAsia" w:ascii="宋体" w:hAnsi="宋体"/>
          <w:b/>
        </w:rPr>
      </w:pPr>
    </w:p>
    <w:p>
      <w:pPr>
        <w:jc w:val="center"/>
        <w:rPr>
          <w:rFonts w:hint="eastAsia" w:ascii="宋体" w:hAnsi="宋体"/>
          <w:b/>
        </w:rPr>
      </w:pPr>
    </w:p>
    <w:p>
      <w:pPr>
        <w:jc w:val="center"/>
        <w:rPr>
          <w:rFonts w:hint="eastAsia" w:ascii="宋体" w:hAnsi="宋体"/>
          <w:b/>
        </w:rPr>
      </w:pPr>
    </w:p>
    <w:p>
      <w:pPr>
        <w:pStyle w:val="2"/>
        <w:rPr>
          <w:rFonts w:hint="eastAsia" w:ascii="宋体" w:hAnsi="宋体"/>
          <w:b/>
        </w:rPr>
      </w:pPr>
    </w:p>
    <w:p>
      <w:pPr>
        <w:rPr>
          <w:rFonts w:hint="eastAsia" w:ascii="宋体" w:hAnsi="宋体"/>
          <w:b/>
        </w:rPr>
      </w:pPr>
    </w:p>
    <w:p>
      <w:pPr>
        <w:pStyle w:val="2"/>
        <w:rPr>
          <w:rFonts w:hint="eastAsia" w:ascii="宋体" w:hAnsi="宋体"/>
          <w:b/>
        </w:rPr>
      </w:pPr>
    </w:p>
    <w:p>
      <w:pPr>
        <w:jc w:val="both"/>
        <w:rPr>
          <w:rFonts w:hint="eastAsia" w:ascii="宋体" w:hAnsi="宋体"/>
          <w:b/>
        </w:rPr>
      </w:pPr>
    </w:p>
    <w:p>
      <w:pPr>
        <w:pStyle w:val="22"/>
        <w:spacing w:line="560" w:lineRule="exact"/>
        <w:ind w:left="0" w:leftChars="0" w:firstLine="0" w:firstLineChars="0"/>
        <w:jc w:val="center"/>
        <w:rPr>
          <w:rFonts w:hint="eastAsia" w:ascii="宋体" w:hAnsi="宋体"/>
          <w:b/>
          <w:szCs w:val="24"/>
        </w:rPr>
      </w:pPr>
      <w:r>
        <w:rPr>
          <w:rFonts w:hint="eastAsia" w:ascii="宋体" w:hAnsi="宋体"/>
          <w:b/>
          <w:szCs w:val="24"/>
        </w:rPr>
        <w:t>第</w:t>
      </w:r>
      <w:r>
        <w:rPr>
          <w:rFonts w:hint="eastAsia" w:ascii="宋体" w:hAnsi="宋体"/>
          <w:b/>
          <w:szCs w:val="24"/>
          <w:lang w:eastAsia="zh-CN"/>
        </w:rPr>
        <w:t>三</w:t>
      </w:r>
      <w:r>
        <w:rPr>
          <w:rFonts w:hint="eastAsia" w:ascii="宋体" w:hAnsi="宋体"/>
          <w:b/>
          <w:szCs w:val="24"/>
        </w:rPr>
        <w:t>章 廉洁协议</w:t>
      </w:r>
    </w:p>
    <w:p>
      <w:pPr>
        <w:pStyle w:val="9"/>
        <w:ind w:firstLine="0" w:firstLineChars="0"/>
        <w:rPr>
          <w:rFonts w:hint="eastAsia"/>
        </w:rPr>
      </w:pPr>
    </w:p>
    <w:p>
      <w:pPr>
        <w:adjustRightInd w:val="0"/>
        <w:spacing w:line="360" w:lineRule="auto"/>
        <w:ind w:left="1" w:right="77" w:firstLine="426"/>
        <w:rPr>
          <w:rFonts w:hint="eastAsia" w:ascii="宋体" w:hAnsi="宋体" w:cs="宋体"/>
          <w:color w:val="000000"/>
          <w:sz w:val="24"/>
          <w:u w:val="single"/>
        </w:rPr>
      </w:pPr>
      <w:r>
        <w:rPr>
          <w:rFonts w:hint="eastAsia" w:ascii="宋体" w:hAnsi="宋体" w:cs="宋体"/>
          <w:color w:val="000000"/>
          <w:sz w:val="24"/>
        </w:rPr>
        <w:t>甲方：</w:t>
      </w:r>
      <w:r>
        <w:rPr>
          <w:rFonts w:hint="eastAsia" w:ascii="宋体" w:hAnsi="宋体" w:cs="宋体"/>
          <w:color w:val="000000"/>
          <w:sz w:val="24"/>
          <w:u w:val="single"/>
        </w:rPr>
        <w:t>杭州临江环境能源有限公司</w:t>
      </w:r>
    </w:p>
    <w:p>
      <w:pPr>
        <w:adjustRightInd w:val="0"/>
        <w:spacing w:line="360" w:lineRule="auto"/>
        <w:ind w:left="1" w:right="77" w:firstLine="426"/>
        <w:rPr>
          <w:rFonts w:hint="eastAsia" w:ascii="宋体" w:hAnsi="宋体" w:cs="宋体"/>
          <w:color w:val="000000"/>
          <w:sz w:val="24"/>
          <w:u w:val="single"/>
        </w:rPr>
      </w:pPr>
      <w:r>
        <w:rPr>
          <w:rFonts w:hint="eastAsia" w:ascii="宋体" w:hAnsi="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hint="eastAsia" w:ascii="宋体" w:hAnsi="宋体" w:cs="宋体"/>
          <w:color w:val="000000"/>
          <w:sz w:val="24"/>
        </w:rPr>
      </w:pPr>
      <w:r>
        <w:rPr>
          <w:rFonts w:hint="eastAsia" w:ascii="宋体" w:hAnsi="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hint="eastAsia" w:ascii="宋体" w:hAnsi="宋体" w:cs="宋体"/>
          <w:b/>
          <w:bCs/>
          <w:color w:val="000000"/>
          <w:sz w:val="24"/>
        </w:rPr>
      </w:pPr>
      <w:r>
        <w:rPr>
          <w:rFonts w:hint="eastAsia" w:ascii="宋体" w:hAnsi="宋体" w:cs="宋体"/>
          <w:b/>
          <w:bCs/>
          <w:color w:val="000000"/>
          <w:sz w:val="24"/>
        </w:rPr>
        <w:t>一、甲、乙双方约定</w:t>
      </w:r>
    </w:p>
    <w:p>
      <w:pPr>
        <w:adjustRightInd w:val="0"/>
        <w:spacing w:line="360" w:lineRule="auto"/>
        <w:ind w:right="115" w:firstLine="480" w:firstLineChars="200"/>
        <w:rPr>
          <w:rFonts w:hint="eastAsia" w:ascii="宋体" w:hAnsi="宋体" w:cs="宋体"/>
          <w:color w:val="000000"/>
          <w:sz w:val="24"/>
        </w:rPr>
      </w:pPr>
      <w:r>
        <w:rPr>
          <w:rFonts w:hint="eastAsia" w:ascii="宋体" w:hAnsi="宋体" w:cs="宋体"/>
          <w:color w:val="000000"/>
          <w:sz w:val="24"/>
        </w:rPr>
        <w:t>1.甲、乙双方应共同严格遵守国家和省市以及招标人主管部门关于市场准入、项目招标投标、市场经济活动等有关法律、法规和相关政策，以及项目廉政建设的各项规定。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hint="eastAsia" w:ascii="宋体" w:hAnsi="宋体" w:cs="宋体"/>
          <w:color w:val="000000"/>
          <w:sz w:val="24"/>
        </w:rPr>
      </w:pPr>
      <w:r>
        <w:rPr>
          <w:rFonts w:hint="eastAsia" w:ascii="宋体" w:hAnsi="宋体" w:cs="宋体"/>
          <w:color w:val="000000"/>
          <w:sz w:val="24"/>
        </w:rPr>
        <w:t>2.甲、乙双方应认真执行双方签订的合同文件，自觉按合同约定履行责任。</w:t>
      </w:r>
    </w:p>
    <w:p>
      <w:pPr>
        <w:adjustRightInd w:val="0"/>
        <w:spacing w:line="360" w:lineRule="auto"/>
        <w:ind w:left="4" w:right="77" w:firstLine="480" w:firstLineChars="200"/>
        <w:rPr>
          <w:rFonts w:hint="eastAsia" w:ascii="宋体" w:hAnsi="宋体" w:cs="宋体"/>
          <w:color w:val="000000"/>
          <w:sz w:val="24"/>
        </w:rPr>
      </w:pPr>
      <w:r>
        <w:rPr>
          <w:rFonts w:hint="eastAsia" w:ascii="宋体" w:hAnsi="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hint="eastAsia" w:ascii="宋体" w:hAnsi="宋体" w:cs="宋体"/>
          <w:color w:val="000000"/>
          <w:sz w:val="24"/>
        </w:rPr>
      </w:pPr>
      <w:r>
        <w:rPr>
          <w:rFonts w:hint="eastAsia" w:ascii="宋体" w:hAnsi="宋体" w:cs="宋体"/>
          <w:color w:val="000000"/>
          <w:sz w:val="24"/>
        </w:rPr>
        <w:t>4.甲、乙双方有对本方人员开展廉政告知、廉政教育和职业道德教育的义务。</w:t>
      </w:r>
    </w:p>
    <w:p>
      <w:pPr>
        <w:adjustRightInd w:val="0"/>
        <w:spacing w:line="360" w:lineRule="auto"/>
        <w:ind w:left="3" w:right="77" w:firstLine="480" w:firstLineChars="200"/>
        <w:rPr>
          <w:rFonts w:hint="eastAsia" w:ascii="宋体" w:hAnsi="宋体" w:cs="宋体"/>
          <w:color w:val="000000"/>
          <w:sz w:val="24"/>
        </w:rPr>
      </w:pPr>
      <w:r>
        <w:rPr>
          <w:rFonts w:hint="eastAsia" w:ascii="宋体" w:hAnsi="宋体" w:cs="宋体"/>
          <w:color w:val="000000"/>
          <w:sz w:val="24"/>
        </w:rPr>
        <w:t>5.甲、乙双方应加强对本方人员廉政监督，建立健全廉政制度，认真严肃查处本方人员违法违纪行为。</w:t>
      </w:r>
    </w:p>
    <w:p>
      <w:pPr>
        <w:adjustRightInd w:val="0"/>
        <w:spacing w:line="360" w:lineRule="auto"/>
        <w:ind w:right="77" w:firstLine="482" w:firstLineChars="201"/>
        <w:rPr>
          <w:rFonts w:hint="eastAsia" w:ascii="宋体" w:hAnsi="宋体" w:cs="宋体"/>
          <w:color w:val="000000"/>
          <w:sz w:val="24"/>
        </w:rPr>
      </w:pPr>
      <w:r>
        <w:rPr>
          <w:rFonts w:hint="eastAsia" w:ascii="宋体" w:hAnsi="宋体" w:cs="宋体"/>
          <w:color w:val="000000"/>
          <w:sz w:val="24"/>
        </w:rPr>
        <w:t>6.甲、乙双方如发现对方人员在业务活动中有违规、违纪、违法行为的，应及时提醒对方并督促其纠正，或直接向对方法人代表、纪检监察部门及检察机关如实反映情况。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hint="eastAsia" w:ascii="宋体" w:hAnsi="宋体" w:cs="宋体"/>
          <w:b/>
          <w:bCs/>
          <w:color w:val="000000"/>
          <w:sz w:val="24"/>
        </w:rPr>
      </w:pPr>
      <w:r>
        <w:rPr>
          <w:rFonts w:hint="eastAsia" w:ascii="宋体" w:hAnsi="宋体" w:cs="宋体"/>
          <w:b/>
          <w:bCs/>
          <w:color w:val="000000"/>
          <w:sz w:val="24"/>
        </w:rPr>
        <w:t>二、甲方（含甲方人员）廉政责任</w:t>
      </w:r>
    </w:p>
    <w:p>
      <w:pPr>
        <w:adjustRightInd w:val="0"/>
        <w:spacing w:line="360" w:lineRule="auto"/>
        <w:ind w:firstLine="482" w:firstLineChars="201"/>
        <w:rPr>
          <w:rFonts w:hint="eastAsia" w:ascii="宋体" w:hAnsi="宋体" w:cs="宋体"/>
          <w:color w:val="000000"/>
          <w:sz w:val="24"/>
        </w:rPr>
      </w:pPr>
      <w:r>
        <w:rPr>
          <w:rFonts w:hint="eastAsia" w:ascii="宋体" w:hAnsi="宋体" w:cs="宋体"/>
          <w:color w:val="000000"/>
          <w:sz w:val="24"/>
        </w:rPr>
        <w:t>1.不得接受乙方或向乙方索取或以借用为名占用乙方的任何财物；不得接受乙方的礼金、</w:t>
      </w:r>
    </w:p>
    <w:p>
      <w:pPr>
        <w:adjustRightInd w:val="0"/>
        <w:spacing w:line="360" w:lineRule="auto"/>
        <w:ind w:left="4" w:hanging="3"/>
        <w:rPr>
          <w:rFonts w:hint="eastAsia" w:ascii="宋体" w:hAnsi="宋体" w:cs="宋体"/>
          <w:color w:val="000000"/>
          <w:sz w:val="24"/>
        </w:rPr>
      </w:pPr>
      <w:r>
        <w:rPr>
          <w:rFonts w:hint="eastAsia" w:ascii="宋体" w:hAnsi="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hint="eastAsia" w:ascii="宋体" w:hAnsi="宋体" w:cs="宋体"/>
          <w:color w:val="000000"/>
          <w:sz w:val="24"/>
        </w:rPr>
      </w:pPr>
      <w:r>
        <w:rPr>
          <w:rFonts w:hint="eastAsia" w:ascii="宋体" w:hAnsi="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hint="eastAsia" w:ascii="宋体" w:hAnsi="宋体" w:cs="宋体"/>
          <w:color w:val="000000"/>
          <w:sz w:val="24"/>
        </w:rPr>
      </w:pPr>
      <w:r>
        <w:rPr>
          <w:rFonts w:hint="eastAsia" w:ascii="宋体" w:hAnsi="宋体" w:cs="宋体"/>
          <w:color w:val="000000"/>
          <w:sz w:val="24"/>
        </w:rPr>
        <w:t>3.不得利用职务便利向乙方介绍或指定工程分包单位（或个人）、物资供应商；不得利用职务便利向乙方推销或指定使用物资设备等。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hint="eastAsia" w:ascii="宋体" w:hAnsi="宋体" w:cs="宋体"/>
          <w:color w:val="000000"/>
          <w:sz w:val="24"/>
        </w:rPr>
      </w:pPr>
      <w:r>
        <w:rPr>
          <w:rFonts w:hint="eastAsia" w:ascii="宋体" w:hAnsi="宋体" w:cs="宋体"/>
          <w:color w:val="000000"/>
          <w:sz w:val="24"/>
        </w:rPr>
        <w:t>4.不得接受乙方购置的或长期提供的通信工具、交通工具等。</w:t>
      </w:r>
    </w:p>
    <w:p>
      <w:pPr>
        <w:adjustRightInd w:val="0"/>
        <w:spacing w:line="360" w:lineRule="auto"/>
        <w:ind w:left="1" w:right="77" w:firstLine="480" w:firstLineChars="200"/>
        <w:rPr>
          <w:rFonts w:hint="eastAsia" w:ascii="宋体" w:hAnsi="宋体" w:cs="宋体"/>
          <w:color w:val="000000"/>
          <w:sz w:val="24"/>
        </w:rPr>
      </w:pPr>
      <w:r>
        <w:rPr>
          <w:rFonts w:hint="eastAsia" w:ascii="宋体" w:hAnsi="宋体" w:cs="宋体"/>
          <w:color w:val="000000"/>
          <w:sz w:val="24"/>
        </w:rPr>
        <w:t>5.对无法拒绝的乙方及其个人所送的钱物，受礼者自收受之日起一个月内上交至甲方监察审计部门。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hint="eastAsia" w:ascii="宋体" w:hAnsi="宋体" w:cs="宋体"/>
          <w:color w:val="000000"/>
          <w:sz w:val="24"/>
        </w:rPr>
      </w:pPr>
      <w:r>
        <w:rPr>
          <w:rFonts w:hint="eastAsia" w:ascii="宋体" w:hAnsi="宋体" w:cs="宋体"/>
          <w:color w:val="000000"/>
          <w:sz w:val="24"/>
        </w:rPr>
        <w:t>6.对乙方提供的有关信息，应及时调查处理并反馈结果。</w:t>
      </w:r>
    </w:p>
    <w:p>
      <w:pPr>
        <w:adjustRightInd w:val="0"/>
        <w:spacing w:line="360" w:lineRule="auto"/>
        <w:ind w:left="244" w:leftChars="116" w:right="3503" w:firstLine="477" w:firstLineChars="198"/>
        <w:rPr>
          <w:rFonts w:hint="eastAsia" w:ascii="宋体" w:hAnsi="宋体" w:cs="宋体"/>
          <w:b/>
          <w:bCs/>
          <w:color w:val="000000"/>
          <w:sz w:val="24"/>
        </w:rPr>
      </w:pPr>
      <w:r>
        <w:rPr>
          <w:rFonts w:hint="eastAsia" w:ascii="宋体" w:hAnsi="宋体" w:cs="宋体"/>
          <w:b/>
          <w:bCs/>
          <w:color w:val="000000"/>
          <w:sz w:val="24"/>
        </w:rPr>
        <w:t>三、乙方（含乙方人员）廉政责任</w:t>
      </w:r>
    </w:p>
    <w:p>
      <w:pPr>
        <w:adjustRightInd w:val="0"/>
        <w:spacing w:line="360" w:lineRule="auto"/>
        <w:ind w:right="77" w:firstLine="480" w:firstLineChars="200"/>
        <w:rPr>
          <w:rFonts w:hint="eastAsia" w:ascii="宋体" w:hAnsi="宋体" w:cs="宋体"/>
          <w:color w:val="000000"/>
          <w:sz w:val="24"/>
        </w:rPr>
      </w:pPr>
      <w:r>
        <w:rPr>
          <w:rFonts w:hint="eastAsia" w:ascii="宋体" w:hAnsi="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hint="eastAsia" w:ascii="宋体" w:hAnsi="宋体" w:cs="宋体"/>
          <w:color w:val="000000"/>
          <w:sz w:val="24"/>
        </w:rPr>
      </w:pPr>
      <w:r>
        <w:rPr>
          <w:rFonts w:hint="eastAsia" w:ascii="宋体" w:hAnsi="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hint="eastAsia" w:ascii="宋体" w:hAnsi="宋体" w:cs="宋体"/>
          <w:color w:val="000000"/>
          <w:sz w:val="24"/>
        </w:rPr>
      </w:pPr>
      <w:r>
        <w:rPr>
          <w:rFonts w:hint="eastAsia" w:ascii="宋体" w:hAnsi="宋体" w:cs="宋体"/>
          <w:color w:val="000000"/>
          <w:sz w:val="24"/>
        </w:rPr>
        <w:t>3.不得接受甲方介绍或指定的工程分包单位和物资供应商；不得接受甲方推销或指定使用的物资设备。</w:t>
      </w:r>
    </w:p>
    <w:p>
      <w:pPr>
        <w:adjustRightIn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4.不得以任何理由为甲方及其工作人员购置或长期提供通信工具、交通工具等。</w:t>
      </w:r>
    </w:p>
    <w:p>
      <w:pPr>
        <w:adjustRightInd w:val="0"/>
        <w:spacing w:line="360" w:lineRule="auto"/>
        <w:ind w:left="3" w:right="24" w:firstLine="480" w:firstLineChars="200"/>
        <w:rPr>
          <w:rFonts w:hint="eastAsia" w:ascii="宋体" w:hAnsi="宋体" w:cs="宋体"/>
          <w:color w:val="000000"/>
          <w:sz w:val="24"/>
        </w:rPr>
      </w:pPr>
      <w:r>
        <w:rPr>
          <w:rFonts w:hint="eastAsia" w:ascii="宋体" w:hAnsi="宋体" w:cs="宋体"/>
          <w:color w:val="000000"/>
          <w:sz w:val="24"/>
        </w:rPr>
        <w:t>5.对甲方及其个人索要钱物、介绍或指定工程分包单位和物资供应商、推销或指定使用物资设备、借用占用车辆等行为予以拒绝，并及时主动向乙方上级纪检监察组织报告。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hint="eastAsia" w:ascii="宋体" w:hAnsi="宋体" w:cs="宋体"/>
          <w:color w:val="000000"/>
          <w:sz w:val="24"/>
        </w:rPr>
      </w:pPr>
      <w:r>
        <w:rPr>
          <w:rFonts w:hint="eastAsia" w:ascii="宋体" w:hAnsi="宋体" w:cs="宋体"/>
          <w:color w:val="000000"/>
          <w:sz w:val="24"/>
        </w:rPr>
        <w:t>6.对甲方提供的乙方（含乙方人员）违纪违规有关信息，应及时调查处理并反馈结果。</w:t>
      </w:r>
    </w:p>
    <w:p>
      <w:pPr>
        <w:adjustRightInd w:val="0"/>
        <w:spacing w:line="360" w:lineRule="auto"/>
        <w:ind w:left="3" w:right="24" w:firstLine="480" w:firstLineChars="200"/>
        <w:rPr>
          <w:rFonts w:hint="eastAsia" w:ascii="宋体" w:hAnsi="宋体" w:cs="宋体"/>
          <w:color w:val="000000"/>
          <w:sz w:val="24"/>
        </w:rPr>
      </w:pPr>
      <w:r>
        <w:rPr>
          <w:rFonts w:hint="eastAsia" w:ascii="宋体" w:hAnsi="宋体" w:cs="宋体"/>
          <w:color w:val="000000"/>
          <w:sz w:val="24"/>
        </w:rPr>
        <w:t>7.乙方不得以任何理由为甲方及其工作人员组织有可能影响公正执行公务的宴请和各类休闲娱乐等活动。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hint="eastAsia" w:ascii="宋体" w:hAnsi="宋体" w:cs="宋体"/>
          <w:color w:val="000000"/>
          <w:sz w:val="24"/>
        </w:rPr>
      </w:pPr>
      <w:r>
        <w:rPr>
          <w:rFonts w:hint="eastAsia" w:ascii="宋体" w:hAnsi="宋体" w:cs="宋体"/>
          <w:color w:val="000000"/>
          <w:sz w:val="24"/>
        </w:rPr>
        <w:t>8.乙方及其工作人员必须严格按照有关规程办事，不得与其他单位互相串通，损害甲方利益。</w:t>
      </w:r>
    </w:p>
    <w:p>
      <w:pPr>
        <w:adjustRightInd w:val="0"/>
        <w:spacing w:line="360" w:lineRule="auto"/>
        <w:ind w:left="244" w:leftChars="116" w:right="90" w:firstLine="477" w:firstLineChars="198"/>
        <w:rPr>
          <w:rFonts w:hint="eastAsia" w:ascii="宋体" w:hAnsi="宋体" w:cs="宋体"/>
          <w:b/>
          <w:bCs/>
          <w:color w:val="000000"/>
          <w:sz w:val="24"/>
        </w:rPr>
      </w:pPr>
      <w:r>
        <w:rPr>
          <w:rFonts w:hint="eastAsia" w:ascii="宋体" w:hAnsi="宋体" w:cs="宋体"/>
          <w:b/>
          <w:bCs/>
          <w:color w:val="000000"/>
          <w:sz w:val="24"/>
        </w:rPr>
        <w:t>四、违约责任</w:t>
      </w:r>
    </w:p>
    <w:p>
      <w:pPr>
        <w:adjustRightInd w:val="0"/>
        <w:spacing w:line="360" w:lineRule="auto"/>
        <w:ind w:left="3" w:right="24" w:firstLine="506" w:firstLineChars="211"/>
        <w:rPr>
          <w:rFonts w:hint="eastAsia" w:ascii="宋体" w:hAnsi="宋体" w:cs="宋体"/>
          <w:color w:val="000000"/>
          <w:sz w:val="24"/>
        </w:rPr>
      </w:pPr>
      <w:r>
        <w:rPr>
          <w:rFonts w:hint="eastAsia" w:ascii="宋体" w:hAnsi="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hint="eastAsia" w:ascii="宋体" w:hAnsi="宋体" w:cs="宋体"/>
          <w:color w:val="000000"/>
          <w:sz w:val="24"/>
        </w:rPr>
      </w:pPr>
      <w:r>
        <w:rPr>
          <w:rFonts w:hint="eastAsia" w:ascii="宋体" w:hAnsi="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hint="eastAsia" w:ascii="宋体" w:hAnsi="宋体" w:cs="宋体"/>
          <w:color w:val="000000"/>
          <w:sz w:val="24"/>
        </w:rPr>
      </w:pPr>
      <w:r>
        <w:rPr>
          <w:rFonts w:hint="eastAsia" w:ascii="宋体" w:hAnsi="宋体" w:cs="宋体"/>
          <w:color w:val="000000"/>
          <w:sz w:val="24"/>
        </w:rPr>
        <w:t>2.乙方贿赂甲方人员的，被纪检监察部门或检察机关立案查处的，甲方有权中止项目合同，由此造成甲方的损失以及一切费用均由乙方承担。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hint="eastAsia" w:ascii="宋体" w:hAnsi="宋体" w:cs="宋体"/>
          <w:color w:val="000000"/>
          <w:sz w:val="24"/>
        </w:rPr>
      </w:pPr>
      <w:r>
        <w:rPr>
          <w:rFonts w:hint="eastAsia" w:ascii="宋体" w:hAnsi="宋体" w:cs="宋体"/>
          <w:color w:val="000000"/>
          <w:sz w:val="24"/>
        </w:rPr>
        <w:t>3.甲方双方不履行协议约定义务的，应将责任人调离本项目并按规定予以处理，且双方有义务将有关责任人的责任追究情况通报对方。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hint="eastAsia" w:ascii="宋体" w:hAnsi="宋体" w:cs="宋体"/>
          <w:color w:val="000000"/>
          <w:sz w:val="24"/>
        </w:rPr>
      </w:pPr>
      <w:r>
        <w:rPr>
          <w:rFonts w:hint="eastAsia" w:ascii="宋体" w:hAnsi="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hint="eastAsia" w:ascii="宋体" w:hAnsi="宋体" w:cs="宋体"/>
          <w:color w:val="000000"/>
          <w:sz w:val="24"/>
        </w:rPr>
      </w:pPr>
      <w:r>
        <w:rPr>
          <w:rFonts w:hint="eastAsia" w:ascii="宋体" w:hAnsi="宋体" w:cs="宋体"/>
          <w:color w:val="000000"/>
          <w:sz w:val="24"/>
        </w:rPr>
        <w:t>5.由于甲乙双方单位或工作人员个人行为造成违约的，双方承担上述违约责任。</w:t>
      </w:r>
    </w:p>
    <w:p>
      <w:pPr>
        <w:adjustRightInd w:val="0"/>
        <w:spacing w:line="360" w:lineRule="auto"/>
        <w:ind w:left="3" w:right="24" w:firstLine="480" w:firstLineChars="200"/>
        <w:rPr>
          <w:rFonts w:hint="eastAsia" w:ascii="宋体" w:hAnsi="宋体" w:cs="宋体"/>
          <w:color w:val="000000"/>
          <w:sz w:val="24"/>
        </w:rPr>
      </w:pPr>
      <w:r>
        <w:rPr>
          <w:rFonts w:hint="eastAsia" w:ascii="宋体" w:hAnsi="宋体" w:cs="宋体"/>
          <w:color w:val="000000"/>
          <w:sz w:val="24"/>
        </w:rPr>
        <w:t>6.甲乙双方在履行协议中发生争议，一方有权向对方上级单位主管部门和纪检监察部门反映情况并要求帮助解决争议。</w:t>
      </w:r>
    </w:p>
    <w:p>
      <w:pPr>
        <w:adjustRightInd w:val="0"/>
        <w:spacing w:line="360" w:lineRule="auto"/>
        <w:ind w:firstLine="492" w:firstLineChars="204"/>
        <w:rPr>
          <w:rFonts w:hint="eastAsia"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hint="eastAsia" w:ascii="宋体" w:hAnsi="宋体" w:cs="宋体"/>
          <w:color w:val="000000"/>
          <w:sz w:val="24"/>
        </w:rPr>
      </w:pPr>
      <w:r>
        <w:rPr>
          <w:rFonts w:hint="eastAsia" w:ascii="宋体" w:hAnsi="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hint="eastAsia" w:ascii="宋体" w:hAnsi="宋体" w:cs="宋体"/>
          <w:color w:val="000000"/>
          <w:sz w:val="24"/>
        </w:rPr>
      </w:pPr>
    </w:p>
    <w:p>
      <w:pPr>
        <w:adjustRightInd w:val="0"/>
        <w:spacing w:line="360" w:lineRule="auto"/>
        <w:ind w:firstLine="32"/>
        <w:rPr>
          <w:rFonts w:hint="eastAsia" w:ascii="宋体" w:hAnsi="宋体" w:cs="宋体"/>
          <w:color w:val="000000"/>
          <w:sz w:val="24"/>
        </w:rPr>
      </w:pPr>
      <w:r>
        <w:rPr>
          <w:rFonts w:hint="eastAsia" w:ascii="宋体" w:hAnsi="宋体" w:cs="宋体"/>
          <w:b/>
          <w:bCs/>
          <w:color w:val="000000"/>
          <w:sz w:val="24"/>
        </w:rPr>
        <w:t>甲方（盖章）</w:t>
      </w:r>
      <w:r>
        <w:rPr>
          <w:rFonts w:hint="eastAsia" w:ascii="宋体" w:hAnsi="宋体" w:cs="宋体"/>
          <w:color w:val="000000"/>
          <w:sz w:val="24"/>
        </w:rPr>
        <w:t>：杭州临江环境能源有限公司</w:t>
      </w:r>
    </w:p>
    <w:p>
      <w:pPr>
        <w:adjustRightInd w:val="0"/>
        <w:spacing w:line="360" w:lineRule="auto"/>
        <w:ind w:firstLine="32"/>
        <w:rPr>
          <w:rFonts w:ascii="宋体" w:hAnsi="宋体" w:cs="宋体"/>
          <w:color w:val="000000"/>
          <w:sz w:val="24"/>
        </w:rPr>
      </w:pPr>
      <w:r>
        <w:rPr>
          <w:rFonts w:hint="eastAsia" w:ascii="宋体" w:hAnsi="宋体" w:cs="宋体"/>
          <w:color w:val="000000"/>
          <w:sz w:val="24"/>
        </w:rPr>
        <w:t xml:space="preserve">法定代表人或受委托人（签字）：          </w:t>
      </w:r>
    </w:p>
    <w:p>
      <w:pPr>
        <w:adjustRightInd w:val="0"/>
        <w:spacing w:line="360" w:lineRule="auto"/>
        <w:rPr>
          <w:rFonts w:hint="eastAsia" w:ascii="宋体" w:hAnsi="宋体" w:cs="宋体"/>
          <w:color w:val="000000"/>
          <w:sz w:val="24"/>
        </w:rPr>
      </w:pPr>
    </w:p>
    <w:p>
      <w:pPr>
        <w:pStyle w:val="6"/>
        <w:rPr>
          <w:rFonts w:hint="eastAsia"/>
        </w:rPr>
      </w:pPr>
    </w:p>
    <w:p>
      <w:pPr>
        <w:adjustRightInd w:val="0"/>
        <w:spacing w:line="360" w:lineRule="auto"/>
        <w:rPr>
          <w:rFonts w:hint="eastAsia" w:ascii="宋体" w:hAnsi="宋体" w:cs="宋体"/>
          <w:color w:val="000000"/>
          <w:sz w:val="24"/>
        </w:rPr>
      </w:pPr>
      <w:r>
        <w:rPr>
          <w:rFonts w:hint="eastAsia" w:ascii="宋体" w:hAnsi="宋体" w:cs="宋体"/>
          <w:b/>
          <w:bCs/>
          <w:color w:val="000000"/>
          <w:sz w:val="24"/>
        </w:rPr>
        <w:t>乙方（盖章）</w:t>
      </w:r>
      <w:r>
        <w:rPr>
          <w:rFonts w:hint="eastAsia" w:ascii="宋体" w:hAnsi="宋体" w:cs="宋体"/>
          <w:color w:val="000000"/>
          <w:sz w:val="24"/>
        </w:rPr>
        <w:t>：</w:t>
      </w:r>
    </w:p>
    <w:p>
      <w:pPr>
        <w:adjustRightInd w:val="0"/>
        <w:spacing w:line="360" w:lineRule="auto"/>
        <w:rPr>
          <w:rFonts w:hint="eastAsia" w:ascii="宋体" w:hAnsi="宋体" w:cs="宋体"/>
          <w:sz w:val="24"/>
        </w:rPr>
      </w:pPr>
      <w:r>
        <w:rPr>
          <w:rFonts w:hint="eastAsia" w:ascii="宋体" w:hAnsi="宋体" w:cs="宋体"/>
          <w:color w:val="000000"/>
          <w:sz w:val="24"/>
        </w:rPr>
        <w:t>法定代表人或受委托人（签字）：</w:t>
      </w:r>
    </w:p>
    <w:p>
      <w:pPr>
        <w:rPr>
          <w:color w:val="auto"/>
        </w:rPr>
      </w:pPr>
      <w:r>
        <w:rPr>
          <w:rFonts w:hint="eastAsia" w:ascii="宋体" w:hAnsi="宋体" w:cs="宋体"/>
          <w:kern w:val="0"/>
        </w:rPr>
        <w:br w:type="page"/>
      </w:r>
    </w:p>
    <w:p>
      <w:pPr>
        <w:rPr>
          <w:color w:val="auto"/>
        </w:rPr>
      </w:pPr>
    </w:p>
    <w:p>
      <w:pPr>
        <w:rPr>
          <w:color w:val="auto"/>
        </w:rPr>
      </w:pPr>
    </w:p>
    <w:p>
      <w:pPr>
        <w:snapToGrid w:val="0"/>
        <w:spacing w:line="460" w:lineRule="exact"/>
        <w:jc w:val="center"/>
        <w:rPr>
          <w:rFonts w:hint="eastAsia" w:cs="仿宋" w:asciiTheme="minorEastAsia" w:hAnsiTheme="minorEastAsia"/>
          <w:b/>
          <w:color w:val="auto"/>
          <w:sz w:val="36"/>
          <w:szCs w:val="36"/>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pStyle w:val="4"/>
        <w:numPr>
          <w:ilvl w:val="0"/>
          <w:numId w:val="0"/>
        </w:numPr>
        <w:spacing w:before="0" w:after="120" w:line="700" w:lineRule="exact"/>
        <w:rPr>
          <w:rFonts w:hint="default" w:ascii="Times New Roman" w:hAnsi="Times New Roman" w:eastAsia="宋体" w:cs="Times New Roman"/>
          <w:b/>
          <w:color w:val="auto"/>
          <w:sz w:val="32"/>
          <w:lang w:val="en-US" w:eastAsia="zh-CN"/>
        </w:rPr>
      </w:pPr>
      <w:r>
        <w:rPr>
          <w:rFonts w:hint="eastAsia" w:ascii="宋体"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950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b/>
          <w:color w:val="auto"/>
          <w:sz w:val="32"/>
          <w:lang w:val="en-US" w:eastAsia="zh-CN"/>
        </w:rPr>
        <w:t xml:space="preserve">                    </w:t>
      </w:r>
    </w:p>
    <w:p>
      <w:pPr>
        <w:adjustRightInd w:val="0"/>
        <w:snapToGrid w:val="0"/>
        <w:spacing w:line="460" w:lineRule="atLeast"/>
        <w:ind w:left="360" w:hanging="360" w:hangingChars="100"/>
        <w:rPr>
          <w:rFonts w:hint="eastAsia" w:ascii="宋体" w:hAnsi="宋体" w:eastAsia="宋体" w:cs="宋体"/>
          <w:b w:val="0"/>
          <w:color w:val="auto"/>
          <w:spacing w:val="20"/>
          <w:sz w:val="32"/>
          <w:szCs w:val="32"/>
        </w:rPr>
      </w:pPr>
      <w:r>
        <w:rPr>
          <w:rFonts w:hint="eastAsia" w:ascii="宋体" w:hAnsi="宋体" w:eastAsia="宋体" w:cs="宋体"/>
          <w:b w:val="0"/>
          <w:color w:val="auto"/>
          <w:spacing w:val="20"/>
          <w:sz w:val="32"/>
          <w:szCs w:val="32"/>
        </w:rPr>
        <w:t>（密封封面格式）（仅供参考）</w:t>
      </w:r>
    </w:p>
    <w:p>
      <w:pPr>
        <w:spacing w:line="360" w:lineRule="auto"/>
        <w:jc w:val="both"/>
        <w:rPr>
          <w:rFonts w:hint="default" w:ascii="Times New Roman" w:hAnsi="Times New Roman" w:eastAsia="Cambria Math" w:cs="Times New Roman"/>
          <w:b w:val="0"/>
          <w:color w:val="auto"/>
          <w:sz w:val="96"/>
          <w:szCs w:val="22"/>
        </w:rPr>
      </w:pPr>
    </w:p>
    <w:p>
      <w:pPr>
        <w:spacing w:line="360" w:lineRule="auto"/>
        <w:jc w:val="center"/>
        <w:rPr>
          <w:rFonts w:hint="eastAsia" w:ascii="宋体" w:hAnsi="宋体" w:eastAsia="宋体" w:cs="宋体"/>
          <w:b w:val="0"/>
          <w:color w:val="auto"/>
          <w:sz w:val="96"/>
          <w:szCs w:val="22"/>
        </w:rPr>
      </w:pPr>
      <w:r>
        <w:rPr>
          <w:rFonts w:hint="eastAsia" w:ascii="宋体" w:hAnsi="宋体" w:eastAsia="宋体" w:cs="宋体"/>
          <w:b w:val="0"/>
          <w:color w:val="auto"/>
          <w:sz w:val="96"/>
          <w:szCs w:val="22"/>
        </w:rPr>
        <w:t>报价文件</w:t>
      </w:r>
    </w:p>
    <w:p>
      <w:pPr>
        <w:spacing w:line="360" w:lineRule="auto"/>
        <w:jc w:val="center"/>
        <w:rPr>
          <w:rFonts w:hint="eastAsia" w:ascii="宋体" w:hAnsi="宋体" w:eastAsia="宋体" w:cs="宋体"/>
          <w:b w:val="0"/>
          <w:color w:val="auto"/>
          <w:sz w:val="44"/>
          <w:szCs w:val="44"/>
        </w:rPr>
      </w:pPr>
      <w:r>
        <w:rPr>
          <w:rFonts w:hint="eastAsia" w:ascii="宋体" w:hAnsi="宋体" w:eastAsia="宋体" w:cs="宋体"/>
          <w:b w:val="0"/>
          <w:color w:val="auto"/>
          <w:sz w:val="44"/>
          <w:szCs w:val="44"/>
        </w:rPr>
        <w:t>开标时启封</w:t>
      </w:r>
    </w:p>
    <w:p>
      <w:pPr>
        <w:spacing w:line="360" w:lineRule="auto"/>
        <w:jc w:val="both"/>
        <w:rPr>
          <w:rFonts w:hint="eastAsia" w:ascii="宋体" w:hAnsi="宋体" w:eastAsia="宋体" w:cs="宋体"/>
          <w:b w:val="0"/>
          <w:color w:val="auto"/>
          <w:sz w:val="44"/>
          <w:szCs w:val="44"/>
        </w:rPr>
      </w:pPr>
    </w:p>
    <w:p>
      <w:pPr>
        <w:spacing w:line="480" w:lineRule="auto"/>
        <w:ind w:firstLine="840" w:firstLineChars="300"/>
        <w:rPr>
          <w:rFonts w:hint="default" w:ascii="宋体" w:hAnsi="宋体" w:eastAsia="宋体" w:cs="宋体"/>
          <w:b w:val="0"/>
          <w:color w:val="auto"/>
          <w:sz w:val="28"/>
          <w:szCs w:val="22"/>
          <w:u w:val="single"/>
          <w:lang w:val="en-US" w:eastAsia="zh-CN"/>
        </w:rPr>
      </w:pPr>
      <w:r>
        <w:rPr>
          <w:rFonts w:hint="eastAsia" w:ascii="宋体" w:hAnsi="宋体" w:eastAsia="宋体" w:cs="宋体"/>
          <w:b w:val="0"/>
          <w:color w:val="auto"/>
          <w:sz w:val="28"/>
          <w:szCs w:val="22"/>
          <w:lang w:eastAsia="zh-CN"/>
        </w:rPr>
        <w:t>采购</w:t>
      </w:r>
      <w:r>
        <w:rPr>
          <w:rFonts w:hint="eastAsia" w:ascii="宋体" w:hAnsi="宋体" w:eastAsia="宋体" w:cs="宋体"/>
          <w:b w:val="0"/>
          <w:color w:val="auto"/>
          <w:sz w:val="28"/>
          <w:szCs w:val="22"/>
        </w:rPr>
        <w:t>项目名称：</w:t>
      </w:r>
      <w:r>
        <w:rPr>
          <w:rFonts w:hint="eastAsia" w:ascii="宋体" w:hAnsi="宋体" w:eastAsia="宋体" w:cs="宋体"/>
          <w:b w:val="0"/>
          <w:color w:val="auto"/>
          <w:sz w:val="28"/>
          <w:szCs w:val="22"/>
          <w:u w:val="single"/>
        </w:rPr>
        <w:t xml:space="preserve"> </w:t>
      </w:r>
      <w:r>
        <w:rPr>
          <w:rFonts w:hint="eastAsia" w:ascii="宋体" w:hAnsi="宋体" w:eastAsia="宋体" w:cs="宋体"/>
          <w:b w:val="0"/>
          <w:color w:val="auto"/>
          <w:sz w:val="28"/>
          <w:szCs w:val="22"/>
          <w:u w:val="single"/>
          <w:lang w:val="en-US" w:eastAsia="zh-CN"/>
        </w:rPr>
        <w:t xml:space="preserve">2023年临江公司重质碳酸钠采购（重新询价）              </w:t>
      </w:r>
    </w:p>
    <w:p>
      <w:pPr>
        <w:spacing w:line="480" w:lineRule="auto"/>
        <w:ind w:firstLine="840" w:firstLineChars="300"/>
        <w:rPr>
          <w:rFonts w:hint="eastAsia" w:ascii="宋体" w:hAnsi="宋体" w:eastAsia="宋体" w:cs="宋体"/>
          <w:b w:val="0"/>
          <w:color w:val="auto"/>
          <w:sz w:val="28"/>
          <w:szCs w:val="22"/>
        </w:rPr>
      </w:pPr>
      <w:r>
        <w:rPr>
          <w:rFonts w:hint="eastAsia" w:ascii="宋体" w:hAnsi="宋体" w:eastAsia="宋体" w:cs="宋体"/>
          <w:b w:val="0"/>
          <w:color w:val="auto"/>
          <w:sz w:val="28"/>
          <w:szCs w:val="22"/>
        </w:rPr>
        <w:t>采 购 人：</w:t>
      </w:r>
      <w:r>
        <w:rPr>
          <w:rFonts w:hint="eastAsia" w:ascii="宋体" w:hAnsi="宋体" w:eastAsia="宋体" w:cs="宋体"/>
          <w:b w:val="0"/>
          <w:color w:val="auto"/>
          <w:sz w:val="28"/>
          <w:szCs w:val="22"/>
          <w:u w:val="single"/>
        </w:rPr>
        <w:t xml:space="preserve">  </w:t>
      </w:r>
      <w:r>
        <w:rPr>
          <w:rFonts w:hint="eastAsia" w:ascii="宋体" w:hAnsi="宋体" w:eastAsia="宋体" w:cs="宋体"/>
          <w:b w:val="0"/>
          <w:color w:val="auto"/>
          <w:sz w:val="28"/>
          <w:szCs w:val="22"/>
          <w:u w:val="single"/>
          <w:lang w:eastAsia="zh-CN"/>
        </w:rPr>
        <w:t>杭州临江环境能源有限公司</w:t>
      </w:r>
      <w:r>
        <w:rPr>
          <w:rFonts w:hint="eastAsia" w:ascii="宋体" w:hAnsi="宋体" w:eastAsia="宋体" w:cs="宋体"/>
          <w:b w:val="0"/>
          <w:color w:val="auto"/>
          <w:sz w:val="28"/>
          <w:szCs w:val="22"/>
          <w:u w:val="single"/>
          <w:lang w:val="en-US" w:eastAsia="zh-CN"/>
        </w:rPr>
        <w:t xml:space="preserve">                 </w:t>
      </w:r>
      <w:r>
        <w:rPr>
          <w:rFonts w:hint="eastAsia" w:ascii="宋体" w:hAnsi="宋体" w:eastAsia="宋体" w:cs="宋体"/>
          <w:b w:val="0"/>
          <w:color w:val="auto"/>
          <w:sz w:val="28"/>
          <w:szCs w:val="22"/>
          <w:u w:val="single"/>
        </w:rPr>
        <w:t xml:space="preserve"> </w:t>
      </w:r>
      <w:r>
        <w:rPr>
          <w:rFonts w:hint="eastAsia" w:ascii="宋体" w:hAnsi="宋体" w:eastAsia="宋体" w:cs="宋体"/>
          <w:b w:val="0"/>
          <w:color w:val="auto"/>
          <w:sz w:val="28"/>
          <w:szCs w:val="22"/>
          <w:u w:val="single"/>
          <w:lang w:val="en-US" w:eastAsia="zh-CN"/>
        </w:rPr>
        <w:t xml:space="preserve">  </w:t>
      </w:r>
    </w:p>
    <w:p>
      <w:pPr>
        <w:spacing w:line="480" w:lineRule="auto"/>
        <w:ind w:firstLine="840" w:firstLineChars="300"/>
        <w:rPr>
          <w:rFonts w:hint="eastAsia" w:ascii="宋体" w:hAnsi="宋体" w:eastAsia="宋体" w:cs="宋体"/>
          <w:b w:val="0"/>
          <w:color w:val="auto"/>
          <w:sz w:val="28"/>
          <w:szCs w:val="22"/>
          <w:u w:val="single"/>
        </w:rPr>
      </w:pPr>
      <w:r>
        <w:rPr>
          <w:rFonts w:hint="eastAsia" w:ascii="宋体" w:hAnsi="宋体" w:eastAsia="宋体" w:cs="宋体"/>
          <w:b w:val="0"/>
          <w:color w:val="auto"/>
          <w:sz w:val="28"/>
          <w:szCs w:val="22"/>
          <w:lang w:eastAsia="zh-CN"/>
        </w:rPr>
        <w:t>报价</w:t>
      </w:r>
      <w:r>
        <w:rPr>
          <w:rFonts w:hint="eastAsia" w:ascii="宋体" w:hAnsi="宋体" w:eastAsia="宋体" w:cs="宋体"/>
          <w:b w:val="0"/>
          <w:color w:val="auto"/>
          <w:sz w:val="28"/>
          <w:szCs w:val="22"/>
        </w:rPr>
        <w:t>单位（盖章）：</w:t>
      </w:r>
      <w:r>
        <w:rPr>
          <w:rFonts w:hint="eastAsia" w:ascii="宋体" w:hAnsi="宋体" w:eastAsia="宋体" w:cs="宋体"/>
          <w:b w:val="0"/>
          <w:color w:val="auto"/>
          <w:sz w:val="28"/>
          <w:szCs w:val="22"/>
          <w:u w:val="single"/>
        </w:rPr>
        <w:t xml:space="preserve">          </w:t>
      </w:r>
      <w:r>
        <w:rPr>
          <w:rFonts w:hint="eastAsia" w:ascii="宋体" w:hAnsi="宋体" w:eastAsia="宋体" w:cs="宋体"/>
          <w:b w:val="0"/>
          <w:color w:val="auto"/>
          <w:sz w:val="28"/>
          <w:szCs w:val="22"/>
          <w:u w:val="single"/>
          <w:lang w:val="en-US" w:eastAsia="zh-CN"/>
        </w:rPr>
        <w:t xml:space="preserve">            </w:t>
      </w:r>
      <w:r>
        <w:rPr>
          <w:rFonts w:hint="eastAsia" w:ascii="宋体" w:hAnsi="宋体" w:eastAsia="宋体" w:cs="宋体"/>
          <w:b w:val="0"/>
          <w:color w:val="auto"/>
          <w:sz w:val="28"/>
          <w:szCs w:val="22"/>
          <w:u w:val="single"/>
        </w:rPr>
        <w:t xml:space="preserve">                </w:t>
      </w:r>
    </w:p>
    <w:p>
      <w:pPr>
        <w:spacing w:line="480" w:lineRule="auto"/>
        <w:ind w:firstLine="840" w:firstLineChars="300"/>
        <w:rPr>
          <w:rFonts w:hint="eastAsia" w:ascii="宋体" w:hAnsi="宋体" w:eastAsia="宋体" w:cs="宋体"/>
          <w:b w:val="0"/>
          <w:color w:val="auto"/>
          <w:sz w:val="28"/>
          <w:szCs w:val="22"/>
          <w:u w:val="single"/>
        </w:rPr>
      </w:pPr>
      <w:r>
        <w:rPr>
          <w:rFonts w:hint="eastAsia" w:ascii="宋体" w:hAnsi="宋体" w:eastAsia="宋体" w:cs="宋体"/>
          <w:b w:val="0"/>
          <w:color w:val="auto"/>
          <w:sz w:val="28"/>
          <w:szCs w:val="22"/>
          <w:lang w:val="zh-CN"/>
        </w:rPr>
        <w:t>法定代表人或授权代表</w:t>
      </w:r>
      <w:r>
        <w:rPr>
          <w:rFonts w:hint="eastAsia" w:ascii="宋体" w:hAnsi="宋体" w:eastAsia="宋体" w:cs="宋体"/>
          <w:b w:val="0"/>
          <w:color w:val="auto"/>
          <w:sz w:val="28"/>
          <w:szCs w:val="22"/>
        </w:rPr>
        <w:t>（签字或盖章）：</w:t>
      </w:r>
      <w:r>
        <w:rPr>
          <w:rFonts w:hint="eastAsia" w:ascii="宋体" w:hAnsi="宋体" w:eastAsia="宋体" w:cs="宋体"/>
          <w:b w:val="0"/>
          <w:color w:val="auto"/>
          <w:sz w:val="28"/>
          <w:szCs w:val="22"/>
          <w:u w:val="single"/>
        </w:rPr>
        <w:t xml:space="preserve">      </w:t>
      </w:r>
      <w:r>
        <w:rPr>
          <w:rFonts w:hint="eastAsia" w:ascii="宋体" w:hAnsi="宋体" w:eastAsia="宋体" w:cs="宋体"/>
          <w:b w:val="0"/>
          <w:color w:val="auto"/>
          <w:sz w:val="28"/>
          <w:szCs w:val="22"/>
          <w:u w:val="single"/>
          <w:lang w:val="en-US" w:eastAsia="zh-CN"/>
        </w:rPr>
        <w:t xml:space="preserve">    </w:t>
      </w:r>
      <w:r>
        <w:rPr>
          <w:rFonts w:hint="eastAsia" w:ascii="宋体" w:hAnsi="宋体" w:eastAsia="宋体" w:cs="宋体"/>
          <w:b w:val="0"/>
          <w:color w:val="auto"/>
          <w:sz w:val="28"/>
          <w:szCs w:val="22"/>
          <w:u w:val="single"/>
        </w:rPr>
        <w:t xml:space="preserve">          </w:t>
      </w:r>
    </w:p>
    <w:p>
      <w:pPr>
        <w:spacing w:line="480" w:lineRule="auto"/>
        <w:ind w:firstLine="840" w:firstLineChars="300"/>
        <w:rPr>
          <w:rFonts w:hint="eastAsia" w:ascii="Times New Roman" w:hAnsi="Times New Roman" w:eastAsia="宋体" w:cs="Times New Roman"/>
          <w:b w:val="0"/>
          <w:color w:val="auto"/>
          <w:sz w:val="28"/>
          <w:szCs w:val="22"/>
          <w:lang w:eastAsia="zh-CN"/>
        </w:rPr>
      </w:pPr>
      <w:r>
        <w:rPr>
          <w:rFonts w:hint="eastAsia" w:ascii="宋体" w:hAnsi="宋体" w:eastAsia="宋体" w:cs="宋体"/>
          <w:b w:val="0"/>
          <w:color w:val="auto"/>
          <w:sz w:val="28"/>
          <w:szCs w:val="22"/>
          <w:lang w:eastAsia="zh-CN"/>
        </w:rPr>
        <w:t>报价</w:t>
      </w:r>
      <w:r>
        <w:rPr>
          <w:rFonts w:hint="eastAsia" w:ascii="宋体" w:hAnsi="宋体" w:eastAsia="宋体" w:cs="宋体"/>
          <w:b w:val="0"/>
          <w:color w:val="auto"/>
          <w:sz w:val="28"/>
          <w:szCs w:val="22"/>
        </w:rPr>
        <w:t>单位</w:t>
      </w:r>
      <w:r>
        <w:rPr>
          <w:rFonts w:hint="eastAsia" w:ascii="宋体" w:hAnsi="宋体" w:eastAsia="宋体" w:cs="宋体"/>
          <w:b w:val="0"/>
          <w:color w:val="auto"/>
          <w:sz w:val="28"/>
          <w:szCs w:val="22"/>
          <w:lang w:eastAsia="zh-CN"/>
        </w:rPr>
        <w:t>联系方式：</w:t>
      </w:r>
      <w:r>
        <w:rPr>
          <w:rFonts w:hint="default" w:ascii="Times New Roman" w:hAnsi="Times New Roman" w:eastAsia="Cambria Math" w:cs="Times New Roman"/>
          <w:b w:val="0"/>
          <w:color w:val="auto"/>
          <w:sz w:val="28"/>
          <w:szCs w:val="22"/>
          <w:u w:val="single"/>
        </w:rPr>
        <w:t xml:space="preserve">     </w:t>
      </w:r>
      <w:r>
        <w:rPr>
          <w:rFonts w:hint="eastAsia" w:ascii="Times New Roman" w:hAnsi="Times New Roman" w:eastAsia="宋体" w:cs="Times New Roman"/>
          <w:b w:val="0"/>
          <w:color w:val="auto"/>
          <w:sz w:val="28"/>
          <w:szCs w:val="22"/>
          <w:u w:val="single"/>
          <w:lang w:val="en-US" w:eastAsia="zh-CN"/>
        </w:rPr>
        <w:t xml:space="preserve">                       </w:t>
      </w:r>
      <w:r>
        <w:rPr>
          <w:rFonts w:hint="default" w:ascii="Times New Roman" w:hAnsi="Times New Roman" w:eastAsia="Cambria Math" w:cs="Times New Roman"/>
          <w:b w:val="0"/>
          <w:color w:val="auto"/>
          <w:sz w:val="28"/>
          <w:szCs w:val="22"/>
          <w:u w:val="single"/>
        </w:rPr>
        <w:t xml:space="preserve">          </w:t>
      </w:r>
    </w:p>
    <w:p>
      <w:pPr>
        <w:spacing w:line="480" w:lineRule="auto"/>
        <w:ind w:firstLine="840" w:firstLineChars="300"/>
        <w:rPr>
          <w:rFonts w:hint="default" w:ascii="Times New Roman" w:hAnsi="Times New Roman" w:eastAsia="Cambria Math" w:cs="Times New Roman"/>
          <w:b w:val="0"/>
          <w:color w:val="auto"/>
          <w:sz w:val="28"/>
          <w:szCs w:val="22"/>
          <w:u w:val="single"/>
        </w:rPr>
      </w:pPr>
      <w:r>
        <w:rPr>
          <w:rFonts w:hint="default" w:ascii="Times New Roman" w:hAnsi="Times New Roman" w:eastAsia="Cambria Math" w:cs="Times New Roman"/>
          <w:b w:val="0"/>
          <w:color w:val="auto"/>
          <w:sz w:val="28"/>
          <w:szCs w:val="22"/>
        </w:rPr>
        <w:t>日期：</w:t>
      </w:r>
      <w:r>
        <w:rPr>
          <w:rFonts w:hint="default" w:ascii="Times New Roman" w:hAnsi="Times New Roman" w:eastAsia="Cambria Math" w:cs="Times New Roman"/>
          <w:b w:val="0"/>
          <w:color w:val="auto"/>
          <w:sz w:val="28"/>
          <w:szCs w:val="22"/>
          <w:u w:val="single"/>
        </w:rPr>
        <w:t xml:space="preserve">                                </w:t>
      </w:r>
      <w:r>
        <w:rPr>
          <w:rFonts w:hint="eastAsia" w:ascii="Times New Roman" w:hAnsi="Times New Roman" w:eastAsia="宋体" w:cs="Times New Roman"/>
          <w:b w:val="0"/>
          <w:color w:val="auto"/>
          <w:sz w:val="28"/>
          <w:szCs w:val="22"/>
          <w:u w:val="single"/>
          <w:lang w:val="en-US" w:eastAsia="zh-CN"/>
        </w:rPr>
        <w:t xml:space="preserve">           </w:t>
      </w:r>
      <w:r>
        <w:rPr>
          <w:rFonts w:hint="default" w:ascii="Times New Roman" w:hAnsi="Times New Roman" w:eastAsia="Cambria Math" w:cs="Times New Roman"/>
          <w:b w:val="0"/>
          <w:color w:val="auto"/>
          <w:sz w:val="28"/>
          <w:szCs w:val="22"/>
          <w:u w:val="single"/>
        </w:rPr>
        <w:t xml:space="preserve">     </w:t>
      </w:r>
      <w:r>
        <w:rPr>
          <w:rFonts w:hint="eastAsia" w:ascii="Times New Roman" w:hAnsi="Times New Roman" w:eastAsia="宋体" w:cs="Times New Roman"/>
          <w:b w:val="0"/>
          <w:color w:val="auto"/>
          <w:sz w:val="28"/>
          <w:szCs w:val="22"/>
          <w:u w:val="single"/>
          <w:lang w:val="en-US" w:eastAsia="zh-CN"/>
        </w:rPr>
        <w:t xml:space="preserve"> </w:t>
      </w:r>
      <w:r>
        <w:rPr>
          <w:rFonts w:hint="default" w:ascii="Times New Roman" w:hAnsi="Times New Roman" w:eastAsia="Cambria Math" w:cs="Times New Roman"/>
          <w:b w:val="0"/>
          <w:color w:val="auto"/>
          <w:sz w:val="28"/>
          <w:szCs w:val="22"/>
          <w:u w:val="single"/>
        </w:rPr>
        <w:t xml:space="preserve"> </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460" w:lineRule="exact"/>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本项目的特定要求（如果有）…………………………………（页码）</w:t>
      </w: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pPr>
    </w:p>
    <w:p>
      <w:pPr>
        <w:pStyle w:val="7"/>
        <w:rPr>
          <w:color w:val="auto"/>
        </w:rPr>
      </w:pPr>
    </w:p>
    <w:p>
      <w:pPr>
        <w:pStyle w:val="6"/>
      </w:pPr>
    </w:p>
    <w:p>
      <w:pPr>
        <w:rPr>
          <w:color w:val="auto"/>
        </w:rPr>
      </w:pPr>
    </w:p>
    <w:p>
      <w:pPr>
        <w:pStyle w:val="6"/>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eastAsia" w:cs="仿宋" w:asciiTheme="minorEastAsia" w:hAnsiTheme="minorEastAsia"/>
          <w:color w:val="auto"/>
          <w:sz w:val="24"/>
          <w:u w:val="single"/>
          <w:lang w:val="en-US" w:eastAsia="zh-CN"/>
        </w:rPr>
        <w:t>2023年临江公司重质碳酸钠采购（重新询价）</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202310009</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 xml:space="preserve">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13"/>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6"/>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（根据采购公告本项目的特定要求提供相应的材料</w:t>
      </w:r>
      <w:r>
        <w:rPr>
          <w:rFonts w:hint="eastAsia" w:cs="仿宋" w:asciiTheme="minorEastAsia" w:hAnsiTheme="minorEastAsia"/>
          <w:color w:val="auto"/>
          <w:sz w:val="24"/>
          <w:lang w:eastAsia="zh-CN"/>
        </w:rPr>
        <w:t>，如业绩证明材料、特殊行业许可证书等</w:t>
      </w:r>
      <w:r>
        <w:rPr>
          <w:rFonts w:hint="eastAsia" w:cs="仿宋" w:asciiTheme="minorEastAsia" w:hAnsiTheme="minorEastAsia"/>
          <w:color w:val="auto"/>
          <w:sz w:val="24"/>
        </w:rPr>
        <w:t>；未要求的，无需提供）</w:t>
      </w: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pPr>
    </w:p>
    <w:p>
      <w:pPr>
        <w:pStyle w:val="6"/>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jc w:val="both"/>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w:t>
      </w:r>
      <w:r>
        <w:rPr>
          <w:rFonts w:hint="eastAsia" w:cs="仿宋" w:asciiTheme="minorEastAsia" w:hAnsiTheme="minorEastAsia"/>
          <w:color w:val="auto"/>
          <w:sz w:val="24"/>
          <w:lang w:eastAsia="zh-CN"/>
        </w:rPr>
        <w:t>（若有）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8</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供应商股东信息及出资比例信息表</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（9）供应商</w:t>
      </w:r>
      <w:r>
        <w:rPr>
          <w:rFonts w:hint="eastAsia" w:cs="仿宋" w:asciiTheme="minorEastAsia" w:hAnsiTheme="minorEastAsia"/>
          <w:color w:val="auto"/>
          <w:sz w:val="24"/>
        </w:rPr>
        <w:t>服务质量保证承诺函………………………………………………（页码）</w:t>
      </w: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7"/>
        <w:ind w:left="0" w:leftChars="0" w:firstLine="0" w:firstLineChars="0"/>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lang w:val="en-US"/>
        </w:rPr>
        <w:t>2023年临江公司重质碳酸钠</w:t>
      </w:r>
      <w:r>
        <w:rPr>
          <w:rFonts w:hint="eastAsia" w:cs="仿宋" w:asciiTheme="minorEastAsia" w:hAnsiTheme="minorEastAsia"/>
          <w:color w:val="auto"/>
          <w:sz w:val="24"/>
        </w:rPr>
        <w:t>【项目编号：</w:t>
      </w:r>
      <w:r>
        <w:rPr>
          <w:rFonts w:hint="eastAsia" w:cs="仿宋" w:asciiTheme="minorEastAsia" w:hAnsiTheme="minorEastAsia"/>
          <w:color w:val="auto"/>
          <w:sz w:val="24"/>
          <w:lang w:val="en-US" w:eastAsia="zh-CN"/>
        </w:rPr>
        <w:t>202310009</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lang w:val="en-US" w:eastAsia="zh-CN"/>
        </w:rPr>
        <w:t>若有</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2"/>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6"/>
        <w:widowControl w:val="0"/>
        <w:numPr>
          <w:ilvl w:val="0"/>
          <w:numId w:val="0"/>
        </w:numPr>
        <w:autoSpaceDE w:val="0"/>
        <w:autoSpaceDN w:val="0"/>
        <w:adjustRightInd w:val="0"/>
        <w:spacing w:line="360" w:lineRule="auto"/>
        <w:jc w:val="both"/>
        <w:rPr>
          <w:color w:val="auto"/>
        </w:rPr>
      </w:pPr>
    </w:p>
    <w:p>
      <w:pPr>
        <w:pStyle w:val="7"/>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color w:val="auto"/>
          <w:kern w:val="0"/>
          <w:sz w:val="24"/>
          <w:u w:val="single"/>
          <w:lang w:eastAsia="zh-CN"/>
        </w:rPr>
        <w:t>（采购项目名称、采购编号）</w:t>
      </w:r>
      <w:r>
        <w:rPr>
          <w:rFonts w:hint="eastAsia" w:cs="仿宋" w:asciiTheme="minorEastAsia" w:hAnsiTheme="minorEastAsia"/>
          <w:color w:val="auto"/>
          <w:kern w:val="0"/>
          <w:sz w:val="24"/>
          <w:u w:val="single"/>
          <w:lang w:val="en-US" w:eastAsia="zh-CN"/>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olor w:val="auto"/>
          <w:lang w:val="zh-CN"/>
        </w:rPr>
      </w:pPr>
    </w:p>
    <w:p>
      <w:pPr>
        <w:rPr>
          <w:color w:val="auto"/>
        </w:rPr>
      </w:pPr>
    </w:p>
    <w:p>
      <w:pPr>
        <w:pStyle w:val="25"/>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5"/>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5"/>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5"/>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的其它实质性要求。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eastAsiaTheme="minorEastAsia"/>
          <w:color w:val="auto"/>
          <w:lang w:eastAsia="zh-CN"/>
        </w:rPr>
      </w:pPr>
      <w:r>
        <w:rPr>
          <w:rFonts w:hint="eastAsia" w:cs="仿宋" w:asciiTheme="minorEastAsia" w:hAnsiTheme="minorEastAsia"/>
          <w:b/>
          <w:color w:val="auto"/>
          <w:kern w:val="0"/>
          <w:sz w:val="32"/>
          <w:szCs w:val="32"/>
        </w:rPr>
        <w:t>五、响应产品规格配置清单</w:t>
      </w:r>
      <w:r>
        <w:rPr>
          <w:rFonts w:hint="eastAsia" w:cs="仿宋" w:asciiTheme="minorEastAsia" w:hAnsiTheme="minorEastAsia"/>
          <w:b/>
          <w:color w:val="auto"/>
          <w:kern w:val="0"/>
          <w:sz w:val="32"/>
          <w:szCs w:val="32"/>
          <w:lang w:eastAsia="zh-CN"/>
        </w:rPr>
        <w:t>（若有）</w:t>
      </w:r>
    </w:p>
    <w:p>
      <w:pPr>
        <w:pStyle w:val="7"/>
        <w:rPr>
          <w:rFonts w:cs="仿宋" w:asciiTheme="minorEastAsia" w:hAnsiTheme="minorEastAsia"/>
          <w:color w:val="auto"/>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bl>
    <w:p>
      <w:pPr>
        <w:pStyle w:val="6"/>
        <w:rPr>
          <w:color w:val="auto"/>
          <w:lang w:val="en-US"/>
        </w:rPr>
        <w:sectPr>
          <w:pgSz w:w="11906" w:h="16838"/>
          <w:pgMar w:top="1276" w:right="1418" w:bottom="1247" w:left="1418" w:header="851" w:footer="992" w:gutter="0"/>
          <w:pgNumType w:fmt="decimal"/>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有权立即取消或者中止我单位响应、成交合同，有权拒绝我单位在一定时期内进入你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6"/>
        <w:rPr>
          <w:color w:val="auto"/>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eastAsiaTheme="minorEastAsia"/>
          <w:b/>
          <w:color w:val="auto"/>
          <w:kern w:val="0"/>
          <w:sz w:val="32"/>
          <w:szCs w:val="32"/>
          <w:lang w:val="zh-CN" w:eastAsia="zh-CN" w:bidi="ar-SA"/>
        </w:rPr>
        <w:t>八、</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3"/>
        <w:widowControl w:val="0"/>
        <w:numPr>
          <w:ilvl w:val="0"/>
          <w:numId w:val="0"/>
        </w:numPr>
        <w:jc w:val="left"/>
        <w:rPr>
          <w:rFonts w:hint="eastAsia"/>
          <w:color w:val="auto"/>
          <w:lang w:val="zh-CN"/>
        </w:rPr>
      </w:pPr>
    </w:p>
    <w:p>
      <w:pPr>
        <w:rPr>
          <w:rFonts w:hint="eastAsia"/>
          <w:color w:val="auto"/>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3"/>
        <w:rPr>
          <w:rFonts w:hint="eastAsia"/>
          <w:color w:val="auto"/>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eastAsia="zh-CN"/>
        </w:rPr>
        <w:t>九</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项目名称   </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2023</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7"/>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了</w:t>
      </w:r>
      <w:r>
        <w:rPr>
          <w:rFonts w:hint="eastAsia" w:ascii="宋体" w:hAnsi="宋体" w:eastAsia="宋体" w:cs="宋体"/>
          <w:color w:val="auto"/>
          <w:sz w:val="24"/>
          <w:szCs w:val="24"/>
          <w:u w:val="single"/>
          <w:lang w:eastAsia="zh-CN"/>
        </w:rPr>
        <w:t>2023年临江公司重质碳酸钠采购（重新询价）</w:t>
      </w:r>
      <w:r>
        <w:rPr>
          <w:rFonts w:hint="eastAsia" w:ascii="宋体" w:hAnsi="宋体" w:eastAsia="宋体" w:cs="宋体"/>
          <w:color w:val="auto"/>
          <w:sz w:val="24"/>
          <w:szCs w:val="24"/>
        </w:rPr>
        <w:t>项</w:t>
      </w:r>
      <w:r>
        <w:rPr>
          <w:rFonts w:hint="eastAsia" w:ascii="宋体" w:hAnsi="宋体" w:eastAsia="宋体" w:cs="宋体"/>
          <w:color w:val="auto"/>
          <w:spacing w:val="-3"/>
          <w:sz w:val="24"/>
          <w:szCs w:val="24"/>
        </w:rPr>
        <w:t>目</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lang w:val="en-US" w:eastAsia="zh-CN"/>
        </w:rPr>
        <w:t>202310009</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bookmarkStart w:id="517" w:name="_GoBack"/>
      <w:bookmarkEnd w:id="517"/>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7"/>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7"/>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7"/>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没收我方递交的全部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7"/>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28"/>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2023年临江公司重质碳酸钠采购（重新询价）</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202310009</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4"/>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6"/>
        <w:gridCol w:w="900"/>
        <w:gridCol w:w="2564"/>
        <w:gridCol w:w="557"/>
        <w:gridCol w:w="580"/>
        <w:gridCol w:w="852"/>
        <w:gridCol w:w="1322"/>
        <w:gridCol w:w="4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1556"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名称</w:t>
            </w:r>
          </w:p>
        </w:tc>
        <w:tc>
          <w:tcPr>
            <w:tcW w:w="900"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品牌（如果有）</w:t>
            </w:r>
          </w:p>
        </w:tc>
        <w:tc>
          <w:tcPr>
            <w:tcW w:w="2564"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规格型号</w:t>
            </w:r>
          </w:p>
        </w:tc>
        <w:tc>
          <w:tcPr>
            <w:tcW w:w="557"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数量</w:t>
            </w:r>
          </w:p>
        </w:tc>
        <w:tc>
          <w:tcPr>
            <w:tcW w:w="580" w:type="dxa"/>
            <w:vAlign w:val="center"/>
          </w:tcPr>
          <w:p>
            <w:pPr>
              <w:spacing w:line="360" w:lineRule="auto"/>
              <w:jc w:val="center"/>
              <w:rPr>
                <w:rFonts w:hint="eastAsia"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单位</w:t>
            </w:r>
          </w:p>
        </w:tc>
        <w:tc>
          <w:tcPr>
            <w:tcW w:w="852"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单价</w:t>
            </w:r>
          </w:p>
        </w:tc>
        <w:tc>
          <w:tcPr>
            <w:tcW w:w="1322"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4276"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3"/>
              <w:numPr>
                <w:ilvl w:val="0"/>
                <w:numId w:val="0"/>
              </w:numPr>
              <w:ind w:left="0" w:leftChars="0" w:firstLine="0" w:firstLineChars="0"/>
              <w:jc w:val="center"/>
              <w:rPr>
                <w:rFonts w:hint="default" w:cs="仿宋" w:asciiTheme="minorEastAsia" w:hAnsiTheme="minorEastAsia" w:eastAsiaTheme="minorEastAsia"/>
                <w:b/>
                <w:bCs w:val="0"/>
                <w:color w:val="auto"/>
                <w:kern w:val="2"/>
                <w:sz w:val="24"/>
                <w:szCs w:val="24"/>
                <w:lang w:val="en-US" w:eastAsia="zh-CN" w:bidi="ar-SA"/>
              </w:rPr>
            </w:pPr>
            <w:r>
              <w:rPr>
                <w:rFonts w:hint="eastAsia" w:cs="仿宋" w:asciiTheme="minorEastAsia" w:hAnsiTheme="minorEastAsia" w:eastAsiaTheme="minorEastAsia"/>
                <w:b/>
                <w:bCs w:val="0"/>
                <w:color w:val="auto"/>
                <w:kern w:val="2"/>
                <w:sz w:val="24"/>
                <w:szCs w:val="24"/>
                <w:lang w:val="en-US" w:eastAsia="zh-CN" w:bidi="ar-SA"/>
              </w:rPr>
              <w:t>1</w:t>
            </w:r>
          </w:p>
        </w:tc>
        <w:tc>
          <w:tcPr>
            <w:tcW w:w="1556" w:type="dxa"/>
            <w:vAlign w:val="center"/>
          </w:tcPr>
          <w:p>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重质</w:t>
            </w:r>
            <w:r>
              <w:rPr>
                <w:rFonts w:hint="default" w:cs="仿宋" w:asciiTheme="minorEastAsia" w:hAnsiTheme="minorEastAsia"/>
                <w:b/>
                <w:color w:val="auto"/>
                <w:sz w:val="24"/>
                <w:lang w:val="en-US" w:eastAsia="zh-CN"/>
              </w:rPr>
              <w:t>碳酸钠</w:t>
            </w:r>
          </w:p>
        </w:tc>
        <w:tc>
          <w:tcPr>
            <w:tcW w:w="900" w:type="dxa"/>
            <w:vAlign w:val="center"/>
          </w:tcPr>
          <w:p>
            <w:pPr>
              <w:spacing w:line="360" w:lineRule="auto"/>
              <w:jc w:val="center"/>
              <w:rPr>
                <w:rFonts w:hint="eastAsia" w:cs="仿宋" w:asciiTheme="minorEastAsia" w:hAnsiTheme="minorEastAsia"/>
                <w:b/>
                <w:color w:val="auto"/>
                <w:sz w:val="24"/>
                <w:lang w:val="en-US" w:eastAsia="zh-CN"/>
              </w:rPr>
            </w:pPr>
          </w:p>
        </w:tc>
        <w:tc>
          <w:tcPr>
            <w:tcW w:w="2564" w:type="dxa"/>
            <w:vAlign w:val="center"/>
          </w:tcPr>
          <w:p>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符合</w:t>
            </w:r>
          </w:p>
          <w:p>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《GB/T210-2022》中工业Ⅱ类优等品标准，含量(以干基Na2CO3计)≥99.2%,袋装。</w:t>
            </w:r>
          </w:p>
        </w:tc>
        <w:tc>
          <w:tcPr>
            <w:tcW w:w="557" w:type="dxa"/>
            <w:vAlign w:val="center"/>
          </w:tcPr>
          <w:p>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40</w:t>
            </w:r>
          </w:p>
        </w:tc>
        <w:tc>
          <w:tcPr>
            <w:tcW w:w="580" w:type="dxa"/>
            <w:vAlign w:val="center"/>
          </w:tcPr>
          <w:p>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吨</w:t>
            </w:r>
          </w:p>
        </w:tc>
        <w:tc>
          <w:tcPr>
            <w:tcW w:w="852" w:type="dxa"/>
            <w:vAlign w:val="center"/>
          </w:tcPr>
          <w:p>
            <w:pPr>
              <w:spacing w:line="360" w:lineRule="auto"/>
              <w:jc w:val="center"/>
              <w:rPr>
                <w:rFonts w:hint="eastAsia" w:cs="仿宋" w:asciiTheme="minorEastAsia" w:hAnsiTheme="minorEastAsia"/>
                <w:b/>
                <w:color w:val="auto"/>
                <w:sz w:val="24"/>
                <w:lang w:val="en-US" w:eastAsia="zh-CN"/>
              </w:rPr>
            </w:pPr>
          </w:p>
        </w:tc>
        <w:tc>
          <w:tcPr>
            <w:tcW w:w="1322" w:type="dxa"/>
            <w:vAlign w:val="center"/>
          </w:tcPr>
          <w:p>
            <w:pPr>
              <w:spacing w:line="360" w:lineRule="auto"/>
              <w:jc w:val="center"/>
              <w:rPr>
                <w:rFonts w:hint="eastAsia" w:cs="仿宋" w:asciiTheme="minorEastAsia" w:hAnsiTheme="minorEastAsia"/>
                <w:b/>
                <w:color w:val="auto"/>
                <w:sz w:val="24"/>
                <w:lang w:val="en-US" w:eastAsia="zh-CN"/>
              </w:rPr>
            </w:pPr>
          </w:p>
        </w:tc>
        <w:tc>
          <w:tcPr>
            <w:tcW w:w="4276" w:type="dxa"/>
            <w:vAlign w:val="center"/>
          </w:tcPr>
          <w:p>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中标人负责卸货，采用托盘或者吨袋最佳，采购人可免费提供叉车服务。若无，由中标人负责组织人工卸货，人工费由中标人承担。每次供货不少于10吨。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10151" w:type="dxa"/>
            <w:gridSpan w:val="6"/>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10151" w:type="dxa"/>
            <w:gridSpan w:val="6"/>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3"/>
            <w:vAlign w:val="center"/>
          </w:tcPr>
          <w:p>
            <w:pPr>
              <w:spacing w:line="360" w:lineRule="auto"/>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b/>
                <w:color w:val="auto"/>
                <w:sz w:val="24"/>
                <w:lang w:eastAsia="zh-CN"/>
              </w:rPr>
              <w:t>税率</w:t>
            </w:r>
          </w:p>
        </w:tc>
        <w:tc>
          <w:tcPr>
            <w:tcW w:w="10151" w:type="dxa"/>
            <w:gridSpan w:val="6"/>
            <w:vAlign w:val="center"/>
          </w:tcPr>
          <w:p>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3、特别提示：采购人将对项目名称和项目编号，成交供应商名称、成交标金额予以公示。</w:t>
      </w: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rPr>
          <w:color w:val="auto"/>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rPr>
      </w:pPr>
      <w:bookmarkStart w:id="516" w:name="_Toc465665161"/>
      <w:r>
        <w:rPr>
          <w:rFonts w:hint="eastAsia" w:cs="宋体" w:asciiTheme="minorEastAsia" w:hAnsiTheme="minorEastAsia"/>
          <w:b/>
          <w:bCs/>
          <w:color w:val="auto"/>
          <w:kern w:val="44"/>
          <w:sz w:val="44"/>
          <w:szCs w:val="44"/>
        </w:rPr>
        <w:t>附件</w:t>
      </w:r>
      <w:bookmarkEnd w:id="516"/>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pPr>
        <w:pStyle w:val="13"/>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2023年临江公司重质碳酸钠采购（重新询价）</w:t>
      </w:r>
      <w:r>
        <w:rPr>
          <w:rFonts w:hint="eastAsia" w:cs="仿宋" w:asciiTheme="minorEastAsia" w:hAnsiTheme="minorEastAsia"/>
          <w:color w:val="auto"/>
          <w:sz w:val="24"/>
          <w:u w:val="single"/>
        </w:rPr>
        <w:t>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202310009</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rPr>
        <w:t>】</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default" w:cs="仿宋" w:asciiTheme="minorEastAsia" w:hAnsiTheme="minorEastAsia"/>
          <w:color w:val="auto"/>
          <w:sz w:val="24"/>
          <w:lang w:val="en-US"/>
        </w:rPr>
        <w:t xml:space="preserve"> 2023年临江公司重质碳酸钠</w:t>
      </w:r>
      <w:r>
        <w:rPr>
          <w:rFonts w:hint="eastAsia" w:cs="仿宋" w:asciiTheme="minorEastAsia" w:hAnsiTheme="minorEastAsia"/>
          <w:color w:val="auto"/>
          <w:sz w:val="24"/>
        </w:rPr>
        <w:t>【项目编号：】</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6"/>
        <w:rPr>
          <w:color w:val="auto"/>
        </w:rPr>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000000"/>
    <w:rsid w:val="00816543"/>
    <w:rsid w:val="023E1286"/>
    <w:rsid w:val="026B0B21"/>
    <w:rsid w:val="030669ED"/>
    <w:rsid w:val="034B5FC8"/>
    <w:rsid w:val="04E634F4"/>
    <w:rsid w:val="06803F38"/>
    <w:rsid w:val="07013F3A"/>
    <w:rsid w:val="078B333A"/>
    <w:rsid w:val="07D15ABF"/>
    <w:rsid w:val="09EC7123"/>
    <w:rsid w:val="09ED56C9"/>
    <w:rsid w:val="0A393105"/>
    <w:rsid w:val="0A931E0E"/>
    <w:rsid w:val="0BF7590B"/>
    <w:rsid w:val="0C41302A"/>
    <w:rsid w:val="0C492847"/>
    <w:rsid w:val="0CF31D21"/>
    <w:rsid w:val="0F111837"/>
    <w:rsid w:val="0F81598B"/>
    <w:rsid w:val="0FB91E94"/>
    <w:rsid w:val="10C6786D"/>
    <w:rsid w:val="12E110C3"/>
    <w:rsid w:val="161F43DC"/>
    <w:rsid w:val="165F6ECF"/>
    <w:rsid w:val="166F3635"/>
    <w:rsid w:val="16806E74"/>
    <w:rsid w:val="16FF09D2"/>
    <w:rsid w:val="17AF353E"/>
    <w:rsid w:val="185870FA"/>
    <w:rsid w:val="185A544F"/>
    <w:rsid w:val="18890233"/>
    <w:rsid w:val="190B4AAB"/>
    <w:rsid w:val="190D49C0"/>
    <w:rsid w:val="198737C7"/>
    <w:rsid w:val="19976A31"/>
    <w:rsid w:val="19DC6BDA"/>
    <w:rsid w:val="1A3C7E94"/>
    <w:rsid w:val="1AA56FDE"/>
    <w:rsid w:val="1B1B25BA"/>
    <w:rsid w:val="1B7913A6"/>
    <w:rsid w:val="1CF26F47"/>
    <w:rsid w:val="1D61352C"/>
    <w:rsid w:val="1DFA0457"/>
    <w:rsid w:val="1E0D5462"/>
    <w:rsid w:val="1E5F5CBE"/>
    <w:rsid w:val="1E8307F5"/>
    <w:rsid w:val="1F457921"/>
    <w:rsid w:val="20D12777"/>
    <w:rsid w:val="213339C4"/>
    <w:rsid w:val="21562C7C"/>
    <w:rsid w:val="21677697"/>
    <w:rsid w:val="228D26CE"/>
    <w:rsid w:val="23226D27"/>
    <w:rsid w:val="247C6E9E"/>
    <w:rsid w:val="25EB67FB"/>
    <w:rsid w:val="26010880"/>
    <w:rsid w:val="26F15921"/>
    <w:rsid w:val="29AE18A7"/>
    <w:rsid w:val="2A6366FF"/>
    <w:rsid w:val="2ABC2C4A"/>
    <w:rsid w:val="2B3D5BF4"/>
    <w:rsid w:val="2B54146F"/>
    <w:rsid w:val="2C4141D8"/>
    <w:rsid w:val="2CA105F6"/>
    <w:rsid w:val="2F5836E9"/>
    <w:rsid w:val="30062480"/>
    <w:rsid w:val="30556F21"/>
    <w:rsid w:val="308C5F1F"/>
    <w:rsid w:val="31111553"/>
    <w:rsid w:val="314B6E80"/>
    <w:rsid w:val="32843E96"/>
    <w:rsid w:val="36162BCB"/>
    <w:rsid w:val="36A71B58"/>
    <w:rsid w:val="37103BA1"/>
    <w:rsid w:val="37514AF4"/>
    <w:rsid w:val="377C0298"/>
    <w:rsid w:val="38A37210"/>
    <w:rsid w:val="39C31C6C"/>
    <w:rsid w:val="3A6303AE"/>
    <w:rsid w:val="3A993EAE"/>
    <w:rsid w:val="3C283344"/>
    <w:rsid w:val="3C485F9D"/>
    <w:rsid w:val="3C7C70D7"/>
    <w:rsid w:val="3C940DD1"/>
    <w:rsid w:val="3E0C6463"/>
    <w:rsid w:val="3E7D21C8"/>
    <w:rsid w:val="3EE40E3D"/>
    <w:rsid w:val="403E57B7"/>
    <w:rsid w:val="415A5C88"/>
    <w:rsid w:val="42051E29"/>
    <w:rsid w:val="42112513"/>
    <w:rsid w:val="43224020"/>
    <w:rsid w:val="433C7ACC"/>
    <w:rsid w:val="435518AD"/>
    <w:rsid w:val="43C04259"/>
    <w:rsid w:val="4559568A"/>
    <w:rsid w:val="472961BF"/>
    <w:rsid w:val="475528CD"/>
    <w:rsid w:val="47B265AF"/>
    <w:rsid w:val="4A063A4F"/>
    <w:rsid w:val="4A183041"/>
    <w:rsid w:val="4A875AD1"/>
    <w:rsid w:val="4AA85768"/>
    <w:rsid w:val="4AE27CAC"/>
    <w:rsid w:val="4B6E282F"/>
    <w:rsid w:val="4BAC48C9"/>
    <w:rsid w:val="4BB27DC6"/>
    <w:rsid w:val="4CEA2347"/>
    <w:rsid w:val="4D243428"/>
    <w:rsid w:val="4E1E04FA"/>
    <w:rsid w:val="4FEB08B0"/>
    <w:rsid w:val="50A13664"/>
    <w:rsid w:val="523875F5"/>
    <w:rsid w:val="52506204"/>
    <w:rsid w:val="533753E6"/>
    <w:rsid w:val="53FA1DF3"/>
    <w:rsid w:val="54AB2D04"/>
    <w:rsid w:val="557B35BC"/>
    <w:rsid w:val="571F3A0C"/>
    <w:rsid w:val="57F2034A"/>
    <w:rsid w:val="58207565"/>
    <w:rsid w:val="58235318"/>
    <w:rsid w:val="58FD67E6"/>
    <w:rsid w:val="59121C77"/>
    <w:rsid w:val="59DE0E09"/>
    <w:rsid w:val="59DF6851"/>
    <w:rsid w:val="5A283DD0"/>
    <w:rsid w:val="5A5140AC"/>
    <w:rsid w:val="5ACD76EE"/>
    <w:rsid w:val="5AD36B10"/>
    <w:rsid w:val="5B3D7F5F"/>
    <w:rsid w:val="5B460326"/>
    <w:rsid w:val="5F0279C4"/>
    <w:rsid w:val="5F1D47FE"/>
    <w:rsid w:val="5F8564E2"/>
    <w:rsid w:val="5F944466"/>
    <w:rsid w:val="60A9029A"/>
    <w:rsid w:val="60C22816"/>
    <w:rsid w:val="6139287F"/>
    <w:rsid w:val="61DF235A"/>
    <w:rsid w:val="63CF15A0"/>
    <w:rsid w:val="65A92947"/>
    <w:rsid w:val="661A50B7"/>
    <w:rsid w:val="673E5F91"/>
    <w:rsid w:val="674A6EA9"/>
    <w:rsid w:val="67D649B5"/>
    <w:rsid w:val="686A7A21"/>
    <w:rsid w:val="6A4E3ABD"/>
    <w:rsid w:val="6AE63D7E"/>
    <w:rsid w:val="6B462C2B"/>
    <w:rsid w:val="6B8359E9"/>
    <w:rsid w:val="6BD277B9"/>
    <w:rsid w:val="6DA12E69"/>
    <w:rsid w:val="6DBB3B60"/>
    <w:rsid w:val="6ED944A2"/>
    <w:rsid w:val="6F0B4673"/>
    <w:rsid w:val="700E4F44"/>
    <w:rsid w:val="70173239"/>
    <w:rsid w:val="721A5B23"/>
    <w:rsid w:val="72B931C1"/>
    <w:rsid w:val="734A515C"/>
    <w:rsid w:val="738D03F5"/>
    <w:rsid w:val="739B1419"/>
    <w:rsid w:val="73AF1A71"/>
    <w:rsid w:val="73BA67F1"/>
    <w:rsid w:val="73E442FB"/>
    <w:rsid w:val="74714F78"/>
    <w:rsid w:val="74E41BEE"/>
    <w:rsid w:val="767E5B01"/>
    <w:rsid w:val="76C765B5"/>
    <w:rsid w:val="77F2017E"/>
    <w:rsid w:val="79017606"/>
    <w:rsid w:val="79D7762B"/>
    <w:rsid w:val="79EB254B"/>
    <w:rsid w:val="7A0917AF"/>
    <w:rsid w:val="7BA82ABD"/>
    <w:rsid w:val="7D0A41BC"/>
    <w:rsid w:val="7D0A4B3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qFormat/>
    <w:uiPriority w:val="0"/>
    <w:pPr>
      <w:ind w:firstLine="420"/>
    </w:pPr>
    <w:rPr>
      <w:rFonts w:hAnsi="Times New Roman" w:cs="Times New Roman"/>
      <w:snapToGrid/>
      <w:szCs w:val="20"/>
    </w:rPr>
  </w:style>
  <w:style w:type="paragraph" w:styleId="8">
    <w:name w:val="toc 6"/>
    <w:basedOn w:val="1"/>
    <w:next w:val="1"/>
    <w:qFormat/>
    <w:uiPriority w:val="0"/>
    <w:pPr>
      <w:ind w:left="2100" w:leftChars="1000"/>
    </w:p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next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jc w:val="left"/>
    </w:pPr>
    <w:rPr>
      <w:b/>
      <w:caps/>
    </w:rPr>
  </w:style>
  <w:style w:type="table" w:styleId="15">
    <w:name w:val="Table Grid"/>
    <w:basedOn w:val="14"/>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7">
    <w:name w:val="Table Paragraph"/>
    <w:basedOn w:val="1"/>
    <w:qFormat/>
    <w:uiPriority w:val="1"/>
    <w:rPr>
      <w:rFonts w:ascii="宋体" w:hAnsi="宋体" w:eastAsia="宋体" w:cs="宋体"/>
      <w:lang w:val="zh-CN" w:bidi="zh-CN"/>
    </w:rPr>
  </w:style>
  <w:style w:type="paragraph" w:customStyle="1" w:styleId="18">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qFormat/>
    <w:uiPriority w:val="0"/>
    <w:pPr>
      <w:spacing w:line="360" w:lineRule="exact"/>
      <w:ind w:firstLine="200" w:firstLineChars="200"/>
    </w:pPr>
    <w:rPr>
      <w:rFonts w:ascii="Arial" w:hAnsi="Arial"/>
    </w:rPr>
  </w:style>
  <w:style w:type="paragraph" w:customStyle="1" w:styleId="20">
    <w:name w:val="正文2"/>
    <w:basedOn w:val="1"/>
    <w:qFormat/>
    <w:uiPriority w:val="0"/>
    <w:pPr>
      <w:spacing w:before="156" w:line="360" w:lineRule="auto"/>
      <w:ind w:firstLine="510" w:firstLineChars="200"/>
    </w:pPr>
    <w:rPr>
      <w:sz w:val="24"/>
      <w:szCs w:val="20"/>
    </w:rPr>
  </w:style>
  <w:style w:type="paragraph" w:customStyle="1" w:styleId="2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qFormat/>
    <w:uiPriority w:val="0"/>
    <w:rPr>
      <w:rFonts w:ascii="宋体" w:hAnsi="Courier New"/>
      <w:kern w:val="0"/>
      <w:sz w:val="20"/>
      <w:szCs w:val="20"/>
    </w:rPr>
  </w:style>
  <w:style w:type="paragraph" w:customStyle="1" w:styleId="25">
    <w:name w:val="纯文本_0_0"/>
    <w:basedOn w:val="26"/>
    <w:qFormat/>
    <w:uiPriority w:val="0"/>
    <w:rPr>
      <w:rFonts w:ascii="宋体" w:hAnsi="Courier New"/>
      <w:szCs w:val="21"/>
    </w:rPr>
  </w:style>
  <w:style w:type="paragraph" w:customStyle="1" w:styleId="2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qFormat/>
    <w:uiPriority w:val="99"/>
    <w:pPr>
      <w:ind w:firstLine="420" w:firstLineChars="200"/>
    </w:pPr>
  </w:style>
  <w:style w:type="paragraph" w:customStyle="1" w:styleId="28">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24825</Words>
  <Characters>25979</Characters>
  <Lines>0</Lines>
  <Paragraphs>0</Paragraphs>
  <TotalTime>9</TotalTime>
  <ScaleCrop>false</ScaleCrop>
  <LinksUpToDate>false</LinksUpToDate>
  <CharactersWithSpaces>29144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加菲51</cp:lastModifiedBy>
  <dcterms:modified xsi:type="dcterms:W3CDTF">2023-10-31T02:08:35Z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6A8FEE40B9E14D38A6934ACE40E79C8A_13</vt:lpwstr>
  </property>
</Properties>
</file>