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2024年临江公司危废运输车辆定点加油服务项目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202401023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2024年临江公司危废运输车辆定点加油服务项目</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202401023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2024年临江公司危废运输车辆定点加油服务项目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27.8920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0#柴油车辆定点加油服务</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1年</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9"/>
        <w:spacing w:line="360" w:lineRule="auto"/>
        <w:ind w:firstLine="504" w:firstLineChars="210"/>
        <w:rPr>
          <w:rFonts w:hint="eastAsia" w:cs="仿宋" w:asciiTheme="minorEastAsia" w:hAnsiTheme="minorEastAsia"/>
          <w:bCs/>
          <w:sz w:val="24"/>
        </w:rPr>
      </w:pPr>
      <w:r>
        <w:rPr>
          <w:rFonts w:hint="eastAsia" w:cs="仿宋" w:asciiTheme="minorEastAsia" w:hAnsiTheme="minorEastAsia"/>
          <w:bCs/>
          <w:kern w:val="2"/>
          <w:sz w:val="24"/>
          <w:szCs w:val="24"/>
          <w:lang w:val="en-US" w:eastAsia="zh-CN" w:bidi="ar-SA"/>
        </w:rPr>
        <w:t>3</w:t>
      </w:r>
      <w:r>
        <w:rPr>
          <w:rFonts w:hint="eastAsia" w:cs="仿宋" w:asciiTheme="minorEastAsia" w:hAnsiTheme="minorEastAsia" w:eastAsiaTheme="minorEastAsia"/>
          <w:bCs/>
          <w:kern w:val="2"/>
          <w:sz w:val="24"/>
          <w:szCs w:val="24"/>
          <w:lang w:val="en-US" w:eastAsia="zh-CN" w:bidi="ar-SA"/>
        </w:rPr>
        <w:t>.</w:t>
      </w:r>
      <w:r>
        <w:rPr>
          <w:rFonts w:hint="eastAsia" w:cs="仿宋" w:asciiTheme="minorEastAsia" w:hAnsiTheme="minorEastAsia"/>
          <w:bCs/>
          <w:kern w:val="2"/>
          <w:sz w:val="24"/>
          <w:szCs w:val="24"/>
          <w:lang w:val="en-US" w:eastAsia="zh-CN" w:bidi="ar-SA"/>
        </w:rPr>
        <w:t>供应商</w:t>
      </w:r>
      <w:r>
        <w:rPr>
          <w:rFonts w:hint="eastAsia" w:cs="仿宋" w:asciiTheme="minorEastAsia" w:hAnsiTheme="minorEastAsia" w:eastAsiaTheme="minorEastAsia"/>
          <w:bCs/>
          <w:kern w:val="2"/>
          <w:sz w:val="24"/>
          <w:szCs w:val="24"/>
          <w:lang w:val="en-US" w:eastAsia="zh-CN" w:bidi="ar-SA"/>
        </w:rPr>
        <w:t>需有《危险化学品经营许可证》。</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highlight w:val="none"/>
        </w:rPr>
        <w:t>.业绩要求：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8</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val="en-US" w:eastAsia="zh-CN"/>
        </w:rPr>
        <w:t>2024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w:t>
      </w:r>
      <w:r>
        <w:rPr>
          <w:rFonts w:hint="eastAsia" w:cs="仿宋" w:asciiTheme="minorEastAsia" w:hAnsiTheme="minorEastAsia"/>
          <w:sz w:val="24"/>
          <w:u w:val="single"/>
          <w:lang w:val="en-US" w:eastAsia="zh-CN"/>
        </w:rPr>
        <w:t>24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19</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snapToGrid w:val="0"/>
                <w:kern w:val="0"/>
                <w:szCs w:val="21"/>
                <w:lang w:eastAsia="zh-CN"/>
              </w:rPr>
            </w:pPr>
            <w:r>
              <w:rPr>
                <w:rFonts w:hint="eastAsia" w:ascii="宋体" w:hAnsi="宋体" w:cs="宋体"/>
                <w:b/>
                <w:snapToGrid w:val="0"/>
                <w:kern w:val="0"/>
                <w:szCs w:val="21"/>
              </w:rPr>
              <w:t>履约保证金</w:t>
            </w:r>
            <w:r>
              <w:rPr>
                <w:rFonts w:hint="eastAsia" w:ascii="宋体" w:hAnsi="宋体" w:cs="宋体"/>
                <w:b/>
                <w:snapToGrid w:val="0"/>
                <w:kern w:val="0"/>
                <w:szCs w:val="21"/>
                <w:lang w:eastAsia="zh-CN"/>
              </w:rPr>
              <w:t>（</w:t>
            </w:r>
            <w:r>
              <w:rPr>
                <w:rFonts w:hint="eastAsia" w:ascii="宋体" w:hAnsi="宋体" w:cs="宋体"/>
                <w:b/>
                <w:snapToGrid w:val="0"/>
                <w:kern w:val="0"/>
                <w:szCs w:val="21"/>
                <w:lang w:val="en-US" w:eastAsia="zh-CN"/>
              </w:rPr>
              <w:t>如有</w:t>
            </w:r>
            <w:r>
              <w:rPr>
                <w:rFonts w:hint="eastAsia" w:ascii="宋体" w:hAnsi="宋体" w:cs="宋体"/>
                <w:b/>
                <w:snapToGrid w:val="0"/>
                <w:kern w:val="0"/>
                <w:szCs w:val="21"/>
                <w:lang w:eastAsia="zh-CN"/>
              </w:rPr>
              <w:t>）</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rPr>
          <w:rFonts w:cs="仿宋" w:asciiTheme="minorEastAsia" w:hAnsiTheme="minorEastAsia"/>
          <w:sz w:val="24"/>
        </w:rPr>
      </w:pPr>
      <w:r>
        <w:rPr>
          <w:rFonts w:hint="eastAsia"/>
        </w:rPr>
        <w:t>本项目无预付款。</w:t>
      </w:r>
    </w:p>
    <w:p>
      <w:pPr>
        <w:pStyle w:val="8"/>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val="en-US" w:eastAsia="zh-CN"/>
        </w:rPr>
        <w:t>采购</w:t>
      </w:r>
      <w:r>
        <w:rPr>
          <w:rFonts w:hint="eastAsia" w:ascii="宋体" w:hAnsi="宋体" w:eastAsia="宋体" w:cs="宋体"/>
          <w:b/>
          <w:sz w:val="24"/>
        </w:rPr>
        <w:t>内容。</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杭州临江环境能源有限公司</w:t>
      </w:r>
      <w:bookmarkStart w:id="385" w:name="_GoBack"/>
      <w:bookmarkEnd w:id="385"/>
      <w:r>
        <w:rPr>
          <w:rFonts w:hint="eastAsia" w:ascii="宋体" w:hAnsi="Arial" w:cs="Arial" w:eastAsiaTheme="minorEastAsia"/>
          <w:b w:val="0"/>
          <w:caps w:val="0"/>
          <w:snapToGrid w:val="0"/>
          <w:kern w:val="2"/>
          <w:sz w:val="24"/>
          <w:szCs w:val="21"/>
          <w:lang w:val="en-US" w:eastAsia="zh-CN" w:bidi="ar-SA"/>
        </w:rPr>
        <w:t>因运营需要，需采购车辆定点加油服务。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5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7"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物资名称</w:t>
            </w:r>
          </w:p>
        </w:tc>
        <w:tc>
          <w:tcPr>
            <w:tcW w:w="6690"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要求</w:t>
            </w:r>
          </w:p>
        </w:tc>
        <w:tc>
          <w:tcPr>
            <w:tcW w:w="1229" w:type="dxa"/>
            <w:vAlign w:val="center"/>
          </w:tcPr>
          <w:p>
            <w:pPr>
              <w:widowControl/>
              <w:jc w:val="center"/>
              <w:textAlignment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暂定数量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67"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0#柴油</w:t>
            </w:r>
          </w:p>
        </w:tc>
        <w:tc>
          <w:tcPr>
            <w:tcW w:w="6690" w:type="dxa"/>
            <w:vAlign w:val="center"/>
          </w:tcPr>
          <w:p>
            <w:pPr>
              <w:pStyle w:val="9"/>
              <w:spacing w:line="360" w:lineRule="auto"/>
              <w:ind w:firstLine="0"/>
              <w:jc w:val="left"/>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229" w:type="dxa"/>
            <w:vAlign w:val="center"/>
          </w:tcPr>
          <w:p>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3.8</w:t>
            </w:r>
            <w:r>
              <w:rPr>
                <w:rFonts w:hint="eastAsia" w:ascii="宋体" w:hAnsi="Arial" w:cs="Arial" w:eastAsiaTheme="minorEastAsia"/>
                <w:b w:val="0"/>
                <w:caps w:val="0"/>
                <w:snapToGrid w:val="0"/>
                <w:kern w:val="2"/>
                <w:sz w:val="24"/>
                <w:szCs w:val="21"/>
                <w:lang w:val="en-US" w:eastAsia="zh-CN" w:bidi="ar-SA"/>
              </w:rPr>
              <w:t>万升</w:t>
            </w:r>
          </w:p>
        </w:tc>
      </w:tr>
    </w:tbl>
    <w:p>
      <w:pPr>
        <w:spacing w:line="360" w:lineRule="auto"/>
        <w:ind w:firstLine="523" w:firstLineChars="217"/>
        <w:rPr>
          <w:rFonts w:hint="eastAsia" w:ascii="宋体" w:hAnsi="Arial" w:cs="Arial" w:eastAsiaTheme="minorEastAsia"/>
          <w:b/>
          <w:bCs/>
          <w:caps w:val="0"/>
          <w:snapToGrid w:val="0"/>
          <w:kern w:val="2"/>
          <w:sz w:val="24"/>
          <w:szCs w:val="21"/>
          <w:lang w:val="en-US" w:eastAsia="zh-CN" w:bidi="ar-SA"/>
        </w:rPr>
      </w:pPr>
      <w:r>
        <w:rPr>
          <w:rFonts w:hint="eastAsia" w:ascii="宋体" w:hAnsi="Arial" w:cs="Arial" w:eastAsiaTheme="minorEastAsia"/>
          <w:b/>
          <w:bCs/>
          <w:caps w:val="0"/>
          <w:snapToGrid w:val="0"/>
          <w:kern w:val="2"/>
          <w:sz w:val="24"/>
          <w:szCs w:val="21"/>
          <w:lang w:val="en-US" w:eastAsia="zh-CN" w:bidi="ar-SA"/>
        </w:rPr>
        <w:t>注：本项目服务期自合同生效之日起1年。采购数量为暂估量，不视为采购承诺，实际采购量有可能多于或少于暂估量。中标人须承诺在合同服务期内，下浮优惠幅度不变，采购人可根据实际生产计划，调整采购数量，最终按实际加油数量结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★二、服务要求。</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1.服务有限期：一年。</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采购人的单位加油卡仅作为绑定车辆加油之用，可在中标人系统内加油站加油，但不得用于购买加油站内便利店商品等其他用途。采购人有义务核对加油卡和车辆是否绑定，若采购人相关人员使用加油卡对非绑定车辆加油，则中标人必须拒绝加油，并及时将此情况告知采购人。</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3.中标人不得为采购人指定车辆之外的车辆加油，并每次登记加油车辆信息及数量；</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4.中标人需保证加油计量设备数据准确。</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5.数量核对：车辆加油后的单据，一张由司机带回，一张加油站留存，同步油站要向中标人设立独立台账，用于结算周期内核账。</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★三、验收标准</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中标人要保证0#柴油的质量符合国家标准或者行业标准要求，采购人会随机跟车对车辆加的油进行取样送检分析。</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四、付款方式</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1.油费以预付款方式充值至临江公司油卡账户内，</w:t>
      </w:r>
      <w:r>
        <w:rPr>
          <w:rFonts w:hint="eastAsia" w:ascii="宋体" w:hAnsi="Arial" w:cs="Arial" w:eastAsiaTheme="minorEastAsia"/>
          <w:b w:val="0"/>
          <w:caps w:val="0"/>
          <w:snapToGrid w:val="0"/>
          <w:kern w:val="2"/>
          <w:sz w:val="24"/>
          <w:szCs w:val="21"/>
          <w:lang w:val="en-US" w:eastAsia="zh-Hans" w:bidi="ar-SA"/>
        </w:rPr>
        <w:t>采购人</w:t>
      </w:r>
      <w:r>
        <w:rPr>
          <w:rFonts w:hint="eastAsia" w:ascii="宋体" w:hAnsi="Arial" w:cs="Arial" w:eastAsiaTheme="minorEastAsia"/>
          <w:b w:val="0"/>
          <w:caps w:val="0"/>
          <w:snapToGrid w:val="0"/>
          <w:kern w:val="2"/>
          <w:sz w:val="24"/>
          <w:szCs w:val="21"/>
          <w:lang w:val="en-US" w:eastAsia="zh-CN" w:bidi="ar-SA"/>
        </w:rPr>
        <w:t>车辆加油后自行扣除。</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2.双方核对金额无误后，卖方开具增值税专票。</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五、定价准则</w:t>
      </w:r>
    </w:p>
    <w:p>
      <w:pPr>
        <w:pStyle w:val="2"/>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加油服务价格以浙江省国家发改委指导成品油零售含税价格为基准，按照约定的下浮优惠幅度进行下浮。</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六、其他要求</w:t>
      </w:r>
    </w:p>
    <w:p>
      <w:pPr>
        <w:spacing w:line="400" w:lineRule="exact"/>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1.中标人必须满足采购人售后服务要求。若因中标人所提供的柴油质量问题导致采购人车辆运行出现异常或故障，中标人应在接到采购人通知后24小时之内自费派维修工到采购人现场进行技术服务。</w:t>
      </w:r>
    </w:p>
    <w:p>
      <w:pPr>
        <w:spacing w:line="400" w:lineRule="exact"/>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2</w:t>
      </w:r>
      <w:r>
        <w:rPr>
          <w:rFonts w:hint="eastAsia" w:ascii="宋体" w:hAnsi="Arial" w:cs="Arial" w:eastAsiaTheme="minorEastAsia"/>
          <w:b w:val="0"/>
          <w:caps w:val="0"/>
          <w:snapToGrid w:val="0"/>
          <w:kern w:val="2"/>
          <w:sz w:val="24"/>
          <w:szCs w:val="21"/>
          <w:lang w:val="en-US" w:eastAsia="zh-CN" w:bidi="ar-SA"/>
        </w:rPr>
        <w:t>.保密服务要求：中标人对采购人提供的所有业务技术资料、文档，有责任对第三方保密；中标人在服务过程中涉及第三方产品（中标人提供的），若出现技术、经济或法律上的纠纷，应由中标人全面承担并解决，确保不影响项目的进度。中标人应严格遵守采购人关于保密方面的规定，自觉保守采购人的商业秘密。采购人为方便项目实施所提供给中标人的工作流程、管理模式、规程、程序等相关文档资料、文档、数据均属于采购人所有。未经采购人授权同意，中标人不得另作他用。因中标人原因导致上述资料、文档、数据或采购人商业秘密泄露的，采购人有权要求中标人采取措施消除影响并赔偿招标方损失。</w:t>
      </w:r>
    </w:p>
    <w:p>
      <w:pPr>
        <w:spacing w:line="360" w:lineRule="auto"/>
        <w:ind w:firstLine="482" w:firstLineChars="200"/>
        <w:rPr>
          <w:rFonts w:hint="eastAsia" w:ascii="宋体" w:hAnsi="宋体" w:eastAsia="宋体" w:cs="宋体"/>
          <w:b/>
          <w:sz w:val="24"/>
        </w:rPr>
      </w:pPr>
    </w:p>
    <w:p>
      <w:pPr>
        <w:spacing w:line="360" w:lineRule="auto"/>
        <w:ind w:firstLine="482" w:firstLineChars="200"/>
        <w:rPr>
          <w:rFonts w:hint="eastAsia" w:ascii="宋体" w:hAnsi="宋体" w:eastAsia="宋体" w:cs="宋体"/>
          <w:b/>
          <w:sz w:val="24"/>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6"/>
      <w:bookmarkEnd w:id="19"/>
      <w:bookmarkStart w:id="20" w:name="_Toc184313281"/>
      <w:bookmarkEnd w:id="20"/>
      <w:bookmarkStart w:id="21" w:name="_Toc184310286"/>
      <w:bookmarkEnd w:id="21"/>
      <w:bookmarkStart w:id="22" w:name="_Toc184312074"/>
      <w:bookmarkEnd w:id="22"/>
      <w:bookmarkStart w:id="23" w:name="_Toc184313304"/>
      <w:bookmarkEnd w:id="23"/>
      <w:bookmarkStart w:id="24" w:name="_Toc184313296"/>
      <w:bookmarkEnd w:id="24"/>
      <w:bookmarkStart w:id="25" w:name="_Toc184314445"/>
      <w:bookmarkEnd w:id="25"/>
      <w:bookmarkStart w:id="26" w:name="_Toc184313288"/>
      <w:bookmarkEnd w:id="26"/>
      <w:bookmarkStart w:id="27" w:name="_Toc184308047"/>
      <w:bookmarkEnd w:id="27"/>
      <w:bookmarkStart w:id="28" w:name="_Toc184308061"/>
      <w:bookmarkEnd w:id="28"/>
      <w:bookmarkStart w:id="29" w:name="_Toc184308087"/>
      <w:bookmarkEnd w:id="29"/>
      <w:bookmarkStart w:id="30" w:name="_Toc184310320"/>
      <w:bookmarkEnd w:id="30"/>
      <w:bookmarkStart w:id="31" w:name="_Toc184310283"/>
      <w:bookmarkEnd w:id="31"/>
      <w:bookmarkStart w:id="32" w:name="_Toc184314450"/>
      <w:bookmarkEnd w:id="32"/>
      <w:bookmarkStart w:id="33" w:name="_Toc184312102"/>
      <w:bookmarkEnd w:id="33"/>
      <w:bookmarkStart w:id="34" w:name="_Toc184310280"/>
      <w:bookmarkEnd w:id="34"/>
      <w:bookmarkStart w:id="35" w:name="_Toc184313286"/>
      <w:bookmarkEnd w:id="35"/>
      <w:bookmarkStart w:id="36" w:name="_Toc184310342"/>
      <w:bookmarkEnd w:id="36"/>
      <w:bookmarkStart w:id="37" w:name="_Toc184308067"/>
      <w:bookmarkEnd w:id="37"/>
      <w:bookmarkStart w:id="38" w:name="_Toc184312128"/>
      <w:bookmarkEnd w:id="38"/>
      <w:bookmarkStart w:id="39" w:name="_Toc184313252"/>
      <w:bookmarkEnd w:id="39"/>
      <w:bookmarkStart w:id="40" w:name="_Toc184314416"/>
      <w:bookmarkEnd w:id="40"/>
      <w:bookmarkStart w:id="41" w:name="_Toc184312124"/>
      <w:bookmarkEnd w:id="41"/>
      <w:bookmarkStart w:id="42" w:name="_Toc184308076"/>
      <w:bookmarkEnd w:id="42"/>
      <w:bookmarkStart w:id="43" w:name="_Toc184308075"/>
      <w:bookmarkEnd w:id="43"/>
      <w:bookmarkStart w:id="44" w:name="_Toc184310311"/>
      <w:bookmarkEnd w:id="44"/>
      <w:bookmarkStart w:id="45" w:name="_Toc184312101"/>
      <w:bookmarkEnd w:id="45"/>
      <w:bookmarkStart w:id="46" w:name="_Toc184314453"/>
      <w:bookmarkEnd w:id="46"/>
      <w:bookmarkStart w:id="47" w:name="_Toc184312105"/>
      <w:bookmarkEnd w:id="47"/>
      <w:bookmarkStart w:id="48" w:name="_Toc184308048"/>
      <w:bookmarkEnd w:id="48"/>
      <w:bookmarkStart w:id="49" w:name="_Toc184313295"/>
      <w:bookmarkEnd w:id="49"/>
      <w:bookmarkStart w:id="50" w:name="_Toc184310319"/>
      <w:bookmarkEnd w:id="50"/>
      <w:bookmarkStart w:id="51" w:name="_Toc184308083"/>
      <w:bookmarkEnd w:id="51"/>
      <w:bookmarkStart w:id="52" w:name="_Toc184312134"/>
      <w:bookmarkEnd w:id="52"/>
      <w:bookmarkStart w:id="53" w:name="_Toc184314477"/>
      <w:bookmarkEnd w:id="53"/>
      <w:bookmarkStart w:id="54" w:name="_Toc184314429"/>
      <w:bookmarkEnd w:id="54"/>
      <w:bookmarkStart w:id="55" w:name="_Toc184312122"/>
      <w:bookmarkEnd w:id="55"/>
      <w:bookmarkStart w:id="56" w:name="_Toc184313300"/>
      <w:bookmarkEnd w:id="56"/>
      <w:bookmarkStart w:id="57" w:name="_Toc184314467"/>
      <w:bookmarkEnd w:id="57"/>
      <w:bookmarkStart w:id="58" w:name="_Toc184314437"/>
      <w:bookmarkEnd w:id="58"/>
      <w:bookmarkStart w:id="59" w:name="_Toc184314428"/>
      <w:bookmarkEnd w:id="59"/>
      <w:bookmarkStart w:id="60" w:name="_Toc184312071"/>
      <w:bookmarkEnd w:id="60"/>
      <w:bookmarkStart w:id="61" w:name="_Toc184312088"/>
      <w:bookmarkEnd w:id="61"/>
      <w:bookmarkStart w:id="62" w:name="_Toc184310327"/>
      <w:bookmarkEnd w:id="62"/>
      <w:bookmarkStart w:id="63" w:name="_Toc184312081"/>
      <w:bookmarkEnd w:id="63"/>
      <w:bookmarkStart w:id="64" w:name="_Toc184310294"/>
      <w:bookmarkEnd w:id="64"/>
      <w:bookmarkStart w:id="65" w:name="_Toc184310301"/>
      <w:bookmarkEnd w:id="65"/>
      <w:bookmarkStart w:id="66" w:name="_Toc184314434"/>
      <w:bookmarkEnd w:id="66"/>
      <w:bookmarkStart w:id="67" w:name="_Toc184310330"/>
      <w:bookmarkEnd w:id="67"/>
      <w:bookmarkStart w:id="68" w:name="_Toc184314430"/>
      <w:bookmarkEnd w:id="68"/>
      <w:bookmarkStart w:id="69" w:name="_Toc184310281"/>
      <w:bookmarkEnd w:id="69"/>
      <w:bookmarkStart w:id="70" w:name="_Toc184312126"/>
      <w:bookmarkEnd w:id="70"/>
      <w:bookmarkStart w:id="71" w:name="_Toc184314452"/>
      <w:bookmarkEnd w:id="71"/>
      <w:bookmarkStart w:id="72" w:name="_Toc184313298"/>
      <w:bookmarkEnd w:id="72"/>
      <w:bookmarkStart w:id="73" w:name="_Toc184314446"/>
      <w:bookmarkEnd w:id="73"/>
      <w:bookmarkStart w:id="74" w:name="_Toc184313274"/>
      <w:bookmarkEnd w:id="74"/>
      <w:bookmarkStart w:id="75" w:name="_Toc184310290"/>
      <w:bookmarkEnd w:id="75"/>
      <w:bookmarkStart w:id="76" w:name="_Toc184313282"/>
      <w:bookmarkEnd w:id="76"/>
      <w:bookmarkStart w:id="77" w:name="_Toc184310324"/>
      <w:bookmarkEnd w:id="77"/>
      <w:bookmarkStart w:id="78" w:name="_Toc184312129"/>
      <w:bookmarkEnd w:id="78"/>
      <w:bookmarkStart w:id="79" w:name="_Toc184310341"/>
      <w:bookmarkEnd w:id="79"/>
      <w:bookmarkStart w:id="80" w:name="_Toc184314460"/>
      <w:bookmarkEnd w:id="80"/>
      <w:bookmarkStart w:id="81" w:name="_Toc184313292"/>
      <w:bookmarkEnd w:id="81"/>
      <w:bookmarkStart w:id="82" w:name="_Toc184314425"/>
      <w:bookmarkEnd w:id="82"/>
      <w:bookmarkStart w:id="83" w:name="_Toc184312133"/>
      <w:bookmarkEnd w:id="83"/>
      <w:bookmarkStart w:id="84" w:name="_Toc184308066"/>
      <w:bookmarkEnd w:id="84"/>
      <w:bookmarkStart w:id="85" w:name="_Toc184308044"/>
      <w:bookmarkEnd w:id="85"/>
      <w:bookmarkStart w:id="86" w:name="_Toc184308088"/>
      <w:bookmarkEnd w:id="86"/>
      <w:bookmarkStart w:id="87" w:name="_Toc184312087"/>
      <w:bookmarkEnd w:id="87"/>
      <w:bookmarkStart w:id="88" w:name="_Toc184314420"/>
      <w:bookmarkEnd w:id="88"/>
      <w:bookmarkStart w:id="89" w:name="_Toc184314424"/>
      <w:bookmarkEnd w:id="89"/>
      <w:bookmarkStart w:id="90" w:name="_Toc184313247"/>
      <w:bookmarkEnd w:id="90"/>
      <w:bookmarkStart w:id="91" w:name="_Toc184312076"/>
      <w:bookmarkEnd w:id="91"/>
      <w:bookmarkStart w:id="92" w:name="_Toc184313307"/>
      <w:bookmarkEnd w:id="92"/>
      <w:bookmarkStart w:id="93" w:name="_Toc184308079"/>
      <w:bookmarkEnd w:id="93"/>
      <w:bookmarkStart w:id="94" w:name="_Toc184313310"/>
      <w:bookmarkEnd w:id="94"/>
      <w:bookmarkStart w:id="95" w:name="_Toc184314463"/>
      <w:bookmarkEnd w:id="95"/>
      <w:bookmarkStart w:id="96" w:name="_Toc184314419"/>
      <w:bookmarkEnd w:id="96"/>
      <w:bookmarkStart w:id="97" w:name="_Toc184308080"/>
      <w:bookmarkEnd w:id="97"/>
      <w:bookmarkStart w:id="98" w:name="_Toc184314457"/>
      <w:bookmarkEnd w:id="98"/>
      <w:bookmarkStart w:id="99" w:name="_Toc184310317"/>
      <w:bookmarkEnd w:id="99"/>
      <w:bookmarkStart w:id="100" w:name="_Toc184312110"/>
      <w:bookmarkEnd w:id="100"/>
      <w:bookmarkStart w:id="101" w:name="_Toc184314462"/>
      <w:bookmarkEnd w:id="101"/>
      <w:bookmarkStart w:id="102" w:name="_Toc184312070"/>
      <w:bookmarkEnd w:id="102"/>
      <w:bookmarkStart w:id="103" w:name="_Toc184312085"/>
      <w:bookmarkEnd w:id="103"/>
      <w:bookmarkStart w:id="104" w:name="_Toc184312112"/>
      <w:bookmarkEnd w:id="104"/>
      <w:bookmarkStart w:id="105" w:name="_Toc184313239"/>
      <w:bookmarkEnd w:id="105"/>
      <w:bookmarkStart w:id="106" w:name="_Toc184312104"/>
      <w:bookmarkEnd w:id="106"/>
      <w:bookmarkStart w:id="107" w:name="_Toc184314427"/>
      <w:bookmarkEnd w:id="107"/>
      <w:bookmarkStart w:id="108" w:name="_Toc184312098"/>
      <w:bookmarkEnd w:id="108"/>
      <w:bookmarkStart w:id="109" w:name="_Toc184312106"/>
      <w:bookmarkEnd w:id="109"/>
      <w:bookmarkStart w:id="110" w:name="_Toc184314456"/>
      <w:bookmarkEnd w:id="110"/>
      <w:bookmarkStart w:id="111" w:name="_Toc184310321"/>
      <w:bookmarkEnd w:id="111"/>
      <w:bookmarkStart w:id="112" w:name="_Toc184312069"/>
      <w:bookmarkEnd w:id="112"/>
      <w:bookmarkStart w:id="113" w:name="_Toc184313287"/>
      <w:bookmarkEnd w:id="113"/>
      <w:bookmarkStart w:id="114" w:name="_Toc184312089"/>
      <w:bookmarkEnd w:id="114"/>
      <w:bookmarkStart w:id="115" w:name="_Toc184308089"/>
      <w:bookmarkEnd w:id="115"/>
      <w:bookmarkStart w:id="116" w:name="_Toc184308055"/>
      <w:bookmarkEnd w:id="116"/>
      <w:bookmarkStart w:id="117" w:name="_Toc184314415"/>
      <w:bookmarkEnd w:id="117"/>
      <w:bookmarkStart w:id="118" w:name="_Toc184308094"/>
      <w:bookmarkEnd w:id="118"/>
      <w:bookmarkStart w:id="119" w:name="_Toc184312117"/>
      <w:bookmarkEnd w:id="119"/>
      <w:bookmarkStart w:id="120" w:name="_Toc184312082"/>
      <w:bookmarkEnd w:id="120"/>
      <w:bookmarkStart w:id="121" w:name="_Toc184314470"/>
      <w:bookmarkEnd w:id="121"/>
      <w:bookmarkStart w:id="122" w:name="_Toc184312111"/>
      <w:bookmarkEnd w:id="122"/>
      <w:bookmarkStart w:id="123" w:name="_Toc184308042"/>
      <w:bookmarkEnd w:id="123"/>
      <w:bookmarkStart w:id="124" w:name="_Toc184314461"/>
      <w:bookmarkEnd w:id="124"/>
      <w:bookmarkStart w:id="125" w:name="_Toc184308084"/>
      <w:bookmarkEnd w:id="125"/>
      <w:bookmarkStart w:id="126" w:name="_Toc184313309"/>
      <w:bookmarkEnd w:id="126"/>
      <w:bookmarkStart w:id="127" w:name="_Toc184308037"/>
      <w:bookmarkEnd w:id="127"/>
      <w:bookmarkStart w:id="128" w:name="_Toc184313245"/>
      <w:bookmarkEnd w:id="128"/>
      <w:bookmarkStart w:id="129" w:name="_Toc184313262"/>
      <w:bookmarkEnd w:id="129"/>
      <w:bookmarkStart w:id="130" w:name="_Toc184308039"/>
      <w:bookmarkEnd w:id="130"/>
      <w:bookmarkStart w:id="131" w:name="_Toc184313302"/>
      <w:bookmarkEnd w:id="131"/>
      <w:bookmarkStart w:id="132" w:name="_Toc184313293"/>
      <w:bookmarkEnd w:id="132"/>
      <w:bookmarkStart w:id="133" w:name="_Toc184313241"/>
      <w:bookmarkEnd w:id="133"/>
      <w:bookmarkStart w:id="134" w:name="_Toc184310277"/>
      <w:bookmarkEnd w:id="134"/>
      <w:bookmarkStart w:id="135" w:name="_Toc184310298"/>
      <w:bookmarkEnd w:id="135"/>
      <w:bookmarkStart w:id="136" w:name="_Toc184314449"/>
      <w:bookmarkEnd w:id="136"/>
      <w:bookmarkStart w:id="137" w:name="_Toc184312138"/>
      <w:bookmarkEnd w:id="137"/>
      <w:bookmarkStart w:id="138" w:name="_Toc184310287"/>
      <w:bookmarkEnd w:id="138"/>
      <w:bookmarkStart w:id="139" w:name="_Toc184308096"/>
      <w:bookmarkEnd w:id="139"/>
      <w:bookmarkStart w:id="140" w:name="_Toc184314448"/>
      <w:bookmarkEnd w:id="140"/>
      <w:bookmarkStart w:id="141" w:name="_Toc184313269"/>
      <w:bookmarkEnd w:id="141"/>
      <w:bookmarkStart w:id="142" w:name="_Toc184308040"/>
      <w:bookmarkEnd w:id="142"/>
      <w:bookmarkStart w:id="143" w:name="_Toc184308073"/>
      <w:bookmarkEnd w:id="143"/>
      <w:bookmarkStart w:id="144" w:name="_Toc184310329"/>
      <w:bookmarkEnd w:id="144"/>
      <w:bookmarkStart w:id="145" w:name="_Toc184308078"/>
      <w:bookmarkEnd w:id="145"/>
      <w:bookmarkStart w:id="146" w:name="_Toc184314441"/>
      <w:bookmarkEnd w:id="146"/>
      <w:bookmarkStart w:id="147" w:name="_Toc184310282"/>
      <w:bookmarkEnd w:id="147"/>
      <w:bookmarkStart w:id="148" w:name="_Toc184314466"/>
      <w:bookmarkEnd w:id="148"/>
      <w:bookmarkStart w:id="149" w:name="_Toc184308090"/>
      <w:bookmarkEnd w:id="149"/>
      <w:bookmarkStart w:id="150" w:name="_Toc184314479"/>
      <w:bookmarkEnd w:id="150"/>
      <w:bookmarkStart w:id="151" w:name="_Toc184314433"/>
      <w:bookmarkEnd w:id="151"/>
      <w:bookmarkStart w:id="152" w:name="_Toc184310323"/>
      <w:bookmarkEnd w:id="152"/>
      <w:bookmarkStart w:id="153" w:name="_Toc184310276"/>
      <w:bookmarkEnd w:id="153"/>
      <w:bookmarkStart w:id="154" w:name="_Toc184313263"/>
      <w:bookmarkEnd w:id="154"/>
      <w:bookmarkStart w:id="155" w:name="_Toc184312115"/>
      <w:bookmarkEnd w:id="155"/>
      <w:bookmarkStart w:id="156" w:name="_Toc184310328"/>
      <w:bookmarkEnd w:id="156"/>
      <w:bookmarkStart w:id="157" w:name="_Toc184312073"/>
      <w:bookmarkEnd w:id="157"/>
      <w:bookmarkStart w:id="158" w:name="_Toc184310333"/>
      <w:bookmarkEnd w:id="158"/>
      <w:bookmarkStart w:id="159" w:name="_Toc184314468"/>
      <w:bookmarkEnd w:id="159"/>
      <w:bookmarkStart w:id="160" w:name="_Toc184314471"/>
      <w:bookmarkEnd w:id="160"/>
      <w:bookmarkStart w:id="161" w:name="_Toc184312091"/>
      <w:bookmarkEnd w:id="161"/>
      <w:bookmarkStart w:id="162" w:name="_Toc184312127"/>
      <w:bookmarkEnd w:id="162"/>
      <w:bookmarkStart w:id="163" w:name="_Toc184308077"/>
      <w:bookmarkEnd w:id="163"/>
      <w:bookmarkStart w:id="164" w:name="_Toc184314442"/>
      <w:bookmarkEnd w:id="164"/>
      <w:bookmarkStart w:id="165" w:name="_Toc184308100"/>
      <w:bookmarkEnd w:id="165"/>
      <w:bookmarkStart w:id="166" w:name="_Toc184313297"/>
      <w:bookmarkEnd w:id="166"/>
      <w:bookmarkStart w:id="167" w:name="_Toc184312092"/>
      <w:bookmarkEnd w:id="167"/>
      <w:bookmarkStart w:id="168" w:name="_Toc184313301"/>
      <w:bookmarkEnd w:id="168"/>
      <w:bookmarkStart w:id="169" w:name="_Toc184308082"/>
      <w:bookmarkEnd w:id="169"/>
      <w:bookmarkStart w:id="170" w:name="_Toc184312084"/>
      <w:bookmarkEnd w:id="170"/>
      <w:bookmarkStart w:id="171" w:name="_Toc184310336"/>
      <w:bookmarkEnd w:id="171"/>
      <w:bookmarkStart w:id="172" w:name="_Toc184310291"/>
      <w:bookmarkEnd w:id="172"/>
      <w:bookmarkStart w:id="173" w:name="_Toc184308041"/>
      <w:bookmarkEnd w:id="173"/>
      <w:bookmarkStart w:id="174" w:name="_Toc184310325"/>
      <w:bookmarkEnd w:id="174"/>
      <w:bookmarkStart w:id="175" w:name="_Toc184313256"/>
      <w:bookmarkEnd w:id="175"/>
      <w:bookmarkStart w:id="176" w:name="_Toc184310292"/>
      <w:bookmarkEnd w:id="176"/>
      <w:bookmarkStart w:id="177" w:name="_Toc184310344"/>
      <w:bookmarkEnd w:id="177"/>
      <w:bookmarkStart w:id="178" w:name="_Toc184312107"/>
      <w:bookmarkEnd w:id="178"/>
      <w:bookmarkStart w:id="179" w:name="_Toc184314455"/>
      <w:bookmarkEnd w:id="179"/>
      <w:bookmarkStart w:id="180" w:name="_Toc184314478"/>
      <w:bookmarkEnd w:id="180"/>
      <w:bookmarkStart w:id="181" w:name="_Toc184308054"/>
      <w:bookmarkEnd w:id="181"/>
      <w:bookmarkStart w:id="182" w:name="_Toc184314426"/>
      <w:bookmarkEnd w:id="182"/>
      <w:bookmarkStart w:id="183" w:name="_Toc184314417"/>
      <w:bookmarkEnd w:id="183"/>
      <w:bookmarkStart w:id="184" w:name="_Toc184313290"/>
      <w:bookmarkEnd w:id="184"/>
      <w:bookmarkStart w:id="185" w:name="_Toc184313243"/>
      <w:bookmarkEnd w:id="185"/>
      <w:bookmarkStart w:id="186" w:name="_Toc184313255"/>
      <w:bookmarkEnd w:id="186"/>
      <w:bookmarkStart w:id="187" w:name="_Toc184313285"/>
      <w:bookmarkEnd w:id="187"/>
      <w:bookmarkStart w:id="188" w:name="_Toc184310318"/>
      <w:bookmarkEnd w:id="188"/>
      <w:bookmarkStart w:id="189" w:name="_Toc184310313"/>
      <w:bookmarkEnd w:id="189"/>
      <w:bookmarkStart w:id="190" w:name="_Toc184313251"/>
      <w:bookmarkEnd w:id="190"/>
      <w:bookmarkStart w:id="191" w:name="_Toc184314472"/>
      <w:bookmarkEnd w:id="191"/>
      <w:bookmarkStart w:id="192" w:name="_Toc184313261"/>
      <w:bookmarkEnd w:id="192"/>
      <w:bookmarkStart w:id="193" w:name="_Toc184308036"/>
      <w:bookmarkEnd w:id="193"/>
      <w:bookmarkStart w:id="194" w:name="_Toc184313277"/>
      <w:bookmarkEnd w:id="194"/>
      <w:bookmarkStart w:id="195" w:name="_Toc184314444"/>
      <w:bookmarkEnd w:id="195"/>
      <w:bookmarkStart w:id="196" w:name="_Toc184310285"/>
      <w:bookmarkEnd w:id="196"/>
      <w:bookmarkStart w:id="197" w:name="_Toc184312119"/>
      <w:bookmarkEnd w:id="197"/>
      <w:bookmarkStart w:id="198" w:name="_Toc184308091"/>
      <w:bookmarkEnd w:id="198"/>
      <w:bookmarkStart w:id="199" w:name="_Toc184308057"/>
      <w:bookmarkEnd w:id="199"/>
      <w:bookmarkStart w:id="200" w:name="_Toc184313308"/>
      <w:bookmarkEnd w:id="200"/>
      <w:bookmarkStart w:id="201" w:name="_Toc184312139"/>
      <w:bookmarkEnd w:id="201"/>
      <w:bookmarkStart w:id="202" w:name="_Toc184312097"/>
      <w:bookmarkEnd w:id="202"/>
      <w:bookmarkStart w:id="203" w:name="_Toc184310322"/>
      <w:bookmarkEnd w:id="203"/>
      <w:bookmarkStart w:id="204" w:name="_Toc184308069"/>
      <w:bookmarkEnd w:id="204"/>
      <w:bookmarkStart w:id="205" w:name="_Toc184312099"/>
      <w:bookmarkEnd w:id="205"/>
      <w:bookmarkStart w:id="206" w:name="_Toc184308081"/>
      <w:bookmarkEnd w:id="206"/>
      <w:bookmarkStart w:id="207" w:name="_Toc184314443"/>
      <w:bookmarkEnd w:id="207"/>
      <w:bookmarkStart w:id="208" w:name="_Toc184308050"/>
      <w:bookmarkEnd w:id="208"/>
      <w:bookmarkStart w:id="209" w:name="_Toc184310284"/>
      <w:bookmarkEnd w:id="209"/>
      <w:bookmarkStart w:id="210" w:name="_Toc184310339"/>
      <w:bookmarkEnd w:id="210"/>
      <w:bookmarkStart w:id="211" w:name="_Toc184314435"/>
      <w:bookmarkEnd w:id="211"/>
      <w:bookmarkStart w:id="212" w:name="_Toc184310337"/>
      <w:bookmarkEnd w:id="212"/>
      <w:bookmarkStart w:id="213" w:name="_Toc184314410"/>
      <w:bookmarkEnd w:id="213"/>
      <w:bookmarkStart w:id="214" w:name="_Toc184312103"/>
      <w:bookmarkEnd w:id="214"/>
      <w:bookmarkStart w:id="215" w:name="_Toc184310297"/>
      <w:bookmarkEnd w:id="215"/>
      <w:bookmarkStart w:id="216" w:name="_Toc184312094"/>
      <w:bookmarkEnd w:id="216"/>
      <w:bookmarkStart w:id="217" w:name="_Toc184310296"/>
      <w:bookmarkEnd w:id="217"/>
      <w:bookmarkStart w:id="218" w:name="_Toc184310334"/>
      <w:bookmarkEnd w:id="218"/>
      <w:bookmarkStart w:id="219" w:name="_Toc184310295"/>
      <w:bookmarkEnd w:id="219"/>
      <w:bookmarkStart w:id="220" w:name="_Toc184314476"/>
      <w:bookmarkEnd w:id="220"/>
      <w:bookmarkStart w:id="221" w:name="_Toc184312121"/>
      <w:bookmarkEnd w:id="221"/>
      <w:bookmarkStart w:id="222" w:name="_Toc184314438"/>
      <w:bookmarkEnd w:id="222"/>
      <w:bookmarkStart w:id="223" w:name="_Toc184313249"/>
      <w:bookmarkEnd w:id="223"/>
      <w:bookmarkStart w:id="224" w:name="_Toc184313279"/>
      <w:bookmarkEnd w:id="224"/>
      <w:bookmarkStart w:id="225" w:name="_Toc184310305"/>
      <w:bookmarkEnd w:id="225"/>
      <w:bookmarkStart w:id="226" w:name="_Toc184308060"/>
      <w:bookmarkEnd w:id="226"/>
      <w:bookmarkStart w:id="227" w:name="_Toc184314451"/>
      <w:bookmarkEnd w:id="227"/>
      <w:bookmarkStart w:id="228" w:name="_Toc184313253"/>
      <w:bookmarkEnd w:id="228"/>
      <w:bookmarkStart w:id="229" w:name="_Toc184314454"/>
      <w:bookmarkEnd w:id="229"/>
      <w:bookmarkStart w:id="230" w:name="_Toc184308074"/>
      <w:bookmarkEnd w:id="230"/>
      <w:bookmarkStart w:id="231" w:name="_Toc184308107"/>
      <w:bookmarkEnd w:id="231"/>
      <w:bookmarkStart w:id="232" w:name="_Toc184314423"/>
      <w:bookmarkEnd w:id="232"/>
      <w:bookmarkStart w:id="233" w:name="_Toc184310314"/>
      <w:bookmarkEnd w:id="233"/>
      <w:bookmarkStart w:id="234" w:name="_Toc184314469"/>
      <w:bookmarkEnd w:id="234"/>
      <w:bookmarkStart w:id="235" w:name="_Toc184313278"/>
      <w:bookmarkEnd w:id="235"/>
      <w:bookmarkStart w:id="236" w:name="_Toc184312120"/>
      <w:bookmarkEnd w:id="236"/>
      <w:bookmarkStart w:id="237" w:name="_Toc184312132"/>
      <w:bookmarkEnd w:id="237"/>
      <w:bookmarkStart w:id="238" w:name="_Toc184312086"/>
      <w:bookmarkEnd w:id="238"/>
      <w:bookmarkStart w:id="239" w:name="_Toc184308103"/>
      <w:bookmarkEnd w:id="239"/>
      <w:bookmarkStart w:id="240" w:name="_Toc184313276"/>
      <w:bookmarkEnd w:id="240"/>
      <w:bookmarkStart w:id="241" w:name="_Toc184312114"/>
      <w:bookmarkEnd w:id="241"/>
      <w:bookmarkStart w:id="242" w:name="_Toc184310316"/>
      <w:bookmarkEnd w:id="242"/>
      <w:bookmarkStart w:id="243" w:name="_Toc184312072"/>
      <w:bookmarkEnd w:id="243"/>
      <w:bookmarkStart w:id="244" w:name="_Toc184310278"/>
      <w:bookmarkEnd w:id="244"/>
      <w:bookmarkStart w:id="245" w:name="_Toc184314473"/>
      <w:bookmarkEnd w:id="245"/>
      <w:bookmarkStart w:id="246" w:name="_Toc184312100"/>
      <w:bookmarkEnd w:id="246"/>
      <w:bookmarkStart w:id="247" w:name="_Toc184313254"/>
      <w:bookmarkEnd w:id="247"/>
      <w:bookmarkStart w:id="248" w:name="_Toc184313280"/>
      <w:bookmarkEnd w:id="248"/>
      <w:bookmarkStart w:id="249" w:name="_Toc184308102"/>
      <w:bookmarkEnd w:id="249"/>
      <w:bookmarkStart w:id="250" w:name="_Toc184308045"/>
      <w:bookmarkEnd w:id="250"/>
      <w:bookmarkStart w:id="251" w:name="_Toc184310273"/>
      <w:bookmarkEnd w:id="251"/>
      <w:bookmarkStart w:id="252" w:name="_Toc184312118"/>
      <w:bookmarkEnd w:id="252"/>
      <w:bookmarkStart w:id="253" w:name="_Toc184313258"/>
      <w:bookmarkEnd w:id="253"/>
      <w:bookmarkStart w:id="254" w:name="_Toc184314439"/>
      <w:bookmarkEnd w:id="254"/>
      <w:bookmarkStart w:id="255" w:name="_Toc184313272"/>
      <w:bookmarkEnd w:id="255"/>
      <w:bookmarkStart w:id="256" w:name="_Toc184314440"/>
      <w:bookmarkEnd w:id="256"/>
      <w:bookmarkStart w:id="257" w:name="_Toc184310306"/>
      <w:bookmarkEnd w:id="257"/>
      <w:bookmarkStart w:id="258" w:name="_Toc184308052"/>
      <w:bookmarkEnd w:id="258"/>
      <w:bookmarkStart w:id="259" w:name="_Toc184310308"/>
      <w:bookmarkEnd w:id="259"/>
      <w:bookmarkStart w:id="260" w:name="_Toc184312079"/>
      <w:bookmarkEnd w:id="260"/>
      <w:bookmarkStart w:id="261" w:name="_Toc184308058"/>
      <w:bookmarkEnd w:id="261"/>
      <w:bookmarkStart w:id="262" w:name="_Toc184312136"/>
      <w:bookmarkEnd w:id="262"/>
      <w:bookmarkStart w:id="263" w:name="_Toc184308072"/>
      <w:bookmarkEnd w:id="263"/>
      <w:bookmarkStart w:id="264" w:name="_Toc184312067"/>
      <w:bookmarkEnd w:id="264"/>
      <w:bookmarkStart w:id="265" w:name="_Toc184310310"/>
      <w:bookmarkEnd w:id="265"/>
      <w:bookmarkStart w:id="266" w:name="_Toc184313275"/>
      <w:bookmarkEnd w:id="266"/>
      <w:bookmarkStart w:id="267" w:name="_Toc184314411"/>
      <w:bookmarkEnd w:id="267"/>
      <w:bookmarkStart w:id="268" w:name="_Toc184313248"/>
      <w:bookmarkEnd w:id="268"/>
      <w:bookmarkStart w:id="269" w:name="_Toc184308062"/>
      <w:bookmarkEnd w:id="269"/>
      <w:bookmarkStart w:id="270" w:name="_Toc184310304"/>
      <w:bookmarkEnd w:id="270"/>
      <w:bookmarkStart w:id="271" w:name="_Toc184312095"/>
      <w:bookmarkEnd w:id="271"/>
      <w:bookmarkStart w:id="272" w:name="_Toc184310326"/>
      <w:bookmarkEnd w:id="272"/>
      <w:bookmarkStart w:id="273" w:name="_Toc184310303"/>
      <w:bookmarkEnd w:id="273"/>
      <w:bookmarkStart w:id="274" w:name="_Toc184313240"/>
      <w:bookmarkEnd w:id="274"/>
      <w:bookmarkStart w:id="275" w:name="_Toc184312135"/>
      <w:bookmarkEnd w:id="275"/>
      <w:bookmarkStart w:id="276" w:name="_Toc184310302"/>
      <w:bookmarkEnd w:id="276"/>
      <w:bookmarkStart w:id="277" w:name="_Toc184308065"/>
      <w:bookmarkEnd w:id="277"/>
      <w:bookmarkStart w:id="278" w:name="_Toc184308105"/>
      <w:bookmarkEnd w:id="278"/>
      <w:bookmarkStart w:id="279" w:name="_Toc184312080"/>
      <w:bookmarkEnd w:id="279"/>
      <w:bookmarkStart w:id="280" w:name="_Toc184308098"/>
      <w:bookmarkEnd w:id="280"/>
      <w:bookmarkStart w:id="281" w:name="_Toc184314459"/>
      <w:bookmarkEnd w:id="281"/>
      <w:bookmarkStart w:id="282" w:name="_Toc184313260"/>
      <w:bookmarkEnd w:id="282"/>
      <w:bookmarkStart w:id="283" w:name="_Toc184310307"/>
      <w:bookmarkEnd w:id="283"/>
      <w:bookmarkStart w:id="284" w:name="_Toc184312075"/>
      <w:bookmarkEnd w:id="284"/>
      <w:bookmarkStart w:id="285" w:name="_Toc184314421"/>
      <w:bookmarkEnd w:id="285"/>
      <w:bookmarkStart w:id="286" w:name="_Toc184312083"/>
      <w:bookmarkEnd w:id="286"/>
      <w:bookmarkStart w:id="287" w:name="_Toc184312078"/>
      <w:bookmarkEnd w:id="287"/>
      <w:bookmarkStart w:id="288" w:name="_Toc184313267"/>
      <w:bookmarkEnd w:id="288"/>
      <w:bookmarkStart w:id="289" w:name="_Toc184314464"/>
      <w:bookmarkEnd w:id="289"/>
      <w:bookmarkStart w:id="290" w:name="_Toc184308099"/>
      <w:bookmarkEnd w:id="290"/>
      <w:bookmarkStart w:id="291" w:name="_Toc184310289"/>
      <w:bookmarkEnd w:id="291"/>
      <w:bookmarkStart w:id="292" w:name="_Toc184308070"/>
      <w:bookmarkEnd w:id="292"/>
      <w:bookmarkStart w:id="293" w:name="_Toc184313284"/>
      <w:bookmarkEnd w:id="293"/>
      <w:bookmarkStart w:id="294" w:name="_Toc184314465"/>
      <w:bookmarkEnd w:id="294"/>
      <w:bookmarkStart w:id="295" w:name="_Toc184308093"/>
      <w:bookmarkEnd w:id="295"/>
      <w:bookmarkStart w:id="296" w:name="_Toc184310299"/>
      <w:bookmarkEnd w:id="296"/>
      <w:bookmarkStart w:id="297" w:name="_Toc184313250"/>
      <w:bookmarkEnd w:id="297"/>
      <w:bookmarkStart w:id="298" w:name="_Toc184314432"/>
      <w:bookmarkEnd w:id="298"/>
      <w:bookmarkStart w:id="299" w:name="_Toc184312068"/>
      <w:bookmarkEnd w:id="299"/>
      <w:bookmarkStart w:id="300" w:name="_Toc184313273"/>
      <w:bookmarkEnd w:id="300"/>
      <w:bookmarkStart w:id="301" w:name="_Toc184314431"/>
      <w:bookmarkEnd w:id="301"/>
      <w:bookmarkStart w:id="302" w:name="_Toc184314418"/>
      <w:bookmarkEnd w:id="302"/>
      <w:bookmarkStart w:id="303" w:name="_Toc184312077"/>
      <w:bookmarkEnd w:id="303"/>
      <w:bookmarkStart w:id="304" w:name="_Toc184308064"/>
      <w:bookmarkEnd w:id="304"/>
      <w:bookmarkStart w:id="305" w:name="_Toc184310274"/>
      <w:bookmarkEnd w:id="305"/>
      <w:bookmarkStart w:id="306" w:name="_Toc184313242"/>
      <w:bookmarkEnd w:id="306"/>
      <w:bookmarkStart w:id="307" w:name="_Toc184310335"/>
      <w:bookmarkEnd w:id="307"/>
      <w:bookmarkStart w:id="308" w:name="_Toc184308059"/>
      <w:bookmarkEnd w:id="308"/>
      <w:bookmarkStart w:id="309" w:name="_Toc184312125"/>
      <w:bookmarkEnd w:id="309"/>
      <w:bookmarkStart w:id="310" w:name="_Toc184308085"/>
      <w:bookmarkEnd w:id="310"/>
      <w:bookmarkStart w:id="311" w:name="_Toc184313283"/>
      <w:bookmarkEnd w:id="311"/>
      <w:bookmarkStart w:id="312" w:name="_Toc184308095"/>
      <w:bookmarkEnd w:id="312"/>
      <w:bookmarkStart w:id="313" w:name="_Toc184312131"/>
      <w:bookmarkEnd w:id="313"/>
      <w:bookmarkStart w:id="314" w:name="_Toc184308101"/>
      <w:bookmarkEnd w:id="314"/>
      <w:bookmarkStart w:id="315" w:name="_Toc184310312"/>
      <w:bookmarkEnd w:id="315"/>
      <w:bookmarkStart w:id="316" w:name="_Toc184313271"/>
      <w:bookmarkEnd w:id="316"/>
      <w:bookmarkStart w:id="317" w:name="_Toc184308086"/>
      <w:bookmarkEnd w:id="317"/>
      <w:bookmarkStart w:id="318" w:name="_Toc184310315"/>
      <w:bookmarkEnd w:id="318"/>
      <w:bookmarkStart w:id="319" w:name="_Toc184313246"/>
      <w:bookmarkEnd w:id="319"/>
      <w:bookmarkStart w:id="320" w:name="_Toc184310300"/>
      <w:bookmarkEnd w:id="320"/>
      <w:bookmarkStart w:id="321" w:name="_Toc184308092"/>
      <w:bookmarkEnd w:id="321"/>
      <w:bookmarkStart w:id="322" w:name="_Toc184310331"/>
      <w:bookmarkEnd w:id="322"/>
      <w:bookmarkStart w:id="323" w:name="_Toc184314458"/>
      <w:bookmarkEnd w:id="323"/>
      <w:bookmarkStart w:id="324" w:name="_Toc184310272"/>
      <w:bookmarkEnd w:id="324"/>
      <w:bookmarkStart w:id="325" w:name="_Toc184312093"/>
      <w:bookmarkEnd w:id="325"/>
      <w:bookmarkStart w:id="326" w:name="_Toc184312130"/>
      <w:bookmarkEnd w:id="326"/>
      <w:bookmarkStart w:id="327" w:name="_Toc184308049"/>
      <w:bookmarkEnd w:id="327"/>
      <w:bookmarkStart w:id="328" w:name="_Toc184312090"/>
      <w:bookmarkEnd w:id="328"/>
      <w:bookmarkStart w:id="329" w:name="_Toc184314474"/>
      <w:bookmarkEnd w:id="329"/>
      <w:bookmarkStart w:id="330" w:name="_Toc184313291"/>
      <w:bookmarkEnd w:id="330"/>
      <w:bookmarkStart w:id="331" w:name="_Toc184308056"/>
      <w:bookmarkEnd w:id="331"/>
      <w:bookmarkStart w:id="332" w:name="_Toc184308053"/>
      <w:bookmarkEnd w:id="332"/>
      <w:bookmarkStart w:id="333" w:name="_Toc184308097"/>
      <w:bookmarkEnd w:id="333"/>
      <w:bookmarkStart w:id="334" w:name="_Toc184314422"/>
      <w:bookmarkEnd w:id="334"/>
      <w:bookmarkStart w:id="335" w:name="_Toc184313266"/>
      <w:bookmarkEnd w:id="335"/>
      <w:bookmarkStart w:id="336" w:name="_Toc184313264"/>
      <w:bookmarkEnd w:id="336"/>
      <w:bookmarkStart w:id="337" w:name="_Toc184312116"/>
      <w:bookmarkEnd w:id="337"/>
      <w:bookmarkStart w:id="338" w:name="_Toc184313299"/>
      <w:bookmarkEnd w:id="338"/>
      <w:bookmarkStart w:id="339" w:name="_Toc184314480"/>
      <w:bookmarkEnd w:id="339"/>
      <w:bookmarkStart w:id="340" w:name="_Toc184314481"/>
      <w:bookmarkEnd w:id="340"/>
      <w:bookmarkStart w:id="341" w:name="_Toc184312137"/>
      <w:bookmarkEnd w:id="341"/>
      <w:bookmarkStart w:id="342" w:name="_Toc184312109"/>
      <w:bookmarkEnd w:id="342"/>
      <w:bookmarkStart w:id="343" w:name="_Toc184308043"/>
      <w:bookmarkEnd w:id="343"/>
      <w:bookmarkStart w:id="344" w:name="_Toc184310279"/>
      <w:bookmarkEnd w:id="344"/>
      <w:bookmarkStart w:id="345" w:name="_Toc184312113"/>
      <w:bookmarkEnd w:id="345"/>
      <w:bookmarkStart w:id="346" w:name="_Toc184308104"/>
      <w:bookmarkEnd w:id="346"/>
      <w:bookmarkStart w:id="347" w:name="_Toc184310288"/>
      <w:bookmarkEnd w:id="347"/>
      <w:bookmarkStart w:id="348" w:name="_Toc184308051"/>
      <w:bookmarkEnd w:id="348"/>
      <w:bookmarkStart w:id="349" w:name="_Toc184313259"/>
      <w:bookmarkEnd w:id="349"/>
      <w:bookmarkStart w:id="350" w:name="_Toc184313265"/>
      <w:bookmarkEnd w:id="350"/>
      <w:bookmarkStart w:id="351" w:name="_Toc184313257"/>
      <w:bookmarkEnd w:id="351"/>
      <w:bookmarkStart w:id="352" w:name="_Toc184313289"/>
      <w:bookmarkEnd w:id="352"/>
      <w:bookmarkStart w:id="353" w:name="_Toc184310332"/>
      <w:bookmarkEnd w:id="353"/>
      <w:bookmarkStart w:id="354" w:name="_Toc184308038"/>
      <w:bookmarkEnd w:id="354"/>
      <w:bookmarkStart w:id="355" w:name="_Toc184314414"/>
      <w:bookmarkEnd w:id="355"/>
      <w:bookmarkStart w:id="356" w:name="_Toc184310343"/>
      <w:bookmarkEnd w:id="356"/>
      <w:bookmarkStart w:id="357" w:name="_Toc184314413"/>
      <w:bookmarkEnd w:id="357"/>
      <w:bookmarkStart w:id="358" w:name="_Toc184313303"/>
      <w:bookmarkEnd w:id="358"/>
      <w:bookmarkStart w:id="359" w:name="_Toc184310275"/>
      <w:bookmarkEnd w:id="359"/>
      <w:bookmarkStart w:id="360" w:name="_Toc184313244"/>
      <w:bookmarkEnd w:id="360"/>
      <w:bookmarkStart w:id="361" w:name="_Toc184313305"/>
      <w:bookmarkEnd w:id="361"/>
      <w:bookmarkStart w:id="362" w:name="_Toc184308063"/>
      <w:bookmarkEnd w:id="362"/>
      <w:bookmarkStart w:id="363" w:name="_Toc184308068"/>
      <w:bookmarkEnd w:id="363"/>
      <w:bookmarkStart w:id="364" w:name="_Toc184313270"/>
      <w:bookmarkEnd w:id="364"/>
      <w:bookmarkStart w:id="365" w:name="_Toc184312123"/>
      <w:bookmarkEnd w:id="365"/>
      <w:bookmarkStart w:id="366" w:name="_Toc184312096"/>
      <w:bookmarkEnd w:id="366"/>
      <w:bookmarkStart w:id="367" w:name="_Toc184314475"/>
      <w:bookmarkEnd w:id="367"/>
      <w:bookmarkStart w:id="368" w:name="_Toc184314412"/>
      <w:bookmarkEnd w:id="368"/>
      <w:bookmarkStart w:id="369" w:name="_Toc184313268"/>
      <w:bookmarkEnd w:id="369"/>
      <w:bookmarkStart w:id="370" w:name="_Toc184313306"/>
      <w:bookmarkEnd w:id="370"/>
      <w:bookmarkStart w:id="371" w:name="_Toc184310309"/>
      <w:bookmarkEnd w:id="371"/>
      <w:bookmarkStart w:id="372" w:name="_Toc184312108"/>
      <w:bookmarkEnd w:id="372"/>
      <w:bookmarkStart w:id="373" w:name="_Toc184308071"/>
      <w:bookmarkEnd w:id="373"/>
      <w:bookmarkStart w:id="374" w:name="_Toc184313238"/>
      <w:bookmarkEnd w:id="374"/>
      <w:bookmarkStart w:id="375" w:name="_Toc184314436"/>
      <w:bookmarkEnd w:id="375"/>
      <w:bookmarkStart w:id="376" w:name="_Toc184314482"/>
      <w:bookmarkEnd w:id="376"/>
      <w:bookmarkStart w:id="377" w:name="_Toc184308046"/>
      <w:bookmarkEnd w:id="377"/>
      <w:bookmarkStart w:id="378" w:name="_Toc184310338"/>
      <w:bookmarkEnd w:id="378"/>
      <w:bookmarkStart w:id="379" w:name="_Toc184314447"/>
      <w:bookmarkEnd w:id="379"/>
      <w:bookmarkStart w:id="380" w:name="_Toc184310340"/>
      <w:bookmarkEnd w:id="380"/>
      <w:bookmarkStart w:id="381" w:name="_Toc184313294"/>
      <w:bookmarkEnd w:id="381"/>
      <w:bookmarkStart w:id="382" w:name="_Toc184308108"/>
      <w:bookmarkEnd w:id="382"/>
      <w:bookmarkStart w:id="383" w:name="_Toc18431029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pStyle w:val="24"/>
        <w:rPr>
          <w:rFonts w:ascii="宋体" w:hAnsi="宋体" w:cs="宋体"/>
          <w:szCs w:val="24"/>
        </w:rPr>
      </w:pPr>
    </w:p>
    <w:p>
      <w:pPr>
        <w:pStyle w:val="9"/>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2024年临江公司危废运输车辆定点加油服务项目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根据《中华人民共和国民法典》等法律法规及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文件的要求，双协商一致，就甲方在乙方加油站加油事宜达成如下条款：</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产品名称、技术指标、单价、数量、金额如下（税率    %）。</w:t>
      </w:r>
    </w:p>
    <w:tbl>
      <w:tblPr>
        <w:tblStyle w:val="16"/>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5341"/>
        <w:gridCol w:w="1319"/>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53" w:type="dxa"/>
            <w:vAlign w:val="center"/>
          </w:tcPr>
          <w:p>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5341" w:type="dxa"/>
            <w:vAlign w:val="center"/>
          </w:tcPr>
          <w:p>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要求</w:t>
            </w:r>
          </w:p>
        </w:tc>
        <w:tc>
          <w:tcPr>
            <w:tcW w:w="1319" w:type="dxa"/>
            <w:vAlign w:val="center"/>
          </w:tcPr>
          <w:p>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暂定数量</w:t>
            </w:r>
          </w:p>
        </w:tc>
        <w:tc>
          <w:tcPr>
            <w:tcW w:w="1025" w:type="dxa"/>
            <w:vAlign w:val="center"/>
          </w:tcPr>
          <w:p>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下浮优惠幅度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353" w:type="dxa"/>
            <w:vAlign w:val="center"/>
          </w:tcPr>
          <w:p>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0#柴油</w:t>
            </w:r>
          </w:p>
        </w:tc>
        <w:tc>
          <w:tcPr>
            <w:tcW w:w="5341" w:type="dxa"/>
            <w:vAlign w:val="center"/>
          </w:tcPr>
          <w:p>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319" w:type="dxa"/>
            <w:vAlign w:val="center"/>
          </w:tcPr>
          <w:p>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lang w:val="en-US" w:eastAsia="zh-CN"/>
              </w:rPr>
              <w:t>3.8</w:t>
            </w:r>
            <w:r>
              <w:rPr>
                <w:rFonts w:hint="eastAsia" w:ascii="宋体" w:hAnsi="宋体" w:eastAsia="宋体" w:cs="宋体"/>
                <w:color w:val="000000"/>
                <w:sz w:val="24"/>
              </w:rPr>
              <w:t>万升</w:t>
            </w:r>
          </w:p>
        </w:tc>
        <w:tc>
          <w:tcPr>
            <w:tcW w:w="1025" w:type="dxa"/>
            <w:vAlign w:val="center"/>
          </w:tcPr>
          <w:p>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元/升</w:t>
            </w:r>
          </w:p>
        </w:tc>
      </w:tr>
    </w:tbl>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1、最终结算单价为</w:t>
      </w:r>
      <w:r>
        <w:rPr>
          <w:rFonts w:hint="eastAsia" w:ascii="宋体" w:hAnsi="宋体" w:eastAsia="宋体" w:cs="宋体"/>
          <w:color w:val="000000"/>
          <w:sz w:val="24"/>
          <w:lang w:val="en-US" w:eastAsia="zh-CN"/>
        </w:rPr>
        <w:t>加油时</w:t>
      </w:r>
      <w:r>
        <w:rPr>
          <w:rFonts w:hint="eastAsia" w:ascii="宋体" w:hAnsi="宋体" w:eastAsia="宋体" w:cs="宋体"/>
          <w:color w:val="000000"/>
          <w:sz w:val="24"/>
        </w:rPr>
        <w:t>在浙江省发展和改革委最新一期发布的零售价并按本合同约定下浮优惠幅度下浮。最终结算单价包括货款、税费、服务费等所有相关费用。</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供货期自合同生效之日起1年。采购数量为暂估量（不视为采购量承诺），实际采购量有可能多于或少于暂估量。乙方承诺在合同服务期内，下浮优惠幅度不变，甲方可根据实际生产计划，调整采购数量，最终按实际加油数量结算。供货期满或本合同提前终止后5日内，乙方应等额返还甲方油卡内尚未消费的油费。</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3、结算票据为一票制结算，税率13%。</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二、服务及质量保证。</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乙方保证所供柴油须符合成品油符合国家质量标准，在服务期内，接受甲方对所供的柴油进行随机跟车抽检。如对抽检结果有异议，双方应选择一致同意的权威检验机构对油品进行检测，并双方共同封存，委托第三方检测机构进行质量检测。如检测结果符合协议约定标准，检测及相关费用由甲方承担。否则检测费用及相关费用由乙方承担，并由乙方承担因油品质量问题造成的对</w:t>
      </w:r>
      <w:r>
        <w:rPr>
          <w:rFonts w:hint="eastAsia" w:ascii="宋体" w:hAnsi="宋体" w:eastAsia="宋体" w:cs="宋体"/>
          <w:color w:val="000000"/>
          <w:sz w:val="24"/>
          <w:lang w:eastAsia="zh-Hans"/>
        </w:rPr>
        <w:t>甲方</w:t>
      </w:r>
      <w:r>
        <w:rPr>
          <w:rFonts w:hint="eastAsia" w:ascii="宋体" w:hAnsi="宋体" w:eastAsia="宋体" w:cs="宋体"/>
          <w:color w:val="000000"/>
          <w:sz w:val="24"/>
        </w:rPr>
        <w:t>机械设备的损失费用。</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2.乙方提供服务的加油场地、设备等符合国家相关安全、计量等标准要求。</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3.乙方提供服务的工作人员具备法律及行业要求的相关资质，严格遵守廉洁从业规定。</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4.甲方加油卡仅作为绑定车辆加油之用，可在乙方系统内加油站加油，但不得用于购买加油站内便利店商品等其他用途。甲方有义务核对加油卡和车辆是否绑定，若甲方相关人员使用加油卡对非绑定车辆加油，则乙方必须拒绝加油，并及时将此情况告知甲方。</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5.乙方不得为甲方指定车辆之外的车辆加油，并每次登记加油车辆信息及数量；</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三、货款的支付。</w:t>
      </w:r>
    </w:p>
    <w:p>
      <w:pPr>
        <w:adjustRightInd w:val="0"/>
        <w:spacing w:line="360" w:lineRule="auto"/>
        <w:ind w:left="1" w:right="77" w:firstLine="426"/>
        <w:rPr>
          <w:rFonts w:hint="eastAsia" w:ascii="宋体" w:hAnsi="宋体" w:eastAsia="宋体" w:cs="宋体"/>
          <w:color w:val="000000"/>
          <w:sz w:val="24"/>
          <w:lang w:val="en-US" w:eastAsia="zh-CN"/>
        </w:rPr>
      </w:pPr>
      <w:r>
        <w:rPr>
          <w:rFonts w:hint="eastAsia" w:ascii="宋体" w:hAnsi="宋体" w:eastAsia="宋体" w:cs="宋体"/>
          <w:color w:val="000000"/>
          <w:sz w:val="24"/>
        </w:rPr>
        <w:t>1.油费</w:t>
      </w:r>
      <w:r>
        <w:rPr>
          <w:rFonts w:hint="eastAsia" w:ascii="宋体" w:hAnsi="宋体" w:eastAsia="宋体" w:cs="宋体"/>
          <w:color w:val="000000"/>
          <w:sz w:val="24"/>
          <w:lang w:eastAsia="zh-Hans"/>
        </w:rPr>
        <w:t>由甲方</w:t>
      </w:r>
      <w:r>
        <w:rPr>
          <w:rFonts w:hint="eastAsia" w:ascii="宋体" w:hAnsi="宋体" w:eastAsia="宋体" w:cs="宋体"/>
          <w:color w:val="000000"/>
          <w:sz w:val="24"/>
        </w:rPr>
        <w:t>以预付款方式充值至油卡账户内，甲方车辆加油后自行扣除。甲方油卡账号内实时余额需大于或等于按当次加油车辆油箱容积计算的加油金额，否则应结清当次油款。</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当场结清的油款按优惠费纳入每月结算</w:t>
      </w:r>
      <w:r>
        <w:rPr>
          <w:rFonts w:hint="eastAsia" w:ascii="宋体" w:hAnsi="宋体" w:eastAsia="宋体" w:cs="宋体"/>
          <w:color w:val="000000"/>
          <w:sz w:val="24"/>
          <w:lang w:eastAsia="zh-CN"/>
        </w:rPr>
        <w:t>）</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乙方收款账户信息：</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开户名：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账号：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2.数量核对：车辆加油后的单据，一张由司机带回，一张加油站留存，同步油站要向甲方设立独立台账，用于结算周期内核账开票。</w:t>
      </w:r>
    </w:p>
    <w:p>
      <w:pPr>
        <w:adjustRightInd w:val="0"/>
        <w:spacing w:line="360" w:lineRule="auto"/>
        <w:ind w:left="1" w:right="77" w:firstLine="426"/>
        <w:rPr>
          <w:rFonts w:hint="eastAsia" w:ascii="宋体" w:hAnsi="宋体" w:eastAsia="宋体" w:cs="宋体"/>
          <w:color w:val="000000"/>
          <w:sz w:val="24"/>
          <w:lang w:val="en-US"/>
        </w:rPr>
      </w:pPr>
      <w:r>
        <w:rPr>
          <w:rFonts w:hint="eastAsia" w:ascii="宋体" w:hAnsi="宋体" w:eastAsia="宋体" w:cs="宋体"/>
          <w:color w:val="000000"/>
          <w:sz w:val="24"/>
          <w:lang w:val="en-US"/>
        </w:rPr>
        <w:t>3.</w:t>
      </w:r>
      <w:r>
        <w:rPr>
          <w:rFonts w:hint="eastAsia" w:ascii="宋体" w:hAnsi="宋体" w:eastAsia="宋体" w:cs="宋体"/>
          <w:color w:val="000000"/>
          <w:sz w:val="24"/>
          <w:lang w:val="en-US" w:eastAsia="zh-Hans"/>
        </w:rPr>
        <w:t>每月甲乙双方核对确认加油数量和金额</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甲方</w:t>
      </w:r>
      <w:r>
        <w:rPr>
          <w:rFonts w:hint="eastAsia" w:ascii="宋体" w:hAnsi="宋体" w:eastAsia="宋体" w:cs="宋体"/>
          <w:color w:val="000000"/>
          <w:sz w:val="24"/>
          <w:lang w:val="en-US"/>
        </w:rPr>
        <w:t>根据服务要求对甲方加油数量进行验收</w:t>
      </w:r>
      <w:r>
        <w:rPr>
          <w:rFonts w:hint="eastAsia" w:ascii="宋体" w:hAnsi="宋体" w:eastAsia="宋体" w:cs="宋体"/>
          <w:color w:val="000000"/>
          <w:sz w:val="24"/>
        </w:rPr>
        <w:t>，</w:t>
      </w:r>
      <w:r>
        <w:rPr>
          <w:rFonts w:hint="eastAsia" w:ascii="宋体" w:hAnsi="宋体" w:eastAsia="宋体" w:cs="宋体"/>
          <w:color w:val="000000"/>
          <w:sz w:val="24"/>
          <w:lang w:val="en-US"/>
        </w:rPr>
        <w:t>数量</w:t>
      </w:r>
      <w:r>
        <w:rPr>
          <w:rFonts w:hint="eastAsia" w:ascii="宋体" w:hAnsi="宋体" w:eastAsia="宋体" w:cs="宋体"/>
          <w:color w:val="000000"/>
          <w:sz w:val="24"/>
          <w:lang w:val="en-US" w:eastAsia="zh-Hans"/>
        </w:rPr>
        <w:t>和金额核对</w:t>
      </w:r>
      <w:r>
        <w:rPr>
          <w:rFonts w:hint="eastAsia" w:ascii="宋体" w:hAnsi="宋体" w:eastAsia="宋体" w:cs="宋体"/>
          <w:color w:val="000000"/>
          <w:sz w:val="24"/>
          <w:lang w:val="en-US"/>
        </w:rPr>
        <w:t>无误后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Hans"/>
        </w:rPr>
        <w:t>日内</w:t>
      </w:r>
      <w:r>
        <w:rPr>
          <w:rFonts w:hint="eastAsia" w:ascii="宋体" w:hAnsi="宋体" w:eastAsia="宋体" w:cs="宋体"/>
          <w:color w:val="000000"/>
          <w:sz w:val="24"/>
          <w:lang w:val="en-US"/>
        </w:rPr>
        <w:t>，</w:t>
      </w:r>
      <w:r>
        <w:rPr>
          <w:rFonts w:hint="eastAsia" w:ascii="宋体" w:hAnsi="宋体" w:eastAsia="宋体" w:cs="宋体"/>
          <w:color w:val="000000"/>
          <w:sz w:val="24"/>
          <w:lang w:val="en-US" w:eastAsia="zh-Hans"/>
        </w:rPr>
        <w:t>由乙方</w:t>
      </w:r>
      <w:r>
        <w:rPr>
          <w:rFonts w:hint="eastAsia" w:ascii="宋体" w:hAnsi="宋体" w:eastAsia="宋体" w:cs="宋体"/>
          <w:color w:val="000000"/>
          <w:sz w:val="24"/>
          <w:lang w:val="en-US"/>
        </w:rPr>
        <w:t>开具</w:t>
      </w:r>
      <w:r>
        <w:rPr>
          <w:rFonts w:hint="eastAsia" w:ascii="宋体" w:hAnsi="宋体" w:eastAsia="宋体" w:cs="宋体"/>
          <w:color w:val="000000"/>
          <w:sz w:val="24"/>
          <w:lang w:val="en-US" w:eastAsia="zh-Hans"/>
        </w:rPr>
        <w:t>等额有效的</w:t>
      </w:r>
      <w:r>
        <w:rPr>
          <w:rFonts w:hint="eastAsia" w:ascii="宋体" w:hAnsi="宋体" w:eastAsia="宋体" w:cs="宋体"/>
          <w:color w:val="000000"/>
          <w:sz w:val="24"/>
          <w:lang w:val="en-US"/>
        </w:rPr>
        <w:t>增值税专票。</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四、争议的解决。</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1、合同有效期内甲、乙双方均不得随意变更或解除合同。合同若有未尽事宜，需经双方共同协商，订立补充协议，补充协议与本合同有同等法律效力。</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2、在履行本合同过程中如发生纠纷,甲、乙双方应及时协商解决，如协商不成，双方均有权向甲方住所地法院诉讼解决。</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五、合同的生效和终止。</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1、本合同经甲、乙双方法定代表人或其委托人签字盖章后生效。</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文件、响应文件及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过程中有关澄清文件、承诺书等均为本合同的组成部分，与本合同具有同等效力。</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2、本合同一式肆份，甲乙双方各执贰份，均具有相同法律效力。</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甲  方（盖章）：                 乙  方（盖章）：</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lang w:val="en-US" w:eastAsia="zh-CN"/>
        </w:rPr>
        <w:t>授权代表</w:t>
      </w:r>
      <w:r>
        <w:rPr>
          <w:rFonts w:hint="eastAsia" w:ascii="宋体" w:hAnsi="宋体" w:eastAsia="宋体" w:cs="宋体"/>
          <w:color w:val="000000"/>
          <w:sz w:val="24"/>
        </w:rPr>
        <w:t xml:space="preserve">（签字）：           </w:t>
      </w:r>
      <w:r>
        <w:rPr>
          <w:rFonts w:hint="eastAsia" w:ascii="宋体" w:hAnsi="宋体" w:eastAsia="宋体" w:cs="宋体"/>
          <w:color w:val="000000"/>
          <w:sz w:val="24"/>
          <w:lang w:val="en-US" w:eastAsia="zh-CN"/>
        </w:rPr>
        <w:t xml:space="preserve">    授权代表</w:t>
      </w:r>
      <w:r>
        <w:rPr>
          <w:rFonts w:hint="eastAsia" w:ascii="宋体" w:hAnsi="宋体" w:eastAsia="宋体" w:cs="宋体"/>
          <w:color w:val="000000"/>
          <w:sz w:val="24"/>
        </w:rPr>
        <w:t>（签字）：</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地 址：                          地 址：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电 话：                          电 话： </w:t>
      </w:r>
    </w:p>
    <w:p>
      <w:pPr>
        <w:adjustRightInd w:val="0"/>
        <w:spacing w:line="360" w:lineRule="auto"/>
        <w:ind w:left="1" w:right="77" w:firstLine="426"/>
        <w:rPr>
          <w:rFonts w:hint="eastAsia" w:ascii="宋体" w:hAnsi="宋体" w:eastAsia="宋体" w:cs="宋体"/>
          <w:color w:val="000000"/>
          <w:sz w:val="24"/>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2024年临江公司危废运输车辆定点加油服务项目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3"/>
      </w:pPr>
    </w:p>
    <w:p/>
    <w:p>
      <w:pPr>
        <w:pStyle w:val="14"/>
        <w:rPr>
          <w:color w:val="auto"/>
        </w:rPr>
      </w:pPr>
    </w:p>
    <w:p/>
    <w:p>
      <w:pPr>
        <w:pStyle w:val="14"/>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202401023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年临江公司</w:t>
      </w:r>
      <w:r>
        <w:rPr>
          <w:rFonts w:hint="eastAsia" w:cs="仿宋" w:asciiTheme="minorEastAsia" w:hAnsiTheme="minorEastAsia"/>
          <w:sz w:val="24"/>
          <w:lang w:val="en-US" w:eastAsia="zh-CN"/>
        </w:rPr>
        <w:t>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202401023</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2024年临江公司危废运输车辆定点加油服务项目</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202401023</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w:t>
      </w:r>
      <w:r>
        <w:rPr>
          <w:rFonts w:hint="eastAsia" w:cs="仿宋" w:asciiTheme="minorEastAsia" w:hAnsiTheme="minorEastAsia"/>
          <w:sz w:val="24"/>
          <w:u w:val="single"/>
          <w:lang w:val="en-US" w:eastAsia="zh-CN"/>
        </w:rPr>
        <w:t>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202401023</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66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cs="仿宋" w:asciiTheme="minorEastAsia" w:hAnsiTheme="minorEastAsia"/>
                <w:sz w:val="24"/>
                <w:u w:val="none"/>
              </w:rPr>
              <w:t>202</w:t>
            </w:r>
            <w:r>
              <w:rPr>
                <w:rFonts w:hint="eastAsia" w:cs="仿宋" w:asciiTheme="minorEastAsia" w:hAnsiTheme="minorEastAsia"/>
                <w:sz w:val="24"/>
                <w:u w:val="none"/>
                <w:lang w:val="en-US" w:eastAsia="zh-CN"/>
              </w:rPr>
              <w:t>4</w:t>
            </w:r>
            <w:r>
              <w:rPr>
                <w:rFonts w:cs="仿宋" w:asciiTheme="minorEastAsia" w:hAnsiTheme="minorEastAsia"/>
                <w:sz w:val="24"/>
                <w:u w:val="none"/>
              </w:rPr>
              <w:t>年临江公司</w:t>
            </w:r>
            <w:r>
              <w:rPr>
                <w:rFonts w:hint="eastAsia" w:cs="仿宋" w:asciiTheme="minorEastAsia" w:hAnsiTheme="minorEastAsia"/>
                <w:sz w:val="24"/>
                <w:u w:val="none"/>
                <w:lang w:val="en-US" w:eastAsia="zh-CN"/>
              </w:rPr>
              <w:t>危废运输车辆定点加油服务项目</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符合GB19147-2016 中0号车用柴油(VI)的质量标准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元/升</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总价按照按2024年1月3日浙江省发改委发布的最高零售价7.34元/升作为基准价下浮后进行计算。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rPr>
          <w:rFonts w:hint="eastAsia" w:eastAsiaTheme="minorEastAsia"/>
          <w:lang w:val="en-US" w:eastAsia="zh-CN"/>
        </w:rPr>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384" w:name="_Toc465665161"/>
      <w:r>
        <w:rPr>
          <w:rFonts w:hint="eastAsia" w:cs="宋体" w:asciiTheme="minorEastAsia" w:hAnsiTheme="minorEastAsia"/>
          <w:b/>
          <w:bCs/>
          <w:kern w:val="44"/>
          <w:sz w:val="44"/>
          <w:szCs w:val="44"/>
        </w:rPr>
        <w:t>附件</w:t>
      </w:r>
      <w:bookmarkEnd w:id="384"/>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2024年临江公司危废运输车辆定点加油服务项目</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202401023</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w:t>
      </w:r>
      <w:r>
        <w:rPr>
          <w:rFonts w:hint="eastAsia" w:cs="仿宋" w:asciiTheme="minorEastAsia" w:hAnsiTheme="minorEastAsia"/>
          <w:sz w:val="24"/>
          <w:lang w:val="en-US" w:eastAsia="zh-CN"/>
        </w:rPr>
        <w:t>4</w:t>
      </w:r>
      <w:r>
        <w:rPr>
          <w:rFonts w:cs="仿宋" w:asciiTheme="minorEastAsia" w:hAnsiTheme="minorEastAsia"/>
          <w:sz w:val="24"/>
        </w:rPr>
        <w:t>年临江公司</w:t>
      </w:r>
      <w:r>
        <w:rPr>
          <w:rFonts w:hint="eastAsia" w:cs="仿宋" w:asciiTheme="minorEastAsia" w:hAnsiTheme="minorEastAsia"/>
          <w:sz w:val="24"/>
          <w:lang w:val="en-US" w:eastAsia="zh-CN"/>
        </w:rPr>
        <w:t>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202401023</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81598B"/>
    <w:rsid w:val="0FB91E94"/>
    <w:rsid w:val="11C46A46"/>
    <w:rsid w:val="12E110C3"/>
    <w:rsid w:val="143E2438"/>
    <w:rsid w:val="15CB2DA0"/>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C6322E"/>
    <w:rsid w:val="26F15921"/>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2B130C5"/>
    <w:rsid w:val="433C7ACC"/>
    <w:rsid w:val="435518AD"/>
    <w:rsid w:val="43C04259"/>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DC20621"/>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CEF791D"/>
    <w:rsid w:val="6DA02882"/>
    <w:rsid w:val="6DA12E69"/>
    <w:rsid w:val="6DBB3B60"/>
    <w:rsid w:val="6E9A4A6A"/>
    <w:rsid w:val="6F0B4673"/>
    <w:rsid w:val="700E4F44"/>
    <w:rsid w:val="70173239"/>
    <w:rsid w:val="711D3FA5"/>
    <w:rsid w:val="717767B4"/>
    <w:rsid w:val="718A2F1E"/>
    <w:rsid w:val="71B43493"/>
    <w:rsid w:val="721A5B23"/>
    <w:rsid w:val="72B931C1"/>
    <w:rsid w:val="72F96CB0"/>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3"/>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18</TotalTime>
  <ScaleCrop>false</ScaleCrop>
  <LinksUpToDate>false</LinksUpToDate>
  <CharactersWithSpaces>29835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2024-01-19T05:52:35Z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