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2024年临江公司特种电缆</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202403005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2024年3月6日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35393790"/>
      <w:bookmarkStart w:id="4" w:name="_Toc28359079"/>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2024年临江公司特种电缆采购项目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202403005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2024年临江公司特种电缆</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19.37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杭州临江环境能源有限公司因日常生产需要，需采购特种电缆一批。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rPr>
        <w:t>一次性供货。在采购人发出送货通知后，成交人15个工作日内将货物如数送至采购人指定地点。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622"/>
      <w:bookmarkStart w:id="9" w:name="_Toc28359003"/>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28359081"/>
      <w:bookmarkStart w:id="13" w:name="_Toc35393623"/>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本项目特定资格要求：供应商</w:t>
      </w:r>
      <w:r>
        <w:rPr>
          <w:rFonts w:hint="eastAsia" w:cs="仿宋" w:asciiTheme="minorEastAsia" w:hAnsiTheme="minorEastAsia"/>
          <w:bCs/>
          <w:sz w:val="24"/>
          <w:u w:val="single"/>
        </w:rPr>
        <w:t>自2020年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月1日（含）至今（以合同签订时间为准）应具有至少2个垃圾吊电缆项目的供货业绩，需要提供合同复印件及发票等证明材料</w:t>
      </w:r>
      <w:r>
        <w:rPr>
          <w:rFonts w:hint="eastAsia" w:cs="仿宋" w:asciiTheme="minorEastAsia" w:hAnsiTheme="minorEastAsia"/>
          <w:bCs/>
          <w:i/>
          <w:iCs/>
          <w:sz w:val="24"/>
          <w:u w:val="single"/>
        </w:rPr>
        <w:t>。（同时提供合同复印件和与合同相对应的正规合法发票复印件作为业绩证明材料，缺少其中任何一个均视为业绩证明材料不符合要求）。</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35393793"/>
      <w:bookmarkStart w:id="17" w:name="_Toc28359005"/>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18" w:name="_GoBack"/>
      <w:bookmarkEnd w:id="518"/>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800" w:firstLineChars="2000"/>
        <w:rPr>
          <w:rFonts w:hint="eastAsia" w:cs="仿宋" w:asciiTheme="minorEastAsia" w:hAnsiTheme="minorEastAsia"/>
          <w:sz w:val="24"/>
          <w:lang w:eastAsia="zh-CN"/>
        </w:rPr>
      </w:pPr>
      <w:r>
        <w:rPr>
          <w:rFonts w:hint="eastAsia" w:cs="仿宋" w:asciiTheme="minorEastAsia" w:hAnsiTheme="minorEastAsia"/>
          <w:sz w:val="24"/>
          <w:lang w:eastAsia="zh-CN"/>
        </w:rPr>
        <w:t>2024年3月6日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 xml:space="preserve">2024年临江公司特种电缆采购项目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杭州临江环境能源有限公司因日常生产需要，需采购特种电缆一批，具体如下：</w:t>
      </w:r>
    </w:p>
    <w:tbl>
      <w:tblPr>
        <w:tblStyle w:val="15"/>
        <w:tblW w:w="991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80"/>
        <w:gridCol w:w="660"/>
        <w:gridCol w:w="740"/>
        <w:gridCol w:w="6095"/>
        <w:gridCol w:w="836"/>
        <w:gridCol w:w="10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0" w:hRule="atLeast"/>
          <w:jc w:val="center"/>
        </w:trPr>
        <w:tc>
          <w:tcPr>
            <w:tcW w:w="580"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序号</w:t>
            </w:r>
          </w:p>
        </w:tc>
        <w:tc>
          <w:tcPr>
            <w:tcW w:w="660"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名称</w:t>
            </w:r>
          </w:p>
        </w:tc>
        <w:tc>
          <w:tcPr>
            <w:tcW w:w="740"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推荐品牌</w:t>
            </w:r>
          </w:p>
        </w:tc>
        <w:tc>
          <w:tcPr>
            <w:tcW w:w="6095"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规格型号</w:t>
            </w:r>
          </w:p>
        </w:tc>
        <w:tc>
          <w:tcPr>
            <w:tcW w:w="836"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w:t>
            </w:r>
          </w:p>
        </w:tc>
        <w:tc>
          <w:tcPr>
            <w:tcW w:w="1000" w:type="dxa"/>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00" w:hRule="atLeast"/>
          <w:jc w:val="center"/>
        </w:trPr>
        <w:tc>
          <w:tcPr>
            <w:tcW w:w="580"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660" w:type="dxa"/>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740" w:type="dxa"/>
            <w:shd w:val="clear" w:color="auto" w:fill="auto"/>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科尼、艾普达、名耐</w:t>
            </w:r>
            <w:r>
              <w:rPr>
                <w:rFonts w:hint="eastAsia" w:ascii="仿宋_GB2312" w:hAnsi="宋体" w:eastAsia="仿宋_GB2312" w:cs="宋体"/>
                <w:color w:val="000000"/>
                <w:kern w:val="0"/>
                <w:sz w:val="20"/>
                <w:szCs w:val="20"/>
                <w:lang w:val="en-US" w:eastAsia="zh-CN"/>
              </w:rPr>
              <w:t>或同等档次的</w:t>
            </w:r>
          </w:p>
        </w:tc>
        <w:tc>
          <w:tcPr>
            <w:tcW w:w="6095" w:type="dxa"/>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抓斗电缆， YVFR4*35+2*（6*1.5） 要求外径为40mm以下；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w:t>
            </w:r>
            <w:r>
              <w:rPr>
                <w:rFonts w:hint="eastAsia" w:ascii="仿宋_GB2312" w:hAnsi="宋体" w:eastAsia="仿宋_GB2312" w:cs="宋体"/>
                <w:color w:val="000000"/>
                <w:kern w:val="0"/>
                <w:sz w:val="20"/>
                <w:szCs w:val="20"/>
                <w:lang w:eastAsia="zh-CN"/>
              </w:rPr>
              <w:t>编织</w:t>
            </w:r>
            <w:r>
              <w:rPr>
                <w:rFonts w:hint="eastAsia" w:ascii="仿宋_GB2312" w:hAnsi="宋体" w:eastAsia="仿宋_GB2312" w:cs="宋体"/>
                <w:color w:val="000000"/>
                <w:kern w:val="0"/>
                <w:sz w:val="20"/>
                <w:szCs w:val="20"/>
              </w:rPr>
              <w:t>密度80%。额定电压：0.6/1KV，35mm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836"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米</w:t>
            </w:r>
          </w:p>
        </w:tc>
        <w:tc>
          <w:tcPr>
            <w:tcW w:w="1000" w:type="dxa"/>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60" w:hRule="atLeast"/>
          <w:jc w:val="center"/>
        </w:trPr>
        <w:tc>
          <w:tcPr>
            <w:tcW w:w="580"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660" w:type="dxa"/>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740" w:type="dxa"/>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科尼、艾普达、名耐</w:t>
            </w:r>
            <w:r>
              <w:rPr>
                <w:rFonts w:hint="eastAsia" w:ascii="仿宋_GB2312" w:hAnsi="宋体" w:eastAsia="仿宋_GB2312" w:cs="宋体"/>
                <w:color w:val="000000"/>
                <w:kern w:val="0"/>
                <w:sz w:val="20"/>
                <w:szCs w:val="20"/>
                <w:lang w:val="en-US" w:eastAsia="zh-CN"/>
              </w:rPr>
              <w:t>或同等档次的</w:t>
            </w:r>
          </w:p>
        </w:tc>
        <w:tc>
          <w:tcPr>
            <w:tcW w:w="6095" w:type="dxa"/>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扁平软电缆，型号：YFFB 4*95 适用于连续反复运动下的安装，耐弯折800万次以上 柔软性好 耐油耐腐蚀 耐磨耐阻燃 抗紫外线 耐酸碱性能，双层护套绝缘护套采用亮面聚氨酯PUR材质；导体采用柔性绞合裸铜，满足IEC 60228，5类要求。额定电压：0.6/1KV，35mm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836" w:type="dxa"/>
            <w:shd w:val="clear" w:color="auto" w:fill="auto"/>
            <w:noWrap/>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米</w:t>
            </w:r>
          </w:p>
        </w:tc>
        <w:tc>
          <w:tcPr>
            <w:tcW w:w="1000" w:type="dxa"/>
            <w:shd w:val="clear" w:color="auto" w:fill="auto"/>
            <w:noWrap/>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60" w:hRule="atLeast"/>
          <w:jc w:val="center"/>
        </w:trPr>
        <w:tc>
          <w:tcPr>
            <w:tcW w:w="580"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660" w:type="dxa"/>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740" w:type="dxa"/>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科尼、艾普达、名耐</w:t>
            </w:r>
            <w:r>
              <w:rPr>
                <w:rFonts w:hint="eastAsia" w:ascii="仿宋_GB2312" w:hAnsi="宋体" w:eastAsia="仿宋_GB2312" w:cs="宋体"/>
                <w:color w:val="000000"/>
                <w:kern w:val="0"/>
                <w:sz w:val="20"/>
                <w:szCs w:val="20"/>
                <w:lang w:val="en-US" w:eastAsia="zh-CN"/>
              </w:rPr>
              <w:t>或同等档次的</w:t>
            </w:r>
          </w:p>
        </w:tc>
        <w:tc>
          <w:tcPr>
            <w:tcW w:w="6095" w:type="dxa"/>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扁平软电缆，型号：YFFB 4*2.5；适用于连续反复运动下的安装，耐弯折800万次以上 柔软性好 耐油耐腐蚀 耐磨耐阻燃 抗紫外线 耐酸碱性能，双层护套绝缘护套采用亮面聚氨酯PUR材质；导体采用柔性绞合裸铜，满足IEC 60228，5类要求。额定电压：0.6/1KV，35mm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836" w:type="dxa"/>
            <w:shd w:val="clear" w:color="auto" w:fill="auto"/>
            <w:noWrap/>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米</w:t>
            </w:r>
          </w:p>
        </w:tc>
        <w:tc>
          <w:tcPr>
            <w:tcW w:w="1000" w:type="dxa"/>
            <w:shd w:val="clear" w:color="auto" w:fill="auto"/>
            <w:noWrap/>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60" w:hRule="atLeast"/>
          <w:jc w:val="center"/>
        </w:trPr>
        <w:tc>
          <w:tcPr>
            <w:tcW w:w="580" w:type="dxa"/>
            <w:shd w:val="clear" w:color="auto" w:fill="auto"/>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p>
        </w:tc>
        <w:tc>
          <w:tcPr>
            <w:tcW w:w="660" w:type="dxa"/>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740" w:type="dxa"/>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科尼、艾普达、名耐</w:t>
            </w:r>
            <w:r>
              <w:rPr>
                <w:rFonts w:hint="eastAsia" w:ascii="仿宋_GB2312" w:hAnsi="宋体" w:eastAsia="仿宋_GB2312" w:cs="宋体"/>
                <w:color w:val="000000"/>
                <w:kern w:val="0"/>
                <w:sz w:val="20"/>
                <w:szCs w:val="20"/>
                <w:lang w:val="en-US" w:eastAsia="zh-CN"/>
              </w:rPr>
              <w:t>或同等档次的</w:t>
            </w:r>
          </w:p>
        </w:tc>
        <w:tc>
          <w:tcPr>
            <w:tcW w:w="6095" w:type="dxa"/>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电动葫芦控制电缆，TVRQ/JXXL 01-2016 9×0.75m㎡</w:t>
            </w:r>
          </w:p>
        </w:tc>
        <w:tc>
          <w:tcPr>
            <w:tcW w:w="836" w:type="dxa"/>
            <w:shd w:val="clear" w:color="auto" w:fill="auto"/>
            <w:noWrap/>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米</w:t>
            </w:r>
          </w:p>
        </w:tc>
        <w:tc>
          <w:tcPr>
            <w:tcW w:w="1000" w:type="dxa"/>
            <w:shd w:val="clear" w:color="auto" w:fill="auto"/>
            <w:noWrap/>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60" w:hRule="atLeast"/>
          <w:jc w:val="center"/>
        </w:trPr>
        <w:tc>
          <w:tcPr>
            <w:tcW w:w="580" w:type="dxa"/>
            <w:shd w:val="clear" w:color="auto" w:fill="auto"/>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w:t>
            </w:r>
          </w:p>
        </w:tc>
        <w:tc>
          <w:tcPr>
            <w:tcW w:w="660" w:type="dxa"/>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740" w:type="dxa"/>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科尼、艾普达、名耐</w:t>
            </w:r>
            <w:r>
              <w:rPr>
                <w:rFonts w:hint="eastAsia" w:ascii="仿宋_GB2312" w:hAnsi="宋体" w:eastAsia="仿宋_GB2312" w:cs="宋体"/>
                <w:color w:val="000000"/>
                <w:kern w:val="0"/>
                <w:sz w:val="20"/>
                <w:szCs w:val="20"/>
                <w:lang w:val="en-US" w:eastAsia="zh-CN"/>
              </w:rPr>
              <w:t>或同等档次的</w:t>
            </w:r>
          </w:p>
        </w:tc>
        <w:tc>
          <w:tcPr>
            <w:tcW w:w="6095" w:type="dxa"/>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抓斗电缆，APDFLEX-901 4*35+2*（6*1.5）</w:t>
            </w:r>
          </w:p>
        </w:tc>
        <w:tc>
          <w:tcPr>
            <w:tcW w:w="836" w:type="dxa"/>
            <w:shd w:val="clear" w:color="auto" w:fill="auto"/>
            <w:noWrap/>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米</w:t>
            </w:r>
          </w:p>
        </w:tc>
        <w:tc>
          <w:tcPr>
            <w:tcW w:w="1000" w:type="dxa"/>
            <w:shd w:val="clear" w:color="auto" w:fill="auto"/>
            <w:noWrap/>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300</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1.合同期限：合同签订后两个月内供货完成；</w:t>
      </w:r>
    </w:p>
    <w:p>
      <w:pPr>
        <w:pStyle w:val="7"/>
        <w:ind w:firstLine="480" w:firstLineChars="200"/>
        <w:rPr>
          <w:rFonts w:hAnsi="宋体" w:cs="宋体"/>
        </w:rPr>
      </w:pPr>
      <w:r>
        <w:rPr>
          <w:rFonts w:hint="eastAsia"/>
          <w:lang w:val="en-US"/>
        </w:rPr>
        <w:t>2.履约方式：</w:t>
      </w:r>
      <w:r>
        <w:rPr>
          <w:rFonts w:hint="eastAsia" w:cs="仿宋" w:asciiTheme="minorEastAsia" w:hAnsiTheme="minorEastAsia"/>
          <w:u w:val="single"/>
          <w:lang w:val="en-US"/>
        </w:rPr>
        <w:t>一次性供货</w:t>
      </w:r>
      <w:r>
        <w:rPr>
          <w:rFonts w:hint="eastAsia" w:cs="仿宋" w:asciiTheme="minorEastAsia" w:hAnsiTheme="minorEastAsia"/>
          <w:u w:val="single"/>
        </w:rPr>
        <w:t>。在采购人发出送货通知后，成交人</w:t>
      </w:r>
      <w:r>
        <w:rPr>
          <w:lang w:val="en-US"/>
        </w:rPr>
        <w:t>15</w:t>
      </w:r>
      <w:r>
        <w:rPr>
          <w:rFonts w:hint="eastAsia"/>
          <w:lang w:val="en-US"/>
        </w:rPr>
        <w:t>个工作日</w:t>
      </w:r>
      <w:r>
        <w:rPr>
          <w:rFonts w:hint="eastAsia" w:cs="仿宋" w:asciiTheme="minorEastAsia" w:hAnsiTheme="minorEastAsia"/>
          <w:u w:val="single"/>
        </w:rPr>
        <w:t>内将货物如数送至采购人指定地点</w:t>
      </w:r>
      <w:r>
        <w:rPr>
          <w:rFonts w:hint="eastAsia" w:hAnsi="宋体" w:cs="宋体"/>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提供的特种电缆必须为原厂正品，不得为假冒伪劣产品。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在采购人发出送货通知后，成交人15个工作日内将货物如数送至采购人指定地点。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76"/>
      <w:bookmarkEnd w:id="20"/>
      <w:bookmarkStart w:id="21" w:name="_Toc184308099"/>
      <w:bookmarkEnd w:id="21"/>
      <w:bookmarkStart w:id="22" w:name="_Toc184312124"/>
      <w:bookmarkEnd w:id="22"/>
      <w:bookmarkStart w:id="23" w:name="_Toc184313281"/>
      <w:bookmarkEnd w:id="23"/>
      <w:bookmarkStart w:id="24" w:name="_Toc184313255"/>
      <w:bookmarkEnd w:id="24"/>
      <w:bookmarkStart w:id="25" w:name="_Toc184310314"/>
      <w:bookmarkEnd w:id="25"/>
      <w:bookmarkStart w:id="26" w:name="_Toc184312078"/>
      <w:bookmarkEnd w:id="26"/>
      <w:bookmarkStart w:id="27" w:name="_Toc184308096"/>
      <w:bookmarkEnd w:id="27"/>
      <w:bookmarkStart w:id="28" w:name="_Toc184310316"/>
      <w:bookmarkEnd w:id="28"/>
      <w:bookmarkStart w:id="29" w:name="_Toc184314449"/>
      <w:bookmarkEnd w:id="29"/>
      <w:bookmarkStart w:id="30" w:name="_Toc184308044"/>
      <w:bookmarkEnd w:id="30"/>
      <w:bookmarkStart w:id="31" w:name="_Toc184308085"/>
      <w:bookmarkEnd w:id="31"/>
      <w:bookmarkStart w:id="32" w:name="_Toc184313310"/>
      <w:bookmarkEnd w:id="32"/>
      <w:bookmarkStart w:id="33" w:name="_Toc184310315"/>
      <w:bookmarkEnd w:id="33"/>
      <w:bookmarkStart w:id="34" w:name="_Toc184308054"/>
      <w:bookmarkEnd w:id="34"/>
      <w:bookmarkStart w:id="35" w:name="_Toc184313295"/>
      <w:bookmarkEnd w:id="35"/>
      <w:bookmarkStart w:id="36" w:name="_Toc184308080"/>
      <w:bookmarkEnd w:id="36"/>
      <w:bookmarkStart w:id="37" w:name="_Toc184314424"/>
      <w:bookmarkEnd w:id="37"/>
      <w:bookmarkStart w:id="38" w:name="_Toc184310286"/>
      <w:bookmarkEnd w:id="38"/>
      <w:bookmarkStart w:id="39" w:name="_Toc184312073"/>
      <w:bookmarkEnd w:id="39"/>
      <w:bookmarkStart w:id="40" w:name="_Toc184313256"/>
      <w:bookmarkEnd w:id="40"/>
      <w:bookmarkStart w:id="41" w:name="_Toc184313304"/>
      <w:bookmarkEnd w:id="41"/>
      <w:bookmarkStart w:id="42" w:name="_Toc184314410"/>
      <w:bookmarkEnd w:id="42"/>
      <w:bookmarkStart w:id="43" w:name="_Toc184314415"/>
      <w:bookmarkEnd w:id="43"/>
      <w:bookmarkStart w:id="44" w:name="_Toc184310278"/>
      <w:bookmarkEnd w:id="44"/>
      <w:bookmarkStart w:id="45" w:name="_Toc184313276"/>
      <w:bookmarkEnd w:id="45"/>
      <w:bookmarkStart w:id="46" w:name="_Toc184313243"/>
      <w:bookmarkEnd w:id="46"/>
      <w:bookmarkStart w:id="47" w:name="_Toc184308065"/>
      <w:bookmarkEnd w:id="47"/>
      <w:bookmarkStart w:id="48" w:name="_Toc184312089"/>
      <w:bookmarkEnd w:id="48"/>
      <w:bookmarkStart w:id="49" w:name="_Toc184310303"/>
      <w:bookmarkEnd w:id="49"/>
      <w:bookmarkStart w:id="50" w:name="_Toc184310296"/>
      <w:bookmarkEnd w:id="50"/>
      <w:bookmarkStart w:id="51" w:name="_Toc184312082"/>
      <w:bookmarkEnd w:id="51"/>
      <w:bookmarkStart w:id="52" w:name="_Toc184313282"/>
      <w:bookmarkEnd w:id="52"/>
      <w:bookmarkStart w:id="53" w:name="_Toc184314475"/>
      <w:bookmarkEnd w:id="53"/>
      <w:bookmarkStart w:id="54" w:name="_Toc184313300"/>
      <w:bookmarkEnd w:id="54"/>
      <w:bookmarkStart w:id="55" w:name="_Toc184313248"/>
      <w:bookmarkEnd w:id="55"/>
      <w:bookmarkStart w:id="56" w:name="_Toc184313280"/>
      <w:bookmarkEnd w:id="56"/>
      <w:bookmarkStart w:id="57" w:name="_Toc184314463"/>
      <w:bookmarkEnd w:id="57"/>
      <w:bookmarkStart w:id="58" w:name="_Toc184314476"/>
      <w:bookmarkEnd w:id="58"/>
      <w:bookmarkStart w:id="59" w:name="_Toc184312134"/>
      <w:bookmarkEnd w:id="59"/>
      <w:bookmarkStart w:id="60" w:name="_Toc184314465"/>
      <w:bookmarkEnd w:id="60"/>
      <w:bookmarkStart w:id="61" w:name="_Toc184312135"/>
      <w:bookmarkEnd w:id="61"/>
      <w:bookmarkStart w:id="62" w:name="_Toc184312075"/>
      <w:bookmarkEnd w:id="62"/>
      <w:bookmarkStart w:id="63" w:name="_Toc184314436"/>
      <w:bookmarkEnd w:id="63"/>
      <w:bookmarkStart w:id="64" w:name="_Toc184314453"/>
      <w:bookmarkEnd w:id="64"/>
      <w:bookmarkStart w:id="65" w:name="_Toc184312107"/>
      <w:bookmarkEnd w:id="65"/>
      <w:bookmarkStart w:id="66" w:name="_Toc184314445"/>
      <w:bookmarkEnd w:id="66"/>
      <w:bookmarkStart w:id="67" w:name="_Toc184314446"/>
      <w:bookmarkEnd w:id="67"/>
      <w:bookmarkStart w:id="68" w:name="_Toc184312112"/>
      <w:bookmarkEnd w:id="68"/>
      <w:bookmarkStart w:id="69" w:name="_Toc184312120"/>
      <w:bookmarkEnd w:id="69"/>
      <w:bookmarkStart w:id="70" w:name="_Toc184310327"/>
      <w:bookmarkEnd w:id="70"/>
      <w:bookmarkStart w:id="71" w:name="_Toc184314460"/>
      <w:bookmarkEnd w:id="71"/>
      <w:bookmarkStart w:id="72" w:name="_Toc184308084"/>
      <w:bookmarkEnd w:id="72"/>
      <w:bookmarkStart w:id="73" w:name="_Toc184310308"/>
      <w:bookmarkEnd w:id="73"/>
      <w:bookmarkStart w:id="74" w:name="_Toc184308053"/>
      <w:bookmarkEnd w:id="74"/>
      <w:bookmarkStart w:id="75" w:name="_Toc184312096"/>
      <w:bookmarkEnd w:id="75"/>
      <w:bookmarkStart w:id="76" w:name="_Toc184314438"/>
      <w:bookmarkEnd w:id="76"/>
      <w:bookmarkStart w:id="77" w:name="_Toc184313240"/>
      <w:bookmarkEnd w:id="77"/>
      <w:bookmarkStart w:id="78" w:name="_Toc184313242"/>
      <w:bookmarkEnd w:id="78"/>
      <w:bookmarkStart w:id="79" w:name="_Toc184313298"/>
      <w:bookmarkEnd w:id="79"/>
      <w:bookmarkStart w:id="80" w:name="_Toc184310304"/>
      <w:bookmarkEnd w:id="80"/>
      <w:bookmarkStart w:id="81" w:name="_Toc184314477"/>
      <w:bookmarkEnd w:id="81"/>
      <w:bookmarkStart w:id="82" w:name="_Toc184308088"/>
      <w:bookmarkEnd w:id="82"/>
      <w:bookmarkStart w:id="83" w:name="_Toc184312113"/>
      <w:bookmarkEnd w:id="83"/>
      <w:bookmarkStart w:id="84" w:name="_Toc184312081"/>
      <w:bookmarkEnd w:id="84"/>
      <w:bookmarkStart w:id="85" w:name="_Toc184313308"/>
      <w:bookmarkEnd w:id="85"/>
      <w:bookmarkStart w:id="86" w:name="_Toc184310287"/>
      <w:bookmarkEnd w:id="86"/>
      <w:bookmarkStart w:id="87" w:name="_Toc184314434"/>
      <w:bookmarkEnd w:id="87"/>
      <w:bookmarkStart w:id="88" w:name="_Toc184314418"/>
      <w:bookmarkEnd w:id="88"/>
      <w:bookmarkStart w:id="89" w:name="_Toc184312109"/>
      <w:bookmarkEnd w:id="89"/>
      <w:bookmarkStart w:id="90" w:name="_Toc184310341"/>
      <w:bookmarkEnd w:id="90"/>
      <w:bookmarkStart w:id="91" w:name="_Toc184312095"/>
      <w:bookmarkEnd w:id="91"/>
      <w:bookmarkStart w:id="92" w:name="_Toc184310324"/>
      <w:bookmarkEnd w:id="92"/>
      <w:bookmarkStart w:id="93" w:name="_Toc184314472"/>
      <w:bookmarkEnd w:id="93"/>
      <w:bookmarkStart w:id="94" w:name="_Toc184314457"/>
      <w:bookmarkEnd w:id="94"/>
      <w:bookmarkStart w:id="95" w:name="_Toc184310289"/>
      <w:bookmarkEnd w:id="95"/>
      <w:bookmarkStart w:id="96" w:name="_Toc184310293"/>
      <w:bookmarkEnd w:id="96"/>
      <w:bookmarkStart w:id="97" w:name="_Toc184314458"/>
      <w:bookmarkEnd w:id="97"/>
      <w:bookmarkStart w:id="98" w:name="_Toc184308062"/>
      <w:bookmarkEnd w:id="98"/>
      <w:bookmarkStart w:id="99" w:name="_Toc184310273"/>
      <w:bookmarkEnd w:id="99"/>
      <w:bookmarkStart w:id="100" w:name="_Toc184308102"/>
      <w:bookmarkEnd w:id="100"/>
      <w:bookmarkStart w:id="101" w:name="_Toc184313297"/>
      <w:bookmarkEnd w:id="101"/>
      <w:bookmarkStart w:id="102" w:name="_Toc184308093"/>
      <w:bookmarkEnd w:id="102"/>
      <w:bookmarkStart w:id="103" w:name="_Toc184314425"/>
      <w:bookmarkEnd w:id="103"/>
      <w:bookmarkStart w:id="104" w:name="_Toc184310292"/>
      <w:bookmarkEnd w:id="104"/>
      <w:bookmarkStart w:id="105" w:name="_Toc184314464"/>
      <w:bookmarkEnd w:id="105"/>
      <w:bookmarkStart w:id="106" w:name="_Toc184314422"/>
      <w:bookmarkEnd w:id="106"/>
      <w:bookmarkStart w:id="107" w:name="_Toc184312108"/>
      <w:bookmarkEnd w:id="107"/>
      <w:bookmarkStart w:id="108" w:name="_Toc184312098"/>
      <w:bookmarkEnd w:id="108"/>
      <w:bookmarkStart w:id="109" w:name="_Toc184314423"/>
      <w:bookmarkEnd w:id="109"/>
      <w:bookmarkStart w:id="110" w:name="_Toc184314444"/>
      <w:bookmarkEnd w:id="110"/>
      <w:bookmarkStart w:id="111" w:name="_Toc184313303"/>
      <w:bookmarkEnd w:id="111"/>
      <w:bookmarkStart w:id="112" w:name="_Toc184310328"/>
      <w:bookmarkEnd w:id="112"/>
      <w:bookmarkStart w:id="113" w:name="_Toc184308097"/>
      <w:bookmarkEnd w:id="113"/>
      <w:bookmarkStart w:id="114" w:name="_Toc184310332"/>
      <w:bookmarkEnd w:id="114"/>
      <w:bookmarkStart w:id="115" w:name="_Toc184312133"/>
      <w:bookmarkEnd w:id="115"/>
      <w:bookmarkStart w:id="116" w:name="_Toc184312086"/>
      <w:bookmarkEnd w:id="116"/>
      <w:bookmarkStart w:id="117" w:name="_Toc184308079"/>
      <w:bookmarkEnd w:id="117"/>
      <w:bookmarkStart w:id="118" w:name="_Toc184313289"/>
      <w:bookmarkEnd w:id="118"/>
      <w:bookmarkStart w:id="119" w:name="_Toc184310299"/>
      <w:bookmarkEnd w:id="119"/>
      <w:bookmarkStart w:id="120" w:name="_Toc184313287"/>
      <w:bookmarkEnd w:id="120"/>
      <w:bookmarkStart w:id="121" w:name="_Toc184313299"/>
      <w:bookmarkEnd w:id="121"/>
      <w:bookmarkStart w:id="122" w:name="_Toc184314459"/>
      <w:bookmarkEnd w:id="122"/>
      <w:bookmarkStart w:id="123" w:name="_Toc184313293"/>
      <w:bookmarkEnd w:id="123"/>
      <w:bookmarkStart w:id="124" w:name="_Toc184310305"/>
      <w:bookmarkEnd w:id="124"/>
      <w:bookmarkStart w:id="125" w:name="_Toc184312100"/>
      <w:bookmarkEnd w:id="125"/>
      <w:bookmarkStart w:id="126" w:name="_Toc184313267"/>
      <w:bookmarkEnd w:id="126"/>
      <w:bookmarkStart w:id="127" w:name="_Toc184308072"/>
      <w:bookmarkEnd w:id="127"/>
      <w:bookmarkStart w:id="128" w:name="_Toc184314473"/>
      <w:bookmarkEnd w:id="128"/>
      <w:bookmarkStart w:id="129" w:name="_Toc184314480"/>
      <w:bookmarkEnd w:id="129"/>
      <w:bookmarkStart w:id="130" w:name="_Toc184308081"/>
      <w:bookmarkEnd w:id="130"/>
      <w:bookmarkStart w:id="131" w:name="_Toc184314451"/>
      <w:bookmarkEnd w:id="131"/>
      <w:bookmarkStart w:id="132" w:name="_Toc184314469"/>
      <w:bookmarkEnd w:id="132"/>
      <w:bookmarkStart w:id="133" w:name="_Toc184308051"/>
      <w:bookmarkEnd w:id="133"/>
      <w:bookmarkStart w:id="134" w:name="_Toc184312088"/>
      <w:bookmarkEnd w:id="134"/>
      <w:bookmarkStart w:id="135" w:name="_Toc184308071"/>
      <w:bookmarkEnd w:id="135"/>
      <w:bookmarkStart w:id="136" w:name="_Toc184314440"/>
      <w:bookmarkEnd w:id="136"/>
      <w:bookmarkStart w:id="137" w:name="_Toc184313296"/>
      <w:bookmarkEnd w:id="137"/>
      <w:bookmarkStart w:id="138" w:name="_Toc184308098"/>
      <w:bookmarkEnd w:id="138"/>
      <w:bookmarkStart w:id="139" w:name="_Toc184312074"/>
      <w:bookmarkEnd w:id="139"/>
      <w:bookmarkStart w:id="140" w:name="_Toc184314411"/>
      <w:bookmarkEnd w:id="140"/>
      <w:bookmarkStart w:id="141" w:name="_Toc184308083"/>
      <w:bookmarkEnd w:id="141"/>
      <w:bookmarkStart w:id="142" w:name="_Toc184310336"/>
      <w:bookmarkEnd w:id="142"/>
      <w:bookmarkStart w:id="143" w:name="_Toc184313239"/>
      <w:bookmarkEnd w:id="143"/>
      <w:bookmarkStart w:id="144" w:name="_Toc184314482"/>
      <w:bookmarkEnd w:id="144"/>
      <w:bookmarkStart w:id="145" w:name="_Toc184310283"/>
      <w:bookmarkEnd w:id="145"/>
      <w:bookmarkStart w:id="146" w:name="_Toc184310279"/>
      <w:bookmarkEnd w:id="146"/>
      <w:bookmarkStart w:id="147" w:name="_Toc184314478"/>
      <w:bookmarkEnd w:id="147"/>
      <w:bookmarkStart w:id="148" w:name="_Toc184314429"/>
      <w:bookmarkEnd w:id="148"/>
      <w:bookmarkStart w:id="149" w:name="_Toc184314454"/>
      <w:bookmarkEnd w:id="149"/>
      <w:bookmarkStart w:id="150" w:name="_Toc184310310"/>
      <w:bookmarkEnd w:id="150"/>
      <w:bookmarkStart w:id="151" w:name="_Toc184308091"/>
      <w:bookmarkEnd w:id="151"/>
      <w:bookmarkStart w:id="152" w:name="_Toc184308050"/>
      <w:bookmarkEnd w:id="152"/>
      <w:bookmarkStart w:id="153" w:name="_Toc184308038"/>
      <w:bookmarkEnd w:id="153"/>
      <w:bookmarkStart w:id="154" w:name="_Toc184312118"/>
      <w:bookmarkEnd w:id="154"/>
      <w:bookmarkStart w:id="155" w:name="_Toc184310334"/>
      <w:bookmarkEnd w:id="155"/>
      <w:bookmarkStart w:id="156" w:name="_Toc184310309"/>
      <w:bookmarkEnd w:id="156"/>
      <w:bookmarkStart w:id="157" w:name="_Toc184308108"/>
      <w:bookmarkEnd w:id="157"/>
      <w:bookmarkStart w:id="158" w:name="_Toc184310340"/>
      <w:bookmarkEnd w:id="158"/>
      <w:bookmarkStart w:id="159" w:name="_Toc184312071"/>
      <w:bookmarkEnd w:id="159"/>
      <w:bookmarkStart w:id="160" w:name="_Toc184314412"/>
      <w:bookmarkEnd w:id="160"/>
      <w:bookmarkStart w:id="161" w:name="_Toc184310275"/>
      <w:bookmarkEnd w:id="161"/>
      <w:bookmarkStart w:id="162" w:name="_Toc184312083"/>
      <w:bookmarkEnd w:id="162"/>
      <w:bookmarkStart w:id="163" w:name="_Toc184308070"/>
      <w:bookmarkEnd w:id="163"/>
      <w:bookmarkStart w:id="164" w:name="_Toc184313270"/>
      <w:bookmarkEnd w:id="164"/>
      <w:bookmarkStart w:id="165" w:name="_Toc184313249"/>
      <w:bookmarkEnd w:id="165"/>
      <w:bookmarkStart w:id="166" w:name="_Toc184308064"/>
      <w:bookmarkEnd w:id="166"/>
      <w:bookmarkStart w:id="167" w:name="_Toc184314442"/>
      <w:bookmarkEnd w:id="167"/>
      <w:bookmarkStart w:id="168" w:name="_Toc184312099"/>
      <w:bookmarkEnd w:id="168"/>
      <w:bookmarkStart w:id="169" w:name="_Toc184308063"/>
      <w:bookmarkEnd w:id="169"/>
      <w:bookmarkStart w:id="170" w:name="_Toc184314479"/>
      <w:bookmarkEnd w:id="170"/>
      <w:bookmarkStart w:id="171" w:name="_Toc184310291"/>
      <w:bookmarkEnd w:id="171"/>
      <w:bookmarkStart w:id="172" w:name="_Toc184313260"/>
      <w:bookmarkEnd w:id="172"/>
      <w:bookmarkStart w:id="173" w:name="_Toc184308052"/>
      <w:bookmarkEnd w:id="173"/>
      <w:bookmarkStart w:id="174" w:name="_Toc184308086"/>
      <w:bookmarkEnd w:id="174"/>
      <w:bookmarkStart w:id="175" w:name="_Toc184312079"/>
      <w:bookmarkEnd w:id="175"/>
      <w:bookmarkStart w:id="176" w:name="_Toc184312116"/>
      <w:bookmarkEnd w:id="176"/>
      <w:bookmarkStart w:id="177" w:name="_Toc184310318"/>
      <w:bookmarkEnd w:id="177"/>
      <w:bookmarkStart w:id="178" w:name="_Toc184308068"/>
      <w:bookmarkEnd w:id="178"/>
      <w:bookmarkStart w:id="179" w:name="_Toc184313294"/>
      <w:bookmarkEnd w:id="179"/>
      <w:bookmarkStart w:id="180" w:name="_Toc184308074"/>
      <w:bookmarkEnd w:id="180"/>
      <w:bookmarkStart w:id="181" w:name="_Toc184313279"/>
      <w:bookmarkEnd w:id="181"/>
      <w:bookmarkStart w:id="182" w:name="_Toc184308049"/>
      <w:bookmarkEnd w:id="182"/>
      <w:bookmarkStart w:id="183" w:name="_Toc184308076"/>
      <w:bookmarkEnd w:id="183"/>
      <w:bookmarkStart w:id="184" w:name="_Toc184312094"/>
      <w:bookmarkEnd w:id="184"/>
      <w:bookmarkStart w:id="185" w:name="_Toc184312132"/>
      <w:bookmarkEnd w:id="185"/>
      <w:bookmarkStart w:id="186" w:name="_Toc184312092"/>
      <w:bookmarkEnd w:id="186"/>
      <w:bookmarkStart w:id="187" w:name="_Toc184308082"/>
      <w:bookmarkEnd w:id="187"/>
      <w:bookmarkStart w:id="188" w:name="_Toc184314443"/>
      <w:bookmarkEnd w:id="188"/>
      <w:bookmarkStart w:id="189" w:name="_Toc184314414"/>
      <w:bookmarkEnd w:id="189"/>
      <w:bookmarkStart w:id="190" w:name="_Toc184312128"/>
      <w:bookmarkEnd w:id="190"/>
      <w:bookmarkStart w:id="191" w:name="_Toc184308060"/>
      <w:bookmarkEnd w:id="191"/>
      <w:bookmarkStart w:id="192" w:name="_Toc184310344"/>
      <w:bookmarkEnd w:id="192"/>
      <w:bookmarkStart w:id="193" w:name="_Toc184310319"/>
      <w:bookmarkEnd w:id="193"/>
      <w:bookmarkStart w:id="194" w:name="_Toc184314474"/>
      <w:bookmarkEnd w:id="194"/>
      <w:bookmarkStart w:id="195" w:name="_Toc184308094"/>
      <w:bookmarkEnd w:id="195"/>
      <w:bookmarkStart w:id="196" w:name="_Toc184312077"/>
      <w:bookmarkEnd w:id="196"/>
      <w:bookmarkStart w:id="197" w:name="_Toc184308058"/>
      <w:bookmarkEnd w:id="197"/>
      <w:bookmarkStart w:id="198" w:name="_Toc184308105"/>
      <w:bookmarkEnd w:id="198"/>
      <w:bookmarkStart w:id="199" w:name="_Toc184310313"/>
      <w:bookmarkEnd w:id="199"/>
      <w:bookmarkStart w:id="200" w:name="_Toc184308069"/>
      <w:bookmarkEnd w:id="200"/>
      <w:bookmarkStart w:id="201" w:name="_Toc184312076"/>
      <w:bookmarkEnd w:id="201"/>
      <w:bookmarkStart w:id="202" w:name="_Toc184310326"/>
      <w:bookmarkEnd w:id="202"/>
      <w:bookmarkStart w:id="203" w:name="_Toc184312123"/>
      <w:bookmarkEnd w:id="203"/>
      <w:bookmarkStart w:id="204" w:name="_Toc184308041"/>
      <w:bookmarkEnd w:id="204"/>
      <w:bookmarkStart w:id="205" w:name="_Toc184308104"/>
      <w:bookmarkEnd w:id="205"/>
      <w:bookmarkStart w:id="206" w:name="_Toc184313265"/>
      <w:bookmarkEnd w:id="206"/>
      <w:bookmarkStart w:id="207" w:name="_Toc184314455"/>
      <w:bookmarkEnd w:id="207"/>
      <w:bookmarkStart w:id="208" w:name="_Toc184313263"/>
      <w:bookmarkEnd w:id="208"/>
      <w:bookmarkStart w:id="209" w:name="_Toc184313266"/>
      <w:bookmarkEnd w:id="209"/>
      <w:bookmarkStart w:id="210" w:name="_Toc184314448"/>
      <w:bookmarkEnd w:id="210"/>
      <w:bookmarkStart w:id="211" w:name="_Toc184310329"/>
      <w:bookmarkEnd w:id="211"/>
      <w:bookmarkStart w:id="212" w:name="_Toc184310325"/>
      <w:bookmarkEnd w:id="212"/>
      <w:bookmarkStart w:id="213" w:name="_Toc184308059"/>
      <w:bookmarkEnd w:id="213"/>
      <w:bookmarkStart w:id="214" w:name="_Toc184313269"/>
      <w:bookmarkEnd w:id="214"/>
      <w:bookmarkStart w:id="215" w:name="_Toc184312091"/>
      <w:bookmarkEnd w:id="215"/>
      <w:bookmarkStart w:id="216" w:name="_Toc184312067"/>
      <w:bookmarkEnd w:id="216"/>
      <w:bookmarkStart w:id="217" w:name="_Toc184308073"/>
      <w:bookmarkEnd w:id="217"/>
      <w:bookmarkStart w:id="218" w:name="_Toc184312101"/>
      <w:bookmarkEnd w:id="218"/>
      <w:bookmarkStart w:id="219" w:name="_Toc184313307"/>
      <w:bookmarkEnd w:id="219"/>
      <w:bookmarkStart w:id="220" w:name="_Toc184314426"/>
      <w:bookmarkEnd w:id="220"/>
      <w:bookmarkStart w:id="221" w:name="_Toc184312136"/>
      <w:bookmarkEnd w:id="221"/>
      <w:bookmarkStart w:id="222" w:name="_Toc184312105"/>
      <w:bookmarkEnd w:id="222"/>
      <w:bookmarkStart w:id="223" w:name="_Toc184313247"/>
      <w:bookmarkEnd w:id="223"/>
      <w:bookmarkStart w:id="224" w:name="_Toc184310285"/>
      <w:bookmarkEnd w:id="224"/>
      <w:bookmarkStart w:id="225" w:name="_Toc184313292"/>
      <w:bookmarkEnd w:id="225"/>
      <w:bookmarkStart w:id="226" w:name="_Toc184313238"/>
      <w:bookmarkEnd w:id="226"/>
      <w:bookmarkStart w:id="227" w:name="_Toc184312111"/>
      <w:bookmarkEnd w:id="227"/>
      <w:bookmarkStart w:id="228" w:name="_Toc184312087"/>
      <w:bookmarkEnd w:id="228"/>
      <w:bookmarkStart w:id="229" w:name="_Toc184313258"/>
      <w:bookmarkEnd w:id="229"/>
      <w:bookmarkStart w:id="230" w:name="_Toc184313253"/>
      <w:bookmarkEnd w:id="230"/>
      <w:bookmarkStart w:id="231" w:name="_Toc184314439"/>
      <w:bookmarkEnd w:id="231"/>
      <w:bookmarkStart w:id="232" w:name="_Toc184313264"/>
      <w:bookmarkEnd w:id="232"/>
      <w:bookmarkStart w:id="233" w:name="_Toc184310322"/>
      <w:bookmarkEnd w:id="233"/>
      <w:bookmarkStart w:id="234" w:name="_Toc184314413"/>
      <w:bookmarkEnd w:id="234"/>
      <w:bookmarkStart w:id="235" w:name="_Toc184312114"/>
      <w:bookmarkEnd w:id="235"/>
      <w:bookmarkStart w:id="236" w:name="_Toc184314461"/>
      <w:bookmarkEnd w:id="236"/>
      <w:bookmarkStart w:id="237" w:name="_Toc184310335"/>
      <w:bookmarkEnd w:id="237"/>
      <w:bookmarkStart w:id="238" w:name="_Toc184313306"/>
      <w:bookmarkEnd w:id="238"/>
      <w:bookmarkStart w:id="239" w:name="_Toc184314481"/>
      <w:bookmarkEnd w:id="239"/>
      <w:bookmarkStart w:id="240" w:name="_Toc184313301"/>
      <w:bookmarkEnd w:id="240"/>
      <w:bookmarkStart w:id="241" w:name="_Toc184314431"/>
      <w:bookmarkEnd w:id="241"/>
      <w:bookmarkStart w:id="242" w:name="_Toc184310338"/>
      <w:bookmarkEnd w:id="242"/>
      <w:bookmarkStart w:id="243" w:name="_Toc184313273"/>
      <w:bookmarkEnd w:id="243"/>
      <w:bookmarkStart w:id="244" w:name="_Toc184310277"/>
      <w:bookmarkEnd w:id="244"/>
      <w:bookmarkStart w:id="245" w:name="_Toc184313285"/>
      <w:bookmarkEnd w:id="245"/>
      <w:bookmarkStart w:id="246" w:name="_Toc184313262"/>
      <w:bookmarkEnd w:id="246"/>
      <w:bookmarkStart w:id="247" w:name="_Toc184313275"/>
      <w:bookmarkEnd w:id="247"/>
      <w:bookmarkStart w:id="248" w:name="_Toc184313284"/>
      <w:bookmarkEnd w:id="248"/>
      <w:bookmarkStart w:id="249" w:name="_Toc184314447"/>
      <w:bookmarkEnd w:id="249"/>
      <w:bookmarkStart w:id="250" w:name="_Toc184308095"/>
      <w:bookmarkEnd w:id="250"/>
      <w:bookmarkStart w:id="251" w:name="_Toc184312122"/>
      <w:bookmarkEnd w:id="251"/>
      <w:bookmarkStart w:id="252" w:name="_Toc184314421"/>
      <w:bookmarkEnd w:id="252"/>
      <w:bookmarkStart w:id="253" w:name="_Toc184310330"/>
      <w:bookmarkEnd w:id="253"/>
      <w:bookmarkStart w:id="254" w:name="_Toc184312127"/>
      <w:bookmarkEnd w:id="254"/>
      <w:bookmarkStart w:id="255" w:name="_Toc184310274"/>
      <w:bookmarkEnd w:id="255"/>
      <w:bookmarkStart w:id="256" w:name="_Toc184312102"/>
      <w:bookmarkEnd w:id="256"/>
      <w:bookmarkStart w:id="257" w:name="_Toc184313305"/>
      <w:bookmarkEnd w:id="257"/>
      <w:bookmarkStart w:id="258" w:name="_Toc184313271"/>
      <w:bookmarkEnd w:id="258"/>
      <w:bookmarkStart w:id="259" w:name="_Toc184308100"/>
      <w:bookmarkEnd w:id="259"/>
      <w:bookmarkStart w:id="260" w:name="_Toc184310281"/>
      <w:bookmarkEnd w:id="260"/>
      <w:bookmarkStart w:id="261" w:name="_Toc184314462"/>
      <w:bookmarkEnd w:id="261"/>
      <w:bookmarkStart w:id="262" w:name="_Toc184314428"/>
      <w:bookmarkEnd w:id="262"/>
      <w:bookmarkStart w:id="263" w:name="_Toc184313274"/>
      <w:bookmarkEnd w:id="263"/>
      <w:bookmarkStart w:id="264" w:name="_Toc184313268"/>
      <w:bookmarkEnd w:id="264"/>
      <w:bookmarkStart w:id="265" w:name="_Toc184308090"/>
      <w:bookmarkEnd w:id="265"/>
      <w:bookmarkStart w:id="266" w:name="_Toc184310282"/>
      <w:bookmarkEnd w:id="266"/>
      <w:bookmarkStart w:id="267" w:name="_Toc184314427"/>
      <w:bookmarkEnd w:id="267"/>
      <w:bookmarkStart w:id="268" w:name="_Toc184314419"/>
      <w:bookmarkEnd w:id="268"/>
      <w:bookmarkStart w:id="269" w:name="_Toc184308106"/>
      <w:bookmarkEnd w:id="269"/>
      <w:bookmarkStart w:id="270" w:name="_Toc184308047"/>
      <w:bookmarkEnd w:id="270"/>
      <w:bookmarkStart w:id="271" w:name="_Toc184313291"/>
      <w:bookmarkEnd w:id="271"/>
      <w:bookmarkStart w:id="272" w:name="_Toc184308036"/>
      <w:bookmarkEnd w:id="272"/>
      <w:bookmarkStart w:id="273" w:name="_Toc184310306"/>
      <w:bookmarkEnd w:id="273"/>
      <w:bookmarkStart w:id="274" w:name="_Toc184308061"/>
      <w:bookmarkEnd w:id="274"/>
      <w:bookmarkStart w:id="275" w:name="_Toc184308043"/>
      <w:bookmarkEnd w:id="275"/>
      <w:bookmarkStart w:id="276" w:name="_Toc184312072"/>
      <w:bookmarkEnd w:id="276"/>
      <w:bookmarkStart w:id="277" w:name="_Toc184313245"/>
      <w:bookmarkEnd w:id="277"/>
      <w:bookmarkStart w:id="278" w:name="_Toc184308039"/>
      <w:bookmarkEnd w:id="278"/>
      <w:bookmarkStart w:id="279" w:name="_Toc184313277"/>
      <w:bookmarkEnd w:id="279"/>
      <w:bookmarkStart w:id="280" w:name="_Toc184310333"/>
      <w:bookmarkEnd w:id="280"/>
      <w:bookmarkStart w:id="281" w:name="_Toc184312068"/>
      <w:bookmarkEnd w:id="281"/>
      <w:bookmarkStart w:id="282" w:name="_Toc184308075"/>
      <w:bookmarkEnd w:id="282"/>
      <w:bookmarkStart w:id="283" w:name="_Toc184313261"/>
      <w:bookmarkEnd w:id="283"/>
      <w:bookmarkStart w:id="284" w:name="_Toc184312106"/>
      <w:bookmarkEnd w:id="284"/>
      <w:bookmarkStart w:id="285" w:name="_Toc184308037"/>
      <w:bookmarkEnd w:id="285"/>
      <w:bookmarkStart w:id="286" w:name="_Toc184312129"/>
      <w:bookmarkEnd w:id="286"/>
      <w:bookmarkStart w:id="287" w:name="_Toc184313302"/>
      <w:bookmarkEnd w:id="287"/>
      <w:bookmarkStart w:id="288" w:name="_Toc184308056"/>
      <w:bookmarkEnd w:id="288"/>
      <w:bookmarkStart w:id="289" w:name="_Toc184312121"/>
      <w:bookmarkEnd w:id="289"/>
      <w:bookmarkStart w:id="290" w:name="_Toc184308055"/>
      <w:bookmarkEnd w:id="290"/>
      <w:bookmarkStart w:id="291" w:name="_Toc184310284"/>
      <w:bookmarkEnd w:id="291"/>
      <w:bookmarkStart w:id="292" w:name="_Toc184308107"/>
      <w:bookmarkEnd w:id="292"/>
      <w:bookmarkStart w:id="293" w:name="_Toc184310312"/>
      <w:bookmarkEnd w:id="293"/>
      <w:bookmarkStart w:id="294" w:name="_Toc184312084"/>
      <w:bookmarkEnd w:id="294"/>
      <w:bookmarkStart w:id="295" w:name="_Toc184308046"/>
      <w:bookmarkEnd w:id="295"/>
      <w:bookmarkStart w:id="296" w:name="_Toc184312080"/>
      <w:bookmarkEnd w:id="296"/>
      <w:bookmarkStart w:id="297" w:name="_Toc184312130"/>
      <w:bookmarkEnd w:id="297"/>
      <w:bookmarkStart w:id="298" w:name="_Toc184308089"/>
      <w:bookmarkEnd w:id="298"/>
      <w:bookmarkStart w:id="299" w:name="_Toc184313259"/>
      <w:bookmarkEnd w:id="299"/>
      <w:bookmarkStart w:id="300" w:name="_Toc184313286"/>
      <w:bookmarkEnd w:id="300"/>
      <w:bookmarkStart w:id="301" w:name="_Toc184314435"/>
      <w:bookmarkEnd w:id="301"/>
      <w:bookmarkStart w:id="302" w:name="_Toc184314432"/>
      <w:bookmarkEnd w:id="302"/>
      <w:bookmarkStart w:id="303" w:name="_Toc184314417"/>
      <w:bookmarkEnd w:id="303"/>
      <w:bookmarkStart w:id="304" w:name="_Toc184312138"/>
      <w:bookmarkEnd w:id="304"/>
      <w:bookmarkStart w:id="305" w:name="_Toc184308101"/>
      <w:bookmarkEnd w:id="305"/>
      <w:bookmarkStart w:id="306" w:name="_Toc184308045"/>
      <w:bookmarkEnd w:id="306"/>
      <w:bookmarkStart w:id="307" w:name="_Toc184308057"/>
      <w:bookmarkEnd w:id="307"/>
      <w:bookmarkStart w:id="308" w:name="_Toc184310288"/>
      <w:bookmarkEnd w:id="308"/>
      <w:bookmarkStart w:id="309" w:name="_Toc184314437"/>
      <w:bookmarkEnd w:id="309"/>
      <w:bookmarkStart w:id="310" w:name="_Toc184314470"/>
      <w:bookmarkEnd w:id="310"/>
      <w:bookmarkStart w:id="311" w:name="_Toc184310342"/>
      <w:bookmarkEnd w:id="311"/>
      <w:bookmarkStart w:id="312" w:name="_Toc184310280"/>
      <w:bookmarkEnd w:id="312"/>
      <w:bookmarkStart w:id="313" w:name="_Toc184312110"/>
      <w:bookmarkEnd w:id="313"/>
      <w:bookmarkStart w:id="314" w:name="_Toc184313246"/>
      <w:bookmarkEnd w:id="314"/>
      <w:bookmarkStart w:id="315" w:name="_Toc184313283"/>
      <w:bookmarkEnd w:id="315"/>
      <w:bookmarkStart w:id="316" w:name="_Toc184313251"/>
      <w:bookmarkEnd w:id="316"/>
      <w:bookmarkStart w:id="317" w:name="_Toc184310317"/>
      <w:bookmarkEnd w:id="317"/>
      <w:bookmarkStart w:id="318" w:name="_Toc184310307"/>
      <w:bookmarkEnd w:id="318"/>
      <w:bookmarkStart w:id="319" w:name="_Toc184308042"/>
      <w:bookmarkEnd w:id="319"/>
      <w:bookmarkStart w:id="320" w:name="_Toc184312104"/>
      <w:bookmarkEnd w:id="320"/>
      <w:bookmarkStart w:id="321" w:name="_Toc184310343"/>
      <w:bookmarkEnd w:id="321"/>
      <w:bookmarkStart w:id="322" w:name="_Toc184312085"/>
      <w:bookmarkEnd w:id="322"/>
      <w:bookmarkStart w:id="323" w:name="_Toc184308092"/>
      <w:bookmarkEnd w:id="323"/>
      <w:bookmarkStart w:id="324" w:name="_Toc184310320"/>
      <w:bookmarkEnd w:id="324"/>
      <w:bookmarkStart w:id="325" w:name="_Toc184310331"/>
      <w:bookmarkEnd w:id="325"/>
      <w:bookmarkStart w:id="326" w:name="_Toc184312093"/>
      <w:bookmarkEnd w:id="326"/>
      <w:bookmarkStart w:id="327" w:name="_Toc184313244"/>
      <w:bookmarkEnd w:id="327"/>
      <w:bookmarkStart w:id="328" w:name="_Toc184314452"/>
      <w:bookmarkEnd w:id="328"/>
      <w:bookmarkStart w:id="329" w:name="_Toc184312137"/>
      <w:bookmarkEnd w:id="329"/>
      <w:bookmarkStart w:id="330" w:name="_Toc184310295"/>
      <w:bookmarkEnd w:id="330"/>
      <w:bookmarkStart w:id="331" w:name="_Toc184314456"/>
      <w:bookmarkEnd w:id="331"/>
      <w:bookmarkStart w:id="332" w:name="_Toc184310311"/>
      <w:bookmarkEnd w:id="332"/>
      <w:bookmarkStart w:id="333" w:name="_Toc184312117"/>
      <w:bookmarkEnd w:id="333"/>
      <w:bookmarkStart w:id="334" w:name="_Toc184314430"/>
      <w:bookmarkEnd w:id="334"/>
      <w:bookmarkStart w:id="335" w:name="_Toc184308040"/>
      <w:bookmarkEnd w:id="335"/>
      <w:bookmarkStart w:id="336" w:name="_Toc184310339"/>
      <w:bookmarkEnd w:id="336"/>
      <w:bookmarkStart w:id="337" w:name="_Toc184313241"/>
      <w:bookmarkEnd w:id="337"/>
      <w:bookmarkStart w:id="338" w:name="_Toc184310301"/>
      <w:bookmarkEnd w:id="338"/>
      <w:bookmarkStart w:id="339" w:name="_Toc184314416"/>
      <w:bookmarkEnd w:id="339"/>
      <w:bookmarkStart w:id="340" w:name="_Toc184314471"/>
      <w:bookmarkEnd w:id="340"/>
      <w:bookmarkStart w:id="341" w:name="_Toc184312097"/>
      <w:bookmarkEnd w:id="341"/>
      <w:bookmarkStart w:id="342" w:name="_Toc184313250"/>
      <w:bookmarkEnd w:id="342"/>
      <w:bookmarkStart w:id="343" w:name="_Toc184312069"/>
      <w:bookmarkEnd w:id="343"/>
      <w:bookmarkStart w:id="344" w:name="_Toc184314420"/>
      <w:bookmarkEnd w:id="344"/>
      <w:bookmarkStart w:id="345" w:name="_Toc184314467"/>
      <w:bookmarkEnd w:id="345"/>
      <w:bookmarkStart w:id="346" w:name="_Toc184312070"/>
      <w:bookmarkEnd w:id="346"/>
      <w:bookmarkStart w:id="347" w:name="_Toc184310302"/>
      <w:bookmarkEnd w:id="347"/>
      <w:bookmarkStart w:id="348" w:name="_Toc184310290"/>
      <w:bookmarkEnd w:id="348"/>
      <w:bookmarkStart w:id="349" w:name="_Toc184312103"/>
      <w:bookmarkEnd w:id="349"/>
      <w:bookmarkStart w:id="350" w:name="_Toc184310300"/>
      <w:bookmarkEnd w:id="350"/>
      <w:bookmarkStart w:id="351" w:name="_Toc184308048"/>
      <w:bookmarkEnd w:id="351"/>
      <w:bookmarkStart w:id="352" w:name="_Toc184308077"/>
      <w:bookmarkEnd w:id="352"/>
      <w:bookmarkStart w:id="353" w:name="_Toc184313272"/>
      <w:bookmarkEnd w:id="353"/>
      <w:bookmarkStart w:id="354" w:name="_Toc184308087"/>
      <w:bookmarkEnd w:id="354"/>
      <w:bookmarkStart w:id="355" w:name="_Toc184310294"/>
      <w:bookmarkEnd w:id="355"/>
      <w:bookmarkStart w:id="356" w:name="_Toc184310298"/>
      <w:bookmarkEnd w:id="356"/>
      <w:bookmarkStart w:id="357" w:name="_Toc184312115"/>
      <w:bookmarkEnd w:id="357"/>
      <w:bookmarkStart w:id="358" w:name="_Toc184312125"/>
      <w:bookmarkEnd w:id="358"/>
      <w:bookmarkStart w:id="359" w:name="_Toc184310321"/>
      <w:bookmarkEnd w:id="359"/>
      <w:bookmarkStart w:id="360" w:name="_Toc184313254"/>
      <w:bookmarkEnd w:id="360"/>
      <w:bookmarkStart w:id="361" w:name="_Toc184308067"/>
      <w:bookmarkEnd w:id="361"/>
      <w:bookmarkStart w:id="362" w:name="_Toc184313309"/>
      <w:bookmarkEnd w:id="362"/>
      <w:bookmarkStart w:id="363" w:name="_Toc184312131"/>
      <w:bookmarkEnd w:id="363"/>
      <w:bookmarkStart w:id="364" w:name="_Toc184310337"/>
      <w:bookmarkEnd w:id="364"/>
      <w:bookmarkStart w:id="365" w:name="_Toc184312139"/>
      <w:bookmarkEnd w:id="365"/>
      <w:bookmarkStart w:id="366" w:name="_Toc184314466"/>
      <w:bookmarkEnd w:id="366"/>
      <w:bookmarkStart w:id="367" w:name="_Toc184314450"/>
      <w:bookmarkEnd w:id="367"/>
      <w:bookmarkStart w:id="368" w:name="_Toc184313288"/>
      <w:bookmarkEnd w:id="368"/>
      <w:bookmarkStart w:id="369" w:name="_Toc184312119"/>
      <w:bookmarkEnd w:id="369"/>
      <w:bookmarkStart w:id="370" w:name="_Toc184314433"/>
      <w:bookmarkEnd w:id="370"/>
      <w:bookmarkStart w:id="371" w:name="_Toc184310297"/>
      <w:bookmarkEnd w:id="371"/>
      <w:bookmarkStart w:id="372" w:name="_Toc184308103"/>
      <w:bookmarkEnd w:id="372"/>
      <w:bookmarkStart w:id="373" w:name="_Toc184313278"/>
      <w:bookmarkEnd w:id="373"/>
      <w:bookmarkStart w:id="374" w:name="_Toc184313252"/>
      <w:bookmarkEnd w:id="374"/>
      <w:bookmarkStart w:id="375" w:name="_Toc184313290"/>
      <w:bookmarkEnd w:id="375"/>
      <w:bookmarkStart w:id="376" w:name="_Toc184314468"/>
      <w:bookmarkEnd w:id="376"/>
      <w:bookmarkStart w:id="377" w:name="_Toc184308078"/>
      <w:bookmarkEnd w:id="377"/>
      <w:bookmarkStart w:id="378" w:name="_Toc184313257"/>
      <w:bookmarkEnd w:id="378"/>
      <w:bookmarkStart w:id="379" w:name="_Toc184308066"/>
      <w:bookmarkEnd w:id="379"/>
      <w:bookmarkStart w:id="380" w:name="_Toc184310272"/>
      <w:bookmarkEnd w:id="380"/>
      <w:bookmarkStart w:id="381" w:name="_Toc184310323"/>
      <w:bookmarkEnd w:id="381"/>
      <w:bookmarkStart w:id="382" w:name="_Toc184314441"/>
      <w:bookmarkEnd w:id="382"/>
      <w:bookmarkStart w:id="383" w:name="_Toc184312126"/>
      <w:bookmarkEnd w:id="383"/>
      <w:bookmarkStart w:id="384" w:name="_Toc184312090"/>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rPr>
        <w:t xml:space="preserve">2024年临江公司特种电缆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2024年临江公司特种电缆采购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232"/>
      <w:bookmarkStart w:id="386" w:name="_Toc24059"/>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4300"/>
      <w:bookmarkStart w:id="389" w:name="_Toc27126"/>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w:t>
      </w:r>
    </w:p>
    <w:p>
      <w:pPr>
        <w:spacing w:line="360" w:lineRule="auto"/>
        <w:ind w:firstLine="420" w:firstLineChars="200"/>
      </w:pPr>
    </w:p>
    <w:p>
      <w:pPr>
        <w:pStyle w:val="2"/>
      </w:pPr>
    </w:p>
    <w:p/>
    <w:p>
      <w:pPr>
        <w:pStyle w:val="2"/>
      </w:pPr>
    </w:p>
    <w:p/>
    <w:tbl>
      <w:tblPr>
        <w:tblStyle w:val="15"/>
        <w:tblW w:w="91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790"/>
        <w:gridCol w:w="713"/>
        <w:gridCol w:w="4571"/>
        <w:gridCol w:w="759"/>
        <w:gridCol w:w="737"/>
        <w:gridCol w:w="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46"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序号</w:t>
            </w:r>
          </w:p>
        </w:tc>
        <w:tc>
          <w:tcPr>
            <w:tcW w:w="796"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名称</w:t>
            </w:r>
          </w:p>
        </w:tc>
        <w:tc>
          <w:tcPr>
            <w:tcW w:w="719" w:type="dxa"/>
            <w:vAlign w:val="center"/>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品牌</w:t>
            </w:r>
          </w:p>
        </w:tc>
        <w:tc>
          <w:tcPr>
            <w:tcW w:w="4627"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型号规格</w:t>
            </w:r>
          </w:p>
        </w:tc>
        <w:tc>
          <w:tcPr>
            <w:tcW w:w="677"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数量</w:t>
            </w:r>
          </w:p>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（米）</w:t>
            </w:r>
          </w:p>
        </w:tc>
        <w:tc>
          <w:tcPr>
            <w:tcW w:w="744"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单价</w:t>
            </w:r>
          </w:p>
        </w:tc>
        <w:tc>
          <w:tcPr>
            <w:tcW w:w="744"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6"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电缆</w:t>
            </w:r>
          </w:p>
        </w:tc>
        <w:tc>
          <w:tcPr>
            <w:tcW w:w="719" w:type="dxa"/>
            <w:vAlign w:val="center"/>
          </w:tcPr>
          <w:p>
            <w:pPr>
              <w:widowControl/>
              <w:jc w:val="center"/>
              <w:rPr>
                <w:rFonts w:ascii="宋体" w:hAnsi="宋体" w:eastAsia="宋体" w:cs="宋体"/>
                <w:kern w:val="0"/>
                <w:sz w:val="18"/>
                <w:szCs w:val="18"/>
              </w:rPr>
            </w:pPr>
          </w:p>
        </w:tc>
        <w:tc>
          <w:tcPr>
            <w:tcW w:w="4627" w:type="dxa"/>
            <w:shd w:val="clear" w:color="auto" w:fill="auto"/>
            <w:vAlign w:val="center"/>
          </w:tcPr>
          <w:p>
            <w:pPr>
              <w:widowControl/>
              <w:jc w:val="left"/>
              <w:rPr>
                <w:rFonts w:ascii="宋体" w:hAnsi="宋体" w:eastAsia="宋体" w:cs="宋体"/>
                <w:kern w:val="0"/>
                <w:sz w:val="18"/>
                <w:szCs w:val="18"/>
              </w:rPr>
            </w:pPr>
            <w:r>
              <w:rPr>
                <w:rFonts w:hint="eastAsia" w:ascii="仿宋_GB2312" w:hAnsi="宋体" w:eastAsia="仿宋_GB2312" w:cs="宋体"/>
                <w:color w:val="000000"/>
                <w:kern w:val="0"/>
                <w:sz w:val="20"/>
                <w:szCs w:val="20"/>
              </w:rPr>
              <w:t>抓斗电缆， YVFR4*35+2*（6*1.5） 要求外径为40mm以下；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w:t>
            </w:r>
            <w:r>
              <w:rPr>
                <w:rFonts w:hint="eastAsia" w:ascii="仿宋_GB2312" w:hAnsi="宋体" w:eastAsia="仿宋_GB2312" w:cs="宋体"/>
                <w:color w:val="000000"/>
                <w:kern w:val="0"/>
                <w:sz w:val="20"/>
                <w:szCs w:val="20"/>
                <w:lang w:eastAsia="zh-CN"/>
              </w:rPr>
              <w:t>编织</w:t>
            </w:r>
            <w:r>
              <w:rPr>
                <w:rFonts w:hint="eastAsia" w:ascii="仿宋_GB2312" w:hAnsi="宋体" w:eastAsia="仿宋_GB2312" w:cs="宋体"/>
                <w:color w:val="000000"/>
                <w:kern w:val="0"/>
                <w:sz w:val="20"/>
                <w:szCs w:val="20"/>
              </w:rPr>
              <w:t>密度80%。额定电压：0.6/1KV，35mm</w:t>
            </w:r>
            <w:r>
              <w:rPr>
                <w:rFonts w:ascii="仿宋_GB2312" w:hAnsi="宋体" w:eastAsia="仿宋_GB2312" w:cs="宋体"/>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仿宋_GB2312" w:hAnsi="宋体" w:eastAsia="仿宋_GB2312" w:cs="宋体"/>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677"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120</w:t>
            </w: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6"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电缆</w:t>
            </w:r>
          </w:p>
        </w:tc>
        <w:tc>
          <w:tcPr>
            <w:tcW w:w="719" w:type="dxa"/>
            <w:vAlign w:val="center"/>
          </w:tcPr>
          <w:p>
            <w:pPr>
              <w:widowControl/>
              <w:jc w:val="center"/>
              <w:rPr>
                <w:rFonts w:ascii="宋体" w:hAnsi="宋体" w:eastAsia="宋体" w:cs="宋体"/>
                <w:kern w:val="0"/>
                <w:sz w:val="18"/>
                <w:szCs w:val="18"/>
              </w:rPr>
            </w:pPr>
          </w:p>
        </w:tc>
        <w:tc>
          <w:tcPr>
            <w:tcW w:w="4627" w:type="dxa"/>
            <w:shd w:val="clear" w:color="auto" w:fill="auto"/>
            <w:vAlign w:val="center"/>
          </w:tcPr>
          <w:p>
            <w:pPr>
              <w:widowControl/>
              <w:jc w:val="left"/>
              <w:rPr>
                <w:rFonts w:ascii="宋体" w:hAnsi="宋体" w:eastAsia="宋体" w:cs="宋体"/>
                <w:kern w:val="0"/>
                <w:sz w:val="18"/>
                <w:szCs w:val="18"/>
              </w:rPr>
            </w:pPr>
            <w:r>
              <w:rPr>
                <w:rFonts w:hint="eastAsia" w:ascii="仿宋_GB2312" w:hAnsi="宋体" w:eastAsia="仿宋_GB2312" w:cs="宋体"/>
                <w:color w:val="000000"/>
                <w:kern w:val="0"/>
                <w:sz w:val="20"/>
                <w:szCs w:val="20"/>
              </w:rPr>
              <w:t>扁平软电缆，型号：YFFB 4*95 适用于连续反复运动下的安装，耐弯折800万次以上 柔软性好 耐油耐腐蚀 耐磨耐阻燃 抗紫外线 耐酸碱性能，双层护套绝缘护套采用亮面聚氨酯PUR材质；导体采用柔性绞合裸铜，满足IEC 60228，5类要求。额定电压：0.6/1KV，35mm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677" w:type="dxa"/>
            <w:shd w:val="clear" w:color="auto" w:fill="auto"/>
            <w:vAlign w:val="center"/>
          </w:tcPr>
          <w:p>
            <w:pPr>
              <w:widowControl/>
              <w:jc w:val="center"/>
              <w:rPr>
                <w:rFonts w:ascii="宋体" w:hAnsi="宋体" w:eastAsia="宋体" w:cs="宋体"/>
                <w:kern w:val="0"/>
                <w:sz w:val="18"/>
                <w:szCs w:val="18"/>
              </w:rPr>
            </w:pPr>
            <w:r>
              <w:rPr>
                <w:rFonts w:hint="eastAsia" w:ascii="等线" w:hAnsi="等线" w:eastAsia="等线" w:cs="宋体"/>
                <w:color w:val="000000"/>
                <w:kern w:val="0"/>
                <w:sz w:val="20"/>
                <w:szCs w:val="20"/>
              </w:rPr>
              <w:t>120</w:t>
            </w: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6"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电缆</w:t>
            </w:r>
          </w:p>
        </w:tc>
        <w:tc>
          <w:tcPr>
            <w:tcW w:w="719" w:type="dxa"/>
            <w:vAlign w:val="center"/>
          </w:tcPr>
          <w:p>
            <w:pPr>
              <w:widowControl/>
              <w:jc w:val="center"/>
              <w:rPr>
                <w:rFonts w:ascii="宋体" w:hAnsi="宋体" w:eastAsia="宋体" w:cs="宋体"/>
                <w:kern w:val="0"/>
                <w:sz w:val="18"/>
                <w:szCs w:val="18"/>
              </w:rPr>
            </w:pPr>
          </w:p>
        </w:tc>
        <w:tc>
          <w:tcPr>
            <w:tcW w:w="4627" w:type="dxa"/>
            <w:shd w:val="clear" w:color="auto" w:fill="auto"/>
            <w:vAlign w:val="center"/>
          </w:tcPr>
          <w:p>
            <w:pPr>
              <w:widowControl/>
              <w:jc w:val="left"/>
              <w:rPr>
                <w:rFonts w:ascii="宋体" w:hAnsi="宋体" w:eastAsia="宋体" w:cs="宋体"/>
                <w:kern w:val="0"/>
                <w:sz w:val="18"/>
                <w:szCs w:val="18"/>
              </w:rPr>
            </w:pPr>
            <w:r>
              <w:rPr>
                <w:rFonts w:hint="eastAsia" w:ascii="仿宋_GB2312" w:hAnsi="宋体" w:eastAsia="仿宋_GB2312" w:cs="宋体"/>
                <w:color w:val="000000"/>
                <w:kern w:val="0"/>
                <w:sz w:val="20"/>
                <w:szCs w:val="20"/>
              </w:rPr>
              <w:t>扁平软电缆，型号：YFFB 4*2.5；适用于连续反复运动下的安装，耐弯折800万次以上 柔软性好 耐油耐腐蚀 耐磨耐阻燃 抗紫外线 耐酸碱性能，双层护套绝缘护套采用亮面聚氨酯PUR材质；导体采用柔性绞合裸铜，满足IEC 60228，5类要求。额定电压：0.6/1KV，35mm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677" w:type="dxa"/>
            <w:shd w:val="clear" w:color="auto" w:fill="auto"/>
            <w:vAlign w:val="center"/>
          </w:tcPr>
          <w:p>
            <w:pPr>
              <w:widowControl/>
              <w:jc w:val="center"/>
              <w:rPr>
                <w:rFonts w:ascii="宋体" w:hAnsi="宋体" w:eastAsia="宋体" w:cs="宋体"/>
                <w:kern w:val="0"/>
                <w:sz w:val="18"/>
                <w:szCs w:val="18"/>
              </w:rPr>
            </w:pPr>
            <w:r>
              <w:rPr>
                <w:rFonts w:hint="eastAsia" w:ascii="等线" w:hAnsi="等线" w:eastAsia="等线" w:cs="宋体"/>
                <w:color w:val="000000"/>
                <w:kern w:val="0"/>
                <w:sz w:val="20"/>
                <w:szCs w:val="20"/>
              </w:rPr>
              <w:t>200</w:t>
            </w: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bookmarkStart w:id="391" w:name="_Toc22618"/>
            <w:bookmarkStart w:id="392" w:name="_Toc10340"/>
            <w:bookmarkStart w:id="393" w:name="_Toc1814"/>
          </w:p>
        </w:tc>
        <w:tc>
          <w:tcPr>
            <w:tcW w:w="796" w:type="dxa"/>
            <w:shd w:val="clear" w:color="auto" w:fill="auto"/>
            <w:vAlign w:val="center"/>
          </w:tcPr>
          <w:p>
            <w:pPr>
              <w:widowControl/>
              <w:tabs>
                <w:tab w:val="left" w:pos="427"/>
              </w:tabs>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w:t>
            </w:r>
          </w:p>
        </w:tc>
        <w:tc>
          <w:tcPr>
            <w:tcW w:w="719" w:type="dxa"/>
            <w:vAlign w:val="center"/>
          </w:tcPr>
          <w:p>
            <w:pPr>
              <w:widowControl/>
              <w:jc w:val="center"/>
              <w:rPr>
                <w:rFonts w:ascii="宋体" w:hAnsi="宋体" w:eastAsia="宋体" w:cs="宋体"/>
                <w:kern w:val="0"/>
                <w:sz w:val="18"/>
                <w:szCs w:val="18"/>
              </w:rPr>
            </w:pPr>
          </w:p>
        </w:tc>
        <w:tc>
          <w:tcPr>
            <w:tcW w:w="4627" w:type="dxa"/>
            <w:shd w:val="clear" w:color="auto" w:fill="auto"/>
            <w:vAlign w:val="center"/>
          </w:tcPr>
          <w:p>
            <w:pPr>
              <w:widowControl/>
              <w:jc w:val="left"/>
              <w:rPr>
                <w:rFonts w:hint="eastAsia" w:ascii="仿宋_GB2312" w:hAnsi="宋体" w:eastAsia="仿宋_GB2312" w:cs="宋体"/>
                <w:color w:val="000000"/>
                <w:kern w:val="0"/>
                <w:sz w:val="20"/>
                <w:szCs w:val="20"/>
              </w:rPr>
            </w:pPr>
          </w:p>
        </w:tc>
        <w:tc>
          <w:tcPr>
            <w:tcW w:w="677" w:type="dxa"/>
            <w:shd w:val="clear" w:color="auto" w:fill="auto"/>
            <w:vAlign w:val="center"/>
          </w:tcPr>
          <w:p>
            <w:pPr>
              <w:widowControl/>
              <w:jc w:val="center"/>
              <w:rPr>
                <w:rFonts w:hint="eastAsia" w:ascii="等线" w:hAnsi="等线" w:eastAsia="等线" w:cs="宋体"/>
                <w:color w:val="000000"/>
                <w:kern w:val="0"/>
                <w:sz w:val="20"/>
                <w:szCs w:val="20"/>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6" w:type="dxa"/>
            <w:shd w:val="clear" w:color="auto" w:fill="auto"/>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w:t>
            </w:r>
          </w:p>
        </w:tc>
        <w:tc>
          <w:tcPr>
            <w:tcW w:w="719" w:type="dxa"/>
            <w:vAlign w:val="center"/>
          </w:tcPr>
          <w:p>
            <w:pPr>
              <w:widowControl/>
              <w:jc w:val="center"/>
              <w:rPr>
                <w:rFonts w:ascii="宋体" w:hAnsi="宋体" w:eastAsia="宋体" w:cs="宋体"/>
                <w:kern w:val="0"/>
                <w:sz w:val="18"/>
                <w:szCs w:val="18"/>
              </w:rPr>
            </w:pPr>
          </w:p>
        </w:tc>
        <w:tc>
          <w:tcPr>
            <w:tcW w:w="4627" w:type="dxa"/>
            <w:shd w:val="clear" w:color="auto" w:fill="auto"/>
            <w:vAlign w:val="center"/>
          </w:tcPr>
          <w:p>
            <w:pPr>
              <w:widowControl/>
              <w:jc w:val="left"/>
              <w:rPr>
                <w:rFonts w:hint="eastAsia" w:ascii="仿宋_GB2312" w:hAnsi="宋体" w:eastAsia="仿宋_GB2312" w:cs="宋体"/>
                <w:color w:val="000000"/>
                <w:kern w:val="0"/>
                <w:sz w:val="20"/>
                <w:szCs w:val="20"/>
              </w:rPr>
            </w:pPr>
          </w:p>
        </w:tc>
        <w:tc>
          <w:tcPr>
            <w:tcW w:w="677" w:type="dxa"/>
            <w:shd w:val="clear" w:color="auto" w:fill="auto"/>
            <w:vAlign w:val="center"/>
          </w:tcPr>
          <w:p>
            <w:pPr>
              <w:widowControl/>
              <w:jc w:val="center"/>
              <w:rPr>
                <w:rFonts w:hint="eastAsia" w:ascii="等线" w:hAnsi="等线" w:eastAsia="等线" w:cs="宋体"/>
                <w:color w:val="000000"/>
                <w:kern w:val="0"/>
                <w:sz w:val="20"/>
                <w:szCs w:val="20"/>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bl>
    <w:p>
      <w:pPr>
        <w:spacing w:line="360" w:lineRule="auto"/>
        <w:ind w:firstLine="482" w:firstLineChars="200"/>
        <w:rPr>
          <w:rFonts w:ascii="宋体" w:hAnsi="宋体" w:cs="宋体"/>
          <w:b/>
          <w:sz w:val="24"/>
        </w:rPr>
      </w:pPr>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hAnsi="宋体" w:cs="宋体"/>
        </w:rPr>
        <w:t>2.履约方式：</w:t>
      </w:r>
      <w:r>
        <w:rPr>
          <w:rFonts w:hint="eastAsia"/>
          <w:lang w:val="en-US"/>
        </w:rPr>
        <w:t>一次性供货。在采购人发出送货通知后，成交人15个工作日内将货物如数送至采购人指定地点；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2.乙方提供的特种电缆必须为原厂正品，不得为假冒伪劣产品。</w:t>
      </w:r>
    </w:p>
    <w:p>
      <w:pPr>
        <w:spacing w:line="360" w:lineRule="auto"/>
        <w:ind w:firstLine="482" w:firstLineChars="200"/>
        <w:rPr>
          <w:rFonts w:ascii="宋体" w:hAnsi="宋体" w:cs="宋体"/>
          <w:b/>
          <w:sz w:val="24"/>
        </w:rPr>
      </w:pPr>
      <w:bookmarkStart w:id="394" w:name="_Toc6596"/>
      <w:bookmarkStart w:id="395" w:name="_Toc14563"/>
      <w:bookmarkStart w:id="396" w:name="_Toc1125"/>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1.根据甲方生产计划，成交人负责在接到采购人电话或书面通知后在15个工作日内完成供货。乙方负责卸货，人工费由乙方承担，甲方可免费提供叉车服务。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8"/>
        <w:rPr>
          <w:lang w:val="en-US"/>
        </w:rPr>
      </w:pPr>
      <w:r>
        <w:rPr>
          <w:rFonts w:hint="eastAsia"/>
          <w:lang w:val="en-US"/>
        </w:rPr>
        <w:t>1</w:t>
      </w:r>
      <w:r>
        <w:rPr>
          <w:lang w:val="en-US"/>
        </w:rPr>
        <w:t>.</w:t>
      </w:r>
      <w:r>
        <w:rPr>
          <w:rFonts w:hint="eastAsia"/>
          <w:lang w:val="en-US"/>
        </w:rPr>
        <w:t>提供该批次货物原厂质量证明书。</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验收合格后1年</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19554"/>
      <w:bookmarkStart w:id="402" w:name="_Toc27250"/>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5583"/>
      <w:bookmarkStart w:id="404" w:name="_Toc16021"/>
      <w:bookmarkStart w:id="405" w:name="_Toc28375"/>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7245"/>
      <w:bookmarkStart w:id="407" w:name="_Toc15322"/>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9195"/>
      <w:bookmarkStart w:id="410" w:name="_Toc28763"/>
      <w:bookmarkStart w:id="411" w:name="_Toc279701240"/>
      <w:bookmarkStart w:id="412" w:name="_Ref467378463"/>
      <w:bookmarkStart w:id="413" w:name="_Toc16917"/>
      <w:bookmarkStart w:id="414" w:name="_Ref467378404"/>
      <w:bookmarkStart w:id="415" w:name="_Ref467379101"/>
      <w:bookmarkStart w:id="416" w:name="_Ref467379214"/>
      <w:bookmarkStart w:id="417" w:name="_Toc487900349"/>
      <w:bookmarkStart w:id="418" w:name="_Ref467379225"/>
      <w:bookmarkStart w:id="419" w:name="_Ref467379094"/>
      <w:bookmarkStart w:id="420" w:name="_Ref467379109"/>
      <w:bookmarkStart w:id="421" w:name="_Ref467378499"/>
      <w:bookmarkStart w:id="422" w:name="_Toc19614"/>
      <w:bookmarkStart w:id="423" w:name="_Ref467379205"/>
      <w:bookmarkStart w:id="424" w:name="_Toc25909366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259093670"/>
      <w:bookmarkStart w:id="429" w:name="_Toc13336"/>
      <w:bookmarkStart w:id="430" w:name="_Toc279701241"/>
      <w:bookmarkStart w:id="431" w:name="_Toc27635"/>
      <w:bookmarkStart w:id="432" w:name="_Toc487900350"/>
      <w:bookmarkStart w:id="433" w:name="_Toc32504"/>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27853"/>
      <w:bookmarkStart w:id="435" w:name="_Toc9829"/>
      <w:bookmarkStart w:id="436" w:name="_Toc487900351"/>
      <w:bookmarkStart w:id="437" w:name="_Toc31634"/>
      <w:bookmarkStart w:id="438" w:name="_Toc279701242"/>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11932"/>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Toc487900357"/>
      <w:bookmarkStart w:id="449" w:name="_Ref467379807"/>
      <w:bookmarkStart w:id="450" w:name="_Ref467379793"/>
      <w:bookmarkStart w:id="451"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259093677"/>
      <w:bookmarkStart w:id="454" w:name="_Ref467379863"/>
      <w:bookmarkStart w:id="455" w:name="_Toc487900358"/>
      <w:bookmarkStart w:id="456" w:name="_Ref467379923"/>
      <w:bookmarkStart w:id="457" w:name="_Toc279701248"/>
      <w:bookmarkStart w:id="458" w:name="_Ref467379852"/>
      <w:bookmarkStart w:id="459" w:name="_Toc3225"/>
      <w:bookmarkStart w:id="460" w:name="_Toc774"/>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59093681"/>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79701254"/>
      <w:bookmarkStart w:id="470" w:name="_Toc487900364"/>
      <w:bookmarkStart w:id="471" w:name="_Toc259093683"/>
      <w:bookmarkStart w:id="472" w:name="_Ref467378121"/>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487900369"/>
      <w:bookmarkStart w:id="475" w:name="_Toc279701259"/>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689"/>
      <w:bookmarkStart w:id="484" w:name="_Toc279701255"/>
      <w:bookmarkStart w:id="485" w:name="_Toc30676"/>
      <w:bookmarkStart w:id="486" w:name="_Toc487900365"/>
      <w:bookmarkStart w:id="487"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8298"/>
      <w:bookmarkStart w:id="489" w:name="_Toc279701258"/>
      <w:bookmarkStart w:id="490" w:name="_Toc259093687"/>
      <w:bookmarkStart w:id="491" w:name="_Toc7102"/>
      <w:bookmarkStart w:id="492" w:name="_Toc16959"/>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6134"/>
      <w:bookmarkStart w:id="495" w:name="_Toc15387"/>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487900371"/>
      <w:bookmarkStart w:id="498" w:name="_Toc259093690"/>
      <w:bookmarkStart w:id="499" w:name="_Toc27970126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259093691"/>
      <w:bookmarkStart w:id="506" w:name="_Toc18540"/>
      <w:bookmarkStart w:id="507" w:name="_Toc487900372"/>
      <w:bookmarkStart w:id="508" w:name="_Toc4355"/>
      <w:bookmarkStart w:id="509" w:name="_Toc279701262"/>
      <w:bookmarkStart w:id="510"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259093692"/>
      <w:bookmarkStart w:id="512" w:name="_Toc10330"/>
      <w:bookmarkStart w:id="513" w:name="_Toc487900373"/>
      <w:bookmarkStart w:id="514" w:name="_Toc18567"/>
      <w:bookmarkStart w:id="515" w:name="_Toc279701263"/>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7"/>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2024年临江公司特种电缆采购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2024年临江公司特种电缆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2024年临江公司特种电缆</w:t>
      </w:r>
      <w:r>
        <w:rPr>
          <w:rFonts w:hint="eastAsia" w:cs="仿宋" w:asciiTheme="minorEastAsia" w:hAnsiTheme="minorEastAsia"/>
          <w:sz w:val="24"/>
        </w:rPr>
        <w:t>【项目编号：</w:t>
      </w:r>
      <w:r>
        <w:rPr>
          <w:rFonts w:hint="eastAsia" w:cs="仿宋" w:asciiTheme="minorEastAsia" w:hAnsiTheme="minorEastAsia"/>
          <w:sz w:val="24"/>
          <w:lang w:eastAsia="zh-CN"/>
        </w:rPr>
        <w:t>202403005</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2024年临江公司特种电缆采购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202403005</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2024年临江公司特种电缆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202403005</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9"/>
        <w:gridCol w:w="1000"/>
        <w:gridCol w:w="1172"/>
        <w:gridCol w:w="7729"/>
        <w:gridCol w:w="1135"/>
        <w:gridCol w:w="985"/>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89"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序号</w:t>
            </w:r>
          </w:p>
        </w:tc>
        <w:tc>
          <w:tcPr>
            <w:tcW w:w="1000"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名称</w:t>
            </w:r>
          </w:p>
        </w:tc>
        <w:tc>
          <w:tcPr>
            <w:tcW w:w="1172"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品牌</w:t>
            </w:r>
          </w:p>
        </w:tc>
        <w:tc>
          <w:tcPr>
            <w:tcW w:w="7788"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型号规格</w:t>
            </w:r>
          </w:p>
        </w:tc>
        <w:tc>
          <w:tcPr>
            <w:tcW w:w="1137"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数量</w:t>
            </w:r>
          </w:p>
          <w:p>
            <w:pPr>
              <w:widowControl/>
              <w:jc w:val="center"/>
              <w:rPr>
                <w:rFonts w:ascii="宋体" w:hAnsi="宋体" w:eastAsia="宋体" w:cs="Calibri"/>
                <w:b/>
                <w:bCs/>
                <w:kern w:val="0"/>
                <w:sz w:val="24"/>
              </w:rPr>
            </w:pPr>
            <w:r>
              <w:rPr>
                <w:rFonts w:hint="eastAsia" w:ascii="宋体" w:hAnsi="宋体" w:eastAsia="宋体" w:cs="Calibri"/>
                <w:b/>
                <w:bCs/>
                <w:kern w:val="0"/>
                <w:sz w:val="24"/>
              </w:rPr>
              <w:t>（米）</w:t>
            </w:r>
          </w:p>
        </w:tc>
        <w:tc>
          <w:tcPr>
            <w:tcW w:w="985"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单价</w:t>
            </w:r>
          </w:p>
          <w:p>
            <w:pPr>
              <w:widowControl/>
              <w:jc w:val="center"/>
              <w:rPr>
                <w:rFonts w:ascii="宋体" w:hAnsi="宋体" w:eastAsia="宋体" w:cs="Calibri"/>
                <w:b/>
                <w:bCs/>
                <w:kern w:val="0"/>
                <w:sz w:val="24"/>
              </w:rPr>
            </w:pPr>
            <w:r>
              <w:rPr>
                <w:rFonts w:hint="eastAsia" w:ascii="宋体" w:hAnsi="宋体" w:eastAsia="宋体" w:cs="Calibri"/>
                <w:b/>
                <w:bCs/>
                <w:kern w:val="0"/>
                <w:sz w:val="24"/>
              </w:rPr>
              <w:t>（元）</w:t>
            </w:r>
          </w:p>
        </w:tc>
        <w:tc>
          <w:tcPr>
            <w:tcW w:w="878"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金额</w:t>
            </w:r>
          </w:p>
          <w:p>
            <w:pPr>
              <w:widowControl/>
              <w:jc w:val="center"/>
              <w:rPr>
                <w:rFonts w:ascii="宋体" w:hAnsi="宋体" w:eastAsia="宋体" w:cs="Calibri"/>
                <w:b/>
                <w:bCs/>
                <w:kern w:val="0"/>
                <w:sz w:val="24"/>
              </w:rPr>
            </w:pPr>
            <w:r>
              <w:rPr>
                <w:rFonts w:hint="eastAsia" w:ascii="宋体" w:hAnsi="宋体" w:eastAsia="宋体" w:cs="Calibri"/>
                <w:b/>
                <w:bCs/>
                <w:kern w:val="0"/>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989" w:type="dxa"/>
            <w:shd w:val="clear" w:color="auto" w:fill="auto"/>
            <w:noWrap/>
            <w:vAlign w:val="center"/>
          </w:tcPr>
          <w:p>
            <w:pPr>
              <w:pStyle w:val="28"/>
              <w:widowControl/>
              <w:numPr>
                <w:ilvl w:val="0"/>
                <w:numId w:val="4"/>
              </w:numPr>
              <w:ind w:firstLineChars="0"/>
              <w:jc w:val="center"/>
              <w:rPr>
                <w:rFonts w:ascii="宋体" w:hAnsi="宋体" w:eastAsia="宋体" w:cs="宋体"/>
                <w:kern w:val="0"/>
                <w:sz w:val="24"/>
              </w:rPr>
            </w:pPr>
          </w:p>
        </w:tc>
        <w:tc>
          <w:tcPr>
            <w:tcW w:w="1000" w:type="dxa"/>
            <w:shd w:val="clear" w:color="auto" w:fill="auto"/>
            <w:vAlign w:val="center"/>
          </w:tcPr>
          <w:p>
            <w:pPr>
              <w:widowControl/>
              <w:jc w:val="center"/>
              <w:rPr>
                <w:rFonts w:ascii="宋体" w:hAnsi="宋体" w:eastAsia="宋体" w:cs="宋体"/>
                <w:kern w:val="0"/>
                <w:sz w:val="24"/>
              </w:rPr>
            </w:pPr>
            <w:r>
              <w:rPr>
                <w:rFonts w:hint="eastAsia" w:ascii="仿宋_GB2312" w:hAnsi="宋体" w:eastAsia="仿宋_GB2312" w:cs="宋体"/>
                <w:color w:val="000000"/>
                <w:kern w:val="0"/>
                <w:sz w:val="20"/>
                <w:szCs w:val="20"/>
              </w:rPr>
              <w:t>电缆</w:t>
            </w:r>
          </w:p>
        </w:tc>
        <w:tc>
          <w:tcPr>
            <w:tcW w:w="1172" w:type="dxa"/>
            <w:vAlign w:val="center"/>
          </w:tcPr>
          <w:p>
            <w:pPr>
              <w:widowControl/>
              <w:jc w:val="center"/>
              <w:rPr>
                <w:rFonts w:ascii="宋体" w:hAnsi="宋体" w:eastAsia="宋体" w:cs="宋体"/>
                <w:kern w:val="0"/>
                <w:sz w:val="24"/>
              </w:rPr>
            </w:pPr>
          </w:p>
        </w:tc>
        <w:tc>
          <w:tcPr>
            <w:tcW w:w="7788" w:type="dxa"/>
            <w:shd w:val="clear" w:color="auto" w:fill="auto"/>
            <w:vAlign w:val="center"/>
          </w:tcPr>
          <w:p>
            <w:pPr>
              <w:widowControl/>
              <w:jc w:val="left"/>
              <w:rPr>
                <w:rFonts w:ascii="宋体" w:hAnsi="宋体" w:eastAsia="宋体" w:cs="宋体"/>
                <w:kern w:val="0"/>
                <w:sz w:val="24"/>
              </w:rPr>
            </w:pPr>
            <w:r>
              <w:rPr>
                <w:rFonts w:hint="eastAsia" w:ascii="仿宋_GB2312" w:hAnsi="宋体" w:eastAsia="仿宋_GB2312" w:cs="宋体"/>
                <w:color w:val="000000"/>
                <w:kern w:val="0"/>
                <w:sz w:val="20"/>
                <w:szCs w:val="20"/>
              </w:rPr>
              <w:t>抓斗电缆， YVFR4*35+2*（6*1.5） 要求外径为40mm以下；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w:t>
            </w:r>
            <w:r>
              <w:rPr>
                <w:rFonts w:hint="eastAsia" w:ascii="仿宋_GB2312" w:hAnsi="宋体" w:eastAsia="仿宋_GB2312" w:cs="宋体"/>
                <w:color w:val="000000"/>
                <w:kern w:val="0"/>
                <w:sz w:val="20"/>
                <w:szCs w:val="20"/>
                <w:lang w:eastAsia="zh-CN"/>
              </w:rPr>
              <w:t>编织</w:t>
            </w:r>
            <w:r>
              <w:rPr>
                <w:rFonts w:hint="eastAsia" w:ascii="仿宋_GB2312" w:hAnsi="宋体" w:eastAsia="仿宋_GB2312" w:cs="宋体"/>
                <w:color w:val="000000"/>
                <w:kern w:val="0"/>
                <w:sz w:val="20"/>
                <w:szCs w:val="20"/>
              </w:rPr>
              <w:t>密度80%。额定电压：0.6/1KV，35mm</w:t>
            </w:r>
            <w:r>
              <w:rPr>
                <w:rFonts w:ascii="仿宋_GB2312" w:hAnsi="宋体" w:eastAsia="仿宋_GB2312" w:cs="宋体"/>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仿宋_GB2312" w:hAnsi="宋体" w:eastAsia="仿宋_GB2312" w:cs="宋体"/>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1137" w:type="dxa"/>
            <w:shd w:val="clear" w:color="auto" w:fill="auto"/>
            <w:vAlign w:val="center"/>
          </w:tcPr>
          <w:p>
            <w:pPr>
              <w:widowControl/>
              <w:jc w:val="center"/>
              <w:rPr>
                <w:rFonts w:ascii="宋体" w:hAnsi="宋体" w:eastAsia="宋体" w:cs="宋体"/>
                <w:kern w:val="0"/>
                <w:sz w:val="24"/>
              </w:rPr>
            </w:pPr>
            <w:r>
              <w:rPr>
                <w:rFonts w:hint="eastAsia" w:ascii="仿宋_GB2312" w:hAnsi="宋体" w:eastAsia="仿宋_GB2312" w:cs="宋体"/>
                <w:color w:val="000000"/>
                <w:kern w:val="0"/>
                <w:sz w:val="20"/>
                <w:szCs w:val="20"/>
              </w:rPr>
              <w:t>120</w:t>
            </w:r>
          </w:p>
        </w:tc>
        <w:tc>
          <w:tcPr>
            <w:tcW w:w="985" w:type="dxa"/>
          </w:tcPr>
          <w:p>
            <w:pPr>
              <w:widowControl/>
              <w:jc w:val="center"/>
              <w:rPr>
                <w:rFonts w:ascii="宋体" w:hAnsi="宋体" w:eastAsia="宋体"/>
                <w:sz w:val="24"/>
              </w:rPr>
            </w:pPr>
          </w:p>
        </w:tc>
        <w:tc>
          <w:tcPr>
            <w:tcW w:w="878" w:type="dxa"/>
          </w:tcPr>
          <w:p>
            <w:pPr>
              <w:widowControl/>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89" w:type="dxa"/>
            <w:shd w:val="clear" w:color="auto" w:fill="auto"/>
            <w:noWrap/>
            <w:vAlign w:val="center"/>
          </w:tcPr>
          <w:p>
            <w:pPr>
              <w:pStyle w:val="28"/>
              <w:widowControl/>
              <w:numPr>
                <w:ilvl w:val="0"/>
                <w:numId w:val="4"/>
              </w:numPr>
              <w:ind w:firstLineChars="0"/>
              <w:jc w:val="center"/>
              <w:rPr>
                <w:rFonts w:ascii="宋体" w:hAnsi="宋体" w:eastAsia="宋体" w:cs="宋体"/>
                <w:kern w:val="0"/>
                <w:sz w:val="24"/>
              </w:rPr>
            </w:pPr>
          </w:p>
        </w:tc>
        <w:tc>
          <w:tcPr>
            <w:tcW w:w="1000" w:type="dxa"/>
            <w:shd w:val="clear" w:color="auto" w:fill="auto"/>
            <w:vAlign w:val="center"/>
          </w:tcPr>
          <w:p>
            <w:pPr>
              <w:widowControl/>
              <w:jc w:val="center"/>
              <w:rPr>
                <w:rFonts w:ascii="宋体" w:hAnsi="宋体" w:eastAsia="宋体" w:cs="宋体"/>
                <w:kern w:val="0"/>
                <w:sz w:val="24"/>
              </w:rPr>
            </w:pPr>
            <w:r>
              <w:rPr>
                <w:rFonts w:hint="eastAsia" w:ascii="仿宋_GB2312" w:hAnsi="宋体" w:eastAsia="仿宋_GB2312" w:cs="宋体"/>
                <w:color w:val="000000"/>
                <w:kern w:val="0"/>
                <w:sz w:val="20"/>
                <w:szCs w:val="20"/>
              </w:rPr>
              <w:t>电缆</w:t>
            </w:r>
          </w:p>
        </w:tc>
        <w:tc>
          <w:tcPr>
            <w:tcW w:w="1172" w:type="dxa"/>
            <w:vAlign w:val="center"/>
          </w:tcPr>
          <w:p>
            <w:pPr>
              <w:widowControl/>
              <w:jc w:val="center"/>
              <w:rPr>
                <w:rFonts w:ascii="宋体" w:hAnsi="宋体" w:eastAsia="宋体" w:cs="宋体"/>
                <w:kern w:val="0"/>
                <w:sz w:val="24"/>
              </w:rPr>
            </w:pPr>
          </w:p>
        </w:tc>
        <w:tc>
          <w:tcPr>
            <w:tcW w:w="7788" w:type="dxa"/>
            <w:shd w:val="clear" w:color="auto" w:fill="auto"/>
            <w:vAlign w:val="center"/>
          </w:tcPr>
          <w:p>
            <w:pPr>
              <w:widowControl/>
              <w:jc w:val="left"/>
              <w:rPr>
                <w:rFonts w:ascii="宋体" w:hAnsi="宋体" w:eastAsia="宋体" w:cs="宋体"/>
                <w:kern w:val="0"/>
                <w:sz w:val="24"/>
              </w:rPr>
            </w:pPr>
            <w:r>
              <w:rPr>
                <w:rFonts w:hint="eastAsia" w:ascii="仿宋_GB2312" w:hAnsi="宋体" w:eastAsia="仿宋_GB2312" w:cs="宋体"/>
                <w:color w:val="000000"/>
                <w:kern w:val="0"/>
                <w:sz w:val="20"/>
                <w:szCs w:val="20"/>
              </w:rPr>
              <w:t>扁平软电缆，型号：YFFB 4*95 适用于连续反复运动下的安装，耐弯折800万次以上 柔软性好 耐油耐腐蚀 耐磨耐阻燃 抗紫外线 耐酸碱性能，双层护套绝缘护套采用亮面聚氨酯PUR材质；导体采用柔性绞合裸铜，满足IEC 60228，5类要求。额定电压：0.6/1KV，35mm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1137" w:type="dxa"/>
            <w:shd w:val="clear" w:color="auto" w:fill="auto"/>
            <w:vAlign w:val="center"/>
          </w:tcPr>
          <w:p>
            <w:pPr>
              <w:widowControl/>
              <w:jc w:val="center"/>
              <w:rPr>
                <w:rFonts w:ascii="宋体" w:hAnsi="宋体" w:eastAsia="宋体" w:cs="宋体"/>
                <w:kern w:val="0"/>
                <w:sz w:val="24"/>
              </w:rPr>
            </w:pPr>
            <w:r>
              <w:rPr>
                <w:rFonts w:hint="eastAsia" w:ascii="等线" w:hAnsi="等线" w:eastAsia="等线" w:cs="宋体"/>
                <w:color w:val="000000"/>
                <w:kern w:val="0"/>
                <w:sz w:val="20"/>
                <w:szCs w:val="20"/>
              </w:rPr>
              <w:t>120</w:t>
            </w:r>
          </w:p>
        </w:tc>
        <w:tc>
          <w:tcPr>
            <w:tcW w:w="985" w:type="dxa"/>
          </w:tcPr>
          <w:p>
            <w:pPr>
              <w:widowControl/>
              <w:jc w:val="center"/>
              <w:rPr>
                <w:rFonts w:ascii="宋体" w:hAnsi="宋体" w:eastAsia="宋体"/>
                <w:sz w:val="24"/>
              </w:rPr>
            </w:pPr>
          </w:p>
        </w:tc>
        <w:tc>
          <w:tcPr>
            <w:tcW w:w="878" w:type="dxa"/>
          </w:tcPr>
          <w:p>
            <w:pPr>
              <w:widowControl/>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989" w:type="dxa"/>
            <w:shd w:val="clear" w:color="auto" w:fill="auto"/>
            <w:noWrap/>
            <w:vAlign w:val="center"/>
          </w:tcPr>
          <w:p>
            <w:pPr>
              <w:pStyle w:val="28"/>
              <w:widowControl/>
              <w:numPr>
                <w:ilvl w:val="0"/>
                <w:numId w:val="4"/>
              </w:numPr>
              <w:ind w:firstLineChars="0"/>
              <w:jc w:val="center"/>
              <w:rPr>
                <w:rFonts w:ascii="宋体" w:hAnsi="宋体" w:eastAsia="宋体" w:cs="宋体"/>
                <w:kern w:val="0"/>
                <w:sz w:val="24"/>
              </w:rPr>
            </w:pPr>
          </w:p>
        </w:tc>
        <w:tc>
          <w:tcPr>
            <w:tcW w:w="1000" w:type="dxa"/>
            <w:shd w:val="clear" w:color="auto" w:fill="auto"/>
            <w:vAlign w:val="center"/>
          </w:tcPr>
          <w:p>
            <w:pPr>
              <w:widowControl/>
              <w:jc w:val="center"/>
              <w:rPr>
                <w:rFonts w:ascii="宋体" w:hAnsi="宋体" w:eastAsia="宋体" w:cs="宋体"/>
                <w:kern w:val="0"/>
                <w:sz w:val="24"/>
              </w:rPr>
            </w:pPr>
            <w:r>
              <w:rPr>
                <w:rFonts w:hint="eastAsia" w:ascii="仿宋_GB2312" w:hAnsi="宋体" w:eastAsia="仿宋_GB2312" w:cs="宋体"/>
                <w:color w:val="000000"/>
                <w:kern w:val="0"/>
                <w:sz w:val="20"/>
                <w:szCs w:val="20"/>
              </w:rPr>
              <w:t>电缆</w:t>
            </w:r>
          </w:p>
        </w:tc>
        <w:tc>
          <w:tcPr>
            <w:tcW w:w="1172" w:type="dxa"/>
            <w:vAlign w:val="center"/>
          </w:tcPr>
          <w:p>
            <w:pPr>
              <w:widowControl/>
              <w:jc w:val="center"/>
              <w:rPr>
                <w:rFonts w:ascii="宋体" w:hAnsi="宋体" w:eastAsia="宋体" w:cs="宋体"/>
                <w:kern w:val="0"/>
                <w:sz w:val="24"/>
              </w:rPr>
            </w:pPr>
          </w:p>
        </w:tc>
        <w:tc>
          <w:tcPr>
            <w:tcW w:w="7788" w:type="dxa"/>
            <w:shd w:val="clear" w:color="auto" w:fill="auto"/>
            <w:vAlign w:val="center"/>
          </w:tcPr>
          <w:p>
            <w:pPr>
              <w:widowControl/>
              <w:jc w:val="left"/>
              <w:rPr>
                <w:rFonts w:ascii="宋体" w:hAnsi="宋体" w:eastAsia="宋体" w:cs="宋体"/>
                <w:kern w:val="0"/>
                <w:sz w:val="24"/>
              </w:rPr>
            </w:pPr>
            <w:r>
              <w:rPr>
                <w:rFonts w:hint="eastAsia" w:ascii="仿宋_GB2312" w:hAnsi="宋体" w:eastAsia="仿宋_GB2312" w:cs="宋体"/>
                <w:color w:val="000000"/>
                <w:kern w:val="0"/>
                <w:sz w:val="20"/>
                <w:szCs w:val="20"/>
              </w:rPr>
              <w:t>扁平软电缆，型号：YFFB 4*2.5；适用于连续反复运动下的安装，耐弯折800万次以上 柔软性好 耐油耐腐蚀 耐磨耐阻燃 抗紫外线 耐酸碱性能，双层护套绝缘护套采用亮面聚氨酯PUR材质；导体采用柔性绞合裸铜，满足IEC 60228，5类要求。额定电压：0.6/1KV，35mm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-20°C导体最大电阻：0.554Ω/KM,1.5mm</w:t>
            </w:r>
            <w:r>
              <w:rPr>
                <w:rFonts w:ascii="Calibri" w:hAnsi="Calibri" w:eastAsia="仿宋_GB2312" w:cs="Calibri"/>
                <w:color w:val="000000"/>
                <w:kern w:val="0"/>
                <w:sz w:val="20"/>
                <w:szCs w:val="20"/>
              </w:rPr>
              <w:t>²</w:t>
            </w:r>
            <w:r>
              <w:rPr>
                <w:rFonts w:hint="eastAsia" w:ascii="仿宋_GB2312" w:hAnsi="宋体" w:eastAsia="仿宋_GB2312" w:cs="宋体"/>
                <w:color w:val="000000"/>
                <w:kern w:val="0"/>
                <w:sz w:val="20"/>
                <w:szCs w:val="20"/>
              </w:rPr>
              <w:t>-20°C导体最大电阻：13.3Ω/KM。耐受最大工作温度不低于90°C，耐受最高短路温度不低于250°C。最小弯曲半径：5D，最大弯曲半径10D，移动速度不低于120m/min，阻燃特性满足IEC 60332-1-2，耐油特性满足IEC EN 60811-2-1。</w:t>
            </w:r>
          </w:p>
        </w:tc>
        <w:tc>
          <w:tcPr>
            <w:tcW w:w="1137" w:type="dxa"/>
            <w:shd w:val="clear" w:color="auto" w:fill="auto"/>
            <w:vAlign w:val="center"/>
          </w:tcPr>
          <w:p>
            <w:pPr>
              <w:widowControl/>
              <w:jc w:val="center"/>
              <w:rPr>
                <w:rFonts w:ascii="宋体" w:hAnsi="宋体" w:eastAsia="宋体" w:cs="宋体"/>
                <w:kern w:val="0"/>
                <w:sz w:val="24"/>
              </w:rPr>
            </w:pPr>
            <w:r>
              <w:rPr>
                <w:rFonts w:hint="eastAsia" w:ascii="等线" w:hAnsi="等线" w:eastAsia="等线" w:cs="宋体"/>
                <w:color w:val="000000"/>
                <w:kern w:val="0"/>
                <w:sz w:val="20"/>
                <w:szCs w:val="20"/>
              </w:rPr>
              <w:t>200</w:t>
            </w:r>
          </w:p>
        </w:tc>
        <w:tc>
          <w:tcPr>
            <w:tcW w:w="985" w:type="dxa"/>
          </w:tcPr>
          <w:p>
            <w:pPr>
              <w:widowControl/>
              <w:jc w:val="center"/>
              <w:rPr>
                <w:rFonts w:ascii="宋体" w:hAnsi="宋体" w:eastAsia="宋体"/>
                <w:sz w:val="24"/>
              </w:rPr>
            </w:pPr>
          </w:p>
        </w:tc>
        <w:tc>
          <w:tcPr>
            <w:tcW w:w="878" w:type="dxa"/>
          </w:tcPr>
          <w:p>
            <w:pPr>
              <w:widowControl/>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989" w:type="dxa"/>
            <w:shd w:val="clear" w:color="auto" w:fill="auto"/>
            <w:noWrap/>
            <w:vAlign w:val="center"/>
          </w:tcPr>
          <w:p>
            <w:pPr>
              <w:pStyle w:val="28"/>
              <w:widowControl/>
              <w:numPr>
                <w:ilvl w:val="0"/>
                <w:numId w:val="4"/>
              </w:numPr>
              <w:ind w:firstLineChars="0"/>
              <w:jc w:val="center"/>
              <w:rPr>
                <w:rFonts w:ascii="宋体" w:hAnsi="宋体" w:eastAsia="宋体" w:cs="宋体"/>
                <w:kern w:val="0"/>
                <w:sz w:val="24"/>
              </w:rPr>
            </w:pPr>
          </w:p>
        </w:tc>
        <w:tc>
          <w:tcPr>
            <w:tcW w:w="1000" w:type="dxa"/>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1172" w:type="dxa"/>
            <w:vAlign w:val="center"/>
          </w:tcPr>
          <w:p>
            <w:pPr>
              <w:widowControl/>
              <w:jc w:val="center"/>
              <w:rPr>
                <w:rFonts w:ascii="宋体" w:hAnsi="宋体" w:eastAsia="宋体" w:cs="宋体"/>
                <w:kern w:val="0"/>
                <w:sz w:val="24"/>
              </w:rPr>
            </w:pPr>
          </w:p>
        </w:tc>
        <w:tc>
          <w:tcPr>
            <w:tcW w:w="7788" w:type="dxa"/>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电动葫芦控制电缆，TVRQ/JXXL 01-2016 9×0.75m㎡</w:t>
            </w:r>
          </w:p>
        </w:tc>
        <w:tc>
          <w:tcPr>
            <w:tcW w:w="1137" w:type="dxa"/>
            <w:shd w:val="clear" w:color="auto" w:fill="auto"/>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200</w:t>
            </w:r>
          </w:p>
        </w:tc>
        <w:tc>
          <w:tcPr>
            <w:tcW w:w="985" w:type="dxa"/>
            <w:vAlign w:val="center"/>
          </w:tcPr>
          <w:p>
            <w:pPr>
              <w:widowControl/>
              <w:jc w:val="center"/>
              <w:rPr>
                <w:rFonts w:hint="eastAsia" w:ascii="等线" w:hAnsi="等线" w:eastAsia="等线" w:cs="宋体"/>
                <w:color w:val="000000"/>
                <w:kern w:val="0"/>
                <w:sz w:val="20"/>
                <w:szCs w:val="20"/>
              </w:rPr>
            </w:pPr>
          </w:p>
        </w:tc>
        <w:tc>
          <w:tcPr>
            <w:tcW w:w="878" w:type="dxa"/>
          </w:tcPr>
          <w:p>
            <w:pPr>
              <w:widowControl/>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989" w:type="dxa"/>
            <w:shd w:val="clear" w:color="auto" w:fill="auto"/>
            <w:noWrap/>
            <w:vAlign w:val="center"/>
          </w:tcPr>
          <w:p>
            <w:pPr>
              <w:pStyle w:val="28"/>
              <w:widowControl/>
              <w:numPr>
                <w:ilvl w:val="0"/>
                <w:numId w:val="4"/>
              </w:numPr>
              <w:ind w:firstLineChars="0"/>
              <w:jc w:val="center"/>
              <w:rPr>
                <w:rFonts w:ascii="宋体" w:hAnsi="宋体" w:eastAsia="宋体" w:cs="宋体"/>
                <w:kern w:val="0"/>
                <w:sz w:val="24"/>
              </w:rPr>
            </w:pPr>
          </w:p>
        </w:tc>
        <w:tc>
          <w:tcPr>
            <w:tcW w:w="1000" w:type="dxa"/>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电缆</w:t>
            </w:r>
          </w:p>
        </w:tc>
        <w:tc>
          <w:tcPr>
            <w:tcW w:w="1172" w:type="dxa"/>
            <w:vAlign w:val="center"/>
          </w:tcPr>
          <w:p>
            <w:pPr>
              <w:widowControl/>
              <w:jc w:val="center"/>
              <w:rPr>
                <w:rFonts w:ascii="宋体" w:hAnsi="宋体" w:eastAsia="宋体" w:cs="宋体"/>
                <w:kern w:val="0"/>
                <w:sz w:val="24"/>
              </w:rPr>
            </w:pPr>
          </w:p>
        </w:tc>
        <w:tc>
          <w:tcPr>
            <w:tcW w:w="7788" w:type="dxa"/>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抓斗电缆，APDFLEX-901 4*35+2*（6*1.5）</w:t>
            </w:r>
          </w:p>
        </w:tc>
        <w:tc>
          <w:tcPr>
            <w:tcW w:w="1137" w:type="dxa"/>
            <w:shd w:val="clear" w:color="auto" w:fill="auto"/>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lang w:val="en-US" w:eastAsia="zh-CN"/>
              </w:rPr>
              <w:t>300</w:t>
            </w:r>
          </w:p>
        </w:tc>
        <w:tc>
          <w:tcPr>
            <w:tcW w:w="985" w:type="dxa"/>
            <w:vAlign w:val="center"/>
          </w:tcPr>
          <w:p>
            <w:pPr>
              <w:widowControl/>
              <w:jc w:val="center"/>
              <w:rPr>
                <w:rFonts w:hint="eastAsia" w:ascii="等线" w:hAnsi="等线" w:eastAsia="等线" w:cs="宋体"/>
                <w:color w:val="000000"/>
                <w:kern w:val="0"/>
                <w:sz w:val="20"/>
                <w:szCs w:val="20"/>
              </w:rPr>
            </w:pPr>
          </w:p>
        </w:tc>
        <w:tc>
          <w:tcPr>
            <w:tcW w:w="878" w:type="dxa"/>
          </w:tcPr>
          <w:p>
            <w:pPr>
              <w:widowControl/>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3161" w:type="dxa"/>
            <w:gridSpan w:val="3"/>
            <w:shd w:val="clear" w:color="auto" w:fill="auto"/>
            <w:noWrap/>
            <w:vAlign w:val="center"/>
          </w:tcPr>
          <w:p>
            <w:pPr>
              <w:widowControl/>
              <w:jc w:val="center"/>
              <w:rPr>
                <w:rFonts w:ascii="宋体" w:hAnsi="宋体" w:eastAsia="宋体"/>
                <w:sz w:val="18"/>
                <w:szCs w:val="18"/>
              </w:rPr>
            </w:pPr>
            <w:r>
              <w:rPr>
                <w:rFonts w:hint="eastAsia" w:cs="仿宋" w:asciiTheme="minorEastAsia" w:hAnsiTheme="minorEastAsia"/>
                <w:b/>
                <w:sz w:val="24"/>
              </w:rPr>
              <w:t>响应报价合计（小写）</w:t>
            </w:r>
          </w:p>
        </w:tc>
        <w:tc>
          <w:tcPr>
            <w:tcW w:w="10788" w:type="dxa"/>
            <w:gridSpan w:val="4"/>
            <w:shd w:val="clear" w:color="auto" w:fill="auto"/>
            <w:vAlign w:val="center"/>
          </w:tcPr>
          <w:p>
            <w:pPr>
              <w:widowControl/>
              <w:jc w:val="center"/>
              <w:rPr>
                <w:rFonts w:ascii="仿宋_GB2312" w:hAnsi="等线"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3161" w:type="dxa"/>
            <w:gridSpan w:val="3"/>
            <w:shd w:val="clear" w:color="auto" w:fill="auto"/>
            <w:noWrap/>
            <w:vAlign w:val="center"/>
          </w:tcPr>
          <w:p>
            <w:pPr>
              <w:widowControl/>
              <w:jc w:val="center"/>
              <w:rPr>
                <w:rFonts w:ascii="宋体" w:hAnsi="宋体" w:eastAsia="宋体"/>
                <w:sz w:val="18"/>
                <w:szCs w:val="18"/>
              </w:rPr>
            </w:pPr>
            <w:r>
              <w:rPr>
                <w:rFonts w:hint="eastAsia" w:cs="仿宋" w:asciiTheme="minorEastAsia" w:hAnsiTheme="minorEastAsia"/>
                <w:b/>
                <w:sz w:val="24"/>
              </w:rPr>
              <w:t>响应报价合计（大写）</w:t>
            </w:r>
          </w:p>
        </w:tc>
        <w:tc>
          <w:tcPr>
            <w:tcW w:w="10788" w:type="dxa"/>
            <w:gridSpan w:val="4"/>
            <w:shd w:val="clear" w:color="auto" w:fill="auto"/>
            <w:vAlign w:val="center"/>
          </w:tcPr>
          <w:p>
            <w:pPr>
              <w:widowControl/>
              <w:jc w:val="center"/>
              <w:rPr>
                <w:rFonts w:ascii="仿宋_GB2312" w:hAnsi="等线"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3161" w:type="dxa"/>
            <w:gridSpan w:val="3"/>
            <w:shd w:val="clear" w:color="auto" w:fill="auto"/>
            <w:noWrap/>
            <w:vAlign w:val="center"/>
          </w:tcPr>
          <w:p>
            <w:pPr>
              <w:widowControl/>
              <w:jc w:val="center"/>
              <w:rPr>
                <w:rFonts w:ascii="宋体" w:hAnsi="宋体" w:eastAsia="宋体"/>
                <w:sz w:val="18"/>
                <w:szCs w:val="18"/>
              </w:rPr>
            </w:pPr>
            <w:r>
              <w:rPr>
                <w:rFonts w:hint="eastAsia" w:cs="仿宋" w:asciiTheme="minorEastAsia" w:hAnsiTheme="minorEastAsia"/>
                <w:b/>
                <w:sz w:val="24"/>
              </w:rPr>
              <w:t>税率</w:t>
            </w:r>
          </w:p>
        </w:tc>
        <w:tc>
          <w:tcPr>
            <w:tcW w:w="10788" w:type="dxa"/>
            <w:gridSpan w:val="4"/>
            <w:shd w:val="clear" w:color="auto" w:fill="auto"/>
            <w:vAlign w:val="center"/>
          </w:tcPr>
          <w:p>
            <w:pPr>
              <w:widowControl/>
              <w:jc w:val="center"/>
              <w:rPr>
                <w:rFonts w:ascii="仿宋_GB2312" w:hAnsi="等线" w:eastAsia="仿宋_GB2312"/>
                <w:color w:val="000000"/>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2024年临江公司特种电缆</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202403005</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0F432B9A"/>
    <w:multiLevelType w:val="multilevel"/>
    <w:tmpl w:val="0F432B9A"/>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
    <w:nsid w:val="448601E6"/>
    <w:multiLevelType w:val="multilevel"/>
    <w:tmpl w:val="448601E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3211CE"/>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1D777A"/>
    <w:rsid w:val="32843E96"/>
    <w:rsid w:val="33E31B49"/>
    <w:rsid w:val="34454474"/>
    <w:rsid w:val="34AF40BC"/>
    <w:rsid w:val="36162BCB"/>
    <w:rsid w:val="36A71B58"/>
    <w:rsid w:val="36B41FB6"/>
    <w:rsid w:val="37103BA1"/>
    <w:rsid w:val="37514AF4"/>
    <w:rsid w:val="377C0298"/>
    <w:rsid w:val="37B04D36"/>
    <w:rsid w:val="39C31C6C"/>
    <w:rsid w:val="3A6303AE"/>
    <w:rsid w:val="3A971178"/>
    <w:rsid w:val="3A993EAE"/>
    <w:rsid w:val="3AB61186"/>
    <w:rsid w:val="3B1E2F1E"/>
    <w:rsid w:val="3C283344"/>
    <w:rsid w:val="3C485F9D"/>
    <w:rsid w:val="3C7C70D7"/>
    <w:rsid w:val="3C800481"/>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6DE154F"/>
    <w:rsid w:val="778F44F9"/>
    <w:rsid w:val="77F2017E"/>
    <w:rsid w:val="79017606"/>
    <w:rsid w:val="79D7762B"/>
    <w:rsid w:val="79EB254B"/>
    <w:rsid w:val="7BA82ABD"/>
    <w:rsid w:val="7C757EAB"/>
    <w:rsid w:val="7D0A41BC"/>
    <w:rsid w:val="7D0A4B32"/>
    <w:rsid w:val="7D4F0CE0"/>
    <w:rsid w:val="7D797C2B"/>
    <w:rsid w:val="7D8B7E0D"/>
    <w:rsid w:val="7DAC6A56"/>
    <w:rsid w:val="7E381ACE"/>
    <w:rsid w:val="7EED321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8</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2024-03-06T01:43:21Z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