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hint="eastAsia" w:eastAsiaTheme="minorEastAsia"/>
          <w:lang w:eastAsia="zh-CN"/>
        </w:rPr>
      </w:pPr>
      <w:r>
        <w:rPr>
          <w:rFonts w:hint="eastAsia" w:cs="宋体" w:asciiTheme="minorEastAsia" w:hAnsiTheme="minorEastAsia"/>
          <w:sz w:val="48"/>
          <w:szCs w:val="48"/>
          <w:u w:val="single"/>
          <w:lang w:eastAsia="zh-CN"/>
        </w:rPr>
        <w:t>2024年临江公司链条（标准件）采购</w:t>
      </w:r>
    </w:p>
    <w:p>
      <w:pPr>
        <w:adjustRightInd w:val="0"/>
        <w:snapToGrid w:val="0"/>
        <w:spacing w:line="360" w:lineRule="auto"/>
        <w:jc w:val="center"/>
        <w:rPr>
          <w:rFonts w:cs="宋体" w:asciiTheme="minorEastAsia" w:hAnsiTheme="minorEastAsia"/>
          <w:sz w:val="48"/>
          <w:szCs w:val="48"/>
        </w:rPr>
      </w:pP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202403006</w:t>
      </w:r>
    </w:p>
    <w:p>
      <w:pPr>
        <w:spacing w:line="360" w:lineRule="auto"/>
        <w:jc w:val="center"/>
        <w:rPr>
          <w:rFonts w:cs="仿宋" w:asciiTheme="minorEastAsia" w:hAnsiTheme="minorEastAsia"/>
          <w:b/>
          <w:bCs/>
          <w:sz w:val="72"/>
          <w:szCs w:val="72"/>
        </w:rPr>
      </w:pPr>
    </w:p>
    <w:p>
      <w:pPr>
        <w:pStyle w:val="6"/>
        <w:rPr>
          <w:rFonts w:asciiTheme="minorEastAsia" w:hAnsiTheme="minorEastAsia"/>
        </w:rPr>
      </w:pPr>
    </w:p>
    <w:p>
      <w:pPr>
        <w:spacing w:line="360" w:lineRule="auto"/>
        <w:jc w:val="center"/>
        <w:rPr>
          <w:rFonts w:cs="仿宋" w:asciiTheme="minorEastAsia" w:hAnsiTheme="minorEastAsia"/>
          <w:b/>
          <w:bCs/>
          <w:sz w:val="72"/>
          <w:szCs w:val="72"/>
        </w:rPr>
      </w:pPr>
    </w:p>
    <w:p>
      <w:pPr>
        <w:pStyle w:val="10"/>
      </w:pPr>
    </w:p>
    <w:p/>
    <w:p>
      <w:pPr>
        <w:pStyle w:val="10"/>
      </w:pPr>
    </w:p>
    <w:p>
      <w:pPr>
        <w:spacing w:line="360" w:lineRule="auto"/>
      </w:pPr>
    </w:p>
    <w:p>
      <w:pPr>
        <w:spacing w:line="360" w:lineRule="auto"/>
        <w:rPr>
          <w:rFonts w:cs="仿宋" w:asciiTheme="minorEastAsia" w:hAnsiTheme="minorEastAsia"/>
          <w:sz w:val="24"/>
        </w:rPr>
      </w:pPr>
    </w:p>
    <w:p>
      <w:pPr>
        <w:pStyle w:val="10"/>
        <w:rPr>
          <w:rFonts w:cs="仿宋" w:asciiTheme="minorEastAsia" w:hAnsiTheme="minorEastAsia"/>
          <w:sz w:val="24"/>
          <w:szCs w:val="24"/>
        </w:rPr>
      </w:pPr>
    </w:p>
    <w:p>
      <w:pPr>
        <w:pStyle w:val="10"/>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cs="仿宋" w:asciiTheme="minorEastAsia" w:hAnsiTheme="minorEastAsia"/>
          <w:sz w:val="32"/>
          <w:szCs w:val="32"/>
        </w:rPr>
        <w:t>202</w:t>
      </w:r>
      <w:r>
        <w:rPr>
          <w:rFonts w:hint="eastAsia" w:cs="仿宋" w:asciiTheme="minorEastAsia" w:hAnsiTheme="minorEastAsia"/>
          <w:sz w:val="32"/>
          <w:szCs w:val="32"/>
          <w:lang w:val="en-US" w:eastAsia="zh-CN"/>
        </w:rPr>
        <w:t>4</w:t>
      </w:r>
      <w:r>
        <w:rPr>
          <w:rFonts w:cs="仿宋" w:asciiTheme="minorEastAsia" w:hAnsiTheme="minorEastAsia"/>
          <w:sz w:val="32"/>
          <w:szCs w:val="32"/>
        </w:rPr>
        <w:t>年</w:t>
      </w:r>
      <w:r>
        <w:rPr>
          <w:rFonts w:hint="eastAsia" w:cs="仿宋" w:asciiTheme="minorEastAsia" w:hAnsiTheme="minorEastAsia"/>
          <w:sz w:val="32"/>
          <w:szCs w:val="32"/>
          <w:lang w:val="en-US" w:eastAsia="zh-CN"/>
        </w:rPr>
        <w:t>03</w:t>
      </w:r>
      <w:r>
        <w:rPr>
          <w:rFonts w:cs="仿宋" w:asciiTheme="minorEastAsia" w:hAnsiTheme="minorEastAsia"/>
          <w:sz w:val="32"/>
          <w:szCs w:val="32"/>
        </w:rPr>
        <w:t>月</w:t>
      </w:r>
      <w:r>
        <w:rPr>
          <w:rFonts w:hint="eastAsia" w:cs="仿宋" w:asciiTheme="minorEastAsia" w:hAnsiTheme="minorEastAsia"/>
          <w:sz w:val="32"/>
          <w:szCs w:val="32"/>
          <w:lang w:val="en-US" w:eastAsia="zh-CN"/>
        </w:rPr>
        <w:t>06</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footerReference r:id="rId5" w:type="first"/>
          <w:headerReference r:id="rId3" w:type="default"/>
          <w:footerReference r:id="rId4" w:type="default"/>
          <w:pgSz w:w="11906" w:h="16838"/>
          <w:pgMar w:top="1440" w:right="1800" w:bottom="1440" w:left="1800" w:header="930" w:footer="992" w:gutter="0"/>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8" w:type="first"/>
          <w:footerReference r:id="rId11" w:type="first"/>
          <w:headerReference r:id="rId6" w:type="default"/>
          <w:footerReference r:id="rId9" w:type="default"/>
          <w:headerReference r:id="rId7" w:type="even"/>
          <w:footerReference r:id="rId10"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bookmarkStart w:id="1" w:name="_Hlk150258928"/>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2" w:name="_Toc35393621"/>
      <w:bookmarkStart w:id="3" w:name="_Toc35393790"/>
      <w:bookmarkStart w:id="4" w:name="_Toc28359079"/>
      <w:bookmarkStart w:id="5" w:name="_Toc28359002"/>
      <w:bookmarkStart w:id="6" w:name="_Hlk24379207"/>
      <w:r>
        <w:rPr>
          <w:rFonts w:hint="eastAsia" w:cs="仿宋" w:asciiTheme="minorEastAsia" w:hAnsiTheme="minorEastAsia"/>
          <w:b/>
          <w:bCs/>
          <w:sz w:val="24"/>
        </w:rPr>
        <w:t>项目概况</w:t>
      </w:r>
      <w:r>
        <w:rPr>
          <w:rFonts w:hint="eastAsia" w:cs="仿宋" w:asciiTheme="minorEastAsia" w:hAnsiTheme="minorEastAsia"/>
          <w:b/>
          <w:bCs/>
          <w:sz w:val="24"/>
          <w:lang w:eastAsia="zh-CN"/>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2024年临江公司链条（标准件）</w:t>
      </w:r>
      <w:r>
        <w:rPr>
          <w:rFonts w:hint="eastAsia" w:cs="仿宋" w:asciiTheme="minorEastAsia" w:hAnsiTheme="minorEastAsia"/>
          <w:sz w:val="24"/>
          <w:u w:val="single"/>
        </w:rPr>
        <w:t>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本询价公告通过中国招标投标公共服务平台（http://www.cebpubservice.com/）、浙江政府采购网（http://zfcg.czt.zj.gov.cn/）、杭州市环境集团有限公司、杭州临江环境能源有限公司官网发布。欢迎对本项目有兴趣且符合资质条件的潜在</w:t>
      </w:r>
      <w:r>
        <w:rPr>
          <w:rFonts w:hint="eastAsia" w:cs="仿宋" w:asciiTheme="minorEastAsia" w:hAnsiTheme="minorEastAsia"/>
          <w:sz w:val="24"/>
          <w:lang w:eastAsia="zh-CN"/>
        </w:rPr>
        <w:t>供应商</w:t>
      </w:r>
      <w:r>
        <w:rPr>
          <w:rFonts w:hint="eastAsia" w:cs="仿宋" w:asciiTheme="minorEastAsia" w:hAnsiTheme="minorEastAsia"/>
          <w:sz w:val="24"/>
        </w:rPr>
        <w:t>参加本次采购项目。</w:t>
      </w:r>
    </w:p>
    <w:p>
      <w:pPr>
        <w:pStyle w:val="3"/>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2"/>
      <w:bookmarkEnd w:id="3"/>
      <w:bookmarkEnd w:id="4"/>
      <w:bookmarkEnd w:id="5"/>
    </w:p>
    <w:p>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202403006</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cs="仿宋" w:asciiTheme="minorEastAsia" w:hAnsiTheme="minorEastAsia"/>
          <w:sz w:val="24"/>
          <w:u w:val="single"/>
        </w:rPr>
        <w:t xml:space="preserve"> </w:t>
      </w:r>
      <w:r>
        <w:rPr>
          <w:rFonts w:hint="eastAsia" w:cs="仿宋" w:asciiTheme="minorEastAsia" w:hAnsiTheme="minorEastAsia"/>
          <w:sz w:val="24"/>
          <w:u w:val="single"/>
          <w:lang w:eastAsia="zh-CN"/>
        </w:rPr>
        <w:t>2024年临江公司链条（标准件）采购</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6"/>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5.44</w:t>
      </w:r>
      <w:r>
        <w:rPr>
          <w:rFonts w:hint="eastAsia" w:cs="仿宋" w:asciiTheme="minorEastAsia" w:hAnsiTheme="minorEastAsia"/>
          <w:sz w:val="24"/>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eastAsia="zh-CN"/>
        </w:rPr>
        <w:t>链条（标准件）</w:t>
      </w:r>
      <w:r>
        <w:rPr>
          <w:rFonts w:hint="eastAsia" w:hAnsi="宋体" w:cs="宋体"/>
          <w:bCs/>
          <w:sz w:val="24"/>
        </w:rPr>
        <w:t>一批。</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lang w:val="en-US" w:eastAsia="zh-CN"/>
        </w:rPr>
        <w:t>合同期限为一年，合同期内，供应商根据采购人订单按需求供货</w:t>
      </w:r>
      <w:r>
        <w:rPr>
          <w:rFonts w:hint="eastAsia" w:cs="仿宋" w:asciiTheme="minorEastAsia" w:hAnsiTheme="minorEastAsia"/>
          <w:sz w:val="24"/>
          <w:u w:val="single"/>
        </w:rPr>
        <w:t>。在采购人发出送货通知后，</w:t>
      </w:r>
      <w:r>
        <w:rPr>
          <w:rFonts w:hint="eastAsia" w:cs="仿宋" w:asciiTheme="minorEastAsia" w:hAnsiTheme="minorEastAsia"/>
          <w:sz w:val="24"/>
          <w:u w:val="single"/>
          <w:lang w:eastAsia="zh-CN"/>
        </w:rPr>
        <w:t>供应商</w:t>
      </w:r>
      <w:r>
        <w:rPr>
          <w:rFonts w:hint="eastAsia" w:cs="仿宋" w:asciiTheme="minorEastAsia" w:hAnsiTheme="minorEastAsia"/>
          <w:color w:val="auto"/>
          <w:sz w:val="24"/>
          <w:u w:val="single"/>
          <w:lang w:val="en-US" w:eastAsia="zh-CN"/>
        </w:rPr>
        <w:t>40</w:t>
      </w:r>
      <w:r>
        <w:rPr>
          <w:rFonts w:hint="eastAsia" w:cs="仿宋" w:asciiTheme="minorEastAsia" w:hAnsiTheme="minorEastAsia"/>
          <w:sz w:val="24"/>
          <w:u w:val="single"/>
          <w:lang w:val="en-US" w:eastAsia="zh-CN"/>
        </w:rPr>
        <w:t>天</w:t>
      </w:r>
      <w:r>
        <w:rPr>
          <w:rFonts w:hint="eastAsia" w:cs="仿宋" w:asciiTheme="minorEastAsia" w:hAnsiTheme="minorEastAsia"/>
          <w:sz w:val="24"/>
          <w:u w:val="single"/>
        </w:rPr>
        <w:t>内将货物</w:t>
      </w:r>
      <w:r>
        <w:rPr>
          <w:rFonts w:hint="eastAsia" w:cs="仿宋" w:asciiTheme="minorEastAsia" w:hAnsiTheme="minorEastAsia"/>
          <w:sz w:val="24"/>
          <w:u w:val="single"/>
          <w:lang w:val="en-US" w:eastAsia="zh-CN"/>
        </w:rPr>
        <w:t>按采购人需求</w:t>
      </w:r>
      <w:r>
        <w:rPr>
          <w:rFonts w:hint="eastAsia" w:cs="仿宋" w:asciiTheme="minorEastAsia" w:hAnsiTheme="minorEastAsia"/>
          <w:sz w:val="24"/>
          <w:u w:val="single"/>
        </w:rPr>
        <w:t>如数送至采购人指定地点。</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r>
        <w:rPr>
          <w:rFonts w:hint="eastAsia" w:hAnsi="宋体" w:cs="宋体"/>
          <w:b/>
          <w:sz w:val="24"/>
          <w:lang w:eastAsia="zh-CN"/>
        </w:rPr>
        <w:t>（</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327325370"/>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7" w:name="_Toc35393791"/>
      <w:bookmarkStart w:id="8" w:name="_Toc35393622"/>
      <w:bookmarkStart w:id="9" w:name="_Toc28359003"/>
      <w:bookmarkStart w:id="10" w:name="_Toc28359080"/>
      <w:r>
        <w:rPr>
          <w:rFonts w:hint="eastAsia" w:cs="仿宋" w:asciiTheme="minorEastAsia" w:hAnsiTheme="minorEastAsia"/>
          <w:b/>
          <w:bCs/>
          <w:sz w:val="24"/>
        </w:rPr>
        <w:t>二、供应商的资格要求：</w:t>
      </w:r>
      <w:bookmarkEnd w:id="7"/>
      <w:bookmarkEnd w:id="8"/>
      <w:bookmarkEnd w:id="9"/>
      <w:bookmarkEnd w:id="10"/>
      <w:bookmarkStart w:id="11" w:name="_Toc28359081"/>
      <w:bookmarkStart w:id="12" w:name="_Toc35393792"/>
      <w:bookmarkStart w:id="13" w:name="_Toc35393623"/>
      <w:bookmarkStart w:id="14" w:name="_Toc28359004"/>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 供应商必须是</w:t>
      </w:r>
      <w:r>
        <w:rPr>
          <w:rFonts w:cs="仿宋" w:asciiTheme="minorEastAsia" w:hAnsiTheme="minorEastAsia"/>
          <w:bCs/>
          <w:sz w:val="24"/>
        </w:rPr>
        <w:t>在中华人民共和国境内（不含港、澳、台地区）注册，具有独立法人资格/具有独立承担民事责任的能力，有能力提供相应货物和服务</w:t>
      </w:r>
      <w:r>
        <w:rPr>
          <w:rFonts w:hint="eastAsia" w:cs="仿宋" w:asciiTheme="minorEastAsia" w:hAnsiTheme="minorEastAsia"/>
          <w:bCs/>
          <w:sz w:val="24"/>
        </w:rPr>
        <w:t>。</w:t>
      </w:r>
      <w:r>
        <w:rPr>
          <w:rFonts w:cs="仿宋" w:asciiTheme="minorEastAsia" w:hAnsiTheme="minorEastAsia"/>
          <w:bCs/>
          <w:sz w:val="24"/>
        </w:rPr>
        <w:t xml:space="preserve"> </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2.供应商在“信用中国”（www.creditchina.gov.cn）、中国政府采购网（www.ccgp.gov.cn）</w:t>
      </w:r>
      <w:r>
        <w:rPr>
          <w:rFonts w:hint="eastAsia" w:cs="仿宋" w:asciiTheme="minorEastAsia" w:hAnsiTheme="minorEastAsia"/>
          <w:bCs/>
          <w:sz w:val="24"/>
          <w:lang w:eastAsia="zh-CN"/>
        </w:rPr>
        <w:t>等其他</w:t>
      </w:r>
      <w:r>
        <w:rPr>
          <w:rFonts w:hint="eastAsia" w:cs="仿宋" w:asciiTheme="minorEastAsia" w:hAnsiTheme="minorEastAsia"/>
          <w:bCs/>
          <w:sz w:val="24"/>
        </w:rPr>
        <w:t>官方网站没有被列入失信被执行人、重大税收违法案件当事人名单、政府采购严重违法失信行为记录名单、有责合同纠纷、重点关注名单、黑名单等不良记录。</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3.供应商不得为杭州市环境集团有限公司或杭州临江环境能源有限公司不合格供应商或者在黑名单之内。</w:t>
      </w:r>
    </w:p>
    <w:p>
      <w:pPr>
        <w:spacing w:line="360" w:lineRule="auto"/>
        <w:ind w:firstLine="480" w:firstLineChars="200"/>
        <w:rPr>
          <w:rFonts w:cs="仿宋" w:asciiTheme="minorEastAsia" w:hAnsiTheme="minorEastAsia"/>
          <w:bCs/>
          <w:sz w:val="24"/>
        </w:rPr>
      </w:pPr>
      <w:r>
        <w:rPr>
          <w:rFonts w:cs="仿宋" w:asciiTheme="minorEastAsia" w:hAnsiTheme="minorEastAsia"/>
          <w:bCs/>
          <w:sz w:val="24"/>
        </w:rPr>
        <w:t>4</w:t>
      </w:r>
      <w:r>
        <w:rPr>
          <w:rFonts w:hint="eastAsia" w:cs="仿宋" w:asciiTheme="minorEastAsia" w:hAnsiTheme="minorEastAsia"/>
          <w:bCs/>
          <w:sz w:val="24"/>
        </w:rPr>
        <w:t xml:space="preserve">.供应商负责人为同一人或者存在控股、管理关系的不同单位，不得同时参加本项目。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cs="仿宋" w:asciiTheme="minorEastAsia" w:hAnsiTheme="minorEastAsia"/>
          <w:bCs/>
          <w:sz w:val="24"/>
        </w:rPr>
        <w:t>5</w:t>
      </w:r>
      <w:r>
        <w:rPr>
          <w:rFonts w:hint="eastAsia" w:cs="仿宋" w:asciiTheme="minorEastAsia" w:hAnsiTheme="minorEastAsia"/>
          <w:bCs/>
          <w:sz w:val="24"/>
        </w:rPr>
        <w:t>.供应商须提供其股东信息及出资比例信息。</w:t>
      </w:r>
    </w:p>
    <w:p>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6.</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1"/>
      <w:bookmarkEnd w:id="12"/>
      <w:bookmarkEnd w:id="13"/>
      <w:bookmarkEnd w:id="14"/>
      <w:r>
        <w:rPr>
          <w:rFonts w:hint="eastAsia" w:cs="仿宋" w:asciiTheme="minorEastAsia" w:hAnsiTheme="minorEastAsia"/>
          <w:b/>
          <w:bCs/>
          <w:sz w:val="24"/>
        </w:rPr>
        <w:t>获取（下载）询价采购文件</w:t>
      </w:r>
    </w:p>
    <w:p>
      <w:pPr>
        <w:pStyle w:val="3"/>
        <w:spacing w:before="0" w:after="0" w:line="360" w:lineRule="auto"/>
        <w:ind w:firstLine="480" w:firstLineChars="200"/>
        <w:rPr>
          <w:rFonts w:cs="仿宋" w:asciiTheme="minorEastAsia" w:hAnsiTheme="minorEastAsia" w:eastAsiaTheme="minorEastAsia"/>
          <w:b w:val="0"/>
          <w:sz w:val="24"/>
          <w:szCs w:val="24"/>
        </w:rPr>
      </w:pPr>
      <w:bookmarkStart w:id="15" w:name="_Toc28359005"/>
      <w:bookmarkStart w:id="16" w:name="_Toc35393793"/>
      <w:bookmarkStart w:id="17" w:name="_Toc35393624"/>
      <w:bookmarkStart w:id="18" w:name="_Toc28359082"/>
      <w:r>
        <w:rPr>
          <w:rFonts w:hint="eastAsia" w:cs="仿宋" w:asciiTheme="minorEastAsia" w:hAnsiTheme="minorEastAsia" w:eastAsiaTheme="minorEastAsia"/>
          <w:b w:val="0"/>
          <w:sz w:val="24"/>
          <w:szCs w:val="24"/>
        </w:rPr>
        <w:t xml:space="preserve">1.时间：报价截止时间前。   </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5"/>
    <w:bookmarkEnd w:id="16"/>
    <w:bookmarkEnd w:id="17"/>
    <w:bookmarkEnd w:id="18"/>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kern w:val="0"/>
          <w:sz w:val="24"/>
          <w:u w:val="single"/>
        </w:rPr>
        <w:t>202</w:t>
      </w:r>
      <w:r>
        <w:rPr>
          <w:rFonts w:hint="eastAsia" w:cs="仿宋" w:asciiTheme="minorEastAsia" w:hAnsiTheme="minorEastAsia"/>
          <w:kern w:val="0"/>
          <w:sz w:val="24"/>
          <w:u w:val="single"/>
          <w:lang w:val="en-US" w:eastAsia="zh-CN"/>
        </w:rPr>
        <w:t>4</w:t>
      </w:r>
      <w:r>
        <w:rPr>
          <w:rFonts w:hint="eastAsia" w:cs="仿宋" w:asciiTheme="minorEastAsia" w:hAnsiTheme="minorEastAsia"/>
          <w:kern w:val="0"/>
          <w:sz w:val="24"/>
          <w:u w:val="single"/>
        </w:rPr>
        <w:t>年</w:t>
      </w:r>
      <w:r>
        <w:rPr>
          <w:rFonts w:hint="eastAsia" w:cs="仿宋" w:asciiTheme="minorEastAsia" w:hAnsiTheme="minorEastAsia"/>
          <w:kern w:val="0"/>
          <w:sz w:val="24"/>
          <w:u w:val="single"/>
          <w:lang w:val="en-US" w:eastAsia="zh-CN"/>
        </w:rPr>
        <w:t>03</w:t>
      </w:r>
      <w:r>
        <w:rPr>
          <w:rFonts w:hint="eastAsia" w:cs="仿宋" w:asciiTheme="minorEastAsia" w:hAnsiTheme="minorEastAsia"/>
          <w:kern w:val="0"/>
          <w:sz w:val="24"/>
          <w:u w:val="single"/>
        </w:rPr>
        <w:t>月</w:t>
      </w:r>
      <w:r>
        <w:rPr>
          <w:rFonts w:hint="eastAsia" w:cs="仿宋" w:asciiTheme="minorEastAsia" w:hAnsiTheme="minorEastAsia"/>
          <w:kern w:val="0"/>
          <w:sz w:val="24"/>
          <w:u w:val="single"/>
          <w:lang w:val="en-US" w:eastAsia="zh-CN"/>
        </w:rPr>
        <w:t>13</w:t>
      </w:r>
      <w:r>
        <w:rPr>
          <w:rFonts w:hint="eastAsia" w:cs="仿宋" w:asciiTheme="minorEastAsia" w:hAnsiTheme="minorEastAsia"/>
          <w:bCs/>
          <w:kern w:val="0"/>
          <w:sz w:val="24"/>
          <w:u w:val="single"/>
        </w:rPr>
        <w:t>日</w:t>
      </w:r>
      <w:r>
        <w:rPr>
          <w:rFonts w:hint="eastAsia" w:cs="仿宋" w:asciiTheme="minorEastAsia" w:hAnsiTheme="minorEastAsia"/>
          <w:bCs/>
          <w:kern w:val="0"/>
          <w:sz w:val="24"/>
          <w:u w:val="single"/>
          <w:lang w:val="en-US" w:eastAsia="zh-CN"/>
        </w:rPr>
        <w:t>14</w:t>
      </w:r>
      <w:r>
        <w:rPr>
          <w:rFonts w:hint="eastAsia" w:cs="仿宋" w:asciiTheme="minorEastAsia" w:hAnsiTheme="minorEastAsia"/>
          <w:bCs/>
          <w:kern w:val="0"/>
          <w:sz w:val="24"/>
          <w:u w:val="single"/>
        </w:rPr>
        <w:t>点</w:t>
      </w:r>
      <w:r>
        <w:rPr>
          <w:rFonts w:hint="eastAsia" w:cs="仿宋" w:asciiTheme="minorEastAsia" w:hAnsiTheme="minorEastAsia"/>
          <w:bCs/>
          <w:kern w:val="0"/>
          <w:sz w:val="24"/>
          <w:u w:val="single"/>
          <w:lang w:val="en-US" w:eastAsia="zh-CN"/>
        </w:rPr>
        <w:t>30</w:t>
      </w:r>
      <w:r>
        <w:rPr>
          <w:rFonts w:hint="eastAsia" w:cs="仿宋" w:asciiTheme="minorEastAsia" w:hAnsiTheme="minorEastAsia"/>
          <w:bCs/>
          <w:kern w:val="0"/>
          <w:sz w:val="24"/>
          <w:u w:val="single"/>
        </w:rPr>
        <w:t>分00秒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3.递交方式：响应文件可采用现场递交或者邮寄方式其中任何一种方式。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（1）邮寄地址：杭州市钱塘区临江街道红十五线与观十五线交叉口杭州临江环境能源有限公司科研楼投资发展部   庄工 15268125337。</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（2）响应文件邮寄封装要求：供应商除按照文件要求封装响应文件外，还需在快递外包装上</w:t>
      </w:r>
      <w:r>
        <w:rPr>
          <w:rFonts w:hint="eastAsia" w:cs="仿宋" w:asciiTheme="minorEastAsia" w:hAnsiTheme="minorEastAsia"/>
          <w:b/>
          <w:bCs/>
          <w:sz w:val="28"/>
          <w:szCs w:val="28"/>
        </w:rPr>
        <w:t>醒目注明项目名称、询价编号，且注明联系人、联系人电话</w:t>
      </w:r>
      <w:r>
        <w:rPr>
          <w:rFonts w:hint="eastAsia" w:cs="仿宋" w:asciiTheme="minorEastAsia" w:hAnsiTheme="minorEastAsia"/>
          <w:sz w:val="24"/>
        </w:rPr>
        <w:t>；快递包装务必牢固可靠，因包装原因出现影响响应文件完整性、密封性等后果由供应商自行负责。</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（4）响应文件邮递递交截止时间：以邮寄签收时间为准，因邮寄原因导致响应文件不能如期送达等风险由供应商自行承担。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kern w:val="0"/>
          <w:sz w:val="24"/>
          <w:u w:val="single"/>
        </w:rPr>
        <w:t>202</w:t>
      </w:r>
      <w:r>
        <w:rPr>
          <w:rFonts w:hint="eastAsia" w:cs="仿宋" w:asciiTheme="minorEastAsia" w:hAnsiTheme="minorEastAsia"/>
          <w:kern w:val="0"/>
          <w:sz w:val="24"/>
          <w:u w:val="single"/>
          <w:lang w:val="en-US" w:eastAsia="zh-CN"/>
        </w:rPr>
        <w:t xml:space="preserve">4 </w:t>
      </w:r>
      <w:r>
        <w:rPr>
          <w:rFonts w:hint="eastAsia" w:cs="仿宋" w:asciiTheme="minorEastAsia" w:hAnsiTheme="minorEastAsia"/>
          <w:kern w:val="0"/>
          <w:sz w:val="24"/>
          <w:u w:val="single"/>
        </w:rPr>
        <w:t>年</w:t>
      </w:r>
      <w:r>
        <w:rPr>
          <w:rFonts w:hint="eastAsia" w:cs="仿宋" w:asciiTheme="minorEastAsia" w:hAnsiTheme="minorEastAsia"/>
          <w:kern w:val="0"/>
          <w:sz w:val="24"/>
          <w:u w:val="single"/>
          <w:lang w:val="en-US" w:eastAsia="zh-CN"/>
        </w:rPr>
        <w:t>03</w:t>
      </w:r>
      <w:r>
        <w:rPr>
          <w:rFonts w:hint="eastAsia" w:cs="仿宋" w:asciiTheme="minorEastAsia" w:hAnsiTheme="minorEastAsia"/>
          <w:kern w:val="0"/>
          <w:sz w:val="24"/>
          <w:u w:val="single"/>
        </w:rPr>
        <w:t>月</w:t>
      </w:r>
      <w:r>
        <w:rPr>
          <w:rFonts w:hint="eastAsia" w:cs="仿宋" w:asciiTheme="minorEastAsia" w:hAnsiTheme="minorEastAsia"/>
          <w:kern w:val="0"/>
          <w:sz w:val="24"/>
          <w:u w:val="single"/>
          <w:lang w:val="en-US" w:eastAsia="zh-CN"/>
        </w:rPr>
        <w:t>13</w:t>
      </w:r>
      <w:r>
        <w:rPr>
          <w:rFonts w:hint="eastAsia" w:cs="仿宋" w:asciiTheme="minorEastAsia" w:hAnsiTheme="minorEastAsia"/>
          <w:bCs/>
          <w:kern w:val="0"/>
          <w:sz w:val="24"/>
          <w:u w:val="single"/>
        </w:rPr>
        <w:t>日</w:t>
      </w:r>
      <w:r>
        <w:rPr>
          <w:rFonts w:hint="eastAsia" w:cs="仿宋" w:asciiTheme="minorEastAsia" w:hAnsiTheme="minorEastAsia"/>
          <w:bCs/>
          <w:kern w:val="0"/>
          <w:sz w:val="24"/>
          <w:u w:val="single"/>
          <w:lang w:val="en-US" w:eastAsia="zh-CN"/>
        </w:rPr>
        <w:t>14</w:t>
      </w:r>
      <w:r>
        <w:rPr>
          <w:rFonts w:hint="eastAsia" w:cs="仿宋" w:asciiTheme="minorEastAsia" w:hAnsiTheme="minorEastAsia"/>
          <w:bCs/>
          <w:kern w:val="0"/>
          <w:sz w:val="24"/>
          <w:u w:val="single"/>
        </w:rPr>
        <w:t>点</w:t>
      </w:r>
      <w:r>
        <w:rPr>
          <w:rFonts w:hint="eastAsia" w:cs="仿宋" w:asciiTheme="minorEastAsia" w:hAnsiTheme="minorEastAsia"/>
          <w:bCs/>
          <w:kern w:val="0"/>
          <w:sz w:val="24"/>
          <w:u w:val="single"/>
          <w:lang w:val="en-US" w:eastAsia="zh-CN"/>
        </w:rPr>
        <w:t>30</w:t>
      </w:r>
      <w:r>
        <w:rPr>
          <w:rFonts w:hint="eastAsia" w:cs="仿宋" w:asciiTheme="minorEastAsia" w:hAnsiTheme="minorEastAsia"/>
          <w:bCs/>
          <w:kern w:val="0"/>
          <w:sz w:val="24"/>
          <w:u w:val="single"/>
        </w:rPr>
        <w:t>分00秒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开标采用线上和线下同时进行的方式，供应商可参与现场开标，或者线上参加“腾讯会议”形式参与线上现场开标。开标期间供应商代表通过“腾讯会议”保持全程在线直至开标结束。腾讯会议号在开标当日9:10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开标标录结果，各供应商在线回复确认标录结果完毕后（供应商因故未能确认标录结果的，默认供应商已确认开标结果），采购人打印开标标录，宣布开标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（4）见证要求：开标期间供应商因未参与现场开标或者未参加线上直播，视为认可全过程和结果，不得提出异议。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（5）异议处理：供应商对开标过程有异议的，应在开标会议结束前通过“腾讯会议”在线上提出，采购人应现场予以答复，并做好记录。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single"/>
        </w:rPr>
        <w:t>ljgsbjzy@163.com</w:t>
      </w:r>
      <w:r>
        <w:rPr>
          <w:rFonts w:hint="eastAsia" w:cs="仿宋" w:asciiTheme="minorEastAsia" w:hAnsiTheme="minorEastAsia"/>
          <w:sz w:val="24"/>
        </w:rPr>
        <w:t>提出质疑，同时</w:t>
      </w:r>
      <w:r>
        <w:rPr>
          <w:rFonts w:hint="eastAsia" w:cs="仿宋" w:asciiTheme="minorEastAsia" w:hAnsiTheme="minorEastAsia"/>
          <w:sz w:val="24"/>
          <w:lang w:eastAsia="zh-CN"/>
        </w:rPr>
        <w:t>联系</w:t>
      </w:r>
      <w:r>
        <w:rPr>
          <w:rFonts w:hint="eastAsia" w:cs="仿宋" w:asciiTheme="minorEastAsia" w:hAnsiTheme="minorEastAsia"/>
          <w:sz w:val="24"/>
        </w:rPr>
        <w:t>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八、联系方式</w:t>
      </w:r>
    </w:p>
    <w:p>
      <w:pPr>
        <w:spacing w:line="360" w:lineRule="auto"/>
        <w:ind w:firstLine="480" w:firstLineChars="200"/>
        <w:rPr>
          <w:rFonts w:hint="default" w:cs="仿宋" w:asciiTheme="minorEastAsia" w:hAnsiTheme="minorEastAsia" w:eastAsiaTheme="minorEastAsia"/>
          <w:sz w:val="24"/>
          <w:lang w:val="en-US" w:eastAsia="zh-CN"/>
        </w:rPr>
      </w:pPr>
      <w:r>
        <w:rPr>
          <w:rFonts w:hint="eastAsia" w:cs="仿宋" w:asciiTheme="minorEastAsia" w:hAnsiTheme="minorEastAsia"/>
          <w:sz w:val="24"/>
        </w:rPr>
        <w:t>联系人：</w:t>
      </w:r>
      <w:r>
        <w:rPr>
          <w:rFonts w:hint="eastAsia" w:cs="仿宋" w:asciiTheme="minorEastAsia" w:hAnsiTheme="minorEastAsia"/>
          <w:sz w:val="24"/>
          <w:lang w:val="en-US" w:eastAsia="zh-CN"/>
        </w:rPr>
        <w:t>陈</w:t>
      </w:r>
      <w:r>
        <w:rPr>
          <w:rFonts w:hint="eastAsia" w:cs="仿宋" w:asciiTheme="minorEastAsia" w:hAnsiTheme="minorEastAsia"/>
          <w:sz w:val="24"/>
        </w:rPr>
        <w:t xml:space="preserve">工   </w:t>
      </w:r>
      <w:r>
        <w:rPr>
          <w:rFonts w:cs="仿宋" w:asciiTheme="minorEastAsia" w:hAnsiTheme="minorEastAsia"/>
          <w:sz w:val="24"/>
        </w:rPr>
        <w:t xml:space="preserve"> </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联系电话：</w:t>
      </w:r>
      <w:r>
        <w:rPr>
          <w:rFonts w:hint="eastAsia" w:cs="仿宋" w:asciiTheme="minorEastAsia" w:hAnsiTheme="minorEastAsia"/>
          <w:sz w:val="24"/>
          <w:lang w:val="en-US" w:eastAsia="zh-CN"/>
        </w:rPr>
        <w:t>15258849018</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九、监督部门</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联系人：李文拓       联系电话：15636132687</w:t>
      </w:r>
    </w:p>
    <w:p>
      <w:pPr>
        <w:spacing w:line="360" w:lineRule="auto"/>
        <w:ind w:firstLine="3840" w:firstLineChars="1600"/>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320" w:firstLineChars="1800"/>
        <w:rPr>
          <w:rFonts w:cs="仿宋" w:asciiTheme="minorEastAsia" w:hAnsiTheme="minorEastAsia"/>
          <w:b/>
          <w:bCs/>
          <w:sz w:val="24"/>
        </w:rPr>
      </w:pPr>
      <w:r>
        <w:rPr>
          <w:rFonts w:hint="eastAsia" w:cs="仿宋" w:asciiTheme="minorEastAsia" w:hAnsiTheme="minorEastAsia"/>
          <w:sz w:val="24"/>
        </w:rPr>
        <w:t>202</w:t>
      </w:r>
      <w:r>
        <w:rPr>
          <w:rFonts w:hint="eastAsia" w:cs="仿宋" w:asciiTheme="minorEastAsia" w:hAnsiTheme="minorEastAsia"/>
          <w:sz w:val="24"/>
          <w:lang w:val="en-US" w:eastAsia="zh-CN"/>
        </w:rPr>
        <w:t>4</w:t>
      </w:r>
      <w:r>
        <w:rPr>
          <w:rFonts w:hint="eastAsia" w:cs="仿宋" w:asciiTheme="minorEastAsia" w:hAnsiTheme="minorEastAsia"/>
          <w:sz w:val="24"/>
        </w:rPr>
        <w:t>年</w:t>
      </w:r>
      <w:r>
        <w:rPr>
          <w:rFonts w:hint="eastAsia" w:cs="仿宋" w:asciiTheme="minorEastAsia" w:hAnsiTheme="minorEastAsia"/>
          <w:sz w:val="24"/>
          <w:lang w:val="en-US" w:eastAsia="zh-CN"/>
        </w:rPr>
        <w:t>03</w:t>
      </w:r>
      <w:r>
        <w:rPr>
          <w:rFonts w:hint="eastAsia" w:cs="仿宋" w:asciiTheme="minorEastAsia" w:hAnsiTheme="minorEastAsia"/>
          <w:sz w:val="24"/>
        </w:rPr>
        <w:t>月</w:t>
      </w:r>
      <w:r>
        <w:rPr>
          <w:rFonts w:hint="eastAsia" w:cs="仿宋" w:asciiTheme="minorEastAsia" w:hAnsiTheme="minorEastAsia"/>
          <w:sz w:val="24"/>
          <w:lang w:val="en-US" w:eastAsia="zh-CN"/>
        </w:rPr>
        <w:t>06</w:t>
      </w:r>
      <w:r>
        <w:rPr>
          <w:rFonts w:hint="eastAsia" w:cs="仿宋" w:asciiTheme="minorEastAsia" w:hAnsiTheme="minorEastAsia"/>
          <w:sz w:val="24"/>
        </w:rPr>
        <w:t>日</w:t>
      </w: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bookmarkEnd w:id="1"/>
    <w:p>
      <w:pPr>
        <w:widowControl/>
        <w:jc w:val="left"/>
        <w:rPr>
          <w:rFonts w:cs="仿宋" w:asciiTheme="minorEastAsia" w:hAnsiTheme="minorEastAsia"/>
          <w:b/>
          <w:bCs/>
          <w:sz w:val="36"/>
          <w:szCs w:val="36"/>
        </w:rPr>
      </w:pPr>
      <w:r>
        <w:rPr>
          <w:rFonts w:cs="仿宋" w:asciiTheme="minorEastAsia" w:hAnsiTheme="minorEastAsia"/>
          <w:b/>
          <w:bCs/>
          <w:sz w:val="36"/>
          <w:szCs w:val="36"/>
        </w:rPr>
        <w:br w:type="page"/>
      </w: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4"/>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7"/>
              <w:adjustRightInd w:val="0"/>
              <w:snapToGrid w:val="0"/>
              <w:spacing w:line="400" w:lineRule="exact"/>
              <w:jc w:val="center"/>
              <w:rPr>
                <w:b/>
                <w:szCs w:val="21"/>
              </w:rPr>
            </w:pPr>
            <w:r>
              <w:rPr>
                <w:rFonts w:hint="eastAsia"/>
                <w:b/>
                <w:snapToGrid w:val="0"/>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zCs w:val="21"/>
              </w:rPr>
            </w:pPr>
            <w:r>
              <w:rPr>
                <w:rFonts w:hint="eastAsia"/>
                <w:snapToGrid w:val="0"/>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7"/>
              <w:adjustRightInd w:val="0"/>
              <w:snapToGrid w:val="0"/>
              <w:spacing w:line="400" w:lineRule="exact"/>
              <w:jc w:val="center"/>
              <w:rPr>
                <w:b/>
                <w:snapToGrid w:val="0"/>
                <w:szCs w:val="21"/>
              </w:rPr>
            </w:pPr>
            <w:r>
              <w:rPr>
                <w:rFonts w:hint="eastAsia"/>
                <w:b/>
                <w:bCs/>
                <w:snapToGrid w:val="0"/>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rPr>
            </w:pPr>
            <w:r>
              <w:rPr>
                <w:rFonts w:hint="eastAsia"/>
                <w:snapToGrid w:val="0"/>
                <w:szCs w:val="21"/>
              </w:rPr>
              <w:t xml:space="preserve">供应商资格审查方式：  □资格预审  </w:t>
            </w:r>
            <w:r>
              <w:rPr>
                <w:rFonts w:hint="eastAsia"/>
                <w:snapToGrid w:val="0"/>
                <w:szCs w:val="21"/>
              </w:rPr>
              <w:sym w:font="Wingdings 2" w:char="0052"/>
            </w:r>
            <w:r>
              <w:rPr>
                <w:rFonts w:hint="eastAsia"/>
                <w:snapToGrid w:val="0"/>
                <w:szCs w:val="21"/>
              </w:rPr>
              <w:t>资格后审</w:t>
            </w:r>
          </w:p>
          <w:p>
            <w:pPr>
              <w:pStyle w:val="17"/>
              <w:snapToGrid w:val="0"/>
              <w:spacing w:line="400" w:lineRule="exact"/>
              <w:ind w:right="42" w:rightChars="20"/>
              <w:rPr>
                <w:snapToGrid w:val="0"/>
                <w:szCs w:val="21"/>
              </w:rPr>
            </w:pPr>
            <w:r>
              <w:rPr>
                <w:rFonts w:hint="eastAsia"/>
                <w:snapToGrid w:val="0"/>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bCs/>
                <w:snapToGrid w:val="0"/>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rPr>
            </w:pPr>
            <w:r>
              <w:rPr>
                <w:rFonts w:hint="eastAsia"/>
                <w:snapToGrid w:val="0"/>
                <w:szCs w:val="21"/>
              </w:rPr>
              <w:t xml:space="preserve">（1）分包：□允许  </w:t>
            </w:r>
            <w:r>
              <w:rPr>
                <w:rFonts w:hint="eastAsia"/>
                <w:szCs w:val="21"/>
                <w:lang w:bidi="ar"/>
              </w:rPr>
              <w:sym w:font="Wingdings" w:char="00FE"/>
            </w:r>
            <w:r>
              <w:rPr>
                <w:rFonts w:hint="eastAsia"/>
                <w:snapToGrid w:val="0"/>
                <w:szCs w:val="21"/>
              </w:rPr>
              <w:t>不允许</w:t>
            </w:r>
          </w:p>
          <w:p>
            <w:pPr>
              <w:pStyle w:val="17"/>
              <w:snapToGrid w:val="0"/>
              <w:spacing w:line="400" w:lineRule="exact"/>
              <w:ind w:right="42" w:rightChars="20"/>
              <w:rPr>
                <w:szCs w:val="21"/>
              </w:rPr>
            </w:pPr>
            <w:r>
              <w:rPr>
                <w:rFonts w:hint="eastAsia"/>
                <w:snapToGrid w:val="0"/>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7"/>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szCs w:val="21"/>
              </w:rPr>
            </w:pPr>
            <w:sdt>
              <w:sdtPr>
                <w:rPr>
                  <w:rFonts w:hint="eastAsia" w:ascii="宋体" w:hAnsi="宋体" w:eastAsia="宋体" w:cs="宋体"/>
                  <w:kern w:val="0"/>
                  <w:szCs w:val="21"/>
                </w:rPr>
                <w:id w:val="18"/>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r>
              <w:rPr>
                <w:rFonts w:hint="eastAsia" w:ascii="宋体" w:hAnsi="宋体" w:eastAsia="宋体" w:cs="宋体"/>
                <w:kern w:val="0"/>
                <w:szCs w:val="21"/>
              </w:rPr>
              <w:t>B组织，</w:t>
            </w:r>
            <w:r>
              <w:rPr>
                <w:rFonts w:hint="eastAsia" w:ascii="宋体" w:hAnsi="宋体" w:eastAsia="宋体" w:cs="宋体"/>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1117802964"/>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r>
              <w:rPr>
                <w:rFonts w:hint="eastAsia" w:ascii="宋体" w:hAnsi="宋体" w:eastAsia="宋体" w:cs="宋体"/>
                <w:kern w:val="0"/>
                <w:szCs w:val="21"/>
              </w:rPr>
              <w:t>A</w:t>
            </w:r>
            <w:r>
              <w:rPr>
                <w:rFonts w:hint="eastAsia" w:ascii="宋体" w:hAnsi="宋体" w:eastAsia="宋体" w:cs="宋体"/>
                <w:szCs w:val="21"/>
              </w:rPr>
              <w:t>不要求提供。</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726270210"/>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1026831988"/>
              </w:sdtPr>
              <w:sdtEndPr>
                <w:rPr>
                  <w:rFonts w:hint="eastAsia" w:ascii="宋体" w:hAnsi="宋体" w:eastAsia="宋体" w:cs="宋体"/>
                  <w:kern w:val="0"/>
                  <w:szCs w:val="21"/>
                </w:rPr>
              </w:sdtEndPr>
              <w:sdtContent/>
            </w:sdt>
            <w:r>
              <w:rPr>
                <w:rFonts w:hint="eastAsia" w:ascii="宋体" w:hAnsi="宋体" w:eastAsia="宋体" w:cs="宋体"/>
                <w:kern w:val="0"/>
                <w:szCs w:val="21"/>
              </w:rPr>
              <w:t>B要求提供。</w:t>
            </w:r>
          </w:p>
          <w:p>
            <w:pPr>
              <w:spacing w:line="360" w:lineRule="auto"/>
              <w:rPr>
                <w:rFonts w:ascii="宋体" w:hAnsi="宋体" w:eastAsia="宋体" w:cs="宋体"/>
                <w:b/>
                <w:szCs w:val="21"/>
              </w:rPr>
            </w:pPr>
            <w:r>
              <w:rPr>
                <w:rFonts w:hint="eastAsia" w:ascii="宋体" w:hAnsi="宋体" w:eastAsia="宋体" w:cs="宋体"/>
                <w:szCs w:val="21"/>
              </w:rPr>
              <w:t>潜在供应商需要提供</w:t>
            </w:r>
            <w:r>
              <w:rPr>
                <w:rFonts w:hint="eastAsia" w:ascii="宋体" w:hAnsi="宋体" w:eastAsia="宋体" w:cs="宋体"/>
                <w:szCs w:val="21"/>
                <w:u w:val="single"/>
              </w:rPr>
              <w:t xml:space="preserve">        </w:t>
            </w:r>
            <w:r>
              <w:rPr>
                <w:rFonts w:hint="eastAsia" w:ascii="宋体" w:hAnsi="宋体" w:eastAsia="宋体" w:cs="宋体"/>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 w:val="24"/>
              </w:rPr>
            </w:pPr>
            <w:r>
              <w:rPr>
                <w:rFonts w:hint="eastAsia" w:ascii="宋体" w:hAnsi="宋体" w:eastAsia="宋体" w:cs="宋体"/>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szCs w:val="21"/>
              </w:rPr>
            </w:pPr>
            <w:r>
              <w:rPr>
                <w:rFonts w:hint="eastAsia" w:ascii="宋体" w:hAnsi="宋体" w:eastAsia="宋体" w:cs="宋体"/>
                <w:b/>
                <w:bCs/>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94663491"/>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2" w:char="F052"/>
                </w:r>
              </w:sdtContent>
            </w:sdt>
            <w:r>
              <w:rPr>
                <w:rFonts w:hint="eastAsia" w:ascii="宋体" w:hAnsi="宋体" w:eastAsia="宋体" w:cs="宋体"/>
                <w:kern w:val="0"/>
                <w:szCs w:val="21"/>
              </w:rPr>
              <w:t>A</w:t>
            </w:r>
            <w:r>
              <w:rPr>
                <w:rFonts w:hint="eastAsia" w:ascii="宋体" w:hAnsi="宋体" w:eastAsia="宋体" w:cs="宋体"/>
                <w:szCs w:val="21"/>
              </w:rPr>
              <w:t>不要求询价保证金</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688138580"/>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F0A8"/>
                </w:r>
              </w:sdtContent>
            </w:sdt>
            <w:sdt>
              <w:sdtPr>
                <w:rPr>
                  <w:rFonts w:hint="eastAsia" w:ascii="宋体" w:hAnsi="宋体" w:eastAsia="宋体" w:cs="宋体"/>
                  <w:kern w:val="0"/>
                  <w:szCs w:val="21"/>
                </w:rPr>
                <w:id w:val="-179896181"/>
              </w:sdtPr>
              <w:sdtEndPr>
                <w:rPr>
                  <w:rFonts w:hint="eastAsia" w:ascii="宋体" w:hAnsi="宋体" w:eastAsia="宋体" w:cs="宋体"/>
                  <w:kern w:val="0"/>
                  <w:szCs w:val="21"/>
                </w:rPr>
              </w:sdtEndPr>
              <w:sdtContent/>
            </w:sdt>
            <w:r>
              <w:rPr>
                <w:rFonts w:hint="eastAsia" w:ascii="宋体" w:hAnsi="宋体" w:eastAsia="宋体" w:cs="宋体"/>
                <w:kern w:val="0"/>
                <w:szCs w:val="21"/>
              </w:rPr>
              <w:t>B要求</w:t>
            </w:r>
            <w:r>
              <w:rPr>
                <w:rFonts w:hint="eastAsia" w:ascii="宋体" w:hAnsi="宋体" w:eastAsia="宋体" w:cs="宋体"/>
                <w:szCs w:val="21"/>
              </w:rPr>
              <w:t>询价保证金</w:t>
            </w:r>
            <w:r>
              <w:rPr>
                <w:rFonts w:hint="eastAsia" w:ascii="宋体" w:hAnsi="宋体" w:eastAsia="宋体" w:cs="宋体"/>
                <w:kern w:val="0"/>
                <w:szCs w:val="21"/>
              </w:rPr>
              <w:t>。</w:t>
            </w:r>
          </w:p>
          <w:p>
            <w:pPr>
              <w:spacing w:line="360" w:lineRule="auto"/>
              <w:outlineLvl w:val="1"/>
              <w:rPr>
                <w:rFonts w:ascii="宋体" w:hAnsi="宋体" w:eastAsia="宋体" w:cs="宋体"/>
                <w:b/>
                <w:bCs/>
                <w:szCs w:val="21"/>
              </w:rPr>
            </w:pPr>
            <w:r>
              <w:rPr>
                <w:rFonts w:hint="eastAsia" w:ascii="宋体" w:hAnsi="宋体" w:eastAsia="宋体" w:cs="宋体"/>
                <w:szCs w:val="21"/>
              </w:rPr>
              <w:t>本采购项目询价保证金为</w:t>
            </w:r>
            <w:r>
              <w:rPr>
                <w:rFonts w:hint="eastAsia" w:ascii="宋体" w:hAnsi="宋体" w:eastAsia="宋体" w:cs="宋体"/>
                <w:szCs w:val="21"/>
                <w:u w:val="single"/>
              </w:rPr>
              <w:t xml:space="preserve">  </w:t>
            </w:r>
            <w:r>
              <w:rPr>
                <w:rFonts w:ascii="宋体" w:hAnsi="宋体" w:eastAsia="宋体" w:cs="宋体"/>
                <w:szCs w:val="21"/>
                <w:u w:val="single"/>
              </w:rPr>
              <w:t>/</w:t>
            </w:r>
            <w:r>
              <w:rPr>
                <w:rFonts w:hint="eastAsia" w:ascii="宋体" w:hAnsi="宋体" w:eastAsia="宋体" w:cs="宋体"/>
                <w:szCs w:val="21"/>
                <w:u w:val="single"/>
              </w:rPr>
              <w:t xml:space="preserve"> </w:t>
            </w:r>
            <w:r>
              <w:rPr>
                <w:rFonts w:hint="eastAsia" w:ascii="宋体" w:hAnsi="宋体" w:eastAsia="宋体" w:cs="宋体"/>
                <w:szCs w:val="21"/>
              </w:rPr>
              <w:t>元，供应商应在投标截止日前以电汇或网银转账方式缴纳至杭州临江环境能源有限公司。同时将银行缴款凭证复印件作为投标文件组成部分。</w:t>
            </w:r>
            <w:r>
              <w:rPr>
                <w:rFonts w:hint="eastAsia" w:ascii="宋体" w:hAnsi="宋体" w:eastAsia="宋体" w:cs="宋体"/>
                <w:b/>
                <w:bCs/>
                <w:szCs w:val="21"/>
              </w:rPr>
              <w:t xml:space="preserve">须注明： </w:t>
            </w:r>
            <w:r>
              <w:rPr>
                <w:rFonts w:ascii="宋体" w:hAnsi="宋体" w:eastAsia="宋体" w:cs="宋体"/>
                <w:b/>
                <w:bCs/>
                <w:szCs w:val="21"/>
                <w:u w:val="single"/>
              </w:rPr>
              <w:t xml:space="preserve">  / </w:t>
            </w:r>
            <w:r>
              <w:rPr>
                <w:rFonts w:hint="eastAsia" w:ascii="宋体" w:hAnsi="宋体" w:eastAsia="宋体" w:cs="宋体"/>
                <w:b/>
                <w:bCs/>
                <w:szCs w:val="21"/>
                <w:u w:val="single"/>
              </w:rPr>
              <w:t xml:space="preserve"> </w:t>
            </w:r>
            <w:r>
              <w:rPr>
                <w:rFonts w:hint="eastAsia" w:ascii="宋体" w:hAnsi="宋体" w:eastAsia="宋体" w:cs="宋体"/>
                <w:b/>
                <w:bCs/>
                <w:szCs w:val="21"/>
              </w:rPr>
              <w:t>询价保证金</w:t>
            </w:r>
          </w:p>
          <w:p>
            <w:pPr>
              <w:pStyle w:val="18"/>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户    名：杭州临江环境能源有限公司</w:t>
            </w:r>
          </w:p>
          <w:p>
            <w:pPr>
              <w:pStyle w:val="18"/>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开户银行：杭州银行大江东支行</w:t>
            </w:r>
          </w:p>
          <w:p>
            <w:pPr>
              <w:spacing w:line="360" w:lineRule="auto"/>
              <w:outlineLvl w:val="1"/>
              <w:rPr>
                <w:rFonts w:ascii="宋体" w:hAnsi="宋体" w:eastAsia="宋体" w:cs="宋体"/>
                <w:szCs w:val="21"/>
              </w:rPr>
            </w:pPr>
            <w:r>
              <w:rPr>
                <w:rFonts w:hint="eastAsia" w:ascii="宋体" w:hAnsi="宋体" w:eastAsia="宋体" w:cs="宋体"/>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58"/>
              </w:sdtPr>
              <w:sdtEndPr>
                <w:rPr>
                  <w:rFonts w:hint="eastAsia" w:ascii="宋体" w:hAnsi="宋体" w:eastAsia="宋体" w:cs="宋体"/>
                  <w:kern w:val="0"/>
                  <w:szCs w:val="21"/>
                </w:rPr>
              </w:sdtEndPr>
              <w:sdtContent>
                <w:sdt>
                  <w:sdtPr>
                    <w:rPr>
                      <w:rFonts w:hint="eastAsia" w:ascii="宋体" w:hAnsi="宋体" w:eastAsia="宋体" w:cs="宋体"/>
                      <w:kern w:val="0"/>
                      <w:szCs w:val="21"/>
                    </w:rPr>
                    <w:id w:val="59"/>
                  </w:sdtPr>
                  <w:sdtEndPr>
                    <w:rPr>
                      <w:rFonts w:hint="eastAsia" w:ascii="宋体" w:hAnsi="宋体" w:eastAsia="宋体" w:cs="宋体"/>
                      <w:kern w:val="0"/>
                      <w:szCs w:val="21"/>
                    </w:rPr>
                  </w:sdtEndPr>
                  <w:sdtContent>
                    <w:sdt>
                      <w:sdtPr>
                        <w:rPr>
                          <w:rFonts w:hint="eastAsia" w:ascii="宋体" w:hAnsi="宋体" w:eastAsia="宋体" w:cs="宋体"/>
                          <w:kern w:val="0"/>
                          <w:szCs w:val="21"/>
                        </w:rPr>
                        <w:id w:val="-495733405"/>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sdt>
                  <w:sdtPr>
                    <w:rPr>
                      <w:rFonts w:hint="eastAsia" w:ascii="宋体" w:hAnsi="宋体" w:eastAsia="宋体" w:cs="宋体"/>
                      <w:kern w:val="0"/>
                      <w:szCs w:val="21"/>
                    </w:rPr>
                    <w:id w:val="60"/>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kern w:val="0"/>
                <w:szCs w:val="21"/>
              </w:rPr>
            </w:pPr>
            <w:sdt>
              <w:sdtPr>
                <w:rPr>
                  <w:rFonts w:hint="eastAsia" w:ascii="宋体" w:hAnsi="宋体" w:eastAsia="宋体" w:cs="宋体"/>
                  <w:kern w:val="0"/>
                  <w:szCs w:val="21"/>
                </w:rPr>
                <w:id w:val="11740717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62"/>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sdt>
                  <w:sdtPr>
                    <w:rPr>
                      <w:rFonts w:hint="eastAsia" w:ascii="宋体" w:hAnsi="宋体" w:eastAsia="宋体" w:cs="宋体"/>
                      <w:kern w:val="0"/>
                      <w:szCs w:val="21"/>
                    </w:rPr>
                    <w:id w:val="63"/>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B组织。</w:t>
            </w:r>
          </w:p>
          <w:p>
            <w:pPr>
              <w:snapToGrid w:val="0"/>
              <w:spacing w:line="360" w:lineRule="auto"/>
              <w:rPr>
                <w:rFonts w:ascii="宋体" w:hAnsi="宋体" w:eastAsia="宋体" w:cs="宋体"/>
                <w:b/>
                <w:kern w:val="0"/>
                <w:szCs w:val="21"/>
                <w:lang w:val="zh-CN"/>
              </w:rPr>
            </w:pPr>
            <w:r>
              <w:rPr>
                <w:rFonts w:hint="eastAsia" w:ascii="宋体" w:hAnsi="宋体" w:eastAsia="宋体" w:cs="宋体"/>
                <w:kern w:val="0"/>
                <w:szCs w:val="21"/>
              </w:rPr>
              <w:t>（1）在评审时安排供应商进行方案讲解演示。每个供应商时间不超过</w:t>
            </w:r>
            <w:r>
              <w:rPr>
                <w:rFonts w:hint="eastAsia" w:ascii="宋体" w:hAnsi="宋体" w:eastAsia="宋体" w:cs="宋体"/>
                <w:szCs w:val="21"/>
                <w:u w:val="single"/>
              </w:rPr>
              <w:t xml:space="preserve"> 20</w:t>
            </w:r>
            <w:r>
              <w:rPr>
                <w:rFonts w:hint="eastAsia" w:ascii="宋体" w:hAnsi="宋体" w:eastAsia="宋体" w:cs="宋体"/>
                <w:kern w:val="0"/>
                <w:szCs w:val="21"/>
                <w:u w:val="single"/>
              </w:rPr>
              <w:t>（编制时可根据项目情况进行调整）</w:t>
            </w:r>
            <w:r>
              <w:rPr>
                <w:rFonts w:hint="eastAsia" w:ascii="宋体" w:hAnsi="宋体" w:eastAsia="宋体" w:cs="宋体"/>
                <w:szCs w:val="21"/>
                <w:u w:val="single"/>
              </w:rPr>
              <w:t xml:space="preserve">   </w:t>
            </w:r>
            <w:r>
              <w:rPr>
                <w:rFonts w:hint="eastAsia" w:ascii="宋体" w:hAnsi="宋体" w:eastAsia="宋体" w:cs="宋体"/>
                <w:kern w:val="0"/>
                <w:szCs w:val="21"/>
              </w:rPr>
              <w:t>分钟，讲解次序以响应文件解密时间先后次序为准，讲解演示人员不超过</w:t>
            </w:r>
            <w:r>
              <w:rPr>
                <w:rFonts w:hint="eastAsia" w:ascii="宋体" w:hAnsi="宋体" w:eastAsia="宋体" w:cs="宋体"/>
                <w:kern w:val="0"/>
                <w:szCs w:val="21"/>
                <w:u w:val="single"/>
              </w:rPr>
              <w:t>3（编制时可根据项目情况进行调整）</w:t>
            </w:r>
            <w:r>
              <w:rPr>
                <w:rFonts w:hint="eastAsia" w:ascii="宋体" w:hAnsi="宋体" w:eastAsia="宋体" w:cs="宋体"/>
                <w:kern w:val="0"/>
                <w:szCs w:val="21"/>
              </w:rPr>
              <w:t>人。讲解演示结束后按要求解答询价评审小组提问。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kern w:val="0"/>
                <w:szCs w:val="21"/>
                <w:lang w:val="zh-CN"/>
              </w:rPr>
            </w:pPr>
            <w:r>
              <w:rPr>
                <w:rFonts w:hint="eastAsia" w:ascii="宋体" w:hAnsi="宋体" w:eastAsia="宋体" w:cs="宋体"/>
                <w:kern w:val="0"/>
                <w:szCs w:val="21"/>
                <w:lang w:val="zh-CN"/>
              </w:rPr>
              <w:t>有关本项目实施所需的所有费用（含税费）均计入报价。</w:t>
            </w:r>
            <w:r>
              <w:rPr>
                <w:rFonts w:hint="eastAsia" w:ascii="宋体" w:hAnsi="宋体" w:eastAsia="宋体" w:cs="宋体"/>
                <w:szCs w:val="21"/>
                <w:lang w:val="zh-CN"/>
              </w:rPr>
              <w:t>响应报价函</w:t>
            </w:r>
            <w:r>
              <w:rPr>
                <w:rFonts w:hint="eastAsia" w:ascii="宋体" w:hAnsi="宋体" w:eastAsia="宋体" w:cs="宋体"/>
                <w:szCs w:val="21"/>
              </w:rPr>
              <w:t>是报价的唯一载体</w:t>
            </w:r>
            <w:r>
              <w:rPr>
                <w:rFonts w:hint="eastAsia" w:ascii="宋体" w:hAnsi="宋体" w:eastAsia="宋体" w:cs="宋体"/>
                <w:b/>
                <w:bCs/>
                <w:szCs w:val="21"/>
              </w:rPr>
              <w:t>，如供应商填写的报价函与响应文件中</w:t>
            </w:r>
            <w:r>
              <w:rPr>
                <w:rFonts w:hint="eastAsia" w:ascii="宋体" w:hAnsi="宋体" w:eastAsia="宋体" w:cs="宋体"/>
                <w:b/>
                <w:bCs/>
                <w:szCs w:val="21"/>
                <w:lang w:val="zh-CN"/>
              </w:rPr>
              <w:t>响应报价明细表</w:t>
            </w:r>
            <w:r>
              <w:rPr>
                <w:rFonts w:hint="eastAsia" w:ascii="宋体" w:hAnsi="宋体" w:eastAsia="宋体" w:cs="宋体"/>
                <w:b/>
                <w:bCs/>
                <w:szCs w:val="21"/>
              </w:rPr>
              <w:t>不一致的，以</w:t>
            </w:r>
            <w:r>
              <w:rPr>
                <w:rFonts w:hint="eastAsia" w:ascii="宋体" w:hAnsi="宋体" w:eastAsia="宋体" w:cs="宋体"/>
                <w:b/>
                <w:bCs/>
                <w:szCs w:val="21"/>
                <w:lang w:val="zh-CN"/>
              </w:rPr>
              <w:t>响应报价函</w:t>
            </w:r>
            <w:r>
              <w:rPr>
                <w:rFonts w:hint="eastAsia" w:ascii="宋体" w:hAnsi="宋体" w:eastAsia="宋体" w:cs="宋体"/>
                <w:b/>
                <w:bCs/>
                <w:szCs w:val="21"/>
              </w:rPr>
              <w:t>为准。</w:t>
            </w:r>
            <w:r>
              <w:rPr>
                <w:rFonts w:hint="eastAsia" w:ascii="宋体" w:hAnsi="宋体" w:eastAsia="宋体" w:cs="宋体"/>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pPr>
            <w:r>
              <w:rPr>
                <w:rFonts w:hint="eastAsia" w:ascii="宋体" w:hAnsi="宋体" w:eastAsia="宋体" w:cs="宋体"/>
                <w:b/>
                <w:kern w:val="0"/>
                <w:szCs w:val="21"/>
                <w:lang w:val="zh-CN"/>
              </w:rPr>
              <w:t>响应无效情形，详见</w:t>
            </w:r>
            <w:r>
              <w:rPr>
                <w:rFonts w:hint="eastAsia"/>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评审方法</w:t>
            </w:r>
          </w:p>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snapToGrid w:val="0"/>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rPr>
              <w:t>综合评分法。</w:t>
            </w:r>
          </w:p>
          <w:p>
            <w:pPr>
              <w:autoSpaceDE w:val="0"/>
              <w:autoSpaceDN w:val="0"/>
              <w:adjustRightInd w:val="0"/>
              <w:snapToGrid w:val="0"/>
              <w:spacing w:line="320" w:lineRule="exact"/>
            </w:pPr>
            <w:r>
              <w:rPr>
                <w:rFonts w:hint="eastAsia" w:ascii="宋体" w:hAnsi="宋体" w:cs="宋体"/>
                <w:kern w:val="0"/>
                <w:szCs w:val="21"/>
                <w:lang w:bidi="ar"/>
              </w:rPr>
              <w:sym w:font="Wingdings" w:char="00FE"/>
            </w:r>
            <w:r>
              <w:rPr>
                <w:rFonts w:hint="eastAsia"/>
              </w:rPr>
              <w:t>经评审后最低投标价法。</w:t>
            </w:r>
          </w:p>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ascii="宋体" w:hAnsi="宋体" w:cs="宋体"/>
                <w:kern w:val="0"/>
                <w:szCs w:val="21"/>
                <w:lang w:bidi="ar"/>
              </w:rPr>
              <w:t>其他</w:t>
            </w:r>
            <w:r>
              <w:rPr>
                <w:rFonts w:hint="eastAsia"/>
              </w:rPr>
              <w:t>。</w:t>
            </w:r>
          </w:p>
          <w:p>
            <w:pPr>
              <w:autoSpaceDE w:val="0"/>
              <w:autoSpaceDN w:val="0"/>
              <w:adjustRightInd w:val="0"/>
              <w:snapToGrid w:val="0"/>
              <w:spacing w:line="320" w:lineRule="exact"/>
              <w:rPr>
                <w:rFonts w:ascii="宋体" w:hAnsi="宋体" w:eastAsia="宋体" w:cs="宋体"/>
                <w:b/>
                <w:kern w:val="0"/>
                <w:szCs w:val="21"/>
              </w:rPr>
            </w:pPr>
            <w:r>
              <w:rPr>
                <w:rFonts w:hint="eastAsia"/>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szCs w:val="21"/>
              </w:rPr>
            </w:pPr>
            <w:r>
              <w:rPr>
                <w:rFonts w:ascii="宋体" w:hAnsi="宋体" w:cs="宋体"/>
              </w:rPr>
              <w:t>1</w:t>
            </w: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firstLine="0" w:firstLineChars="0"/>
              <w:jc w:val="left"/>
              <w:rPr>
                <w:rFonts w:ascii="宋体" w:hAnsi="宋体" w:cs="宋体"/>
              </w:rPr>
            </w:pPr>
            <w:r>
              <w:rPr>
                <w:rFonts w:hint="eastAsia" w:ascii="宋体" w:hAnsi="宋体" w:cs="宋体"/>
              </w:rPr>
              <w:t>履约保证金金额：约合同价的</w:t>
            </w:r>
            <w:r>
              <w:rPr>
                <w:rFonts w:ascii="宋体" w:hAnsi="宋体" w:cs="宋体"/>
              </w:rPr>
              <w:t>5</w:t>
            </w:r>
            <w:r>
              <w:rPr>
                <w:rFonts w:hint="eastAsia" w:ascii="宋体" w:hAnsi="宋体" w:cs="宋体"/>
              </w:rPr>
              <w:t>%</w:t>
            </w:r>
          </w:p>
          <w:p>
            <w:pPr>
              <w:pStyle w:val="19"/>
              <w:snapToGrid w:val="0"/>
              <w:spacing w:line="400" w:lineRule="exact"/>
              <w:ind w:firstLine="0" w:firstLineChars="0"/>
              <w:jc w:val="left"/>
              <w:rPr>
                <w:rFonts w:ascii="宋体" w:hAnsi="宋体" w:cs="宋体"/>
              </w:rPr>
            </w:pPr>
            <w:r>
              <w:rPr>
                <w:rFonts w:hint="eastAsia" w:ascii="宋体" w:hAnsi="宋体" w:cs="宋体"/>
              </w:rPr>
              <w:t>履约保证金缴纳形式：电汇/转账</w:t>
            </w:r>
          </w:p>
          <w:p>
            <w:pPr>
              <w:pStyle w:val="19"/>
              <w:snapToGrid w:val="0"/>
              <w:spacing w:line="400" w:lineRule="exact"/>
              <w:ind w:firstLine="0" w:firstLineChars="0"/>
              <w:jc w:val="left"/>
              <w:rPr>
                <w:rFonts w:ascii="宋体" w:hAnsi="宋体" w:cs="宋体"/>
              </w:rPr>
            </w:pPr>
            <w:r>
              <w:rPr>
                <w:rFonts w:hint="eastAsia" w:ascii="宋体" w:hAnsi="宋体" w:cs="宋体"/>
              </w:rPr>
              <w:t>履约保证金缴纳时间：合同签订后10日内缴纳</w:t>
            </w:r>
          </w:p>
          <w:p>
            <w:pPr>
              <w:pStyle w:val="19"/>
              <w:snapToGrid w:val="0"/>
              <w:spacing w:line="400" w:lineRule="exact"/>
              <w:ind w:firstLine="0" w:firstLineChars="0"/>
              <w:jc w:val="left"/>
              <w:rPr>
                <w:rFonts w:ascii="宋体" w:hAnsi="宋体" w:cs="宋体"/>
              </w:rPr>
            </w:pPr>
            <w:r>
              <w:rPr>
                <w:rFonts w:hint="eastAsia" w:ascii="宋体" w:hAnsi="宋体" w:cs="宋体"/>
              </w:rPr>
              <w:t>履约保证金接收人：杭州临江环境能源有限公司</w:t>
            </w:r>
          </w:p>
          <w:p>
            <w:pPr>
              <w:pStyle w:val="19"/>
              <w:snapToGrid w:val="0"/>
              <w:spacing w:line="400" w:lineRule="exact"/>
              <w:ind w:firstLine="0" w:firstLineChars="0"/>
              <w:jc w:val="left"/>
              <w:rPr>
                <w:rFonts w:ascii="宋体" w:hAnsi="宋体" w:cs="宋体"/>
              </w:rPr>
            </w:pPr>
            <w:r>
              <w:rPr>
                <w:rFonts w:hint="eastAsia" w:ascii="宋体" w:hAnsi="宋体" w:cs="宋体"/>
              </w:rPr>
              <w:t>履约保证金有效期限：履约保证金将在本项目合同到期或终止后，扣除</w:t>
            </w:r>
            <w:r>
              <w:rPr>
                <w:rFonts w:hint="eastAsia" w:ascii="宋体" w:hAnsi="宋体" w:cs="宋体"/>
                <w:lang w:eastAsia="zh-CN"/>
              </w:rPr>
              <w:t>供应商</w:t>
            </w:r>
            <w:r>
              <w:rPr>
                <w:rFonts w:hint="eastAsia" w:ascii="宋体" w:hAnsi="宋体" w:cs="宋体"/>
              </w:rPr>
              <w:t>应承担的违约金、损失赔偿金等款项后经</w:t>
            </w:r>
            <w:r>
              <w:rPr>
                <w:rFonts w:hint="eastAsia" w:ascii="宋体" w:hAnsi="宋体" w:cs="宋体"/>
                <w:lang w:eastAsia="zh-CN"/>
              </w:rPr>
              <w:t>供应商</w:t>
            </w:r>
            <w:r>
              <w:rPr>
                <w:rFonts w:hint="eastAsia" w:ascii="宋体" w:hAnsi="宋体" w:cs="宋体"/>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bCs/>
                <w:snapToGrid w:val="0"/>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rPr>
            </w:pPr>
            <w:r>
              <w:rPr>
                <w:rFonts w:hint="eastAsia"/>
                <w:snapToGrid w:val="0"/>
                <w:szCs w:val="21"/>
              </w:rPr>
              <w:t>是否分册装订：</w:t>
            </w:r>
          </w:p>
          <w:p>
            <w:pPr>
              <w:pStyle w:val="17"/>
              <w:snapToGrid w:val="0"/>
              <w:spacing w:line="400" w:lineRule="exact"/>
              <w:ind w:right="42" w:rightChars="20"/>
              <w:rPr>
                <w:snapToGrid w:val="0"/>
                <w:szCs w:val="21"/>
              </w:rPr>
            </w:pPr>
            <w:r>
              <w:rPr>
                <w:rFonts w:hint="eastAsia"/>
                <w:szCs w:val="21"/>
                <w:lang w:bidi="ar"/>
              </w:rPr>
              <w:sym w:font="Wingdings" w:char="00FE"/>
            </w:r>
            <w:r>
              <w:rPr>
                <w:rFonts w:hint="eastAsia"/>
                <w:snapToGrid w:val="0"/>
                <w:szCs w:val="21"/>
              </w:rPr>
              <w:t>不分册装订；</w:t>
            </w:r>
          </w:p>
          <w:p>
            <w:pPr>
              <w:pStyle w:val="17"/>
              <w:snapToGrid w:val="0"/>
              <w:spacing w:line="400" w:lineRule="exact"/>
              <w:ind w:right="42" w:rightChars="20"/>
              <w:rPr>
                <w:snapToGrid w:val="0"/>
                <w:szCs w:val="21"/>
                <w:u w:val="single"/>
              </w:rPr>
            </w:pPr>
            <w:r>
              <w:rPr>
                <w:rFonts w:hint="eastAsia"/>
                <w:snapToGrid w:val="0"/>
                <w:szCs w:val="21"/>
              </w:rPr>
              <w:sym w:font="Wingdings 2" w:char="00A3"/>
            </w:r>
            <w:r>
              <w:rPr>
                <w:rFonts w:hint="eastAsia"/>
                <w:snapToGrid w:val="0"/>
                <w:szCs w:val="21"/>
              </w:rPr>
              <w:t>分册装订。</w:t>
            </w:r>
          </w:p>
          <w:p>
            <w:pPr>
              <w:pStyle w:val="17"/>
              <w:snapToGrid w:val="0"/>
              <w:spacing w:line="400" w:lineRule="exact"/>
              <w:ind w:right="42" w:rightChars="20"/>
              <w:rPr>
                <w:lang w:val="en-US"/>
              </w:rPr>
            </w:pPr>
            <w:r>
              <w:rPr>
                <w:rFonts w:hint="eastAsia"/>
                <w:snapToGrid w:val="0"/>
                <w:szCs w:val="21"/>
              </w:rPr>
              <w:t>装订要求：</w:t>
            </w:r>
            <w:r>
              <w:rPr>
                <w:rFonts w:hint="eastAsia"/>
                <w:snapToGrid w:val="0"/>
                <w:szCs w:val="21"/>
                <w:lang w:val="en-US"/>
              </w:rPr>
              <w:t>正本1份，副本2份，</w:t>
            </w:r>
            <w:r>
              <w:rPr>
                <w:rFonts w:hint="eastAsia"/>
                <w:snapToGrid w:val="0"/>
                <w:szCs w:val="21"/>
              </w:rPr>
              <w:t>A4幅面，单面或</w:t>
            </w:r>
            <w:r>
              <w:rPr>
                <w:rFonts w:hint="eastAsia"/>
                <w:b/>
                <w:bCs/>
                <w:snapToGrid w:val="0"/>
                <w:szCs w:val="21"/>
              </w:rPr>
              <w:t>双面</w:t>
            </w:r>
            <w:r>
              <w:rPr>
                <w:rFonts w:hint="eastAsia"/>
                <w:snapToGrid w:val="0"/>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kern w:val="0"/>
                <w:szCs w:val="21"/>
              </w:rPr>
            </w:pPr>
            <w:r>
              <w:rPr>
                <w:rFonts w:hint="eastAsia" w:ascii="宋体" w:hAnsi="宋体" w:cs="宋体"/>
                <w:b/>
                <w:bCs/>
                <w:snapToGrid w:val="0"/>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rPr>
            </w:pPr>
            <w:r>
              <w:rPr>
                <w:rFonts w:hint="eastAsia" w:cs="仿宋" w:asciiTheme="minorEastAsia" w:hAnsiTheme="minorEastAsia"/>
                <w:sz w:val="24"/>
                <w:szCs w:val="20"/>
              </w:rPr>
              <w:t>响应有效期为从提交响应文件的截止之日起</w:t>
            </w:r>
            <w:r>
              <w:rPr>
                <w:rFonts w:hint="eastAsia" w:cs="仿宋" w:asciiTheme="minorEastAsia" w:hAnsiTheme="minorEastAsia"/>
                <w:sz w:val="24"/>
                <w:szCs w:val="20"/>
                <w:u w:val="single"/>
              </w:rPr>
              <w:t>90</w:t>
            </w:r>
            <w:r>
              <w:rPr>
                <w:rFonts w:hint="eastAsia" w:cs="仿宋" w:asciiTheme="minorEastAsia" w:hAnsiTheme="minorEastAsia"/>
                <w:sz w:val="24"/>
                <w:szCs w:val="20"/>
              </w:rPr>
              <w:t>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6"/>
        <w:rPr>
          <w:rFonts w:cs="仿宋" w:asciiTheme="minorEastAsia" w:hAnsiTheme="minorEastAsia"/>
          <w:b/>
          <w:sz w:val="32"/>
          <w:szCs w:val="20"/>
        </w:rPr>
      </w:pPr>
    </w:p>
    <w:p>
      <w:pPr>
        <w:pStyle w:val="7"/>
        <w:rPr>
          <w:rFonts w:cs="仿宋" w:asciiTheme="minorEastAsia" w:hAnsiTheme="minorEastAsia"/>
          <w:b/>
          <w:sz w:val="32"/>
        </w:rPr>
      </w:pPr>
    </w:p>
    <w:p>
      <w:pPr>
        <w:rPr>
          <w:rFonts w:cs="仿宋" w:asciiTheme="minorEastAsia" w:hAnsiTheme="minorEastAsia"/>
          <w:b/>
          <w:sz w:val="32"/>
          <w:szCs w:val="20"/>
        </w:rPr>
      </w:pPr>
    </w:p>
    <w:p/>
    <w:p>
      <w:pPr>
        <w:widowControl/>
        <w:jc w:val="left"/>
        <w:rPr>
          <w:rFonts w:cs="仿宋" w:asciiTheme="minorEastAsia" w:hAnsiTheme="minorEastAsia"/>
          <w:b/>
          <w:sz w:val="32"/>
          <w:szCs w:val="20"/>
        </w:rPr>
      </w:pPr>
      <w:r>
        <w:rPr>
          <w:rFonts w:cs="仿宋" w:asciiTheme="minorEastAsia" w:hAnsiTheme="minorEastAsia"/>
          <w:b/>
          <w:sz w:val="32"/>
          <w:szCs w:val="20"/>
        </w:rPr>
        <w:br w:type="page"/>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w:t>
      </w:r>
      <w:r>
        <w:rPr>
          <w:rFonts w:hint="eastAsia" w:cs="仿宋" w:asciiTheme="minorEastAsia" w:hAnsiTheme="minorEastAsia"/>
          <w:sz w:val="24"/>
          <w:lang w:eastAsia="zh-CN"/>
        </w:rPr>
        <w:t>法律法规</w:t>
      </w:r>
      <w:r>
        <w:rPr>
          <w:rFonts w:hint="eastAsia" w:cs="仿宋" w:asciiTheme="minorEastAsia" w:hAnsiTheme="minorEastAsia"/>
          <w:sz w:val="24"/>
        </w:rPr>
        <w:t>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2.3 “</w:t>
      </w:r>
      <w:r>
        <w:rPr>
          <w:rFonts w:hint="eastAsia" w:cs="仿宋" w:asciiTheme="minorEastAsia" w:hAnsiTheme="minorEastAsia"/>
          <w:sz w:val="24"/>
          <w:lang w:eastAsia="zh-CN"/>
        </w:rPr>
        <w:t>供应商</w:t>
      </w:r>
      <w:r>
        <w:rPr>
          <w:rFonts w:hint="eastAsia" w:cs="仿宋" w:asciiTheme="minorEastAsia" w:hAnsiTheme="minorEastAsia"/>
          <w:sz w:val="24"/>
        </w:rPr>
        <w:t>”系指是指经采购人确定的本项目供应商。</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2.4“负责人”系指法人企业的法定负责人，或其他组织为法律、行政法规规定代表单位行使职权的主要负责人。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2.5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0"/>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0"/>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6"/>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cs="仿宋" w:asciiTheme="minorEastAsia" w:hAnsiTheme="minorEastAsia"/>
          <w:snapToGrid w:val="0"/>
          <w:kern w:val="28"/>
          <w:sz w:val="24"/>
        </w:rPr>
      </w:pPr>
      <w:r>
        <w:rPr>
          <w:rFonts w:hint="eastAsia" w:cs="仿宋" w:asciiTheme="minorEastAsia" w:hAnsiTheme="minorEastAsia"/>
          <w:snapToGrid w:val="0"/>
          <w:kern w:val="28"/>
          <w:sz w:val="24"/>
        </w:rPr>
        <w:t>详见采购公告中获取询价采购文件的时间期限、地点、方式。</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6.响应截至前答疑会或现场考察</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0"/>
        <w:snapToGrid w:val="0"/>
        <w:spacing w:before="0"/>
        <w:ind w:firstLine="482"/>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0"/>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0"/>
        <w:spacing w:before="0"/>
        <w:ind w:firstLine="482"/>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0"/>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0"/>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0"/>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0"/>
        <w:spacing w:before="0"/>
        <w:ind w:firstLine="482"/>
        <w:rPr>
          <w:rFonts w:cs="仿宋" w:asciiTheme="minorEastAsia" w:hAnsiTheme="minorEastAsia"/>
          <w:b/>
          <w:szCs w:val="24"/>
        </w:rPr>
      </w:pPr>
      <w:r>
        <w:rPr>
          <w:rFonts w:hint="eastAsia" w:cs="仿宋" w:asciiTheme="minorEastAsia" w:hAnsiTheme="minorEastAsia"/>
          <w:b/>
          <w:szCs w:val="24"/>
        </w:rPr>
        <w:t>13.响应文件的无效处理</w:t>
      </w:r>
    </w:p>
    <w:p>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0"/>
        <w:spacing w:before="0"/>
        <w:ind w:firstLine="482"/>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0"/>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0"/>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0"/>
        <w:spacing w:before="0"/>
        <w:ind w:firstLine="0" w:firstLineChars="0"/>
        <w:jc w:val="center"/>
        <w:rPr>
          <w:rFonts w:cs="仿宋" w:asciiTheme="minorEastAsia" w:hAnsiTheme="minorEastAsia"/>
          <w:b/>
          <w:sz w:val="32"/>
        </w:rPr>
      </w:pPr>
    </w:p>
    <w:p>
      <w:pPr>
        <w:pStyle w:val="20"/>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1"/>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1"/>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15.1采购人按照询价采购文件规定的时间组织响应文件的开启，邀请所有供应商参加开标。供应商不足3家或者缴纳询价保证金少于3家（若有要求）的，不得开启拆封响应文件。</w:t>
      </w:r>
    </w:p>
    <w:p>
      <w:pPr>
        <w:pStyle w:val="21"/>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0"/>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0"/>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0"/>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0"/>
        <w:spacing w:before="0"/>
        <w:ind w:firstLine="482"/>
        <w:rPr>
          <w:rFonts w:cs="仿宋" w:asciiTheme="minorEastAsia" w:hAnsiTheme="minorEastAsia"/>
          <w:b/>
          <w:szCs w:val="24"/>
        </w:rPr>
      </w:pPr>
      <w:r>
        <w:rPr>
          <w:rFonts w:hint="eastAsia" w:cs="仿宋" w:asciiTheme="minorEastAsia" w:hAnsiTheme="minorEastAsia"/>
          <w:b/>
          <w:szCs w:val="24"/>
        </w:rPr>
        <w:t>17.信用信息查询</w:t>
      </w:r>
    </w:p>
    <w:p>
      <w:pPr>
        <w:pStyle w:val="20"/>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www.creditchina.gov.cn)、中国政府采购网《政府采购严重违法失信行为记录名单》(www.ccgp.gov.cn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渠道查询供应商响应截止时间当天的信用记录。</w:t>
      </w:r>
    </w:p>
    <w:p>
      <w:pPr>
        <w:pStyle w:val="20"/>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0"/>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17.3信用信息的使用规则：经查询列入失信被执行人名单、重大税收违法案件当事人名单、政府采购严重违法失信行为记录名单的供应商将被拒绝参与杭州临江环境能源有限公司采购活动。</w:t>
      </w:r>
    </w:p>
    <w:p>
      <w:pPr>
        <w:pStyle w:val="20"/>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9"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0"/>
        <w:snapToGrid w:val="0"/>
        <w:spacing w:before="0"/>
        <w:ind w:firstLine="482"/>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0"/>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0"/>
        <w:snapToGrid w:val="0"/>
        <w:spacing w:before="0"/>
        <w:ind w:firstLine="482"/>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除不可抗力等特殊情况外，原则上采购人应当在成交通知书发出之日起10个工作日内，与成交供应商按照询价采购文件确定的事项签订采购合同。</w:t>
      </w:r>
    </w:p>
    <w:p>
      <w:pPr>
        <w:pStyle w:val="20"/>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0"/>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0"/>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6"/>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供应商的询价保证金将在采购人与</w:t>
      </w:r>
      <w:r>
        <w:rPr>
          <w:rFonts w:hint="eastAsia" w:cs="仿宋" w:asciiTheme="minorEastAsia" w:hAnsiTheme="minorEastAsia"/>
          <w:sz w:val="24"/>
          <w:szCs w:val="20"/>
          <w:lang w:eastAsia="zh-CN"/>
        </w:rPr>
        <w:t>供应商</w:t>
      </w:r>
      <w:r>
        <w:rPr>
          <w:rFonts w:hint="eastAsia" w:cs="仿宋" w:asciiTheme="minorEastAsia" w:hAnsiTheme="minorEastAsia"/>
          <w:sz w:val="24"/>
          <w:szCs w:val="20"/>
        </w:rPr>
        <w:t>签订合同后全额退还。退保证金前，供应商必须提供加盖公章或财务专用章的收款收据</w:t>
      </w:r>
      <w:r>
        <w:rPr>
          <w:rFonts w:hint="eastAsia" w:cs="仿宋" w:asciiTheme="minorEastAsia" w:hAnsiTheme="minorEastAsia"/>
          <w:b/>
          <w:bCs/>
          <w:sz w:val="24"/>
          <w:szCs w:val="20"/>
        </w:rPr>
        <w:t>（格式自理）</w:t>
      </w:r>
      <w:r>
        <w:rPr>
          <w:rFonts w:hint="eastAsia" w:cs="仿宋" w:asciiTheme="minorEastAsia" w:hAnsiTheme="minorEastAsia"/>
          <w:sz w:val="24"/>
          <w:szCs w:val="20"/>
        </w:rPr>
        <w:t xml:space="preserve">。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pacing w:line="360" w:lineRule="auto"/>
        <w:ind w:firstLine="482"/>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9"/>
    </w:p>
    <w:p>
      <w:pPr>
        <w:rPr>
          <w:rFonts w:cs="仿宋" w:asciiTheme="minorEastAsia" w:hAnsiTheme="minorEastAsia"/>
          <w:kern w:val="0"/>
          <w:sz w:val="24"/>
        </w:rPr>
      </w:pPr>
    </w:p>
    <w:p>
      <w:pPr>
        <w:pStyle w:val="6"/>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2"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6"/>
        <w:ind w:firstLine="480" w:firstLineChars="200"/>
        <w:rPr>
          <w:rFonts w:hint="eastAsia"/>
          <w:lang w:val="en-US"/>
        </w:rPr>
      </w:pPr>
      <w:r>
        <w:rPr>
          <w:rFonts w:hint="eastAsia"/>
          <w:lang w:val="en-US"/>
        </w:rPr>
        <w:t>杭州临江环境能源有限公司因日常生产需要，需采购</w:t>
      </w:r>
      <w:r>
        <w:rPr>
          <w:rFonts w:hint="eastAsia"/>
          <w:lang w:val="en-US" w:eastAsia="zh-CN"/>
        </w:rPr>
        <w:t>链条（标准件）</w:t>
      </w:r>
      <w:r>
        <w:rPr>
          <w:rFonts w:hint="eastAsia"/>
          <w:lang w:val="en-US"/>
        </w:rPr>
        <w:t>一批，具体如下：</w:t>
      </w:r>
    </w:p>
    <w:tbl>
      <w:tblPr>
        <w:tblStyle w:val="14"/>
        <w:tblW w:w="88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0"/>
        <w:gridCol w:w="2070"/>
        <w:gridCol w:w="4395"/>
        <w:gridCol w:w="705"/>
        <w:gridCol w:w="8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物资名称</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型号规格</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链条</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08B-1-28/含链扣(GB/T1243)</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链条</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08B-1-26/含链扣 (GB/T1243)</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链条扣</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12A-1/碳钢 (GB/T1243)</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输送链条</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12A-1-70/含链扣/碳钢 (GB/T1243)</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翻转机输送链条</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C10B-2-256/含链扣 不锈钢(420)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链条</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16A-1-220/含链扣 (GB/T1243) 不锈钢</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链条）</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12A-2-44/含链扣 (GB/T1243)</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链条扣</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12A-2 碳钢(GB/T1243)</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链条 </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12A-2-104/含链扣/碳钢 (GB/T1243)</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链条</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08B-1-54/含链扣/碳钢 (GB/T1243)</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转台链条</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06B-1-30/含链扣 (GB/T1243)</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单排半扣</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08B-1 (GB/T1243)</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单排全扣</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08B-1 (GB/T1243)</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单排全扣</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16A-1 (GB/T1243) 不锈钢</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翻转机输送链扣</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C10B-2 不锈钢(201) (GB/T7810)活扣</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单排全扣</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06B-1 (GB/T1243)</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链条</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10A-1(GB/T1243) ， L=1.5米 ，全扣</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G80级锰钢链条</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22mm单吊15吨、材质20Mn2A、内宽28mm、外长66mm、外宽77mm、外长110mm、10米/根 </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滚子链条</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28A-1-1.5米\GB-T1243 全扣</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滚子链条卡扣</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单排24A全接头</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滚子链条卡扣</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28A-1全接头</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bl>
    <w:p>
      <w:pPr>
        <w:pStyle w:val="6"/>
        <w:ind w:firstLine="480" w:firstLineChars="200"/>
        <w:rPr>
          <w:b/>
          <w:bCs/>
          <w:lang w:val="en-US"/>
        </w:rPr>
      </w:pPr>
      <w:r>
        <w:rPr>
          <w:rFonts w:hint="eastAsia" w:cs="仿宋" w:asciiTheme="minorEastAsia" w:hAnsiTheme="minorEastAsia"/>
          <w:kern w:val="0"/>
        </w:rPr>
        <w:t>▲</w:t>
      </w:r>
      <w:r>
        <w:rPr>
          <w:rFonts w:hint="eastAsia"/>
          <w:b/>
          <w:bCs/>
          <w:lang w:val="en-US"/>
        </w:rPr>
        <w:t>二、合同期限及履约方式</w:t>
      </w:r>
    </w:p>
    <w:p>
      <w:pPr>
        <w:pStyle w:val="6"/>
        <w:numPr>
          <w:ilvl w:val="0"/>
          <w:numId w:val="1"/>
        </w:numPr>
        <w:ind w:firstLine="480" w:firstLineChars="200"/>
        <w:rPr>
          <w:lang w:val="en-US"/>
        </w:rPr>
      </w:pPr>
      <w:r>
        <w:rPr>
          <w:rFonts w:hint="eastAsia"/>
          <w:lang w:val="en-US"/>
        </w:rPr>
        <w:t>合同期限：</w:t>
      </w:r>
      <w:r>
        <w:rPr>
          <w:rFonts w:hint="eastAsia" w:cs="仿宋" w:asciiTheme="minorEastAsia" w:hAnsiTheme="minorEastAsia"/>
          <w:sz w:val="24"/>
          <w:u w:val="none"/>
          <w:lang w:val="en-US" w:eastAsia="zh-CN"/>
        </w:rPr>
        <w:t>合同期限为一年，合同期内，供应商根据采购人订单按需求供货</w:t>
      </w:r>
      <w:r>
        <w:rPr>
          <w:rFonts w:hint="eastAsia" w:cs="仿宋" w:asciiTheme="minorEastAsia" w:hAnsiTheme="minorEastAsia"/>
          <w:sz w:val="24"/>
          <w:u w:val="none"/>
        </w:rPr>
        <w:t>。</w:t>
      </w:r>
    </w:p>
    <w:p>
      <w:pPr>
        <w:pStyle w:val="6"/>
        <w:numPr>
          <w:ilvl w:val="0"/>
          <w:numId w:val="1"/>
        </w:numPr>
        <w:ind w:firstLine="480" w:firstLineChars="200"/>
        <w:rPr>
          <w:lang w:val="en-US"/>
        </w:rPr>
      </w:pPr>
      <w:r>
        <w:rPr>
          <w:rFonts w:hint="eastAsia"/>
          <w:lang w:val="en-US"/>
        </w:rPr>
        <w:t>履约方式：</w:t>
      </w:r>
      <w:r>
        <w:rPr>
          <w:rFonts w:hint="eastAsia" w:cs="仿宋" w:asciiTheme="minorEastAsia" w:hAnsiTheme="minorEastAsia"/>
          <w:sz w:val="24"/>
          <w:u w:val="none"/>
        </w:rPr>
        <w:t>在采购人发出送货通知后，</w:t>
      </w:r>
      <w:r>
        <w:rPr>
          <w:rFonts w:hint="eastAsia" w:cs="仿宋" w:asciiTheme="minorEastAsia" w:hAnsiTheme="minorEastAsia"/>
          <w:sz w:val="24"/>
          <w:u w:val="none"/>
          <w:lang w:eastAsia="zh-CN"/>
        </w:rPr>
        <w:t>供应商</w:t>
      </w:r>
      <w:r>
        <w:rPr>
          <w:rFonts w:hint="eastAsia" w:cs="仿宋" w:asciiTheme="minorEastAsia" w:hAnsiTheme="minorEastAsia"/>
          <w:color w:val="auto"/>
          <w:sz w:val="24"/>
          <w:u w:val="none"/>
          <w:lang w:val="en-US" w:eastAsia="zh-CN"/>
        </w:rPr>
        <w:t>40天</w:t>
      </w:r>
      <w:r>
        <w:rPr>
          <w:rFonts w:hint="eastAsia" w:cs="仿宋" w:asciiTheme="minorEastAsia" w:hAnsiTheme="minorEastAsia"/>
          <w:sz w:val="24"/>
          <w:u w:val="none"/>
        </w:rPr>
        <w:t>内将货物</w:t>
      </w:r>
      <w:r>
        <w:rPr>
          <w:rFonts w:hint="eastAsia" w:cs="仿宋" w:asciiTheme="minorEastAsia" w:hAnsiTheme="minorEastAsia"/>
          <w:sz w:val="24"/>
          <w:u w:val="none"/>
          <w:lang w:val="en-US" w:eastAsia="zh-CN"/>
        </w:rPr>
        <w:t>按采购人需求</w:t>
      </w:r>
      <w:r>
        <w:rPr>
          <w:rFonts w:hint="eastAsia" w:cs="仿宋" w:asciiTheme="minorEastAsia" w:hAnsiTheme="minorEastAsia"/>
          <w:sz w:val="24"/>
          <w:u w:val="none"/>
        </w:rPr>
        <w:t>如数送至采购人指定地点</w:t>
      </w:r>
      <w:r>
        <w:rPr>
          <w:rFonts w:hint="eastAsia"/>
          <w:lang w:val="en-US"/>
        </w:rPr>
        <w:t>。</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三、技术、质量要求</w:t>
      </w:r>
    </w:p>
    <w:p>
      <w:pPr>
        <w:pStyle w:val="6"/>
        <w:ind w:firstLine="480" w:firstLineChars="200"/>
        <w:rPr>
          <w:lang w:val="en-US"/>
        </w:rPr>
      </w:pPr>
      <w:r>
        <w:rPr>
          <w:rFonts w:hint="eastAsia"/>
          <w:lang w:val="en-US"/>
        </w:rPr>
        <w:t>1.</w:t>
      </w:r>
      <w:r>
        <w:rPr>
          <w:rFonts w:hint="eastAsia"/>
          <w:lang w:val="en-US" w:eastAsia="zh-CN"/>
        </w:rPr>
        <w:t>链条（标准件）的</w:t>
      </w:r>
      <w:r>
        <w:rPr>
          <w:rFonts w:hint="eastAsia"/>
          <w:lang w:val="en-US"/>
        </w:rPr>
        <w:t>型号等技术参数</w:t>
      </w:r>
      <w:r>
        <w:rPr>
          <w:rFonts w:hint="eastAsia"/>
          <w:lang w:val="en-US" w:eastAsia="zh-CN"/>
        </w:rPr>
        <w:t>必须</w:t>
      </w:r>
      <w:r>
        <w:rPr>
          <w:rFonts w:hint="eastAsia"/>
          <w:lang w:val="en-US"/>
        </w:rPr>
        <w:t>满足采购内容中的规格型号/技术要求；</w:t>
      </w:r>
    </w:p>
    <w:p>
      <w:pPr>
        <w:pStyle w:val="6"/>
        <w:ind w:firstLine="480" w:firstLineChars="200"/>
        <w:rPr>
          <w:lang w:val="en-US"/>
        </w:rPr>
      </w:pPr>
      <w:r>
        <w:rPr>
          <w:rFonts w:hint="eastAsia"/>
          <w:lang w:val="en-US"/>
        </w:rPr>
        <w:t>2.</w:t>
      </w:r>
      <w:r>
        <w:rPr>
          <w:rFonts w:hint="eastAsia"/>
          <w:lang w:val="en-US" w:eastAsia="zh-CN"/>
        </w:rPr>
        <w:t>供应商</w:t>
      </w:r>
      <w:r>
        <w:rPr>
          <w:rFonts w:hint="eastAsia"/>
          <w:lang w:val="en-US"/>
        </w:rPr>
        <w:t>提供的</w:t>
      </w:r>
      <w:r>
        <w:rPr>
          <w:rFonts w:hint="eastAsia"/>
          <w:lang w:val="en-US" w:eastAsia="zh-CN"/>
        </w:rPr>
        <w:t>链条（标准件）</w:t>
      </w:r>
      <w:r>
        <w:rPr>
          <w:rFonts w:hint="eastAsia"/>
          <w:lang w:val="en-US"/>
        </w:rPr>
        <w:t>必须为原厂正品，不得为假冒伪劣产品。</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四、验收方式</w:t>
      </w:r>
    </w:p>
    <w:p>
      <w:pPr>
        <w:pStyle w:val="6"/>
        <w:ind w:firstLine="480" w:firstLineChars="200"/>
        <w:rPr>
          <w:lang w:val="en-US"/>
        </w:rPr>
      </w:pPr>
      <w:r>
        <w:rPr>
          <w:rFonts w:hint="eastAsia"/>
          <w:lang w:val="en-US"/>
        </w:rPr>
        <w:t>1.</w:t>
      </w:r>
      <w:r>
        <w:rPr>
          <w:rFonts w:hint="eastAsia"/>
          <w:lang w:val="en-US" w:eastAsia="zh-CN"/>
        </w:rPr>
        <w:t>供应商</w:t>
      </w:r>
      <w:r>
        <w:rPr>
          <w:rFonts w:hint="eastAsia"/>
          <w:lang w:val="en-US"/>
        </w:rPr>
        <w:t>须提供该批次货物出厂检验合格报告或合格证和送货单，配合采购人做好货物的到货数量验收工作，将货物运达采购人指定交货地点后及时书面通知采购人。</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6"/>
        <w:ind w:firstLine="480" w:firstLineChars="200"/>
        <w:rPr>
          <w:lang w:val="en-US"/>
        </w:rPr>
      </w:pPr>
      <w:r>
        <w:rPr>
          <w:rFonts w:hint="eastAsia"/>
          <w:lang w:val="en-US"/>
        </w:rPr>
        <w:t>在采购人发出送货通知后，</w:t>
      </w:r>
      <w:r>
        <w:rPr>
          <w:rFonts w:hint="eastAsia"/>
          <w:lang w:val="en-US" w:eastAsia="zh-CN"/>
        </w:rPr>
        <w:t>供应商</w:t>
      </w:r>
      <w:r>
        <w:rPr>
          <w:rFonts w:hint="eastAsia"/>
          <w:color w:val="auto"/>
          <w:lang w:val="en-US" w:eastAsia="zh-CN"/>
        </w:rPr>
        <w:t>40天</w:t>
      </w:r>
      <w:r>
        <w:rPr>
          <w:rFonts w:hint="eastAsia"/>
          <w:lang w:val="en-US"/>
        </w:rPr>
        <w:t>内将货物如数送至采购人指定地点。</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7"/>
        <w:ind w:firstLine="480" w:firstLineChars="200"/>
        <w:rPr>
          <w:lang w:val="en-US"/>
        </w:rPr>
      </w:pPr>
      <w:r>
        <w:rPr>
          <w:rFonts w:hint="eastAsia"/>
          <w:lang w:val="en-US"/>
        </w:rPr>
        <w:t>以本询价采购文件中的合同条款为准。</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pPr>
        <w:pStyle w:val="6"/>
        <w:ind w:firstLine="480" w:firstLineChars="200"/>
        <w:rPr>
          <w:rFonts w:hint="eastAsia"/>
          <w:lang w:val="en-US"/>
        </w:rPr>
      </w:pPr>
      <w:r>
        <w:rPr>
          <w:rFonts w:hint="eastAsia"/>
          <w:lang w:val="en-US"/>
        </w:rPr>
        <w:t>1.供应商必须满足采购人售后服务要求。如产品使用过程发生问题，供应商须在接到</w:t>
      </w:r>
      <w:r>
        <w:rPr>
          <w:rFonts w:hint="eastAsia"/>
          <w:lang w:val="en-US" w:eastAsia="zh-CN"/>
        </w:rPr>
        <w:t>采购人</w:t>
      </w:r>
      <w:r>
        <w:rPr>
          <w:rFonts w:hint="eastAsia"/>
          <w:lang w:val="en-US"/>
        </w:rPr>
        <w:t>通知后24小时内做出书面答复并提供解决方案。若需要派遣技术人员，则应在接到采购人通知后48小时内派人员到达现场进行免费指导解决问题。</w:t>
      </w:r>
    </w:p>
    <w:p>
      <w:pPr>
        <w:pStyle w:val="6"/>
        <w:ind w:firstLine="480" w:firstLineChars="200"/>
        <w:rPr>
          <w:rFonts w:hint="eastAsia"/>
          <w:lang w:val="en-US"/>
        </w:rPr>
      </w:pPr>
      <w:r>
        <w:rPr>
          <w:rFonts w:hint="eastAsia"/>
          <w:lang w:val="en-US" w:eastAsia="zh-CN"/>
        </w:rPr>
        <w:t>2</w:t>
      </w:r>
      <w:r>
        <w:rPr>
          <w:rFonts w:hint="eastAsia"/>
          <w:lang w:val="en-US"/>
        </w:rPr>
        <w:t>.采购人不再对任何售后服务进行付费。供应商的派遣人员产生的一切费用由供应商承担。</w:t>
      </w:r>
    </w:p>
    <w:p>
      <w:pPr>
        <w:pStyle w:val="13"/>
      </w:pPr>
    </w:p>
    <w:p/>
    <w:p>
      <w:pPr>
        <w:pStyle w:val="13"/>
      </w:pPr>
    </w:p>
    <w:p/>
    <w:p>
      <w:pPr>
        <w:spacing w:line="460" w:lineRule="exact"/>
        <w:rPr>
          <w:rFonts w:cs="仿宋" w:asciiTheme="minorEastAsia" w:hAnsiTheme="minorEastAsia"/>
          <w:b/>
          <w:sz w:val="36"/>
          <w:szCs w:val="36"/>
        </w:rPr>
      </w:pPr>
    </w:p>
    <w:p>
      <w:pPr>
        <w:spacing w:line="460" w:lineRule="exact"/>
        <w:jc w:val="center"/>
        <w:rPr>
          <w:rFonts w:cs="仿宋" w:asciiTheme="minorEastAsia" w:hAnsiTheme="minorEastAsia"/>
          <w:b/>
          <w:sz w:val="36"/>
          <w:szCs w:val="36"/>
        </w:rPr>
      </w:pPr>
    </w:p>
    <w:p>
      <w:pPr>
        <w:widowControl/>
        <w:jc w:val="left"/>
        <w:rPr>
          <w:rFonts w:cs="仿宋" w:asciiTheme="minorEastAsia" w:hAnsiTheme="minorEastAsia"/>
          <w:b/>
          <w:sz w:val="36"/>
          <w:szCs w:val="36"/>
        </w:rPr>
      </w:pPr>
      <w:r>
        <w:rPr>
          <w:rFonts w:cs="仿宋" w:asciiTheme="minorEastAsia" w:hAnsiTheme="minorEastAsia"/>
          <w:b/>
          <w:sz w:val="36"/>
          <w:szCs w:val="36"/>
        </w:rPr>
        <w:br w:type="page"/>
      </w: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20" w:name="_Toc184314421"/>
      <w:bookmarkEnd w:id="20"/>
      <w:bookmarkStart w:id="21" w:name="_Toc184308053"/>
      <w:bookmarkEnd w:id="21"/>
      <w:bookmarkStart w:id="22" w:name="_Toc184310289"/>
      <w:bookmarkEnd w:id="22"/>
      <w:bookmarkStart w:id="23" w:name="_Toc184308076"/>
      <w:bookmarkEnd w:id="23"/>
      <w:bookmarkStart w:id="24" w:name="_Toc184313310"/>
      <w:bookmarkEnd w:id="24"/>
      <w:bookmarkStart w:id="25" w:name="_Toc184310296"/>
      <w:bookmarkEnd w:id="25"/>
      <w:bookmarkStart w:id="26" w:name="_Toc184312071"/>
      <w:bookmarkEnd w:id="26"/>
      <w:bookmarkStart w:id="27" w:name="_Toc184313304"/>
      <w:bookmarkEnd w:id="27"/>
      <w:bookmarkStart w:id="28" w:name="_Toc184314415"/>
      <w:bookmarkEnd w:id="28"/>
      <w:bookmarkStart w:id="29" w:name="_Toc184308062"/>
      <w:bookmarkEnd w:id="29"/>
      <w:bookmarkStart w:id="30" w:name="_Toc184308102"/>
      <w:bookmarkEnd w:id="30"/>
      <w:bookmarkStart w:id="31" w:name="_Toc184314451"/>
      <w:bookmarkEnd w:id="31"/>
      <w:bookmarkStart w:id="32" w:name="_Toc184313239"/>
      <w:bookmarkEnd w:id="32"/>
      <w:bookmarkStart w:id="33" w:name="_Toc184308084"/>
      <w:bookmarkEnd w:id="33"/>
      <w:bookmarkStart w:id="34" w:name="_Toc184308054"/>
      <w:bookmarkEnd w:id="34"/>
      <w:bookmarkStart w:id="35" w:name="_Toc184314459"/>
      <w:bookmarkEnd w:id="35"/>
      <w:bookmarkStart w:id="36" w:name="_Toc184310308"/>
      <w:bookmarkEnd w:id="36"/>
      <w:bookmarkStart w:id="37" w:name="_Toc184312098"/>
      <w:bookmarkEnd w:id="37"/>
      <w:bookmarkStart w:id="38" w:name="_Toc184308071"/>
      <w:bookmarkEnd w:id="38"/>
      <w:bookmarkStart w:id="39" w:name="_Toc184314412"/>
      <w:bookmarkEnd w:id="39"/>
      <w:bookmarkStart w:id="40" w:name="_Toc184314458"/>
      <w:bookmarkEnd w:id="40"/>
      <w:bookmarkStart w:id="41" w:name="_Toc184310278"/>
      <w:bookmarkEnd w:id="41"/>
      <w:bookmarkStart w:id="42" w:name="_Toc184314410"/>
      <w:bookmarkEnd w:id="42"/>
      <w:bookmarkStart w:id="43" w:name="_Toc184310332"/>
      <w:bookmarkEnd w:id="43"/>
      <w:bookmarkStart w:id="44" w:name="_Toc184308096"/>
      <w:bookmarkEnd w:id="44"/>
      <w:bookmarkStart w:id="45" w:name="_Toc184314422"/>
      <w:bookmarkEnd w:id="45"/>
      <w:bookmarkStart w:id="46" w:name="_Toc184310314"/>
      <w:bookmarkEnd w:id="46"/>
      <w:bookmarkStart w:id="47" w:name="_Toc184308104"/>
      <w:bookmarkEnd w:id="47"/>
      <w:bookmarkStart w:id="48" w:name="_Toc184308093"/>
      <w:bookmarkEnd w:id="48"/>
      <w:bookmarkStart w:id="49" w:name="_Toc184310305"/>
      <w:bookmarkEnd w:id="49"/>
      <w:bookmarkStart w:id="50" w:name="_Toc184312088"/>
      <w:bookmarkEnd w:id="50"/>
      <w:bookmarkStart w:id="51" w:name="_Toc184314453"/>
      <w:bookmarkEnd w:id="51"/>
      <w:bookmarkStart w:id="52" w:name="_Toc184313243"/>
      <w:bookmarkEnd w:id="52"/>
      <w:bookmarkStart w:id="53" w:name="_Toc184313276"/>
      <w:bookmarkEnd w:id="53"/>
      <w:bookmarkStart w:id="54" w:name="_Toc184313282"/>
      <w:bookmarkEnd w:id="54"/>
      <w:bookmarkStart w:id="55" w:name="_Toc184308052"/>
      <w:bookmarkEnd w:id="55"/>
      <w:bookmarkStart w:id="56" w:name="_Toc184310286"/>
      <w:bookmarkEnd w:id="56"/>
      <w:bookmarkStart w:id="57" w:name="_Toc184313255"/>
      <w:bookmarkEnd w:id="57"/>
      <w:bookmarkStart w:id="58" w:name="_Toc184310328"/>
      <w:bookmarkEnd w:id="58"/>
      <w:bookmarkStart w:id="59" w:name="_Toc184314463"/>
      <w:bookmarkEnd w:id="59"/>
      <w:bookmarkStart w:id="60" w:name="_Toc184308038"/>
      <w:bookmarkEnd w:id="60"/>
      <w:bookmarkStart w:id="61" w:name="_Toc184312081"/>
      <w:bookmarkEnd w:id="61"/>
      <w:bookmarkStart w:id="62" w:name="_Toc184310304"/>
      <w:bookmarkEnd w:id="62"/>
      <w:bookmarkStart w:id="63" w:name="_Toc184312067"/>
      <w:bookmarkEnd w:id="63"/>
      <w:bookmarkStart w:id="64" w:name="_Toc184310303"/>
      <w:bookmarkEnd w:id="64"/>
      <w:bookmarkStart w:id="65" w:name="_Toc184312112"/>
      <w:bookmarkEnd w:id="65"/>
      <w:bookmarkStart w:id="66" w:name="_Toc184314446"/>
      <w:bookmarkEnd w:id="66"/>
      <w:bookmarkStart w:id="67" w:name="_Toc184312124"/>
      <w:bookmarkEnd w:id="67"/>
      <w:bookmarkStart w:id="68" w:name="_Toc184308098"/>
      <w:bookmarkEnd w:id="68"/>
      <w:bookmarkStart w:id="69" w:name="_Toc184314464"/>
      <w:bookmarkEnd w:id="69"/>
      <w:bookmarkStart w:id="70" w:name="_Toc184310276"/>
      <w:bookmarkEnd w:id="70"/>
      <w:bookmarkStart w:id="71" w:name="_Toc184312095"/>
      <w:bookmarkEnd w:id="71"/>
      <w:bookmarkStart w:id="72" w:name="_Toc184308083"/>
      <w:bookmarkEnd w:id="72"/>
      <w:bookmarkStart w:id="73" w:name="_Toc184308085"/>
      <w:bookmarkEnd w:id="73"/>
      <w:bookmarkStart w:id="74" w:name="_Toc184314425"/>
      <w:bookmarkEnd w:id="74"/>
      <w:bookmarkStart w:id="75" w:name="_Toc184310316"/>
      <w:bookmarkEnd w:id="75"/>
      <w:bookmarkStart w:id="76" w:name="_Toc184314424"/>
      <w:bookmarkEnd w:id="76"/>
      <w:bookmarkStart w:id="77" w:name="_Toc184312073"/>
      <w:bookmarkEnd w:id="77"/>
      <w:bookmarkStart w:id="78" w:name="_Toc184310279"/>
      <w:bookmarkEnd w:id="78"/>
      <w:bookmarkStart w:id="79" w:name="_Toc184313300"/>
      <w:bookmarkEnd w:id="79"/>
      <w:bookmarkStart w:id="80" w:name="_Toc184314438"/>
      <w:bookmarkEnd w:id="80"/>
      <w:bookmarkStart w:id="81" w:name="_Toc184312134"/>
      <w:bookmarkEnd w:id="81"/>
      <w:bookmarkStart w:id="82" w:name="_Toc184312089"/>
      <w:bookmarkEnd w:id="82"/>
      <w:bookmarkStart w:id="83" w:name="_Toc184310327"/>
      <w:bookmarkEnd w:id="83"/>
      <w:bookmarkStart w:id="84" w:name="_Toc184310287"/>
      <w:bookmarkEnd w:id="84"/>
      <w:bookmarkStart w:id="85" w:name="_Toc184313308"/>
      <w:bookmarkEnd w:id="85"/>
      <w:bookmarkStart w:id="86" w:name="_Toc184310293"/>
      <w:bookmarkEnd w:id="86"/>
      <w:bookmarkStart w:id="87" w:name="_Toc184314469"/>
      <w:bookmarkEnd w:id="87"/>
      <w:bookmarkStart w:id="88" w:name="_Toc184312135"/>
      <w:bookmarkEnd w:id="88"/>
      <w:bookmarkStart w:id="89" w:name="_Toc184312120"/>
      <w:bookmarkEnd w:id="89"/>
      <w:bookmarkStart w:id="90" w:name="_Toc184314440"/>
      <w:bookmarkEnd w:id="90"/>
      <w:bookmarkStart w:id="91" w:name="_Toc184310309"/>
      <w:bookmarkEnd w:id="91"/>
      <w:bookmarkStart w:id="92" w:name="_Toc184310299"/>
      <w:bookmarkEnd w:id="92"/>
      <w:bookmarkStart w:id="93" w:name="_Toc184314418"/>
      <w:bookmarkEnd w:id="93"/>
      <w:bookmarkStart w:id="94" w:name="_Toc184312086"/>
      <w:bookmarkEnd w:id="94"/>
      <w:bookmarkStart w:id="95" w:name="_Toc184312078"/>
      <w:bookmarkEnd w:id="95"/>
      <w:bookmarkStart w:id="96" w:name="_Toc184313303"/>
      <w:bookmarkEnd w:id="96"/>
      <w:bookmarkStart w:id="97" w:name="_Toc184308099"/>
      <w:bookmarkEnd w:id="97"/>
      <w:bookmarkStart w:id="98" w:name="_Toc184308060"/>
      <w:bookmarkEnd w:id="98"/>
      <w:bookmarkStart w:id="99" w:name="_Toc184314457"/>
      <w:bookmarkEnd w:id="99"/>
      <w:bookmarkStart w:id="100" w:name="_Toc184313281"/>
      <w:bookmarkEnd w:id="100"/>
      <w:bookmarkStart w:id="101" w:name="_Toc184308044"/>
      <w:bookmarkEnd w:id="101"/>
      <w:bookmarkStart w:id="102" w:name="_Toc184312074"/>
      <w:bookmarkEnd w:id="102"/>
      <w:bookmarkStart w:id="103" w:name="_Toc184312075"/>
      <w:bookmarkEnd w:id="103"/>
      <w:bookmarkStart w:id="104" w:name="_Toc184313295"/>
      <w:bookmarkEnd w:id="104"/>
      <w:bookmarkStart w:id="105" w:name="_Toc184310315"/>
      <w:bookmarkEnd w:id="105"/>
      <w:bookmarkStart w:id="106" w:name="_Toc184312079"/>
      <w:bookmarkEnd w:id="106"/>
      <w:bookmarkStart w:id="107" w:name="_Toc184312109"/>
      <w:bookmarkEnd w:id="107"/>
      <w:bookmarkStart w:id="108" w:name="_Toc184314480"/>
      <w:bookmarkEnd w:id="108"/>
      <w:bookmarkStart w:id="109" w:name="_Toc184308091"/>
      <w:bookmarkEnd w:id="109"/>
      <w:bookmarkStart w:id="110" w:name="_Toc184308079"/>
      <w:bookmarkEnd w:id="110"/>
      <w:bookmarkStart w:id="111" w:name="_Toc184314423"/>
      <w:bookmarkEnd w:id="111"/>
      <w:bookmarkStart w:id="112" w:name="_Toc184313248"/>
      <w:bookmarkEnd w:id="112"/>
      <w:bookmarkStart w:id="113" w:name="_Toc184313299"/>
      <w:bookmarkEnd w:id="113"/>
      <w:bookmarkStart w:id="114" w:name="_Toc184308097"/>
      <w:bookmarkEnd w:id="114"/>
      <w:bookmarkStart w:id="115" w:name="_Toc184308108"/>
      <w:bookmarkEnd w:id="115"/>
      <w:bookmarkStart w:id="116" w:name="_Toc184313293"/>
      <w:bookmarkEnd w:id="116"/>
      <w:bookmarkStart w:id="117" w:name="_Toc184310341"/>
      <w:bookmarkEnd w:id="117"/>
      <w:bookmarkStart w:id="118" w:name="_Toc184313270"/>
      <w:bookmarkEnd w:id="118"/>
      <w:bookmarkStart w:id="119" w:name="_Toc184310273"/>
      <w:bookmarkEnd w:id="119"/>
      <w:bookmarkStart w:id="120" w:name="_Toc184312082"/>
      <w:bookmarkEnd w:id="120"/>
      <w:bookmarkStart w:id="121" w:name="_Toc184314473"/>
      <w:bookmarkEnd w:id="121"/>
      <w:bookmarkStart w:id="122" w:name="_Toc184314475"/>
      <w:bookmarkEnd w:id="122"/>
      <w:bookmarkStart w:id="123" w:name="_Toc184313242"/>
      <w:bookmarkEnd w:id="123"/>
      <w:bookmarkStart w:id="124" w:name="_Toc184313301"/>
      <w:bookmarkEnd w:id="124"/>
      <w:bookmarkStart w:id="125" w:name="_Toc184314476"/>
      <w:bookmarkEnd w:id="125"/>
      <w:bookmarkStart w:id="126" w:name="_Toc184313240"/>
      <w:bookmarkEnd w:id="126"/>
      <w:bookmarkStart w:id="127" w:name="_Toc184314411"/>
      <w:bookmarkEnd w:id="127"/>
      <w:bookmarkStart w:id="128" w:name="_Toc184314449"/>
      <w:bookmarkEnd w:id="128"/>
      <w:bookmarkStart w:id="129" w:name="_Toc184314477"/>
      <w:bookmarkEnd w:id="129"/>
      <w:bookmarkStart w:id="130" w:name="_Toc184308065"/>
      <w:bookmarkEnd w:id="130"/>
      <w:bookmarkStart w:id="131" w:name="_Toc184308070"/>
      <w:bookmarkEnd w:id="131"/>
      <w:bookmarkStart w:id="132" w:name="_Toc184308074"/>
      <w:bookmarkEnd w:id="132"/>
      <w:bookmarkStart w:id="133" w:name="_Toc184313249"/>
      <w:bookmarkEnd w:id="133"/>
      <w:bookmarkStart w:id="134" w:name="_Toc184312136"/>
      <w:bookmarkEnd w:id="134"/>
      <w:bookmarkStart w:id="135" w:name="_Toc184310334"/>
      <w:bookmarkEnd w:id="135"/>
      <w:bookmarkStart w:id="136" w:name="_Toc184308081"/>
      <w:bookmarkEnd w:id="136"/>
      <w:bookmarkStart w:id="137" w:name="_Toc184308072"/>
      <w:bookmarkEnd w:id="137"/>
      <w:bookmarkStart w:id="138" w:name="_Toc184314481"/>
      <w:bookmarkEnd w:id="138"/>
      <w:bookmarkStart w:id="139" w:name="_Toc184312107"/>
      <w:bookmarkEnd w:id="139"/>
      <w:bookmarkStart w:id="140" w:name="_Toc184310326"/>
      <w:bookmarkEnd w:id="140"/>
      <w:bookmarkStart w:id="141" w:name="_Toc184312100"/>
      <w:bookmarkEnd w:id="141"/>
      <w:bookmarkStart w:id="142" w:name="_Toc184313289"/>
      <w:bookmarkEnd w:id="142"/>
      <w:bookmarkStart w:id="143" w:name="_Toc184312118"/>
      <w:bookmarkEnd w:id="143"/>
      <w:bookmarkStart w:id="144" w:name="_Toc184308080"/>
      <w:bookmarkEnd w:id="144"/>
      <w:bookmarkStart w:id="145" w:name="_Toc184312123"/>
      <w:bookmarkEnd w:id="145"/>
      <w:bookmarkStart w:id="146" w:name="_Toc184313296"/>
      <w:bookmarkEnd w:id="146"/>
      <w:bookmarkStart w:id="147" w:name="_Toc184314472"/>
      <w:bookmarkEnd w:id="147"/>
      <w:bookmarkStart w:id="148" w:name="_Toc184313297"/>
      <w:bookmarkEnd w:id="148"/>
      <w:bookmarkStart w:id="149" w:name="_Toc184313258"/>
      <w:bookmarkEnd w:id="149"/>
      <w:bookmarkStart w:id="150" w:name="_Toc184313280"/>
      <w:bookmarkEnd w:id="150"/>
      <w:bookmarkStart w:id="151" w:name="_Toc184312113"/>
      <w:bookmarkEnd w:id="151"/>
      <w:bookmarkStart w:id="152" w:name="_Toc184308051"/>
      <w:bookmarkEnd w:id="152"/>
      <w:bookmarkStart w:id="153" w:name="_Toc184310335"/>
      <w:bookmarkEnd w:id="153"/>
      <w:bookmarkStart w:id="154" w:name="_Toc184314413"/>
      <w:bookmarkEnd w:id="154"/>
      <w:bookmarkStart w:id="155" w:name="_Toc184314460"/>
      <w:bookmarkEnd w:id="155"/>
      <w:bookmarkStart w:id="156" w:name="_Toc184314465"/>
      <w:bookmarkEnd w:id="156"/>
      <w:bookmarkStart w:id="157" w:name="_Toc184313298"/>
      <w:bookmarkEnd w:id="157"/>
      <w:bookmarkStart w:id="158" w:name="_Toc184310310"/>
      <w:bookmarkEnd w:id="158"/>
      <w:bookmarkStart w:id="159" w:name="_Toc184308088"/>
      <w:bookmarkEnd w:id="159"/>
      <w:bookmarkStart w:id="160" w:name="_Toc184310324"/>
      <w:bookmarkEnd w:id="160"/>
      <w:bookmarkStart w:id="161" w:name="_Toc184310292"/>
      <w:bookmarkEnd w:id="161"/>
      <w:bookmarkStart w:id="162" w:name="_Toc184312114"/>
      <w:bookmarkEnd w:id="162"/>
      <w:bookmarkStart w:id="163" w:name="_Toc184308086"/>
      <w:bookmarkEnd w:id="163"/>
      <w:bookmarkStart w:id="164" w:name="_Toc184312094"/>
      <w:bookmarkEnd w:id="164"/>
      <w:bookmarkStart w:id="165" w:name="_Toc184314445"/>
      <w:bookmarkEnd w:id="165"/>
      <w:bookmarkStart w:id="166" w:name="_Toc184314436"/>
      <w:bookmarkEnd w:id="166"/>
      <w:bookmarkStart w:id="167" w:name="_Toc184313287"/>
      <w:bookmarkEnd w:id="167"/>
      <w:bookmarkStart w:id="168" w:name="_Toc184313277"/>
      <w:bookmarkEnd w:id="168"/>
      <w:bookmarkStart w:id="169" w:name="_Toc184313266"/>
      <w:bookmarkEnd w:id="169"/>
      <w:bookmarkStart w:id="170" w:name="_Toc184313260"/>
      <w:bookmarkEnd w:id="170"/>
      <w:bookmarkStart w:id="171" w:name="_Toc184314439"/>
      <w:bookmarkEnd w:id="171"/>
      <w:bookmarkStart w:id="172" w:name="_Toc184310330"/>
      <w:bookmarkEnd w:id="172"/>
      <w:bookmarkStart w:id="173" w:name="_Toc184310283"/>
      <w:bookmarkEnd w:id="173"/>
      <w:bookmarkStart w:id="174" w:name="_Toc184314478"/>
      <w:bookmarkEnd w:id="174"/>
      <w:bookmarkStart w:id="175" w:name="_Toc184314414"/>
      <w:bookmarkEnd w:id="175"/>
      <w:bookmarkStart w:id="176" w:name="_Toc184308082"/>
      <w:bookmarkEnd w:id="176"/>
      <w:bookmarkStart w:id="177" w:name="_Toc184312128"/>
      <w:bookmarkEnd w:id="177"/>
      <w:bookmarkStart w:id="178" w:name="_Toc184308036"/>
      <w:bookmarkEnd w:id="178"/>
      <w:bookmarkStart w:id="179" w:name="_Toc184312132"/>
      <w:bookmarkEnd w:id="179"/>
      <w:bookmarkStart w:id="180" w:name="_Toc184313267"/>
      <w:bookmarkEnd w:id="180"/>
      <w:bookmarkStart w:id="181" w:name="_Toc184310318"/>
      <w:bookmarkEnd w:id="181"/>
      <w:bookmarkStart w:id="182" w:name="_Toc184308063"/>
      <w:bookmarkEnd w:id="182"/>
      <w:bookmarkStart w:id="183" w:name="_Toc184314482"/>
      <w:bookmarkEnd w:id="183"/>
      <w:bookmarkStart w:id="184" w:name="_Toc184310344"/>
      <w:bookmarkEnd w:id="184"/>
      <w:bookmarkStart w:id="185" w:name="_Toc184314432"/>
      <w:bookmarkEnd w:id="185"/>
      <w:bookmarkStart w:id="186" w:name="_Toc184308064"/>
      <w:bookmarkEnd w:id="186"/>
      <w:bookmarkStart w:id="187" w:name="_Toc184314470"/>
      <w:bookmarkEnd w:id="187"/>
      <w:bookmarkStart w:id="188" w:name="_Toc184312077"/>
      <w:bookmarkEnd w:id="188"/>
      <w:bookmarkStart w:id="189" w:name="_Toc184312108"/>
      <w:bookmarkEnd w:id="189"/>
      <w:bookmarkStart w:id="190" w:name="_Toc184313247"/>
      <w:bookmarkEnd w:id="190"/>
      <w:bookmarkStart w:id="191" w:name="_Toc184314461"/>
      <w:bookmarkEnd w:id="191"/>
      <w:bookmarkStart w:id="192" w:name="_Toc184313256"/>
      <w:bookmarkEnd w:id="192"/>
      <w:bookmarkStart w:id="193" w:name="_Toc184314429"/>
      <w:bookmarkEnd w:id="193"/>
      <w:bookmarkStart w:id="194" w:name="_Toc184314444"/>
      <w:bookmarkEnd w:id="194"/>
      <w:bookmarkStart w:id="195" w:name="_Toc184308068"/>
      <w:bookmarkEnd w:id="195"/>
      <w:bookmarkStart w:id="196" w:name="_Toc184313284"/>
      <w:bookmarkEnd w:id="196"/>
      <w:bookmarkStart w:id="197" w:name="_Toc184312092"/>
      <w:bookmarkEnd w:id="197"/>
      <w:bookmarkStart w:id="198" w:name="_Toc184314448"/>
      <w:bookmarkEnd w:id="198"/>
      <w:bookmarkStart w:id="199" w:name="_Toc184314466"/>
      <w:bookmarkEnd w:id="199"/>
      <w:bookmarkStart w:id="200" w:name="_Toc184314454"/>
      <w:bookmarkEnd w:id="200"/>
      <w:bookmarkStart w:id="201" w:name="_Toc184313263"/>
      <w:bookmarkEnd w:id="201"/>
      <w:bookmarkStart w:id="202" w:name="_Toc184312085"/>
      <w:bookmarkEnd w:id="202"/>
      <w:bookmarkStart w:id="203" w:name="_Toc184308049"/>
      <w:bookmarkEnd w:id="203"/>
      <w:bookmarkStart w:id="204" w:name="_Toc184308059"/>
      <w:bookmarkEnd w:id="204"/>
      <w:bookmarkStart w:id="205" w:name="_Toc184310291"/>
      <w:bookmarkEnd w:id="205"/>
      <w:bookmarkStart w:id="206" w:name="_Toc184313264"/>
      <w:bookmarkEnd w:id="206"/>
      <w:bookmarkStart w:id="207" w:name="_Toc184314417"/>
      <w:bookmarkEnd w:id="207"/>
      <w:bookmarkStart w:id="208" w:name="_Toc184312133"/>
      <w:bookmarkEnd w:id="208"/>
      <w:bookmarkStart w:id="209" w:name="_Toc184308043"/>
      <w:bookmarkEnd w:id="209"/>
      <w:bookmarkStart w:id="210" w:name="_Toc184313269"/>
      <w:bookmarkEnd w:id="210"/>
      <w:bookmarkStart w:id="211" w:name="_Toc184312127"/>
      <w:bookmarkEnd w:id="211"/>
      <w:bookmarkStart w:id="212" w:name="_Toc184312130"/>
      <w:bookmarkEnd w:id="212"/>
      <w:bookmarkStart w:id="213" w:name="_Toc184314479"/>
      <w:bookmarkEnd w:id="213"/>
      <w:bookmarkStart w:id="214" w:name="_Toc184308041"/>
      <w:bookmarkEnd w:id="214"/>
      <w:bookmarkStart w:id="215" w:name="_Toc184314474"/>
      <w:bookmarkEnd w:id="215"/>
      <w:bookmarkStart w:id="216" w:name="_Toc184308095"/>
      <w:bookmarkEnd w:id="216"/>
      <w:bookmarkStart w:id="217" w:name="_Toc184312116"/>
      <w:bookmarkEnd w:id="217"/>
      <w:bookmarkStart w:id="218" w:name="_Toc184310311"/>
      <w:bookmarkEnd w:id="218"/>
      <w:bookmarkStart w:id="219" w:name="_Toc184312096"/>
      <w:bookmarkEnd w:id="219"/>
      <w:bookmarkStart w:id="220" w:name="_Toc184310319"/>
      <w:bookmarkEnd w:id="220"/>
      <w:bookmarkStart w:id="221" w:name="_Toc184310340"/>
      <w:bookmarkEnd w:id="221"/>
      <w:bookmarkStart w:id="222" w:name="_Toc184310325"/>
      <w:bookmarkEnd w:id="222"/>
      <w:bookmarkStart w:id="223" w:name="_Toc184312117"/>
      <w:bookmarkEnd w:id="223"/>
      <w:bookmarkStart w:id="224" w:name="_Toc184313274"/>
      <w:bookmarkEnd w:id="224"/>
      <w:bookmarkStart w:id="225" w:name="_Toc184310329"/>
      <w:bookmarkEnd w:id="225"/>
      <w:bookmarkStart w:id="226" w:name="_Toc184314434"/>
      <w:bookmarkEnd w:id="226"/>
      <w:bookmarkStart w:id="227" w:name="_Toc184314426"/>
      <w:bookmarkEnd w:id="227"/>
      <w:bookmarkStart w:id="228" w:name="_Toc184312101"/>
      <w:bookmarkEnd w:id="228"/>
      <w:bookmarkStart w:id="229" w:name="_Toc184314443"/>
      <w:bookmarkEnd w:id="229"/>
      <w:bookmarkStart w:id="230" w:name="_Toc184312099"/>
      <w:bookmarkEnd w:id="230"/>
      <w:bookmarkStart w:id="231" w:name="_Toc184312122"/>
      <w:bookmarkEnd w:id="231"/>
      <w:bookmarkStart w:id="232" w:name="_Toc184313294"/>
      <w:bookmarkEnd w:id="232"/>
      <w:bookmarkStart w:id="233" w:name="_Toc184310321"/>
      <w:bookmarkEnd w:id="233"/>
      <w:bookmarkStart w:id="234" w:name="_Toc184314442"/>
      <w:bookmarkEnd w:id="234"/>
      <w:bookmarkStart w:id="235" w:name="_Toc184313246"/>
      <w:bookmarkEnd w:id="235"/>
      <w:bookmarkStart w:id="236" w:name="_Toc184314427"/>
      <w:bookmarkEnd w:id="236"/>
      <w:bookmarkStart w:id="237" w:name="_Toc184312104"/>
      <w:bookmarkEnd w:id="237"/>
      <w:bookmarkStart w:id="238" w:name="_Toc184310284"/>
      <w:bookmarkEnd w:id="238"/>
      <w:bookmarkStart w:id="239" w:name="_Toc184313279"/>
      <w:bookmarkEnd w:id="239"/>
      <w:bookmarkStart w:id="240" w:name="_Toc184313265"/>
      <w:bookmarkEnd w:id="240"/>
      <w:bookmarkStart w:id="241" w:name="_Toc184308106"/>
      <w:bookmarkEnd w:id="241"/>
      <w:bookmarkStart w:id="242" w:name="_Toc184314462"/>
      <w:bookmarkEnd w:id="242"/>
      <w:bookmarkStart w:id="243" w:name="_Toc184308056"/>
      <w:bookmarkEnd w:id="243"/>
      <w:bookmarkStart w:id="244" w:name="_Toc184313273"/>
      <w:bookmarkEnd w:id="244"/>
      <w:bookmarkStart w:id="245" w:name="_Toc184310282"/>
      <w:bookmarkEnd w:id="245"/>
      <w:bookmarkStart w:id="246" w:name="_Toc184313306"/>
      <w:bookmarkEnd w:id="246"/>
      <w:bookmarkStart w:id="247" w:name="_Toc184313275"/>
      <w:bookmarkEnd w:id="247"/>
      <w:bookmarkStart w:id="248" w:name="_Toc184313292"/>
      <w:bookmarkEnd w:id="248"/>
      <w:bookmarkStart w:id="249" w:name="_Toc184308101"/>
      <w:bookmarkEnd w:id="249"/>
      <w:bookmarkStart w:id="250" w:name="_Toc184308058"/>
      <w:bookmarkEnd w:id="250"/>
      <w:bookmarkStart w:id="251" w:name="_Toc184313268"/>
      <w:bookmarkEnd w:id="251"/>
      <w:bookmarkStart w:id="252" w:name="_Toc184308094"/>
      <w:bookmarkEnd w:id="252"/>
      <w:bookmarkStart w:id="253" w:name="_Toc184310285"/>
      <w:bookmarkEnd w:id="253"/>
      <w:bookmarkStart w:id="254" w:name="_Toc184308105"/>
      <w:bookmarkEnd w:id="254"/>
      <w:bookmarkStart w:id="255" w:name="_Toc184310336"/>
      <w:bookmarkEnd w:id="255"/>
      <w:bookmarkStart w:id="256" w:name="_Toc184308050"/>
      <w:bookmarkEnd w:id="256"/>
      <w:bookmarkStart w:id="257" w:name="_Toc184313305"/>
      <w:bookmarkEnd w:id="257"/>
      <w:bookmarkStart w:id="258" w:name="_Toc184308092"/>
      <w:bookmarkEnd w:id="258"/>
      <w:bookmarkStart w:id="259" w:name="_Toc184310301"/>
      <w:bookmarkEnd w:id="259"/>
      <w:bookmarkStart w:id="260" w:name="_Toc184313238"/>
      <w:bookmarkEnd w:id="260"/>
      <w:bookmarkStart w:id="261" w:name="_Toc184310274"/>
      <w:bookmarkEnd w:id="261"/>
      <w:bookmarkStart w:id="262" w:name="_Toc184308046"/>
      <w:bookmarkEnd w:id="262"/>
      <w:bookmarkStart w:id="263" w:name="_Toc184310339"/>
      <w:bookmarkEnd w:id="263"/>
      <w:bookmarkStart w:id="264" w:name="_Toc184308042"/>
      <w:bookmarkEnd w:id="264"/>
      <w:bookmarkStart w:id="265" w:name="_Toc184314452"/>
      <w:bookmarkEnd w:id="265"/>
      <w:bookmarkStart w:id="266" w:name="_Toc184308073"/>
      <w:bookmarkEnd w:id="266"/>
      <w:bookmarkStart w:id="267" w:name="_Toc184312102"/>
      <w:bookmarkEnd w:id="267"/>
      <w:bookmarkStart w:id="268" w:name="_Toc184310313"/>
      <w:bookmarkEnd w:id="268"/>
      <w:bookmarkStart w:id="269" w:name="_Toc184310277"/>
      <w:bookmarkEnd w:id="269"/>
      <w:bookmarkStart w:id="270" w:name="_Toc184312115"/>
      <w:bookmarkEnd w:id="270"/>
      <w:bookmarkStart w:id="271" w:name="_Toc184308061"/>
      <w:bookmarkEnd w:id="271"/>
      <w:bookmarkStart w:id="272" w:name="_Toc184313272"/>
      <w:bookmarkEnd w:id="272"/>
      <w:bookmarkStart w:id="273" w:name="_Toc184310275"/>
      <w:bookmarkEnd w:id="273"/>
      <w:bookmarkStart w:id="274" w:name="_Toc184312072"/>
      <w:bookmarkEnd w:id="274"/>
      <w:bookmarkStart w:id="275" w:name="_Toc184308069"/>
      <w:bookmarkEnd w:id="275"/>
      <w:bookmarkStart w:id="276" w:name="_Toc184308040"/>
      <w:bookmarkEnd w:id="276"/>
      <w:bookmarkStart w:id="277" w:name="_Toc184314428"/>
      <w:bookmarkEnd w:id="277"/>
      <w:bookmarkStart w:id="278" w:name="_Toc184312093"/>
      <w:bookmarkEnd w:id="278"/>
      <w:bookmarkStart w:id="279" w:name="_Toc184312111"/>
      <w:bookmarkEnd w:id="279"/>
      <w:bookmarkStart w:id="280" w:name="_Toc184313261"/>
      <w:bookmarkEnd w:id="280"/>
      <w:bookmarkStart w:id="281" w:name="_Toc184314419"/>
      <w:bookmarkEnd w:id="281"/>
      <w:bookmarkStart w:id="282" w:name="_Toc184308089"/>
      <w:bookmarkEnd w:id="282"/>
      <w:bookmarkStart w:id="283" w:name="_Toc184310281"/>
      <w:bookmarkEnd w:id="283"/>
      <w:bookmarkStart w:id="284" w:name="_Toc184314471"/>
      <w:bookmarkEnd w:id="284"/>
      <w:bookmarkStart w:id="285" w:name="_Toc184312076"/>
      <w:bookmarkEnd w:id="285"/>
      <w:bookmarkStart w:id="286" w:name="_Toc184314431"/>
      <w:bookmarkEnd w:id="286"/>
      <w:bookmarkStart w:id="287" w:name="_Toc184313286"/>
      <w:bookmarkEnd w:id="287"/>
      <w:bookmarkStart w:id="288" w:name="_Toc184313307"/>
      <w:bookmarkEnd w:id="288"/>
      <w:bookmarkStart w:id="289" w:name="_Toc184308100"/>
      <w:bookmarkEnd w:id="289"/>
      <w:bookmarkStart w:id="290" w:name="_Toc184314455"/>
      <w:bookmarkEnd w:id="290"/>
      <w:bookmarkStart w:id="291" w:name="_Toc184313285"/>
      <w:bookmarkEnd w:id="291"/>
      <w:bookmarkStart w:id="292" w:name="_Toc184312087"/>
      <w:bookmarkEnd w:id="292"/>
      <w:bookmarkStart w:id="293" w:name="_Toc184312068"/>
      <w:bookmarkEnd w:id="293"/>
      <w:bookmarkStart w:id="294" w:name="_Toc184312084"/>
      <w:bookmarkEnd w:id="294"/>
      <w:bookmarkStart w:id="295" w:name="_Toc184308037"/>
      <w:bookmarkEnd w:id="295"/>
      <w:bookmarkStart w:id="296" w:name="_Toc184312091"/>
      <w:bookmarkEnd w:id="296"/>
      <w:bookmarkStart w:id="297" w:name="_Toc184310288"/>
      <w:bookmarkEnd w:id="297"/>
      <w:bookmarkStart w:id="298" w:name="_Toc184308075"/>
      <w:bookmarkEnd w:id="298"/>
      <w:bookmarkStart w:id="299" w:name="_Toc184310338"/>
      <w:bookmarkEnd w:id="299"/>
      <w:bookmarkStart w:id="300" w:name="_Toc184313251"/>
      <w:bookmarkEnd w:id="300"/>
      <w:bookmarkStart w:id="301" w:name="_Toc184308047"/>
      <w:bookmarkEnd w:id="301"/>
      <w:bookmarkStart w:id="302" w:name="_Toc184312070"/>
      <w:bookmarkEnd w:id="302"/>
      <w:bookmarkStart w:id="303" w:name="_Toc184308090"/>
      <w:bookmarkEnd w:id="303"/>
      <w:bookmarkStart w:id="304" w:name="_Toc184312105"/>
      <w:bookmarkEnd w:id="304"/>
      <w:bookmarkStart w:id="305" w:name="_Toc184312110"/>
      <w:bookmarkEnd w:id="305"/>
      <w:bookmarkStart w:id="306" w:name="_Toc184310317"/>
      <w:bookmarkEnd w:id="306"/>
      <w:bookmarkStart w:id="307" w:name="_Toc184308107"/>
      <w:bookmarkEnd w:id="307"/>
      <w:bookmarkStart w:id="308" w:name="_Toc184308057"/>
      <w:bookmarkEnd w:id="308"/>
      <w:bookmarkStart w:id="309" w:name="_Toc184313253"/>
      <w:bookmarkEnd w:id="309"/>
      <w:bookmarkStart w:id="310" w:name="_Toc184313257"/>
      <w:bookmarkEnd w:id="310"/>
      <w:bookmarkStart w:id="311" w:name="_Toc184312138"/>
      <w:bookmarkEnd w:id="311"/>
      <w:bookmarkStart w:id="312" w:name="_Toc184314467"/>
      <w:bookmarkEnd w:id="312"/>
      <w:bookmarkStart w:id="313" w:name="_Toc184314435"/>
      <w:bookmarkEnd w:id="313"/>
      <w:bookmarkStart w:id="314" w:name="_Toc184308039"/>
      <w:bookmarkEnd w:id="314"/>
      <w:bookmarkStart w:id="315" w:name="_Toc184313245"/>
      <w:bookmarkEnd w:id="315"/>
      <w:bookmarkStart w:id="316" w:name="_Toc184312083"/>
      <w:bookmarkEnd w:id="316"/>
      <w:bookmarkStart w:id="317" w:name="_Toc184310295"/>
      <w:bookmarkEnd w:id="317"/>
      <w:bookmarkStart w:id="318" w:name="_Toc184313271"/>
      <w:bookmarkEnd w:id="318"/>
      <w:bookmarkStart w:id="319" w:name="_Toc184313259"/>
      <w:bookmarkEnd w:id="319"/>
      <w:bookmarkStart w:id="320" w:name="_Toc184314430"/>
      <w:bookmarkEnd w:id="320"/>
      <w:bookmarkStart w:id="321" w:name="_Toc184312126"/>
      <w:bookmarkEnd w:id="321"/>
      <w:bookmarkStart w:id="322" w:name="_Toc184313244"/>
      <w:bookmarkEnd w:id="322"/>
      <w:bookmarkStart w:id="323" w:name="_Toc184312139"/>
      <w:bookmarkEnd w:id="323"/>
      <w:bookmarkStart w:id="324" w:name="_Toc184310306"/>
      <w:bookmarkEnd w:id="324"/>
      <w:bookmarkStart w:id="325" w:name="_Toc184314468"/>
      <w:bookmarkEnd w:id="325"/>
      <w:bookmarkStart w:id="326" w:name="_Toc184308077"/>
      <w:bookmarkEnd w:id="326"/>
      <w:bookmarkStart w:id="327" w:name="_Toc184313302"/>
      <w:bookmarkEnd w:id="327"/>
      <w:bookmarkStart w:id="328" w:name="_Toc184308078"/>
      <w:bookmarkEnd w:id="328"/>
      <w:bookmarkStart w:id="329" w:name="_Toc184312131"/>
      <w:bookmarkEnd w:id="329"/>
      <w:bookmarkStart w:id="330" w:name="_Toc184310272"/>
      <w:bookmarkEnd w:id="330"/>
      <w:bookmarkStart w:id="331" w:name="_Toc184314420"/>
      <w:bookmarkEnd w:id="331"/>
      <w:bookmarkStart w:id="332" w:name="_Toc184308066"/>
      <w:bookmarkEnd w:id="332"/>
      <w:bookmarkStart w:id="333" w:name="_Toc184308087"/>
      <w:bookmarkEnd w:id="333"/>
      <w:bookmarkStart w:id="334" w:name="_Toc184312121"/>
      <w:bookmarkEnd w:id="334"/>
      <w:bookmarkStart w:id="335" w:name="_Toc184312097"/>
      <w:bookmarkEnd w:id="335"/>
      <w:bookmarkStart w:id="336" w:name="_Toc184313254"/>
      <w:bookmarkEnd w:id="336"/>
      <w:bookmarkStart w:id="337" w:name="_Toc184310343"/>
      <w:bookmarkEnd w:id="337"/>
      <w:bookmarkStart w:id="338" w:name="_Toc184314416"/>
      <w:bookmarkEnd w:id="338"/>
      <w:bookmarkStart w:id="339" w:name="_Toc184313290"/>
      <w:bookmarkEnd w:id="339"/>
      <w:bookmarkStart w:id="340" w:name="_Toc184313262"/>
      <w:bookmarkEnd w:id="340"/>
      <w:bookmarkStart w:id="341" w:name="_Toc184312137"/>
      <w:bookmarkEnd w:id="341"/>
      <w:bookmarkStart w:id="342" w:name="_Toc184310322"/>
      <w:bookmarkEnd w:id="342"/>
      <w:bookmarkStart w:id="343" w:name="_Toc184312103"/>
      <w:bookmarkEnd w:id="343"/>
      <w:bookmarkStart w:id="344" w:name="_Toc184310331"/>
      <w:bookmarkEnd w:id="344"/>
      <w:bookmarkStart w:id="345" w:name="_Toc184314450"/>
      <w:bookmarkEnd w:id="345"/>
      <w:bookmarkStart w:id="346" w:name="_Toc184312090"/>
      <w:bookmarkEnd w:id="346"/>
      <w:bookmarkStart w:id="347" w:name="_Toc184310298"/>
      <w:bookmarkEnd w:id="347"/>
      <w:bookmarkStart w:id="348" w:name="_Toc184310297"/>
      <w:bookmarkEnd w:id="348"/>
      <w:bookmarkStart w:id="349" w:name="_Toc184310302"/>
      <w:bookmarkEnd w:id="349"/>
      <w:bookmarkStart w:id="350" w:name="_Toc184310290"/>
      <w:bookmarkEnd w:id="350"/>
      <w:bookmarkStart w:id="351" w:name="_Toc184308045"/>
      <w:bookmarkEnd w:id="351"/>
      <w:bookmarkStart w:id="352" w:name="_Toc184308103"/>
      <w:bookmarkEnd w:id="352"/>
      <w:bookmarkStart w:id="353" w:name="_Toc184313291"/>
      <w:bookmarkEnd w:id="353"/>
      <w:bookmarkStart w:id="354" w:name="_Toc184312125"/>
      <w:bookmarkEnd w:id="354"/>
      <w:bookmarkStart w:id="355" w:name="_Toc184312069"/>
      <w:bookmarkEnd w:id="355"/>
      <w:bookmarkStart w:id="356" w:name="_Toc184308055"/>
      <w:bookmarkEnd w:id="356"/>
      <w:bookmarkStart w:id="357" w:name="_Toc184310280"/>
      <w:bookmarkEnd w:id="357"/>
      <w:bookmarkStart w:id="358" w:name="_Toc184312106"/>
      <w:bookmarkEnd w:id="358"/>
      <w:bookmarkStart w:id="359" w:name="_Toc184314441"/>
      <w:bookmarkEnd w:id="359"/>
      <w:bookmarkStart w:id="360" w:name="_Toc184310307"/>
      <w:bookmarkEnd w:id="360"/>
      <w:bookmarkStart w:id="361" w:name="_Toc184308048"/>
      <w:bookmarkEnd w:id="361"/>
      <w:bookmarkStart w:id="362" w:name="_Toc184310294"/>
      <w:bookmarkEnd w:id="362"/>
      <w:bookmarkStart w:id="363" w:name="_Toc184310312"/>
      <w:bookmarkEnd w:id="363"/>
      <w:bookmarkStart w:id="364" w:name="_Toc184313309"/>
      <w:bookmarkEnd w:id="364"/>
      <w:bookmarkStart w:id="365" w:name="_Toc184314433"/>
      <w:bookmarkEnd w:id="365"/>
      <w:bookmarkStart w:id="366" w:name="_Toc184314447"/>
      <w:bookmarkEnd w:id="366"/>
      <w:bookmarkStart w:id="367" w:name="_Toc184314437"/>
      <w:bookmarkEnd w:id="367"/>
      <w:bookmarkStart w:id="368" w:name="_Toc184312119"/>
      <w:bookmarkEnd w:id="368"/>
      <w:bookmarkStart w:id="369" w:name="_Toc184313288"/>
      <w:bookmarkEnd w:id="369"/>
      <w:bookmarkStart w:id="370" w:name="_Toc184310337"/>
      <w:bookmarkEnd w:id="370"/>
      <w:bookmarkStart w:id="371" w:name="_Toc184310300"/>
      <w:bookmarkEnd w:id="371"/>
      <w:bookmarkStart w:id="372" w:name="_Toc184313252"/>
      <w:bookmarkEnd w:id="372"/>
      <w:bookmarkStart w:id="373" w:name="_Toc184310342"/>
      <w:bookmarkEnd w:id="373"/>
      <w:bookmarkStart w:id="374" w:name="_Toc184310323"/>
      <w:bookmarkEnd w:id="374"/>
      <w:bookmarkStart w:id="375" w:name="_Toc184314456"/>
      <w:bookmarkEnd w:id="375"/>
      <w:bookmarkStart w:id="376" w:name="_Toc184310333"/>
      <w:bookmarkEnd w:id="376"/>
      <w:bookmarkStart w:id="377" w:name="_Toc184312080"/>
      <w:bookmarkEnd w:id="377"/>
      <w:bookmarkStart w:id="378" w:name="_Toc184313241"/>
      <w:bookmarkEnd w:id="378"/>
      <w:bookmarkStart w:id="379" w:name="_Toc184308067"/>
      <w:bookmarkEnd w:id="379"/>
      <w:bookmarkStart w:id="380" w:name="_Toc184313278"/>
      <w:bookmarkEnd w:id="380"/>
      <w:bookmarkStart w:id="381" w:name="_Toc184313250"/>
      <w:bookmarkEnd w:id="381"/>
      <w:bookmarkStart w:id="382" w:name="_Toc184313283"/>
      <w:bookmarkEnd w:id="382"/>
      <w:bookmarkStart w:id="383" w:name="_Toc184310320"/>
      <w:bookmarkEnd w:id="383"/>
      <w:bookmarkStart w:id="384" w:name="_Toc184312129"/>
      <w:bookmarkEnd w:id="384"/>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D.响应文件中承诺的响应有效期少于询价采购文件中载明的投标有效期的；响应文件出现不是唯一的、有选择性响应报价的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p>
    <w:p>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L在采购人规定的截止时间以后送达的响应文件；</w:t>
      </w:r>
    </w:p>
    <w:p>
      <w:pPr>
        <w:spacing w:line="360" w:lineRule="auto"/>
        <w:ind w:firstLine="480" w:firstLineChars="200"/>
        <w:rPr>
          <w:rFonts w:ascii="宋体" w:hAnsi="宋体" w:cs="宋体"/>
          <w:kern w:val="0"/>
          <w:sz w:val="24"/>
        </w:rPr>
      </w:pPr>
      <w:r>
        <w:rPr>
          <w:rFonts w:hint="eastAsia" w:ascii="宋体" w:hAnsi="宋体" w:cs="宋体"/>
          <w:kern w:val="0"/>
          <w:sz w:val="24"/>
        </w:rPr>
        <w:t>M未按要求缴纳询价保证金的</w:t>
      </w:r>
      <w:r>
        <w:rPr>
          <w:rFonts w:hint="eastAsia" w:ascii="宋体" w:hAnsi="宋体" w:cs="宋体"/>
          <w:b/>
          <w:bCs/>
          <w:kern w:val="0"/>
          <w:sz w:val="24"/>
        </w:rPr>
        <w:t>（若有）</w:t>
      </w:r>
      <w:r>
        <w:rPr>
          <w:rFonts w:hint="eastAsia" w:ascii="宋体" w:hAnsi="宋体" w:cs="宋体"/>
          <w:kern w:val="0"/>
          <w:sz w:val="24"/>
        </w:rPr>
        <w:t>。</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6"/>
        <w:ind w:firstLine="480" w:firstLineChars="200"/>
      </w:pPr>
      <w:r>
        <w:rPr>
          <w:lang w:val="en-US"/>
        </w:rPr>
        <w:t>1.1</w:t>
      </w:r>
      <w:r>
        <w:rPr>
          <w:rFonts w:hint="eastAsia"/>
        </w:rPr>
        <w:t>若出现税率不一致的情况，以除税总金额相对比。</w:t>
      </w:r>
    </w:p>
    <w:p>
      <w:pPr>
        <w:pStyle w:val="6"/>
        <w:ind w:firstLine="480" w:firstLineChars="200"/>
      </w:pPr>
      <w:r>
        <w:rPr>
          <w:lang w:val="en-US"/>
        </w:rPr>
        <w:t>1.2</w:t>
      </w:r>
      <w:r>
        <w:rPr>
          <w:rFonts w:hint="eastAsia"/>
          <w:lang w:val="en-US"/>
        </w:rPr>
        <w:t>若</w:t>
      </w:r>
      <w:r>
        <w:rPr>
          <w:rFonts w:hint="eastAsia"/>
        </w:rPr>
        <w:t>出现相同总金额最低报价情况时，总金额最低报价相同的供应商再进行一轮报价</w:t>
      </w:r>
      <w:r>
        <w:rPr>
          <w:rFonts w:hint="eastAsia"/>
          <w:b/>
          <w:bCs/>
        </w:rPr>
        <w:t>。如报价再相同，则由采购人</w:t>
      </w:r>
      <w:r>
        <w:rPr>
          <w:rFonts w:hint="eastAsia"/>
          <w:b/>
          <w:bCs/>
          <w:lang w:val="en-US"/>
        </w:rPr>
        <w:t>工作人员组织询价评审小组成员与供应商分别</w:t>
      </w:r>
      <w:r>
        <w:rPr>
          <w:rFonts w:hint="eastAsia"/>
          <w:b/>
          <w:bCs/>
        </w:rPr>
        <w:t>再进行一轮报价，以此类推。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第二次询价后，报价未超过采购限价的供应商或者经评审有效的供应商仍少于3个，采购方式由询价直接转为谈判，询价采购文件即为谈判文件，询价评审小组成员即为询价谈判小组成员，询价保证金转为谈判保证金（若有）。</w:t>
      </w:r>
    </w:p>
    <w:p>
      <w:pPr>
        <w:pStyle w:val="6"/>
        <w:rPr>
          <w:lang w:val="en-US"/>
        </w:rPr>
      </w:pPr>
    </w:p>
    <w:p>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cols w:space="720" w:num="1"/>
          <w:docGrid w:type="lines" w:linePitch="312" w:charSpace="0"/>
        </w:sectPr>
      </w:pPr>
    </w:p>
    <w:p>
      <w:pPr>
        <w:numPr>
          <w:ilvl w:val="0"/>
          <w:numId w:val="2"/>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pPr>
        <w:spacing w:line="480" w:lineRule="auto"/>
        <w:rPr>
          <w:rFonts w:ascii="宋体" w:hAnsi="宋体" w:cs="宋体"/>
          <w:b/>
          <w:sz w:val="24"/>
        </w:rPr>
      </w:pPr>
    </w:p>
    <w:p>
      <w:pPr>
        <w:pStyle w:val="3"/>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2"/>
        <w:rPr>
          <w:rFonts w:ascii="宋体" w:hAnsi="宋体" w:cs="宋体"/>
          <w:szCs w:val="24"/>
        </w:rPr>
      </w:pPr>
    </w:p>
    <w:p>
      <w:pPr>
        <w:spacing w:before="120" w:line="22" w:lineRule="atLeast"/>
        <w:ind w:left="960"/>
        <w:rPr>
          <w:rFonts w:ascii="宋体" w:hAnsi="宋体" w:eastAsia="宋体" w:cs="宋体"/>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2024年临江公司链条（标准件）采购</w:t>
      </w:r>
      <w:r>
        <w:rPr>
          <w:rFonts w:hint="eastAsia" w:ascii="宋体" w:hAnsi="宋体" w:cs="宋体"/>
          <w:sz w:val="24"/>
          <w:u w:val="single"/>
          <w:lang w:val="en-US" w:eastAsia="zh-CN"/>
        </w:rPr>
        <w:t>项目</w:t>
      </w:r>
      <w:r>
        <w:rPr>
          <w:rFonts w:hint="eastAsia" w:ascii="宋体" w:hAnsi="宋体" w:cs="宋体"/>
          <w:sz w:val="24"/>
          <w:u w:val="single"/>
        </w:rPr>
        <w:t xml:space="preserve"> </w:t>
      </w:r>
      <w:r>
        <w:rPr>
          <w:rFonts w:ascii="宋体" w:hAnsi="宋体" w:cs="宋体"/>
          <w:sz w:val="24"/>
          <w:u w:val="single"/>
        </w:rPr>
        <w:t xml:space="preserve"> </w:t>
      </w:r>
    </w:p>
    <w:p>
      <w:pPr>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hint="eastAsia" w:ascii="宋体" w:hAnsi="宋体" w:cs="宋体"/>
          <w:sz w:val="24"/>
          <w:lang w:val="en-US" w:eastAsia="zh-CN"/>
        </w:rPr>
        <w:t xml:space="preserve">    </w:t>
      </w:r>
      <w:r>
        <w:rPr>
          <w:rFonts w:hint="eastAsia" w:ascii="宋体" w:hAnsi="宋体" w:cs="宋体"/>
          <w:sz w:val="24"/>
        </w:rPr>
        <w:t>方：</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杭州临江环境能源有限公司     </w:t>
      </w:r>
    </w:p>
    <w:p>
      <w:pPr>
        <w:spacing w:before="120" w:line="22" w:lineRule="atLeast"/>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乙</w:t>
      </w:r>
      <w:r>
        <w:rPr>
          <w:rFonts w:hint="eastAsia" w:ascii="宋体" w:hAnsi="宋体" w:cs="宋体"/>
          <w:sz w:val="24"/>
          <w:lang w:val="en-US" w:eastAsia="zh-CN"/>
        </w:rPr>
        <w:t xml:space="preserve">    </w:t>
      </w:r>
      <w:r>
        <w:rPr>
          <w:rFonts w:hint="eastAsia" w:ascii="宋体" w:hAnsi="宋体" w:cs="宋体"/>
          <w:sz w:val="24"/>
        </w:rPr>
        <w:t>方：</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hint="eastAsia" w:ascii="宋体" w:hAnsi="宋体" w:cs="宋体"/>
          <w:sz w:val="24"/>
          <w:lang w:val="en-US" w:eastAsia="zh-CN"/>
        </w:rPr>
        <w:t xml:space="preserve"> </w:t>
      </w:r>
      <w:r>
        <w:rPr>
          <w:rFonts w:hint="eastAsia" w:ascii="宋体" w:hAnsi="宋体" w:cs="宋体"/>
          <w:sz w:val="24"/>
        </w:rPr>
        <w:t>订</w:t>
      </w:r>
      <w:r>
        <w:rPr>
          <w:rFonts w:hint="eastAsia" w:ascii="宋体" w:hAnsi="宋体" w:cs="宋体"/>
          <w:sz w:val="24"/>
          <w:lang w:val="en-US" w:eastAsia="zh-CN"/>
        </w:rPr>
        <w:t xml:space="preserve"> </w:t>
      </w:r>
      <w:r>
        <w:rPr>
          <w:rFonts w:hint="eastAsia" w:ascii="宋体" w:hAnsi="宋体" w:cs="宋体"/>
          <w:sz w:val="24"/>
        </w:rPr>
        <w:t>地：</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浙江省杭州市钱塘区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22"/>
        <w:ind w:left="0" w:leftChars="0" w:firstLine="0" w:firstLineChars="0"/>
        <w:rPr>
          <w:rFonts w:ascii="宋体" w:hAnsi="宋体" w:cs="宋体"/>
          <w:b/>
          <w:szCs w:val="24"/>
        </w:rPr>
      </w:pPr>
    </w:p>
    <w:p>
      <w:pPr>
        <w:pStyle w:val="7"/>
        <w:jc w:val="center"/>
        <w:rPr>
          <w:rFonts w:eastAsia="宋体"/>
          <w:b/>
          <w:bCs/>
        </w:rPr>
      </w:pPr>
      <w:r>
        <w:rPr>
          <w:rFonts w:hint="eastAsia"/>
          <w:b/>
          <w:bCs/>
        </w:rPr>
        <w:t>目录</w:t>
      </w:r>
    </w:p>
    <w:p>
      <w:pPr>
        <w:pStyle w:val="9"/>
        <w:spacing w:line="360" w:lineRule="auto"/>
        <w:ind w:firstLine="240" w:firstLineChars="100"/>
      </w:pPr>
      <w:r>
        <w:rPr>
          <w:rFonts w:hint="eastAsia"/>
        </w:rPr>
        <w:t>第一章 合同书  ……………………………………………………………（页码）</w:t>
      </w:r>
    </w:p>
    <w:p>
      <w:pPr>
        <w:pStyle w:val="9"/>
        <w:spacing w:line="360" w:lineRule="auto"/>
        <w:ind w:firstLine="240" w:firstLineChars="100"/>
      </w:pPr>
      <w:r>
        <w:rPr>
          <w:rFonts w:hint="eastAsia"/>
        </w:rPr>
        <w:t>第二章 合同一般条款………………………………………………………（页码）</w:t>
      </w:r>
    </w:p>
    <w:p>
      <w:pPr>
        <w:pStyle w:val="9"/>
        <w:spacing w:line="360" w:lineRule="auto"/>
        <w:ind w:firstLine="240" w:firstLineChars="100"/>
      </w:pPr>
      <w:r>
        <w:rPr>
          <w:rFonts w:hint="eastAsia"/>
        </w:rPr>
        <w:t>第三章 廉洁协议……………………………………………………………（页码）</w:t>
      </w:r>
    </w:p>
    <w:p>
      <w:pPr>
        <w:pStyle w:val="22"/>
        <w:rPr>
          <w:rFonts w:ascii="宋体" w:hAnsi="宋体" w:cs="宋体"/>
          <w:szCs w:val="24"/>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22"/>
        <w:ind w:left="0" w:leftChars="0" w:firstLine="0" w:firstLineChars="0"/>
        <w:rPr>
          <w:rFonts w:ascii="宋体" w:hAnsi="宋体" w:cs="宋体"/>
          <w:szCs w:val="24"/>
        </w:rPr>
      </w:pPr>
    </w:p>
    <w:p>
      <w:pPr>
        <w:pStyle w:val="9"/>
      </w:pPr>
    </w:p>
    <w:p>
      <w:pPr>
        <w:pStyle w:val="9"/>
        <w:ind w:firstLine="0" w:firstLineChars="0"/>
        <w:rPr>
          <w:rFonts w:cs="宋体"/>
        </w:rPr>
      </w:pPr>
    </w:p>
    <w:p>
      <w:pPr>
        <w:pStyle w:val="22"/>
        <w:ind w:left="0" w:leftChars="0" w:firstLine="0" w:firstLineChars="0"/>
        <w:rPr>
          <w:rFonts w:ascii="宋体" w:hAnsi="宋体" w:cs="宋体"/>
          <w:b/>
          <w:szCs w:val="24"/>
        </w:rPr>
      </w:pPr>
    </w:p>
    <w:p>
      <w:pPr>
        <w:pStyle w:val="22"/>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color w:val="0000FF"/>
          <w:sz w:val="24"/>
          <w:u w:val="single"/>
        </w:rPr>
        <w:t>杭州临江环境能源有限公司</w:t>
      </w:r>
      <w:r>
        <w:rPr>
          <w:rFonts w:hint="eastAsia" w:ascii="宋体" w:hAnsi="宋体" w:cs="宋体"/>
          <w:sz w:val="24"/>
          <w:u w:val="single"/>
        </w:rPr>
        <w:t xml:space="preserve">   </w:t>
      </w:r>
      <w:r>
        <w:rPr>
          <w:rFonts w:hint="eastAsia" w:ascii="宋体" w:hAnsi="宋体" w:cs="宋体"/>
          <w:sz w:val="24"/>
        </w:rPr>
        <w:t>以</w:t>
      </w:r>
      <w:r>
        <w:rPr>
          <w:rFonts w:hint="eastAsia" w:ascii="宋体" w:hAnsi="宋体"/>
          <w:sz w:val="24"/>
          <w:u w:val="single"/>
        </w:rPr>
        <w:t>询价</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color w:val="0000FF"/>
          <w:sz w:val="24"/>
          <w:u w:val="single"/>
        </w:rPr>
        <w:t>（</w:t>
      </w:r>
      <w:r>
        <w:rPr>
          <w:rFonts w:hint="eastAsia" w:ascii="宋体" w:hAnsi="宋体" w:cs="宋体"/>
          <w:color w:val="0000FF"/>
          <w:sz w:val="24"/>
          <w:u w:val="single"/>
          <w:lang w:eastAsia="zh-CN"/>
        </w:rPr>
        <w:t>2024年临江公司链条（标准件）采购</w:t>
      </w:r>
      <w:r>
        <w:rPr>
          <w:rFonts w:hint="eastAsia" w:ascii="宋体" w:hAnsi="宋体" w:cs="宋体"/>
          <w:color w:val="0000FF"/>
          <w:sz w:val="24"/>
          <w:u w:val="single"/>
          <w:lang w:val="en-US" w:eastAsia="zh-CN"/>
        </w:rPr>
        <w:t>项目</w:t>
      </w:r>
      <w:r>
        <w:rPr>
          <w:rFonts w:hint="eastAsia" w:ascii="宋体" w:hAnsi="宋体" w:cs="宋体"/>
          <w:color w:val="0000FF"/>
          <w:sz w:val="24"/>
          <w:u w:val="single"/>
        </w:rPr>
        <w:t xml:space="preserve">、编号）  </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为该项目中标或者成交供应商。现于中标或者成交通知书发出之日起10个工作日内，按照采购文件等确定的事项签订本合同。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u w:val="single"/>
          <w:lang w:eastAsia="zh-CN"/>
        </w:rPr>
        <w:t>（</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5" w:name="_Toc24059"/>
      <w:bookmarkStart w:id="386" w:name="_Toc3029"/>
      <w:bookmarkStart w:id="387" w:name="_Toc2232"/>
      <w:r>
        <w:rPr>
          <w:rFonts w:hint="eastAsia" w:ascii="宋体" w:hAnsi="宋体" w:cs="宋体"/>
          <w:b/>
          <w:sz w:val="24"/>
        </w:rPr>
        <w:t>一、合同组成部分</w:t>
      </w:r>
      <w:bookmarkEnd w:id="385"/>
      <w:bookmarkEnd w:id="386"/>
      <w:bookmarkEnd w:id="387"/>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sz w:val="24"/>
        </w:rPr>
      </w:pPr>
      <w:bookmarkStart w:id="388" w:name="_Toc24300"/>
      <w:bookmarkStart w:id="389" w:name="_Toc21295"/>
      <w:bookmarkStart w:id="390" w:name="_Toc27126"/>
      <w:r>
        <w:rPr>
          <w:rFonts w:hint="eastAsia" w:ascii="宋体" w:hAnsi="宋体" w:cs="宋体"/>
          <w:b/>
          <w:sz w:val="24"/>
        </w:rPr>
        <w:t xml:space="preserve">二、 </w:t>
      </w:r>
      <w:bookmarkEnd w:id="388"/>
      <w:bookmarkEnd w:id="389"/>
      <w:bookmarkEnd w:id="390"/>
      <w:r>
        <w:rPr>
          <w:rFonts w:hint="eastAsia" w:ascii="宋体" w:hAnsi="宋体" w:cs="宋体"/>
          <w:b/>
          <w:sz w:val="24"/>
        </w:rPr>
        <w:t>合同标的及价款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cs="宋体"/>
          <w:sz w:val="24"/>
        </w:rPr>
        <w:t>单价和总价均包括但不限于货款、包装费、运输费及运输保险费（如有）、装卸费、安装调试费（如有）、售后服务费及税费等全部费用。除非甲方有额外采购需求且经甲方书面同意，否则，本合同下总价不予调整。</w:t>
      </w:r>
    </w:p>
    <w:p>
      <w:pPr>
        <w:pStyle w:val="23"/>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pPr>
        <w:spacing w:line="360" w:lineRule="auto"/>
        <w:ind w:firstLine="480" w:firstLineChars="200"/>
        <w:rPr>
          <w:rFonts w:ascii="宋体" w:hAnsi="宋体" w:cs="宋体"/>
          <w:sz w:val="24"/>
        </w:rPr>
      </w:pPr>
      <w:r>
        <w:rPr>
          <w:rFonts w:hint="eastAsia" w:ascii="宋体" w:hAnsi="宋体" w:cs="宋体"/>
          <w:sz w:val="24"/>
        </w:rPr>
        <w:t>3.货物名称、品牌、规格型号：</w:t>
      </w:r>
      <w:r>
        <w:rPr>
          <w:rFonts w:ascii="宋体" w:hAnsi="宋体" w:cs="宋体"/>
          <w:sz w:val="24"/>
        </w:rPr>
        <w:t xml:space="preserve"> </w:t>
      </w:r>
    </w:p>
    <w:p>
      <w:pPr>
        <w:pStyle w:val="2"/>
      </w:pPr>
    </w:p>
    <w:tbl>
      <w:tblPr>
        <w:tblStyle w:val="14"/>
        <w:tblW w:w="92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9"/>
        <w:gridCol w:w="1520"/>
        <w:gridCol w:w="3926"/>
        <w:gridCol w:w="630"/>
        <w:gridCol w:w="645"/>
        <w:gridCol w:w="975"/>
        <w:gridCol w:w="10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物资名称</w:t>
            </w:r>
          </w:p>
        </w:tc>
        <w:tc>
          <w:tcPr>
            <w:tcW w:w="3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型号规格</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单价（元）</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链条</w:t>
            </w:r>
          </w:p>
        </w:tc>
        <w:tc>
          <w:tcPr>
            <w:tcW w:w="3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08B-1-28/含链扣 (GB/T1243)</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链条</w:t>
            </w:r>
          </w:p>
        </w:tc>
        <w:tc>
          <w:tcPr>
            <w:tcW w:w="3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08B-1-26/含链扣 (GB/T1243)</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链条扣</w:t>
            </w:r>
          </w:p>
        </w:tc>
        <w:tc>
          <w:tcPr>
            <w:tcW w:w="3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12A-1/碳钢 (GB/T1243)</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输送链条</w:t>
            </w:r>
          </w:p>
        </w:tc>
        <w:tc>
          <w:tcPr>
            <w:tcW w:w="3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12A-1-70/含链扣/碳钢 (GB/T1243)</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翻转机输送链条</w:t>
            </w:r>
          </w:p>
        </w:tc>
        <w:tc>
          <w:tcPr>
            <w:tcW w:w="3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C10B-2-256/含链扣 不锈钢(420)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链条</w:t>
            </w:r>
          </w:p>
        </w:tc>
        <w:tc>
          <w:tcPr>
            <w:tcW w:w="3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16A-1-220/含链扣 (GB/T1243) 不锈钢</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链条</w:t>
            </w:r>
          </w:p>
        </w:tc>
        <w:tc>
          <w:tcPr>
            <w:tcW w:w="3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12A-2-44/含链扣 (GB/T1243)</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链条扣</w:t>
            </w:r>
          </w:p>
        </w:tc>
        <w:tc>
          <w:tcPr>
            <w:tcW w:w="3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12A-2 碳钢(GB/T1243)</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链条 </w:t>
            </w:r>
          </w:p>
        </w:tc>
        <w:tc>
          <w:tcPr>
            <w:tcW w:w="3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12A-2-104/含链扣/碳钢 (GB/T1243)</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链条</w:t>
            </w:r>
          </w:p>
        </w:tc>
        <w:tc>
          <w:tcPr>
            <w:tcW w:w="3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08B-1-54/含链扣/碳钢 (GB/T1243)</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转台链条</w:t>
            </w:r>
          </w:p>
        </w:tc>
        <w:tc>
          <w:tcPr>
            <w:tcW w:w="3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06B-1-30/含链扣 (GB/T1243)</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单排半扣</w:t>
            </w:r>
          </w:p>
        </w:tc>
        <w:tc>
          <w:tcPr>
            <w:tcW w:w="3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08B-1 (GB/T1243)</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单排全扣</w:t>
            </w:r>
          </w:p>
        </w:tc>
        <w:tc>
          <w:tcPr>
            <w:tcW w:w="3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08B-1 (GB/T1243)</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单排全扣</w:t>
            </w:r>
          </w:p>
        </w:tc>
        <w:tc>
          <w:tcPr>
            <w:tcW w:w="3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16A-1 (GB/T1243) 不锈钢</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翻转机输送链扣</w:t>
            </w:r>
          </w:p>
        </w:tc>
        <w:tc>
          <w:tcPr>
            <w:tcW w:w="3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C10B-2 不锈钢(201) (GB/T7810)活扣</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单排全扣</w:t>
            </w:r>
          </w:p>
        </w:tc>
        <w:tc>
          <w:tcPr>
            <w:tcW w:w="3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06B-1 (GB/T1243)</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链条</w:t>
            </w:r>
          </w:p>
        </w:tc>
        <w:tc>
          <w:tcPr>
            <w:tcW w:w="3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10A-1(GB/T1243) ， L=1.5米 ，全扣</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G80级锰钢链条</w:t>
            </w:r>
          </w:p>
        </w:tc>
        <w:tc>
          <w:tcPr>
            <w:tcW w:w="3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22mm单吊15吨、材质20Mn2A、内宽28mm、外长66mm、外宽77mm、外长110mm、10米/根</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滚子链条</w:t>
            </w:r>
          </w:p>
        </w:tc>
        <w:tc>
          <w:tcPr>
            <w:tcW w:w="3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28A-1-1.5米\GB-T1243 全扣</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滚子链条卡扣</w:t>
            </w:r>
          </w:p>
        </w:tc>
        <w:tc>
          <w:tcPr>
            <w:tcW w:w="3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单排24A全接头</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滚子链条卡扣</w:t>
            </w:r>
          </w:p>
        </w:tc>
        <w:tc>
          <w:tcPr>
            <w:tcW w:w="3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28A-1全接头</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39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bl>
    <w:p/>
    <w:p>
      <w:pPr>
        <w:pStyle w:val="23"/>
        <w:spacing w:before="0" w:beforeAutospacing="0" w:after="0" w:afterAutospacing="0" w:line="360" w:lineRule="auto"/>
        <w:ind w:firstLine="480"/>
        <w:rPr>
          <w:rFonts w:hint="eastAsia"/>
          <w:b/>
        </w:rPr>
      </w:pPr>
      <w:bookmarkStart w:id="391" w:name="_Toc10340"/>
      <w:bookmarkStart w:id="392" w:name="_Toc1814"/>
      <w:bookmarkStart w:id="393" w:name="_Toc22618"/>
    </w:p>
    <w:p>
      <w:pPr>
        <w:pStyle w:val="23"/>
        <w:spacing w:before="0" w:beforeAutospacing="0" w:after="0" w:afterAutospacing="0" w:line="360" w:lineRule="auto"/>
        <w:ind w:firstLine="480"/>
        <w:rPr>
          <w:b/>
        </w:rPr>
      </w:pPr>
      <w:r>
        <w:rPr>
          <w:rFonts w:hint="eastAsia"/>
          <w:b/>
        </w:rPr>
        <w:t>三、合同期限、货物交付期限、地点和联系方式、交付方式</w:t>
      </w:r>
    </w:p>
    <w:p>
      <w:pPr>
        <w:spacing w:line="360" w:lineRule="auto"/>
        <w:ind w:firstLine="480" w:firstLineChars="200"/>
        <w:rPr>
          <w:rFonts w:ascii="宋体" w:hAnsi="宋体" w:cs="宋体"/>
          <w:sz w:val="24"/>
        </w:rPr>
      </w:pPr>
      <w:r>
        <w:rPr>
          <w:rFonts w:hint="eastAsia" w:ascii="宋体" w:hAnsi="宋体" w:cs="宋体"/>
          <w:sz w:val="24"/>
        </w:rPr>
        <w:t>1.合同期限：</w:t>
      </w:r>
      <w:r>
        <w:rPr>
          <w:rFonts w:hint="eastAsia" w:ascii="宋体" w:hAnsi="宋体" w:cs="宋体"/>
          <w:sz w:val="24"/>
          <w:u w:val="single"/>
        </w:rPr>
        <w:t xml:space="preserve"> 自合同签订后</w:t>
      </w:r>
      <w:r>
        <w:rPr>
          <w:rFonts w:hint="eastAsia" w:ascii="宋体" w:hAnsi="宋体" w:cs="宋体"/>
          <w:sz w:val="24"/>
          <w:u w:val="single"/>
          <w:lang w:val="en-US" w:eastAsia="zh-CN"/>
        </w:rPr>
        <w:t>一年</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 xml:space="preserve">按采购订单要求执行  </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3"/>
        <w:spacing w:before="0" w:beforeAutospacing="0" w:after="0" w:afterAutospacing="0" w:line="360" w:lineRule="auto"/>
        <w:ind w:firstLine="480"/>
        <w:rPr>
          <w:b/>
        </w:rPr>
      </w:pPr>
      <w:r>
        <w:rPr>
          <w:rFonts w:hint="eastAsia"/>
          <w:b/>
        </w:rPr>
        <w:t>四、技术和质量要求</w:t>
      </w:r>
    </w:p>
    <w:p>
      <w:pPr>
        <w:pStyle w:val="23"/>
        <w:spacing w:before="0" w:beforeAutospacing="0" w:after="0" w:afterAutospacing="0" w:line="360" w:lineRule="auto"/>
        <w:ind w:firstLine="480" w:firstLineChars="200"/>
      </w:pPr>
      <w:bookmarkStart w:id="394" w:name="_Toc14563"/>
      <w:bookmarkStart w:id="395" w:name="_Toc6596"/>
      <w:bookmarkStart w:id="396" w:name="_Toc1125"/>
      <w:r>
        <w:rPr>
          <w:rFonts w:hint="eastAsia"/>
        </w:rPr>
        <w:t>1.品牌和型号等技术参数满足采购内容中的规格型号/技术要求，</w:t>
      </w:r>
      <w:r>
        <w:rPr>
          <w:rFonts w:hint="eastAsia"/>
          <w:lang w:val="en-US" w:eastAsia="zh-CN"/>
        </w:rPr>
        <w:t>具</w:t>
      </w:r>
      <w:r>
        <w:rPr>
          <w:rFonts w:hint="eastAsia"/>
        </w:rPr>
        <w:t xml:space="preserve">有国家、地方、行业标准、规范（含强制适用标准、规范和推荐适用标准、规范）的，按相应标准、规范执行（不同标准、规范之间要求不一的，按要求较高者执行）。 </w:t>
      </w:r>
    </w:p>
    <w:p>
      <w:pPr>
        <w:spacing w:line="360" w:lineRule="auto"/>
        <w:ind w:firstLine="480" w:firstLineChars="200"/>
        <w:outlineLvl w:val="0"/>
        <w:rPr>
          <w:rFonts w:hint="eastAsia" w:ascii="宋体" w:hAnsi="宋体" w:cs="宋体" w:eastAsiaTheme="minorEastAsia"/>
          <w:kern w:val="0"/>
          <w:sz w:val="24"/>
          <w:szCs w:val="24"/>
          <w:lang w:val="en-US" w:eastAsia="zh-CN" w:bidi="ar-SA"/>
        </w:rPr>
      </w:pPr>
      <w:r>
        <w:rPr>
          <w:rFonts w:hint="eastAsia" w:ascii="宋体" w:hAnsi="宋体" w:cs="宋体" w:eastAsiaTheme="minorEastAsia"/>
          <w:kern w:val="0"/>
          <w:sz w:val="24"/>
          <w:szCs w:val="24"/>
          <w:lang w:val="en-US" w:eastAsia="zh-CN" w:bidi="ar-SA"/>
        </w:rPr>
        <w:t>2.乙方提供的链条（标准件）必须为原厂正品，不得为假冒伪劣产品。</w:t>
      </w:r>
    </w:p>
    <w:bookmarkEnd w:id="394"/>
    <w:bookmarkEnd w:id="395"/>
    <w:bookmarkEnd w:id="396"/>
    <w:p>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pPr>
        <w:pStyle w:val="6"/>
        <w:ind w:firstLine="480" w:firstLineChars="200"/>
        <w:rPr>
          <w:rFonts w:hint="eastAsia"/>
          <w:lang w:val="en-US"/>
        </w:rPr>
      </w:pPr>
      <w:r>
        <w:rPr>
          <w:rFonts w:hint="eastAsia"/>
          <w:lang w:val="en-US"/>
        </w:rPr>
        <w:t>1.根据采购人生产计划，确定送货数量要求，</w:t>
      </w:r>
      <w:r>
        <w:rPr>
          <w:rFonts w:hint="eastAsia"/>
          <w:lang w:val="en-US" w:eastAsia="zh-CN"/>
        </w:rPr>
        <w:t>供应商</w:t>
      </w:r>
      <w:r>
        <w:rPr>
          <w:rFonts w:hint="eastAsia"/>
          <w:lang w:val="en-US"/>
        </w:rPr>
        <w:t>负责在接到</w:t>
      </w:r>
      <w:r>
        <w:rPr>
          <w:rFonts w:hint="eastAsia"/>
          <w:lang w:val="en-US" w:eastAsia="zh-CN"/>
        </w:rPr>
        <w:t>甲方</w:t>
      </w:r>
      <w:r>
        <w:rPr>
          <w:rFonts w:hint="eastAsia"/>
          <w:lang w:val="en-US"/>
        </w:rPr>
        <w:t>电话或书面通知后在</w:t>
      </w:r>
      <w:r>
        <w:rPr>
          <w:rFonts w:hint="eastAsia"/>
          <w:color w:val="auto"/>
          <w:lang w:val="en-US" w:eastAsia="zh-CN"/>
        </w:rPr>
        <w:t>40天</w:t>
      </w:r>
      <w:r>
        <w:rPr>
          <w:rFonts w:hint="eastAsia"/>
          <w:lang w:val="en-US"/>
        </w:rPr>
        <w:t>内完成供货。</w:t>
      </w:r>
      <w:r>
        <w:rPr>
          <w:rFonts w:hint="eastAsia"/>
          <w:lang w:val="en-US" w:eastAsia="zh-CN"/>
        </w:rPr>
        <w:t>乙方</w:t>
      </w:r>
      <w:r>
        <w:rPr>
          <w:rFonts w:hint="eastAsia"/>
          <w:lang w:val="en-US"/>
        </w:rPr>
        <w:t>负责卸货，人工费由</w:t>
      </w:r>
      <w:r>
        <w:rPr>
          <w:rFonts w:hint="eastAsia"/>
          <w:lang w:val="en-US" w:eastAsia="zh-CN"/>
        </w:rPr>
        <w:t>供应商</w:t>
      </w:r>
      <w:r>
        <w:rPr>
          <w:rFonts w:hint="eastAsia"/>
          <w:lang w:val="en-US"/>
        </w:rPr>
        <w:t>承担，</w:t>
      </w:r>
      <w:r>
        <w:rPr>
          <w:rFonts w:hint="eastAsia"/>
          <w:lang w:val="en-US" w:eastAsia="zh-CN"/>
        </w:rPr>
        <w:t>甲方</w:t>
      </w:r>
      <w:r>
        <w:rPr>
          <w:rFonts w:hint="eastAsia"/>
          <w:lang w:val="en-US"/>
        </w:rPr>
        <w:t>可免费提供叉车服务。</w:t>
      </w:r>
    </w:p>
    <w:p>
      <w:pPr>
        <w:pStyle w:val="6"/>
        <w:ind w:firstLine="480" w:firstLineChars="200"/>
        <w:rPr>
          <w:lang w:val="en-US"/>
        </w:rPr>
      </w:pPr>
      <w:r>
        <w:rPr>
          <w:rFonts w:hint="eastAsia"/>
          <w:lang w:val="en-US" w:eastAsia="zh-CN"/>
        </w:rPr>
        <w:t>2.供应商提供的链条（标准件）质保期自验收之日起</w:t>
      </w:r>
      <w:bookmarkStart w:id="518" w:name="_GoBack"/>
      <w:r>
        <w:rPr>
          <w:rFonts w:hint="eastAsia"/>
          <w:color w:val="auto"/>
          <w:lang w:val="en-US" w:eastAsia="zh-CN"/>
        </w:rPr>
        <w:t>6</w:t>
      </w:r>
      <w:bookmarkEnd w:id="518"/>
      <w:r>
        <w:rPr>
          <w:rFonts w:hint="eastAsia"/>
          <w:lang w:val="en-US" w:eastAsia="zh-CN"/>
        </w:rPr>
        <w:t>个月。</w:t>
      </w:r>
    </w:p>
    <w:p>
      <w:pPr>
        <w:pStyle w:val="6"/>
        <w:ind w:firstLine="480" w:firstLineChars="200"/>
        <w:rPr>
          <w:rFonts w:hint="eastAsia"/>
          <w:u w:val="none"/>
          <w:lang w:val="en-US"/>
        </w:rPr>
      </w:pPr>
      <w:r>
        <w:rPr>
          <w:rFonts w:hint="eastAsia"/>
          <w:u w:val="none"/>
          <w:lang w:val="en-US" w:eastAsia="zh-CN"/>
        </w:rPr>
        <w:t>3</w:t>
      </w:r>
      <w:r>
        <w:rPr>
          <w:rFonts w:hint="eastAsia"/>
          <w:u w:val="none"/>
          <w:lang w:val="en-US"/>
        </w:rPr>
        <w:t>.</w:t>
      </w:r>
      <w:r>
        <w:rPr>
          <w:rFonts w:hint="eastAsia"/>
          <w:u w:val="none"/>
          <w:lang w:val="en-US" w:eastAsia="zh-CN"/>
        </w:rPr>
        <w:t>乙方</w:t>
      </w:r>
      <w:r>
        <w:rPr>
          <w:rFonts w:hint="eastAsia"/>
          <w:u w:val="none"/>
          <w:lang w:val="en-US"/>
        </w:rPr>
        <w:t>必须满足</w:t>
      </w:r>
      <w:r>
        <w:rPr>
          <w:rFonts w:hint="eastAsia"/>
          <w:u w:val="none"/>
          <w:lang w:val="en-US" w:eastAsia="zh-CN"/>
        </w:rPr>
        <w:t>甲方</w:t>
      </w:r>
      <w:r>
        <w:rPr>
          <w:rFonts w:hint="eastAsia"/>
          <w:u w:val="none"/>
          <w:lang w:val="en-US"/>
        </w:rPr>
        <w:t>售后服务要求。如产品使用过程发生问题，</w:t>
      </w:r>
      <w:r>
        <w:rPr>
          <w:rFonts w:hint="eastAsia"/>
          <w:u w:val="none"/>
          <w:lang w:val="en-US" w:eastAsia="zh-CN"/>
        </w:rPr>
        <w:t>乙方</w:t>
      </w:r>
      <w:r>
        <w:rPr>
          <w:rFonts w:hint="eastAsia"/>
          <w:u w:val="none"/>
          <w:lang w:val="en-US"/>
        </w:rPr>
        <w:t>须在接到</w:t>
      </w:r>
      <w:r>
        <w:rPr>
          <w:rFonts w:hint="eastAsia"/>
          <w:u w:val="none"/>
          <w:lang w:val="en-US" w:eastAsia="zh-CN"/>
        </w:rPr>
        <w:t>甲方</w:t>
      </w:r>
      <w:r>
        <w:rPr>
          <w:rFonts w:hint="eastAsia"/>
          <w:u w:val="none"/>
          <w:lang w:val="en-US"/>
        </w:rPr>
        <w:t>通知后24小时内做出书面答复并提供解决方案。若需要派遣技术人员，则应在接到</w:t>
      </w:r>
      <w:r>
        <w:rPr>
          <w:rFonts w:hint="eastAsia"/>
          <w:u w:val="none"/>
          <w:lang w:val="en-US" w:eastAsia="zh-CN"/>
        </w:rPr>
        <w:t>甲方</w:t>
      </w:r>
      <w:r>
        <w:rPr>
          <w:rFonts w:hint="eastAsia"/>
          <w:u w:val="none"/>
          <w:lang w:val="en-US"/>
        </w:rPr>
        <w:t>通知后48小时内派人员到达现场进行免费指导解决问题。</w:t>
      </w:r>
    </w:p>
    <w:p>
      <w:pPr>
        <w:pStyle w:val="6"/>
        <w:ind w:firstLine="480" w:firstLineChars="200"/>
        <w:rPr>
          <w:rFonts w:hint="eastAsia"/>
          <w:u w:val="none"/>
          <w:lang w:val="en-US"/>
        </w:rPr>
      </w:pPr>
      <w:r>
        <w:rPr>
          <w:rFonts w:hint="eastAsia"/>
          <w:u w:val="none"/>
          <w:lang w:val="en-US" w:eastAsia="zh-CN"/>
        </w:rPr>
        <w:t>4</w:t>
      </w:r>
      <w:r>
        <w:rPr>
          <w:rFonts w:hint="eastAsia"/>
          <w:u w:val="none"/>
          <w:lang w:val="en-US"/>
        </w:rPr>
        <w:t>.</w:t>
      </w:r>
      <w:r>
        <w:rPr>
          <w:rFonts w:hint="eastAsia"/>
          <w:u w:val="none"/>
          <w:lang w:val="en-US" w:eastAsia="zh-CN"/>
        </w:rPr>
        <w:t>甲方</w:t>
      </w:r>
      <w:r>
        <w:rPr>
          <w:rFonts w:hint="eastAsia"/>
          <w:u w:val="none"/>
          <w:lang w:val="en-US"/>
        </w:rPr>
        <w:t>不再对任何售后服务进行付费</w:t>
      </w:r>
      <w:r>
        <w:rPr>
          <w:rFonts w:hint="eastAsia"/>
          <w:u w:val="none"/>
          <w:lang w:val="en-US" w:eastAsia="zh-CN"/>
        </w:rPr>
        <w:t>，乙方</w:t>
      </w:r>
      <w:r>
        <w:rPr>
          <w:rFonts w:hint="eastAsia"/>
          <w:u w:val="none"/>
          <w:lang w:val="en-US"/>
        </w:rPr>
        <w:t>的派遣人员产生的一切费用由</w:t>
      </w:r>
      <w:r>
        <w:rPr>
          <w:rFonts w:hint="eastAsia"/>
          <w:u w:val="none"/>
          <w:lang w:val="en-US" w:eastAsia="zh-CN"/>
        </w:rPr>
        <w:t>乙方自行</w:t>
      </w:r>
      <w:r>
        <w:rPr>
          <w:rFonts w:hint="eastAsia"/>
          <w:u w:val="none"/>
          <w:lang w:val="en-US"/>
        </w:rPr>
        <w:t>承担。</w:t>
      </w:r>
    </w:p>
    <w:p>
      <w:pPr>
        <w:spacing w:line="360" w:lineRule="auto"/>
        <w:ind w:firstLine="482" w:firstLineChars="200"/>
        <w:outlineLvl w:val="0"/>
        <w:rPr>
          <w:rFonts w:ascii="宋体" w:hAnsi="宋体" w:cs="宋体"/>
          <w:b/>
          <w:sz w:val="24"/>
        </w:rPr>
      </w:pPr>
      <w:r>
        <w:rPr>
          <w:rFonts w:hint="eastAsia" w:ascii="宋体" w:hAnsi="宋体" w:cs="宋体"/>
          <w:b/>
          <w:sz w:val="24"/>
        </w:rPr>
        <w:t>六、检验和验收</w:t>
      </w:r>
    </w:p>
    <w:p>
      <w:pPr>
        <w:pStyle w:val="6"/>
        <w:ind w:firstLine="480" w:firstLineChars="200"/>
        <w:rPr>
          <w:rFonts w:hint="eastAsia"/>
          <w:lang w:val="en-US"/>
        </w:rPr>
      </w:pPr>
      <w:r>
        <w:rPr>
          <w:rFonts w:hint="eastAsia"/>
          <w:lang w:val="en-US" w:eastAsia="zh-CN"/>
        </w:rPr>
        <w:t>1.乙方</w:t>
      </w:r>
      <w:r>
        <w:rPr>
          <w:rFonts w:hint="eastAsia"/>
          <w:lang w:val="en-US"/>
        </w:rPr>
        <w:t>须提供</w:t>
      </w:r>
      <w:r>
        <w:rPr>
          <w:rFonts w:hint="eastAsia"/>
          <w:lang w:val="en-US" w:eastAsia="zh-CN"/>
        </w:rPr>
        <w:t>所供</w:t>
      </w:r>
      <w:r>
        <w:rPr>
          <w:rFonts w:hint="eastAsia"/>
          <w:lang w:val="en-US"/>
        </w:rPr>
        <w:t>货物</w:t>
      </w:r>
      <w:r>
        <w:rPr>
          <w:rFonts w:hint="eastAsia"/>
          <w:lang w:val="en-US" w:eastAsia="zh-CN"/>
        </w:rPr>
        <w:t>的</w:t>
      </w:r>
      <w:r>
        <w:rPr>
          <w:rFonts w:hint="eastAsia"/>
          <w:lang w:val="en-US"/>
        </w:rPr>
        <w:t>合格证和送货单，配合</w:t>
      </w:r>
      <w:r>
        <w:rPr>
          <w:rFonts w:hint="eastAsia"/>
          <w:lang w:val="en-US" w:eastAsia="zh-CN"/>
        </w:rPr>
        <w:t>甲方</w:t>
      </w:r>
      <w:r>
        <w:rPr>
          <w:rFonts w:hint="eastAsia"/>
          <w:lang w:val="en-US"/>
        </w:rPr>
        <w:t>做好货物的到货数量</w:t>
      </w:r>
      <w:r>
        <w:rPr>
          <w:rFonts w:hint="eastAsia"/>
          <w:lang w:val="en-US" w:eastAsia="zh-CN"/>
        </w:rPr>
        <w:t>和质量的</w:t>
      </w:r>
      <w:r>
        <w:rPr>
          <w:rFonts w:hint="eastAsia"/>
          <w:lang w:val="en-US"/>
        </w:rPr>
        <w:t>验收工作，将货物运达</w:t>
      </w:r>
      <w:r>
        <w:rPr>
          <w:rFonts w:hint="eastAsia"/>
          <w:lang w:val="en-US" w:eastAsia="zh-CN"/>
        </w:rPr>
        <w:t>甲方</w:t>
      </w:r>
      <w:r>
        <w:rPr>
          <w:rFonts w:hint="eastAsia"/>
          <w:lang w:val="en-US"/>
        </w:rPr>
        <w:t>指定交货地点后及时书面通知</w:t>
      </w:r>
      <w:r>
        <w:rPr>
          <w:rFonts w:hint="eastAsia"/>
          <w:lang w:val="en-US" w:eastAsia="zh-CN"/>
        </w:rPr>
        <w:t>甲方</w:t>
      </w:r>
      <w:r>
        <w:rPr>
          <w:rFonts w:hint="eastAsia"/>
          <w:lang w:val="en-US"/>
        </w:rPr>
        <w:t>。</w:t>
      </w:r>
    </w:p>
    <w:p>
      <w:pPr>
        <w:pStyle w:val="6"/>
        <w:ind w:firstLine="480" w:firstLineChars="200"/>
        <w:rPr>
          <w:rFonts w:eastAsia="宋体"/>
        </w:rPr>
      </w:pPr>
      <w:r>
        <w:rPr>
          <w:rFonts w:hint="eastAsia"/>
          <w:lang w:val="en-US" w:eastAsia="zh-CN"/>
        </w:rPr>
        <w:t>2</w:t>
      </w:r>
      <w:r>
        <w:rPr>
          <w:rFonts w:hint="eastAsia" w:ascii="宋体" w:hAnsi="宋体" w:cs="宋体"/>
          <w:sz w:val="24"/>
        </w:rPr>
        <w:t>.乙方所供货物的品牌、型号等应与合同约定要求一致，若因停产、缺货等因素造成的不一致情况，乙方应出具书面情况说明，并承诺替换的货物质量不低于合同约定要求，品牌</w:t>
      </w:r>
      <w:r>
        <w:rPr>
          <w:rFonts w:hint="eastAsia" w:ascii="宋体" w:hAnsi="宋体" w:cs="宋体"/>
          <w:sz w:val="24"/>
          <w:lang w:val="en-US" w:eastAsia="zh-CN"/>
        </w:rPr>
        <w:t>须</w:t>
      </w:r>
      <w:r>
        <w:rPr>
          <w:rFonts w:hint="eastAsia" w:ascii="宋体" w:hAnsi="宋体" w:cs="宋体"/>
          <w:sz w:val="24"/>
        </w:rPr>
        <w:t>为合同约定的同档次产品。</w:t>
      </w:r>
    </w:p>
    <w:p>
      <w:pPr>
        <w:pStyle w:val="6"/>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7"/>
        <w:rPr>
          <w:rFonts w:ascii="宋体" w:hAnsi="宋体" w:cs="宋体"/>
          <w:sz w:val="24"/>
          <w:u w:val="single"/>
        </w:rPr>
      </w:pPr>
      <w:r>
        <w:rPr>
          <w:rFonts w:hint="eastAsia"/>
          <w:lang w:val="en-US" w:eastAsia="zh-CN"/>
        </w:rPr>
        <w:t>乙方</w:t>
      </w:r>
      <w:r>
        <w:rPr>
          <w:rFonts w:hint="eastAsia"/>
          <w:lang w:val="en-US"/>
        </w:rPr>
        <w:t>提供</w:t>
      </w:r>
      <w:r>
        <w:rPr>
          <w:rFonts w:hint="eastAsia"/>
          <w:lang w:val="en-US" w:eastAsia="zh-CN"/>
        </w:rPr>
        <w:t>链条（标准件）如现场无法使用，由乙方负责换货，涉及的各种费用由乙方承担。</w:t>
      </w:r>
    </w:p>
    <w:p>
      <w:pPr>
        <w:pStyle w:val="6"/>
        <w:ind w:firstLine="482" w:firstLineChars="200"/>
        <w:rPr>
          <w:rFonts w:eastAsia="宋体"/>
          <w:b/>
        </w:rPr>
      </w:pPr>
      <w:r>
        <w:rPr>
          <w:rFonts w:hint="eastAsia" w:hAnsi="宋体"/>
          <w:b/>
          <w:lang w:val="en-US"/>
        </w:rPr>
        <w:t>八、</w:t>
      </w:r>
      <w:r>
        <w:rPr>
          <w:rFonts w:hint="eastAsia"/>
          <w:b/>
        </w:rPr>
        <w:t>履约保证金</w:t>
      </w:r>
    </w:p>
    <w:p>
      <w:pPr>
        <w:pStyle w:val="23"/>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2.履约保证金支付时间：乙方应于本合同签订后</w:t>
      </w:r>
      <w:r>
        <w:rPr>
          <w:rFonts w:ascii="宋体" w:hAnsi="宋体" w:cs="宋体"/>
          <w:kern w:val="0"/>
          <w:sz w:val="24"/>
          <w:u w:val="single"/>
        </w:rPr>
        <w:t xml:space="preserve"> </w:t>
      </w:r>
      <w:r>
        <w:rPr>
          <w:rFonts w:hint="eastAsia" w:ascii="宋体" w:hAnsi="宋体" w:cs="宋体"/>
          <w:kern w:val="0"/>
          <w:sz w:val="24"/>
          <w:u w:val="single"/>
        </w:rPr>
        <w:t>10</w:t>
      </w:r>
      <w:r>
        <w:rPr>
          <w:rFonts w:ascii="宋体" w:hAnsi="宋体" w:cs="宋体"/>
          <w:kern w:val="0"/>
          <w:sz w:val="24"/>
          <w:u w:val="single"/>
        </w:rPr>
        <w:t xml:space="preserve">  </w:t>
      </w:r>
      <w:r>
        <w:rPr>
          <w:rFonts w:hint="eastAsia" w:ascii="宋体" w:hAnsi="宋体" w:cs="宋体"/>
          <w:kern w:val="0"/>
          <w:sz w:val="24"/>
        </w:rPr>
        <w:t>日内按本合同约定</w:t>
      </w:r>
      <w:r>
        <w:rPr>
          <w:rFonts w:hint="eastAsia" w:ascii="宋体" w:hAnsi="宋体" w:cs="宋体"/>
          <w:kern w:val="0"/>
          <w:sz w:val="24"/>
          <w:lang w:eastAsia="zh-CN"/>
        </w:rPr>
        <w:t>的支付</w:t>
      </w:r>
      <w:r>
        <w:rPr>
          <w:rFonts w:hint="eastAsia" w:ascii="宋体" w:hAnsi="宋体" w:cs="宋体"/>
          <w:kern w:val="0"/>
          <w:sz w:val="24"/>
        </w:rPr>
        <w:t>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.甲方在项目验收结束后及时退还履约保证金。甲方在项目通过验收之日起   </w:t>
      </w:r>
      <w:r>
        <w:rPr>
          <w:rFonts w:hint="eastAsia" w:ascii="宋体" w:hAnsi="宋体" w:cs="宋体"/>
          <w:kern w:val="0"/>
          <w:sz w:val="24"/>
          <w:u w:val="single"/>
        </w:rPr>
        <w:t xml:space="preserve">30 </w:t>
      </w:r>
      <w:r>
        <w:rPr>
          <w:rFonts w:hint="eastAsia" w:ascii="宋体" w:hAnsi="宋体" w:cs="宋体"/>
          <w:kern w:val="0"/>
          <w:sz w:val="24"/>
        </w:rPr>
        <w:t>个工作日内将履约保证金无息退还乙方。</w:t>
      </w:r>
    </w:p>
    <w:p>
      <w:pPr>
        <w:spacing w:line="360" w:lineRule="auto"/>
        <w:ind w:firstLine="480" w:firstLineChars="200"/>
        <w:outlineLvl w:val="0"/>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bookmarkEnd w:id="391"/>
    <w:bookmarkEnd w:id="392"/>
    <w:bookmarkEnd w:id="393"/>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3"/>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3"/>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3"/>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3"/>
        <w:spacing w:before="0" w:beforeAutospacing="0" w:after="0" w:afterAutospacing="0" w:line="360" w:lineRule="auto"/>
        <w:ind w:firstLine="480"/>
        <w:rPr>
          <w:b/>
          <w:bCs/>
        </w:rPr>
      </w:pPr>
      <w:r>
        <w:rPr>
          <w:rFonts w:hint="eastAsia"/>
          <w:b/>
          <w:bCs/>
        </w:rPr>
        <w:t>十、资金支付</w:t>
      </w:r>
    </w:p>
    <w:p>
      <w:pPr>
        <w:pStyle w:val="23"/>
        <w:spacing w:before="0" w:beforeAutospacing="0" w:after="0" w:afterAutospacing="0" w:line="360" w:lineRule="auto"/>
        <w:ind w:firstLine="480"/>
      </w:pPr>
      <w:bookmarkStart w:id="397" w:name="_Toc19304"/>
      <w:bookmarkStart w:id="398" w:name="_Toc32071"/>
      <w:bookmarkStart w:id="399" w:name="_Toc2846"/>
      <w:r>
        <w:rPr>
          <w:rFonts w:hint="eastAsia"/>
        </w:rPr>
        <w:t>1.甲方应严格履行合同，及时组织验收，验收合格后及时将合同款支付完毕。对于满足合同约定支付条件的，甲方自收到合格发票后</w:t>
      </w:r>
      <w:r>
        <w:rPr>
          <w:rFonts w:hint="eastAsia"/>
          <w:b/>
          <w:bCs/>
          <w:i/>
          <w:iCs/>
          <w:u w:val="single"/>
        </w:rPr>
        <w:t>30</w:t>
      </w:r>
      <w:r>
        <w:rPr>
          <w:rFonts w:hint="eastAsia"/>
        </w:rPr>
        <w:t>个工作日内将资金支付到合同约定的乙方账户。</w:t>
      </w:r>
    </w:p>
    <w:p>
      <w:pPr>
        <w:pStyle w:val="23"/>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     </w:t>
      </w:r>
      <w:r>
        <w:rPr>
          <w:rFonts w:hint="eastAsia" w:ascii="宋体" w:hAnsi="宋体" w:cs="宋体"/>
          <w:kern w:val="0"/>
          <w:sz w:val="24"/>
        </w:rPr>
        <w:t>；</w:t>
      </w:r>
    </w:p>
    <w:p>
      <w:pPr>
        <w:pStyle w:val="23"/>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ascii="宋体" w:hAnsi="宋体" w:cs="宋体" w:eastAsiaTheme="minorEastAsia"/>
          <w:kern w:val="0"/>
          <w:sz w:val="24"/>
          <w:szCs w:val="24"/>
          <w:u w:val="single"/>
          <w:lang w:val="en-US" w:eastAsia="zh-CN" w:bidi="ar-SA"/>
        </w:rPr>
        <w:t xml:space="preserve"> / </w:t>
      </w:r>
      <w:r>
        <w:rPr>
          <w:rFonts w:hint="eastAsia"/>
        </w:rPr>
        <w:t>%；</w:t>
      </w:r>
    </w:p>
    <w:p>
      <w:pPr>
        <w:pStyle w:val="23"/>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pPr>
        <w:pStyle w:val="23"/>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条款规定：</w:t>
      </w:r>
    </w:p>
    <w:p>
      <w:pPr>
        <w:pStyle w:val="23"/>
        <w:spacing w:before="0" w:beforeAutospacing="0" w:after="0" w:afterAutospacing="0" w:line="360" w:lineRule="auto"/>
        <w:ind w:firstLine="480"/>
        <w:rPr>
          <w:u w:val="single"/>
        </w:rPr>
      </w:pPr>
      <w:r>
        <w:rPr>
          <w:rFonts w:hint="eastAsia"/>
          <w:u w:val="single"/>
        </w:rPr>
        <w:t>（1） 按月支付，本月货款次月结算，甲方收到乙方提供的增值税专用发票后，甲方在本合同约定时间内完成支付 ；</w:t>
      </w:r>
    </w:p>
    <w:p>
      <w:pPr>
        <w:pStyle w:val="23"/>
        <w:spacing w:before="0" w:beforeAutospacing="0" w:after="0" w:afterAutospacing="0" w:line="360" w:lineRule="auto"/>
        <w:ind w:firstLine="480"/>
        <w:rPr>
          <w:u w:val="single"/>
        </w:rPr>
      </w:pPr>
      <w:r>
        <w:rPr>
          <w:rFonts w:hint="eastAsia"/>
          <w:u w:val="single"/>
        </w:rPr>
        <w:t>（2）按季度支付，本季度货款次季度结算，甲方收到乙方提供的增值税专用发票后，甲方在本合同约定时间内完成支付 ；</w:t>
      </w:r>
    </w:p>
    <w:p>
      <w:pPr>
        <w:pStyle w:val="23"/>
        <w:spacing w:before="0" w:beforeAutospacing="0" w:after="0" w:afterAutospacing="0" w:line="360" w:lineRule="auto"/>
        <w:ind w:firstLine="480"/>
        <w:rPr>
          <w:u w:val="single"/>
        </w:rPr>
      </w:pPr>
      <w:r>
        <w:rPr>
          <w:rFonts w:hint="eastAsia"/>
          <w:u w:val="single"/>
        </w:rPr>
        <w:t>（3）一次性付款，经甲方验收合格后，甲方收到乙方提供的增值税专用发票后，甲方在本合同约定时间内完成支付。</w:t>
      </w:r>
    </w:p>
    <w:p>
      <w:pPr>
        <w:pStyle w:val="23"/>
        <w:spacing w:before="0" w:beforeAutospacing="0" w:after="0" w:afterAutospacing="0" w:line="360" w:lineRule="auto"/>
        <w:ind w:firstLine="480" w:firstLineChars="200"/>
      </w:pPr>
      <w:r>
        <w:rPr>
          <w:rFonts w:hint="eastAsia"/>
        </w:rPr>
        <w:t>（4）</w:t>
      </w:r>
      <w:r>
        <w:rPr>
          <w:rFonts w:hint="eastAsia"/>
          <w:u w:val="single"/>
        </w:rPr>
        <w:t xml:space="preserve">其他付款方式：     </w:t>
      </w:r>
      <w:r>
        <w:rPr>
          <w:rFonts w:hint="eastAsia"/>
        </w:rPr>
        <w:t xml:space="preserve">。         </w:t>
      </w:r>
    </w:p>
    <w:bookmarkEnd w:id="397"/>
    <w:bookmarkEnd w:id="398"/>
    <w:bookmarkEnd w:id="399"/>
    <w:p>
      <w:pPr>
        <w:spacing w:line="360" w:lineRule="auto"/>
        <w:ind w:firstLine="482" w:firstLineChars="200"/>
        <w:outlineLvl w:val="0"/>
        <w:rPr>
          <w:rFonts w:ascii="宋体" w:hAnsi="宋体" w:cs="宋体"/>
          <w:b/>
          <w:sz w:val="24"/>
        </w:rPr>
      </w:pPr>
      <w:bookmarkStart w:id="400" w:name="_Toc19554"/>
      <w:bookmarkStart w:id="401" w:name="_Toc27250"/>
      <w:bookmarkStart w:id="402" w:name="_Toc21423"/>
      <w:r>
        <w:rPr>
          <w:rFonts w:hint="eastAsia" w:ascii="宋体" w:hAnsi="宋体" w:cs="宋体"/>
          <w:b/>
          <w:sz w:val="24"/>
        </w:rPr>
        <w:t>十一、违约责任</w:t>
      </w:r>
      <w:bookmarkEnd w:id="400"/>
      <w:bookmarkEnd w:id="401"/>
      <w:bookmarkEnd w:id="402"/>
    </w:p>
    <w:p>
      <w:pPr>
        <w:spacing w:line="360" w:lineRule="auto"/>
        <w:ind w:firstLine="480" w:firstLineChars="200"/>
        <w:rPr>
          <w:rFonts w:ascii="宋体" w:hAnsi="宋体" w:cs="宋体"/>
          <w:sz w:val="24"/>
        </w:rPr>
      </w:pPr>
      <w:r>
        <w:rPr>
          <w:rFonts w:hint="eastAsia" w:ascii="宋体" w:hAnsi="宋体" w:cs="宋体"/>
          <w:sz w:val="24"/>
        </w:rPr>
        <w:t>1.除不可抗力外，如果乙方没有按照本合同约定的期限、地点和方式交付货物，那么甲方可要求乙方支付违约金，违约金每迟延交付货物一日按合同总金额的</w:t>
      </w:r>
      <w:r>
        <w:rPr>
          <w:rFonts w:hint="eastAsia" w:ascii="宋体" w:hAnsi="宋体" w:cs="宋体"/>
          <w:sz w:val="24"/>
          <w:u w:val="single"/>
        </w:rPr>
        <w:t xml:space="preserve"> </w:t>
      </w:r>
      <w:r>
        <w:rPr>
          <w:rFonts w:hint="eastAsia" w:ascii="宋体" w:hAnsi="宋体" w:cs="宋体"/>
          <w:b/>
          <w:bCs/>
          <w:sz w:val="24"/>
          <w:u w:val="single"/>
        </w:rPr>
        <w:t xml:space="preserve">0.1 </w:t>
      </w:r>
      <w:r>
        <w:rPr>
          <w:rFonts w:hint="eastAsia" w:ascii="宋体" w:hAnsi="宋体" w:cs="宋体"/>
          <w:sz w:val="24"/>
        </w:rPr>
        <w:t>%计算，迟延交付货物</w:t>
      </w:r>
      <w:r>
        <w:rPr>
          <w:rFonts w:ascii="宋体" w:hAnsi="宋体" w:cs="宋体"/>
          <w:sz w:val="24"/>
        </w:rPr>
        <w:t>30</w:t>
      </w:r>
      <w:r>
        <w:rPr>
          <w:rFonts w:hint="eastAsia" w:ascii="宋体" w:hAnsi="宋体" w:cs="宋体"/>
          <w:sz w:val="24"/>
        </w:rPr>
        <w:t>天的，甲方有权单方解除本合同，并要求乙方一次性承担（□本合同累计已发生金额/</w:t>
      </w:r>
      <w:r>
        <w:rPr>
          <w:rFonts w:ascii="宋体" w:hAnsi="宋体" w:cs="宋体"/>
          <w:sz w:val="24"/>
        </w:rPr>
        <w:sym w:font="Wingdings" w:char="00FE"/>
      </w:r>
      <w:r>
        <w:rPr>
          <w:rFonts w:hint="eastAsia" w:ascii="宋体" w:hAnsi="宋体" w:cs="宋体"/>
          <w:sz w:val="24"/>
        </w:rPr>
        <w:t>合同约定总金额）30%的违约；</w:t>
      </w:r>
    </w:p>
    <w:p>
      <w:pPr>
        <w:spacing w:line="360" w:lineRule="auto"/>
        <w:ind w:firstLine="480" w:firstLineChars="200"/>
        <w:rPr>
          <w:rFonts w:ascii="宋体" w:hAnsi="宋体" w:cs="宋体"/>
          <w:sz w:val="24"/>
        </w:rPr>
      </w:pPr>
      <w:r>
        <w:rPr>
          <w:rFonts w:hint="eastAsia" w:ascii="宋体" w:hAnsi="宋体" w:cs="宋体"/>
          <w:sz w:val="24"/>
        </w:rPr>
        <w:t>2. 除不可抗力外，如果甲方没有按照本合同约定的付款方式付款，那么乙方可要求甲方支付违约金，违约金按每迟延付款一日的应付而未付款的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%计算，迟延付款</w:t>
      </w:r>
      <w:r>
        <w:rPr>
          <w:rFonts w:ascii="宋体" w:hAnsi="宋体" w:cs="宋体"/>
          <w:sz w:val="24"/>
        </w:rPr>
        <w:t>30</w:t>
      </w:r>
      <w:r>
        <w:rPr>
          <w:rFonts w:hint="eastAsia" w:ascii="宋体" w:hAnsi="宋体" w:cs="宋体"/>
          <w:sz w:val="24"/>
        </w:rPr>
        <w:t>天的，乙方有权在要求甲方支付违约金的同时，书面通知甲方解除本合同；</w:t>
      </w:r>
    </w:p>
    <w:p>
      <w:pP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pPr>
        <w:spacing w:line="360" w:lineRule="auto"/>
        <w:ind w:right="-420" w:rightChars="-200" w:firstLine="480" w:firstLineChars="200"/>
        <w:rPr>
          <w:rFonts w:ascii="宋体" w:hAnsi="宋体" w:cs="宋体"/>
          <w:sz w:val="24"/>
        </w:rPr>
      </w:pPr>
      <w:r>
        <w:rPr>
          <w:rFonts w:hint="eastAsia" w:ascii="宋体" w:hAnsi="宋体" w:cs="宋体"/>
          <w:sz w:val="24"/>
        </w:rPr>
        <w:t>（1）乙方交付的货物不符合合同约定或验收不合格的，应当及时更换，因此延误交货期限的，按照逾期交货承担违约责任 ；</w:t>
      </w:r>
    </w:p>
    <w:p>
      <w:pPr>
        <w:spacing w:line="360" w:lineRule="auto"/>
        <w:ind w:right="-420" w:rightChars="-200" w:firstLine="480" w:firstLineChars="200"/>
        <w:rPr>
          <w:rFonts w:ascii="宋体" w:hAnsi="宋体" w:cs="宋体"/>
          <w:sz w:val="24"/>
        </w:rPr>
      </w:pPr>
      <w:r>
        <w:rPr>
          <w:rFonts w:hint="eastAsia" w:ascii="宋体" w:hAnsi="宋体" w:cs="宋体"/>
          <w:sz w:val="24"/>
        </w:rPr>
        <w:t>（2）乙方不履行售后服务义务的，每次应向甲方承担1000元的违约金，且仍应履行售后服务义务；</w:t>
      </w:r>
    </w:p>
    <w:p>
      <w:pPr>
        <w:spacing w:line="360" w:lineRule="auto"/>
        <w:ind w:right="-420" w:rightChars="-200" w:firstLine="480" w:firstLineChars="200"/>
        <w:rPr>
          <w:rFonts w:ascii="宋体" w:hAnsi="宋体" w:cs="宋体"/>
          <w:sz w:val="24"/>
        </w:rPr>
      </w:pPr>
      <w:r>
        <w:rPr>
          <w:rFonts w:hint="eastAsia" w:ascii="宋体" w:hAnsi="宋体" w:cs="宋体"/>
          <w:sz w:val="24"/>
        </w:rPr>
        <w:t>（3）甲方无故拒收货物，乙方有权要求甲方按照合同原价支付货款。</w:t>
      </w:r>
    </w:p>
    <w:p>
      <w:pPr>
        <w:spacing w:line="360" w:lineRule="auto"/>
        <w:ind w:right="-420" w:rightChars="-200" w:firstLine="480" w:firstLineChars="200"/>
      </w:pPr>
      <w:r>
        <w:rPr>
          <w:rFonts w:hint="eastAsia" w:ascii="宋体" w:hAnsi="宋体" w:cs="宋体"/>
          <w:sz w:val="24"/>
        </w:rPr>
        <w:t>（4）若质保期内出现质量问题，甲方有权从质保金中扣除违约金，同时乙方应免费维修或更换。</w:t>
      </w:r>
    </w:p>
    <w:p>
      <w:pPr>
        <w:spacing w:line="360" w:lineRule="auto"/>
        <w:ind w:firstLine="482" w:firstLineChars="200"/>
        <w:outlineLvl w:val="0"/>
        <w:rPr>
          <w:rFonts w:ascii="宋体" w:hAnsi="宋体" w:cs="宋体"/>
          <w:b/>
          <w:sz w:val="24"/>
        </w:rPr>
      </w:pPr>
      <w:bookmarkStart w:id="403" w:name="_Toc15583"/>
      <w:bookmarkStart w:id="404" w:name="_Toc28375"/>
      <w:bookmarkStart w:id="405" w:name="_Toc16021"/>
      <w:r>
        <w:rPr>
          <w:rFonts w:hint="eastAsia" w:ascii="宋体" w:hAnsi="宋体" w:cs="宋体"/>
          <w:b/>
          <w:sz w:val="24"/>
        </w:rPr>
        <w:t>十二、合同争议的解决</w:t>
      </w:r>
      <w:bookmarkEnd w:id="403"/>
      <w:bookmarkEnd w:id="404"/>
      <w:bookmarkEnd w:id="405"/>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2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bookmarkStart w:id="406" w:name="_Toc7245"/>
      <w:bookmarkStart w:id="407" w:name="_Toc15322"/>
      <w:bookmarkStart w:id="408" w:name="_Toc11173"/>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6"/>
    <w:bookmarkEnd w:id="407"/>
    <w:bookmarkEnd w:id="408"/>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2"/>
        <w:ind w:left="0" w:leftChars="0"/>
        <w:jc w:val="left"/>
        <w:rPr>
          <w:rFonts w:hint="eastAsia"/>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w:t>
      </w:r>
      <w:r>
        <w:rPr>
          <w:rFonts w:hint="eastAsia" w:ascii="宋体" w:hAnsi="宋体"/>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tbl>
      <w:tblPr>
        <w:tblStyle w:val="14"/>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38" w:hRule="atLeast"/>
          <w:jc w:val="center"/>
        </w:trPr>
        <w:tc>
          <w:tcPr>
            <w:tcW w:w="4506" w:type="dxa"/>
            <w:tcBorders>
              <w:top w:val="dotted" w:color="auto" w:sz="4" w:space="0"/>
              <w:left w:val="dotted" w:color="auto" w:sz="4" w:space="0"/>
              <w:bottom w:val="dotted" w:color="auto" w:sz="4" w:space="0"/>
              <w:right w:val="dotted" w:color="auto" w:sz="4" w:space="0"/>
            </w:tcBorders>
            <w:vAlign w:val="top"/>
          </w:tcPr>
          <w:p>
            <w:pPr>
              <w:spacing w:line="360" w:lineRule="auto"/>
              <w:jc w:val="both"/>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r>
              <w:rPr>
                <w:rFonts w:hint="eastAsia" w:ascii="宋体" w:hAnsi="宋体" w:eastAsia="宋体" w:cs="Times New Roman"/>
                <w:sz w:val="24"/>
                <w:lang w:val="en-US" w:eastAsia="zh-CN"/>
              </w:rPr>
              <w:t>515784896@qq.com</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36" w:hRule="atLeast"/>
          <w:jc w:val="center"/>
        </w:trPr>
        <w:tc>
          <w:tcPr>
            <w:tcW w:w="4506" w:type="dxa"/>
            <w:tcBorders>
              <w:top w:val="dotted" w:color="auto" w:sz="4" w:space="0"/>
              <w:left w:val="dotted" w:color="auto" w:sz="4" w:space="0"/>
              <w:bottom w:val="dotted" w:color="auto" w:sz="4" w:space="0"/>
              <w:right w:val="dotted" w:color="auto" w:sz="4" w:space="0"/>
            </w:tcBorders>
            <w:vAlign w:val="top"/>
          </w:tcPr>
          <w:p>
            <w:pPr>
              <w:spacing w:line="360" w:lineRule="auto"/>
              <w:jc w:val="both"/>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top"/>
          </w:tcPr>
          <w:p>
            <w:pPr>
              <w:spacing w:line="360" w:lineRule="auto"/>
              <w:jc w:val="both"/>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widowControl/>
        <w:jc w:val="both"/>
        <w:rPr>
          <w:rFonts w:ascii="宋体" w:hAnsi="宋体" w:cs="宋体"/>
          <w:b/>
          <w:sz w:val="24"/>
        </w:rPr>
      </w:pPr>
    </w:p>
    <w:p>
      <w:pPr>
        <w:pStyle w:val="22"/>
        <w:ind w:left="0" w:leftChars="0" w:firstLine="0" w:firstLineChars="0"/>
        <w:jc w:val="center"/>
        <w:rPr>
          <w:rFonts w:hint="eastAsia" w:ascii="宋体" w:hAnsi="宋体" w:cs="宋体"/>
          <w:b/>
          <w:szCs w:val="24"/>
        </w:rPr>
      </w:pPr>
    </w:p>
    <w:p>
      <w:pPr>
        <w:pStyle w:val="22"/>
        <w:ind w:left="0" w:leftChars="0" w:firstLine="0" w:firstLineChars="0"/>
        <w:jc w:val="center"/>
        <w:rPr>
          <w:rFonts w:hint="eastAsia" w:ascii="宋体" w:hAnsi="宋体" w:cs="宋体"/>
          <w:b/>
          <w:szCs w:val="24"/>
        </w:rPr>
      </w:pPr>
    </w:p>
    <w:p>
      <w:pPr>
        <w:pStyle w:val="22"/>
        <w:ind w:left="0" w:leftChars="0" w:firstLine="0" w:firstLineChars="0"/>
        <w:jc w:val="center"/>
        <w:rPr>
          <w:rFonts w:hint="eastAsia" w:ascii="宋体" w:hAnsi="宋体" w:cs="宋体"/>
          <w:b/>
          <w:szCs w:val="24"/>
        </w:rPr>
      </w:pPr>
    </w:p>
    <w:p>
      <w:pPr>
        <w:pStyle w:val="22"/>
        <w:ind w:left="0" w:leftChars="0" w:firstLine="0" w:firstLineChars="0"/>
        <w:jc w:val="center"/>
        <w:rPr>
          <w:rFonts w:hint="eastAsia" w:ascii="宋体" w:hAnsi="宋体" w:cs="宋体"/>
          <w:b/>
          <w:szCs w:val="24"/>
        </w:rPr>
      </w:pPr>
    </w:p>
    <w:p>
      <w:pPr>
        <w:pStyle w:val="22"/>
        <w:ind w:left="0" w:leftChars="0" w:firstLine="0" w:firstLineChars="0"/>
        <w:jc w:val="center"/>
        <w:rPr>
          <w:rFonts w:hint="eastAsia" w:ascii="宋体" w:hAnsi="宋体" w:cs="宋体"/>
          <w:b/>
          <w:szCs w:val="24"/>
        </w:rPr>
      </w:pPr>
    </w:p>
    <w:p>
      <w:pPr>
        <w:pStyle w:val="22"/>
        <w:ind w:left="0" w:leftChars="0" w:firstLine="0" w:firstLineChars="0"/>
        <w:jc w:val="center"/>
        <w:rPr>
          <w:rFonts w:hint="eastAsia" w:ascii="宋体" w:hAnsi="宋体" w:cs="宋体"/>
          <w:b/>
          <w:szCs w:val="24"/>
        </w:rPr>
      </w:pPr>
    </w:p>
    <w:p>
      <w:pPr>
        <w:pStyle w:val="22"/>
        <w:ind w:left="0" w:leftChars="0" w:firstLine="0" w:firstLineChars="0"/>
        <w:jc w:val="center"/>
        <w:rPr>
          <w:rFonts w:hint="eastAsia" w:ascii="宋体" w:hAnsi="宋体" w:cs="宋体"/>
          <w:b/>
          <w:szCs w:val="24"/>
        </w:rPr>
      </w:pPr>
    </w:p>
    <w:p>
      <w:pPr>
        <w:pStyle w:val="22"/>
        <w:ind w:left="0" w:leftChars="0" w:firstLine="0" w:firstLineChars="0"/>
        <w:jc w:val="center"/>
        <w:rPr>
          <w:rFonts w:hint="eastAsia" w:ascii="宋体" w:hAnsi="宋体" w:cs="宋体"/>
          <w:b/>
          <w:szCs w:val="24"/>
        </w:rPr>
      </w:pPr>
    </w:p>
    <w:p>
      <w:pPr>
        <w:pStyle w:val="22"/>
        <w:ind w:left="0" w:leftChars="0" w:firstLine="0" w:firstLineChars="0"/>
        <w:jc w:val="center"/>
        <w:rPr>
          <w:rFonts w:hint="eastAsia" w:ascii="宋体" w:hAnsi="宋体" w:cs="宋体"/>
          <w:b/>
          <w:szCs w:val="24"/>
        </w:rPr>
      </w:pPr>
    </w:p>
    <w:p>
      <w:pPr>
        <w:pStyle w:val="22"/>
        <w:ind w:left="0" w:leftChars="0" w:firstLine="0" w:firstLineChars="0"/>
        <w:jc w:val="center"/>
        <w:rPr>
          <w:rFonts w:hint="eastAsia" w:ascii="宋体" w:hAnsi="宋体" w:cs="宋体"/>
          <w:b/>
          <w:szCs w:val="24"/>
        </w:rPr>
      </w:pPr>
    </w:p>
    <w:p>
      <w:pPr>
        <w:pStyle w:val="22"/>
        <w:ind w:left="0" w:leftChars="0" w:firstLine="0" w:firstLineChars="0"/>
        <w:jc w:val="center"/>
        <w:rPr>
          <w:rFonts w:hint="eastAsia" w:ascii="宋体" w:hAnsi="宋体" w:cs="宋体"/>
          <w:b/>
          <w:szCs w:val="24"/>
        </w:rPr>
      </w:pPr>
    </w:p>
    <w:p>
      <w:pPr>
        <w:pStyle w:val="22"/>
        <w:ind w:left="0" w:leftChars="0" w:firstLine="0" w:firstLineChars="0"/>
        <w:jc w:val="center"/>
        <w:rPr>
          <w:rFonts w:hint="eastAsia" w:ascii="宋体" w:hAnsi="宋体" w:cs="宋体"/>
          <w:b/>
          <w:szCs w:val="24"/>
        </w:rPr>
      </w:pPr>
    </w:p>
    <w:p>
      <w:pPr>
        <w:pStyle w:val="22"/>
        <w:ind w:left="0" w:leftChars="0" w:firstLine="0" w:firstLineChars="0"/>
        <w:jc w:val="center"/>
        <w:rPr>
          <w:rFonts w:hint="eastAsia" w:ascii="宋体" w:hAnsi="宋体" w:cs="宋体"/>
          <w:b/>
          <w:szCs w:val="24"/>
        </w:rPr>
      </w:pPr>
    </w:p>
    <w:p>
      <w:pPr>
        <w:pStyle w:val="22"/>
        <w:ind w:left="0" w:leftChars="0" w:firstLine="0" w:firstLineChars="0"/>
        <w:jc w:val="center"/>
        <w:rPr>
          <w:rFonts w:hint="eastAsia" w:ascii="宋体" w:hAnsi="宋体" w:cs="宋体"/>
          <w:b/>
          <w:szCs w:val="24"/>
        </w:rPr>
      </w:pPr>
    </w:p>
    <w:p>
      <w:pPr>
        <w:pStyle w:val="9"/>
        <w:rPr>
          <w:rFonts w:hint="eastAsia" w:ascii="宋体" w:hAnsi="宋体" w:cs="宋体"/>
          <w:b/>
          <w:szCs w:val="24"/>
        </w:rPr>
      </w:pPr>
    </w:p>
    <w:p>
      <w:pPr>
        <w:pStyle w:val="9"/>
        <w:rPr>
          <w:rFonts w:hint="eastAsia" w:ascii="宋体" w:hAnsi="宋体" w:cs="宋体"/>
          <w:b/>
          <w:szCs w:val="24"/>
        </w:rPr>
      </w:pPr>
    </w:p>
    <w:p>
      <w:pPr>
        <w:pStyle w:val="9"/>
        <w:rPr>
          <w:rFonts w:hint="eastAsia" w:ascii="宋体" w:hAnsi="宋体" w:cs="宋体"/>
          <w:b/>
          <w:szCs w:val="24"/>
        </w:rPr>
      </w:pPr>
    </w:p>
    <w:p>
      <w:pPr>
        <w:pStyle w:val="9"/>
        <w:rPr>
          <w:rFonts w:hint="eastAsia" w:ascii="宋体" w:hAnsi="宋体" w:cs="宋体"/>
          <w:b/>
          <w:szCs w:val="24"/>
        </w:rPr>
      </w:pPr>
    </w:p>
    <w:p>
      <w:pPr>
        <w:pStyle w:val="9"/>
        <w:rPr>
          <w:rFonts w:hint="eastAsia" w:ascii="宋体" w:hAnsi="宋体" w:cs="宋体"/>
          <w:b/>
          <w:szCs w:val="24"/>
        </w:rPr>
      </w:pPr>
    </w:p>
    <w:p>
      <w:pPr>
        <w:pStyle w:val="9"/>
        <w:rPr>
          <w:rFonts w:hint="eastAsia" w:ascii="宋体" w:hAnsi="宋体" w:cs="宋体"/>
          <w:b/>
          <w:szCs w:val="24"/>
        </w:rPr>
      </w:pPr>
    </w:p>
    <w:p>
      <w:pPr>
        <w:pStyle w:val="9"/>
        <w:rPr>
          <w:rFonts w:hint="eastAsia" w:ascii="宋体" w:hAnsi="宋体" w:cs="宋体"/>
          <w:b/>
          <w:szCs w:val="24"/>
        </w:rPr>
      </w:pPr>
    </w:p>
    <w:p>
      <w:pPr>
        <w:pStyle w:val="9"/>
        <w:rPr>
          <w:rFonts w:hint="eastAsia" w:ascii="宋体" w:hAnsi="宋体" w:cs="宋体"/>
          <w:b/>
          <w:szCs w:val="24"/>
        </w:rPr>
      </w:pPr>
    </w:p>
    <w:p>
      <w:pPr>
        <w:pStyle w:val="22"/>
        <w:ind w:left="0" w:leftChars="0" w:firstLine="0" w:firstLineChars="0"/>
        <w:jc w:val="both"/>
        <w:rPr>
          <w:rFonts w:hint="eastAsia" w:ascii="宋体" w:hAnsi="宋体" w:cs="宋体"/>
          <w:b/>
          <w:szCs w:val="24"/>
        </w:rPr>
      </w:pPr>
    </w:p>
    <w:p>
      <w:pPr>
        <w:pStyle w:val="22"/>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9" w:name="_Ref467378499"/>
      <w:bookmarkStart w:id="410" w:name="_Ref467378463"/>
      <w:bookmarkStart w:id="411" w:name="_Ref467379195"/>
      <w:bookmarkStart w:id="412" w:name="_Ref467379101"/>
      <w:bookmarkStart w:id="413" w:name="_Toc28763"/>
      <w:bookmarkStart w:id="414" w:name="_Ref467378404"/>
      <w:bookmarkStart w:id="415" w:name="_Ref467379214"/>
      <w:bookmarkStart w:id="416" w:name="_Toc19614"/>
      <w:bookmarkStart w:id="417" w:name="_Toc279701240"/>
      <w:bookmarkStart w:id="418" w:name="_Toc259093669"/>
      <w:bookmarkStart w:id="419" w:name="_Ref467379109"/>
      <w:bookmarkStart w:id="420" w:name="_Ref467379205"/>
      <w:bookmarkStart w:id="421" w:name="_Toc487900349"/>
      <w:bookmarkStart w:id="422" w:name="_Ref467379094"/>
      <w:bookmarkStart w:id="423" w:name="_Ref467379225"/>
      <w:bookmarkStart w:id="424" w:name="_Toc16917"/>
      <w:r>
        <w:rPr>
          <w:rFonts w:hint="eastAsia" w:ascii="宋体" w:hAnsi="宋体" w:cs="宋体"/>
          <w:b/>
          <w:sz w:val="24"/>
        </w:rPr>
        <w:t>一、 定义</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5" w:name="_Ref467378840"/>
      <w:r>
        <w:rPr>
          <w:rFonts w:hint="eastAsia" w:ascii="宋体" w:hAnsi="宋体" w:cs="宋体"/>
          <w:sz w:val="24"/>
        </w:rPr>
        <w:t>4. “甲方”系指与中标或成交供应商签署合同的采购人</w:t>
      </w:r>
      <w:bookmarkEnd w:id="425"/>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6" w:name="_Ref467379400"/>
      <w:r>
        <w:rPr>
          <w:rFonts w:hint="eastAsia" w:ascii="宋体" w:hAnsi="宋体" w:cs="宋体"/>
          <w:sz w:val="24"/>
        </w:rPr>
        <w:t>5.“乙方”系指根据合同约定交付货物的中标或成交供应商</w:t>
      </w:r>
      <w:bookmarkEnd w:id="426"/>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rPr>
      </w:pPr>
      <w:bookmarkStart w:id="427" w:name="_Ref467379436"/>
      <w:r>
        <w:rPr>
          <w:rFonts w:hint="eastAsia" w:ascii="宋体" w:hAnsi="宋体" w:cs="宋体"/>
          <w:sz w:val="24"/>
        </w:rPr>
        <w:t>6.“现场”系指合同约定货物将要运至或者安装的地点。</w:t>
      </w:r>
      <w:bookmarkEnd w:id="427"/>
    </w:p>
    <w:p>
      <w:pPr>
        <w:spacing w:line="360" w:lineRule="auto"/>
        <w:ind w:firstLine="482" w:firstLineChars="200"/>
        <w:outlineLvl w:val="0"/>
        <w:rPr>
          <w:rFonts w:ascii="宋体" w:hAnsi="宋体" w:cs="宋体"/>
          <w:b/>
          <w:sz w:val="24"/>
        </w:rPr>
      </w:pPr>
      <w:bookmarkStart w:id="428" w:name="_Toc32504"/>
      <w:bookmarkStart w:id="429" w:name="_Toc279701241"/>
      <w:bookmarkStart w:id="430" w:name="_Toc259093670"/>
      <w:bookmarkStart w:id="431" w:name="_Toc27635"/>
      <w:bookmarkStart w:id="432" w:name="_Toc13336"/>
      <w:bookmarkStart w:id="433" w:name="_Toc487900350"/>
      <w:r>
        <w:rPr>
          <w:rFonts w:hint="eastAsia" w:ascii="宋体" w:hAnsi="宋体" w:cs="宋体"/>
          <w:b/>
          <w:sz w:val="24"/>
        </w:rPr>
        <w:t>二、技术规范</w:t>
      </w:r>
      <w:bookmarkEnd w:id="428"/>
      <w:bookmarkEnd w:id="429"/>
      <w:bookmarkEnd w:id="430"/>
      <w:bookmarkEnd w:id="431"/>
      <w:bookmarkEnd w:id="432"/>
      <w:bookmarkEnd w:id="433"/>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w:t>
      </w:r>
      <w:r>
        <w:rPr>
          <w:rFonts w:hint="eastAsia" w:ascii="宋体" w:hAnsi="宋体" w:cs="宋体"/>
          <w:sz w:val="24"/>
          <w:lang w:eastAsia="zh-CN"/>
        </w:rPr>
        <w:t>（</w:t>
      </w:r>
      <w:r>
        <w:rPr>
          <w:rFonts w:hint="eastAsia" w:ascii="宋体" w:hAnsi="宋体" w:cs="宋体"/>
          <w:sz w:val="24"/>
        </w:rPr>
        <w:t>如果有的话</w:t>
      </w:r>
      <w:r>
        <w:rPr>
          <w:rFonts w:hint="eastAsia" w:ascii="宋体" w:hAnsi="宋体" w:cs="宋体"/>
          <w:sz w:val="24"/>
          <w:lang w:eastAsia="zh-CN"/>
        </w:rPr>
        <w:t>）</w:t>
      </w:r>
      <w:r>
        <w:rPr>
          <w:rFonts w:hint="eastAsia" w:ascii="宋体" w:hAnsi="宋体" w:cs="宋体"/>
          <w:sz w:val="24"/>
        </w:rPr>
        <w:t>及其技术规范偏差表</w:t>
      </w:r>
      <w:r>
        <w:rPr>
          <w:rFonts w:hint="eastAsia" w:ascii="宋体" w:hAnsi="宋体" w:cs="宋体"/>
          <w:sz w:val="24"/>
          <w:lang w:eastAsia="zh-CN"/>
        </w:rPr>
        <w:t>（</w:t>
      </w:r>
      <w:r>
        <w:rPr>
          <w:rFonts w:hint="eastAsia" w:ascii="宋体" w:hAnsi="宋体" w:cs="宋体"/>
          <w:sz w:val="24"/>
        </w:rPr>
        <w:t>如果被甲方接受的话</w:t>
      </w:r>
      <w:r>
        <w:rPr>
          <w:rFonts w:hint="eastAsia" w:ascii="宋体" w:hAnsi="宋体" w:cs="宋体"/>
          <w:sz w:val="24"/>
          <w:lang w:eastAsia="zh-CN"/>
        </w:rPr>
        <w:t>）</w:t>
      </w:r>
      <w:r>
        <w:rPr>
          <w:rFonts w:hint="eastAsia" w:ascii="宋体" w:hAnsi="宋体" w:cs="宋体"/>
          <w:sz w:val="24"/>
        </w:rPr>
        <w:t>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4" w:name="_Toc259093671"/>
      <w:bookmarkStart w:id="435" w:name="_Toc31634"/>
      <w:bookmarkStart w:id="436" w:name="_Toc27853"/>
      <w:bookmarkStart w:id="437" w:name="_Toc487900351"/>
      <w:bookmarkStart w:id="438" w:name="_Toc9829"/>
      <w:bookmarkStart w:id="439" w:name="_Toc279701242"/>
      <w:r>
        <w:rPr>
          <w:rFonts w:hint="eastAsia" w:ascii="宋体" w:hAnsi="宋体" w:cs="宋体"/>
          <w:b/>
          <w:sz w:val="24"/>
        </w:rPr>
        <w:t>三、知识产权</w:t>
      </w:r>
      <w:bookmarkEnd w:id="434"/>
      <w:bookmarkEnd w:id="435"/>
      <w:bookmarkEnd w:id="436"/>
      <w:bookmarkEnd w:id="437"/>
      <w:bookmarkEnd w:id="438"/>
      <w:bookmarkEnd w:id="439"/>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40" w:name="_Toc11932"/>
      <w:bookmarkStart w:id="441" w:name="_Toc29149"/>
      <w:bookmarkStart w:id="442" w:name="_Toc4194"/>
      <w:r>
        <w:rPr>
          <w:rFonts w:hint="eastAsia" w:ascii="宋体" w:hAnsi="宋体" w:cs="宋体"/>
          <w:b/>
          <w:sz w:val="24"/>
        </w:rPr>
        <w:t>四、装运包装</w:t>
      </w:r>
      <w:bookmarkEnd w:id="440"/>
      <w:bookmarkEnd w:id="441"/>
      <w:bookmarkEnd w:id="442"/>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w:t>
      </w:r>
      <w:r>
        <w:rPr>
          <w:rFonts w:hint="eastAsia" w:ascii="宋体" w:hAnsi="宋体" w:cs="宋体"/>
          <w:sz w:val="24"/>
          <w:lang w:eastAsia="zh-CN"/>
        </w:rPr>
        <w:t>，</w:t>
      </w:r>
      <w:r>
        <w:rPr>
          <w:rFonts w:hint="eastAsia" w:ascii="宋体" w:hAnsi="宋体" w:cs="宋体"/>
          <w:sz w:val="24"/>
        </w:rPr>
        <w:t>乙方交付的全部货物</w:t>
      </w:r>
      <w:r>
        <w:rPr>
          <w:rFonts w:hint="eastAsia" w:ascii="宋体" w:hAnsi="宋体" w:cs="宋体"/>
          <w:sz w:val="24"/>
          <w:lang w:eastAsia="zh-CN"/>
        </w:rPr>
        <w:t>，</w:t>
      </w:r>
      <w:r>
        <w:rPr>
          <w:rFonts w:hint="eastAsia" w:ascii="宋体" w:hAnsi="宋体" w:cs="宋体"/>
          <w:sz w:val="24"/>
        </w:rPr>
        <w:t>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w:t>
      </w:r>
      <w:r>
        <w:rPr>
          <w:rFonts w:hint="eastAsia" w:ascii="宋体" w:hAnsi="宋体" w:cs="宋体"/>
          <w:sz w:val="24"/>
          <w:lang w:eastAsia="zh-CN"/>
        </w:rPr>
        <w:t>必须</w:t>
      </w:r>
      <w:r>
        <w:rPr>
          <w:rFonts w:hint="eastAsia" w:ascii="宋体" w:hAnsi="宋体" w:cs="宋体"/>
          <w:sz w:val="24"/>
        </w:rPr>
        <w:t>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3" w:name="_Toc30272"/>
      <w:bookmarkStart w:id="444" w:name="_Toc26182"/>
      <w:bookmarkStart w:id="445" w:name="_Toc19074"/>
      <w:r>
        <w:rPr>
          <w:rFonts w:hint="eastAsia" w:ascii="宋体" w:hAnsi="宋体" w:cs="宋体"/>
          <w:b/>
          <w:sz w:val="24"/>
        </w:rPr>
        <w:t>五、 履约检查和问题反馈</w:t>
      </w:r>
      <w:bookmarkEnd w:id="443"/>
      <w:bookmarkEnd w:id="444"/>
      <w:bookmarkEnd w:id="445"/>
    </w:p>
    <w:p>
      <w:pPr>
        <w:spacing w:line="360" w:lineRule="auto"/>
        <w:ind w:firstLine="480" w:firstLineChars="200"/>
        <w:rPr>
          <w:rFonts w:ascii="宋体" w:hAnsi="宋体" w:cs="宋体"/>
          <w:sz w:val="24"/>
        </w:rPr>
      </w:pPr>
      <w:bookmarkStart w:id="446" w:name="_Toc186431854"/>
      <w:bookmarkStart w:id="447" w:name="_Toc279701247"/>
      <w:bookmarkStart w:id="448" w:name="_Toc487900357"/>
      <w:bookmarkStart w:id="449" w:name="_Ref467379793"/>
      <w:bookmarkStart w:id="450" w:name="_Ref467379807"/>
      <w:bookmarkStart w:id="451" w:name="_Toc259093676"/>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6"/>
      <w:bookmarkStart w:id="452" w:name="_Toc186431855"/>
      <w:r>
        <w:rPr>
          <w:rFonts w:hint="eastAsia" w:ascii="宋体" w:hAnsi="宋体" w:cs="宋体"/>
          <w:sz w:val="24"/>
        </w:rPr>
        <w:t>。</w:t>
      </w:r>
    </w:p>
    <w:bookmarkEnd w:id="447"/>
    <w:bookmarkEnd w:id="448"/>
    <w:bookmarkEnd w:id="449"/>
    <w:bookmarkEnd w:id="450"/>
    <w:bookmarkEnd w:id="451"/>
    <w:bookmarkEnd w:id="452"/>
    <w:p>
      <w:pPr>
        <w:spacing w:line="360" w:lineRule="auto"/>
        <w:ind w:firstLine="482" w:firstLineChars="200"/>
        <w:outlineLvl w:val="0"/>
        <w:rPr>
          <w:rFonts w:ascii="宋体" w:hAnsi="宋体" w:cs="宋体"/>
          <w:b/>
          <w:sz w:val="24"/>
        </w:rPr>
      </w:pPr>
      <w:bookmarkStart w:id="453" w:name="_Ref467379863"/>
      <w:bookmarkStart w:id="454" w:name="_Toc487900358"/>
      <w:bookmarkStart w:id="455" w:name="_Toc279701248"/>
      <w:bookmarkStart w:id="456" w:name="_Ref467379923"/>
      <w:bookmarkStart w:id="457" w:name="_Ref467379852"/>
      <w:bookmarkStart w:id="458" w:name="_Toc259093677"/>
      <w:bookmarkStart w:id="459" w:name="_Toc774"/>
      <w:bookmarkStart w:id="460" w:name="_Toc3225"/>
      <w:bookmarkStart w:id="461" w:name="_Toc16110"/>
      <w:r>
        <w:rPr>
          <w:rFonts w:hint="eastAsia" w:ascii="宋体" w:hAnsi="宋体" w:cs="宋体"/>
          <w:b/>
          <w:sz w:val="24"/>
        </w:rPr>
        <w:t>六、技术资料</w:t>
      </w:r>
      <w:bookmarkEnd w:id="453"/>
      <w:bookmarkEnd w:id="454"/>
      <w:bookmarkEnd w:id="455"/>
      <w:bookmarkEnd w:id="456"/>
      <w:bookmarkEnd w:id="457"/>
      <w:bookmarkEnd w:id="458"/>
      <w:r>
        <w:rPr>
          <w:rFonts w:hint="eastAsia" w:ascii="宋体" w:hAnsi="宋体" w:cs="宋体"/>
          <w:b/>
          <w:sz w:val="24"/>
        </w:rPr>
        <w:t>和保密义务</w:t>
      </w:r>
      <w:bookmarkEnd w:id="459"/>
      <w:bookmarkEnd w:id="460"/>
      <w:bookmarkEnd w:id="461"/>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2" w:name="_Toc7860"/>
      <w:r>
        <w:rPr>
          <w:rFonts w:hint="eastAsia" w:ascii="宋体" w:hAnsi="宋体" w:cs="宋体"/>
          <w:b/>
          <w:sz w:val="24"/>
        </w:rPr>
        <w:t>七、质量保证</w:t>
      </w:r>
      <w:bookmarkEnd w:id="462"/>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3" w:name="_Toc17244"/>
      <w:bookmarkStart w:id="464" w:name="_Toc279701252"/>
      <w:bookmarkStart w:id="465" w:name="_Toc487900362"/>
      <w:bookmarkStart w:id="466" w:name="_Toc259093681"/>
      <w:r>
        <w:rPr>
          <w:rFonts w:hint="eastAsia" w:ascii="宋体" w:hAnsi="宋体" w:cs="宋体"/>
          <w:b/>
          <w:sz w:val="24"/>
        </w:rPr>
        <w:t>八、货物的风险负担</w:t>
      </w:r>
      <w:bookmarkEnd w:id="463"/>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7" w:name="_Toc14055"/>
      <w:r>
        <w:rPr>
          <w:rFonts w:hint="eastAsia" w:ascii="宋体" w:hAnsi="宋体" w:cs="宋体"/>
          <w:b/>
          <w:sz w:val="24"/>
        </w:rPr>
        <w:t>九、延迟交货</w:t>
      </w:r>
      <w:bookmarkEnd w:id="464"/>
      <w:bookmarkEnd w:id="465"/>
      <w:bookmarkEnd w:id="466"/>
      <w:bookmarkEnd w:id="467"/>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sz w:val="24"/>
        </w:rPr>
      </w:pPr>
      <w:bookmarkStart w:id="468" w:name="_Toc7502"/>
      <w:bookmarkStart w:id="469" w:name="_Toc487900364"/>
      <w:bookmarkStart w:id="470" w:name="_Toc259093683"/>
      <w:bookmarkStart w:id="471" w:name="_Ref467378121"/>
      <w:bookmarkStart w:id="472" w:name="_Toc279701254"/>
      <w:r>
        <w:rPr>
          <w:rFonts w:hint="eastAsia" w:ascii="宋体" w:hAnsi="宋体" w:cs="宋体"/>
          <w:b/>
          <w:sz w:val="24"/>
        </w:rPr>
        <w:t>十、合同变更</w:t>
      </w:r>
      <w:bookmarkEnd w:id="468"/>
      <w:r>
        <w:rPr>
          <w:rFonts w:hint="eastAsia" w:ascii="宋体" w:hAnsi="宋体" w:cs="宋体"/>
          <w:b/>
          <w:sz w:val="24"/>
        </w:rPr>
        <w:t>或补充</w:t>
      </w:r>
    </w:p>
    <w:p>
      <w:pPr>
        <w:spacing w:line="360" w:lineRule="auto"/>
        <w:ind w:firstLine="480" w:firstLineChars="200"/>
        <w:rPr>
          <w:rFonts w:ascii="宋体" w:hAnsi="宋体"/>
          <w:sz w:val="24"/>
        </w:rPr>
      </w:pPr>
      <w:bookmarkStart w:id="473" w:name="_Toc279701259"/>
      <w:bookmarkStart w:id="474" w:name="_Toc259093688"/>
      <w:bookmarkStart w:id="475" w:name="_Toc487900369"/>
      <w:bookmarkStart w:id="476" w:name="_Toc22955"/>
      <w:bookmarkStart w:id="477" w:name="_Toc10366"/>
      <w:bookmarkStart w:id="478" w:name="_Toc15237"/>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3"/>
      <w:bookmarkEnd w:id="474"/>
      <w:bookmarkEnd w:id="475"/>
      <w:r>
        <w:rPr>
          <w:rFonts w:hint="eastAsia" w:ascii="宋体" w:hAnsi="宋体" w:cs="宋体"/>
          <w:b/>
          <w:sz w:val="24"/>
        </w:rPr>
        <w:t>和分包</w:t>
      </w:r>
      <w:bookmarkEnd w:id="476"/>
      <w:bookmarkEnd w:id="477"/>
      <w:bookmarkEnd w:id="478"/>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9" w:name="_Toc14066"/>
      <w:bookmarkStart w:id="480" w:name="_Toc13566"/>
      <w:bookmarkStart w:id="481" w:name="_Toc16508"/>
      <w:r>
        <w:rPr>
          <w:rFonts w:hint="eastAsia" w:ascii="宋体" w:hAnsi="宋体" w:cs="宋体"/>
          <w:b/>
          <w:sz w:val="24"/>
        </w:rPr>
        <w:t>十二、不可抗力</w:t>
      </w:r>
      <w:bookmarkEnd w:id="479"/>
      <w:bookmarkEnd w:id="480"/>
      <w:bookmarkEnd w:id="481"/>
    </w:p>
    <w:p>
      <w:pPr>
        <w:spacing w:line="360" w:lineRule="auto"/>
        <w:ind w:firstLine="480" w:firstLineChars="200"/>
        <w:rPr>
          <w:rFonts w:ascii="宋体" w:hAnsi="宋体"/>
          <w:sz w:val="24"/>
        </w:rPr>
      </w:pPr>
      <w:bookmarkStart w:id="482" w:name="_Toc487900365"/>
      <w:bookmarkStart w:id="483" w:name="_Toc30676"/>
      <w:bookmarkStart w:id="484" w:name="_Toc259093684"/>
      <w:bookmarkStart w:id="485" w:name="_Toc279701255"/>
      <w:bookmarkStart w:id="486" w:name="_Toc689"/>
      <w:bookmarkStart w:id="487" w:name="_Toc6969"/>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2"/>
      <w:bookmarkEnd w:id="483"/>
      <w:bookmarkEnd w:id="484"/>
      <w:bookmarkEnd w:id="485"/>
      <w:bookmarkEnd w:id="486"/>
      <w:bookmarkEnd w:id="487"/>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8" w:name="_Toc16959"/>
      <w:bookmarkStart w:id="489" w:name="_Toc8298"/>
      <w:bookmarkStart w:id="490" w:name="_Toc487900368"/>
      <w:bookmarkStart w:id="491" w:name="_Toc7102"/>
      <w:bookmarkStart w:id="492" w:name="_Toc279701258"/>
      <w:bookmarkStart w:id="493" w:name="_Toc259093687"/>
      <w:r>
        <w:rPr>
          <w:rFonts w:hint="eastAsia" w:ascii="宋体" w:hAnsi="宋体" w:cs="宋体"/>
          <w:b/>
          <w:sz w:val="24"/>
        </w:rPr>
        <w:t>十四、乙方破产</w:t>
      </w:r>
      <w:bookmarkEnd w:id="488"/>
      <w:bookmarkEnd w:id="489"/>
      <w:bookmarkEnd w:id="490"/>
      <w:bookmarkEnd w:id="491"/>
      <w:bookmarkEnd w:id="492"/>
      <w:bookmarkEnd w:id="493"/>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4" w:name="_Toc6134"/>
      <w:bookmarkStart w:id="495" w:name="_Toc15387"/>
      <w:bookmarkStart w:id="496" w:name="_Toc29333"/>
      <w:r>
        <w:rPr>
          <w:rFonts w:hint="eastAsia" w:ascii="宋体" w:hAnsi="宋体" w:cs="宋体"/>
          <w:b/>
          <w:sz w:val="24"/>
        </w:rPr>
        <w:t>十五、合同中止、终止</w:t>
      </w:r>
      <w:bookmarkEnd w:id="494"/>
      <w:bookmarkEnd w:id="495"/>
      <w:bookmarkEnd w:id="496"/>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rPr>
        <w:t>3.合同到期后，自动终止合同；</w:t>
      </w:r>
    </w:p>
    <w:p>
      <w:pPr>
        <w:spacing w:line="360" w:lineRule="auto"/>
        <w:ind w:firstLine="480" w:firstLineChars="200"/>
        <w:rPr>
          <w:rFonts w:ascii="宋体" w:hAnsi="宋体" w:cs="宋体"/>
          <w:sz w:val="24"/>
        </w:rPr>
      </w:pPr>
      <w:r>
        <w:rPr>
          <w:rFonts w:hint="eastAsia" w:ascii="宋体" w:hAnsi="宋体" w:cs="宋体"/>
          <w:sz w:val="24"/>
        </w:rPr>
        <w:t>4.乙方完成合同约定内容的（不得超过合同总金额），自动终止合同；若在合同有效期之前完成的，提前终止合同，无须再另行签订终止补充协议，甲方按合同约定要求及时退还乙方履约保证金。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rPr>
        <w:t>5.出现违约行为的，甲方有权中止或解除合同。</w:t>
      </w:r>
    </w:p>
    <w:bookmarkEnd w:id="469"/>
    <w:bookmarkEnd w:id="470"/>
    <w:bookmarkEnd w:id="471"/>
    <w:bookmarkEnd w:id="472"/>
    <w:p>
      <w:pPr>
        <w:spacing w:line="360" w:lineRule="auto"/>
        <w:ind w:firstLine="482" w:firstLineChars="200"/>
        <w:outlineLvl w:val="0"/>
        <w:rPr>
          <w:rFonts w:ascii="宋体" w:hAnsi="宋体" w:cs="宋体"/>
          <w:b/>
          <w:sz w:val="24"/>
        </w:rPr>
      </w:pPr>
      <w:bookmarkStart w:id="497" w:name="_Toc279701261"/>
      <w:bookmarkStart w:id="498" w:name="_Toc487900371"/>
      <w:bookmarkStart w:id="499" w:name="_Toc259093690"/>
      <w:bookmarkStart w:id="500" w:name="_Toc11284"/>
      <w:bookmarkStart w:id="501" w:name="_Toc19604"/>
      <w:bookmarkStart w:id="502" w:name="_Toc25182"/>
      <w:r>
        <w:rPr>
          <w:rFonts w:hint="eastAsia" w:ascii="宋体" w:hAnsi="宋体" w:cs="宋体"/>
          <w:b/>
          <w:sz w:val="24"/>
        </w:rPr>
        <w:t>十六、 通知</w:t>
      </w:r>
      <w:bookmarkEnd w:id="497"/>
      <w:bookmarkEnd w:id="498"/>
      <w:bookmarkEnd w:id="499"/>
      <w:r>
        <w:rPr>
          <w:rFonts w:hint="eastAsia" w:ascii="宋体" w:hAnsi="宋体" w:cs="宋体"/>
          <w:b/>
          <w:sz w:val="24"/>
        </w:rPr>
        <w:t>和送达</w:t>
      </w:r>
      <w:bookmarkEnd w:id="500"/>
      <w:bookmarkEnd w:id="501"/>
      <w:bookmarkEnd w:id="502"/>
    </w:p>
    <w:p>
      <w:pPr>
        <w:spacing w:line="360" w:lineRule="auto"/>
        <w:ind w:firstLine="480" w:firstLineChars="200"/>
        <w:rPr>
          <w:rFonts w:ascii="宋体" w:hAnsi="宋体"/>
          <w:sz w:val="24"/>
        </w:rPr>
      </w:pPr>
      <w:bookmarkStart w:id="503" w:name="_Toc18401"/>
      <w:bookmarkStart w:id="504" w:name="_Toc27674"/>
      <w:bookmarkStart w:id="505" w:name="_Toc259093691"/>
      <w:bookmarkStart w:id="506" w:name="_Toc18540"/>
      <w:bookmarkStart w:id="507" w:name="_Toc279701262"/>
      <w:bookmarkStart w:id="508" w:name="_Toc487900372"/>
      <w:bookmarkStart w:id="509" w:name="_Toc4355"/>
      <w:bookmarkStart w:id="510" w:name="_Toc30599"/>
      <w:r>
        <w:rPr>
          <w:rFonts w:hint="eastAsia" w:ascii="宋体" w:hAnsi="宋体"/>
          <w:sz w:val="24"/>
        </w:rPr>
        <w:t>1.任何一方因履行合同而以合同第一章尾部所列明的电子邮件</w:t>
      </w:r>
      <w:r>
        <w:rPr>
          <w:rFonts w:ascii="宋体" w:hAnsi="宋体"/>
          <w:sz w:val="24"/>
        </w:rPr>
        <w:t xml:space="preserve"> </w:t>
      </w:r>
      <w:r>
        <w:rPr>
          <w:rFonts w:ascii="宋体" w:hAnsi="宋体"/>
          <w:sz w:val="24"/>
          <w:u w:val="single"/>
        </w:rPr>
        <w:t xml:space="preserve">       </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3"/>
      <w:bookmarkEnd w:id="504"/>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5"/>
      <w:bookmarkEnd w:id="506"/>
      <w:bookmarkEnd w:id="507"/>
      <w:bookmarkEnd w:id="508"/>
      <w:bookmarkEnd w:id="509"/>
      <w:bookmarkEnd w:id="510"/>
    </w:p>
    <w:p>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pPr>
        <w:spacing w:line="360" w:lineRule="auto"/>
        <w:ind w:firstLine="482" w:firstLineChars="200"/>
        <w:outlineLvl w:val="0"/>
        <w:rPr>
          <w:rFonts w:ascii="宋体" w:hAnsi="宋体" w:cs="宋体"/>
          <w:b/>
          <w:sz w:val="24"/>
        </w:rPr>
      </w:pPr>
      <w:bookmarkStart w:id="511" w:name="_Toc12773"/>
      <w:bookmarkStart w:id="512" w:name="_Toc487900373"/>
      <w:bookmarkStart w:id="513" w:name="_Toc259093692"/>
      <w:bookmarkStart w:id="514" w:name="_Toc279701263"/>
      <w:bookmarkStart w:id="515" w:name="_Toc10330"/>
      <w:bookmarkStart w:id="516" w:name="_Toc18567"/>
      <w:r>
        <w:rPr>
          <w:rFonts w:hint="eastAsia" w:ascii="宋体" w:hAnsi="宋体" w:cs="宋体"/>
          <w:b/>
          <w:sz w:val="24"/>
        </w:rPr>
        <w:t>十八、合同使用的文字和适用的法律</w:t>
      </w:r>
      <w:bookmarkEnd w:id="511"/>
      <w:bookmarkEnd w:id="512"/>
      <w:bookmarkEnd w:id="513"/>
      <w:bookmarkEnd w:id="514"/>
      <w:bookmarkEnd w:id="515"/>
      <w:bookmarkEnd w:id="516"/>
    </w:p>
    <w:p>
      <w:pPr>
        <w:spacing w:line="360" w:lineRule="auto"/>
        <w:ind w:firstLine="480" w:firstLineChars="200"/>
        <w:rPr>
          <w:rFonts w:ascii="宋体" w:hAnsi="宋体" w:cs="宋体"/>
          <w:sz w:val="24"/>
        </w:rPr>
      </w:pPr>
      <w:r>
        <w:rPr>
          <w:rFonts w:hint="eastAsia" w:ascii="宋体" w:hAnsi="宋体" w:cs="宋体"/>
          <w:sz w:val="24"/>
        </w:rPr>
        <w:t>1.合同使用汉语书就、变更和解释；</w:t>
      </w:r>
    </w:p>
    <w:p>
      <w:pPr>
        <w:spacing w:line="360" w:lineRule="auto"/>
        <w:ind w:firstLine="480" w:firstLineChars="200"/>
        <w:rPr>
          <w:rFonts w:hint="eastAsia" w:ascii="宋体" w:hAnsi="宋体" w:cs="宋体"/>
          <w:sz w:val="24"/>
        </w:rPr>
      </w:pPr>
      <w:r>
        <w:rPr>
          <w:rFonts w:hint="eastAsia" w:ascii="宋体" w:hAnsi="宋体" w:cs="宋体"/>
          <w:sz w:val="24"/>
        </w:rPr>
        <w:t>2.合同适用中华人民共和国法律。</w:t>
      </w:r>
    </w:p>
    <w:p>
      <w:pPr>
        <w:spacing w:line="360" w:lineRule="auto"/>
        <w:ind w:firstLine="482" w:firstLineChars="200"/>
        <w:outlineLvl w:val="0"/>
        <w:rPr>
          <w:rFonts w:ascii="宋体" w:hAnsi="宋体"/>
          <w:b/>
          <w:sz w:val="24"/>
        </w:rPr>
      </w:pPr>
      <w:r>
        <w:rPr>
          <w:rFonts w:hint="eastAsia" w:ascii="宋体" w:hAnsi="宋体"/>
          <w:b/>
          <w:sz w:val="24"/>
        </w:rPr>
        <w:t>十九、特别提示</w:t>
      </w:r>
    </w:p>
    <w:p>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pStyle w:val="2"/>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pStyle w:val="22"/>
        <w:spacing w:line="560" w:lineRule="exact"/>
        <w:ind w:left="0" w:leftChars="0" w:firstLine="0" w:firstLineChars="0"/>
        <w:jc w:val="both"/>
        <w:rPr>
          <w:rFonts w:ascii="宋体" w:hAnsi="宋体" w:cs="Times New Roman"/>
          <w:b/>
          <w:szCs w:val="24"/>
        </w:rPr>
      </w:pPr>
    </w:p>
    <w:p>
      <w:pPr>
        <w:pStyle w:val="9"/>
        <w:rPr>
          <w:rFonts w:ascii="宋体" w:hAnsi="宋体" w:cs="Times New Roman"/>
          <w:b/>
          <w:szCs w:val="24"/>
        </w:rPr>
      </w:pPr>
    </w:p>
    <w:p>
      <w:pPr>
        <w:pStyle w:val="9"/>
        <w:rPr>
          <w:rFonts w:ascii="宋体" w:hAnsi="宋体" w:cs="Times New Roman"/>
          <w:b/>
          <w:szCs w:val="24"/>
        </w:rPr>
      </w:pPr>
    </w:p>
    <w:p>
      <w:pPr>
        <w:pStyle w:val="9"/>
        <w:rPr>
          <w:rFonts w:ascii="宋体" w:hAnsi="宋体" w:cs="Times New Roman"/>
          <w:b/>
          <w:szCs w:val="24"/>
        </w:rPr>
      </w:pPr>
    </w:p>
    <w:p>
      <w:pPr>
        <w:pStyle w:val="9"/>
        <w:rPr>
          <w:rFonts w:ascii="宋体" w:hAnsi="宋体" w:cs="Times New Roman"/>
          <w:b/>
          <w:szCs w:val="24"/>
        </w:rPr>
      </w:pPr>
    </w:p>
    <w:p>
      <w:pPr>
        <w:pStyle w:val="9"/>
        <w:rPr>
          <w:rFonts w:ascii="宋体" w:hAnsi="宋体" w:cs="Times New Roman"/>
          <w:b/>
          <w:szCs w:val="24"/>
        </w:rPr>
      </w:pPr>
    </w:p>
    <w:p>
      <w:pPr>
        <w:pStyle w:val="9"/>
        <w:rPr>
          <w:rFonts w:ascii="宋体" w:hAnsi="宋体" w:cs="Times New Roman"/>
          <w:b/>
          <w:szCs w:val="24"/>
        </w:rPr>
      </w:pPr>
    </w:p>
    <w:p>
      <w:pPr>
        <w:pStyle w:val="9"/>
        <w:rPr>
          <w:rFonts w:ascii="宋体" w:hAnsi="宋体" w:cs="Times New Roman"/>
          <w:b/>
          <w:szCs w:val="24"/>
        </w:rPr>
      </w:pPr>
    </w:p>
    <w:p>
      <w:pPr>
        <w:pStyle w:val="9"/>
        <w:rPr>
          <w:rFonts w:ascii="宋体" w:hAnsi="宋体" w:cs="Times New Roman"/>
          <w:b/>
          <w:szCs w:val="24"/>
        </w:rPr>
      </w:pPr>
    </w:p>
    <w:p>
      <w:pPr>
        <w:pStyle w:val="9"/>
        <w:rPr>
          <w:rFonts w:ascii="宋体" w:hAnsi="宋体" w:cs="Times New Roman"/>
          <w:b/>
          <w:szCs w:val="24"/>
        </w:rPr>
      </w:pPr>
    </w:p>
    <w:p>
      <w:pPr>
        <w:pStyle w:val="9"/>
        <w:rPr>
          <w:rFonts w:ascii="宋体" w:hAnsi="宋体" w:cs="Times New Roman"/>
          <w:b/>
          <w:szCs w:val="24"/>
        </w:rPr>
      </w:pPr>
    </w:p>
    <w:p>
      <w:pPr>
        <w:pStyle w:val="9"/>
        <w:rPr>
          <w:rFonts w:ascii="宋体" w:hAnsi="宋体" w:cs="Times New Roman"/>
          <w:b/>
          <w:szCs w:val="24"/>
        </w:rPr>
      </w:pPr>
    </w:p>
    <w:p>
      <w:pPr>
        <w:pStyle w:val="9"/>
        <w:rPr>
          <w:rFonts w:ascii="宋体" w:hAnsi="宋体" w:cs="Times New Roman"/>
          <w:b/>
          <w:szCs w:val="24"/>
        </w:rPr>
      </w:pPr>
    </w:p>
    <w:p>
      <w:pPr>
        <w:pStyle w:val="9"/>
        <w:rPr>
          <w:rFonts w:ascii="宋体" w:hAnsi="宋体" w:cs="Times New Roman"/>
          <w:b/>
          <w:szCs w:val="24"/>
        </w:rPr>
      </w:pPr>
    </w:p>
    <w:p>
      <w:pPr>
        <w:pStyle w:val="9"/>
        <w:rPr>
          <w:rFonts w:ascii="宋体" w:hAnsi="宋体" w:cs="Times New Roman"/>
          <w:b/>
          <w:szCs w:val="24"/>
        </w:rPr>
      </w:pPr>
    </w:p>
    <w:p>
      <w:pPr>
        <w:pStyle w:val="9"/>
        <w:rPr>
          <w:rFonts w:ascii="宋体" w:hAnsi="宋体" w:cs="Times New Roman"/>
          <w:b/>
          <w:szCs w:val="24"/>
        </w:rPr>
      </w:pPr>
    </w:p>
    <w:p>
      <w:pPr>
        <w:pStyle w:val="9"/>
        <w:rPr>
          <w:rFonts w:ascii="宋体" w:hAnsi="宋体" w:cs="Times New Roman"/>
          <w:b/>
          <w:szCs w:val="24"/>
        </w:rPr>
      </w:pPr>
    </w:p>
    <w:p>
      <w:pPr>
        <w:pStyle w:val="9"/>
        <w:rPr>
          <w:rFonts w:ascii="宋体" w:hAnsi="宋体" w:cs="Times New Roman"/>
          <w:b/>
          <w:szCs w:val="24"/>
        </w:rPr>
      </w:pPr>
    </w:p>
    <w:p>
      <w:pPr>
        <w:pStyle w:val="9"/>
        <w:rPr>
          <w:rFonts w:ascii="宋体" w:hAnsi="宋体" w:cs="Times New Roman"/>
          <w:b/>
          <w:szCs w:val="24"/>
        </w:rPr>
      </w:pPr>
    </w:p>
    <w:p>
      <w:pPr>
        <w:pStyle w:val="9"/>
        <w:rPr>
          <w:rFonts w:ascii="宋体" w:hAnsi="宋体" w:cs="Times New Roman"/>
          <w:b/>
          <w:szCs w:val="24"/>
        </w:rPr>
      </w:pPr>
    </w:p>
    <w:p>
      <w:pPr>
        <w:pStyle w:val="9"/>
        <w:rPr>
          <w:rFonts w:ascii="宋体" w:hAnsi="宋体" w:cs="Times New Roman"/>
          <w:b/>
          <w:szCs w:val="24"/>
        </w:rPr>
      </w:pPr>
    </w:p>
    <w:p>
      <w:pPr>
        <w:pStyle w:val="9"/>
        <w:rPr>
          <w:rFonts w:ascii="宋体" w:hAnsi="宋体" w:cs="Times New Roman"/>
          <w:b/>
          <w:szCs w:val="24"/>
        </w:rPr>
      </w:pPr>
    </w:p>
    <w:p>
      <w:pPr>
        <w:pStyle w:val="22"/>
        <w:spacing w:line="560" w:lineRule="exact"/>
        <w:ind w:left="0" w:leftChars="0" w:firstLine="0" w:firstLineChars="0"/>
        <w:jc w:val="center"/>
        <w:rPr>
          <w:rFonts w:ascii="宋体" w:hAnsi="宋体"/>
          <w:b/>
          <w:szCs w:val="24"/>
        </w:rPr>
      </w:pPr>
      <w:r>
        <w:rPr>
          <w:rFonts w:hint="eastAsia" w:ascii="宋体" w:hAnsi="宋体" w:cs="Times New Roman"/>
          <w:b/>
          <w:szCs w:val="24"/>
        </w:rPr>
        <w:t xml:space="preserve">第三章 </w:t>
      </w:r>
      <w:r>
        <w:rPr>
          <w:rFonts w:hint="eastAsia" w:ascii="宋体" w:hAnsi="宋体"/>
          <w:b/>
          <w:szCs w:val="24"/>
        </w:rPr>
        <w:t>廉洁协议</w:t>
      </w:r>
    </w:p>
    <w:p>
      <w:pPr>
        <w:pStyle w:val="9"/>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甲、乙双方应共同严格遵守国家和省市以及招标人主管部门关于市场准入、项目招标投标、市场经济活动等有关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甲、乙双方如发现对方人员在业务活动中有违规、违纪、违法行为的，应及时提醒对方并督促其纠正，或直接向对方法人代表、纪检监察部门及检察机关如实反映情况。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乙方贿赂甲方人员的，被纪检监察部门或检察机关立案查处的，甲方有权中止项目合同，由此造成甲方的损失以及一切费用均由乙方承担。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
      <w:pPr>
        <w:pStyle w:val="2"/>
      </w:pPr>
    </w:p>
    <w:p/>
    <w:p>
      <w:pPr>
        <w:pStyle w:val="2"/>
      </w:pPr>
    </w:p>
    <w:p/>
    <w:p>
      <w:pPr>
        <w:pStyle w:val="2"/>
      </w:pPr>
    </w:p>
    <w:p/>
    <w:p>
      <w:pPr>
        <w:pStyle w:val="2"/>
      </w:pPr>
    </w:p>
    <w:p>
      <w:pPr>
        <w:pStyle w:val="6"/>
      </w:pPr>
    </w:p>
    <w:p/>
    <w:p>
      <w:pPr>
        <w:pStyle w:val="6"/>
      </w:pPr>
    </w:p>
    <w:p/>
    <w:p>
      <w:pPr>
        <w:pStyle w:val="6"/>
      </w:pPr>
    </w:p>
    <w:p>
      <w:pPr>
        <w:pStyle w:val="7"/>
        <w:ind w:firstLine="0"/>
      </w:pPr>
    </w:p>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4"/>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2336"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2336;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rPr>
        <w:t>开标时启封</w:t>
      </w:r>
    </w:p>
    <w:p>
      <w:pPr>
        <w:spacing w:line="360" w:lineRule="auto"/>
        <w:rPr>
          <w:rFonts w:ascii="宋体" w:hAnsi="宋体" w:eastAsia="宋体" w:cs="宋体"/>
          <w:sz w:val="44"/>
          <w:szCs w:val="44"/>
        </w:rPr>
      </w:pP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2024年临江公司链条（标准件）采购</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cs="仿宋" w:asciiTheme="minorEastAsia" w:hAnsiTheme="minorEastAsia"/>
          <w:sz w:val="24"/>
        </w:rPr>
      </w:pPr>
      <w:r>
        <w:rPr>
          <w:rFonts w:hint="eastAsia" w:cs="仿宋" w:asciiTheme="minorEastAsia" w:hAnsiTheme="minorEastAsia"/>
          <w:sz w:val="24"/>
        </w:rPr>
        <w:t>（3）本项目的特定要求（如果有）………………………………………（页码）</w:t>
      </w:r>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8"/>
      </w:pPr>
    </w:p>
    <w:p/>
    <w:p>
      <w:pPr>
        <w:pStyle w:val="2"/>
        <w:rPr>
          <w:color w:val="auto"/>
        </w:rPr>
      </w:pPr>
    </w:p>
    <w:p/>
    <w:p>
      <w:pPr>
        <w:pStyle w:val="2"/>
      </w:pPr>
    </w:p>
    <w:p>
      <w:pPr>
        <w:pStyle w:val="6"/>
      </w:pPr>
    </w:p>
    <w:p/>
    <w:p>
      <w:pPr>
        <w:pStyle w:val="6"/>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2024年临江公司链条（标准件）</w:t>
      </w:r>
      <w:r>
        <w:rPr>
          <w:rFonts w:cs="仿宋" w:asciiTheme="minorEastAsia" w:hAnsiTheme="minorEastAsia"/>
          <w:sz w:val="24"/>
          <w:u w:val="single"/>
        </w:rPr>
        <w:t>采购</w:t>
      </w:r>
      <w:r>
        <w:rPr>
          <w:rFonts w:hint="eastAsia" w:cs="仿宋" w:asciiTheme="minorEastAsia" w:hAnsiTheme="minorEastAsia"/>
          <w:sz w:val="24"/>
          <w:u w:val="single"/>
          <w:lang w:val="en-US" w:eastAsia="zh-CN"/>
        </w:rPr>
        <w:t>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202403006</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（二）未被信用中国（www.creditchina.gov.cn</w:t>
      </w:r>
      <w:r>
        <w:rPr>
          <w:rFonts w:hint="eastAsia" w:cs="仿宋" w:asciiTheme="minorEastAsia" w:hAnsiTheme="minorEastAsia"/>
          <w:sz w:val="24"/>
          <w:lang w:eastAsia="zh-CN"/>
        </w:rPr>
        <w:t>）</w:t>
      </w:r>
      <w:r>
        <w:rPr>
          <w:rFonts w:hint="eastAsia" w:cs="仿宋" w:asciiTheme="minorEastAsia" w:hAnsiTheme="minorEastAsia"/>
          <w:sz w:val="24"/>
        </w:rPr>
        <w:t>、中国政府采购网（www.ccgp.gov.cn）列入失信被执行人、重大税收违法案件当事人名单、政府采购严重违法失信行为记录名单。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6"/>
      </w:pPr>
    </w:p>
    <w:p>
      <w:pPr>
        <w:pStyle w:val="7"/>
      </w:pPr>
    </w:p>
    <w:p/>
    <w:p>
      <w:pPr>
        <w:pStyle w:val="6"/>
      </w:pPr>
    </w:p>
    <w:p>
      <w:pPr>
        <w:pStyle w:val="7"/>
      </w:pPr>
    </w:p>
    <w:p/>
    <w:p>
      <w:pPr>
        <w:pStyle w:val="6"/>
      </w:pPr>
    </w:p>
    <w:p>
      <w:pPr>
        <w:pStyle w:val="7"/>
      </w:pPr>
    </w:p>
    <w:p/>
    <w:p>
      <w:pPr>
        <w:pStyle w:val="13"/>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6"/>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6"/>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（5）响应产品规格配置清单（若有）…………………………………………（页码）</w:t>
      </w:r>
    </w:p>
    <w:p>
      <w:pPr>
        <w:snapToGrid w:val="0"/>
        <w:spacing w:line="360" w:lineRule="auto"/>
        <w:rPr>
          <w:rFonts w:cs="仿宋" w:asciiTheme="minorEastAsia" w:hAnsiTheme="minorEastAsia"/>
          <w:sz w:val="24"/>
        </w:rPr>
      </w:pPr>
      <w:r>
        <w:rPr>
          <w:rFonts w:hint="eastAsia" w:cs="仿宋" w:asciiTheme="minorEastAsia" w:hAnsiTheme="minorEastAsia"/>
          <w:sz w:val="24"/>
        </w:rPr>
        <w:t>（6）商务技术偏离表……………………………………………………………（页码）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（8）供应商股东信息及出资比例信息表………………………………………（页码）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（9）供应商服务质量保证承诺函………………………………………………（页码）</w:t>
      </w: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7"/>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2024年临江公司链条（标准件）采购</w:t>
      </w:r>
      <w:r>
        <w:rPr>
          <w:rFonts w:hint="eastAsia" w:cs="仿宋" w:asciiTheme="minorEastAsia" w:hAnsiTheme="minorEastAsia"/>
          <w:sz w:val="24"/>
          <w:u w:val="single"/>
          <w:lang w:val="en-US" w:eastAsia="zh-CN"/>
        </w:rPr>
        <w:t>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202403006</w:t>
      </w:r>
      <w:r>
        <w:rPr>
          <w:rFonts w:hint="eastAsia" w:cs="仿宋" w:asciiTheme="minorEastAsia" w:hAnsiTheme="minorEastAsia"/>
          <w:sz w:val="24"/>
        </w:rPr>
        <w:t>】采购的有关活动，并对此项目进行响应。为此：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3"/>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cs="仿宋" w:asciiTheme="minorEastAsia" w:hAnsiTheme="minorEastAsia"/>
          <w:sz w:val="24"/>
          <w:lang w:eastAsia="zh-CN"/>
        </w:rPr>
        <w:t>：</w:t>
      </w:r>
      <w:r>
        <w:rPr>
          <w:rFonts w:hint="eastAsia" w:ascii="宋体" w:hAnsi="宋体" w:cs="宋体"/>
          <w:sz w:val="24"/>
          <w:u w:val="single"/>
        </w:rPr>
        <w:t xml:space="preserve">              </w:t>
      </w:r>
      <w:r>
        <w:rPr>
          <w:rFonts w:hint="eastAsia" w:cs="仿宋" w:asciiTheme="minorEastAsia" w:hAnsiTheme="minorEastAsia"/>
          <w:sz w:val="24"/>
        </w:rPr>
        <w:t>。</w:t>
      </w:r>
    </w:p>
    <w:p>
      <w:pPr>
        <w:pStyle w:val="6"/>
      </w:pPr>
    </w:p>
    <w:p>
      <w:pPr>
        <w:pStyle w:val="7"/>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kern w:val="0"/>
          <w:sz w:val="24"/>
          <w:u w:val="single"/>
        </w:rPr>
        <w:t xml:space="preserve">（采购项目名称、采购编号）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其在报价过程中的一切活动本公司均予承认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6"/>
        <w:rPr>
          <w:rFonts w:cs="仿宋" w:asciiTheme="minorEastAsia" w:hAnsiTheme="minorEastAsia"/>
          <w:b/>
          <w:kern w:val="0"/>
          <w:sz w:val="32"/>
          <w:szCs w:val="32"/>
        </w:rPr>
      </w:pPr>
    </w:p>
    <w:p>
      <w:pPr>
        <w:pStyle w:val="7"/>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6"/>
        <w:rPr>
          <w:rFonts w:cs="仿宋" w:asciiTheme="minorEastAsia" w:hAnsiTheme="minorEastAsia"/>
          <w:b/>
          <w:kern w:val="0"/>
          <w:sz w:val="32"/>
          <w:szCs w:val="32"/>
        </w:rPr>
      </w:pPr>
    </w:p>
    <w:p>
      <w:pPr>
        <w:pStyle w:val="7"/>
      </w:pPr>
    </w:p>
    <w:p/>
    <w:p>
      <w:pPr>
        <w:pStyle w:val="25"/>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4"/>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5"/>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5"/>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5"/>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4"/>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5"/>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5"/>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（成交后以分包方式履行合同的，提供分包意向协议（附件3）；</w:t>
      </w:r>
      <w:r>
        <w:rPr>
          <w:rFonts w:hint="eastAsia" w:cs="仿宋" w:asciiTheme="minorEastAsia" w:hAnsiTheme="minorEastAsia"/>
          <w:b/>
          <w:bCs/>
          <w:sz w:val="24"/>
        </w:rPr>
        <w:t>采购人不同意分包或者供应商成交后不以分包方式履行合同的，则不需要提供。</w:t>
      </w:r>
      <w:r>
        <w:rPr>
          <w:rFonts w:hint="eastAsia" w:cs="仿宋" w:asciiTheme="minorEastAsia" w:hAnsiTheme="minorEastAsia"/>
          <w:sz w:val="24"/>
        </w:rPr>
        <w:t>）</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4"/>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w:t>
            </w:r>
            <w:r>
              <w:rPr>
                <w:rFonts w:hint="eastAsia" w:cs="仿宋" w:asciiTheme="minorEastAsia" w:hAnsiTheme="minorEastAsia"/>
                <w:sz w:val="24"/>
                <w:lang w:eastAsia="zh-CN"/>
              </w:rPr>
              <w:t>的其他</w:t>
            </w:r>
            <w:r>
              <w:rPr>
                <w:rFonts w:hint="eastAsia" w:cs="仿宋" w:asciiTheme="minorEastAsia" w:hAnsiTheme="minorEastAsia"/>
                <w:sz w:val="24"/>
              </w:rPr>
              <w:t>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rPr>
      </w:pPr>
      <w:r>
        <w:rPr>
          <w:rFonts w:hint="eastAsia" w:cs="仿宋" w:asciiTheme="minorEastAsia" w:hAnsiTheme="minorEastAsia"/>
          <w:b/>
          <w:kern w:val="0"/>
          <w:sz w:val="32"/>
          <w:szCs w:val="32"/>
        </w:rPr>
        <w:t>五、响应产品规格配置清单（若有）</w:t>
      </w:r>
    </w:p>
    <w:p>
      <w:pPr>
        <w:pStyle w:val="7"/>
        <w:rPr>
          <w:rFonts w:cs="仿宋" w:asciiTheme="minorEastAsia" w:hAnsiTheme="minorEastAsia"/>
          <w:lang w:val="en-US"/>
        </w:rPr>
      </w:pPr>
    </w:p>
    <w:tbl>
      <w:tblPr>
        <w:tblStyle w:val="14"/>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bl>
    <w:p>
      <w:pPr>
        <w:pStyle w:val="6"/>
        <w:rPr>
          <w:lang w:val="en-US"/>
        </w:rPr>
        <w:sectPr>
          <w:pgSz w:w="11906" w:h="16838"/>
          <w:pgMar w:top="1276" w:right="1418" w:bottom="1247" w:left="1418" w:header="851" w:footer="992" w:gutter="0"/>
          <w:cols w:space="720" w:num="1"/>
          <w:titlePg/>
          <w:docGrid w:linePitch="312" w:charSpace="0"/>
        </w:sectPr>
      </w:pPr>
      <w:r>
        <w:rPr>
          <w:rFonts w:cs="仿宋_GB2312" w:asciiTheme="minorEastAsia" w:hAnsiTheme="minorEastAsia"/>
        </w:rPr>
        <w:t>注</w:t>
      </w:r>
      <w:r>
        <w:rPr>
          <w:rFonts w:cs="仿宋_GB2312" w:asciiTheme="minorEastAsia" w:hAnsiTheme="minorEastAsia"/>
          <w:lang w:val="en-US"/>
        </w:rPr>
        <w:t>：</w:t>
      </w:r>
      <w:r>
        <w:rPr>
          <w:rFonts w:hint="eastAsia" w:cs="仿宋_GB2312" w:asciiTheme="minorEastAsia" w:hAnsiTheme="minorEastAsia"/>
        </w:rPr>
        <w:t>按本格式和要求提供。</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六、商务技术偏离表</w:t>
      </w:r>
    </w:p>
    <w:tbl>
      <w:tblPr>
        <w:tblStyle w:val="15"/>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七、</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有权立即取消或者中止我单位响应、成交合同，有权拒绝我单位在一定时期内进入你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6"/>
        <w:sectPr>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八、供应商股东信息及出资比例信息表</w:t>
      </w:r>
    </w:p>
    <w:p>
      <w:pPr>
        <w:pStyle w:val="13"/>
        <w:rPr>
          <w:lang w:val="zh-CN"/>
        </w:rPr>
      </w:pPr>
    </w:p>
    <w:p>
      <w:pPr>
        <w:rPr>
          <w:lang w:val="zh-CN"/>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3"/>
        <w:rPr>
          <w:lang w:val="zh-CN"/>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存在管</w:t>
            </w:r>
            <w:r>
              <w:rPr>
                <w:rFonts w:hint="eastAsia" w:ascii="宋体" w:hAnsi="宋体" w:eastAsia="宋体" w:cs="宋体"/>
                <w:sz w:val="24"/>
                <w:lang w:eastAsia="zh-CN"/>
              </w:rPr>
              <w:t>理体</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4" w:type="first"/>
          <w:footerReference r:id="rId13" w:type="default"/>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rPr>
        <w:t>九、</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项目名称   </w:t>
      </w:r>
      <w:r>
        <w:rPr>
          <w:rFonts w:hint="eastAsia" w:ascii="宋体" w:hAnsi="宋体" w:eastAsia="宋体" w:cs="宋体"/>
          <w:sz w:val="24"/>
        </w:rPr>
        <w:t>采购活动，并</w:t>
      </w:r>
      <w:r>
        <w:rPr>
          <w:rFonts w:hint="eastAsia" w:ascii="宋体" w:hAnsi="宋体" w:eastAsia="宋体" w:cs="宋体"/>
          <w:sz w:val="24"/>
          <w:lang w:eastAsia="zh-CN"/>
        </w:rPr>
        <w:t>做</w:t>
      </w:r>
      <w:r>
        <w:rPr>
          <w:rFonts w:hint="eastAsia" w:ascii="宋体" w:hAnsi="宋体" w:eastAsia="宋体" w:cs="宋体"/>
          <w:sz w:val="24"/>
        </w:rPr>
        <w:t>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2023年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4"/>
        <w:jc w:val="center"/>
        <w:rPr>
          <w:sz w:val="32"/>
          <w:szCs w:val="32"/>
        </w:rPr>
      </w:pPr>
      <w:r>
        <w:rPr>
          <w:rFonts w:hint="eastAsia"/>
          <w:sz w:val="32"/>
          <w:szCs w:val="32"/>
        </w:rPr>
        <w:t>一 、 报价函</w:t>
      </w:r>
    </w:p>
    <w:p>
      <w:pPr>
        <w:pStyle w:val="6"/>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7"/>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lang w:eastAsia="zh-CN"/>
        </w:rPr>
        <w:t>2024年临江公司链条（标准件）采购</w:t>
      </w:r>
      <w:r>
        <w:rPr>
          <w:rFonts w:hint="eastAsia" w:ascii="宋体" w:hAnsi="宋体" w:eastAsia="宋体" w:cs="宋体"/>
          <w:sz w:val="24"/>
        </w:rPr>
        <w:t>项</w:t>
      </w:r>
      <w:r>
        <w:rPr>
          <w:rFonts w:hint="eastAsia" w:ascii="宋体" w:hAnsi="宋体" w:eastAsia="宋体" w:cs="宋体"/>
          <w:spacing w:val="-3"/>
          <w:sz w:val="24"/>
        </w:rPr>
        <w:t>目</w:t>
      </w:r>
      <w:r>
        <w:rPr>
          <w:rFonts w:hint="eastAsia" w:ascii="宋体" w:hAnsi="宋体" w:eastAsia="宋体" w:cs="宋体"/>
          <w:sz w:val="24"/>
        </w:rPr>
        <w:t>（项目编号：</w:t>
      </w:r>
      <w:r>
        <w:rPr>
          <w:rFonts w:hint="eastAsia" w:eastAsia="宋体" w:cs="仿宋" w:asciiTheme="minorEastAsia" w:hAnsiTheme="minorEastAsia"/>
          <w:sz w:val="24"/>
          <w:u w:val="single"/>
          <w:lang w:eastAsia="zh-CN"/>
        </w:rPr>
        <w:t>202403006</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3"/>
          <w:sz w:val="24"/>
          <w:lang w:eastAsia="zh-CN"/>
        </w:rPr>
        <w:t>，</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z w:val="24"/>
          <w:lang w:eastAsia="zh-CN"/>
        </w:rPr>
        <w:t>，</w:t>
      </w:r>
      <w:r>
        <w:rPr>
          <w:rFonts w:hint="eastAsia" w:ascii="宋体" w:hAnsi="宋体" w:eastAsia="宋体" w:cs="宋体"/>
          <w:sz w:val="24"/>
        </w:rPr>
        <w:t>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7"/>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w:t>
      </w:r>
      <w:r>
        <w:rPr>
          <w:rFonts w:hint="eastAsia" w:ascii="宋体" w:hAnsi="宋体" w:eastAsia="宋体" w:cs="宋体"/>
          <w:spacing w:val="-4"/>
          <w:sz w:val="24"/>
          <w:lang w:eastAsia="zh-CN"/>
        </w:rPr>
        <w:t>（</w:t>
      </w:r>
      <w:r>
        <w:rPr>
          <w:rFonts w:hint="eastAsia" w:ascii="宋体" w:hAnsi="宋体" w:eastAsia="宋体" w:cs="宋体"/>
          <w:spacing w:val="-4"/>
          <w:sz w:val="24"/>
        </w:rPr>
        <w:t>如需要修改</w:t>
      </w:r>
      <w:r>
        <w:rPr>
          <w:rFonts w:hint="eastAsia" w:ascii="宋体" w:hAnsi="宋体" w:eastAsia="宋体" w:cs="宋体"/>
          <w:spacing w:val="-4"/>
          <w:sz w:val="24"/>
          <w:lang w:eastAsia="zh-CN"/>
        </w:rPr>
        <w:t>）</w:t>
      </w:r>
      <w:r>
        <w:rPr>
          <w:rFonts w:hint="eastAsia" w:ascii="宋体" w:hAnsi="宋体" w:eastAsia="宋体" w:cs="宋体"/>
          <w:spacing w:val="-4"/>
          <w:sz w:val="24"/>
        </w:rPr>
        <w:t>以及全部参考资料和有关附件。</w:t>
      </w:r>
      <w:r>
        <w:rPr>
          <w:rFonts w:hint="eastAsia" w:ascii="宋体" w:hAnsi="宋体" w:eastAsia="宋体" w:cs="宋体"/>
          <w:spacing w:val="-3"/>
          <w:sz w:val="24"/>
        </w:rPr>
        <w:t>我们完全理解并同意放弃对这方面有不明及误解的权利。</w:t>
      </w:r>
    </w:p>
    <w:p>
      <w:pPr>
        <w:pStyle w:val="27"/>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7"/>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eastAsia="zh-CN"/>
        </w:rPr>
        <w:t>提交</w:t>
      </w:r>
      <w:r>
        <w:rPr>
          <w:rFonts w:hint="eastAsia" w:ascii="宋体" w:hAnsi="宋体" w:eastAsia="宋体" w:cs="宋体"/>
          <w:sz w:val="24"/>
        </w:rPr>
        <w:t>的全部询价保证金。</w:t>
      </w:r>
    </w:p>
    <w:p>
      <w:pPr>
        <w:pStyle w:val="27"/>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6"/>
        <w:ind w:firstLine="480" w:firstLineChars="200"/>
        <w:jc w:val="left"/>
        <w:rPr>
          <w:rFonts w:hAnsi="宋体" w:cs="宋体"/>
        </w:rPr>
      </w:pPr>
    </w:p>
    <w:p>
      <w:pPr>
        <w:pStyle w:val="6"/>
        <w:ind w:firstLine="480" w:firstLineChars="200"/>
        <w:jc w:val="left"/>
        <w:rPr>
          <w:rFonts w:hAnsi="宋体" w:cs="宋体"/>
        </w:rPr>
      </w:pPr>
    </w:p>
    <w:p>
      <w:pPr>
        <w:pStyle w:val="6"/>
        <w:jc w:val="left"/>
        <w:rPr>
          <w:rFonts w:hAnsi="宋体" w:cs="宋体"/>
        </w:rPr>
      </w:pPr>
      <w:r>
        <w:rPr>
          <w:rFonts w:hint="eastAsia" w:hAnsi="宋体" w:cs="宋体"/>
        </w:rPr>
        <w:t>供应商名称：（盖单位公章）</w:t>
      </w:r>
    </w:p>
    <w:p>
      <w:pPr>
        <w:pStyle w:val="6"/>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6"/>
        <w:tabs>
          <w:tab w:val="left" w:pos="4101"/>
        </w:tabs>
        <w:jc w:val="left"/>
        <w:rPr>
          <w:rFonts w:hAnsi="宋体" w:cs="宋体"/>
        </w:rPr>
      </w:pPr>
      <w:r>
        <w:rPr>
          <w:rFonts w:hint="eastAsia" w:hAnsi="宋体" w:cs="宋体"/>
        </w:rPr>
        <w:t>地址：</w:t>
      </w:r>
    </w:p>
    <w:p>
      <w:pPr>
        <w:pStyle w:val="6"/>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pPr>
        <w:pStyle w:val="28"/>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2024年临江公司链条（标准件）采购</w:t>
      </w:r>
      <w:r>
        <w:rPr>
          <w:rFonts w:hint="eastAsia" w:cs="仿宋" w:asciiTheme="minorEastAsia" w:hAnsiTheme="minorEastAsia"/>
          <w:sz w:val="24"/>
        </w:rPr>
        <w:t>【项目编号：</w:t>
      </w:r>
      <w:r>
        <w:rPr>
          <w:rFonts w:hint="eastAsia" w:cs="仿宋" w:asciiTheme="minorEastAsia" w:hAnsiTheme="minorEastAsia"/>
          <w:sz w:val="24"/>
          <w:u w:val="single"/>
          <w:lang w:eastAsia="zh-CN"/>
        </w:rPr>
        <w:t>202403006</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4"/>
        <w:tblW w:w="1390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4"/>
        <w:gridCol w:w="2280"/>
        <w:gridCol w:w="5055"/>
        <w:gridCol w:w="885"/>
        <w:gridCol w:w="1080"/>
        <w:gridCol w:w="1125"/>
        <w:gridCol w:w="1185"/>
        <w:gridCol w:w="14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trPr>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物资名称</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型号规格</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单价（元）</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金额（元）</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链条</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08B-1-28/含链扣 (GB/T1243)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链条</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08B-1-26/含链扣 (GB/T1243)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链条扣</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12A-1/碳钢 (GB/T1243)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输送链条</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12A-1-70/含链扣/碳钢 (GB/T1243)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翻转机输送链条</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C10B-2-256/含链扣 不锈钢(420)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链条</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16A-1-220/含链扣 (GB/T1243) 不锈钢</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链条</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12A-2-44/含链扣 (GB/T1243)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链条扣</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12A-2 碳钢(GB/T1243)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链条 </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12A-2-104/含链扣/碳钢 (GB/T1243)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链条</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08B-1-54/含链扣/碳钢 (GB/T1243)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转台链条</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06B-1-30/含链扣 (GB/T1243)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单排半扣</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08B-1 (GB/T1243)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单排全扣</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08B-1 (GB/T1243)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单排全扣</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16A-1 (GB/T1243) 不锈钢</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翻转机输送链扣</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C10B-2 不锈钢(201) (GB/T7810)活扣</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单排全扣</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06B-1 (GB/T1243)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链条</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10A-1(GB/T1243) ， L=1.5米 ，全扣</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G80级锰钢链条</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22mm单吊15吨、材质20Mn2A、内宽28mm、外长66mm、外宽77mm、外长110mm、10米/根</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滚子链条</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28A-1-1.5米\GB-T1243 全扣</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滚子链条卡扣</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单排24A全接头</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滚子链条卡扣</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28A-1全接头</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0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r>
              <w:rPr>
                <w:rFonts w:hint="eastAsia" w:cs="仿宋" w:asciiTheme="minorEastAsia" w:hAnsiTheme="minorEastAsia"/>
                <w:b/>
                <w:sz w:val="24"/>
              </w:rPr>
              <w:t>响应报价合计（小写）</w:t>
            </w:r>
          </w:p>
        </w:tc>
        <w:tc>
          <w:tcPr>
            <w:tcW w:w="48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0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24"/>
                <w:szCs w:val="24"/>
                <w:u w:val="none"/>
                <w:lang w:val="en-US" w:eastAsia="zh-CN" w:bidi="ar"/>
              </w:rPr>
            </w:pPr>
            <w:r>
              <w:rPr>
                <w:rFonts w:hint="eastAsia" w:cs="仿宋" w:asciiTheme="minorEastAsia" w:hAnsiTheme="minorEastAsia"/>
                <w:b/>
                <w:sz w:val="24"/>
              </w:rPr>
              <w:t>响应报价合计（大写）</w:t>
            </w:r>
          </w:p>
        </w:tc>
        <w:tc>
          <w:tcPr>
            <w:tcW w:w="48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0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24"/>
                <w:szCs w:val="24"/>
                <w:u w:val="none"/>
                <w:lang w:val="en-US" w:eastAsia="zh-CN" w:bidi="ar"/>
              </w:rPr>
            </w:pPr>
            <w:r>
              <w:rPr>
                <w:rFonts w:hint="eastAsia" w:cs="仿宋" w:asciiTheme="minorEastAsia" w:hAnsiTheme="minorEastAsia"/>
                <w:b/>
                <w:sz w:val="24"/>
              </w:rPr>
              <w:t>税率</w:t>
            </w:r>
          </w:p>
        </w:tc>
        <w:tc>
          <w:tcPr>
            <w:tcW w:w="48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p>
        </w:tc>
      </w:tr>
    </w:tbl>
    <w:p>
      <w:pPr>
        <w:spacing w:line="360" w:lineRule="auto"/>
        <w:jc w:val="both"/>
        <w:rPr>
          <w:rFonts w:cs="仿宋" w:asciiTheme="minorEastAsia" w:hAnsiTheme="minorEastAsia"/>
          <w:b/>
          <w:kern w:val="0"/>
          <w:sz w:val="24"/>
          <w:lang w:val="zh-CN"/>
        </w:rPr>
      </w:pPr>
      <w:r>
        <w:rPr>
          <w:lang w:val="zh-CN"/>
        </w:rPr>
        <w:t xml:space="preserve"> </w:t>
      </w:r>
      <w:r>
        <w:rPr>
          <w:rFonts w:hint="eastAsia" w:cs="仿宋" w:asciiTheme="minorEastAsia" w:hAnsiTheme="minorEastAsia"/>
          <w:b/>
          <w:kern w:val="0"/>
          <w:sz w:val="24"/>
          <w:lang w:val="zh-CN"/>
        </w:rPr>
        <w:t>注：</w:t>
      </w:r>
    </w:p>
    <w:p>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rPr>
          <w:rFonts w:hint="eastAsia" w:eastAsiaTheme="minorEastAsia"/>
          <w:lang w:val="en-US" w:eastAsia="zh-CN"/>
        </w:rPr>
      </w:pPr>
      <w:r>
        <w:rPr>
          <w:rFonts w:hint="eastAsia" w:ascii="宋体" w:hAnsi="宋体" w:cs="宋体"/>
          <w:kern w:val="0"/>
          <w:sz w:val="24"/>
          <w:lang w:val="zh-CN"/>
        </w:rPr>
        <w:t>3、特别提示：采购人将对项目名称和项目编号，成交供应商名称、成交金额予以公示。</w:t>
      </w:r>
    </w:p>
    <w:p>
      <w:pPr>
        <w:sectPr>
          <w:pgSz w:w="16838" w:h="11906" w:orient="landscape"/>
          <w:pgMar w:top="1803" w:right="1440" w:bottom="1803" w:left="1440" w:header="851" w:footer="992" w:gutter="0"/>
          <w:cols w:space="0" w:num="1"/>
          <w:docGrid w:type="lines" w:linePitch="319" w:charSpace="0"/>
        </w:sectPr>
      </w:pPr>
    </w:p>
    <w:p>
      <w:pPr>
        <w:spacing w:line="360" w:lineRule="auto"/>
        <w:jc w:val="center"/>
        <w:rPr>
          <w:rFonts w:cs="仿宋" w:asciiTheme="minorEastAsia" w:hAnsiTheme="minorEastAsia"/>
          <w:b/>
          <w:spacing w:val="6"/>
          <w:sz w:val="32"/>
          <w:szCs w:val="32"/>
        </w:rPr>
      </w:pPr>
      <w:bookmarkStart w:id="517" w:name="_Toc465665161"/>
      <w:r>
        <w:rPr>
          <w:rFonts w:hint="eastAsia" w:cs="宋体" w:asciiTheme="minorEastAsia" w:hAnsiTheme="minorEastAsia"/>
          <w:b/>
          <w:bCs/>
          <w:kern w:val="44"/>
          <w:sz w:val="44"/>
          <w:szCs w:val="44"/>
        </w:rPr>
        <w:t>附件</w:t>
      </w:r>
      <w:bookmarkEnd w:id="517"/>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签字</w:t>
      </w:r>
      <w:r>
        <w:rPr>
          <w:rFonts w:hint="eastAsia" w:ascii="宋体" w:hAnsi="宋体" w:cs="宋体"/>
          <w:sz w:val="24"/>
          <w:lang w:eastAsia="zh-CN"/>
        </w:rPr>
        <w:t>（</w:t>
      </w:r>
      <w:r>
        <w:rPr>
          <w:rFonts w:hint="eastAsia" w:ascii="宋体" w:hAnsi="宋体" w:cs="宋体"/>
          <w:sz w:val="24"/>
        </w:rPr>
        <w:t>签章</w:t>
      </w:r>
      <w:r>
        <w:rPr>
          <w:rFonts w:hint="eastAsia" w:ascii="宋体" w:hAnsi="宋体" w:cs="宋体"/>
          <w:sz w:val="24"/>
          <w:lang w:eastAsia="zh-CN"/>
        </w:rPr>
        <w:t>）</w:t>
      </w:r>
      <w:r>
        <w:rPr>
          <w:rFonts w:hint="eastAsia" w:ascii="宋体" w:hAnsi="宋体" w:cs="宋体"/>
          <w:sz w:val="24"/>
        </w:rPr>
        <w:t xml:space="preserve">：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5" w:type="default"/>
          <w:pgSz w:w="11906" w:h="16838"/>
          <w:pgMar w:top="1440" w:right="1800" w:bottom="1440" w:left="1800" w:header="930" w:footer="992" w:gutter="0"/>
          <w:cols w:space="425" w:num="1"/>
          <w:docGrid w:type="lines" w:linePitch="312" w:charSpace="0"/>
        </w:sectPr>
      </w:pPr>
    </w:p>
    <w:p>
      <w:pPr>
        <w:pStyle w:val="13"/>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autoSpaceDE w:val="0"/>
        <w:autoSpaceDN w:val="0"/>
        <w:rPr>
          <w:rFonts w:cs="仿宋" w:asciiTheme="minorEastAsia" w:hAnsiTheme="minorEastAsia"/>
          <w:b/>
          <w:spacing w:val="6"/>
          <w:sz w:val="32"/>
          <w:szCs w:val="32"/>
        </w:rPr>
        <w:sectPr>
          <w:footerReference r:id="rId16"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w:t>
      </w:r>
      <w:r>
        <w:rPr>
          <w:rFonts w:hint="eastAsia" w:cs="仿宋" w:asciiTheme="minorEastAsia" w:hAnsiTheme="minorEastAsia"/>
          <w:sz w:val="24"/>
          <w:lang w:eastAsia="zh-CN"/>
        </w:rPr>
        <w:t>（</w:t>
      </w:r>
      <w:r>
        <w:rPr>
          <w:rFonts w:hint="eastAsia" w:cs="仿宋" w:asciiTheme="minorEastAsia" w:hAnsiTheme="minorEastAsia"/>
          <w:sz w:val="24"/>
        </w:rPr>
        <w:t>供应商全称</w:t>
      </w:r>
      <w:r>
        <w:rPr>
          <w:rFonts w:hint="eastAsia" w:cs="仿宋" w:asciiTheme="minorEastAsia" w:hAnsiTheme="minorEastAsia"/>
          <w:sz w:val="24"/>
          <w:lang w:eastAsia="zh-CN"/>
        </w:rPr>
        <w:t>）</w:t>
      </w:r>
      <w:r>
        <w:rPr>
          <w:rFonts w:hint="eastAsia" w:cs="仿宋" w:asciiTheme="minorEastAsia" w:hAnsiTheme="minorEastAsia"/>
          <w:sz w:val="24"/>
        </w:rPr>
        <w:t>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2024年临江公司链条（标准件）采购</w:t>
      </w:r>
      <w:r>
        <w:rPr>
          <w:rFonts w:hint="eastAsia" w:cs="仿宋" w:asciiTheme="minorEastAsia" w:hAnsiTheme="minorEastAsia"/>
          <w:sz w:val="24"/>
          <w:u w:val="single"/>
        </w:rPr>
        <w:t>项目</w:t>
      </w:r>
      <w:r>
        <w:rPr>
          <w:rFonts w:hint="eastAsia" w:cs="仿宋" w:asciiTheme="minorEastAsia" w:hAnsiTheme="minorEastAsia"/>
          <w:sz w:val="24"/>
        </w:rPr>
        <w:t>【项目编号：</w:t>
      </w:r>
      <w:r>
        <w:rPr>
          <w:rFonts w:hint="eastAsia" w:cs="仿宋" w:asciiTheme="minorEastAsia" w:hAnsiTheme="minorEastAsia"/>
          <w:sz w:val="24"/>
          <w:u w:val="single"/>
        </w:rPr>
        <w:t xml:space="preserve"> </w:t>
      </w:r>
      <w:r>
        <w:rPr>
          <w:rFonts w:hint="eastAsia" w:cs="仿宋" w:asciiTheme="minorEastAsia" w:hAnsiTheme="minorEastAsia"/>
          <w:sz w:val="24"/>
          <w:u w:val="single"/>
          <w:lang w:eastAsia="zh-CN"/>
        </w:rPr>
        <w:t>202403006</w:t>
      </w:r>
      <w:r>
        <w:rPr>
          <w:rFonts w:hint="eastAsia" w:cs="仿宋" w:asciiTheme="minorEastAsia" w:hAnsiTheme="minorEastAsia"/>
          <w:sz w:val="24"/>
          <w:u w:val="single"/>
        </w:rPr>
        <w:t xml:space="preserve"> </w:t>
      </w:r>
      <w:r>
        <w:rPr>
          <w:rFonts w:hint="eastAsia" w:cs="仿宋" w:asciiTheme="minorEastAsia" w:hAnsiTheme="minorEastAsia"/>
          <w:sz w:val="24"/>
        </w:rPr>
        <w:t>】</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0288"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6192;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5168;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sectPr>
          <w:footerReference r:id="rId17"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2024年临江公司链条（标准件）采购</w:t>
      </w:r>
      <w:r>
        <w:rPr>
          <w:rFonts w:hint="eastAsia" w:cs="仿宋" w:asciiTheme="minorEastAsia" w:hAnsiTheme="minorEastAsia"/>
          <w:sz w:val="24"/>
        </w:rPr>
        <w:t>【项目编号：</w:t>
      </w:r>
      <w:r>
        <w:rPr>
          <w:rFonts w:hint="eastAsia" w:cs="仿宋" w:asciiTheme="minorEastAsia" w:hAnsiTheme="minorEastAsia"/>
          <w:sz w:val="24"/>
          <w:u w:val="single"/>
        </w:rPr>
        <w:t xml:space="preserve"> </w:t>
      </w:r>
      <w:r>
        <w:rPr>
          <w:rFonts w:hint="eastAsia" w:cs="仿宋" w:asciiTheme="minorEastAsia" w:hAnsiTheme="minorEastAsia"/>
          <w:sz w:val="24"/>
          <w:u w:val="single"/>
          <w:lang w:eastAsia="zh-CN"/>
        </w:rPr>
        <w:t>202403006</w:t>
      </w:r>
      <w:r>
        <w:rPr>
          <w:rFonts w:hint="eastAsia" w:cs="仿宋" w:asciiTheme="minorEastAsia" w:hAnsiTheme="minorEastAsia"/>
          <w:sz w:val="24"/>
          <w:u w:val="single"/>
        </w:rPr>
        <w:t xml:space="preserve"> </w:t>
      </w:r>
      <w:r>
        <w:rPr>
          <w:rFonts w:hint="eastAsia" w:cs="仿宋" w:asciiTheme="minorEastAsia" w:hAnsiTheme="minorEastAsia"/>
          <w:sz w:val="24"/>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3"/>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6"/>
      </w:pPr>
    </w:p>
    <w:sectPr>
      <w:footerReference r:id="rId18"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abstractNum w:abstractNumId="2">
    <w:nsid w:val="7A28FE7D"/>
    <w:multiLevelType w:val="singleLevel"/>
    <w:tmpl w:val="7A28FE7D"/>
    <w:lvl w:ilvl="0" w:tentative="0">
      <w:start w:val="1"/>
      <w:numFmt w:val="decimal"/>
      <w:lvlText w:val="%1."/>
      <w:lvlJc w:val="left"/>
      <w:pPr>
        <w:tabs>
          <w:tab w:val="left" w:pos="312"/>
        </w:tabs>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5OWYxOWQ1M2RlMTVmMmVlM2ZiNTk4NDdlNjQ4ZjYifQ=="/>
  </w:docVars>
  <w:rsids>
    <w:rsidRoot w:val="002A08F0"/>
    <w:rsid w:val="000D4DB6"/>
    <w:rsid w:val="000E11D3"/>
    <w:rsid w:val="0012167D"/>
    <w:rsid w:val="00130F77"/>
    <w:rsid w:val="001A62E8"/>
    <w:rsid w:val="001C41CA"/>
    <w:rsid w:val="001E571D"/>
    <w:rsid w:val="00217EF4"/>
    <w:rsid w:val="002332BB"/>
    <w:rsid w:val="002A08F0"/>
    <w:rsid w:val="002B71D6"/>
    <w:rsid w:val="00317DA4"/>
    <w:rsid w:val="003B7ECE"/>
    <w:rsid w:val="003C49DA"/>
    <w:rsid w:val="003F4CEE"/>
    <w:rsid w:val="00444C92"/>
    <w:rsid w:val="00455477"/>
    <w:rsid w:val="00486448"/>
    <w:rsid w:val="00503F91"/>
    <w:rsid w:val="00522D3E"/>
    <w:rsid w:val="00593948"/>
    <w:rsid w:val="005C046F"/>
    <w:rsid w:val="005C4B37"/>
    <w:rsid w:val="005D5858"/>
    <w:rsid w:val="005F32A2"/>
    <w:rsid w:val="00633BAC"/>
    <w:rsid w:val="006E6F1E"/>
    <w:rsid w:val="007163EC"/>
    <w:rsid w:val="00724EF8"/>
    <w:rsid w:val="00730BFA"/>
    <w:rsid w:val="00747F93"/>
    <w:rsid w:val="007A4D2A"/>
    <w:rsid w:val="00816543"/>
    <w:rsid w:val="008B6D4C"/>
    <w:rsid w:val="008F7040"/>
    <w:rsid w:val="00932D61"/>
    <w:rsid w:val="009425EA"/>
    <w:rsid w:val="009634C9"/>
    <w:rsid w:val="009C6E5B"/>
    <w:rsid w:val="00A17F6A"/>
    <w:rsid w:val="00A201E8"/>
    <w:rsid w:val="00A37737"/>
    <w:rsid w:val="00B07990"/>
    <w:rsid w:val="00BA572A"/>
    <w:rsid w:val="00BC5E30"/>
    <w:rsid w:val="00BE073D"/>
    <w:rsid w:val="00C263B4"/>
    <w:rsid w:val="00C62C8C"/>
    <w:rsid w:val="00C84F59"/>
    <w:rsid w:val="00C90F67"/>
    <w:rsid w:val="00CA2D01"/>
    <w:rsid w:val="00CA6AE2"/>
    <w:rsid w:val="00D00B44"/>
    <w:rsid w:val="00D04F87"/>
    <w:rsid w:val="00D156F5"/>
    <w:rsid w:val="00D34D6A"/>
    <w:rsid w:val="00DE4A52"/>
    <w:rsid w:val="00DE4D59"/>
    <w:rsid w:val="00DE5FBB"/>
    <w:rsid w:val="00E24900"/>
    <w:rsid w:val="00E46126"/>
    <w:rsid w:val="00EC2995"/>
    <w:rsid w:val="00F4304A"/>
    <w:rsid w:val="00FC1D63"/>
    <w:rsid w:val="00FF6D67"/>
    <w:rsid w:val="023E1286"/>
    <w:rsid w:val="02F77FD6"/>
    <w:rsid w:val="030669ED"/>
    <w:rsid w:val="032B7E17"/>
    <w:rsid w:val="034B5FC8"/>
    <w:rsid w:val="04E634F4"/>
    <w:rsid w:val="05B622F4"/>
    <w:rsid w:val="06803F38"/>
    <w:rsid w:val="07013F3A"/>
    <w:rsid w:val="078B333A"/>
    <w:rsid w:val="07C24B12"/>
    <w:rsid w:val="07D15ABF"/>
    <w:rsid w:val="087E795F"/>
    <w:rsid w:val="09EC7123"/>
    <w:rsid w:val="09ED56C9"/>
    <w:rsid w:val="0BF7590B"/>
    <w:rsid w:val="0C492847"/>
    <w:rsid w:val="0CF31D21"/>
    <w:rsid w:val="0F111837"/>
    <w:rsid w:val="0F81598B"/>
    <w:rsid w:val="0FB91E94"/>
    <w:rsid w:val="0FC25D6B"/>
    <w:rsid w:val="11C46A46"/>
    <w:rsid w:val="12E110C3"/>
    <w:rsid w:val="15CB2DA0"/>
    <w:rsid w:val="166F3635"/>
    <w:rsid w:val="16806E74"/>
    <w:rsid w:val="17AF353E"/>
    <w:rsid w:val="185870FA"/>
    <w:rsid w:val="185A544F"/>
    <w:rsid w:val="18890233"/>
    <w:rsid w:val="190D49C0"/>
    <w:rsid w:val="198737C7"/>
    <w:rsid w:val="19976A31"/>
    <w:rsid w:val="19DC6BDA"/>
    <w:rsid w:val="1AA56FDE"/>
    <w:rsid w:val="1B1B25BA"/>
    <w:rsid w:val="1B7913A6"/>
    <w:rsid w:val="1D61352C"/>
    <w:rsid w:val="1DFA0457"/>
    <w:rsid w:val="1E5F5CBE"/>
    <w:rsid w:val="1E8307F5"/>
    <w:rsid w:val="1F457921"/>
    <w:rsid w:val="20D12777"/>
    <w:rsid w:val="20FB672E"/>
    <w:rsid w:val="213339C4"/>
    <w:rsid w:val="21677697"/>
    <w:rsid w:val="228D26CE"/>
    <w:rsid w:val="22916FA5"/>
    <w:rsid w:val="247C6E9E"/>
    <w:rsid w:val="25650E5F"/>
    <w:rsid w:val="26010880"/>
    <w:rsid w:val="26F15921"/>
    <w:rsid w:val="294E0F60"/>
    <w:rsid w:val="29AE18A7"/>
    <w:rsid w:val="2A6366FF"/>
    <w:rsid w:val="2B3D5BF4"/>
    <w:rsid w:val="2C4141D8"/>
    <w:rsid w:val="2F4D3609"/>
    <w:rsid w:val="2F5836E9"/>
    <w:rsid w:val="30062480"/>
    <w:rsid w:val="30556F21"/>
    <w:rsid w:val="308C5F1F"/>
    <w:rsid w:val="31111553"/>
    <w:rsid w:val="314B6E80"/>
    <w:rsid w:val="32843E96"/>
    <w:rsid w:val="34454474"/>
    <w:rsid w:val="36162BCB"/>
    <w:rsid w:val="36A71B58"/>
    <w:rsid w:val="37103BA1"/>
    <w:rsid w:val="37514AF4"/>
    <w:rsid w:val="377C0298"/>
    <w:rsid w:val="37B04D36"/>
    <w:rsid w:val="39C31C6C"/>
    <w:rsid w:val="3A6303AE"/>
    <w:rsid w:val="3A993EAE"/>
    <w:rsid w:val="3C283344"/>
    <w:rsid w:val="3C485F9D"/>
    <w:rsid w:val="3C7C70D7"/>
    <w:rsid w:val="3C940DD1"/>
    <w:rsid w:val="3E0C6463"/>
    <w:rsid w:val="3EE43BF5"/>
    <w:rsid w:val="403E57B7"/>
    <w:rsid w:val="41163DCF"/>
    <w:rsid w:val="411A0F39"/>
    <w:rsid w:val="415A5C88"/>
    <w:rsid w:val="42112513"/>
    <w:rsid w:val="433C7ACC"/>
    <w:rsid w:val="435518AD"/>
    <w:rsid w:val="43C04259"/>
    <w:rsid w:val="4559568A"/>
    <w:rsid w:val="45A47533"/>
    <w:rsid w:val="46BC402D"/>
    <w:rsid w:val="472961BF"/>
    <w:rsid w:val="475528CD"/>
    <w:rsid w:val="47B265AF"/>
    <w:rsid w:val="496717C4"/>
    <w:rsid w:val="4A063A4F"/>
    <w:rsid w:val="4A875AD1"/>
    <w:rsid w:val="4AE27CAC"/>
    <w:rsid w:val="4B1B2ECF"/>
    <w:rsid w:val="4B6E282F"/>
    <w:rsid w:val="4BAC48C9"/>
    <w:rsid w:val="4BB27DC6"/>
    <w:rsid w:val="4CEA2347"/>
    <w:rsid w:val="4D243428"/>
    <w:rsid w:val="4E1E04FA"/>
    <w:rsid w:val="4EFA25EF"/>
    <w:rsid w:val="4F9246A8"/>
    <w:rsid w:val="4FEB08B0"/>
    <w:rsid w:val="50A13664"/>
    <w:rsid w:val="51937E4D"/>
    <w:rsid w:val="523875F5"/>
    <w:rsid w:val="52506204"/>
    <w:rsid w:val="53FA1DF3"/>
    <w:rsid w:val="54AB2D04"/>
    <w:rsid w:val="557B35BC"/>
    <w:rsid w:val="571F3A0C"/>
    <w:rsid w:val="57F2034A"/>
    <w:rsid w:val="58207565"/>
    <w:rsid w:val="58235318"/>
    <w:rsid w:val="59121C77"/>
    <w:rsid w:val="59D82BC6"/>
    <w:rsid w:val="59DE0E09"/>
    <w:rsid w:val="59DF6851"/>
    <w:rsid w:val="5A283DD0"/>
    <w:rsid w:val="5ACD76EE"/>
    <w:rsid w:val="5AD36B10"/>
    <w:rsid w:val="5B366E46"/>
    <w:rsid w:val="5B3D7F5F"/>
    <w:rsid w:val="5B460326"/>
    <w:rsid w:val="5DBA6A91"/>
    <w:rsid w:val="5F0279C4"/>
    <w:rsid w:val="5F380304"/>
    <w:rsid w:val="5F944466"/>
    <w:rsid w:val="60844C26"/>
    <w:rsid w:val="60A9029A"/>
    <w:rsid w:val="6139287F"/>
    <w:rsid w:val="63CF15A0"/>
    <w:rsid w:val="65295B7D"/>
    <w:rsid w:val="65A92947"/>
    <w:rsid w:val="661A50B7"/>
    <w:rsid w:val="673E5F91"/>
    <w:rsid w:val="67D649B5"/>
    <w:rsid w:val="68ED6365"/>
    <w:rsid w:val="6A4E3ABD"/>
    <w:rsid w:val="6AE63D7E"/>
    <w:rsid w:val="6B462C2B"/>
    <w:rsid w:val="6B8359E9"/>
    <w:rsid w:val="6BD277B9"/>
    <w:rsid w:val="6C321620"/>
    <w:rsid w:val="6DA02882"/>
    <w:rsid w:val="6DA12E69"/>
    <w:rsid w:val="6DBB3B60"/>
    <w:rsid w:val="6F0B4673"/>
    <w:rsid w:val="700E4F44"/>
    <w:rsid w:val="70173239"/>
    <w:rsid w:val="711D3FA5"/>
    <w:rsid w:val="721A5B23"/>
    <w:rsid w:val="72B931C1"/>
    <w:rsid w:val="72F86FD9"/>
    <w:rsid w:val="734A515C"/>
    <w:rsid w:val="738D03F5"/>
    <w:rsid w:val="73E442FB"/>
    <w:rsid w:val="767E5B01"/>
    <w:rsid w:val="778F44F9"/>
    <w:rsid w:val="77F2017E"/>
    <w:rsid w:val="79017606"/>
    <w:rsid w:val="79D7762B"/>
    <w:rsid w:val="79EB254B"/>
    <w:rsid w:val="7BA82ABD"/>
    <w:rsid w:val="7D0A41BC"/>
    <w:rsid w:val="7D0A4B32"/>
    <w:rsid w:val="7D797C2B"/>
    <w:rsid w:val="7DAC6A56"/>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7"/>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First Indent"/>
    <w:basedOn w:val="6"/>
    <w:next w:val="8"/>
    <w:link w:val="30"/>
    <w:autoRedefine/>
    <w:qFormat/>
    <w:uiPriority w:val="0"/>
    <w:pPr>
      <w:ind w:firstLine="420"/>
    </w:pPr>
    <w:rPr>
      <w:rFonts w:hAnsi="Times New Roman" w:cs="Times New Roman"/>
      <w:snapToGrid/>
      <w:szCs w:val="20"/>
    </w:rPr>
  </w:style>
  <w:style w:type="paragraph" w:styleId="8">
    <w:name w:val="toc 6"/>
    <w:basedOn w:val="1"/>
    <w:next w:val="1"/>
    <w:autoRedefine/>
    <w:qFormat/>
    <w:uiPriority w:val="0"/>
    <w:pPr>
      <w:ind w:left="2100" w:leftChars="1000"/>
    </w:p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next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table" w:styleId="15">
    <w:name w:val="Table Grid"/>
    <w:basedOn w:val="14"/>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7">
    <w:name w:val="Table Paragraph"/>
    <w:basedOn w:val="1"/>
    <w:autoRedefine/>
    <w:qFormat/>
    <w:uiPriority w:val="1"/>
    <w:rPr>
      <w:rFonts w:ascii="宋体" w:hAnsi="宋体" w:eastAsia="宋体" w:cs="宋体"/>
      <w:lang w:val="zh-CN" w:bidi="zh-CN"/>
    </w:rPr>
  </w:style>
  <w:style w:type="paragraph" w:customStyle="1" w:styleId="18">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19">
    <w:name w:val="样式1"/>
    <w:basedOn w:val="1"/>
    <w:autoRedefine/>
    <w:qFormat/>
    <w:uiPriority w:val="0"/>
    <w:pPr>
      <w:spacing w:line="360" w:lineRule="exact"/>
      <w:ind w:firstLine="200" w:firstLineChars="200"/>
    </w:pPr>
    <w:rPr>
      <w:rFonts w:ascii="Arial" w:hAnsi="Arial"/>
    </w:rPr>
  </w:style>
  <w:style w:type="paragraph" w:customStyle="1" w:styleId="20">
    <w:name w:val="正文2"/>
    <w:basedOn w:val="1"/>
    <w:autoRedefine/>
    <w:qFormat/>
    <w:uiPriority w:val="0"/>
    <w:pPr>
      <w:spacing w:before="156" w:line="360" w:lineRule="auto"/>
      <w:ind w:firstLine="510" w:firstLineChars="200"/>
    </w:pPr>
    <w:rPr>
      <w:sz w:val="24"/>
      <w:szCs w:val="20"/>
    </w:rPr>
  </w:style>
  <w:style w:type="paragraph" w:customStyle="1" w:styleId="21">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2">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3">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4">
    <w:name w:val="纯文本1"/>
    <w:basedOn w:val="1"/>
    <w:autoRedefine/>
    <w:qFormat/>
    <w:uiPriority w:val="0"/>
    <w:rPr>
      <w:rFonts w:ascii="宋体" w:hAnsi="Courier New"/>
      <w:kern w:val="0"/>
      <w:sz w:val="20"/>
      <w:szCs w:val="20"/>
    </w:rPr>
  </w:style>
  <w:style w:type="paragraph" w:customStyle="1" w:styleId="25">
    <w:name w:val="纯文本_0_0"/>
    <w:basedOn w:val="26"/>
    <w:autoRedefine/>
    <w:qFormat/>
    <w:uiPriority w:val="0"/>
    <w:rPr>
      <w:rFonts w:ascii="宋体" w:hAnsi="Courier New"/>
      <w:szCs w:val="21"/>
    </w:rPr>
  </w:style>
  <w:style w:type="paragraph" w:customStyle="1" w:styleId="26">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7">
    <w:name w:val="List Paragraph"/>
    <w:basedOn w:val="1"/>
    <w:autoRedefine/>
    <w:qFormat/>
    <w:uiPriority w:val="99"/>
    <w:pPr>
      <w:ind w:firstLine="420" w:firstLineChars="200"/>
    </w:pPr>
  </w:style>
  <w:style w:type="paragraph" w:customStyle="1" w:styleId="28">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29">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character" w:customStyle="1" w:styleId="30">
    <w:name w:val="正文文本首行缩进 字符"/>
    <w:basedOn w:val="16"/>
    <w:link w:val="7"/>
    <w:autoRedefine/>
    <w:qFormat/>
    <w:uiPriority w:val="0"/>
    <w:rPr>
      <w:rFonts w:ascii="宋体" w:eastAsiaTheme="minorEastAsia"/>
      <w:kern w:val="2"/>
      <w:sz w:val="24"/>
      <w:lang w:val="zh-CN"/>
    </w:rPr>
  </w:style>
  <w:style w:type="character" w:customStyle="1" w:styleId="31">
    <w:name w:val="font81"/>
    <w:basedOn w:val="16"/>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4460</Words>
  <Characters>25428</Characters>
  <Lines>211</Lines>
  <Paragraphs>59</Paragraphs>
  <TotalTime>27</TotalTime>
  <ScaleCrop>false</ScaleCrop>
  <LinksUpToDate>false</LinksUpToDate>
  <CharactersWithSpaces>29829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陈培</cp:lastModifiedBy>
  <dcterms:modified xsi:type="dcterms:W3CDTF">2024-03-06T07:57:23Z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6A8FEE40B9E14D38A6934ACE40E79C8A_13</vt:lpwstr>
  </property>
</Properties>
</file>