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hint="eastAsia" w:eastAsiaTheme="minorEastAsia"/>
          <w:lang w:eastAsia="zh-CN"/>
        </w:rPr>
      </w:pPr>
      <w:r>
        <w:rPr>
          <w:rFonts w:hint="eastAsia" w:cs="宋体" w:asciiTheme="minorEastAsia" w:hAnsiTheme="minorEastAsia"/>
          <w:sz w:val="48"/>
          <w:szCs w:val="48"/>
          <w:u w:val="single"/>
          <w:lang w:eastAsia="zh-CN"/>
        </w:rPr>
        <w:t>2024年临江公司SKF轴承</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202403011</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cs="仿宋" w:asciiTheme="minorEastAsia" w:hAnsiTheme="minorEastAsia"/>
          <w:sz w:val="32"/>
          <w:szCs w:val="32"/>
        </w:rPr>
        <w:t>2024年</w:t>
      </w:r>
      <w:r>
        <w:rPr>
          <w:rFonts w:hint="eastAsia" w:cs="仿宋" w:asciiTheme="minorEastAsia" w:hAnsiTheme="minorEastAsia"/>
          <w:sz w:val="32"/>
          <w:szCs w:val="32"/>
          <w:lang w:val="en-US" w:eastAsia="zh-CN"/>
        </w:rPr>
        <w:t>3</w:t>
      </w:r>
      <w:r>
        <w:rPr>
          <w:rFonts w:cs="仿宋" w:asciiTheme="minorEastAsia" w:hAnsiTheme="minorEastAsia"/>
          <w:sz w:val="32"/>
          <w:szCs w:val="32"/>
        </w:rPr>
        <w:t>月</w:t>
      </w:r>
      <w:r>
        <w:rPr>
          <w:rFonts w:hint="eastAsia" w:cs="仿宋" w:asciiTheme="minorEastAsia" w:hAnsiTheme="minorEastAsia"/>
          <w:sz w:val="32"/>
          <w:szCs w:val="32"/>
          <w:lang w:val="en-US" w:eastAsia="zh-CN"/>
        </w:rPr>
        <w:t>8</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footerReference r:id="rId5" w:type="first"/>
          <w:headerReference r:id="rId3" w:type="default"/>
          <w:footerReference r:id="rId4"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 xml:space="preserve">第一部分 </w:t>
      </w:r>
      <w:bookmarkStart w:id="1" w:name="_Hlk152939184"/>
      <w:r>
        <w:rPr>
          <w:rFonts w:hint="eastAsia" w:cs="仿宋" w:asciiTheme="minorEastAsia" w:hAnsiTheme="minorEastAsia"/>
          <w:b/>
          <w:sz w:val="36"/>
          <w:szCs w:val="36"/>
        </w:rPr>
        <w:t>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2" w:name="_Toc28359079"/>
      <w:bookmarkStart w:id="3" w:name="_Toc28359002"/>
      <w:bookmarkStart w:id="4" w:name="_Toc35393621"/>
      <w:bookmarkStart w:id="5" w:name="_Toc35393790"/>
      <w:bookmarkStart w:id="6"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2024年临江公司SKF轴承</w:t>
      </w:r>
      <w:r>
        <w:rPr>
          <w:rFonts w:hint="eastAsia" w:cs="仿宋" w:asciiTheme="minorEastAsia" w:hAnsiTheme="minorEastAsia"/>
          <w:sz w:val="24"/>
          <w:u w:val="single"/>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2"/>
      <w:bookmarkEnd w:id="3"/>
      <w:bookmarkEnd w:id="4"/>
      <w:bookmarkEnd w:id="5"/>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202403011</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2024年临江公司SKF轴承</w:t>
      </w:r>
      <w:r>
        <w:rPr>
          <w:rFonts w:hint="eastAsia" w:cs="仿宋" w:asciiTheme="minorEastAsia" w:hAnsiTheme="minorEastAsia"/>
          <w:sz w:val="24"/>
          <w:u w:val="single"/>
        </w:rPr>
        <w:t>采购</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6"/>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29.73</w:t>
      </w:r>
      <w:r>
        <w:rPr>
          <w:rFonts w:hint="eastAsia" w:cs="仿宋" w:asciiTheme="minorEastAsia" w:hAnsiTheme="minorEastAsia"/>
          <w:sz w:val="24"/>
          <w:u w:val="single"/>
          <w:lang w:eastAsia="zh-CN"/>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u w:val="single"/>
        </w:rPr>
      </w:pPr>
      <w:r>
        <w:rPr>
          <w:rFonts w:hint="eastAsia" w:hAnsi="宋体" w:cs="宋体"/>
          <w:bCs/>
          <w:sz w:val="24"/>
          <w:u w:val="single"/>
        </w:rPr>
        <w:t>杭州临江环境能源有限公司因日常生产需要，需采购</w:t>
      </w:r>
      <w:r>
        <w:rPr>
          <w:rFonts w:hint="eastAsia" w:hAnsi="宋体" w:cs="宋体"/>
          <w:bCs/>
          <w:sz w:val="24"/>
          <w:u w:val="single"/>
          <w:lang w:eastAsia="zh-CN"/>
        </w:rPr>
        <w:t>轴承</w:t>
      </w:r>
      <w:r>
        <w:rPr>
          <w:rFonts w:hint="eastAsia" w:hAnsi="宋体" w:cs="宋体"/>
          <w:bCs/>
          <w:sz w:val="24"/>
          <w:u w:val="single"/>
        </w:rPr>
        <w:t>一批。</w:t>
      </w:r>
      <w:r>
        <w:rPr>
          <w:rFonts w:hint="eastAsia" w:cs="仿宋" w:asciiTheme="minorEastAsia" w:hAnsiTheme="minorEastAsia"/>
          <w:sz w:val="24"/>
          <w:u w:val="single"/>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分批供货。在</w:t>
      </w:r>
      <w:r>
        <w:rPr>
          <w:rFonts w:hint="eastAsia" w:hAnsi="宋体" w:cs="宋体"/>
          <w:bCs/>
          <w:sz w:val="24"/>
          <w:u w:val="single"/>
        </w:rPr>
        <w:t>采购人发出送货通知后，成交人</w:t>
      </w:r>
      <w:r>
        <w:rPr>
          <w:rFonts w:hint="eastAsia" w:hAnsi="宋体" w:cs="宋体"/>
          <w:bCs/>
          <w:sz w:val="24"/>
          <w:u w:val="single"/>
          <w:lang w:eastAsia="zh-CN"/>
        </w:rPr>
        <w:t>30个工作日内将货物</w:t>
      </w:r>
      <w:r>
        <w:rPr>
          <w:rFonts w:hint="eastAsia" w:hAnsi="宋体" w:cs="宋体"/>
          <w:bCs/>
          <w:sz w:val="24"/>
          <w:u w:val="single"/>
        </w:rPr>
        <w:t>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7" w:name="_Toc28359003"/>
      <w:bookmarkStart w:id="8" w:name="_Toc35393622"/>
      <w:bookmarkStart w:id="9" w:name="_Toc35393791"/>
      <w:bookmarkStart w:id="10" w:name="_Toc28359080"/>
      <w:r>
        <w:rPr>
          <w:rFonts w:hint="eastAsia" w:cs="仿宋" w:asciiTheme="minorEastAsia" w:hAnsiTheme="minorEastAsia"/>
          <w:b/>
          <w:bCs/>
          <w:sz w:val="24"/>
        </w:rPr>
        <w:t>二、供应商的资格要求：</w:t>
      </w:r>
      <w:bookmarkEnd w:id="7"/>
      <w:bookmarkEnd w:id="8"/>
      <w:bookmarkEnd w:id="9"/>
      <w:bookmarkEnd w:id="10"/>
      <w:bookmarkStart w:id="11" w:name="_Toc28359081"/>
      <w:bookmarkStart w:id="12" w:name="_Toc28359004"/>
      <w:bookmarkStart w:id="13" w:name="_Toc35393623"/>
      <w:bookmarkStart w:id="14" w:name="_Toc35393792"/>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他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3</w:t>
      </w:r>
      <w:r>
        <w:rPr>
          <w:rFonts w:hint="eastAsia" w:cs="仿宋" w:asciiTheme="minorEastAsia" w:hAnsiTheme="minorEastAsia"/>
          <w:bCs/>
          <w:sz w:val="24"/>
        </w:rPr>
        <w:t>.供应商不得为杭州市环境集团有限公司或杭州临江环境能源有限公司不合格供应商或者在黑名单之内。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4</w:t>
      </w:r>
      <w:r>
        <w:rPr>
          <w:rFonts w:hint="eastAsia" w:cs="仿宋" w:asciiTheme="minorEastAsia" w:hAnsiTheme="minorEastAsia"/>
          <w:bCs/>
          <w:sz w:val="24"/>
        </w:rPr>
        <w:t xml:space="preserve">.供应商负责人为同一人或者存在控股、管理关系的不同单位，不得同时参加本项目。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5</w:t>
      </w:r>
      <w:r>
        <w:rPr>
          <w:rFonts w:hint="eastAsia" w:cs="仿宋" w:asciiTheme="minorEastAsia" w:hAnsiTheme="minorEastAsia"/>
          <w:bCs/>
          <w:sz w:val="24"/>
        </w:rPr>
        <w:t>.供应商须提供其股东信息及出资比例信息。</w:t>
      </w:r>
    </w:p>
    <w:p>
      <w:pPr>
        <w:spacing w:line="360" w:lineRule="auto"/>
        <w:ind w:firstLine="480" w:firstLineChars="200"/>
        <w:rPr>
          <w:rFonts w:hint="eastAsia" w:cs="仿宋" w:asciiTheme="minorEastAsia" w:hAnsiTheme="minorEastAsia" w:eastAsiaTheme="minorEastAsia"/>
          <w:bCs/>
          <w:sz w:val="24"/>
          <w:u w:val="single"/>
          <w:lang w:val="en-US" w:eastAsia="zh-CN"/>
        </w:rPr>
      </w:pPr>
      <w:r>
        <w:rPr>
          <w:rFonts w:cs="仿宋" w:asciiTheme="minorEastAsia" w:hAnsiTheme="minorEastAsia"/>
          <w:bCs/>
          <w:sz w:val="24"/>
        </w:rPr>
        <w:t>6.</w:t>
      </w:r>
      <w:r>
        <w:rPr>
          <w:rFonts w:hint="eastAsia" w:cs="仿宋" w:asciiTheme="minorEastAsia" w:hAnsiTheme="minorEastAsia"/>
          <w:bCs/>
          <w:sz w:val="24"/>
        </w:rPr>
        <w:t>本项目特定资格要求：</w:t>
      </w:r>
      <w:r>
        <w:rPr>
          <w:rFonts w:hint="eastAsia" w:cs="仿宋" w:asciiTheme="minorEastAsia" w:hAnsiTheme="minorEastAsia"/>
          <w:bCs/>
          <w:sz w:val="24"/>
          <w:u w:val="single"/>
          <w:lang w:val="en-US" w:eastAsia="zh-CN"/>
        </w:rPr>
        <w:t>无</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1"/>
      <w:bookmarkEnd w:id="12"/>
      <w:bookmarkEnd w:id="13"/>
      <w:bookmarkEnd w:id="14"/>
      <w:r>
        <w:rPr>
          <w:rFonts w:hint="eastAsia" w:cs="仿宋" w:asciiTheme="minorEastAsia" w:hAnsiTheme="minorEastAsia"/>
          <w:b/>
          <w:bCs/>
          <w:sz w:val="24"/>
        </w:rPr>
        <w:t>获取（下载）询价采购文件</w:t>
      </w:r>
    </w:p>
    <w:p>
      <w:pPr>
        <w:spacing w:line="360" w:lineRule="auto"/>
        <w:ind w:firstLine="480" w:firstLineChars="200"/>
        <w:rPr>
          <w:rFonts w:cs="仿宋" w:asciiTheme="minorEastAsia" w:hAnsiTheme="minorEastAsia"/>
          <w:sz w:val="24"/>
        </w:rPr>
      </w:pPr>
      <w:bookmarkStart w:id="15" w:name="_Toc28359005"/>
      <w:bookmarkStart w:id="16" w:name="_Toc28359082"/>
      <w:bookmarkStart w:id="17" w:name="_Toc35393624"/>
      <w:bookmarkStart w:id="18" w:name="_Toc35393793"/>
      <w:r>
        <w:rPr>
          <w:rFonts w:hint="eastAsia" w:cs="仿宋" w:asciiTheme="minorEastAsia" w:hAnsiTheme="minorEastAsia"/>
          <w:sz w:val="24"/>
        </w:rPr>
        <w:t xml:space="preserve">1.时间：报价截止时间前。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2.地点（网址）：杭州临江环境能源有限公司网站（https://www.ljhjny.com/notice.html）。</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3.方式：网站附件免费下载。</w:t>
      </w:r>
    </w:p>
    <w:bookmarkEnd w:id="15"/>
    <w:bookmarkEnd w:id="16"/>
    <w:bookmarkEnd w:id="17"/>
    <w:bookmarkEnd w:id="18"/>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lang w:val="en-US" w:eastAsia="zh-CN"/>
        </w:rPr>
        <w:t>有</w:t>
      </w:r>
      <w:r>
        <w:rPr>
          <w:rFonts w:hint="eastAsia" w:cs="仿宋" w:asciiTheme="minorEastAsia" w:hAnsiTheme="minorEastAsia"/>
          <w:b/>
          <w:bCs/>
          <w:sz w:val="24"/>
        </w:rPr>
        <w:t>询价保证金</w:t>
      </w:r>
      <w:r>
        <w:rPr>
          <w:rFonts w:hint="eastAsia" w:cs="仿宋" w:asciiTheme="minorEastAsia" w:hAnsiTheme="minorEastAsia"/>
          <w:sz w:val="24"/>
          <w:lang w:val="en-US" w:eastAsia="zh-CN"/>
        </w:rPr>
        <w:t>。</w:t>
      </w: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3</w:t>
      </w:r>
      <w:r>
        <w:rPr>
          <w:rFonts w:hint="eastAsia" w:cs="仿宋" w:asciiTheme="minorEastAsia" w:hAnsiTheme="minorEastAsia"/>
          <w:sz w:val="24"/>
          <w:u w:val="single"/>
        </w:rPr>
        <w:t>月</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日</w:t>
      </w:r>
      <w:r>
        <w:rPr>
          <w:rFonts w:cs="仿宋" w:asciiTheme="minorEastAsia" w:hAnsiTheme="minorEastAsia"/>
          <w:bCs/>
          <w:sz w:val="24"/>
          <w:u w:val="single"/>
        </w:rPr>
        <w:t>10</w:t>
      </w:r>
      <w:r>
        <w:rPr>
          <w:rFonts w:hint="eastAsia" w:cs="仿宋" w:asciiTheme="minorEastAsia" w:hAnsiTheme="minorEastAsia"/>
          <w:bCs/>
          <w:sz w:val="24"/>
          <w:u w:val="single"/>
        </w:rPr>
        <w:t>点</w:t>
      </w:r>
      <w:r>
        <w:rPr>
          <w:rFonts w:cs="仿宋" w:asciiTheme="minorEastAsia" w:hAnsiTheme="minorEastAsia"/>
          <w:bCs/>
          <w:sz w:val="24"/>
          <w:u w:val="single"/>
        </w:rPr>
        <w:t>30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3</w:t>
      </w:r>
      <w:r>
        <w:rPr>
          <w:rFonts w:hint="eastAsia" w:cs="仿宋" w:asciiTheme="minorEastAsia" w:hAnsiTheme="minorEastAsia"/>
          <w:sz w:val="24"/>
          <w:u w:val="single"/>
        </w:rPr>
        <w:t>月</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日</w:t>
      </w:r>
      <w:r>
        <w:rPr>
          <w:rFonts w:cs="仿宋" w:asciiTheme="minorEastAsia" w:hAnsiTheme="minorEastAsia"/>
          <w:bCs/>
          <w:sz w:val="24"/>
          <w:u w:val="single"/>
        </w:rPr>
        <w:t>10</w:t>
      </w:r>
      <w:r>
        <w:rPr>
          <w:rFonts w:hint="eastAsia" w:cs="仿宋" w:asciiTheme="minorEastAsia" w:hAnsiTheme="minorEastAsia"/>
          <w:bCs/>
          <w:sz w:val="24"/>
          <w:u w:val="single"/>
        </w:rPr>
        <w:t>点</w:t>
      </w:r>
      <w:r>
        <w:rPr>
          <w:rFonts w:cs="仿宋" w:asciiTheme="minorEastAsia" w:hAnsiTheme="minorEastAsia"/>
          <w:bCs/>
          <w:sz w:val="24"/>
          <w:u w:val="single"/>
        </w:rPr>
        <w:t>30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启采用线上和线下同时进行的方式，供应商可参与现场开启，或者线上参加“腾讯会议”形式参与线上现场开启。开启期间供应商代表通过“腾讯会议”保持全程在线直至开启结束。腾讯会议号在开启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（3）结果确认：在结果确认阶段，本项目采购人通过“腾讯会议”直播间要求各供应商确认开启</w:t>
      </w:r>
      <w:r>
        <w:rPr>
          <w:rFonts w:hint="eastAsia" w:cs="仿宋" w:asciiTheme="minorEastAsia" w:hAnsiTheme="minorEastAsia"/>
          <w:sz w:val="24"/>
          <w:lang w:eastAsia="zh-CN"/>
        </w:rPr>
        <w:t>记录</w:t>
      </w:r>
      <w:r>
        <w:rPr>
          <w:rFonts w:hint="eastAsia" w:cs="仿宋" w:asciiTheme="minorEastAsia" w:hAnsiTheme="minorEastAsia"/>
          <w:sz w:val="24"/>
        </w:rPr>
        <w:t>结果，各供应商</w:t>
      </w:r>
      <w:bookmarkStart w:id="518" w:name="_GoBack"/>
      <w:bookmarkEnd w:id="518"/>
      <w:r>
        <w:rPr>
          <w:rFonts w:hint="eastAsia" w:cs="仿宋" w:asciiTheme="minorEastAsia" w:hAnsiTheme="minorEastAsia"/>
          <w:sz w:val="24"/>
        </w:rPr>
        <w:t>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结果的，默认供应商已确认开启结果），采购人打印开启</w:t>
      </w:r>
      <w:r>
        <w:rPr>
          <w:rFonts w:hint="eastAsia" w:cs="仿宋" w:asciiTheme="minorEastAsia" w:hAnsiTheme="minorEastAsia"/>
          <w:sz w:val="24"/>
          <w:lang w:eastAsia="zh-CN"/>
        </w:rPr>
        <w:t>记录</w:t>
      </w:r>
      <w:r>
        <w:rPr>
          <w:rFonts w:hint="eastAsia" w:cs="仿宋" w:asciiTheme="minorEastAsia" w:hAnsiTheme="minorEastAsia"/>
          <w:sz w:val="24"/>
        </w:rPr>
        <w:t>，宣布开启会议结束，并负责保存“腾讯会议”录像。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（4）见证要求：开启期间供应商因未参与现场开启或者未参加线上直播，视为认可全过程和结果，不得提出异议。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（5）异议处理：供应商对开启过程有异议的，应在开启会议结束前通过“腾讯会议”在线上提出，采购人应现场予以答复，并做好记录。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ljgsbjzy@163.com质疑</w:t>
      </w:r>
      <w:r>
        <w:rPr>
          <w:rFonts w:hint="eastAsia" w:cs="仿宋" w:asciiTheme="minorEastAsia" w:hAnsiTheme="minorEastAsia"/>
          <w:sz w:val="24"/>
        </w:rPr>
        <w:t>，同时联系本项目采购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联系人：华 </w:t>
      </w:r>
      <w:r>
        <w:rPr>
          <w:rFonts w:cs="仿宋" w:asciiTheme="minorEastAsia" w:hAnsiTheme="minorEastAsia"/>
          <w:sz w:val="24"/>
        </w:rPr>
        <w:t xml:space="preserve"> </w:t>
      </w:r>
      <w:r>
        <w:rPr>
          <w:rFonts w:hint="eastAsia" w:cs="仿宋" w:asciiTheme="minorEastAsia" w:hAnsiTheme="minorEastAsia"/>
          <w:sz w:val="24"/>
        </w:rPr>
        <w:t xml:space="preserve">亮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cs="仿宋" w:asciiTheme="minorEastAsia" w:hAnsiTheme="minorEastAsia"/>
          <w:sz w:val="24"/>
        </w:rPr>
        <w:t>15857174171</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320" w:firstLineChars="1800"/>
        <w:rPr>
          <w:rFonts w:cs="仿宋" w:asciiTheme="minorEastAsia" w:hAnsiTheme="minorEastAsia"/>
          <w:b/>
          <w:bCs/>
          <w:sz w:val="36"/>
          <w:szCs w:val="36"/>
        </w:rPr>
      </w:pPr>
      <w:r>
        <w:rPr>
          <w:rFonts w:hint="eastAsia" w:cs="仿宋" w:asciiTheme="minorEastAsia" w:hAnsiTheme="minorEastAsia"/>
          <w:sz w:val="24"/>
        </w:rPr>
        <w:t>2024年</w:t>
      </w:r>
      <w:r>
        <w:rPr>
          <w:rFonts w:hint="eastAsia" w:cs="仿宋" w:asciiTheme="minorEastAsia" w:hAnsiTheme="minorEastAsia"/>
          <w:sz w:val="24"/>
          <w:lang w:val="en-US" w:eastAsia="zh-CN"/>
        </w:rPr>
        <w:t>3</w:t>
      </w:r>
      <w:r>
        <w:rPr>
          <w:rFonts w:hint="eastAsia" w:cs="仿宋" w:asciiTheme="minorEastAsia" w:hAnsiTheme="minorEastAsia"/>
          <w:sz w:val="24"/>
        </w:rPr>
        <w:t>月</w:t>
      </w:r>
      <w:r>
        <w:rPr>
          <w:rFonts w:hint="eastAsia" w:cs="仿宋" w:asciiTheme="minorEastAsia" w:hAnsiTheme="minorEastAsia"/>
          <w:sz w:val="24"/>
          <w:lang w:val="en-US" w:eastAsia="zh-CN"/>
        </w:rPr>
        <w:t>8</w:t>
      </w:r>
      <w:r>
        <w:rPr>
          <w:rFonts w:hint="eastAsia" w:cs="仿宋" w:asciiTheme="minorEastAsia" w:hAnsiTheme="minorEastAsia"/>
          <w:sz w:val="24"/>
        </w:rPr>
        <w:t>日</w:t>
      </w:r>
      <w:bookmarkEnd w:id="1"/>
      <w:r>
        <w:rPr>
          <w:rFonts w:cs="仿宋" w:asciiTheme="minorEastAsia" w:hAnsiTheme="minorEastAsia"/>
          <w:b/>
          <w:bCs/>
          <w:sz w:val="36"/>
          <w:szCs w:val="36"/>
        </w:rPr>
        <w:br w:type="page"/>
      </w: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8"/>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8"/>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2" w:char="00A3"/>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5900</w:t>
            </w:r>
            <w:r>
              <w:rPr>
                <w:rFonts w:hint="eastAsia" w:ascii="宋体" w:hAnsi="宋体" w:eastAsia="宋体" w:cs="宋体"/>
                <w:szCs w:val="21"/>
                <w:u w:val="single"/>
              </w:rPr>
              <w:t xml:space="preserve"> </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lang w:eastAsia="zh-CN"/>
              </w:rPr>
              <w:t>2024年临江公司SKF轴承</w:t>
            </w:r>
            <w:r>
              <w:rPr>
                <w:rFonts w:hint="eastAsia" w:ascii="宋体" w:hAnsi="宋体" w:eastAsia="宋体" w:cs="宋体"/>
                <w:b/>
                <w:bCs/>
                <w:szCs w:val="21"/>
                <w:u w:val="single"/>
              </w:rPr>
              <w:t xml:space="preserve">采购项目 </w:t>
            </w:r>
            <w:r>
              <w:rPr>
                <w:rFonts w:hint="eastAsia" w:ascii="宋体" w:hAnsi="宋体" w:eastAsia="宋体" w:cs="宋体"/>
                <w:b/>
                <w:bCs/>
                <w:szCs w:val="21"/>
              </w:rPr>
              <w:t>询价保证金</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推荐成交候选人的人数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0"/>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0"/>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履约保证金有效期限：履约保证金将在本项目合同到期或终止后，扣除成交人应承担的违约金、损失赔偿金等款项后经成交人申请30个工作日后无息退还。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是否分册装订：</w:t>
            </w:r>
          </w:p>
          <w:p>
            <w:pPr>
              <w:pStyle w:val="18"/>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8"/>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8"/>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widowControl/>
        <w:jc w:val="left"/>
        <w:rPr>
          <w:rFonts w:cs="仿宋" w:asciiTheme="minorEastAsia" w:hAnsiTheme="minorEastAsia"/>
          <w:b/>
          <w:sz w:val="32"/>
          <w:szCs w:val="20"/>
        </w:rPr>
      </w:pPr>
      <w:r>
        <w:rPr>
          <w:rFonts w:cs="仿宋" w:asciiTheme="minorEastAsia" w:hAnsiTheme="minorEastAsia"/>
          <w:b/>
          <w:sz w:val="32"/>
          <w:szCs w:val="20"/>
        </w:rPr>
        <w:br w:type="page"/>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w:t>
      </w:r>
      <w:r>
        <w:rPr>
          <w:rFonts w:hint="eastAsia" w:cs="仿宋" w:asciiTheme="minorEastAsia" w:hAnsiTheme="minorEastAsia"/>
          <w:sz w:val="24"/>
          <w:lang w:eastAsia="zh-CN"/>
        </w:rPr>
        <w:t>法律法规</w:t>
      </w:r>
      <w:r>
        <w:rPr>
          <w:rFonts w:hint="eastAsia" w:cs="仿宋" w:asciiTheme="minorEastAsia" w:hAnsiTheme="minorEastAsia"/>
          <w:sz w:val="24"/>
        </w:rPr>
        <w:t>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“成交人”系指是指经采购人确定的本项目供应商。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eastAsia="zh-CN"/>
        </w:rPr>
        <w:t>截止前</w:t>
      </w:r>
      <w:r>
        <w:rPr>
          <w:rFonts w:hint="eastAsia" w:cs="仿宋" w:asciiTheme="minorEastAsia" w:hAnsiTheme="minorEastAsia"/>
          <w:b/>
          <w:sz w:val="24"/>
          <w:szCs w:val="24"/>
        </w:rPr>
        <w:t>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2"/>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15.1采购人按照询价采购文件规定的时间组织响应文件的开启，邀请所有供应商参加开启。供应商不足3家或者缴纳询价保证金少于3家（若有要求）的，不得开启拆封响应文件。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9"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2"/>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2"/>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个工作日内，与成交供应商按照询价采购文件确定的事项签订采购合同。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widowControl/>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供应商的询价保证金将在采购人与成交人签订合同并按要求缴纳履约保证金后全额无息退还。退保证金前，供应商必须提供加盖公章或财务专用章的收款收据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2"/>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2"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rPr>
          <w:rFonts w:hint="eastAsia"/>
          <w:lang w:val="en-US"/>
        </w:rPr>
      </w:pPr>
      <w:r>
        <w:rPr>
          <w:rFonts w:hint="eastAsia"/>
          <w:lang w:val="en-US"/>
        </w:rPr>
        <w:t>杭州临江环境能源有限公司因日常生产需要，需采购</w:t>
      </w:r>
      <w:r>
        <w:rPr>
          <w:rFonts w:hint="eastAsia"/>
          <w:lang w:val="en-US" w:eastAsia="zh-CN"/>
        </w:rPr>
        <w:t>轴承</w:t>
      </w:r>
      <w:r>
        <w:rPr>
          <w:rFonts w:hint="eastAsia"/>
          <w:lang w:val="en-US"/>
        </w:rPr>
        <w:t>一批，具体如下：</w:t>
      </w:r>
    </w:p>
    <w:tbl>
      <w:tblPr>
        <w:tblStyle w:val="15"/>
        <w:tblW w:w="84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5"/>
        <w:gridCol w:w="1080"/>
        <w:gridCol w:w="1125"/>
        <w:gridCol w:w="2820"/>
        <w:gridCol w:w="1305"/>
        <w:gridCol w:w="705"/>
        <w:gridCol w:w="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型号规格</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需求部门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51210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51308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51405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1313K</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轴承组件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1313K+H213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20604000060  UCF208 铸铁带座轴承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20604000060  UCF208铸铁带座轴承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22213ck</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22216ck</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轴承组件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22216ck+H316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22218ck</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22220CA/W33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22220ck</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轴承组件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22220ck+H320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22222C/W33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22222ck</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轴承组件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22222ck+H322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22222K</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轴承组件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22222K+H322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22224ck</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22230CC/W33 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22316CA/C3W33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22326CC/W33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2236EC</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23022CA/W33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23036CA/W33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23140CA/W33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23248CC/W33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29328E</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3201免维护轴承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32036X圆锥滚子轴承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3314-2RS P6 胶盖免维护轴承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3315-2RSTNG/P6 胶盖免维护轴承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6001-2Z/C3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6002-2Z/C3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6003-2Z/C3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6004-2Z/C3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6005-2Z/C3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6006-2Z/C3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6007-2RS1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6007-2Z/C3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6008-2Z/C3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6009-2Z/C3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6010-2Z/C3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6011-2Z/C3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6012-2Z/C3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6013-2Z/C3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6014-2Z/C3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6015-2Z/C3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6022/C3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6036M/C3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6038M/C3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6200-2Z/C3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6201-2Z/C3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6202-2Z/C3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6202RZ</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6203-2Z/C3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6204-2Z/C3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6205-2Z/C3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6205N</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6206-2Z/C3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6206DDU/C3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6206RZ-C3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6207-2Z/C3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6207DDU/C3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6207E-RS</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6207免维护轴承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6208 2RZ-C3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6208-2Z/ 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6208-2Z/C3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6208N</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6209 -2Z/ 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6209-2RZ/C3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6209-2Z/C3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6209-2Z/C3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6210-2Z/C3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6211-2Z/C3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6211N</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6212-2Z/C3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6213-2Z/C3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6213N</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6214-2Z/C3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6214-2Z/C3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6215-2Z/C3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6220/C3深沟球轴承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6224/C3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6228/ 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6300-2Z/C3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6301-2Z/C3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6302-2Z/C3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6303-2Z/C3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6304-2Z/C3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6304RS</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6305 / 2Z / 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6305-2Z/C3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6305免维护轴承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6306-2RZ/ 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6306-2Z/C3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6307-2Z 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0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6307RZ</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6307免维护轴承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6308-2Z/C3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6308免维护轴承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6309 /2Z/ 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6309-2Z/C3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6310-2Z/C3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6311-2Z</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6311-2Z/C3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6312/C3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6312-2Z/C3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6312-2Z/C3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6312zz</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6313/C3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6313-2Z/C3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6313ZZ；SKF</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6314 2RS1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6314/C3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6314-2Z/C3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6314ZZ；SKF</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6315-2Z</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6315-2Z/C3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6316 /C3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6316/C3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6316-2Z /C3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6316-2Z/C3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6317/C3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6317-2Z/C3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6318/C3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6318-2Z/C3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6319 /C3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6319-2Z/C3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6320-2Z/C3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6321-C3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6322/C3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6322-C3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6322-C3，insulate</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6324/CVL0241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6328-C3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6332-C3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6406-2Z/C3,内径30*外径90*厚度23mm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7209ACTA/PS DBB</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7210 078R 12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7212BECB</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7214AC</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7217AMK角接触轴承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7224免维护轴承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7236 BCBM AUSTRIA 158R</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7306免维护轴承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7308  BECBM  156S，铜保持器,内径40*外径90*厚23mm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7308免维护轴承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7310免维护轴承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7315 AC</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7315AC</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C2226 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GEEE70ES关节轴承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NA4918滚针轴承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NJ215EM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NJ2212E</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NU1022/C3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NU1036M/C3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NU1038M/C3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NU215EM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NU216ECP</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NU217/C3圆柱滚子轴承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NU220EMNSK圆柱滚子轴承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NU228 /C3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NU315EM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NU315EM圆柱滚子轴承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NU319EMC3Z1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NU322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NU324/C3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NUKR40/不锈钢(304)带座轴承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NUKR47/碳钢带座轴承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RN205M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RN307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RN309-M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RN312M，内径60*外径113*厚度31mm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轴承组件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SN522+22222ck+H322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UCF210 (GB/T7810)带座轴承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UCF210/不锈钢(304)(GB/T7810)带座轴承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UCF212/铸铁 (GB/T7810)带座轴承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UCFB206/不锈钢(201)(GB/T7810)带座轴承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UCFL204/不锈钢(201)(GB/T7810)带座轴承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UCP211D1/铸铁 带座轴承 (GB/T7810)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UCP214D1/铸铁 带座轴承 (GB/T7810)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UCP318带座轴承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YAR214-2F 外球面轴承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带座轴承 20604002381  UCP208/不锈钢(304) (GB/T7810)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调心滚子轴承 22212CC/W33；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角接触球7312BECBM</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深沟球6213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推力球轴承51209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型号：6307-ZZ；参数：铁盖，耐高温；</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型号：6316/C3Z2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圆柱滚子NU213 ECJ</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r>
    </w:tbl>
    <w:p>
      <w:pPr>
        <w:pStyle w:val="2"/>
        <w:rPr>
          <w:rFonts w:hint="eastAsia"/>
          <w:lang w:val="en-US"/>
        </w:rPr>
      </w:pP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7"/>
        <w:ind w:firstLine="480" w:firstLineChars="200"/>
        <w:rPr>
          <w:lang w:val="en-US"/>
        </w:rPr>
      </w:pPr>
      <w:r>
        <w:rPr>
          <w:rFonts w:hint="eastAsia"/>
          <w:lang w:val="en-US"/>
        </w:rPr>
        <w:t>1.合同期限：</w:t>
      </w:r>
      <w:r>
        <w:rPr>
          <w:rFonts w:hint="eastAsia" w:ascii="宋体" w:hAnsi="宋体" w:cs="宋体"/>
          <w:sz w:val="24"/>
          <w:u w:val="single"/>
        </w:rPr>
        <w:t>自合同签订后12个月</w:t>
      </w:r>
      <w:r>
        <w:rPr>
          <w:rFonts w:hint="eastAsia"/>
          <w:lang w:val="en-US"/>
        </w:rPr>
        <w:t>；</w:t>
      </w:r>
    </w:p>
    <w:p>
      <w:pPr>
        <w:pStyle w:val="7"/>
        <w:ind w:firstLine="480" w:firstLineChars="200"/>
        <w:rPr>
          <w:rFonts w:hAnsi="宋体" w:cs="宋体"/>
          <w:highlight w:val="yellow"/>
        </w:rPr>
      </w:pPr>
      <w:r>
        <w:rPr>
          <w:rFonts w:hint="eastAsia"/>
          <w:lang w:val="en-US"/>
        </w:rPr>
        <w:t>2.履约方式：</w:t>
      </w:r>
      <w:r>
        <w:rPr>
          <w:rFonts w:hint="eastAsia" w:ascii="宋体" w:hAnsi="宋体" w:cs="宋体"/>
          <w:sz w:val="24"/>
          <w:u w:val="single"/>
          <w:lang w:val="en-US" w:eastAsia="zh-CN"/>
        </w:rPr>
        <w:t>分批</w:t>
      </w:r>
      <w:r>
        <w:rPr>
          <w:rFonts w:hint="eastAsia" w:ascii="宋体" w:hAnsi="宋体" w:cs="宋体"/>
          <w:sz w:val="24"/>
          <w:u w:val="single"/>
          <w:lang w:val="en-US"/>
        </w:rPr>
        <w:t>供货</w:t>
      </w:r>
      <w:r>
        <w:rPr>
          <w:rFonts w:hint="eastAsia" w:ascii="宋体" w:hAnsi="宋体" w:cs="宋体"/>
          <w:sz w:val="24"/>
          <w:u w:val="single"/>
        </w:rPr>
        <w:t>。在采购人发出送货通知后，成交人</w:t>
      </w:r>
      <w:r>
        <w:rPr>
          <w:rFonts w:hint="eastAsia" w:ascii="宋体" w:hAnsi="宋体" w:cs="宋体"/>
          <w:sz w:val="24"/>
          <w:u w:val="single"/>
          <w:lang w:val="en-US" w:eastAsia="zh-CN"/>
        </w:rPr>
        <w:t>30个工作日内将货物</w:t>
      </w:r>
      <w:r>
        <w:rPr>
          <w:rFonts w:hint="eastAsia" w:ascii="宋体" w:hAnsi="宋体" w:cs="宋体"/>
          <w:sz w:val="24"/>
          <w:u w:val="single"/>
        </w:rPr>
        <w:t>如数送至采购人指定地点；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ind w:firstLine="480" w:firstLineChars="200"/>
        <w:rPr>
          <w:lang w:val="en-US"/>
        </w:rPr>
      </w:pPr>
      <w:r>
        <w:rPr>
          <w:rFonts w:hint="eastAsia"/>
          <w:lang w:val="en-US"/>
        </w:rPr>
        <w:t>1.品牌和型号等技术参数满足采购内容中的规格型号/技术要求；品牌要求：可从推荐品牌中选择任一个品牌并选择与</w:t>
      </w:r>
      <w:r>
        <w:rPr>
          <w:rFonts w:hint="eastAsia" w:hAnsi="宋体" w:cs="宋体"/>
          <w:color w:val="000000"/>
          <w:kern w:val="0"/>
        </w:rPr>
        <w:t>之匹配的型号参与报价；如</w:t>
      </w:r>
      <w:r>
        <w:rPr>
          <w:rFonts w:hint="eastAsia" w:cs="仿宋" w:asciiTheme="minorEastAsia" w:hAnsiTheme="minorEastAsia"/>
        </w:rPr>
        <w:t>供应商报价</w:t>
      </w:r>
      <w:r>
        <w:rPr>
          <w:rFonts w:hint="eastAsia" w:hAnsi="宋体" w:cs="宋体"/>
          <w:color w:val="000000"/>
          <w:kern w:val="0"/>
        </w:rPr>
        <w:t>时，选择了其他品牌/厂家，则</w:t>
      </w:r>
      <w:r>
        <w:rPr>
          <w:rFonts w:hint="eastAsia" w:cs="仿宋" w:asciiTheme="minorEastAsia" w:hAnsiTheme="minorEastAsia"/>
        </w:rPr>
        <w:t>供应商</w:t>
      </w:r>
      <w:r>
        <w:rPr>
          <w:rFonts w:hint="eastAsia" w:hAnsi="宋体" w:cs="宋体"/>
          <w:color w:val="000000"/>
          <w:kern w:val="0"/>
        </w:rPr>
        <w:t>需提供所投品牌同档次或优于推荐品牌/厂家的相关证明材料。由评审小组判定</w:t>
      </w:r>
      <w:r>
        <w:rPr>
          <w:rFonts w:hint="eastAsia" w:cs="仿宋" w:asciiTheme="minorEastAsia" w:hAnsiTheme="minorEastAsia"/>
        </w:rPr>
        <w:t>供应商</w:t>
      </w:r>
      <w:r>
        <w:rPr>
          <w:rFonts w:hint="eastAsia" w:hAnsi="宋体" w:cs="宋体"/>
          <w:color w:val="000000"/>
          <w:kern w:val="0"/>
        </w:rPr>
        <w:t>提供的其他投标产品是否属于同等档次品牌。</w:t>
      </w:r>
    </w:p>
    <w:p>
      <w:pPr>
        <w:pStyle w:val="7"/>
        <w:ind w:firstLine="480" w:firstLineChars="200"/>
        <w:rPr>
          <w:lang w:val="en-US"/>
        </w:rPr>
      </w:pPr>
      <w:r>
        <w:rPr>
          <w:rFonts w:hint="eastAsia"/>
          <w:lang w:val="en-US"/>
        </w:rPr>
        <w:t>2.</w:t>
      </w:r>
      <w:r>
        <w:rPr>
          <w:rFonts w:hint="eastAsia" w:cs="仿宋" w:asciiTheme="minorEastAsia" w:hAnsiTheme="minorEastAsia"/>
        </w:rPr>
        <w:t>供应商</w:t>
      </w:r>
      <w:r>
        <w:rPr>
          <w:rFonts w:hint="eastAsia"/>
          <w:lang w:val="en-US"/>
        </w:rPr>
        <w:t>提供的</w:t>
      </w:r>
      <w:r>
        <w:rPr>
          <w:rFonts w:hint="eastAsia"/>
          <w:lang w:val="en-US" w:eastAsia="zh-CN"/>
        </w:rPr>
        <w:t>轴承</w:t>
      </w:r>
      <w:r>
        <w:rPr>
          <w:rFonts w:hint="eastAsia"/>
          <w:lang w:val="en-US"/>
        </w:rPr>
        <w:t>必须为原厂正品，不得为假冒伪劣产品。</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ind w:firstLine="480" w:firstLineChars="200"/>
        <w:rPr>
          <w:rFonts w:hint="eastAsia"/>
          <w:lang w:val="en-US"/>
        </w:rPr>
      </w:pPr>
      <w:r>
        <w:rPr>
          <w:rFonts w:hint="eastAsia"/>
          <w:lang w:val="en-US" w:eastAsia="zh-CN"/>
        </w:rPr>
        <w:t>1.</w:t>
      </w:r>
      <w:r>
        <w:rPr>
          <w:rFonts w:hint="eastAsia"/>
          <w:lang w:val="en-US"/>
        </w:rPr>
        <w:t>供应商须提供该批次货物出厂检验合格报告或合格证或原厂质量证明和送货单，配合采购人做好货物的到货数量验收工作，将货物运达采购人指定交货地点后及时书面通知采购人。</w:t>
      </w:r>
    </w:p>
    <w:p>
      <w:pPr>
        <w:pStyle w:val="7"/>
        <w:ind w:firstLine="480" w:firstLineChars="200"/>
        <w:rPr>
          <w:rFonts w:hint="eastAsia"/>
          <w:lang w:val="en-US"/>
        </w:rPr>
      </w:pPr>
      <w:r>
        <w:rPr>
          <w:rFonts w:hint="eastAsia"/>
          <w:lang w:val="en-US"/>
        </w:rPr>
        <w:t>2.中标人提供轴承上游供货方的发票、合同（与本次采购的品种、数量、品牌、时间相符合），该上游供货方须为该品牌的授权经销商，同时提供品牌经销授权书。</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ind w:firstLine="480" w:firstLineChars="200"/>
        <w:rPr>
          <w:lang w:val="en-US"/>
        </w:rPr>
      </w:pPr>
      <w:r>
        <w:rPr>
          <w:rFonts w:hint="eastAsia"/>
          <w:lang w:val="en-US"/>
        </w:rPr>
        <w:t>1</w:t>
      </w:r>
      <w:r>
        <w:rPr>
          <w:lang w:val="en-US"/>
        </w:rPr>
        <w:t>.</w:t>
      </w:r>
      <w:r>
        <w:rPr>
          <w:rFonts w:hint="eastAsia"/>
          <w:lang w:val="en-US"/>
        </w:rPr>
        <w:t>在采购人发出送货通知后，成交人</w:t>
      </w:r>
      <w:r>
        <w:rPr>
          <w:rFonts w:hint="eastAsia"/>
          <w:lang w:val="en-US" w:eastAsia="zh-CN"/>
        </w:rPr>
        <w:t>30个工作日内将货物</w:t>
      </w:r>
      <w:r>
        <w:rPr>
          <w:rFonts w:hint="eastAsia"/>
          <w:lang w:val="en-US"/>
        </w:rPr>
        <w:t>如数送至采购人指定地点。</w:t>
      </w:r>
    </w:p>
    <w:p>
      <w:pPr>
        <w:pStyle w:val="8"/>
        <w:rPr>
          <w:rFonts w:hAnsi="Arial" w:cs="Arial"/>
          <w:snapToGrid w:val="0"/>
          <w:szCs w:val="21"/>
          <w:lang w:val="en-US"/>
        </w:rPr>
      </w:pPr>
      <w:r>
        <w:rPr>
          <w:rFonts w:hint="eastAsia" w:hAnsi="Arial" w:cs="Arial"/>
          <w:snapToGrid w:val="0"/>
          <w:szCs w:val="21"/>
          <w:lang w:val="en-US"/>
        </w:rPr>
        <w:t>2</w:t>
      </w:r>
      <w:r>
        <w:rPr>
          <w:rFonts w:hAnsi="Arial" w:cs="Arial"/>
          <w:snapToGrid w:val="0"/>
          <w:szCs w:val="21"/>
          <w:lang w:val="en-US"/>
        </w:rPr>
        <w:t>.</w:t>
      </w:r>
      <w:r>
        <w:rPr>
          <w:rFonts w:hint="eastAsia" w:hAnsi="Arial" w:cs="Arial"/>
          <w:snapToGrid w:val="0"/>
          <w:szCs w:val="21"/>
          <w:lang w:val="en-US"/>
        </w:rPr>
        <w:t>质保期：验收合格后1年。</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成交人必须满足采购人售后服务要求。如使用过程发生问题，成交人须在接到采购人通知后必须4小时内赶到现场进行处理，12小时内做出书面答复并提供解决方案。若需要派遣技术人员，则应在接到采购人通知后,24小时内派人员到达现场进行免费指导解决问题。</w:t>
      </w:r>
    </w:p>
    <w:p>
      <w:pPr>
        <w:pStyle w:val="7"/>
        <w:ind w:firstLine="480" w:firstLineChars="200"/>
        <w:rPr>
          <w:lang w:val="en-US"/>
        </w:rPr>
      </w:pPr>
      <w:r>
        <w:rPr>
          <w:rFonts w:hint="eastAsia"/>
          <w:lang w:val="en-US"/>
        </w:rPr>
        <w:t>2.采购人不再对任何售后服务进行付费。成交人的派遣人员产生的一切费用由供应商承担。</w:t>
      </w: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14472"/>
      <w:bookmarkEnd w:id="20"/>
      <w:bookmarkStart w:id="21" w:name="_Toc184313297"/>
      <w:bookmarkEnd w:id="21"/>
      <w:bookmarkStart w:id="22" w:name="_Toc184308102"/>
      <w:bookmarkEnd w:id="22"/>
      <w:bookmarkStart w:id="23" w:name="_Toc184310341"/>
      <w:bookmarkEnd w:id="23"/>
      <w:bookmarkStart w:id="24" w:name="_Toc184312109"/>
      <w:bookmarkEnd w:id="24"/>
      <w:bookmarkStart w:id="25" w:name="_Toc184313248"/>
      <w:bookmarkEnd w:id="25"/>
      <w:bookmarkStart w:id="26" w:name="_Toc184310336"/>
      <w:bookmarkEnd w:id="26"/>
      <w:bookmarkStart w:id="27" w:name="_Toc184313240"/>
      <w:bookmarkEnd w:id="27"/>
      <w:bookmarkStart w:id="28" w:name="_Toc184314464"/>
      <w:bookmarkEnd w:id="28"/>
      <w:bookmarkStart w:id="29" w:name="_Toc184310332"/>
      <w:bookmarkEnd w:id="29"/>
      <w:bookmarkStart w:id="30" w:name="_Toc184310289"/>
      <w:bookmarkEnd w:id="30"/>
      <w:bookmarkStart w:id="31" w:name="_Toc184314476"/>
      <w:bookmarkEnd w:id="31"/>
      <w:bookmarkStart w:id="32" w:name="_Toc184314453"/>
      <w:bookmarkEnd w:id="32"/>
      <w:bookmarkStart w:id="33" w:name="_Toc184310279"/>
      <w:bookmarkEnd w:id="33"/>
      <w:bookmarkStart w:id="34" w:name="_Toc184312096"/>
      <w:bookmarkEnd w:id="34"/>
      <w:bookmarkStart w:id="35" w:name="_Toc184310299"/>
      <w:bookmarkEnd w:id="35"/>
      <w:bookmarkStart w:id="36" w:name="_Toc184308085"/>
      <w:bookmarkEnd w:id="36"/>
      <w:bookmarkStart w:id="37" w:name="_Toc184313276"/>
      <w:bookmarkEnd w:id="37"/>
      <w:bookmarkStart w:id="38" w:name="_Toc184313249"/>
      <w:bookmarkEnd w:id="38"/>
      <w:bookmarkStart w:id="39" w:name="_Toc184308083"/>
      <w:bookmarkEnd w:id="39"/>
      <w:bookmarkStart w:id="40" w:name="_Toc184312081"/>
      <w:bookmarkEnd w:id="40"/>
      <w:bookmarkStart w:id="41" w:name="_Toc184314418"/>
      <w:bookmarkEnd w:id="41"/>
      <w:bookmarkStart w:id="42" w:name="_Toc184312134"/>
      <w:bookmarkEnd w:id="42"/>
      <w:bookmarkStart w:id="43" w:name="_Toc184312075"/>
      <w:bookmarkEnd w:id="43"/>
      <w:bookmarkStart w:id="44" w:name="_Toc184312120"/>
      <w:bookmarkEnd w:id="44"/>
      <w:bookmarkStart w:id="45" w:name="_Toc184313300"/>
      <w:bookmarkEnd w:id="45"/>
      <w:bookmarkStart w:id="46" w:name="_Toc184314469"/>
      <w:bookmarkEnd w:id="46"/>
      <w:bookmarkStart w:id="47" w:name="_Toc184308084"/>
      <w:bookmarkEnd w:id="47"/>
      <w:bookmarkStart w:id="48" w:name="_Toc184314445"/>
      <w:bookmarkEnd w:id="48"/>
      <w:bookmarkStart w:id="49" w:name="_Toc184312107"/>
      <w:bookmarkEnd w:id="49"/>
      <w:bookmarkStart w:id="50" w:name="_Toc184313298"/>
      <w:bookmarkEnd w:id="50"/>
      <w:bookmarkStart w:id="51" w:name="_Toc184310305"/>
      <w:bookmarkEnd w:id="51"/>
      <w:bookmarkStart w:id="52" w:name="_Toc184314473"/>
      <w:bookmarkEnd w:id="52"/>
      <w:bookmarkStart w:id="53" w:name="_Toc184314444"/>
      <w:bookmarkEnd w:id="53"/>
      <w:bookmarkStart w:id="54" w:name="_Toc184308054"/>
      <w:bookmarkEnd w:id="54"/>
      <w:bookmarkStart w:id="55" w:name="_Toc184314463"/>
      <w:bookmarkEnd w:id="55"/>
      <w:bookmarkStart w:id="56" w:name="_Toc184310283"/>
      <w:bookmarkEnd w:id="56"/>
      <w:bookmarkStart w:id="57" w:name="_Toc184314465"/>
      <w:bookmarkEnd w:id="57"/>
      <w:bookmarkStart w:id="58" w:name="_Toc184308072"/>
      <w:bookmarkEnd w:id="58"/>
      <w:bookmarkStart w:id="59" w:name="_Toc184312113"/>
      <w:bookmarkEnd w:id="59"/>
      <w:bookmarkStart w:id="60" w:name="_Toc184314457"/>
      <w:bookmarkEnd w:id="60"/>
      <w:bookmarkStart w:id="61" w:name="_Toc184314434"/>
      <w:bookmarkEnd w:id="61"/>
      <w:bookmarkStart w:id="62" w:name="_Toc184308097"/>
      <w:bookmarkEnd w:id="62"/>
      <w:bookmarkStart w:id="63" w:name="_Toc184312089"/>
      <w:bookmarkEnd w:id="63"/>
      <w:bookmarkStart w:id="64" w:name="_Toc184312100"/>
      <w:bookmarkEnd w:id="64"/>
      <w:bookmarkStart w:id="65" w:name="_Toc184310273"/>
      <w:bookmarkEnd w:id="65"/>
      <w:bookmarkStart w:id="66" w:name="_Toc184310328"/>
      <w:bookmarkEnd w:id="66"/>
      <w:bookmarkStart w:id="67" w:name="_Toc184314482"/>
      <w:bookmarkEnd w:id="67"/>
      <w:bookmarkStart w:id="68" w:name="_Toc184308053"/>
      <w:bookmarkEnd w:id="68"/>
      <w:bookmarkStart w:id="69" w:name="_Toc184312086"/>
      <w:bookmarkEnd w:id="69"/>
      <w:bookmarkStart w:id="70" w:name="_Toc184310324"/>
      <w:bookmarkEnd w:id="70"/>
      <w:bookmarkStart w:id="71" w:name="_Toc184313303"/>
      <w:bookmarkEnd w:id="71"/>
      <w:bookmarkStart w:id="72" w:name="_Toc184308062"/>
      <w:bookmarkEnd w:id="72"/>
      <w:bookmarkStart w:id="73" w:name="_Toc184308098"/>
      <w:bookmarkEnd w:id="73"/>
      <w:bookmarkStart w:id="74" w:name="_Toc184313308"/>
      <w:bookmarkEnd w:id="74"/>
      <w:bookmarkStart w:id="75" w:name="_Toc184313282"/>
      <w:bookmarkEnd w:id="75"/>
      <w:bookmarkStart w:id="76" w:name="_Toc184314438"/>
      <w:bookmarkEnd w:id="76"/>
      <w:bookmarkStart w:id="77" w:name="_Toc184314440"/>
      <w:bookmarkEnd w:id="77"/>
      <w:bookmarkStart w:id="78" w:name="_Toc184312112"/>
      <w:bookmarkEnd w:id="78"/>
      <w:bookmarkStart w:id="79" w:name="_Toc184313289"/>
      <w:bookmarkEnd w:id="79"/>
      <w:bookmarkStart w:id="80" w:name="_Toc184314424"/>
      <w:bookmarkEnd w:id="80"/>
      <w:bookmarkStart w:id="81" w:name="_Toc184312132"/>
      <w:bookmarkEnd w:id="81"/>
      <w:bookmarkStart w:id="82" w:name="_Toc184308108"/>
      <w:bookmarkEnd w:id="82"/>
      <w:bookmarkStart w:id="83" w:name="_Toc184314411"/>
      <w:bookmarkEnd w:id="83"/>
      <w:bookmarkStart w:id="84" w:name="_Toc184308063"/>
      <w:bookmarkEnd w:id="84"/>
      <w:bookmarkStart w:id="85" w:name="_Toc184313280"/>
      <w:bookmarkEnd w:id="85"/>
      <w:bookmarkStart w:id="86" w:name="_Toc184313242"/>
      <w:bookmarkEnd w:id="86"/>
      <w:bookmarkStart w:id="87" w:name="_Toc184308052"/>
      <w:bookmarkEnd w:id="87"/>
      <w:bookmarkStart w:id="88" w:name="_Toc184312078"/>
      <w:bookmarkEnd w:id="88"/>
      <w:bookmarkStart w:id="89" w:name="_Toc184312128"/>
      <w:bookmarkEnd w:id="89"/>
      <w:bookmarkStart w:id="90" w:name="_Toc184312088"/>
      <w:bookmarkEnd w:id="90"/>
      <w:bookmarkStart w:id="91" w:name="_Toc184308079"/>
      <w:bookmarkEnd w:id="91"/>
      <w:bookmarkStart w:id="92" w:name="_Toc184310293"/>
      <w:bookmarkEnd w:id="92"/>
      <w:bookmarkStart w:id="93" w:name="_Toc184313260"/>
      <w:bookmarkEnd w:id="93"/>
      <w:bookmarkStart w:id="94" w:name="_Toc184312079"/>
      <w:bookmarkEnd w:id="94"/>
      <w:bookmarkStart w:id="95" w:name="_Toc184312108"/>
      <w:bookmarkEnd w:id="95"/>
      <w:bookmarkStart w:id="96" w:name="_Toc184308064"/>
      <w:bookmarkEnd w:id="96"/>
      <w:bookmarkStart w:id="97" w:name="_Toc184314423"/>
      <w:bookmarkEnd w:id="97"/>
      <w:bookmarkStart w:id="98" w:name="_Toc184308051"/>
      <w:bookmarkEnd w:id="98"/>
      <w:bookmarkStart w:id="99" w:name="_Toc184312095"/>
      <w:bookmarkEnd w:id="99"/>
      <w:bookmarkStart w:id="100" w:name="_Toc184313299"/>
      <w:bookmarkEnd w:id="100"/>
      <w:bookmarkStart w:id="101" w:name="_Toc184314459"/>
      <w:bookmarkEnd w:id="101"/>
      <w:bookmarkStart w:id="102" w:name="_Toc184308081"/>
      <w:bookmarkEnd w:id="102"/>
      <w:bookmarkStart w:id="103" w:name="_Toc184310344"/>
      <w:bookmarkEnd w:id="103"/>
      <w:bookmarkStart w:id="104" w:name="_Toc184308038"/>
      <w:bookmarkEnd w:id="104"/>
      <w:bookmarkStart w:id="105" w:name="_Toc184310291"/>
      <w:bookmarkEnd w:id="105"/>
      <w:bookmarkStart w:id="106" w:name="_Toc184314479"/>
      <w:bookmarkEnd w:id="106"/>
      <w:bookmarkStart w:id="107" w:name="_Toc184313287"/>
      <w:bookmarkEnd w:id="107"/>
      <w:bookmarkStart w:id="108" w:name="_Toc184314422"/>
      <w:bookmarkEnd w:id="108"/>
      <w:bookmarkStart w:id="109" w:name="_Toc184312133"/>
      <w:bookmarkEnd w:id="109"/>
      <w:bookmarkStart w:id="110" w:name="_Toc184312094"/>
      <w:bookmarkEnd w:id="110"/>
      <w:bookmarkStart w:id="111" w:name="_Toc184314442"/>
      <w:bookmarkEnd w:id="111"/>
      <w:bookmarkStart w:id="112" w:name="_Toc184308050"/>
      <w:bookmarkEnd w:id="112"/>
      <w:bookmarkStart w:id="113" w:name="_Toc184314454"/>
      <w:bookmarkEnd w:id="113"/>
      <w:bookmarkStart w:id="114" w:name="_Toc184314427"/>
      <w:bookmarkEnd w:id="114"/>
      <w:bookmarkStart w:id="115" w:name="_Toc184312123"/>
      <w:bookmarkEnd w:id="115"/>
      <w:bookmarkStart w:id="116" w:name="_Toc184312067"/>
      <w:bookmarkEnd w:id="116"/>
      <w:bookmarkStart w:id="117" w:name="_Toc184312083"/>
      <w:bookmarkEnd w:id="117"/>
      <w:bookmarkStart w:id="118" w:name="_Toc184308070"/>
      <w:bookmarkEnd w:id="118"/>
      <w:bookmarkStart w:id="119" w:name="_Toc184310340"/>
      <w:bookmarkEnd w:id="119"/>
      <w:bookmarkStart w:id="120" w:name="_Toc184312098"/>
      <w:bookmarkEnd w:id="120"/>
      <w:bookmarkStart w:id="121" w:name="_Toc184312099"/>
      <w:bookmarkEnd w:id="121"/>
      <w:bookmarkStart w:id="122" w:name="_Toc184314429"/>
      <w:bookmarkEnd w:id="122"/>
      <w:bookmarkStart w:id="123" w:name="_Toc184310319"/>
      <w:bookmarkEnd w:id="123"/>
      <w:bookmarkStart w:id="124" w:name="_Toc184313296"/>
      <w:bookmarkEnd w:id="124"/>
      <w:bookmarkStart w:id="125" w:name="_Toc184314481"/>
      <w:bookmarkEnd w:id="125"/>
      <w:bookmarkStart w:id="126" w:name="_Toc184313267"/>
      <w:bookmarkEnd w:id="126"/>
      <w:bookmarkStart w:id="127" w:name="_Toc184310334"/>
      <w:bookmarkEnd w:id="127"/>
      <w:bookmarkStart w:id="128" w:name="_Toc184314413"/>
      <w:bookmarkEnd w:id="128"/>
      <w:bookmarkStart w:id="129" w:name="_Toc184312074"/>
      <w:bookmarkEnd w:id="129"/>
      <w:bookmarkStart w:id="130" w:name="_Toc184313263"/>
      <w:bookmarkEnd w:id="130"/>
      <w:bookmarkStart w:id="131" w:name="_Toc184308105"/>
      <w:bookmarkEnd w:id="131"/>
      <w:bookmarkStart w:id="132" w:name="_Toc184310327"/>
      <w:bookmarkEnd w:id="132"/>
      <w:bookmarkStart w:id="133" w:name="_Toc184308071"/>
      <w:bookmarkEnd w:id="133"/>
      <w:bookmarkStart w:id="134" w:name="_Toc184308049"/>
      <w:bookmarkEnd w:id="134"/>
      <w:bookmarkStart w:id="135" w:name="_Toc184313270"/>
      <w:bookmarkEnd w:id="135"/>
      <w:bookmarkStart w:id="136" w:name="_Toc184310285"/>
      <w:bookmarkEnd w:id="136"/>
      <w:bookmarkStart w:id="137" w:name="_Toc184313265"/>
      <w:bookmarkEnd w:id="137"/>
      <w:bookmarkStart w:id="138" w:name="_Toc184310315"/>
      <w:bookmarkEnd w:id="138"/>
      <w:bookmarkStart w:id="139" w:name="_Toc184314458"/>
      <w:bookmarkEnd w:id="139"/>
      <w:bookmarkStart w:id="140" w:name="_Toc184314412"/>
      <w:bookmarkEnd w:id="140"/>
      <w:bookmarkStart w:id="141" w:name="_Toc184308086"/>
      <w:bookmarkEnd w:id="141"/>
      <w:bookmarkStart w:id="142" w:name="_Toc184308074"/>
      <w:bookmarkEnd w:id="142"/>
      <w:bookmarkStart w:id="143" w:name="_Toc184314451"/>
      <w:bookmarkEnd w:id="143"/>
      <w:bookmarkStart w:id="144" w:name="_Toc184308091"/>
      <w:bookmarkEnd w:id="144"/>
      <w:bookmarkStart w:id="145" w:name="_Toc184312071"/>
      <w:bookmarkEnd w:id="145"/>
      <w:bookmarkStart w:id="146" w:name="_Toc184314448"/>
      <w:bookmarkEnd w:id="146"/>
      <w:bookmarkStart w:id="147" w:name="_Toc184308082"/>
      <w:bookmarkEnd w:id="147"/>
      <w:bookmarkStart w:id="148" w:name="_Toc184314480"/>
      <w:bookmarkEnd w:id="148"/>
      <w:bookmarkStart w:id="149" w:name="_Toc184312118"/>
      <w:bookmarkEnd w:id="149"/>
      <w:bookmarkStart w:id="150" w:name="_Toc184313246"/>
      <w:bookmarkEnd w:id="150"/>
      <w:bookmarkStart w:id="151" w:name="_Toc184308107"/>
      <w:bookmarkEnd w:id="151"/>
      <w:bookmarkStart w:id="152" w:name="_Toc184310309"/>
      <w:bookmarkEnd w:id="152"/>
      <w:bookmarkStart w:id="153" w:name="_Toc184310277"/>
      <w:bookmarkEnd w:id="153"/>
      <w:bookmarkStart w:id="154" w:name="_Toc184313294"/>
      <w:bookmarkEnd w:id="154"/>
      <w:bookmarkStart w:id="155" w:name="_Toc184310325"/>
      <w:bookmarkEnd w:id="155"/>
      <w:bookmarkStart w:id="156" w:name="_Toc184313305"/>
      <w:bookmarkEnd w:id="156"/>
      <w:bookmarkStart w:id="157" w:name="_Toc184313239"/>
      <w:bookmarkEnd w:id="157"/>
      <w:bookmarkStart w:id="158" w:name="_Toc184312116"/>
      <w:bookmarkEnd w:id="158"/>
      <w:bookmarkStart w:id="159" w:name="_Toc184310313"/>
      <w:bookmarkEnd w:id="159"/>
      <w:bookmarkStart w:id="160" w:name="_Toc184308093"/>
      <w:bookmarkEnd w:id="160"/>
      <w:bookmarkStart w:id="161" w:name="_Toc184310310"/>
      <w:bookmarkEnd w:id="161"/>
      <w:bookmarkStart w:id="162" w:name="_Toc184308059"/>
      <w:bookmarkEnd w:id="162"/>
      <w:bookmarkStart w:id="163" w:name="_Toc184313273"/>
      <w:bookmarkEnd w:id="163"/>
      <w:bookmarkStart w:id="164" w:name="_Toc184314455"/>
      <w:bookmarkEnd w:id="164"/>
      <w:bookmarkStart w:id="165" w:name="_Toc184314431"/>
      <w:bookmarkEnd w:id="165"/>
      <w:bookmarkStart w:id="166" w:name="_Toc184313279"/>
      <w:bookmarkEnd w:id="166"/>
      <w:bookmarkStart w:id="167" w:name="_Toc184314478"/>
      <w:bookmarkEnd w:id="167"/>
      <w:bookmarkStart w:id="168" w:name="_Toc184310326"/>
      <w:bookmarkEnd w:id="168"/>
      <w:bookmarkStart w:id="169" w:name="_Toc184313266"/>
      <w:bookmarkEnd w:id="169"/>
      <w:bookmarkStart w:id="170" w:name="_Toc184314439"/>
      <w:bookmarkEnd w:id="170"/>
      <w:bookmarkStart w:id="171" w:name="_Toc184308060"/>
      <w:bookmarkEnd w:id="171"/>
      <w:bookmarkStart w:id="172" w:name="_Toc184310330"/>
      <w:bookmarkEnd w:id="172"/>
      <w:bookmarkStart w:id="173" w:name="_Toc184312114"/>
      <w:bookmarkEnd w:id="173"/>
      <w:bookmarkStart w:id="174" w:name="_Toc184310318"/>
      <w:bookmarkEnd w:id="174"/>
      <w:bookmarkStart w:id="175" w:name="_Toc184314426"/>
      <w:bookmarkEnd w:id="175"/>
      <w:bookmarkStart w:id="176" w:name="_Toc184312136"/>
      <w:bookmarkEnd w:id="176"/>
      <w:bookmarkStart w:id="177" w:name="_Toc184310282"/>
      <w:bookmarkEnd w:id="177"/>
      <w:bookmarkStart w:id="178" w:name="_Toc184312092"/>
      <w:bookmarkEnd w:id="178"/>
      <w:bookmarkStart w:id="179" w:name="_Toc184310338"/>
      <w:bookmarkEnd w:id="179"/>
      <w:bookmarkStart w:id="180" w:name="_Toc184314452"/>
      <w:bookmarkEnd w:id="180"/>
      <w:bookmarkStart w:id="181" w:name="_Toc184313301"/>
      <w:bookmarkEnd w:id="181"/>
      <w:bookmarkStart w:id="182" w:name="_Toc184314474"/>
      <w:bookmarkEnd w:id="182"/>
      <w:bookmarkStart w:id="183" w:name="_Toc184310335"/>
      <w:bookmarkEnd w:id="183"/>
      <w:bookmarkStart w:id="184" w:name="_Toc184308073"/>
      <w:bookmarkEnd w:id="184"/>
      <w:bookmarkStart w:id="185" w:name="_Toc184308058"/>
      <w:bookmarkEnd w:id="185"/>
      <w:bookmarkStart w:id="186" w:name="_Toc184314414"/>
      <w:bookmarkEnd w:id="186"/>
      <w:bookmarkStart w:id="187" w:name="_Toc184313253"/>
      <w:bookmarkEnd w:id="187"/>
      <w:bookmarkStart w:id="188" w:name="_Toc184312076"/>
      <w:bookmarkEnd w:id="188"/>
      <w:bookmarkStart w:id="189" w:name="_Toc184314443"/>
      <w:bookmarkEnd w:id="189"/>
      <w:bookmarkStart w:id="190" w:name="_Toc184308043"/>
      <w:bookmarkEnd w:id="190"/>
      <w:bookmarkStart w:id="191" w:name="_Toc184313293"/>
      <w:bookmarkEnd w:id="191"/>
      <w:bookmarkStart w:id="192" w:name="_Toc184313247"/>
      <w:bookmarkEnd w:id="192"/>
      <w:bookmarkStart w:id="193" w:name="_Toc184308068"/>
      <w:bookmarkEnd w:id="193"/>
      <w:bookmarkStart w:id="194" w:name="_Toc184312077"/>
      <w:bookmarkEnd w:id="194"/>
      <w:bookmarkStart w:id="195" w:name="_Toc184313292"/>
      <w:bookmarkEnd w:id="195"/>
      <w:bookmarkStart w:id="196" w:name="_Toc184313238"/>
      <w:bookmarkEnd w:id="196"/>
      <w:bookmarkStart w:id="197" w:name="_Toc184313251"/>
      <w:bookmarkEnd w:id="197"/>
      <w:bookmarkStart w:id="198" w:name="_Toc184313306"/>
      <w:bookmarkEnd w:id="198"/>
      <w:bookmarkStart w:id="199" w:name="_Toc184308041"/>
      <w:bookmarkEnd w:id="199"/>
      <w:bookmarkStart w:id="200" w:name="_Toc184312105"/>
      <w:bookmarkEnd w:id="200"/>
      <w:bookmarkStart w:id="201" w:name="_Toc184314425"/>
      <w:bookmarkEnd w:id="201"/>
      <w:bookmarkStart w:id="202" w:name="_Toc184310275"/>
      <w:bookmarkEnd w:id="202"/>
      <w:bookmarkStart w:id="203" w:name="_Toc184313264"/>
      <w:bookmarkEnd w:id="203"/>
      <w:bookmarkStart w:id="204" w:name="_Toc184312127"/>
      <w:bookmarkEnd w:id="204"/>
      <w:bookmarkStart w:id="205" w:name="_Toc184308061"/>
      <w:bookmarkEnd w:id="205"/>
      <w:bookmarkStart w:id="206" w:name="_Toc184308104"/>
      <w:bookmarkEnd w:id="206"/>
      <w:bookmarkStart w:id="207" w:name="_Toc184310297"/>
      <w:bookmarkEnd w:id="207"/>
      <w:bookmarkStart w:id="208" w:name="_Toc184310322"/>
      <w:bookmarkEnd w:id="208"/>
      <w:bookmarkStart w:id="209" w:name="_Toc184313275"/>
      <w:bookmarkEnd w:id="209"/>
      <w:bookmarkStart w:id="210" w:name="_Toc184308076"/>
      <w:bookmarkEnd w:id="210"/>
      <w:bookmarkStart w:id="211" w:name="_Toc184310342"/>
      <w:bookmarkEnd w:id="211"/>
      <w:bookmarkStart w:id="212" w:name="_Toc184310312"/>
      <w:bookmarkEnd w:id="212"/>
      <w:bookmarkStart w:id="213" w:name="_Toc184313262"/>
      <w:bookmarkEnd w:id="213"/>
      <w:bookmarkStart w:id="214" w:name="_Toc184308095"/>
      <w:bookmarkEnd w:id="214"/>
      <w:bookmarkStart w:id="215" w:name="_Toc184314419"/>
      <w:bookmarkEnd w:id="215"/>
      <w:bookmarkStart w:id="216" w:name="_Toc184314456"/>
      <w:bookmarkEnd w:id="216"/>
      <w:bookmarkStart w:id="217" w:name="_Toc184312084"/>
      <w:bookmarkEnd w:id="217"/>
      <w:bookmarkStart w:id="218" w:name="_Toc184313268"/>
      <w:bookmarkEnd w:id="218"/>
      <w:bookmarkStart w:id="219" w:name="_Toc184313277"/>
      <w:bookmarkEnd w:id="219"/>
      <w:bookmarkStart w:id="220" w:name="_Toc184308069"/>
      <w:bookmarkEnd w:id="220"/>
      <w:bookmarkStart w:id="221" w:name="_Toc184312101"/>
      <w:bookmarkEnd w:id="221"/>
      <w:bookmarkStart w:id="222" w:name="_Toc184310306"/>
      <w:bookmarkEnd w:id="222"/>
      <w:bookmarkStart w:id="223" w:name="_Toc184314421"/>
      <w:bookmarkEnd w:id="223"/>
      <w:bookmarkStart w:id="224" w:name="_Toc184313285"/>
      <w:bookmarkEnd w:id="224"/>
      <w:bookmarkStart w:id="225" w:name="_Toc184308090"/>
      <w:bookmarkEnd w:id="225"/>
      <w:bookmarkStart w:id="226" w:name="_Toc184313284"/>
      <w:bookmarkEnd w:id="226"/>
      <w:bookmarkStart w:id="227" w:name="_Toc184308047"/>
      <w:bookmarkEnd w:id="227"/>
      <w:bookmarkStart w:id="228" w:name="_Toc184308094"/>
      <w:bookmarkEnd w:id="228"/>
      <w:bookmarkStart w:id="229" w:name="_Toc184308106"/>
      <w:bookmarkEnd w:id="229"/>
      <w:bookmarkStart w:id="230" w:name="_Toc184310281"/>
      <w:bookmarkEnd w:id="230"/>
      <w:bookmarkStart w:id="231" w:name="_Toc184308089"/>
      <w:bookmarkEnd w:id="231"/>
      <w:bookmarkStart w:id="232" w:name="_Toc184308055"/>
      <w:bookmarkEnd w:id="232"/>
      <w:bookmarkStart w:id="233" w:name="_Toc184310274"/>
      <w:bookmarkEnd w:id="233"/>
      <w:bookmarkStart w:id="234" w:name="_Toc184313274"/>
      <w:bookmarkEnd w:id="234"/>
      <w:bookmarkStart w:id="235" w:name="_Toc184312129"/>
      <w:bookmarkEnd w:id="235"/>
      <w:bookmarkStart w:id="236" w:name="_Toc184310288"/>
      <w:bookmarkEnd w:id="236"/>
      <w:bookmarkStart w:id="237" w:name="_Toc184312102"/>
      <w:bookmarkEnd w:id="237"/>
      <w:bookmarkStart w:id="238" w:name="_Toc184312138"/>
      <w:bookmarkEnd w:id="238"/>
      <w:bookmarkStart w:id="239" w:name="_Toc184312087"/>
      <w:bookmarkEnd w:id="239"/>
      <w:bookmarkStart w:id="240" w:name="_Toc184312122"/>
      <w:bookmarkEnd w:id="240"/>
      <w:bookmarkStart w:id="241" w:name="_Toc184313286"/>
      <w:bookmarkEnd w:id="241"/>
      <w:bookmarkStart w:id="242" w:name="_Toc184313258"/>
      <w:bookmarkEnd w:id="242"/>
      <w:bookmarkStart w:id="243" w:name="_Toc184312068"/>
      <w:bookmarkEnd w:id="243"/>
      <w:bookmarkStart w:id="244" w:name="_Toc184314447"/>
      <w:bookmarkEnd w:id="244"/>
      <w:bookmarkStart w:id="245" w:name="_Toc184308101"/>
      <w:bookmarkEnd w:id="245"/>
      <w:bookmarkStart w:id="246" w:name="_Toc184314461"/>
      <w:bookmarkEnd w:id="246"/>
      <w:bookmarkStart w:id="247" w:name="_Toc184310311"/>
      <w:bookmarkEnd w:id="247"/>
      <w:bookmarkStart w:id="248" w:name="_Toc184314428"/>
      <w:bookmarkEnd w:id="248"/>
      <w:bookmarkStart w:id="249" w:name="_Toc184314435"/>
      <w:bookmarkEnd w:id="249"/>
      <w:bookmarkStart w:id="250" w:name="_Toc184308100"/>
      <w:bookmarkEnd w:id="250"/>
      <w:bookmarkStart w:id="251" w:name="_Toc184310331"/>
      <w:bookmarkEnd w:id="251"/>
      <w:bookmarkStart w:id="252" w:name="_Toc184308056"/>
      <w:bookmarkEnd w:id="252"/>
      <w:bookmarkStart w:id="253" w:name="_Toc184314470"/>
      <w:bookmarkEnd w:id="253"/>
      <w:bookmarkStart w:id="254" w:name="_Toc184310329"/>
      <w:bookmarkEnd w:id="254"/>
      <w:bookmarkStart w:id="255" w:name="_Toc184314462"/>
      <w:bookmarkEnd w:id="255"/>
      <w:bookmarkStart w:id="256" w:name="_Toc184310323"/>
      <w:bookmarkEnd w:id="256"/>
      <w:bookmarkStart w:id="257" w:name="_Toc184313307"/>
      <w:bookmarkEnd w:id="257"/>
      <w:bookmarkStart w:id="258" w:name="_Toc184313269"/>
      <w:bookmarkEnd w:id="258"/>
      <w:bookmarkStart w:id="259" w:name="_Toc184312091"/>
      <w:bookmarkEnd w:id="259"/>
      <w:bookmarkStart w:id="260" w:name="_Toc184312111"/>
      <w:bookmarkEnd w:id="260"/>
      <w:bookmarkStart w:id="261" w:name="_Toc184313288"/>
      <w:bookmarkEnd w:id="261"/>
      <w:bookmarkStart w:id="262" w:name="_Toc184308037"/>
      <w:bookmarkEnd w:id="262"/>
      <w:bookmarkStart w:id="263" w:name="_Toc184313261"/>
      <w:bookmarkEnd w:id="263"/>
      <w:bookmarkStart w:id="264" w:name="_Toc184308045"/>
      <w:bookmarkEnd w:id="264"/>
      <w:bookmarkStart w:id="265" w:name="_Toc184312072"/>
      <w:bookmarkEnd w:id="265"/>
      <w:bookmarkStart w:id="266" w:name="_Toc184313291"/>
      <w:bookmarkEnd w:id="266"/>
      <w:bookmarkStart w:id="267" w:name="_Toc184308046"/>
      <w:bookmarkEnd w:id="267"/>
      <w:bookmarkStart w:id="268" w:name="_Toc184308067"/>
      <w:bookmarkEnd w:id="268"/>
      <w:bookmarkStart w:id="269" w:name="_Toc184313259"/>
      <w:bookmarkEnd w:id="269"/>
      <w:bookmarkStart w:id="270" w:name="_Toc184310280"/>
      <w:bookmarkEnd w:id="270"/>
      <w:bookmarkStart w:id="271" w:name="_Toc184313302"/>
      <w:bookmarkEnd w:id="271"/>
      <w:bookmarkStart w:id="272" w:name="_Toc184308040"/>
      <w:bookmarkEnd w:id="272"/>
      <w:bookmarkStart w:id="273" w:name="_Toc184312090"/>
      <w:bookmarkEnd w:id="273"/>
      <w:bookmarkStart w:id="274" w:name="_Toc184308048"/>
      <w:bookmarkEnd w:id="274"/>
      <w:bookmarkStart w:id="275" w:name="_Toc184308039"/>
      <w:bookmarkEnd w:id="275"/>
      <w:bookmarkStart w:id="276" w:name="_Toc184310339"/>
      <w:bookmarkEnd w:id="276"/>
      <w:bookmarkStart w:id="277" w:name="_Toc184312097"/>
      <w:bookmarkEnd w:id="277"/>
      <w:bookmarkStart w:id="278" w:name="_Toc184310284"/>
      <w:bookmarkEnd w:id="278"/>
      <w:bookmarkStart w:id="279" w:name="_Toc184312103"/>
      <w:bookmarkEnd w:id="279"/>
      <w:bookmarkStart w:id="280" w:name="_Toc184313245"/>
      <w:bookmarkEnd w:id="280"/>
      <w:bookmarkStart w:id="281" w:name="_Toc184312085"/>
      <w:bookmarkEnd w:id="281"/>
      <w:bookmarkStart w:id="282" w:name="_Toc184312117"/>
      <w:bookmarkEnd w:id="282"/>
      <w:bookmarkStart w:id="283" w:name="_Toc184310301"/>
      <w:bookmarkEnd w:id="283"/>
      <w:bookmarkStart w:id="284" w:name="_Toc184313290"/>
      <w:bookmarkEnd w:id="284"/>
      <w:bookmarkStart w:id="285" w:name="_Toc184312110"/>
      <w:bookmarkEnd w:id="285"/>
      <w:bookmarkStart w:id="286" w:name="_Toc184312080"/>
      <w:bookmarkEnd w:id="286"/>
      <w:bookmarkStart w:id="287" w:name="_Toc184313278"/>
      <w:bookmarkEnd w:id="287"/>
      <w:bookmarkStart w:id="288" w:name="_Toc184310292"/>
      <w:bookmarkEnd w:id="288"/>
      <w:bookmarkStart w:id="289" w:name="_Toc184308057"/>
      <w:bookmarkEnd w:id="289"/>
      <w:bookmarkStart w:id="290" w:name="_Toc184313241"/>
      <w:bookmarkEnd w:id="290"/>
      <w:bookmarkStart w:id="291" w:name="_Toc184310307"/>
      <w:bookmarkEnd w:id="291"/>
      <w:bookmarkStart w:id="292" w:name="_Toc184312121"/>
      <w:bookmarkEnd w:id="292"/>
      <w:bookmarkStart w:id="293" w:name="_Toc184312130"/>
      <w:bookmarkEnd w:id="293"/>
      <w:bookmarkStart w:id="294" w:name="_Toc184312106"/>
      <w:bookmarkEnd w:id="294"/>
      <w:bookmarkStart w:id="295" w:name="_Toc184310295"/>
      <w:bookmarkEnd w:id="295"/>
      <w:bookmarkStart w:id="296" w:name="_Toc184310300"/>
      <w:bookmarkEnd w:id="296"/>
      <w:bookmarkStart w:id="297" w:name="_Toc184308077"/>
      <w:bookmarkEnd w:id="297"/>
      <w:bookmarkStart w:id="298" w:name="_Toc184308036"/>
      <w:bookmarkEnd w:id="298"/>
      <w:bookmarkStart w:id="299" w:name="_Toc184314433"/>
      <w:bookmarkEnd w:id="299"/>
      <w:bookmarkStart w:id="300" w:name="_Toc184310320"/>
      <w:bookmarkEnd w:id="300"/>
      <w:bookmarkStart w:id="301" w:name="_Toc184313283"/>
      <w:bookmarkEnd w:id="301"/>
      <w:bookmarkStart w:id="302" w:name="_Toc184312069"/>
      <w:bookmarkEnd w:id="302"/>
      <w:bookmarkStart w:id="303" w:name="_Toc184314437"/>
      <w:bookmarkEnd w:id="303"/>
      <w:bookmarkStart w:id="304" w:name="_Toc184312070"/>
      <w:bookmarkEnd w:id="304"/>
      <w:bookmarkStart w:id="305" w:name="_Toc184314468"/>
      <w:bookmarkEnd w:id="305"/>
      <w:bookmarkStart w:id="306" w:name="_Toc184308103"/>
      <w:bookmarkEnd w:id="306"/>
      <w:bookmarkStart w:id="307" w:name="_Toc184314466"/>
      <w:bookmarkEnd w:id="307"/>
      <w:bookmarkStart w:id="308" w:name="_Toc184310337"/>
      <w:bookmarkEnd w:id="308"/>
      <w:bookmarkStart w:id="309" w:name="_Toc184308042"/>
      <w:bookmarkEnd w:id="309"/>
      <w:bookmarkStart w:id="310" w:name="_Toc184313254"/>
      <w:bookmarkEnd w:id="310"/>
      <w:bookmarkStart w:id="311" w:name="_Toc184312131"/>
      <w:bookmarkEnd w:id="311"/>
      <w:bookmarkStart w:id="312" w:name="_Toc184310317"/>
      <w:bookmarkEnd w:id="312"/>
      <w:bookmarkStart w:id="313" w:name="_Toc184312093"/>
      <w:bookmarkEnd w:id="313"/>
      <w:bookmarkStart w:id="314" w:name="_Toc184312126"/>
      <w:bookmarkEnd w:id="314"/>
      <w:bookmarkStart w:id="315" w:name="_Toc184310316"/>
      <w:bookmarkEnd w:id="315"/>
      <w:bookmarkStart w:id="316" w:name="_Toc184308087"/>
      <w:bookmarkEnd w:id="316"/>
      <w:bookmarkStart w:id="317" w:name="_Toc184310333"/>
      <w:bookmarkEnd w:id="317"/>
      <w:bookmarkStart w:id="318" w:name="_Toc184313252"/>
      <w:bookmarkEnd w:id="318"/>
      <w:bookmarkStart w:id="319" w:name="_Toc184314467"/>
      <w:bookmarkEnd w:id="319"/>
      <w:bookmarkStart w:id="320" w:name="_Toc184313309"/>
      <w:bookmarkEnd w:id="320"/>
      <w:bookmarkStart w:id="321" w:name="_Toc184314436"/>
      <w:bookmarkEnd w:id="321"/>
      <w:bookmarkStart w:id="322" w:name="_Toc184308092"/>
      <w:bookmarkEnd w:id="322"/>
      <w:bookmarkStart w:id="323" w:name="_Toc184314416"/>
      <w:bookmarkEnd w:id="323"/>
      <w:bookmarkStart w:id="324" w:name="_Toc184313250"/>
      <w:bookmarkEnd w:id="324"/>
      <w:bookmarkStart w:id="325" w:name="_Toc184314441"/>
      <w:bookmarkEnd w:id="325"/>
      <w:bookmarkStart w:id="326" w:name="_Toc184310290"/>
      <w:bookmarkEnd w:id="326"/>
      <w:bookmarkStart w:id="327" w:name="_Toc184312104"/>
      <w:bookmarkEnd w:id="327"/>
      <w:bookmarkStart w:id="328" w:name="_Toc184313257"/>
      <w:bookmarkEnd w:id="328"/>
      <w:bookmarkStart w:id="329" w:name="_Toc184314432"/>
      <w:bookmarkEnd w:id="329"/>
      <w:bookmarkStart w:id="330" w:name="_Toc184310272"/>
      <w:bookmarkEnd w:id="330"/>
      <w:bookmarkStart w:id="331" w:name="_Toc184312137"/>
      <w:bookmarkEnd w:id="331"/>
      <w:bookmarkStart w:id="332" w:name="_Toc184313271"/>
      <w:bookmarkEnd w:id="332"/>
      <w:bookmarkStart w:id="333" w:name="_Toc184312082"/>
      <w:bookmarkEnd w:id="333"/>
      <w:bookmarkStart w:id="334" w:name="_Toc184314415"/>
      <w:bookmarkEnd w:id="334"/>
      <w:bookmarkStart w:id="335" w:name="_Toc184313304"/>
      <w:bookmarkEnd w:id="335"/>
      <w:bookmarkStart w:id="336" w:name="_Toc184314477"/>
      <w:bookmarkEnd w:id="336"/>
      <w:bookmarkStart w:id="337" w:name="_Toc184312119"/>
      <w:bookmarkEnd w:id="337"/>
      <w:bookmarkStart w:id="338" w:name="_Toc184308044"/>
      <w:bookmarkEnd w:id="338"/>
      <w:bookmarkStart w:id="339" w:name="_Toc184310276"/>
      <w:bookmarkEnd w:id="339"/>
      <w:bookmarkStart w:id="340" w:name="_Toc184308080"/>
      <w:bookmarkEnd w:id="340"/>
      <w:bookmarkStart w:id="341" w:name="_Toc184310286"/>
      <w:bookmarkEnd w:id="341"/>
      <w:bookmarkStart w:id="342" w:name="_Toc184310287"/>
      <w:bookmarkEnd w:id="342"/>
      <w:bookmarkStart w:id="343" w:name="_Toc184308078"/>
      <w:bookmarkEnd w:id="343"/>
      <w:bookmarkStart w:id="344" w:name="_Toc184313272"/>
      <w:bookmarkEnd w:id="344"/>
      <w:bookmarkStart w:id="345" w:name="_Toc184314430"/>
      <w:bookmarkEnd w:id="345"/>
      <w:bookmarkStart w:id="346" w:name="_Toc184310343"/>
      <w:bookmarkEnd w:id="346"/>
      <w:bookmarkStart w:id="347" w:name="_Toc184314417"/>
      <w:bookmarkEnd w:id="347"/>
      <w:bookmarkStart w:id="348" w:name="_Toc184314450"/>
      <w:bookmarkEnd w:id="348"/>
      <w:bookmarkStart w:id="349" w:name="_Toc184308065"/>
      <w:bookmarkEnd w:id="349"/>
      <w:bookmarkStart w:id="350" w:name="_Toc184308066"/>
      <w:bookmarkEnd w:id="350"/>
      <w:bookmarkStart w:id="351" w:name="_Toc184312115"/>
      <w:bookmarkEnd w:id="351"/>
      <w:bookmarkStart w:id="352" w:name="_Toc184310294"/>
      <w:bookmarkEnd w:id="352"/>
      <w:bookmarkStart w:id="353" w:name="_Toc184312139"/>
      <w:bookmarkEnd w:id="353"/>
      <w:bookmarkStart w:id="354" w:name="_Toc184314420"/>
      <w:bookmarkEnd w:id="354"/>
      <w:bookmarkStart w:id="355" w:name="_Toc184310303"/>
      <w:bookmarkEnd w:id="355"/>
      <w:bookmarkStart w:id="356" w:name="_Toc184308075"/>
      <w:bookmarkEnd w:id="356"/>
      <w:bookmarkStart w:id="357" w:name="_Toc184314449"/>
      <w:bookmarkEnd w:id="357"/>
      <w:bookmarkStart w:id="358" w:name="_Toc184314471"/>
      <w:bookmarkEnd w:id="358"/>
      <w:bookmarkStart w:id="359" w:name="_Toc184308096"/>
      <w:bookmarkEnd w:id="359"/>
      <w:bookmarkStart w:id="360" w:name="_Toc184313244"/>
      <w:bookmarkEnd w:id="360"/>
      <w:bookmarkStart w:id="361" w:name="_Toc184310296"/>
      <w:bookmarkEnd w:id="361"/>
      <w:bookmarkStart w:id="362" w:name="_Toc184313256"/>
      <w:bookmarkEnd w:id="362"/>
      <w:bookmarkStart w:id="363" w:name="_Toc184312125"/>
      <w:bookmarkEnd w:id="363"/>
      <w:bookmarkStart w:id="364" w:name="_Toc184314475"/>
      <w:bookmarkEnd w:id="364"/>
      <w:bookmarkStart w:id="365" w:name="_Toc184313295"/>
      <w:bookmarkEnd w:id="365"/>
      <w:bookmarkStart w:id="366" w:name="_Toc184313255"/>
      <w:bookmarkEnd w:id="366"/>
      <w:bookmarkStart w:id="367" w:name="_Toc184312135"/>
      <w:bookmarkEnd w:id="367"/>
      <w:bookmarkStart w:id="368" w:name="_Toc184310321"/>
      <w:bookmarkEnd w:id="368"/>
      <w:bookmarkStart w:id="369" w:name="_Toc184310314"/>
      <w:bookmarkEnd w:id="369"/>
      <w:bookmarkStart w:id="370" w:name="_Toc184312073"/>
      <w:bookmarkEnd w:id="370"/>
      <w:bookmarkStart w:id="371" w:name="_Toc184314460"/>
      <w:bookmarkEnd w:id="371"/>
      <w:bookmarkStart w:id="372" w:name="_Toc184308088"/>
      <w:bookmarkEnd w:id="372"/>
      <w:bookmarkStart w:id="373" w:name="_Toc184308099"/>
      <w:bookmarkEnd w:id="373"/>
      <w:bookmarkStart w:id="374" w:name="_Toc184310304"/>
      <w:bookmarkEnd w:id="374"/>
      <w:bookmarkStart w:id="375" w:name="_Toc184310278"/>
      <w:bookmarkEnd w:id="375"/>
      <w:bookmarkStart w:id="376" w:name="_Toc184312124"/>
      <w:bookmarkEnd w:id="376"/>
      <w:bookmarkStart w:id="377" w:name="_Toc184310298"/>
      <w:bookmarkEnd w:id="377"/>
      <w:bookmarkStart w:id="378" w:name="_Toc184313281"/>
      <w:bookmarkEnd w:id="378"/>
      <w:bookmarkStart w:id="379" w:name="_Toc184310308"/>
      <w:bookmarkEnd w:id="379"/>
      <w:bookmarkStart w:id="380" w:name="_Toc184313243"/>
      <w:bookmarkEnd w:id="380"/>
      <w:bookmarkStart w:id="381" w:name="_Toc184314410"/>
      <w:bookmarkEnd w:id="381"/>
      <w:bookmarkStart w:id="382" w:name="_Toc184313310"/>
      <w:bookmarkEnd w:id="382"/>
      <w:bookmarkStart w:id="383" w:name="_Toc184310302"/>
      <w:bookmarkEnd w:id="383"/>
      <w:bookmarkStart w:id="384" w:name="_Toc184314446"/>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J.响应文件不满足询价采购文件的其他实质性要求的；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M未按要求缴纳询价保证金的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LJGS-2024-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ascii="宋体" w:hAnsi="宋体" w:cs="宋体"/>
          <w:sz w:val="24"/>
          <w:u w:val="single"/>
        </w:rPr>
        <w:t xml:space="preserve">          </w:t>
      </w:r>
      <w:r>
        <w:rPr>
          <w:rFonts w:hint="eastAsia" w:ascii="宋体" w:hAnsi="宋体" w:cs="宋体"/>
          <w:sz w:val="24"/>
          <w:u w:val="single"/>
          <w:lang w:eastAsia="zh-CN"/>
        </w:rPr>
        <w:t>2024年临江公司SKF轴承</w:t>
      </w:r>
      <w:r>
        <w:rPr>
          <w:rFonts w:hint="eastAsia" w:ascii="宋体" w:hAnsi="宋体" w:cs="宋体"/>
          <w:sz w:val="24"/>
          <w:u w:val="single"/>
        </w:rPr>
        <w:t xml:space="preserve"> </w:t>
      </w:r>
      <w:r>
        <w:rPr>
          <w:rFonts w:ascii="宋体" w:hAnsi="宋体" w:cs="宋体"/>
          <w:sz w:val="24"/>
          <w:u w:val="single"/>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杭州临江环境能源有限公司   </w:t>
      </w:r>
      <w:r>
        <w:rPr>
          <w:rFonts w:ascii="宋体" w:hAnsi="宋体" w:cs="宋体"/>
          <w:sz w:val="24"/>
          <w:u w:val="single"/>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3"/>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3"/>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rPr>
          <w:rFonts w:ascii="宋体" w:hAnsi="宋体" w:cs="宋体"/>
          <w:szCs w:val="24"/>
        </w:rPr>
      </w:pPr>
    </w:p>
    <w:p>
      <w:pPr>
        <w:pStyle w:val="23"/>
        <w:ind w:left="0" w:leftChars="0" w:firstLine="0" w:firstLineChars="0"/>
        <w:jc w:val="center"/>
        <w:rPr>
          <w:rFonts w:ascii="宋体" w:hAnsi="宋体" w:cs="宋体"/>
          <w:b/>
          <w:szCs w:val="24"/>
        </w:rPr>
      </w:pPr>
    </w:p>
    <w:p>
      <w:pPr>
        <w:spacing w:line="360" w:lineRule="auto"/>
        <w:ind w:firstLine="482" w:firstLineChars="200"/>
        <w:jc w:val="center"/>
        <w:outlineLvl w:val="0"/>
        <w:rPr>
          <w:rFonts w:ascii="宋体" w:hAnsi="宋体" w:eastAsia="宋体" w:cs="宋体"/>
          <w:b/>
          <w:sz w:val="24"/>
        </w:rPr>
      </w:pPr>
      <w:r>
        <w:rPr>
          <w:rFonts w:hint="eastAsia" w:ascii="宋体" w:hAnsi="宋体" w:eastAsia="宋体" w:cs="宋体"/>
          <w:b/>
          <w:sz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2024年临江公司SKF轴承</w:t>
      </w:r>
      <w:r>
        <w:rPr>
          <w:rFonts w:hint="eastAsia" w:ascii="宋体" w:hAnsi="宋体" w:cs="宋体"/>
          <w:sz w:val="24"/>
          <w:u w:val="single"/>
        </w:rPr>
        <w:t xml:space="preserve">采购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rPr>
          <w:rFonts w:ascii="宋体" w:hAnsi="宋体" w:cs="宋体"/>
          <w:b/>
          <w:sz w:val="24"/>
        </w:rPr>
      </w:pPr>
      <w:bookmarkStart w:id="385" w:name="_Toc2232"/>
      <w:bookmarkStart w:id="386" w:name="_Toc24059"/>
      <w:bookmarkStart w:id="387" w:name="_Toc3029"/>
      <w:r>
        <w:rPr>
          <w:rFonts w:hint="eastAsia" w:ascii="宋体" w:hAnsi="宋体" w:cs="宋体"/>
          <w:b/>
          <w:sz w:val="24"/>
        </w:rPr>
        <w:t>一、合同组成部分</w:t>
      </w:r>
      <w:bookmarkEnd w:id="385"/>
      <w:bookmarkEnd w:id="386"/>
      <w:bookmarkEnd w:id="387"/>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rPr>
          <w:rFonts w:ascii="宋体" w:hAnsi="宋体" w:cs="宋体"/>
          <w:b/>
          <w:sz w:val="24"/>
        </w:rPr>
      </w:pPr>
      <w:bookmarkStart w:id="388" w:name="_Toc27126"/>
      <w:bookmarkStart w:id="389" w:name="_Toc24300"/>
      <w:bookmarkStart w:id="390" w:name="_Toc21295"/>
      <w:r>
        <w:rPr>
          <w:rFonts w:hint="eastAsia" w:ascii="宋体" w:hAnsi="宋体" w:cs="宋体"/>
          <w:b/>
          <w:sz w:val="24"/>
        </w:rPr>
        <w:t xml:space="preserve">二、 </w:t>
      </w:r>
      <w:bookmarkEnd w:id="388"/>
      <w:bookmarkEnd w:id="389"/>
      <w:bookmarkEnd w:id="390"/>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val="en-US" w:eastAsia="zh-CN"/>
        </w:rPr>
        <w:t>其中能源</w:t>
      </w:r>
      <w:r>
        <w:rPr>
          <w:rFonts w:hint="eastAsia" w:ascii="宋体" w:hAnsi="宋体"/>
          <w:sz w:val="24"/>
          <w:u w:val="single"/>
          <w:lang w:val="en-US" w:eastAsia="zh-CN"/>
        </w:rPr>
        <w:t xml:space="preserve">    </w:t>
      </w:r>
      <w:r>
        <w:rPr>
          <w:rFonts w:hint="eastAsia" w:ascii="宋体" w:hAnsi="宋体"/>
          <w:sz w:val="24"/>
          <w:lang w:val="en-US" w:eastAsia="zh-CN"/>
        </w:rPr>
        <w:t>元，三固</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4"/>
        <w:spacing w:before="0" w:beforeAutospacing="0" w:after="0" w:afterAutospacing="0" w:line="360" w:lineRule="auto"/>
        <w:ind w:firstLine="480"/>
        <w:rPr>
          <w:rFonts w:hint="eastAsia"/>
          <w:bCs/>
        </w:rPr>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p>
    <w:tbl>
      <w:tblPr>
        <w:tblStyle w:val="1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1031"/>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31" w:type="dxa"/>
            <w:tcBorders>
              <w:tl2br w:val="nil"/>
              <w:tr2bl w:val="nil"/>
            </w:tcBorders>
            <w:vAlign w:val="center"/>
          </w:tcPr>
          <w:p>
            <w:pPr>
              <w:keepNext w:val="0"/>
              <w:keepLines w:val="0"/>
              <w:widowControl/>
              <w:suppressLineNumbers w:val="0"/>
              <w:jc w:val="center"/>
              <w:textAlignment w:val="center"/>
              <w:rPr>
                <w:rFonts w:hint="eastAsia"/>
                <w:bCs/>
                <w:vertAlign w:val="baseline"/>
              </w:rPr>
            </w:pPr>
            <w:bookmarkStart w:id="391" w:name="_Toc10340"/>
            <w:bookmarkStart w:id="392" w:name="_Toc1814"/>
            <w:bookmarkStart w:id="393" w:name="_Toc22618"/>
            <w:r>
              <w:rPr>
                <w:rFonts w:hint="eastAsia" w:ascii="宋体" w:hAnsi="宋体" w:eastAsia="宋体" w:cs="宋体"/>
                <w:b/>
                <w:bCs/>
                <w:i w:val="0"/>
                <w:iCs w:val="0"/>
                <w:color w:val="000000"/>
                <w:kern w:val="0"/>
                <w:sz w:val="24"/>
                <w:szCs w:val="24"/>
                <w:u w:val="none"/>
                <w:lang w:val="en-US" w:eastAsia="zh-CN" w:bidi="ar"/>
              </w:rPr>
              <w:t>序号</w:t>
            </w:r>
          </w:p>
        </w:tc>
        <w:tc>
          <w:tcPr>
            <w:tcW w:w="1031" w:type="dxa"/>
            <w:tcBorders>
              <w:tl2br w:val="nil"/>
              <w:tr2bl w:val="nil"/>
            </w:tcBorders>
            <w:vAlign w:val="center"/>
          </w:tcPr>
          <w:p>
            <w:pPr>
              <w:keepNext w:val="0"/>
              <w:keepLines w:val="0"/>
              <w:widowControl/>
              <w:suppressLineNumbers w:val="0"/>
              <w:jc w:val="center"/>
              <w:textAlignment w:val="center"/>
              <w:rPr>
                <w:rFonts w:hint="eastAsia"/>
                <w:bCs/>
                <w:vertAlign w:val="baseline"/>
              </w:rPr>
            </w:pPr>
            <w:r>
              <w:rPr>
                <w:rFonts w:hint="eastAsia" w:ascii="宋体" w:hAnsi="宋体" w:eastAsia="宋体" w:cs="宋体"/>
                <w:b/>
                <w:bCs/>
                <w:i w:val="0"/>
                <w:iCs w:val="0"/>
                <w:color w:val="000000"/>
                <w:kern w:val="0"/>
                <w:sz w:val="24"/>
                <w:szCs w:val="24"/>
                <w:u w:val="none"/>
                <w:lang w:val="en-US" w:eastAsia="zh-CN" w:bidi="ar"/>
              </w:rPr>
              <w:t>名称</w:t>
            </w: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r>
              <w:rPr>
                <w:rFonts w:hint="eastAsia" w:ascii="宋体" w:hAnsi="宋体" w:eastAsia="宋体" w:cs="宋体"/>
                <w:b/>
                <w:bCs/>
                <w:i w:val="0"/>
                <w:iCs w:val="0"/>
                <w:color w:val="000000"/>
                <w:kern w:val="0"/>
                <w:sz w:val="24"/>
                <w:szCs w:val="24"/>
                <w:u w:val="none"/>
                <w:lang w:val="en-US" w:eastAsia="zh-CN" w:bidi="ar"/>
              </w:rPr>
              <w:t>品牌</w:t>
            </w: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r>
              <w:rPr>
                <w:rFonts w:hint="eastAsia" w:ascii="宋体" w:hAnsi="宋体" w:eastAsia="宋体" w:cs="宋体"/>
                <w:b/>
                <w:bCs/>
                <w:i w:val="0"/>
                <w:iCs w:val="0"/>
                <w:color w:val="000000"/>
                <w:kern w:val="0"/>
                <w:sz w:val="24"/>
                <w:szCs w:val="24"/>
                <w:u w:val="none"/>
                <w:lang w:val="en-US" w:eastAsia="zh-CN" w:bidi="ar"/>
              </w:rPr>
              <w:t>型号规格</w:t>
            </w: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r>
              <w:rPr>
                <w:rFonts w:hint="eastAsia" w:ascii="宋体" w:hAnsi="宋体" w:eastAsia="宋体" w:cs="宋体"/>
                <w:b/>
                <w:bCs/>
                <w:i w:val="0"/>
                <w:iCs w:val="0"/>
                <w:color w:val="000000"/>
                <w:kern w:val="0"/>
                <w:sz w:val="24"/>
                <w:szCs w:val="24"/>
                <w:u w:val="none"/>
                <w:lang w:val="en-US" w:eastAsia="zh-CN" w:bidi="ar"/>
              </w:rPr>
              <w:t>需求部门</w:t>
            </w: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r>
              <w:rPr>
                <w:rFonts w:hint="eastAsia" w:ascii="宋体" w:hAnsi="宋体" w:eastAsia="宋体" w:cs="宋体"/>
                <w:b/>
                <w:bCs/>
                <w:i w:val="0"/>
                <w:iCs w:val="0"/>
                <w:color w:val="000000"/>
                <w:kern w:val="0"/>
                <w:sz w:val="24"/>
                <w:szCs w:val="24"/>
                <w:u w:val="none"/>
                <w:lang w:val="en-US" w:eastAsia="zh-CN" w:bidi="ar"/>
              </w:rPr>
              <w:t>单位</w:t>
            </w: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r>
              <w:rPr>
                <w:rFonts w:hint="eastAsia" w:ascii="宋体" w:hAnsi="宋体" w:eastAsia="宋体" w:cs="宋体"/>
                <w:b/>
                <w:bCs/>
                <w:i w:val="0"/>
                <w:iCs w:val="0"/>
                <w:color w:val="000000"/>
                <w:kern w:val="0"/>
                <w:sz w:val="24"/>
                <w:szCs w:val="24"/>
                <w:u w:val="none"/>
                <w:lang w:val="en-US" w:eastAsia="zh-CN" w:bidi="ar"/>
              </w:rPr>
              <w:t>数量</w:t>
            </w: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r>
              <w:rPr>
                <w:rFonts w:hint="eastAsia" w:ascii="宋体" w:hAnsi="宋体" w:eastAsia="宋体" w:cs="宋体"/>
                <w:b/>
                <w:bCs/>
                <w:i w:val="0"/>
                <w:iCs w:val="0"/>
                <w:color w:val="000000"/>
                <w:kern w:val="0"/>
                <w:sz w:val="24"/>
                <w:szCs w:val="24"/>
                <w:u w:val="none"/>
                <w:lang w:val="en-US" w:eastAsia="zh-CN" w:bidi="ar"/>
              </w:rPr>
              <w:t>单价（元）</w:t>
            </w: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r>
              <w:rPr>
                <w:rFonts w:hint="eastAsia" w:ascii="宋体" w:hAnsi="宋体" w:eastAsia="宋体" w:cs="宋体"/>
                <w:b/>
                <w:bCs/>
                <w:i w:val="0"/>
                <w:iCs w:val="0"/>
                <w:color w:val="000000"/>
                <w:kern w:val="0"/>
                <w:sz w:val="24"/>
                <w:szCs w:val="24"/>
                <w:u w:val="none"/>
                <w:lang w:val="en-US" w:eastAsia="zh-CN" w:bidi="ar"/>
              </w:rPr>
              <w:t>金额（元）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31" w:type="dxa"/>
            <w:tcBorders>
              <w:tl2br w:val="nil"/>
              <w:tr2bl w:val="nil"/>
            </w:tcBorders>
            <w:vAlign w:val="center"/>
          </w:tcPr>
          <w:p>
            <w:pPr>
              <w:keepNext w:val="0"/>
              <w:keepLines w:val="0"/>
              <w:widowControl/>
              <w:suppressLineNumbers w:val="0"/>
              <w:jc w:val="center"/>
              <w:textAlignment w:val="center"/>
              <w:rPr>
                <w:rFonts w:hint="eastAsia"/>
                <w:bCs/>
                <w:vertAlign w:val="baseline"/>
              </w:rPr>
            </w:pPr>
            <w:r>
              <w:rPr>
                <w:rFonts w:hint="eastAsia" w:ascii="宋体" w:hAnsi="宋体" w:eastAsia="宋体" w:cs="宋体"/>
                <w:i w:val="0"/>
                <w:iCs w:val="0"/>
                <w:color w:val="000000"/>
                <w:kern w:val="0"/>
                <w:sz w:val="20"/>
                <w:szCs w:val="20"/>
                <w:u w:val="none"/>
                <w:lang w:val="en-US" w:eastAsia="zh-CN" w:bidi="ar"/>
              </w:rPr>
              <w:t>1</w:t>
            </w:r>
          </w:p>
        </w:tc>
        <w:tc>
          <w:tcPr>
            <w:tcW w:w="1031" w:type="dxa"/>
            <w:tcBorders>
              <w:tl2br w:val="nil"/>
              <w:tr2bl w:val="nil"/>
            </w:tcBorders>
            <w:vAlign w:val="center"/>
          </w:tcPr>
          <w:p>
            <w:pPr>
              <w:keepNext w:val="0"/>
              <w:keepLines w:val="0"/>
              <w:widowControl/>
              <w:suppressLineNumbers w:val="0"/>
              <w:jc w:val="center"/>
              <w:textAlignment w:val="center"/>
              <w:rPr>
                <w:rFonts w:hint="eastAsia"/>
                <w:bCs/>
                <w:vertAlign w:val="baseline"/>
              </w:rPr>
            </w:pPr>
            <w:r>
              <w:rPr>
                <w:rFonts w:hint="eastAsia" w:ascii="宋体" w:hAnsi="宋体" w:eastAsia="宋体" w:cs="宋体"/>
                <w:i w:val="0"/>
                <w:iCs w:val="0"/>
                <w:color w:val="000000"/>
                <w:kern w:val="0"/>
                <w:sz w:val="20"/>
                <w:szCs w:val="20"/>
                <w:u w:val="none"/>
                <w:lang w:val="en-US" w:eastAsia="zh-CN" w:bidi="ar"/>
              </w:rPr>
              <w:t>轴承</w:t>
            </w: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r>
              <w:rPr>
                <w:rFonts w:hint="eastAsia" w:ascii="宋体" w:hAnsi="宋体" w:eastAsia="宋体" w:cs="宋体"/>
                <w:i w:val="0"/>
                <w:iCs w:val="0"/>
                <w:color w:val="000000"/>
                <w:kern w:val="0"/>
                <w:sz w:val="20"/>
                <w:szCs w:val="20"/>
                <w:u w:val="none"/>
                <w:lang w:val="en-US" w:eastAsia="zh-CN" w:bidi="ar"/>
              </w:rPr>
              <w:t>SKF</w:t>
            </w: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r>
              <w:rPr>
                <w:rFonts w:hint="eastAsia" w:ascii="宋体" w:hAnsi="宋体" w:eastAsia="宋体" w:cs="宋体"/>
                <w:i w:val="0"/>
                <w:iCs w:val="0"/>
                <w:color w:val="000000"/>
                <w:kern w:val="0"/>
                <w:sz w:val="20"/>
                <w:szCs w:val="20"/>
                <w:u w:val="none"/>
                <w:lang w:val="en-US" w:eastAsia="zh-CN" w:bidi="ar"/>
              </w:rPr>
              <w:t>NU216ECP</w:t>
            </w: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r>
              <w:rPr>
                <w:rFonts w:hint="eastAsia" w:ascii="宋体" w:hAnsi="宋体" w:eastAsia="宋体" w:cs="宋体"/>
                <w:i w:val="0"/>
                <w:iCs w:val="0"/>
                <w:color w:val="000000"/>
                <w:kern w:val="0"/>
                <w:sz w:val="20"/>
                <w:szCs w:val="20"/>
                <w:u w:val="none"/>
                <w:lang w:val="en-US" w:eastAsia="zh-CN" w:bidi="ar"/>
              </w:rPr>
              <w:t>能源</w:t>
            </w: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r>
              <w:rPr>
                <w:rFonts w:hint="eastAsia" w:ascii="宋体" w:hAnsi="宋体" w:eastAsia="宋体" w:cs="宋体"/>
                <w:i w:val="0"/>
                <w:iCs w:val="0"/>
                <w:color w:val="000000"/>
                <w:kern w:val="0"/>
                <w:sz w:val="20"/>
                <w:szCs w:val="20"/>
                <w:u w:val="none"/>
                <w:lang w:val="en-US" w:eastAsia="zh-CN" w:bidi="ar"/>
              </w:rPr>
              <w:t>件</w:t>
            </w: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r>
              <w:rPr>
                <w:rFonts w:hint="eastAsia" w:ascii="宋体" w:hAnsi="宋体" w:eastAsia="宋体" w:cs="宋体"/>
                <w:i w:val="0"/>
                <w:iCs w:val="0"/>
                <w:color w:val="000000"/>
                <w:kern w:val="0"/>
                <w:sz w:val="20"/>
                <w:szCs w:val="20"/>
                <w:u w:val="none"/>
                <w:lang w:val="en-US" w:eastAsia="zh-CN" w:bidi="ar"/>
              </w:rPr>
              <w:t>6</w:t>
            </w: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31" w:type="dxa"/>
            <w:tcBorders>
              <w:tl2br w:val="nil"/>
              <w:tr2bl w:val="nil"/>
            </w:tcBorders>
            <w:vAlign w:val="center"/>
          </w:tcPr>
          <w:p>
            <w:pPr>
              <w:keepNext w:val="0"/>
              <w:keepLines w:val="0"/>
              <w:widowControl/>
              <w:suppressLineNumbers w:val="0"/>
              <w:jc w:val="center"/>
              <w:textAlignment w:val="center"/>
              <w:rPr>
                <w:rFonts w:hint="eastAsia"/>
                <w:bCs/>
                <w:vertAlign w:val="baseline"/>
              </w:rPr>
            </w:pPr>
            <w:r>
              <w:rPr>
                <w:rFonts w:hint="eastAsia" w:ascii="宋体" w:hAnsi="宋体" w:eastAsia="宋体" w:cs="宋体"/>
                <w:i w:val="0"/>
                <w:iCs w:val="0"/>
                <w:color w:val="000000"/>
                <w:kern w:val="0"/>
                <w:sz w:val="20"/>
                <w:szCs w:val="20"/>
                <w:u w:val="none"/>
                <w:lang w:val="en-US" w:eastAsia="zh-CN" w:bidi="ar"/>
              </w:rPr>
              <w:t>2</w:t>
            </w:r>
          </w:p>
        </w:tc>
        <w:tc>
          <w:tcPr>
            <w:tcW w:w="1031" w:type="dxa"/>
            <w:tcBorders>
              <w:tl2br w:val="nil"/>
              <w:tr2bl w:val="nil"/>
            </w:tcBorders>
            <w:vAlign w:val="center"/>
          </w:tcPr>
          <w:p>
            <w:pPr>
              <w:keepNext w:val="0"/>
              <w:keepLines w:val="0"/>
              <w:widowControl/>
              <w:suppressLineNumbers w:val="0"/>
              <w:jc w:val="center"/>
              <w:textAlignment w:val="center"/>
              <w:rPr>
                <w:rFonts w:hint="eastAsia"/>
                <w:bCs/>
                <w:vertAlign w:val="baseline"/>
              </w:rPr>
            </w:pPr>
            <w:r>
              <w:rPr>
                <w:rFonts w:hint="eastAsia" w:ascii="宋体" w:hAnsi="宋体" w:eastAsia="宋体" w:cs="宋体"/>
                <w:i w:val="0"/>
                <w:iCs w:val="0"/>
                <w:color w:val="000000"/>
                <w:kern w:val="0"/>
                <w:sz w:val="20"/>
                <w:szCs w:val="20"/>
                <w:u w:val="none"/>
                <w:lang w:val="en-US" w:eastAsia="zh-CN" w:bidi="ar"/>
              </w:rPr>
              <w:t>轴承</w:t>
            </w: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r>
              <w:rPr>
                <w:rFonts w:hint="eastAsia" w:ascii="宋体" w:hAnsi="宋体" w:eastAsia="宋体" w:cs="宋体"/>
                <w:i w:val="0"/>
                <w:iCs w:val="0"/>
                <w:color w:val="000000"/>
                <w:kern w:val="0"/>
                <w:sz w:val="20"/>
                <w:szCs w:val="20"/>
                <w:u w:val="none"/>
                <w:lang w:val="en-US" w:eastAsia="zh-CN" w:bidi="ar"/>
              </w:rPr>
              <w:t>SKF</w:t>
            </w: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r>
              <w:rPr>
                <w:rFonts w:hint="eastAsia" w:ascii="宋体" w:hAnsi="宋体" w:eastAsia="宋体" w:cs="宋体"/>
                <w:i w:val="0"/>
                <w:iCs w:val="0"/>
                <w:color w:val="000000"/>
                <w:kern w:val="0"/>
                <w:sz w:val="20"/>
                <w:szCs w:val="20"/>
                <w:u w:val="none"/>
                <w:lang w:val="en-US" w:eastAsia="zh-CN" w:bidi="ar"/>
              </w:rPr>
              <w:t>7212BECB</w:t>
            </w: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r>
              <w:rPr>
                <w:rFonts w:hint="eastAsia" w:ascii="宋体" w:hAnsi="宋体" w:eastAsia="宋体" w:cs="宋体"/>
                <w:i w:val="0"/>
                <w:iCs w:val="0"/>
                <w:color w:val="000000"/>
                <w:kern w:val="0"/>
                <w:sz w:val="20"/>
                <w:szCs w:val="20"/>
                <w:u w:val="none"/>
                <w:lang w:val="en-US" w:eastAsia="zh-CN" w:bidi="ar"/>
              </w:rPr>
              <w:t>能源</w:t>
            </w: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r>
              <w:rPr>
                <w:rFonts w:hint="eastAsia" w:ascii="宋体" w:hAnsi="宋体" w:eastAsia="宋体" w:cs="宋体"/>
                <w:i w:val="0"/>
                <w:iCs w:val="0"/>
                <w:color w:val="000000"/>
                <w:kern w:val="0"/>
                <w:sz w:val="20"/>
                <w:szCs w:val="20"/>
                <w:u w:val="none"/>
                <w:lang w:val="en-US" w:eastAsia="zh-CN" w:bidi="ar"/>
              </w:rPr>
              <w:t>件</w:t>
            </w: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r>
              <w:rPr>
                <w:rFonts w:hint="eastAsia" w:ascii="宋体" w:hAnsi="宋体" w:eastAsia="宋体" w:cs="宋体"/>
                <w:i w:val="0"/>
                <w:iCs w:val="0"/>
                <w:color w:val="000000"/>
                <w:kern w:val="0"/>
                <w:sz w:val="20"/>
                <w:szCs w:val="20"/>
                <w:u w:val="none"/>
                <w:lang w:val="en-US" w:eastAsia="zh-CN" w:bidi="ar"/>
              </w:rPr>
              <w:t>4</w:t>
            </w: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31" w:type="dxa"/>
            <w:tcBorders>
              <w:tl2br w:val="nil"/>
              <w:tr2bl w:val="nil"/>
            </w:tcBorders>
            <w:vAlign w:val="center"/>
          </w:tcPr>
          <w:p>
            <w:pPr>
              <w:keepNext w:val="0"/>
              <w:keepLines w:val="0"/>
              <w:widowControl/>
              <w:suppressLineNumbers w:val="0"/>
              <w:jc w:val="center"/>
              <w:textAlignment w:val="center"/>
              <w:rPr>
                <w:rFonts w:hint="default"/>
                <w:bCs/>
                <w:vertAlign w:val="baseline"/>
                <w:lang w:val="en-US"/>
              </w:rPr>
            </w:pPr>
            <w:r>
              <w:rPr>
                <w:rFonts w:hint="eastAsia" w:ascii="宋体" w:hAnsi="宋体" w:eastAsia="宋体" w:cs="宋体"/>
                <w:i w:val="0"/>
                <w:iCs w:val="0"/>
                <w:color w:val="000000"/>
                <w:kern w:val="0"/>
                <w:sz w:val="20"/>
                <w:szCs w:val="20"/>
                <w:u w:val="none"/>
                <w:lang w:val="en-US" w:eastAsia="zh-CN" w:bidi="ar"/>
              </w:rPr>
              <w:t>...</w:t>
            </w:r>
          </w:p>
        </w:tc>
        <w:tc>
          <w:tcPr>
            <w:tcW w:w="1031"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c>
          <w:tcPr>
            <w:tcW w:w="1032" w:type="dxa"/>
            <w:tcBorders>
              <w:tl2br w:val="nil"/>
              <w:tr2bl w:val="nil"/>
            </w:tcBorders>
            <w:vAlign w:val="center"/>
          </w:tcPr>
          <w:p>
            <w:pPr>
              <w:keepNext w:val="0"/>
              <w:keepLines w:val="0"/>
              <w:widowControl/>
              <w:suppressLineNumbers w:val="0"/>
              <w:jc w:val="center"/>
              <w:textAlignment w:val="center"/>
              <w:rPr>
                <w:rFonts w:hint="eastAsia"/>
                <w:bCs/>
                <w:vertAlign w:val="baseline"/>
              </w:rPr>
            </w:pPr>
          </w:p>
        </w:tc>
      </w:tr>
    </w:tbl>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4.货物数量</w:t>
      </w:r>
      <w:r>
        <w:rPr>
          <w:rFonts w:hint="eastAsia" w:ascii="宋体" w:hAnsi="宋体" w:eastAsia="宋体" w:cs="宋体"/>
          <w:sz w:val="24"/>
          <w:szCs w:val="24"/>
          <w:u w:val="single"/>
        </w:rPr>
        <w:t>：按需供货，按实结</w:t>
      </w:r>
      <w:r>
        <w:rPr>
          <w:rFonts w:hint="eastAsia" w:ascii="宋体" w:hAnsi="宋体" w:eastAsia="宋体" w:cs="宋体"/>
          <w:color w:val="auto"/>
          <w:sz w:val="24"/>
          <w:szCs w:val="24"/>
          <w:u w:val="single"/>
        </w:rPr>
        <w:t>算</w:t>
      </w:r>
      <w:r>
        <w:rPr>
          <w:rFonts w:hint="eastAsia" w:ascii="宋体" w:hAnsi="宋体" w:eastAsia="宋体" w:cs="宋体"/>
          <w:color w:val="auto"/>
          <w:sz w:val="24"/>
          <w:szCs w:val="24"/>
        </w:rPr>
        <w:t>；合同清单数量仅为甲方暂定数量，乙方须按照甲方的采购订单数量供货，不得以超过合同暂定数量为由停止供货。</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三、合同期限、货物交付期限、地点和联系方式、交付方式</w:t>
      </w:r>
    </w:p>
    <w:p>
      <w:pPr>
        <w:pStyle w:val="7"/>
        <w:ind w:firstLine="480" w:firstLineChars="200"/>
        <w:rPr>
          <w:rFonts w:hint="eastAsia" w:ascii="宋体" w:hAnsi="宋体" w:eastAsia="宋体" w:cs="宋体"/>
          <w:sz w:val="24"/>
          <w:szCs w:val="24"/>
          <w:lang w:val="en-US"/>
        </w:rPr>
      </w:pPr>
      <w:r>
        <w:rPr>
          <w:rFonts w:hint="eastAsia" w:ascii="宋体" w:hAnsi="宋体" w:eastAsia="宋体" w:cs="宋体"/>
          <w:sz w:val="24"/>
          <w:szCs w:val="24"/>
        </w:rPr>
        <w:t>1.合同期限：</w:t>
      </w:r>
      <w:r>
        <w:rPr>
          <w:rFonts w:hint="eastAsia" w:ascii="宋体" w:hAnsi="宋体" w:eastAsia="宋体" w:cs="宋体"/>
          <w:sz w:val="24"/>
          <w:szCs w:val="24"/>
          <w:lang w:val="en-US" w:eastAsia="zh-CN"/>
        </w:rPr>
        <w:t>自合同签订后12个月；</w:t>
      </w:r>
    </w:p>
    <w:p>
      <w:pPr>
        <w:pStyle w:val="7"/>
        <w:ind w:firstLine="480" w:firstLineChars="200"/>
        <w:rPr>
          <w:rFonts w:hint="eastAsia" w:ascii="宋体" w:hAnsi="宋体" w:eastAsia="宋体" w:cs="宋体"/>
          <w:sz w:val="24"/>
          <w:szCs w:val="24"/>
        </w:rPr>
      </w:pPr>
      <w:r>
        <w:rPr>
          <w:rFonts w:hint="eastAsia" w:ascii="宋体" w:hAnsi="宋体" w:eastAsia="宋体" w:cs="宋体"/>
          <w:sz w:val="24"/>
          <w:szCs w:val="24"/>
        </w:rPr>
        <w:t>2.履约方式：</w:t>
      </w:r>
      <w:r>
        <w:rPr>
          <w:rFonts w:hint="eastAsia" w:ascii="宋体" w:hAnsi="宋体" w:eastAsia="宋体" w:cs="宋体"/>
          <w:sz w:val="24"/>
          <w:szCs w:val="24"/>
          <w:lang w:val="en-US" w:eastAsia="zh-CN"/>
        </w:rPr>
        <w:t>分批供货</w:t>
      </w:r>
      <w:r>
        <w:rPr>
          <w:rFonts w:hint="eastAsia" w:ascii="宋体" w:hAnsi="宋体" w:eastAsia="宋体" w:cs="宋体"/>
          <w:sz w:val="24"/>
          <w:szCs w:val="24"/>
          <w:lang w:val="en-US"/>
        </w:rPr>
        <w:t>。在采购人发出送货通知后，成交人</w:t>
      </w:r>
      <w:r>
        <w:rPr>
          <w:rFonts w:hint="eastAsia" w:ascii="宋体" w:hAnsi="宋体" w:eastAsia="宋体" w:cs="宋体"/>
          <w:sz w:val="24"/>
          <w:szCs w:val="24"/>
          <w:lang w:val="en-US" w:eastAsia="zh-CN"/>
        </w:rPr>
        <w:t>30个工作日内将货物</w:t>
      </w:r>
      <w:r>
        <w:rPr>
          <w:rFonts w:hint="eastAsia" w:ascii="宋体" w:hAnsi="宋体" w:eastAsia="宋体" w:cs="宋体"/>
          <w:sz w:val="24"/>
          <w:szCs w:val="24"/>
          <w:lang w:val="en-US"/>
        </w:rPr>
        <w:t>如数送至采购人指定地点；</w:t>
      </w:r>
    </w:p>
    <w:p>
      <w:pPr>
        <w:pStyle w:val="7"/>
        <w:ind w:firstLine="480" w:firstLineChars="200"/>
        <w:rPr>
          <w:rFonts w:hint="eastAsia" w:ascii="宋体" w:hAnsi="宋体" w:eastAsia="宋体" w:cs="宋体"/>
          <w:sz w:val="24"/>
          <w:szCs w:val="24"/>
        </w:rPr>
      </w:pPr>
      <w:r>
        <w:rPr>
          <w:rFonts w:hint="eastAsia" w:ascii="宋体" w:hAnsi="宋体" w:eastAsia="宋体" w:cs="宋体"/>
          <w:sz w:val="24"/>
          <w:szCs w:val="24"/>
        </w:rPr>
        <w:t>3.交付地点：浙江省杭州市钱塘区临江街道红十五路10388-123号，杭州临江环境能源有限公司厂区内 ；</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4.交付甲方联系人：</w:t>
      </w:r>
      <w:r>
        <w:rPr>
          <w:rFonts w:hint="eastAsia" w:ascii="宋体" w:hAnsi="宋体" w:eastAsia="宋体" w:cs="宋体"/>
          <w:sz w:val="24"/>
          <w:szCs w:val="24"/>
          <w:u w:val="single"/>
        </w:rPr>
        <w:t>按采购订单要求执行 ；</w:t>
      </w:r>
    </w:p>
    <w:p>
      <w:pPr>
        <w:spacing w:line="360" w:lineRule="auto"/>
        <w:ind w:firstLine="480" w:firstLineChars="200"/>
        <w:outlineLvl w:val="0"/>
        <w:rPr>
          <w:rFonts w:hint="eastAsia" w:ascii="宋体" w:hAnsi="宋体" w:eastAsia="宋体" w:cs="宋体"/>
          <w:sz w:val="24"/>
          <w:szCs w:val="24"/>
        </w:rPr>
      </w:pPr>
      <w:r>
        <w:rPr>
          <w:rFonts w:hint="eastAsia" w:ascii="宋体" w:hAnsi="宋体" w:eastAsia="宋体" w:cs="宋体"/>
          <w:sz w:val="24"/>
          <w:szCs w:val="24"/>
        </w:rPr>
        <w:t>5.乙方联系人及联系方式：</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6.交付方式：</w:t>
      </w:r>
      <w:r>
        <w:rPr>
          <w:rFonts w:hint="eastAsia" w:ascii="宋体" w:hAnsi="宋体" w:eastAsia="宋体" w:cs="宋体"/>
          <w:sz w:val="24"/>
          <w:szCs w:val="24"/>
          <w:u w:val="single"/>
        </w:rPr>
        <w:t xml:space="preserve"> 按采购订单要求执行 ，基本要求如下：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（1）推荐乙方安排自有员工送货到甲方指定地点；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（2）乙方委托物流公司交货的，乙方应提前告知甲方经办人员，同时须授权物流人员办理交货、验收、退换货等事宜。</w:t>
      </w:r>
    </w:p>
    <w:p>
      <w:pPr>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（3）特殊情况下，双方友好协商解决。</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四、技术和质量要求</w:t>
      </w:r>
    </w:p>
    <w:p>
      <w:pPr>
        <w:pStyle w:val="24"/>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品牌和型号等技术参数满足采购内容中的规格型号/技术要求，具有国家、地方、行业标准、规范（含强制适用标准、规范和推荐适用标准、规范）的，按相应标准、规范执行（不同标准、规范之间要求不一的，按要求较高者执行）。 </w:t>
      </w:r>
    </w:p>
    <w:p>
      <w:pPr>
        <w:pStyle w:val="24"/>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2.乙方提供的</w:t>
      </w:r>
      <w:r>
        <w:rPr>
          <w:rFonts w:hint="eastAsia" w:eastAsia="宋体" w:cs="宋体"/>
          <w:sz w:val="24"/>
          <w:szCs w:val="24"/>
          <w:lang w:eastAsia="zh-CN"/>
        </w:rPr>
        <w:t>轴承</w:t>
      </w:r>
      <w:r>
        <w:rPr>
          <w:rFonts w:hint="eastAsia" w:ascii="宋体" w:hAnsi="宋体" w:eastAsia="宋体" w:cs="宋体"/>
          <w:sz w:val="24"/>
          <w:szCs w:val="24"/>
        </w:rPr>
        <w:t>必须为原厂正品，不得为假冒伪劣产品。</w:t>
      </w:r>
    </w:p>
    <w:p>
      <w:pPr>
        <w:spacing w:line="360" w:lineRule="auto"/>
        <w:ind w:firstLine="482" w:firstLineChars="200"/>
        <w:rPr>
          <w:rFonts w:hint="eastAsia" w:ascii="宋体" w:hAnsi="宋体" w:eastAsia="宋体" w:cs="宋体"/>
          <w:b/>
          <w:sz w:val="24"/>
          <w:szCs w:val="24"/>
        </w:rPr>
      </w:pPr>
      <w:bookmarkStart w:id="394" w:name="_Toc6596"/>
      <w:bookmarkStart w:id="395" w:name="_Toc14563"/>
      <w:bookmarkStart w:id="396" w:name="_Toc1125"/>
      <w:r>
        <w:rPr>
          <w:rFonts w:hint="eastAsia" w:ascii="宋体" w:hAnsi="宋体" w:eastAsia="宋体" w:cs="宋体"/>
          <w:b/>
          <w:sz w:val="24"/>
          <w:szCs w:val="24"/>
        </w:rPr>
        <w:t>五、服务要求</w:t>
      </w:r>
    </w:p>
    <w:p>
      <w:pPr>
        <w:pStyle w:val="7"/>
        <w:ind w:firstLine="480" w:firstLineChars="200"/>
        <w:rPr>
          <w:rFonts w:hint="eastAsia" w:ascii="宋体" w:hAnsi="宋体" w:eastAsia="宋体" w:cs="宋体"/>
          <w:b/>
          <w:bCs/>
          <w:sz w:val="24"/>
          <w:szCs w:val="24"/>
          <w:lang w:val="en-US"/>
        </w:rPr>
      </w:pPr>
      <w:r>
        <w:rPr>
          <w:rFonts w:hint="eastAsia" w:ascii="宋体" w:hAnsi="宋体" w:eastAsia="宋体" w:cs="宋体"/>
          <w:sz w:val="24"/>
          <w:szCs w:val="24"/>
          <w:lang w:val="en-US"/>
        </w:rPr>
        <w:t>1.根据甲方生产计划，成交人负责在接到采购人电话或书面通知后在15个工作日内完成供货。乙方负责卸货，人工费由乙方承担，甲方可免费提供叉车服务。</w:t>
      </w:r>
    </w:p>
    <w:p>
      <w:pPr>
        <w:pStyle w:val="7"/>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7"/>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3.甲方不再对任何售后服务进行付费。乙方的派遣人员产生的一切费用由供应商承担。</w:t>
      </w:r>
    </w:p>
    <w:p>
      <w:pPr>
        <w:pStyle w:val="7"/>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4.在乙方所提供的货物使用过程中，经甲方检测不合格的，乙方应在12小时内更换合格货物，如造成甲方机械设备故障或货物损坏，由乙方承担甲方的一切损失，包括直接和间接损失。</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六、检验和验收</w:t>
      </w:r>
      <w:bookmarkEnd w:id="394"/>
      <w:bookmarkEnd w:id="395"/>
      <w:bookmarkEnd w:id="396"/>
    </w:p>
    <w:p>
      <w:pPr>
        <w:tabs>
          <w:tab w:val="left" w:pos="360"/>
          <w:tab w:val="left" w:pos="540"/>
          <w:tab w:val="left" w:pos="1080"/>
        </w:tabs>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rPr>
        <w:t>1.货物交付前，乙方应对货物的质量、数量等方面进行详细、全面的检验，并向甲方</w:t>
      </w:r>
      <w:r>
        <w:rPr>
          <w:rFonts w:hint="eastAsia" w:ascii="宋体" w:hAnsi="宋体" w:eastAsia="宋体" w:cs="宋体"/>
          <w:b/>
          <w:bCs/>
          <w:sz w:val="24"/>
          <w:szCs w:val="24"/>
          <w:u w:val="single"/>
        </w:rPr>
        <w:t>出具证明货物符合合同约定的文件</w:t>
      </w:r>
      <w:r>
        <w:rPr>
          <w:rFonts w:hint="eastAsia" w:ascii="宋体" w:hAnsi="宋体" w:eastAsia="宋体" w:cs="宋体"/>
          <w:sz w:val="24"/>
          <w:szCs w:val="24"/>
        </w:rPr>
        <w:t>；货物交付时，甲方在</w:t>
      </w:r>
      <w:r>
        <w:rPr>
          <w:rFonts w:hint="eastAsia" w:ascii="宋体" w:hAnsi="宋体" w:eastAsia="宋体" w:cs="宋体"/>
          <w:b/>
          <w:sz w:val="24"/>
          <w:szCs w:val="24"/>
          <w:u w:val="single"/>
        </w:rPr>
        <w:t>5个工作日</w:t>
      </w:r>
      <w:r>
        <w:rPr>
          <w:rFonts w:hint="eastAsia" w:ascii="宋体" w:hAnsi="宋体" w:eastAsia="宋体" w:cs="宋体"/>
          <w:sz w:val="24"/>
          <w:szCs w:val="24"/>
        </w:rPr>
        <w:t>内组织验收，验收应出具</w:t>
      </w:r>
      <w:r>
        <w:rPr>
          <w:rFonts w:hint="eastAsia" w:ascii="宋体" w:hAnsi="宋体" w:eastAsia="宋体" w:cs="宋体"/>
          <w:b/>
          <w:bCs/>
          <w:sz w:val="24"/>
          <w:szCs w:val="24"/>
          <w:u w:val="single"/>
        </w:rPr>
        <w:t>验收单</w:t>
      </w:r>
      <w:r>
        <w:rPr>
          <w:rFonts w:hint="eastAsia" w:ascii="宋体" w:hAnsi="宋体" w:eastAsia="宋体" w:cs="宋体"/>
          <w:sz w:val="24"/>
          <w:szCs w:val="24"/>
          <w:u w:val="single"/>
        </w:rPr>
        <w:t>（</w:t>
      </w:r>
      <w:r>
        <w:rPr>
          <w:rFonts w:hint="eastAsia" w:ascii="宋体" w:hAnsi="宋体" w:eastAsia="宋体" w:cs="宋体"/>
          <w:sz w:val="24"/>
          <w:szCs w:val="24"/>
        </w:rPr>
        <w:t>如因货物检测需要更长时间的，组织验收时间为自货物交付之日起至甲方收到检测报告后5个工作日内）</w:t>
      </w:r>
      <w:r>
        <w:rPr>
          <w:rFonts w:hint="eastAsia" w:ascii="宋体" w:hAnsi="宋体" w:eastAsia="宋体" w:cs="宋体"/>
          <w:b/>
          <w:bCs/>
          <w:sz w:val="24"/>
          <w:szCs w:val="24"/>
        </w:rPr>
        <w:t>。</w:t>
      </w:r>
      <w:r>
        <w:rPr>
          <w:rFonts w:hint="eastAsia" w:ascii="宋体" w:hAnsi="宋体" w:eastAsia="宋体" w:cs="宋体"/>
          <w:sz w:val="24"/>
          <w:szCs w:val="24"/>
        </w:rPr>
        <w:t>若甲方认为有必要可邀请相关方参加。</w:t>
      </w:r>
    </w:p>
    <w:p>
      <w:pPr>
        <w:tabs>
          <w:tab w:val="left" w:pos="360"/>
          <w:tab w:val="left" w:pos="540"/>
          <w:tab w:val="left" w:pos="108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2.证明货物符合合同约定的文件是指包括但不限于合格证、检测报告（制造厂家或者第三方机构）、质量承诺（格式自拟）等证明材料。以下情况在甲方同意的前提下，可采用质量承诺的方式：</w:t>
      </w:r>
    </w:p>
    <w:p>
      <w:pPr>
        <w:tabs>
          <w:tab w:val="left" w:pos="360"/>
          <w:tab w:val="left" w:pos="540"/>
          <w:tab w:val="left" w:pos="108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（1）低值易耗或者非标件等货物不能提供合格证或者检测报告的；</w:t>
      </w:r>
    </w:p>
    <w:p>
      <w:pPr>
        <w:tabs>
          <w:tab w:val="left" w:pos="360"/>
          <w:tab w:val="left" w:pos="540"/>
          <w:tab w:val="left" w:pos="108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（2）非关键部位的货物，品牌制造商或者集成商采用外购形式的。</w:t>
      </w:r>
    </w:p>
    <w:p>
      <w:pPr>
        <w:tabs>
          <w:tab w:val="left" w:pos="360"/>
          <w:tab w:val="left" w:pos="540"/>
          <w:tab w:val="left" w:pos="108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eastAsia="宋体" w:cs="宋体"/>
          <w:i/>
          <w:sz w:val="24"/>
          <w:szCs w:val="24"/>
        </w:rPr>
      </w:pPr>
      <w:r>
        <w:rPr>
          <w:rFonts w:hint="eastAsia" w:ascii="宋体" w:hAnsi="宋体" w:eastAsia="宋体" w:cs="宋体"/>
          <w:sz w:val="24"/>
          <w:szCs w:val="24"/>
        </w:rPr>
        <w:t>5.检验和验收标准、程序等具体内容以及前述验收书的效力如下：</w:t>
      </w:r>
    </w:p>
    <w:p>
      <w:pPr>
        <w:tabs>
          <w:tab w:val="left" w:pos="360"/>
          <w:tab w:val="left" w:pos="540"/>
          <w:tab w:val="left" w:pos="1080"/>
        </w:tabs>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u w:val="single"/>
        </w:rPr>
        <w:t>有合法资质第三方机构验收单或者验收报告效力&gt;甲方的验收单或者验收报告&gt;合格证或出厂检测报告。</w:t>
      </w:r>
      <w:r>
        <w:rPr>
          <w:rFonts w:hint="eastAsia" w:ascii="宋体" w:hAnsi="宋体" w:eastAsia="宋体" w:cs="宋体"/>
          <w:b/>
          <w:sz w:val="24"/>
          <w:szCs w:val="24"/>
        </w:rPr>
        <w:t xml:space="preserve"> </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七、验收特别约定条款</w:t>
      </w:r>
    </w:p>
    <w:p>
      <w:pPr>
        <w:pStyle w:val="8"/>
        <w:rPr>
          <w:lang w:val="en-US"/>
        </w:rPr>
      </w:pPr>
      <w:r>
        <w:rPr>
          <w:rFonts w:hint="eastAsia" w:ascii="宋体" w:hAnsi="宋体" w:eastAsia="宋体" w:cs="宋体"/>
          <w:sz w:val="24"/>
          <w:szCs w:val="24"/>
          <w:lang w:val="en-US"/>
        </w:rPr>
        <w:t>1.</w:t>
      </w:r>
      <w:r>
        <w:rPr>
          <w:rFonts w:hint="eastAsia"/>
          <w:lang w:val="en-US"/>
        </w:rPr>
        <w:t>中标人提供轴承上游供货方的发票、合同（与本次采购的品种、数量、品牌、时间相符合），该上游供货方须为该品牌的授权经销商，同时提供品牌经销授权书。</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八、履约保证金</w:t>
      </w:r>
    </w:p>
    <w:p>
      <w:pPr>
        <w:pStyle w:val="24"/>
        <w:spacing w:before="0" w:beforeAutospacing="0" w:after="0" w:afterAutospacing="0" w:line="360" w:lineRule="auto"/>
        <w:ind w:firstLine="480"/>
        <w:rPr>
          <w:rFonts w:hint="eastAsia"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sym w:font="Wingdings" w:char="00FE"/>
      </w:r>
      <w:r>
        <w:rPr>
          <w:rFonts w:hint="eastAsia" w:ascii="宋体" w:hAnsi="宋体" w:eastAsia="宋体" w:cs="宋体"/>
          <w:sz w:val="24"/>
          <w:szCs w:val="24"/>
          <w:u w:val="single"/>
        </w:rPr>
        <w:t xml:space="preserve">是  </w:t>
      </w:r>
      <w:r>
        <w:rPr>
          <w:rFonts w:hint="eastAsia" w:ascii="宋体" w:hAnsi="宋体" w:eastAsia="宋体" w:cs="宋体"/>
          <w:sz w:val="24"/>
          <w:szCs w:val="24"/>
          <w:u w:val="single"/>
        </w:rPr>
        <w:sym w:font="Wingdings" w:char="00A8"/>
      </w:r>
      <w:r>
        <w:rPr>
          <w:rFonts w:hint="eastAsia" w:ascii="宋体" w:hAnsi="宋体" w:eastAsia="宋体" w:cs="宋体"/>
          <w:sz w:val="24"/>
          <w:szCs w:val="24"/>
          <w:u w:val="single"/>
        </w:rPr>
        <w:t xml:space="preserve">否   </w:t>
      </w:r>
      <w:r>
        <w:rPr>
          <w:rFonts w:hint="eastAsia" w:ascii="宋体" w:hAnsi="宋体" w:eastAsia="宋体" w:cs="宋体"/>
          <w:sz w:val="24"/>
          <w:szCs w:val="24"/>
        </w:rPr>
        <w:t>需要支付履约保证金。若需要支付履约保证金的，则：</w:t>
      </w:r>
    </w:p>
    <w:p>
      <w:pPr>
        <w:pStyle w:val="7"/>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1.履约保证金的比例为合同金额的</w:t>
      </w:r>
      <w:r>
        <w:rPr>
          <w:rFonts w:hint="eastAsia" w:ascii="宋体" w:hAnsi="宋体" w:eastAsia="宋体" w:cs="宋体"/>
          <w:sz w:val="24"/>
          <w:szCs w:val="24"/>
          <w:u w:val="single"/>
          <w:lang w:val="en-US"/>
        </w:rPr>
        <w:t xml:space="preserve">  5   </w:t>
      </w:r>
      <w:r>
        <w:rPr>
          <w:rFonts w:hint="eastAsia" w:ascii="宋体" w:hAnsi="宋体" w:eastAsia="宋体" w:cs="宋体"/>
          <w:sz w:val="24"/>
          <w:szCs w:val="24"/>
          <w:lang w:val="en-US"/>
        </w:rPr>
        <w:t>%，金额为</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en-US"/>
        </w:rPr>
        <w:t>元；</w:t>
      </w:r>
    </w:p>
    <w:p>
      <w:pPr>
        <w:pStyle w:val="7"/>
        <w:ind w:firstLine="480" w:firstLineChars="200"/>
        <w:rPr>
          <w:lang w:val="en-US"/>
        </w:rPr>
      </w:pPr>
      <w:r>
        <w:rPr>
          <w:rFonts w:hint="eastAsia"/>
          <w:lang w:val="en-US"/>
        </w:rPr>
        <w:t>2.履约保证金支付时间：乙方应于本合同签订前按招标文件和本合同约定的支付履约保证金；</w:t>
      </w:r>
    </w:p>
    <w:p>
      <w:pPr>
        <w:pStyle w:val="7"/>
        <w:ind w:firstLine="480" w:firstLineChars="200"/>
        <w:rPr>
          <w:lang w:val="en-US"/>
        </w:rPr>
      </w:pPr>
      <w:r>
        <w:rPr>
          <w:lang w:val="en-US"/>
        </w:rPr>
        <w:t>3.</w:t>
      </w:r>
      <w:r>
        <w:rPr>
          <w:rFonts w:hint="eastAsia"/>
          <w:lang w:val="en-US"/>
        </w:rPr>
        <w:t>履约保证金支付方式： 电汇/转账 ；账户信息如下：</w:t>
      </w:r>
    </w:p>
    <w:p>
      <w:pPr>
        <w:pStyle w:val="7"/>
        <w:ind w:firstLine="480" w:firstLineChars="200"/>
        <w:rPr>
          <w:lang w:val="en-US"/>
        </w:rPr>
      </w:pPr>
      <w:r>
        <w:rPr>
          <w:rFonts w:hint="eastAsia"/>
          <w:lang w:val="en-US"/>
        </w:rPr>
        <w:t xml:space="preserve">名称：杭州临江环境能源有限公司   </w:t>
      </w:r>
    </w:p>
    <w:p>
      <w:pPr>
        <w:pStyle w:val="7"/>
        <w:ind w:firstLine="480" w:firstLineChars="200"/>
        <w:rPr>
          <w:lang w:val="en-US"/>
        </w:rPr>
      </w:pPr>
      <w:r>
        <w:rPr>
          <w:rFonts w:hint="eastAsia"/>
          <w:lang w:val="en-US"/>
        </w:rPr>
        <w:t>税号：91330100MA2B02NX2L</w:t>
      </w:r>
    </w:p>
    <w:p>
      <w:pPr>
        <w:pStyle w:val="7"/>
        <w:ind w:firstLine="480" w:firstLineChars="200"/>
        <w:rPr>
          <w:lang w:val="en-US"/>
        </w:rPr>
      </w:pPr>
      <w:r>
        <w:rPr>
          <w:rFonts w:hint="eastAsia"/>
          <w:lang w:val="en-US"/>
        </w:rPr>
        <w:t>地址电话：浙江省杭州市钱塘区临江街道红十五路10388-123号 0571-81997919</w:t>
      </w:r>
    </w:p>
    <w:p>
      <w:pPr>
        <w:pStyle w:val="7"/>
        <w:ind w:firstLine="480" w:firstLineChars="200"/>
        <w:rPr>
          <w:lang w:val="en-US"/>
        </w:rPr>
      </w:pPr>
      <w:r>
        <w:rPr>
          <w:rFonts w:hint="eastAsia"/>
          <w:lang w:val="en-US"/>
        </w:rPr>
        <w:t>开户行及账号：杭州银行大江东支行 3301040160008775754</w:t>
      </w:r>
    </w:p>
    <w:p>
      <w:pPr>
        <w:pStyle w:val="7"/>
        <w:ind w:firstLine="480" w:firstLineChars="200"/>
        <w:rPr>
          <w:lang w:val="en-US"/>
        </w:rPr>
      </w:pPr>
      <w:r>
        <w:rPr>
          <w:lang w:val="en-US"/>
        </w:rPr>
        <w:t>4</w:t>
      </w:r>
      <w:r>
        <w:rPr>
          <w:rFonts w:hint="eastAsia"/>
          <w:lang w:val="en-US"/>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pStyle w:val="7"/>
        <w:ind w:firstLine="480" w:firstLineChars="200"/>
        <w:rPr>
          <w:lang w:val="en-US"/>
        </w:rPr>
      </w:pPr>
      <w:r>
        <w:rPr>
          <w:lang w:val="en-US"/>
        </w:rPr>
        <w:t>5</w:t>
      </w:r>
      <w:r>
        <w:rPr>
          <w:rFonts w:hint="eastAsia"/>
          <w:lang w:val="en-US"/>
        </w:rPr>
        <w:t>.甲方在项目验收结束后及时退还履约保证金。甲方在项目通过验收之日起</w:t>
      </w:r>
      <w:r>
        <w:rPr>
          <w:rFonts w:hint="eastAsia"/>
          <w:u w:val="single"/>
          <w:lang w:val="en-US"/>
        </w:rPr>
        <w:t xml:space="preserve">   30 </w:t>
      </w:r>
      <w:r>
        <w:rPr>
          <w:rFonts w:hint="eastAsia"/>
          <w:lang w:val="en-US"/>
        </w:rPr>
        <w:t>个工作日内将履约保证金无息退还乙方。</w:t>
      </w:r>
    </w:p>
    <w:p>
      <w:pPr>
        <w:pStyle w:val="7"/>
        <w:ind w:firstLine="480" w:firstLineChars="200"/>
        <w:rPr>
          <w:lang w:val="en-US"/>
        </w:rPr>
      </w:pPr>
      <w:r>
        <w:rPr>
          <w:lang w:val="en-US"/>
        </w:rPr>
        <w:t>6</w:t>
      </w:r>
      <w:r>
        <w:rPr>
          <w:rFonts w:hint="eastAsia"/>
          <w:lang w:val="en-US"/>
        </w:rPr>
        <w:t>.乙方提前完成合同约定内容且无任何遗留问题，双方可提前终止合同（按第二章合同一般条款中的合同中止、终止条款执行），甲方应在终止合同之后提前退还乙方履约保证金。</w:t>
      </w:r>
    </w:p>
    <w:bookmarkEnd w:id="391"/>
    <w:bookmarkEnd w:id="392"/>
    <w:bookmarkEnd w:id="393"/>
    <w:p>
      <w:pPr>
        <w:spacing w:line="360" w:lineRule="auto"/>
        <w:ind w:firstLine="482" w:firstLineChars="200"/>
        <w:rPr>
          <w:rFonts w:ascii="宋体" w:hAnsi="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spacing w:line="360" w:lineRule="auto"/>
        <w:ind w:firstLine="482" w:firstLineChars="200"/>
        <w:rPr>
          <w:rFonts w:ascii="宋体" w:hAnsi="宋体" w:cs="宋体"/>
          <w:b/>
          <w:sz w:val="24"/>
        </w:rPr>
      </w:pPr>
      <w:r>
        <w:rPr>
          <w:rFonts w:hint="eastAsia" w:ascii="宋体" w:hAnsi="宋体" w:cs="宋体"/>
          <w:b/>
          <w:sz w:val="24"/>
        </w:rPr>
        <w:t>十、资金支付</w:t>
      </w:r>
    </w:p>
    <w:p>
      <w:pPr>
        <w:pStyle w:val="24"/>
        <w:spacing w:before="0" w:beforeAutospacing="0" w:after="0" w:afterAutospacing="0" w:line="360" w:lineRule="auto"/>
        <w:ind w:firstLine="480"/>
      </w:pPr>
      <w:bookmarkStart w:id="397" w:name="_Toc32071"/>
      <w:bookmarkStart w:id="398" w:name="_Toc19304"/>
      <w:bookmarkStart w:id="399" w:name="_Toc2846"/>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p>
      <w:pPr>
        <w:pStyle w:val="24"/>
        <w:spacing w:before="0" w:beforeAutospacing="0" w:after="0" w:afterAutospacing="0" w:line="360" w:lineRule="auto"/>
        <w:ind w:firstLine="480"/>
        <w:rPr>
          <w:rFonts w:hint="eastAsia"/>
        </w:rPr>
      </w:pPr>
      <w:r>
        <w:rPr>
          <w:rFonts w:hint="eastAsia"/>
        </w:rPr>
        <w:t>（1） 按月支付，本月货款次月结算，甲方收到乙方提供的增值税专用发票后，甲方在本合同约定时间内完成支付 ；</w:t>
      </w:r>
    </w:p>
    <w:p>
      <w:pPr>
        <w:pStyle w:val="24"/>
        <w:spacing w:before="0" w:beforeAutospacing="0" w:after="0" w:afterAutospacing="0" w:line="360" w:lineRule="auto"/>
        <w:ind w:firstLine="480"/>
      </w:pPr>
      <w:r>
        <w:rPr>
          <w:rFonts w:hint="eastAsia"/>
        </w:rPr>
        <w:t>（2）按季度支付，本季度货款次季度结算，甲方收到乙方提供的增值税专用发票后，甲方在本合同约定时间内完成支付 ；</w:t>
      </w:r>
    </w:p>
    <w:p>
      <w:pPr>
        <w:pStyle w:val="24"/>
        <w:spacing w:before="0" w:beforeAutospacing="0" w:after="0" w:afterAutospacing="0" w:line="360" w:lineRule="auto"/>
        <w:ind w:firstLine="480"/>
      </w:pPr>
      <w:r>
        <w:rPr>
          <w:rFonts w:hint="eastAsia"/>
        </w:rPr>
        <w:t>（3）一次性付款，经甲方验收合格后</w:t>
      </w:r>
      <w:r>
        <w:rPr>
          <w:rFonts w:hint="eastAsia"/>
          <w:lang w:val="en-US" w:eastAsia="zh-CN"/>
        </w:rPr>
        <w:t>支付合同金额的95%</w:t>
      </w:r>
      <w:r>
        <w:rPr>
          <w:rFonts w:hint="eastAsia"/>
        </w:rPr>
        <w:t xml:space="preserve">，甲方收到乙方提供的增值税专用发票后，甲方在本合同约定时间内完成支付。  </w:t>
      </w:r>
    </w:p>
    <w:p>
      <w:pPr>
        <w:pStyle w:val="24"/>
        <w:spacing w:before="0" w:beforeAutospacing="0" w:after="0" w:afterAutospacing="0" w:line="360" w:lineRule="auto"/>
        <w:ind w:firstLine="480" w:firstLineChars="200"/>
        <w:rPr>
          <w:b/>
          <w:kern w:val="2"/>
        </w:rPr>
      </w:pPr>
      <w:r>
        <w:rPr>
          <w:rFonts w:hint="eastAsia"/>
        </w:rPr>
        <w:t>（4）其他付款方式：</w:t>
      </w:r>
      <w:r>
        <w:rPr>
          <w:rFonts w:hint="eastAsia"/>
          <w:b/>
          <w:kern w:val="2"/>
          <w:u w:val="single"/>
        </w:rPr>
        <w:t xml:space="preserve">            </w:t>
      </w:r>
      <w:r>
        <w:rPr>
          <w:rFonts w:hint="eastAsia"/>
          <w:b/>
          <w:kern w:val="2"/>
        </w:rPr>
        <w:t xml:space="preserve"> 。         </w:t>
      </w:r>
    </w:p>
    <w:bookmarkEnd w:id="397"/>
    <w:bookmarkEnd w:id="398"/>
    <w:bookmarkEnd w:id="399"/>
    <w:p>
      <w:pPr>
        <w:spacing w:line="360" w:lineRule="auto"/>
        <w:ind w:firstLine="482" w:firstLineChars="200"/>
        <w:rPr>
          <w:rFonts w:ascii="宋体" w:hAnsi="宋体" w:cs="宋体"/>
          <w:b/>
          <w:sz w:val="24"/>
        </w:rPr>
      </w:pPr>
      <w:bookmarkStart w:id="400" w:name="_Toc21423"/>
      <w:bookmarkStart w:id="401" w:name="_Toc27250"/>
      <w:bookmarkStart w:id="402" w:name="_Toc19554"/>
      <w:r>
        <w:rPr>
          <w:rFonts w:hint="eastAsia" w:ascii="宋体" w:hAnsi="宋体" w:cs="宋体"/>
          <w:b/>
          <w:sz w:val="24"/>
        </w:rPr>
        <w:t>十一、违约责任</w:t>
      </w:r>
      <w:bookmarkEnd w:id="400"/>
      <w:bookmarkEnd w:id="401"/>
      <w:bookmarkEnd w:id="402"/>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w:t>
      </w:r>
      <w:r>
        <w:rPr>
          <w:rFonts w:ascii="宋体" w:hAnsi="宋体" w:cs="宋体"/>
          <w:sz w:val="24"/>
        </w:rPr>
        <w:t>30</w:t>
      </w:r>
      <w:r>
        <w:rPr>
          <w:rFonts w:hint="eastAsia" w:ascii="宋体" w:hAnsi="宋体" w:cs="宋体"/>
          <w:sz w:val="24"/>
        </w:rPr>
        <w:t>天的，甲方有权单方解除本合同，并要求乙方一次性承担（</w:t>
      </w:r>
      <w:r>
        <w:rPr>
          <w:rFonts w:ascii="宋体" w:hAnsi="宋体" w:cs="宋体"/>
          <w:sz w:val="24"/>
        </w:rPr>
        <w:sym w:font="Wingdings" w:char="00A8"/>
      </w:r>
      <w:r>
        <w:rPr>
          <w:rFonts w:hint="eastAsia" w:ascii="宋体" w:hAnsi="宋体" w:cs="宋体"/>
          <w:sz w:val="24"/>
        </w:rPr>
        <w:t>本合同累计已发生金额/</w:t>
      </w:r>
      <w:r>
        <w:rPr>
          <w:rFonts w:ascii="宋体" w:hAnsi="宋体" w:cs="宋体"/>
          <w:sz w:val="24"/>
        </w:rPr>
        <w:sym w:font="Wingdings" w:char="00FE"/>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w:t>
      </w:r>
      <w:r>
        <w:rPr>
          <w:rFonts w:ascii="宋体" w:hAnsi="宋体" w:cs="宋体"/>
          <w:sz w:val="24"/>
        </w:rPr>
        <w:t>30</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rPr>
      </w:pPr>
      <w:r>
        <w:rPr>
          <w:rFonts w:hint="eastAsia" w:ascii="宋体" w:hAnsi="宋体" w:cs="宋体"/>
          <w:sz w:val="24"/>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rPr>
      </w:pPr>
      <w:r>
        <w:rPr>
          <w:rFonts w:hint="eastAsia" w:ascii="宋体" w:hAnsi="宋体" w:cs="宋体"/>
          <w:sz w:val="24"/>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rPr>
      </w:pPr>
      <w:r>
        <w:rPr>
          <w:rFonts w:hint="eastAsia" w:ascii="宋体" w:hAnsi="宋体" w:cs="宋体"/>
          <w:sz w:val="24"/>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rPr>
        <w:t>（4）若质保期内出现质量问题，甲方有权从质保金中扣除违约金，同时乙方应免费维修或更换。</w:t>
      </w:r>
    </w:p>
    <w:p>
      <w:pPr>
        <w:spacing w:line="360" w:lineRule="auto"/>
        <w:ind w:firstLine="482" w:firstLineChars="200"/>
        <w:rPr>
          <w:rFonts w:ascii="宋体" w:hAnsi="宋体" w:cs="宋体"/>
          <w:b/>
          <w:sz w:val="24"/>
        </w:rPr>
      </w:pPr>
      <w:bookmarkStart w:id="403" w:name="_Toc16021"/>
      <w:bookmarkStart w:id="404" w:name="_Toc15583"/>
      <w:bookmarkStart w:id="405" w:name="_Toc28375"/>
      <w:r>
        <w:rPr>
          <w:rFonts w:hint="eastAsia" w:ascii="宋体" w:hAnsi="宋体" w:cs="宋体"/>
          <w:b/>
          <w:sz w:val="24"/>
        </w:rPr>
        <w:t>十二、合同争议的解决</w:t>
      </w:r>
      <w:bookmarkEnd w:id="403"/>
      <w:bookmarkEnd w:id="404"/>
      <w:bookmarkEnd w:id="405"/>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6" w:name="_Toc15322"/>
      <w:bookmarkStart w:id="407" w:name="_Toc11173"/>
      <w:bookmarkStart w:id="408"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6"/>
    <w:bookmarkEnd w:id="407"/>
    <w:bookmarkEnd w:id="408"/>
    <w:p>
      <w:pPr>
        <w:spacing w:line="360" w:lineRule="auto"/>
        <w:ind w:firstLine="482" w:firstLineChars="20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rPr>
          <w:rFonts w:ascii="宋体" w:hAnsi="宋体" w:cs="宋体"/>
          <w:b/>
          <w:sz w:val="24"/>
        </w:rPr>
      </w:pPr>
      <w:bookmarkStart w:id="409" w:name="_Ref467379214"/>
      <w:bookmarkStart w:id="410" w:name="_Ref467379109"/>
      <w:bookmarkStart w:id="411" w:name="_Ref467379205"/>
      <w:bookmarkStart w:id="412" w:name="_Toc487900349"/>
      <w:bookmarkStart w:id="413" w:name="_Toc279701240"/>
      <w:bookmarkStart w:id="414" w:name="_Ref467379094"/>
      <w:bookmarkStart w:id="415" w:name="_Ref467378463"/>
      <w:bookmarkStart w:id="416" w:name="_Toc28763"/>
      <w:bookmarkStart w:id="417" w:name="_Toc16917"/>
      <w:bookmarkStart w:id="418" w:name="_Toc19614"/>
      <w:bookmarkStart w:id="419" w:name="_Ref467379101"/>
      <w:bookmarkStart w:id="420" w:name="_Toc259093669"/>
      <w:bookmarkStart w:id="421" w:name="_Ref467378404"/>
      <w:bookmarkStart w:id="422" w:name="_Ref467379195"/>
      <w:bookmarkStart w:id="423" w:name="_Ref467378499"/>
      <w:bookmarkStart w:id="424" w:name="_Ref467379225"/>
      <w:r>
        <w:rPr>
          <w:rFonts w:hint="eastAsia" w:ascii="宋体" w:hAnsi="宋体" w:cs="宋体"/>
          <w:b/>
          <w:sz w:val="24"/>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5" w:name="_Ref467378840"/>
      <w:r>
        <w:rPr>
          <w:rFonts w:hint="eastAsia" w:ascii="宋体" w:hAnsi="宋体" w:cs="宋体"/>
          <w:sz w:val="24"/>
        </w:rPr>
        <w:t>4. “甲方”系指与中标或成交供应商签署合同的采购人</w:t>
      </w:r>
      <w:bookmarkEnd w:id="425"/>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6" w:name="_Ref467379400"/>
      <w:r>
        <w:rPr>
          <w:rFonts w:hint="eastAsia" w:ascii="宋体" w:hAnsi="宋体" w:cs="宋体"/>
          <w:sz w:val="24"/>
        </w:rPr>
        <w:t>5.“乙方”系指根据合同约定交付货物的中标或成交供应商</w:t>
      </w:r>
      <w:bookmarkEnd w:id="426"/>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7" w:name="_Ref467379436"/>
      <w:r>
        <w:rPr>
          <w:rFonts w:hint="eastAsia" w:ascii="宋体" w:hAnsi="宋体" w:cs="宋体"/>
          <w:sz w:val="24"/>
        </w:rPr>
        <w:t>6.“现场”系指合同约定货物将要运至或者安装的地点。</w:t>
      </w:r>
      <w:bookmarkEnd w:id="427"/>
    </w:p>
    <w:p>
      <w:pPr>
        <w:spacing w:line="360" w:lineRule="auto"/>
        <w:ind w:firstLine="482" w:firstLineChars="200"/>
        <w:rPr>
          <w:rFonts w:ascii="宋体" w:hAnsi="宋体" w:cs="宋体"/>
          <w:b/>
          <w:sz w:val="24"/>
        </w:rPr>
      </w:pPr>
      <w:bookmarkStart w:id="428" w:name="_Toc487900350"/>
      <w:bookmarkStart w:id="429" w:name="_Toc27635"/>
      <w:bookmarkStart w:id="430" w:name="_Toc279701241"/>
      <w:bookmarkStart w:id="431" w:name="_Toc13336"/>
      <w:bookmarkStart w:id="432" w:name="_Toc259093670"/>
      <w:bookmarkStart w:id="433" w:name="_Toc32504"/>
      <w:r>
        <w:rPr>
          <w:rFonts w:hint="eastAsia" w:ascii="宋体" w:hAnsi="宋体" w:cs="宋体"/>
          <w:b/>
          <w:sz w:val="24"/>
        </w:rPr>
        <w:t>二、技术规范</w:t>
      </w:r>
      <w:bookmarkEnd w:id="428"/>
      <w:bookmarkEnd w:id="429"/>
      <w:bookmarkEnd w:id="430"/>
      <w:bookmarkEnd w:id="431"/>
      <w:bookmarkEnd w:id="432"/>
      <w:bookmarkEnd w:id="433"/>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rPr>
          <w:rFonts w:ascii="宋体" w:hAnsi="宋体" w:cs="宋体"/>
          <w:b/>
          <w:sz w:val="24"/>
        </w:rPr>
      </w:pPr>
      <w:bookmarkStart w:id="434" w:name="_Toc279701242"/>
      <w:bookmarkStart w:id="435" w:name="_Toc487900351"/>
      <w:bookmarkStart w:id="436" w:name="_Toc31634"/>
      <w:bookmarkStart w:id="437" w:name="_Toc259093671"/>
      <w:bookmarkStart w:id="438" w:name="_Toc9829"/>
      <w:bookmarkStart w:id="439" w:name="_Toc27853"/>
      <w:r>
        <w:rPr>
          <w:rFonts w:hint="eastAsia" w:ascii="宋体" w:hAnsi="宋体" w:cs="宋体"/>
          <w:b/>
          <w:sz w:val="24"/>
        </w:rPr>
        <w:t>三、知识产权</w:t>
      </w:r>
      <w:bookmarkEnd w:id="434"/>
      <w:bookmarkEnd w:id="435"/>
      <w:bookmarkEnd w:id="436"/>
      <w:bookmarkEnd w:id="437"/>
      <w:bookmarkEnd w:id="438"/>
      <w:bookmarkEnd w:id="439"/>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rPr>
          <w:rFonts w:ascii="宋体" w:hAnsi="宋体" w:eastAsia="宋体" w:cs="宋体"/>
          <w:b/>
          <w:sz w:val="24"/>
        </w:rPr>
      </w:pPr>
      <w:bookmarkStart w:id="440" w:name="_Toc29149"/>
      <w:bookmarkStart w:id="441" w:name="_Toc11932"/>
      <w:bookmarkStart w:id="442" w:name="_Toc4194"/>
      <w:r>
        <w:rPr>
          <w:rFonts w:hint="eastAsia" w:ascii="宋体" w:hAnsi="宋体" w:cs="宋体"/>
          <w:b/>
          <w:sz w:val="24"/>
        </w:rPr>
        <w:t>四、装运包装</w:t>
      </w:r>
      <w:bookmarkEnd w:id="440"/>
      <w:bookmarkEnd w:id="441"/>
      <w:bookmarkEnd w:id="442"/>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w:t>
      </w:r>
      <w:r>
        <w:rPr>
          <w:rFonts w:hint="eastAsia" w:ascii="宋体" w:hAnsi="宋体" w:cs="宋体"/>
          <w:sz w:val="24"/>
          <w:lang w:eastAsia="zh-CN"/>
        </w:rPr>
        <w:t>必须</w:t>
      </w:r>
      <w:r>
        <w:rPr>
          <w:rFonts w:hint="eastAsia" w:ascii="宋体" w:hAnsi="宋体" w:cs="宋体"/>
          <w:sz w:val="24"/>
        </w:rPr>
        <w:t>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rPr>
          <w:rFonts w:ascii="宋体" w:hAnsi="宋体" w:cs="宋体"/>
          <w:b/>
          <w:sz w:val="24"/>
        </w:rPr>
      </w:pPr>
      <w:bookmarkStart w:id="443" w:name="_Toc30272"/>
      <w:bookmarkStart w:id="444" w:name="_Toc19074"/>
      <w:bookmarkStart w:id="445" w:name="_Toc26182"/>
      <w:r>
        <w:rPr>
          <w:rFonts w:hint="eastAsia" w:ascii="宋体" w:hAnsi="宋体" w:cs="宋体"/>
          <w:b/>
          <w:sz w:val="24"/>
        </w:rPr>
        <w:t>五、 履约检查和问题反馈</w:t>
      </w:r>
      <w:bookmarkEnd w:id="443"/>
      <w:bookmarkEnd w:id="444"/>
      <w:bookmarkEnd w:id="445"/>
    </w:p>
    <w:p>
      <w:pPr>
        <w:spacing w:line="360" w:lineRule="auto"/>
        <w:ind w:firstLine="480" w:firstLineChars="200"/>
        <w:rPr>
          <w:rFonts w:ascii="宋体" w:hAnsi="宋体" w:cs="宋体"/>
          <w:sz w:val="24"/>
        </w:rPr>
      </w:pPr>
      <w:bookmarkStart w:id="446" w:name="_Toc186431854"/>
      <w:bookmarkStart w:id="447" w:name="_Ref467379807"/>
      <w:bookmarkStart w:id="448" w:name="_Toc487900357"/>
      <w:bookmarkStart w:id="449" w:name="_Toc279701247"/>
      <w:bookmarkStart w:id="450" w:name="_Toc259093676"/>
      <w:bookmarkStart w:id="451"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6"/>
      <w:bookmarkStart w:id="452" w:name="_Toc186431855"/>
      <w:r>
        <w:rPr>
          <w:rFonts w:hint="eastAsia" w:ascii="宋体" w:hAnsi="宋体" w:cs="宋体"/>
          <w:sz w:val="24"/>
        </w:rPr>
        <w:t>。</w:t>
      </w:r>
    </w:p>
    <w:bookmarkEnd w:id="447"/>
    <w:bookmarkEnd w:id="448"/>
    <w:bookmarkEnd w:id="449"/>
    <w:bookmarkEnd w:id="450"/>
    <w:bookmarkEnd w:id="451"/>
    <w:bookmarkEnd w:id="452"/>
    <w:p>
      <w:pPr>
        <w:spacing w:line="360" w:lineRule="auto"/>
        <w:ind w:firstLine="482" w:firstLineChars="200"/>
        <w:rPr>
          <w:rFonts w:ascii="宋体" w:hAnsi="宋体" w:cs="宋体"/>
          <w:b/>
          <w:sz w:val="24"/>
        </w:rPr>
      </w:pPr>
      <w:bookmarkStart w:id="453" w:name="_Toc259093677"/>
      <w:bookmarkStart w:id="454" w:name="_Toc487900358"/>
      <w:bookmarkStart w:id="455" w:name="_Ref467379923"/>
      <w:bookmarkStart w:id="456" w:name="_Ref467379852"/>
      <w:bookmarkStart w:id="457" w:name="_Ref467379863"/>
      <w:bookmarkStart w:id="458" w:name="_Toc279701248"/>
      <w:bookmarkStart w:id="459" w:name="_Toc16110"/>
      <w:bookmarkStart w:id="460" w:name="_Toc3225"/>
      <w:bookmarkStart w:id="461" w:name="_Toc774"/>
      <w:r>
        <w:rPr>
          <w:rFonts w:hint="eastAsia" w:ascii="宋体" w:hAnsi="宋体" w:cs="宋体"/>
          <w:b/>
          <w:sz w:val="24"/>
        </w:rPr>
        <w:t>六、技术资料</w:t>
      </w:r>
      <w:bookmarkEnd w:id="453"/>
      <w:bookmarkEnd w:id="454"/>
      <w:bookmarkEnd w:id="455"/>
      <w:bookmarkEnd w:id="456"/>
      <w:bookmarkEnd w:id="457"/>
      <w:bookmarkEnd w:id="458"/>
      <w:r>
        <w:rPr>
          <w:rFonts w:hint="eastAsia" w:ascii="宋体" w:hAnsi="宋体" w:cs="宋体"/>
          <w:b/>
          <w:sz w:val="24"/>
        </w:rPr>
        <w:t>和保密义务</w:t>
      </w:r>
      <w:bookmarkEnd w:id="459"/>
      <w:bookmarkEnd w:id="460"/>
      <w:bookmarkEnd w:id="461"/>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rPr>
          <w:rFonts w:ascii="宋体" w:hAnsi="宋体" w:cs="宋体"/>
          <w:b/>
          <w:sz w:val="24"/>
        </w:rPr>
      </w:pPr>
      <w:bookmarkStart w:id="462" w:name="_Toc7860"/>
      <w:r>
        <w:rPr>
          <w:rFonts w:hint="eastAsia" w:ascii="宋体" w:hAnsi="宋体" w:cs="宋体"/>
          <w:b/>
          <w:sz w:val="24"/>
        </w:rPr>
        <w:t>七、质量保证</w:t>
      </w:r>
      <w:bookmarkEnd w:id="462"/>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rPr>
          <w:rFonts w:ascii="宋体" w:hAnsi="宋体" w:cs="宋体"/>
          <w:b/>
          <w:sz w:val="24"/>
        </w:rPr>
      </w:pPr>
      <w:bookmarkStart w:id="463" w:name="_Toc17244"/>
      <w:bookmarkStart w:id="464" w:name="_Toc487900362"/>
      <w:bookmarkStart w:id="465" w:name="_Toc259093681"/>
      <w:bookmarkStart w:id="466" w:name="_Toc279701252"/>
      <w:r>
        <w:rPr>
          <w:rFonts w:hint="eastAsia" w:ascii="宋体" w:hAnsi="宋体" w:cs="宋体"/>
          <w:b/>
          <w:sz w:val="24"/>
        </w:rPr>
        <w:t>八、货物的风险负担</w:t>
      </w:r>
      <w:bookmarkEnd w:id="463"/>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rPr>
          <w:rFonts w:ascii="宋体" w:hAnsi="宋体" w:cs="宋体"/>
          <w:b/>
          <w:sz w:val="24"/>
        </w:rPr>
      </w:pPr>
      <w:bookmarkStart w:id="467" w:name="_Toc14055"/>
      <w:r>
        <w:rPr>
          <w:rFonts w:hint="eastAsia" w:ascii="宋体" w:hAnsi="宋体" w:cs="宋体"/>
          <w:b/>
          <w:sz w:val="24"/>
        </w:rPr>
        <w:t>九、延迟交货</w:t>
      </w:r>
      <w:bookmarkEnd w:id="464"/>
      <w:bookmarkEnd w:id="465"/>
      <w:bookmarkEnd w:id="466"/>
      <w:bookmarkEnd w:id="467"/>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rPr>
          <w:rFonts w:ascii="宋体" w:hAnsi="宋体" w:eastAsia="宋体" w:cs="宋体"/>
          <w:b/>
          <w:sz w:val="24"/>
        </w:rPr>
      </w:pPr>
      <w:bookmarkStart w:id="468" w:name="_Toc7502"/>
      <w:bookmarkStart w:id="469" w:name="_Toc259093683"/>
      <w:bookmarkStart w:id="470" w:name="_Ref467378121"/>
      <w:bookmarkStart w:id="471" w:name="_Toc279701254"/>
      <w:bookmarkStart w:id="472" w:name="_Toc487900364"/>
      <w:r>
        <w:rPr>
          <w:rFonts w:hint="eastAsia" w:ascii="宋体" w:hAnsi="宋体" w:cs="宋体"/>
          <w:b/>
          <w:sz w:val="24"/>
        </w:rPr>
        <w:t>十、合同变更</w:t>
      </w:r>
      <w:bookmarkEnd w:id="468"/>
      <w:r>
        <w:rPr>
          <w:rFonts w:hint="eastAsia" w:ascii="宋体" w:hAnsi="宋体" w:cs="宋体"/>
          <w:b/>
          <w:sz w:val="24"/>
        </w:rPr>
        <w:t>或补充</w:t>
      </w:r>
    </w:p>
    <w:p>
      <w:pPr>
        <w:spacing w:line="360" w:lineRule="auto"/>
        <w:ind w:firstLine="480" w:firstLineChars="200"/>
        <w:rPr>
          <w:rFonts w:ascii="宋体" w:hAnsi="宋体"/>
          <w:sz w:val="24"/>
        </w:rPr>
      </w:pPr>
      <w:bookmarkStart w:id="473" w:name="_Toc259093688"/>
      <w:bookmarkStart w:id="474" w:name="_Toc279701259"/>
      <w:bookmarkStart w:id="475" w:name="_Toc487900369"/>
      <w:bookmarkStart w:id="476" w:name="_Toc15237"/>
      <w:bookmarkStart w:id="477" w:name="_Toc10366"/>
      <w:bookmarkStart w:id="478"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十一、 合同转让</w:t>
      </w:r>
      <w:bookmarkEnd w:id="473"/>
      <w:bookmarkEnd w:id="474"/>
      <w:bookmarkEnd w:id="475"/>
      <w:r>
        <w:rPr>
          <w:rFonts w:hint="eastAsia" w:ascii="宋体" w:hAnsi="宋体" w:cs="宋体"/>
          <w:b/>
          <w:sz w:val="24"/>
        </w:rPr>
        <w:t>和分包</w:t>
      </w:r>
      <w:bookmarkEnd w:id="476"/>
      <w:bookmarkEnd w:id="477"/>
      <w:bookmarkEnd w:id="478"/>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rPr>
          <w:rFonts w:ascii="宋体" w:hAnsi="宋体" w:cs="宋体"/>
          <w:b/>
          <w:sz w:val="24"/>
        </w:rPr>
      </w:pPr>
      <w:bookmarkStart w:id="479" w:name="_Toc16508"/>
      <w:bookmarkStart w:id="480" w:name="_Toc13566"/>
      <w:bookmarkStart w:id="481" w:name="_Toc14066"/>
      <w:r>
        <w:rPr>
          <w:rFonts w:hint="eastAsia" w:ascii="宋体" w:hAnsi="宋体" w:cs="宋体"/>
          <w:b/>
          <w:sz w:val="24"/>
        </w:rPr>
        <w:t>十二、不可抗力</w:t>
      </w:r>
      <w:bookmarkEnd w:id="479"/>
      <w:bookmarkEnd w:id="480"/>
      <w:bookmarkEnd w:id="481"/>
    </w:p>
    <w:p>
      <w:pPr>
        <w:spacing w:line="360" w:lineRule="auto"/>
        <w:ind w:firstLine="480" w:firstLineChars="200"/>
        <w:rPr>
          <w:rFonts w:ascii="宋体" w:hAnsi="宋体"/>
          <w:sz w:val="24"/>
        </w:rPr>
      </w:pPr>
      <w:bookmarkStart w:id="482" w:name="_Toc487900365"/>
      <w:bookmarkStart w:id="483" w:name="_Toc279701255"/>
      <w:bookmarkStart w:id="484" w:name="_Toc6969"/>
      <w:bookmarkStart w:id="485" w:name="_Toc689"/>
      <w:bookmarkStart w:id="486" w:name="_Toc259093684"/>
      <w:bookmarkStart w:id="487"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十三、 税费</w:t>
      </w:r>
      <w:bookmarkEnd w:id="482"/>
      <w:bookmarkEnd w:id="483"/>
      <w:bookmarkEnd w:id="484"/>
      <w:bookmarkEnd w:id="485"/>
      <w:bookmarkEnd w:id="486"/>
      <w:bookmarkEnd w:id="487"/>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rPr>
          <w:rFonts w:ascii="宋体" w:hAnsi="宋体" w:cs="宋体"/>
          <w:b/>
          <w:sz w:val="24"/>
        </w:rPr>
      </w:pPr>
      <w:bookmarkStart w:id="488" w:name="_Toc487900368"/>
      <w:bookmarkStart w:id="489" w:name="_Toc259093687"/>
      <w:bookmarkStart w:id="490" w:name="_Toc7102"/>
      <w:bookmarkStart w:id="491" w:name="_Toc279701258"/>
      <w:bookmarkStart w:id="492" w:name="_Toc8298"/>
      <w:bookmarkStart w:id="493" w:name="_Toc16959"/>
      <w:r>
        <w:rPr>
          <w:rFonts w:hint="eastAsia" w:ascii="宋体" w:hAnsi="宋体" w:cs="宋体"/>
          <w:b/>
          <w:sz w:val="24"/>
        </w:rPr>
        <w:t>十四、乙方破产</w:t>
      </w:r>
      <w:bookmarkEnd w:id="488"/>
      <w:bookmarkEnd w:id="489"/>
      <w:bookmarkEnd w:id="490"/>
      <w:bookmarkEnd w:id="491"/>
      <w:bookmarkEnd w:id="492"/>
      <w:bookmarkEnd w:id="493"/>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ascii="宋体" w:hAnsi="宋体" w:cs="宋体"/>
          <w:b/>
          <w:sz w:val="24"/>
        </w:rPr>
      </w:pPr>
      <w:bookmarkStart w:id="494" w:name="_Toc29333"/>
      <w:bookmarkStart w:id="495" w:name="_Toc15387"/>
      <w:bookmarkStart w:id="496" w:name="_Toc6134"/>
      <w:r>
        <w:rPr>
          <w:rFonts w:hint="eastAsia" w:ascii="宋体" w:hAnsi="宋体" w:cs="宋体"/>
          <w:b/>
          <w:sz w:val="24"/>
        </w:rPr>
        <w:t>十五、合同中止、终止</w:t>
      </w:r>
      <w:bookmarkEnd w:id="494"/>
      <w:bookmarkEnd w:id="495"/>
      <w:bookmarkEnd w:id="496"/>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9"/>
    <w:bookmarkEnd w:id="470"/>
    <w:bookmarkEnd w:id="471"/>
    <w:bookmarkEnd w:id="472"/>
    <w:p>
      <w:pPr>
        <w:spacing w:line="360" w:lineRule="auto"/>
        <w:ind w:firstLine="482" w:firstLineChars="200"/>
        <w:rPr>
          <w:rFonts w:ascii="宋体" w:hAnsi="宋体" w:cs="宋体"/>
          <w:b/>
          <w:sz w:val="24"/>
        </w:rPr>
      </w:pPr>
      <w:bookmarkStart w:id="497" w:name="_Toc259093690"/>
      <w:bookmarkStart w:id="498" w:name="_Toc487900371"/>
      <w:bookmarkStart w:id="499" w:name="_Toc279701261"/>
      <w:bookmarkStart w:id="500" w:name="_Toc25182"/>
      <w:bookmarkStart w:id="501" w:name="_Toc11284"/>
      <w:bookmarkStart w:id="502" w:name="_Toc19604"/>
      <w:r>
        <w:rPr>
          <w:rFonts w:hint="eastAsia" w:ascii="宋体" w:hAnsi="宋体" w:cs="宋体"/>
          <w:b/>
          <w:sz w:val="24"/>
        </w:rPr>
        <w:t>十六、 通知</w:t>
      </w:r>
      <w:bookmarkEnd w:id="497"/>
      <w:bookmarkEnd w:id="498"/>
      <w:bookmarkEnd w:id="499"/>
      <w:r>
        <w:rPr>
          <w:rFonts w:hint="eastAsia" w:ascii="宋体" w:hAnsi="宋体" w:cs="宋体"/>
          <w:b/>
          <w:sz w:val="24"/>
        </w:rPr>
        <w:t>和送达</w:t>
      </w:r>
      <w:bookmarkEnd w:id="500"/>
      <w:bookmarkEnd w:id="501"/>
      <w:bookmarkEnd w:id="502"/>
    </w:p>
    <w:p>
      <w:pPr>
        <w:spacing w:line="360" w:lineRule="auto"/>
        <w:ind w:firstLine="480" w:firstLineChars="200"/>
        <w:rPr>
          <w:rFonts w:ascii="宋体" w:hAnsi="宋体"/>
          <w:sz w:val="24"/>
        </w:rPr>
      </w:pPr>
      <w:bookmarkStart w:id="503" w:name="_Toc27674"/>
      <w:bookmarkStart w:id="504" w:name="_Toc18401"/>
      <w:bookmarkStart w:id="505" w:name="_Toc259093691"/>
      <w:bookmarkStart w:id="506" w:name="_Toc18540"/>
      <w:bookmarkStart w:id="507" w:name="_Toc4355"/>
      <w:bookmarkStart w:id="508" w:name="_Toc279701262"/>
      <w:bookmarkStart w:id="509" w:name="_Toc487900372"/>
      <w:bookmarkStart w:id="510" w:name="_Toc30599"/>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3"/>
      <w:bookmarkEnd w:id="504"/>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5"/>
      <w:bookmarkEnd w:id="506"/>
      <w:bookmarkEnd w:id="507"/>
      <w:bookmarkEnd w:id="508"/>
      <w:bookmarkEnd w:id="509"/>
      <w:bookmarkEnd w:id="510"/>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rPr>
          <w:rFonts w:ascii="宋体" w:hAnsi="宋体" w:cs="宋体"/>
          <w:b/>
          <w:sz w:val="24"/>
        </w:rPr>
      </w:pPr>
      <w:bookmarkStart w:id="511" w:name="_Toc12773"/>
      <w:bookmarkStart w:id="512" w:name="_Toc487900373"/>
      <w:bookmarkStart w:id="513" w:name="_Toc259093692"/>
      <w:bookmarkStart w:id="514" w:name="_Toc18567"/>
      <w:bookmarkStart w:id="515" w:name="_Toc10330"/>
      <w:bookmarkStart w:id="516" w:name="_Toc279701263"/>
      <w:r>
        <w:rPr>
          <w:rFonts w:hint="eastAsia" w:ascii="宋体" w:hAnsi="宋体" w:cs="宋体"/>
          <w:b/>
          <w:sz w:val="24"/>
        </w:rPr>
        <w:t>十八、合同使用的文字和适用的法律</w:t>
      </w:r>
      <w:bookmarkEnd w:id="511"/>
      <w:bookmarkEnd w:id="512"/>
      <w:bookmarkEnd w:id="513"/>
      <w:bookmarkEnd w:id="514"/>
      <w:bookmarkEnd w:id="515"/>
      <w:bookmarkEnd w:id="516"/>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ascii="宋体" w:hAnsi="宋体" w:eastAsia="宋体" w:cs="Times New Roman"/>
          <w:b/>
        </w:rPr>
      </w:pP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widowControl/>
        <w:jc w:val="left"/>
        <w:rPr>
          <w:rFonts w:ascii="宋体" w:hAnsi="宋体" w:cs="Times New Roman"/>
          <w:b/>
          <w:sz w:val="24"/>
        </w:rPr>
      </w:pPr>
      <w:r>
        <w:rPr>
          <w:rFonts w:ascii="宋体" w:hAnsi="宋体" w:cs="Times New Roman"/>
          <w:b/>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Pr>
        <w:adjustRightInd w:val="0"/>
        <w:spacing w:line="360" w:lineRule="auto"/>
        <w:ind w:firstLine="32"/>
        <w:rPr>
          <w:rFonts w:ascii="宋体" w:hAnsi="宋体" w:cs="宋体"/>
          <w:color w:val="000000"/>
          <w:sz w:val="24"/>
        </w:rPr>
      </w:pPr>
      <w:r>
        <w:rPr>
          <w:rFonts w:hint="eastAsia" w:ascii="宋体" w:hAnsi="宋体" w:eastAsia="宋体" w:cs="宋体"/>
          <w:b/>
          <w:bCs/>
          <w:color w:val="000000"/>
          <w:sz w:val="24"/>
        </w:rPr>
        <w:t>甲方（盖章）</w:t>
      </w:r>
      <w:r>
        <w:rPr>
          <w:rFonts w:hint="eastAsia" w:ascii="宋体" w:hAnsi="宋体" w:eastAsia="宋体" w:cs="宋体"/>
          <w:color w:val="000000"/>
          <w:sz w:val="24"/>
        </w:rPr>
        <w:t>：</w:t>
      </w:r>
      <w:r>
        <w:rPr>
          <w:rFonts w:hint="eastAsia" w:ascii="宋体" w:hAnsi="宋体" w:cs="宋体"/>
          <w:color w:val="000000"/>
          <w:sz w:val="24"/>
        </w:rPr>
        <w:t>杭州临江环境能源有限公司</w:t>
      </w:r>
    </w:p>
    <w:p>
      <w:pPr>
        <w:adjustRightInd w:val="0"/>
        <w:spacing w:line="360" w:lineRule="auto"/>
        <w:ind w:firstLine="32"/>
        <w:rPr>
          <w:rFonts w:ascii="宋体" w:hAnsi="宋体" w:eastAsia="宋体" w:cs="宋体"/>
          <w:color w:val="000000"/>
          <w:sz w:val="24"/>
        </w:rPr>
      </w:pPr>
      <w:r>
        <w:rPr>
          <w:rFonts w:hint="eastAsia" w:ascii="宋体" w:hAnsi="宋体" w:eastAsia="宋体" w:cs="宋体"/>
          <w:color w:val="000000"/>
          <w:sz w:val="24"/>
        </w:rPr>
        <w:t>法定代表人或受委托人（签字）：</w:t>
      </w:r>
      <w:r>
        <w:rPr>
          <w:rFonts w:hint="eastAsia" w:ascii="宋体" w:hAnsi="宋体" w:cs="宋体"/>
          <w:color w:val="000000"/>
          <w:sz w:val="24"/>
        </w:rPr>
        <w:t xml:space="preserve">          </w:t>
      </w:r>
    </w:p>
    <w:p>
      <w:pPr>
        <w:adjustRightInd w:val="0"/>
        <w:spacing w:line="360" w:lineRule="auto"/>
        <w:rPr>
          <w:rFonts w:ascii="宋体" w:hAnsi="宋体" w:eastAsia="宋体" w:cs="宋体"/>
          <w:color w:val="000000"/>
          <w:sz w:val="24"/>
        </w:rPr>
      </w:pPr>
    </w:p>
    <w:p>
      <w:pPr>
        <w:pStyle w:val="7"/>
      </w:pPr>
    </w:p>
    <w:p>
      <w:pPr>
        <w:adjustRightInd w:val="0"/>
        <w:spacing w:line="360" w:lineRule="auto"/>
        <w:rPr>
          <w:rFonts w:ascii="宋体" w:hAnsi="宋体" w:eastAsia="宋体" w:cs="宋体"/>
          <w:color w:val="000000"/>
          <w:sz w:val="24"/>
        </w:rPr>
      </w:pPr>
      <w:r>
        <w:rPr>
          <w:rFonts w:hint="eastAsia" w:ascii="宋体" w:hAnsi="宋体" w:eastAsia="宋体" w:cs="宋体"/>
          <w:b/>
          <w:bCs/>
          <w:color w:val="000000"/>
          <w:sz w:val="24"/>
        </w:rPr>
        <w:t>乙方（盖章）</w:t>
      </w:r>
      <w:r>
        <w:rPr>
          <w:rFonts w:hint="eastAsia" w:ascii="宋体" w:hAnsi="宋体" w:eastAsia="宋体" w:cs="宋体"/>
          <w:color w:val="000000"/>
          <w:sz w:val="24"/>
        </w:rPr>
        <w:t>：</w:t>
      </w:r>
    </w:p>
    <w:p>
      <w:pPr>
        <w:adjustRightInd w:val="0"/>
        <w:spacing w:line="360" w:lineRule="auto"/>
        <w:rPr>
          <w:rFonts w:ascii="宋体" w:hAnsi="宋体" w:eastAsia="宋体" w:cs="宋体"/>
          <w:sz w:val="24"/>
        </w:rPr>
      </w:pPr>
      <w:r>
        <w:rPr>
          <w:rFonts w:hint="eastAsia" w:ascii="宋体" w:hAnsi="宋体" w:eastAsia="宋体" w:cs="宋体"/>
          <w:color w:val="000000"/>
          <w:sz w:val="24"/>
        </w:rPr>
        <w:t>法定代表人或受委托人（签字）：</w:t>
      </w:r>
    </w:p>
    <w:p/>
    <w:p/>
    <w:p>
      <w:pPr>
        <w:pStyle w:val="7"/>
      </w:pPr>
    </w:p>
    <w:p/>
    <w:p>
      <w:pPr>
        <w:pStyle w:val="7"/>
      </w:pPr>
    </w:p>
    <w:p/>
    <w:p>
      <w:pPr>
        <w:pStyle w:val="7"/>
      </w:pPr>
    </w:p>
    <w:p>
      <w:pPr>
        <w:pStyle w:val="8"/>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3360"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3360;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开启时启封</w:t>
      </w:r>
    </w:p>
    <w:p>
      <w:pPr>
        <w:snapToGrid w:val="0"/>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2024年临江公司SKF轴承</w:t>
      </w:r>
      <w:r>
        <w:rPr>
          <w:rFonts w:hint="eastAsia" w:ascii="宋体" w:hAnsi="宋体" w:eastAsia="宋体" w:cs="宋体"/>
          <w:sz w:val="28"/>
          <w:szCs w:val="22"/>
          <w:u w:val="single"/>
        </w:rPr>
        <w:t>采购</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napToGrid w:val="0"/>
        <w:spacing w:line="360" w:lineRule="auto"/>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4"/>
      </w:pPr>
    </w:p>
    <w:p/>
    <w:p>
      <w:pPr>
        <w:pStyle w:val="2"/>
        <w:rPr>
          <w:color w:val="auto"/>
        </w:rPr>
      </w:pPr>
    </w:p>
    <w:p/>
    <w:p>
      <w:pPr>
        <w:pStyle w:val="2"/>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2024年临江公司SKF轴承</w:t>
      </w:r>
      <w:r>
        <w:rPr>
          <w:rFonts w:hint="eastAsia" w:cs="仿宋" w:asciiTheme="minorEastAsia" w:hAnsiTheme="minorEastAsia"/>
          <w:sz w:val="24"/>
        </w:rPr>
        <w:t>【项目编号：</w:t>
      </w:r>
      <w:r>
        <w:rPr>
          <w:rFonts w:hint="eastAsia" w:cs="仿宋" w:asciiTheme="minorEastAsia" w:hAnsiTheme="minorEastAsia"/>
          <w:sz w:val="24"/>
          <w:u w:val="single"/>
          <w:lang w:eastAsia="zh-CN"/>
        </w:rPr>
        <w:t>202403011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lang w:eastAsia="zh-CN"/>
        </w:rPr>
        <w:t>2024年临江公司SKF轴承</w:t>
      </w:r>
      <w:r>
        <w:rPr>
          <w:rFonts w:hint="eastAsia" w:cs="仿宋" w:asciiTheme="minorEastAsia" w:hAnsiTheme="minorEastAsia"/>
          <w:sz w:val="24"/>
        </w:rPr>
        <w:t>【项目编号：</w:t>
      </w:r>
      <w:r>
        <w:rPr>
          <w:rFonts w:hint="eastAsia" w:cs="仿宋" w:asciiTheme="minorEastAsia" w:hAnsiTheme="minorEastAsia"/>
          <w:sz w:val="24"/>
          <w:lang w:eastAsia="zh-CN"/>
        </w:rPr>
        <w:t>202403011</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响应文件满足询价采购文件的其他实质性要求。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存在管理体系的单位全称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4" w:type="first"/>
          <w:footerReference r:id="rId13"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采购活动，并做如下承诺：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2024年临江公司SKF轴承</w:t>
      </w:r>
      <w:r>
        <w:rPr>
          <w:rFonts w:hint="eastAsia" w:ascii="宋体" w:hAnsi="宋体" w:eastAsia="宋体" w:cs="宋体"/>
          <w:sz w:val="24"/>
          <w:u w:val="single"/>
        </w:rPr>
        <w:t>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202403011</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2024年临江公司SKF轴承</w:t>
      </w:r>
      <w:r>
        <w:rPr>
          <w:rFonts w:hint="eastAsia" w:cs="仿宋" w:asciiTheme="minorEastAsia" w:hAnsiTheme="minorEastAsia"/>
          <w:sz w:val="24"/>
          <w:u w:val="single"/>
          <w:lang w:val="en-US" w:eastAsia="zh-CN"/>
        </w:rPr>
        <w:t>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202403011</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874"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970"/>
        <w:gridCol w:w="1440"/>
        <w:gridCol w:w="1509"/>
        <w:gridCol w:w="3971"/>
        <w:gridCol w:w="1729"/>
        <w:gridCol w:w="957"/>
        <w:gridCol w:w="992"/>
        <w:gridCol w:w="1153"/>
        <w:gridCol w:w="115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型号规格</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需求部门</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单价（元）</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金额（元）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1310</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6215</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6308</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6309</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6311</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6312</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6405</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30212</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30314</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51210</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51308</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51405</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1313K</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轴承组件</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1313K+H213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20604000060  UCF208 铸铁带座轴承 </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20604000060  UCF208铸铁带座轴承</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22213ck</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22216ck</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轴承组件</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22216ck+H316</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22218ck</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22220CA/W33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22220ck</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轴承组件</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22220ck+H320</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22222C/W33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22222ck</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轴承组件</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22222ck+H322</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22222K</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轴承组件</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22222K+H322</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22224ck</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22230CC/W33 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22316CA/C3W33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22326CC/W33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2236EC</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23022CA/W33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23036CA/W33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23140CA/W33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23248CC/W33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29328E</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3201免维护轴承</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32036X圆锥滚子轴承</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3314-2RS P6 胶盖免维护轴承</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3315-2RSTNG/P6 胶盖免维护轴承</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6001-2Z/C3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6002-2Z/C3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6003-2Z/C3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6004-2Z/C3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6005-2Z/C3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6006-2Z/C3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6007-2RS1</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6007-2Z/C3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6008-2Z/C3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6009-2Z/C3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6010-2Z/C3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6011-2Z/C3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6012-2Z/C3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6013-2Z/C3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6014-2Z/C3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6015-2Z/C3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6022/C3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6036M/C3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6038M/C3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6200-2Z/C3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6201-2Z/C3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6202-2Z/C3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6202RZ</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6203-2Z/C3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6204-2Z/C3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6205-2Z/C3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6205N</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6206-2Z/C3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6206DDU/C3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6206RZ-C3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6207-2Z/C3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6207DDU/C3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6207E-RS</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6207免维护轴承</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6208 2RZ-C3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6208-2Z/ 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6208-2Z/C3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6208N</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6209 -2Z/ 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6209-2RZ/C3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6209-2Z/C3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153"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6209-2Z/C3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6210-2Z/C3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6211-2Z/C3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6211N</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6212-2Z/C3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6213-2Z/C3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6213N</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6214-2Z/C3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53" w:type="dxa"/>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6214-2Z/C3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6215-2Z/C3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6220/C3深沟球轴承</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6224/C3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6228/ 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6300-2Z/C3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6301-2Z/C3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6302-2Z/C3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6303-2Z/C3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6304-2Z/C3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6304RS</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6305 / 2Z / 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6305-2Z/C3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6305免维护轴承</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6306-2RZ/ 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6306-2Z/C3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6307-2Z 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6307RZ</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6307免维护轴承</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6308-2Z/C3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6308免维护轴承</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6309 /2Z/ 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6309-2Z/C3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6310-2Z/C3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6311-2Z</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6311-2Z/C3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6312/C3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6312-2Z/C3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153"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6312-2Z/C3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6312zz</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6313/C3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6313-2Z/C3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6313ZZ；SKF</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6314 2RS1</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6314/C3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6314-2Z/C3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6314ZZ；SKF</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6315-2Z</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6315-2Z/C3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6316 /C3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6316/C3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6316-2Z /C3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6316-2Z/C3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6317/C3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6317-2Z/C3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6318/C3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6318-2Z/C3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6319 /C3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6319-2Z/C3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6320-2Z/C3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6321-C3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6322/C3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6322-C3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6322-C3，insulate</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6324/CVL0241</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6328-C3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6332-C3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6406-2Z/C3,内径30*外径90*厚度23mm</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7209ACTA/PS DBB</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7210 078R 12</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7212BECB</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7214AC</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7217AMK角接触轴承</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7224免维护轴承</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7236 BCBM AUSTRIA 158R</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7306免维护轴承</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7308  BECBM  156S，铜保持器,内径40*外径90*厚23mm</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7308免维护轴承</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7310免维护轴承</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7315 AC</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7315AC</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C2226 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GEEE70ES关节轴承</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NA4918滚针轴承</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NJ215EM</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NJ2212E</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NU1022/C3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NU1036M/C3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NU1038M/C3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NU215EM</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NU216ECP</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NU217/C3圆柱滚子轴承</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NU220EMNSK圆柱滚子轴承</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NU228 /C3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NU315EM</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NU315EM圆柱滚子轴承</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NU319EMC3Z1</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NU322</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NU324/C3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NUKR40/不锈钢(304)带座轴承 </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NUKR47/碳钢带座轴承 </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RN205M</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RN307</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RN309-M</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RN312M，内径60*外径113*厚度31mm</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轴承组件</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SN522+22222ck+H322</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UCF210 (GB/T7810)带座轴承 </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UCF210/不锈钢(304)(GB/T7810)带座轴承 </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UCF212/铸铁 (GB/T7810)带座轴承 </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UCFB206/不锈钢(201)(GB/T7810)带座轴承 </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UCFL204/不锈钢(201)(GB/T7810)带座轴承 </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UCP211D1/铸铁 带座轴承 (GB/T7810)</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UCP214D1/铸铁 带座轴承 (GB/T7810)</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UCP318带座轴承</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YAR214-2F 外球面轴承</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带座轴承 20604002381  UCP208/不锈钢(304) (GB/T7810)</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调心滚子轴承 22212CC/W33；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角接触球7312BECBM</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深沟球6213</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推力球轴承51209</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型号：6307-ZZ；参数：铁盖，耐高温；</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型号：6316/C3Z2</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9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轴承</w:t>
            </w:r>
          </w:p>
        </w:tc>
        <w:tc>
          <w:tcPr>
            <w:tcW w:w="15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w:t>
            </w:r>
          </w:p>
        </w:tc>
        <w:tc>
          <w:tcPr>
            <w:tcW w:w="397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圆柱滚子NU213 ECJ</w:t>
            </w:r>
          </w:p>
        </w:tc>
        <w:tc>
          <w:tcPr>
            <w:tcW w:w="17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9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5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snapToGrid w:val="0"/>
        <w:spacing w:line="360" w:lineRule="auto"/>
        <w:ind w:left="480"/>
        <w:rPr>
          <w:rFonts w:hint="eastAsia"/>
          <w:lang w:val="en-US" w:eastAsia="zh-CN"/>
        </w:rPr>
      </w:pPr>
    </w:p>
    <w:p>
      <w:pPr>
        <w:snapToGrid w:val="0"/>
        <w:spacing w:line="360" w:lineRule="auto"/>
        <w:ind w:left="480"/>
        <w:rPr>
          <w:rFonts w:hint="eastAsia"/>
          <w:lang w:val="en-US" w:eastAsia="zh-CN"/>
        </w:rPr>
      </w:pPr>
    </w:p>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r>
        <w:rPr>
          <w:rFonts w:hint="eastAsia" w:ascii="宋体" w:hAnsi="宋体" w:cs="宋体"/>
          <w:kern w:val="0"/>
          <w:sz w:val="24"/>
          <w:lang w:val="zh-CN"/>
        </w:rPr>
        <w:t>3、特别提示：采购人将对项目名称和项目编号，成交供应商名称、成交金额予以公示。</w:t>
      </w:r>
    </w:p>
    <w:p>
      <w:pPr>
        <w:spacing w:line="360" w:lineRule="auto"/>
        <w:jc w:val="center"/>
        <w:rPr>
          <w:rFonts w:cs="仿宋" w:asciiTheme="minorEastAsia" w:hAnsiTheme="minorEastAsia"/>
          <w:b/>
          <w:spacing w:val="6"/>
          <w:sz w:val="32"/>
          <w:szCs w:val="32"/>
        </w:rPr>
      </w:pPr>
      <w:bookmarkStart w:id="517" w:name="_Toc465665161"/>
      <w:r>
        <w:rPr>
          <w:rFonts w:hint="eastAsia" w:cs="宋体" w:asciiTheme="minorEastAsia" w:hAnsiTheme="minorEastAsia"/>
          <w:b/>
          <w:bCs/>
          <w:kern w:val="44"/>
          <w:sz w:val="44"/>
          <w:szCs w:val="44"/>
        </w:rPr>
        <w:t>附件</w:t>
      </w:r>
      <w:bookmarkEnd w:id="517"/>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5"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6"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2024年临江公司SKF轴承</w:t>
      </w:r>
      <w:r>
        <w:rPr>
          <w:rFonts w:hint="eastAsia" w:cs="仿宋" w:asciiTheme="minorEastAsia" w:hAnsiTheme="minorEastAsia"/>
          <w:sz w:val="24"/>
          <w:u w:val="single"/>
        </w:rPr>
        <w:t>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202403011</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3360"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3120;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rPr>
          <w:rFonts w:hint="eastAsia" w:cs="仿宋" w:asciiTheme="minorEastAsia" w:hAnsiTheme="minorEastAsia"/>
          <w:b/>
          <w:spacing w:val="6"/>
          <w:sz w:val="32"/>
          <w:szCs w:val="32"/>
        </w:rPr>
      </w:pPr>
      <w:r>
        <w:rPr>
          <w:rFonts w:hint="eastAsia" w:cs="仿宋" w:asciiTheme="minorEastAsia" w:hAnsiTheme="minorEastAsia"/>
          <w:b/>
          <w:spacing w:val="6"/>
          <w:sz w:val="32"/>
          <w:szCs w:val="32"/>
        </w:rPr>
        <w:br w:type="page"/>
      </w: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2024年临江公司SKF轴承</w:t>
      </w:r>
      <w:r>
        <w:rPr>
          <w:rFonts w:hint="eastAsia" w:cs="仿宋" w:asciiTheme="minorEastAsia" w:hAnsiTheme="minorEastAsia"/>
          <w:sz w:val="24"/>
          <w:u w:val="single"/>
        </w:rPr>
        <w:t>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202403011</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Pr>
        <w:pStyle w:val="14"/>
      </w:pPr>
    </w:p>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2024年临江公司SKF轴承</w:t>
      </w:r>
      <w:r>
        <w:rPr>
          <w:rFonts w:hint="eastAsia" w:cs="仿宋" w:asciiTheme="minorEastAsia" w:hAnsiTheme="minorEastAsia"/>
          <w:sz w:val="24"/>
          <w:u w:val="single"/>
        </w:rPr>
        <w:t>采购项目</w:t>
      </w:r>
      <w:r>
        <w:rPr>
          <w:rFonts w:hint="eastAsia" w:ascii="宋体" w:hAnsi="宋体" w:cs="宋体"/>
          <w:sz w:val="24"/>
          <w:u w:val="single"/>
        </w:rPr>
        <w:t>（项目编号：</w:t>
      </w:r>
      <w:r>
        <w:rPr>
          <w:rFonts w:hint="eastAsia" w:cs="仿宋" w:asciiTheme="minorEastAsia" w:hAnsiTheme="minorEastAsia"/>
          <w:sz w:val="24"/>
          <w:u w:val="single"/>
          <w:lang w:eastAsia="zh-CN"/>
        </w:rPr>
        <w:t>202403011</w:t>
      </w:r>
      <w:r>
        <w:rPr>
          <w:rFonts w:hint="eastAsia" w:ascii="宋体" w:hAnsi="宋体" w:cs="宋体"/>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2024年临江公司SKF轴承</w:t>
      </w:r>
      <w:r>
        <w:rPr>
          <w:rFonts w:hint="eastAsia" w:cs="仿宋" w:asciiTheme="minorEastAsia" w:hAnsiTheme="minorEastAsia"/>
          <w:sz w:val="24"/>
          <w:u w:val="single"/>
        </w:rPr>
        <w:t>采购项目</w:t>
      </w:r>
      <w:r>
        <w:rPr>
          <w:rFonts w:hint="eastAsia" w:ascii="宋体" w:hAnsi="宋体" w:cs="宋体"/>
          <w:sz w:val="24"/>
          <w:u w:val="single"/>
        </w:rPr>
        <w:t xml:space="preserve"> </w:t>
      </w:r>
      <w:r>
        <w:rPr>
          <w:rFonts w:hint="eastAsia" w:ascii="宋体" w:hAnsi="宋体" w:cs="宋体"/>
          <w:sz w:val="24"/>
        </w:rPr>
        <w:t>项目（采购编号</w:t>
      </w:r>
      <w:r>
        <w:rPr>
          <w:rFonts w:hint="eastAsia" w:cs="仿宋" w:asciiTheme="minorEastAsia" w:hAnsiTheme="minorEastAsia"/>
          <w:sz w:val="24"/>
          <w:u w:val="single"/>
          <w:lang w:eastAsia="zh-CN"/>
        </w:rPr>
        <w:t>202403011</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2"/>
      </w:pPr>
    </w:p>
    <w:p/>
    <w:sectPr>
      <w:footerReference r:id="rId17"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ODNjNjE4Y2U2ZWJjYTMzYTk3NGZjY2FkYmE1ZGUifQ=="/>
  </w:docVars>
  <w:rsids>
    <w:rsidRoot w:val="004E73AF"/>
    <w:rsid w:val="00035004"/>
    <w:rsid w:val="00074C89"/>
    <w:rsid w:val="001133B9"/>
    <w:rsid w:val="001147F1"/>
    <w:rsid w:val="001165E0"/>
    <w:rsid w:val="00127A0A"/>
    <w:rsid w:val="00136EC0"/>
    <w:rsid w:val="00141074"/>
    <w:rsid w:val="001A51AD"/>
    <w:rsid w:val="00211F61"/>
    <w:rsid w:val="0022087B"/>
    <w:rsid w:val="00274DBE"/>
    <w:rsid w:val="00283997"/>
    <w:rsid w:val="002917F0"/>
    <w:rsid w:val="002A3CA8"/>
    <w:rsid w:val="002D7D54"/>
    <w:rsid w:val="00315D0F"/>
    <w:rsid w:val="00317CD4"/>
    <w:rsid w:val="00326A15"/>
    <w:rsid w:val="00344361"/>
    <w:rsid w:val="00350FC4"/>
    <w:rsid w:val="003513B0"/>
    <w:rsid w:val="00395767"/>
    <w:rsid w:val="003E07FE"/>
    <w:rsid w:val="003F7D49"/>
    <w:rsid w:val="00431394"/>
    <w:rsid w:val="00433F80"/>
    <w:rsid w:val="00466F38"/>
    <w:rsid w:val="00481CD1"/>
    <w:rsid w:val="00483A46"/>
    <w:rsid w:val="004A590E"/>
    <w:rsid w:val="004B0AA1"/>
    <w:rsid w:val="004B7D77"/>
    <w:rsid w:val="004C73BB"/>
    <w:rsid w:val="004D4360"/>
    <w:rsid w:val="004E1503"/>
    <w:rsid w:val="004E73AF"/>
    <w:rsid w:val="004F0AF5"/>
    <w:rsid w:val="004F7A0D"/>
    <w:rsid w:val="00505519"/>
    <w:rsid w:val="005957D7"/>
    <w:rsid w:val="005975A7"/>
    <w:rsid w:val="005C3DA6"/>
    <w:rsid w:val="005F661C"/>
    <w:rsid w:val="00611983"/>
    <w:rsid w:val="006C4E8F"/>
    <w:rsid w:val="006E50E5"/>
    <w:rsid w:val="006F4F36"/>
    <w:rsid w:val="007357A7"/>
    <w:rsid w:val="00742650"/>
    <w:rsid w:val="007534BC"/>
    <w:rsid w:val="00776144"/>
    <w:rsid w:val="00786ECB"/>
    <w:rsid w:val="007A463C"/>
    <w:rsid w:val="00816543"/>
    <w:rsid w:val="00867F45"/>
    <w:rsid w:val="00875BDC"/>
    <w:rsid w:val="00890CAB"/>
    <w:rsid w:val="00892E4C"/>
    <w:rsid w:val="00903B90"/>
    <w:rsid w:val="00935EC2"/>
    <w:rsid w:val="00942F39"/>
    <w:rsid w:val="009600FE"/>
    <w:rsid w:val="00966874"/>
    <w:rsid w:val="009736C6"/>
    <w:rsid w:val="00975FC5"/>
    <w:rsid w:val="00A17A16"/>
    <w:rsid w:val="00A3330D"/>
    <w:rsid w:val="00A46601"/>
    <w:rsid w:val="00A51191"/>
    <w:rsid w:val="00A630D7"/>
    <w:rsid w:val="00A73D11"/>
    <w:rsid w:val="00A905AF"/>
    <w:rsid w:val="00A90F9A"/>
    <w:rsid w:val="00AD63C2"/>
    <w:rsid w:val="00B07847"/>
    <w:rsid w:val="00B1484D"/>
    <w:rsid w:val="00B95EBA"/>
    <w:rsid w:val="00BC2A0C"/>
    <w:rsid w:val="00BE1D3B"/>
    <w:rsid w:val="00C230CA"/>
    <w:rsid w:val="00C3645A"/>
    <w:rsid w:val="00CD43E8"/>
    <w:rsid w:val="00CF62BF"/>
    <w:rsid w:val="00D00625"/>
    <w:rsid w:val="00D31B45"/>
    <w:rsid w:val="00D32664"/>
    <w:rsid w:val="00D627B0"/>
    <w:rsid w:val="00D746C1"/>
    <w:rsid w:val="00D90BE0"/>
    <w:rsid w:val="00DC01CF"/>
    <w:rsid w:val="00E81C9E"/>
    <w:rsid w:val="00ED40A4"/>
    <w:rsid w:val="00EF4861"/>
    <w:rsid w:val="00F05858"/>
    <w:rsid w:val="00F37DBE"/>
    <w:rsid w:val="00F97F02"/>
    <w:rsid w:val="013853AC"/>
    <w:rsid w:val="023E1286"/>
    <w:rsid w:val="030669ED"/>
    <w:rsid w:val="032B7E17"/>
    <w:rsid w:val="034B5FC8"/>
    <w:rsid w:val="036F6D1F"/>
    <w:rsid w:val="04E634F4"/>
    <w:rsid w:val="05B622F4"/>
    <w:rsid w:val="05FD3BFC"/>
    <w:rsid w:val="06803F38"/>
    <w:rsid w:val="07013F3A"/>
    <w:rsid w:val="078B333A"/>
    <w:rsid w:val="07C24B12"/>
    <w:rsid w:val="07D15ABF"/>
    <w:rsid w:val="087E795F"/>
    <w:rsid w:val="09EC7123"/>
    <w:rsid w:val="09ED56C9"/>
    <w:rsid w:val="0B530D41"/>
    <w:rsid w:val="0BF7590B"/>
    <w:rsid w:val="0C492847"/>
    <w:rsid w:val="0CF31D21"/>
    <w:rsid w:val="0F111837"/>
    <w:rsid w:val="0F81598B"/>
    <w:rsid w:val="0FB91E94"/>
    <w:rsid w:val="11C46A46"/>
    <w:rsid w:val="123211CE"/>
    <w:rsid w:val="12E110C3"/>
    <w:rsid w:val="143E2438"/>
    <w:rsid w:val="15CB2DA0"/>
    <w:rsid w:val="166F3635"/>
    <w:rsid w:val="16806E74"/>
    <w:rsid w:val="17AF353E"/>
    <w:rsid w:val="185870FA"/>
    <w:rsid w:val="185A544F"/>
    <w:rsid w:val="18890233"/>
    <w:rsid w:val="18F60E42"/>
    <w:rsid w:val="190D49C0"/>
    <w:rsid w:val="198737C7"/>
    <w:rsid w:val="19976A31"/>
    <w:rsid w:val="19DC6BDA"/>
    <w:rsid w:val="1AA56FDE"/>
    <w:rsid w:val="1B1B25BA"/>
    <w:rsid w:val="1B7913A6"/>
    <w:rsid w:val="1D61352C"/>
    <w:rsid w:val="1DFA0457"/>
    <w:rsid w:val="1E5F5CBE"/>
    <w:rsid w:val="1E8307F5"/>
    <w:rsid w:val="1F457921"/>
    <w:rsid w:val="20D12777"/>
    <w:rsid w:val="20FB672E"/>
    <w:rsid w:val="213339C4"/>
    <w:rsid w:val="21677697"/>
    <w:rsid w:val="228D26CE"/>
    <w:rsid w:val="22916FA5"/>
    <w:rsid w:val="247C6E9E"/>
    <w:rsid w:val="25650E5F"/>
    <w:rsid w:val="26010880"/>
    <w:rsid w:val="26F15921"/>
    <w:rsid w:val="294E0F60"/>
    <w:rsid w:val="2987716A"/>
    <w:rsid w:val="29AE18A7"/>
    <w:rsid w:val="2A6366FF"/>
    <w:rsid w:val="2B3D5BF4"/>
    <w:rsid w:val="2C4141D8"/>
    <w:rsid w:val="2E0C6858"/>
    <w:rsid w:val="2E9C2616"/>
    <w:rsid w:val="2F4D3609"/>
    <w:rsid w:val="2F5836E9"/>
    <w:rsid w:val="30062480"/>
    <w:rsid w:val="30556F21"/>
    <w:rsid w:val="308C5F1F"/>
    <w:rsid w:val="31111553"/>
    <w:rsid w:val="314B6E80"/>
    <w:rsid w:val="321D777A"/>
    <w:rsid w:val="32843E96"/>
    <w:rsid w:val="34454474"/>
    <w:rsid w:val="34AF40BC"/>
    <w:rsid w:val="36162BCB"/>
    <w:rsid w:val="36A71B58"/>
    <w:rsid w:val="36B41FB6"/>
    <w:rsid w:val="37103BA1"/>
    <w:rsid w:val="3714705A"/>
    <w:rsid w:val="372F49C8"/>
    <w:rsid w:val="37514AF4"/>
    <w:rsid w:val="377C0298"/>
    <w:rsid w:val="37B04D36"/>
    <w:rsid w:val="39C31C6C"/>
    <w:rsid w:val="3A6303AE"/>
    <w:rsid w:val="3A971178"/>
    <w:rsid w:val="3A993EAE"/>
    <w:rsid w:val="3AB61186"/>
    <w:rsid w:val="3B1E2F1E"/>
    <w:rsid w:val="3C283344"/>
    <w:rsid w:val="3C485F9D"/>
    <w:rsid w:val="3C7C70D7"/>
    <w:rsid w:val="3C940DD1"/>
    <w:rsid w:val="3DB21669"/>
    <w:rsid w:val="3DF67F7D"/>
    <w:rsid w:val="3E0C6463"/>
    <w:rsid w:val="3E9239BA"/>
    <w:rsid w:val="3EE43BF5"/>
    <w:rsid w:val="403E57B7"/>
    <w:rsid w:val="411A0F39"/>
    <w:rsid w:val="415A5C88"/>
    <w:rsid w:val="41CE08E1"/>
    <w:rsid w:val="42112513"/>
    <w:rsid w:val="433C7ACC"/>
    <w:rsid w:val="435518AD"/>
    <w:rsid w:val="43C04259"/>
    <w:rsid w:val="44C67F95"/>
    <w:rsid w:val="4559568A"/>
    <w:rsid w:val="45A47533"/>
    <w:rsid w:val="46BC402D"/>
    <w:rsid w:val="472961BF"/>
    <w:rsid w:val="475528CD"/>
    <w:rsid w:val="47B265AF"/>
    <w:rsid w:val="496717C4"/>
    <w:rsid w:val="4A063A4F"/>
    <w:rsid w:val="4A875AD1"/>
    <w:rsid w:val="4AE27CAC"/>
    <w:rsid w:val="4B1B2ECF"/>
    <w:rsid w:val="4B6E282F"/>
    <w:rsid w:val="4BAC48C9"/>
    <w:rsid w:val="4BB27DC6"/>
    <w:rsid w:val="4CEA2347"/>
    <w:rsid w:val="4D243428"/>
    <w:rsid w:val="4D2D7FC0"/>
    <w:rsid w:val="4E1E04FA"/>
    <w:rsid w:val="4EFA25EF"/>
    <w:rsid w:val="4F9246A8"/>
    <w:rsid w:val="4FEB08B0"/>
    <w:rsid w:val="50A13664"/>
    <w:rsid w:val="51937E4D"/>
    <w:rsid w:val="52383592"/>
    <w:rsid w:val="523875F5"/>
    <w:rsid w:val="52506204"/>
    <w:rsid w:val="53FA1DF3"/>
    <w:rsid w:val="54AB2D04"/>
    <w:rsid w:val="557B35BC"/>
    <w:rsid w:val="565C1CF5"/>
    <w:rsid w:val="571F3A0C"/>
    <w:rsid w:val="57F2034A"/>
    <w:rsid w:val="58207565"/>
    <w:rsid w:val="58235318"/>
    <w:rsid w:val="59121C77"/>
    <w:rsid w:val="59DE0E09"/>
    <w:rsid w:val="59DF6851"/>
    <w:rsid w:val="5A283DD0"/>
    <w:rsid w:val="5ACD76EE"/>
    <w:rsid w:val="5AD36B10"/>
    <w:rsid w:val="5B366E46"/>
    <w:rsid w:val="5B3D7F5F"/>
    <w:rsid w:val="5B460326"/>
    <w:rsid w:val="5DCA599A"/>
    <w:rsid w:val="5F0279C4"/>
    <w:rsid w:val="5F944466"/>
    <w:rsid w:val="60624BBE"/>
    <w:rsid w:val="60844C26"/>
    <w:rsid w:val="60A9029A"/>
    <w:rsid w:val="60FA16F8"/>
    <w:rsid w:val="6139287F"/>
    <w:rsid w:val="63CF15A0"/>
    <w:rsid w:val="65A92947"/>
    <w:rsid w:val="661A50B7"/>
    <w:rsid w:val="666A0E45"/>
    <w:rsid w:val="673E5F91"/>
    <w:rsid w:val="67D6317A"/>
    <w:rsid w:val="67D649B5"/>
    <w:rsid w:val="68ED6365"/>
    <w:rsid w:val="6A4E3ABD"/>
    <w:rsid w:val="6AE63D7E"/>
    <w:rsid w:val="6B462C2B"/>
    <w:rsid w:val="6B8359E9"/>
    <w:rsid w:val="6BA02A7E"/>
    <w:rsid w:val="6BD277B9"/>
    <w:rsid w:val="6C321620"/>
    <w:rsid w:val="6DA02882"/>
    <w:rsid w:val="6DA12E69"/>
    <w:rsid w:val="6DBB3B60"/>
    <w:rsid w:val="6F0B4673"/>
    <w:rsid w:val="6F8E6CAC"/>
    <w:rsid w:val="700E4F44"/>
    <w:rsid w:val="70173239"/>
    <w:rsid w:val="711D3FA5"/>
    <w:rsid w:val="721A5B23"/>
    <w:rsid w:val="72B931C1"/>
    <w:rsid w:val="734A515C"/>
    <w:rsid w:val="738D03F5"/>
    <w:rsid w:val="73E442FB"/>
    <w:rsid w:val="767E5B01"/>
    <w:rsid w:val="76DE154F"/>
    <w:rsid w:val="77404ED6"/>
    <w:rsid w:val="778F44F9"/>
    <w:rsid w:val="77F2017E"/>
    <w:rsid w:val="79017606"/>
    <w:rsid w:val="79D7762B"/>
    <w:rsid w:val="79EB254B"/>
    <w:rsid w:val="7BA82ABD"/>
    <w:rsid w:val="7C757EAB"/>
    <w:rsid w:val="7CBB2314"/>
    <w:rsid w:val="7D0A41BC"/>
    <w:rsid w:val="7D0A4B32"/>
    <w:rsid w:val="7D797C2B"/>
    <w:rsid w:val="7DAC6A56"/>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link w:val="34"/>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link w:val="33"/>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正文文本首行缩进 字符"/>
    <w:basedOn w:val="17"/>
    <w:link w:val="8"/>
    <w:autoRedefine/>
    <w:qFormat/>
    <w:uiPriority w:val="0"/>
    <w:rPr>
      <w:rFonts w:ascii="宋体" w:eastAsiaTheme="minorEastAsia"/>
      <w:kern w:val="2"/>
      <w:sz w:val="24"/>
      <w:lang w:val="zh-CN"/>
    </w:rPr>
  </w:style>
  <w:style w:type="character" w:customStyle="1" w:styleId="34">
    <w:name w:val="正文文本 字符"/>
    <w:basedOn w:val="17"/>
    <w:link w:val="7"/>
    <w:autoRedefine/>
    <w:qFormat/>
    <w:uiPriority w:val="99"/>
    <w:rPr>
      <w:rFonts w:ascii="宋体" w:hAnsi="Arial" w:cs="Arial" w:eastAsiaTheme="minorEastAsia"/>
      <w:snapToGrid w:val="0"/>
      <w:kern w:val="2"/>
      <w:sz w:val="24"/>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4753</Words>
  <Characters>27094</Characters>
  <Lines>225</Lines>
  <Paragraphs>63</Paragraphs>
  <TotalTime>5</TotalTime>
  <ScaleCrop>false</ScaleCrop>
  <LinksUpToDate>false</LinksUpToDate>
  <CharactersWithSpaces>31784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文档存本地丢失不负责</cp:lastModifiedBy>
  <dcterms:modified xsi:type="dcterms:W3CDTF">2024-03-08T02:16:11Z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B8A9BE93123146EF81B7119B9D9F6625_13</vt:lpwstr>
  </property>
</Properties>
</file>