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2024年临江公司MIS系统维护服务采购</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202403018</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2024年临江公司MIS系统维护服务采购</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202403018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rPr>
        <w:t xml:space="preserve"> </w:t>
      </w:r>
      <w:r>
        <w:rPr>
          <w:rFonts w:hint="eastAsia" w:hAnsi="宋体" w:cs="宋体"/>
          <w:bCs/>
          <w:color w:val="auto"/>
          <w:sz w:val="24"/>
          <w:highlight w:val="none"/>
          <w:lang w:eastAsia="zh-CN"/>
        </w:rPr>
        <w:t>主要负责</w:t>
      </w:r>
      <w:r>
        <w:rPr>
          <w:rFonts w:hint="eastAsia" w:hAnsi="宋体" w:cs="宋体"/>
          <w:bCs/>
          <w:color w:val="auto"/>
          <w:sz w:val="24"/>
          <w:highlight w:val="none"/>
        </w:rPr>
        <w:t>MIS系统功能组织变更迁移、日常年度维护、系统培训</w:t>
      </w:r>
      <w:r>
        <w:rPr>
          <w:rFonts w:hint="eastAsia" w:hAnsi="宋体" w:cs="宋体"/>
          <w:bCs/>
          <w:color w:val="auto"/>
          <w:sz w:val="24"/>
          <w:highlight w:val="none"/>
          <w:lang w:val="en-US" w:eastAsia="zh-CN"/>
        </w:rPr>
        <w:t>等服务内容</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35393623"/>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2.供应商在“信用中国”（www.creditchina.gov.cn）、中国政府采购网（www.ccgp.gov.cn）等其</w:t>
      </w:r>
      <w:r>
        <w:rPr>
          <w:rFonts w:hint="eastAsia" w:cs="仿宋" w:asciiTheme="minorEastAsia" w:hAnsiTheme="minorEastAsia"/>
          <w:bCs/>
          <w:color w:val="auto"/>
          <w:sz w:val="24"/>
          <w:highlight w:val="none"/>
          <w:lang w:val="en-US" w:eastAsia="zh-CN"/>
        </w:rPr>
        <w:t>他</w:t>
      </w:r>
      <w:r>
        <w:rPr>
          <w:rFonts w:hint="eastAsia" w:cs="仿宋" w:asciiTheme="minorEastAsia" w:hAnsiTheme="minorEastAsia"/>
          <w:bCs/>
          <w:color w:val="auto"/>
          <w:sz w:val="24"/>
          <w:highlight w:val="none"/>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highlight w:val="none"/>
          <w:lang w:eastAsia="zh-CN"/>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rPr>
        <w:t>供应商必须有</w:t>
      </w:r>
      <w:r>
        <w:rPr>
          <w:rFonts w:hint="eastAsia" w:cs="仿宋" w:asciiTheme="minorEastAsia" w:hAnsiTheme="minorEastAsia"/>
          <w:bCs/>
          <w:color w:val="auto"/>
          <w:sz w:val="24"/>
          <w:highlight w:val="none"/>
          <w:u w:val="single"/>
          <w:lang w:val="en-US" w:eastAsia="zh-CN"/>
        </w:rPr>
        <w:t>合同签订时间</w:t>
      </w:r>
      <w:r>
        <w:rPr>
          <w:rFonts w:hint="eastAsia" w:cs="仿宋" w:asciiTheme="minorEastAsia" w:hAnsiTheme="minorEastAsia"/>
          <w:bCs/>
          <w:color w:val="auto"/>
          <w:sz w:val="24"/>
          <w:highlight w:val="none"/>
          <w:u w:val="single"/>
        </w:rPr>
        <w:t>自20</w:t>
      </w:r>
      <w:r>
        <w:rPr>
          <w:rFonts w:hint="eastAsia" w:cs="仿宋" w:asciiTheme="minorEastAsia" w:hAnsiTheme="minorEastAsia"/>
          <w:bCs/>
          <w:color w:val="auto"/>
          <w:sz w:val="24"/>
          <w:highlight w:val="none"/>
          <w:u w:val="single"/>
          <w:lang w:val="en-US" w:eastAsia="zh-CN"/>
        </w:rPr>
        <w:t>21</w:t>
      </w:r>
      <w:r>
        <w:rPr>
          <w:rFonts w:hint="eastAsia" w:cs="仿宋" w:asciiTheme="minorEastAsia" w:hAnsiTheme="minorEastAsia"/>
          <w:bCs/>
          <w:color w:val="auto"/>
          <w:sz w:val="24"/>
          <w:highlight w:val="none"/>
          <w:u w:val="single"/>
        </w:rPr>
        <w:t>年1月1日起不少于</w:t>
      </w:r>
      <w:r>
        <w:rPr>
          <w:rFonts w:hint="default" w:cs="仿宋" w:asciiTheme="minorEastAsia" w:hAnsiTheme="minorEastAsia"/>
          <w:b/>
          <w:bCs w:val="0"/>
          <w:color w:val="auto"/>
          <w:sz w:val="24"/>
          <w:highlight w:val="none"/>
          <w:u w:val="single"/>
          <w:lang w:val="en-US" w:eastAsia="zh-CN"/>
        </w:rPr>
        <w:t>1</w:t>
      </w:r>
      <w:r>
        <w:rPr>
          <w:rFonts w:hint="eastAsia" w:cs="仿宋" w:asciiTheme="minorEastAsia" w:hAnsiTheme="minorEastAsia"/>
          <w:bCs/>
          <w:color w:val="auto"/>
          <w:sz w:val="24"/>
          <w:highlight w:val="none"/>
          <w:u w:val="single"/>
        </w:rPr>
        <w:t>个</w:t>
      </w:r>
      <w:r>
        <w:rPr>
          <w:rFonts w:hint="eastAsia" w:cs="仿宋" w:asciiTheme="minorEastAsia" w:hAnsiTheme="minorEastAsia"/>
          <w:bCs/>
          <w:color w:val="auto"/>
          <w:sz w:val="24"/>
          <w:highlight w:val="none"/>
          <w:u w:val="single"/>
          <w:lang w:val="en-US" w:eastAsia="zh-CN"/>
        </w:rPr>
        <w:t>与</w:t>
      </w:r>
      <w:r>
        <w:rPr>
          <w:rFonts w:hint="eastAsia" w:cs="仿宋" w:asciiTheme="minorEastAsia" w:hAnsiTheme="minorEastAsia"/>
          <w:bCs/>
          <w:color w:val="auto"/>
          <w:sz w:val="24"/>
          <w:highlight w:val="none"/>
          <w:u w:val="single"/>
        </w:rPr>
        <w:t>MIS系统</w:t>
      </w:r>
      <w:r>
        <w:rPr>
          <w:rFonts w:hint="eastAsia" w:cs="仿宋" w:asciiTheme="minorEastAsia" w:hAnsiTheme="minorEastAsia"/>
          <w:bCs/>
          <w:color w:val="auto"/>
          <w:sz w:val="24"/>
          <w:highlight w:val="none"/>
          <w:u w:val="single"/>
          <w:lang w:val="en-US" w:eastAsia="zh-CN"/>
        </w:rPr>
        <w:t>维护服务调试相关的</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w:t>
      </w:r>
      <w:r>
        <w:rPr>
          <w:rFonts w:hint="eastAsia" w:cs="仿宋" w:asciiTheme="minorEastAsia" w:hAnsiTheme="minorEastAsia"/>
          <w:bCs/>
          <w:color w:val="auto"/>
          <w:sz w:val="24"/>
          <w:highlight w:val="none"/>
          <w:lang w:eastAsia="zh-CN"/>
        </w:rPr>
        <w:t>杭州市环境集团有限公司或</w:t>
      </w:r>
      <w:r>
        <w:rPr>
          <w:rFonts w:hint="eastAsia" w:cs="仿宋" w:asciiTheme="minorEastAsia" w:hAnsiTheme="minorEastAsia"/>
          <w:bCs/>
          <w:color w:val="auto"/>
          <w:sz w:val="24"/>
          <w:highlight w:val="none"/>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color w:val="auto"/>
          <w:sz w:val="24"/>
          <w:highlight w:val="none"/>
          <w:u w:val="single"/>
          <w:lang w:eastAsia="zh-CN"/>
        </w:rPr>
        <w:t>ljgsbjzy@163.com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九、</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3月18</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snapToGrid w:val="0"/>
                <w:color w:val="auto"/>
                <w:sz w:val="21"/>
                <w:szCs w:val="21"/>
                <w:highlight w:val="none"/>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highlight w:val="none"/>
              </w:rPr>
            </w:pPr>
            <w:r>
              <w:rPr>
                <w:rFonts w:hint="eastAsia" w:cs="宋体"/>
                <w:snapToGrid w:val="0"/>
                <w:color w:val="auto"/>
                <w:sz w:val="21"/>
                <w:szCs w:val="21"/>
                <w:highlight w:val="none"/>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highlight w:val="none"/>
                <w:lang w:eastAsia="zh-CN"/>
              </w:rPr>
            </w:pPr>
            <w:r>
              <w:rPr>
                <w:rFonts w:hint="eastAsia"/>
                <w:b/>
                <w:bCs/>
                <w:snapToGrid w:val="0"/>
                <w:color w:val="auto"/>
                <w:sz w:val="21"/>
                <w:szCs w:val="21"/>
                <w:highlight w:val="none"/>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 xml:space="preserve">供应商资格审查方式：  □资格预审  </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snapToGrid w:val="0"/>
                <w:color w:val="auto"/>
                <w:sz w:val="21"/>
                <w:szCs w:val="21"/>
                <w:highlight w:val="none"/>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（1）分包：</w:t>
            </w:r>
            <w:r>
              <w:rPr>
                <w:rFonts w:hint="eastAsia"/>
                <w:snapToGrid w:val="0"/>
                <w:color w:val="auto"/>
                <w:szCs w:val="21"/>
                <w:highlight w:val="none"/>
                <w:lang w:eastAsia="zh-CN"/>
              </w:rPr>
              <w:t>□</w:t>
            </w:r>
            <w:r>
              <w:rPr>
                <w:rFonts w:hint="eastAsia"/>
                <w:snapToGrid w:val="0"/>
                <w:color w:val="auto"/>
                <w:sz w:val="21"/>
                <w:szCs w:val="21"/>
                <w:highlight w:val="none"/>
                <w:lang w:eastAsia="zh-CN"/>
              </w:rPr>
              <w:t xml:space="preserve">允许  </w:t>
            </w:r>
            <w:r>
              <w:rPr>
                <w:rFonts w:hint="eastAsia"/>
                <w:color w:val="auto"/>
                <w:szCs w:val="21"/>
                <w:highlight w:val="none"/>
                <w:lang w:bidi="ar"/>
              </w:rPr>
              <w:sym w:font="Wingdings" w:char="00FE"/>
            </w:r>
            <w:r>
              <w:rPr>
                <w:rFonts w:hint="eastAsia"/>
                <w:snapToGrid w:val="0"/>
                <w:color w:val="auto"/>
                <w:sz w:val="21"/>
                <w:szCs w:val="21"/>
                <w:highlight w:val="none"/>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highlight w:val="none"/>
              </w:rPr>
            </w:pPr>
            <w:r>
              <w:rPr>
                <w:rFonts w:hint="eastAsia"/>
                <w:snapToGrid w:val="0"/>
                <w:color w:val="auto"/>
                <w:sz w:val="21"/>
                <w:szCs w:val="21"/>
                <w:highlight w:val="none"/>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7"/>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B要求提供。</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潜在供应商</w:t>
            </w:r>
            <w:r>
              <w:rPr>
                <w:rFonts w:hint="eastAsia" w:ascii="宋体" w:hAnsi="宋体" w:eastAsia="宋体" w:cs="宋体"/>
                <w:color w:val="auto"/>
                <w:sz w:val="21"/>
                <w:szCs w:val="21"/>
                <w:highlight w:val="none"/>
              </w:rPr>
              <w:t>需要提供</w:t>
            </w:r>
            <w:r>
              <w:rPr>
                <w:rFonts w:hint="eastAsia" w:ascii="宋体" w:hAnsi="宋体" w:eastAsia="宋体" w:cs="宋体"/>
                <w:color w:val="auto"/>
                <w:sz w:val="21"/>
                <w:szCs w:val="21"/>
                <w:highlight w:val="none"/>
                <w:u w:val="single"/>
                <w:lang w:val="en-US" w:eastAsia="zh-CN"/>
              </w:rPr>
              <w:t xml:space="preserve">   /</w:t>
            </w:r>
            <w:bookmarkStart w:id="496" w:name="_GoBack"/>
            <w:bookmarkEnd w:id="496"/>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lang w:eastAsia="zh-CN"/>
              </w:rPr>
            </w:pPr>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w:t>
            </w:r>
            <w:r>
              <w:rPr>
                <w:rFonts w:hint="eastAsia" w:ascii="宋体" w:hAnsi="宋体" w:eastAsia="宋体" w:cs="宋体"/>
                <w:color w:val="auto"/>
                <w:sz w:val="21"/>
                <w:szCs w:val="21"/>
                <w:highlight w:val="none"/>
                <w:lang w:eastAsia="zh-CN"/>
              </w:rPr>
              <w:t>询价保证金</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w:t>
            </w:r>
            <w:r>
              <w:rPr>
                <w:rFonts w:hint="eastAsia" w:ascii="宋体" w:hAnsi="宋体" w:eastAsia="宋体" w:cs="宋体"/>
                <w:color w:val="auto"/>
                <w:sz w:val="21"/>
                <w:szCs w:val="21"/>
                <w:highlight w:val="none"/>
                <w:lang w:eastAsia="zh-CN"/>
              </w:rPr>
              <w:t>询价保证金</w:t>
            </w:r>
            <w:r>
              <w:rPr>
                <w:rFonts w:hint="eastAsia" w:ascii="宋体" w:hAnsi="宋体" w:eastAsia="宋体" w:cs="宋体"/>
                <w:color w:val="auto"/>
                <w:kern w:val="0"/>
                <w:sz w:val="21"/>
                <w:szCs w:val="21"/>
                <w:highlight w:val="none"/>
              </w:rPr>
              <w:t>。</w:t>
            </w:r>
          </w:p>
          <w:p>
            <w:pPr>
              <w:numPr>
                <w:ilvl w:val="0"/>
                <w:numId w:val="0"/>
              </w:numPr>
              <w:spacing w:line="360" w:lineRule="auto"/>
              <w:jc w:val="both"/>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询价</w:t>
            </w:r>
            <w:r>
              <w:rPr>
                <w:rFonts w:hint="eastAsia" w:ascii="宋体" w:hAnsi="宋体" w:eastAsia="宋体" w:cs="宋体"/>
                <w:color w:val="auto"/>
                <w:sz w:val="21"/>
                <w:szCs w:val="21"/>
                <w:highlight w:val="none"/>
              </w:rPr>
              <w:t>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截止</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前以电汇或网银转账方式缴纳至杭州临江环境能源有限公司。同时将银行缴款凭证复印件作为</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文件组成部分。</w:t>
            </w:r>
            <w:r>
              <w:rPr>
                <w:rFonts w:hint="eastAsia" w:ascii="宋体" w:hAnsi="宋体" w:eastAsia="宋体" w:cs="宋体"/>
                <w:b/>
                <w:bCs/>
                <w:color w:val="auto"/>
                <w:sz w:val="21"/>
                <w:szCs w:val="21"/>
                <w:highlight w:val="none"/>
              </w:rPr>
              <w:t>须注明：</w:t>
            </w:r>
            <w:r>
              <w:rPr>
                <w:rFonts w:hint="eastAsia" w:ascii="宋体" w:hAnsi="宋体" w:eastAsia="宋体" w:cs="宋体"/>
                <w:b/>
                <w:bCs/>
                <w:color w:val="auto"/>
                <w:sz w:val="21"/>
                <w:szCs w:val="21"/>
                <w:highlight w:val="none"/>
                <w:lang w:val="en-US" w:eastAsia="zh-CN"/>
              </w:rPr>
              <w:t xml:space="preserve"> </w:t>
            </w:r>
            <w:r>
              <w:rPr>
                <w:rFonts w:hint="default"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开户银行：杭州银行大江东支行</w:t>
            </w:r>
          </w:p>
          <w:p>
            <w:pPr>
              <w:spacing w:line="360" w:lineRule="auto"/>
              <w:jc w:val="both"/>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8"/>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5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495733405"/>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sdt>
                  <w:sdtPr>
                    <w:rPr>
                      <w:rFonts w:hint="eastAsia" w:ascii="宋体" w:hAnsi="宋体" w:eastAsia="宋体" w:cs="宋体"/>
                      <w:color w:val="auto"/>
                      <w:kern w:val="0"/>
                      <w:sz w:val="21"/>
                      <w:szCs w:val="21"/>
                      <w:highlight w:val="none"/>
                    </w:rPr>
                    <w:id w:val="60"/>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62"/>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sdt>
                  <w:sdtPr>
                    <w:rPr>
                      <w:rFonts w:hint="eastAsia" w:ascii="宋体" w:hAnsi="宋体" w:eastAsia="宋体" w:cs="宋体"/>
                      <w:color w:val="auto"/>
                      <w:kern w:val="0"/>
                      <w:sz w:val="21"/>
                      <w:szCs w:val="21"/>
                      <w:highlight w:val="none"/>
                    </w:rPr>
                    <w:id w:val="63"/>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B组织。</w:t>
            </w:r>
          </w:p>
          <w:p>
            <w:pPr>
              <w:snapToGrid w:val="0"/>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（1）在评审时安排供应商进行方案讲解演示。每个供应商时间不超过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分钟，讲解次序以响应文件解密时间先后次序为准，讲解演示人员不超过</w:t>
            </w:r>
            <w:r>
              <w:rPr>
                <w:rFonts w:hint="eastAsia" w:ascii="宋体" w:hAnsi="宋体" w:eastAsia="宋体" w:cs="宋体"/>
                <w:color w:val="auto"/>
                <w:kern w:val="0"/>
                <w:sz w:val="21"/>
                <w:szCs w:val="21"/>
                <w:highlight w:val="none"/>
                <w:u w:val="single"/>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人。讲解演示结束后按要求解答</w:t>
            </w:r>
            <w:r>
              <w:rPr>
                <w:rFonts w:hint="eastAsia" w:ascii="宋体" w:hAnsi="宋体" w:eastAsia="宋体" w:cs="宋体"/>
                <w:color w:val="auto"/>
                <w:kern w:val="0"/>
                <w:sz w:val="21"/>
                <w:szCs w:val="21"/>
                <w:highlight w:val="none"/>
                <w:lang w:eastAsia="zh-CN"/>
              </w:rPr>
              <w:t>询价评审小组</w:t>
            </w:r>
            <w:r>
              <w:rPr>
                <w:rFonts w:hint="eastAsia" w:ascii="宋体" w:hAnsi="宋体" w:eastAsia="宋体" w:cs="宋体"/>
                <w:color w:val="auto"/>
                <w:kern w:val="0"/>
                <w:sz w:val="21"/>
                <w:szCs w:val="21"/>
                <w:highlight w:val="none"/>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color w:val="auto"/>
                <w:sz w:val="21"/>
                <w:szCs w:val="21"/>
                <w:highlight w:val="none"/>
                <w:lang w:val="zh-CN"/>
              </w:rPr>
              <w:t>响应报价函</w:t>
            </w:r>
            <w:r>
              <w:rPr>
                <w:rFonts w:hint="eastAsia" w:ascii="宋体" w:hAnsi="宋体" w:eastAsia="宋体" w:cs="宋体"/>
                <w:color w:val="auto"/>
                <w:sz w:val="21"/>
                <w:szCs w:val="21"/>
                <w:highlight w:val="none"/>
              </w:rPr>
              <w:t>是报价的唯一载体</w:t>
            </w:r>
            <w:r>
              <w:rPr>
                <w:rFonts w:hint="eastAsia" w:ascii="宋体" w:hAnsi="宋体" w:eastAsia="宋体" w:cs="宋体"/>
                <w:b/>
                <w:bCs/>
                <w:color w:val="auto"/>
                <w:sz w:val="21"/>
                <w:szCs w:val="21"/>
                <w:highlight w:val="none"/>
              </w:rPr>
              <w:t>，如供应商填写的报价</w:t>
            </w:r>
            <w:r>
              <w:rPr>
                <w:rFonts w:hint="eastAsia" w:ascii="宋体" w:hAnsi="宋体" w:eastAsia="宋体" w:cs="宋体"/>
                <w:b/>
                <w:bCs/>
                <w:color w:val="auto"/>
                <w:sz w:val="21"/>
                <w:szCs w:val="21"/>
                <w:highlight w:val="none"/>
                <w:lang w:eastAsia="zh-CN"/>
              </w:rPr>
              <w:t>函</w:t>
            </w:r>
            <w:r>
              <w:rPr>
                <w:rFonts w:hint="eastAsia" w:ascii="宋体" w:hAnsi="宋体" w:eastAsia="宋体" w:cs="宋体"/>
                <w:b/>
                <w:bCs/>
                <w:color w:val="auto"/>
                <w:sz w:val="21"/>
                <w:szCs w:val="21"/>
                <w:highlight w:val="none"/>
              </w:rPr>
              <w:t>与响应文件中</w:t>
            </w:r>
            <w:r>
              <w:rPr>
                <w:rFonts w:hint="eastAsia" w:ascii="宋体" w:hAnsi="宋体" w:eastAsia="宋体" w:cs="宋体"/>
                <w:b/>
                <w:bCs/>
                <w:color w:val="auto"/>
                <w:sz w:val="21"/>
                <w:szCs w:val="21"/>
                <w:highlight w:val="none"/>
                <w:lang w:val="zh-CN"/>
              </w:rPr>
              <w:t>响应报价明细表</w:t>
            </w:r>
            <w:r>
              <w:rPr>
                <w:rFonts w:hint="eastAsia" w:ascii="宋体" w:hAnsi="宋体" w:eastAsia="宋体" w:cs="宋体"/>
                <w:b/>
                <w:bCs/>
                <w:color w:val="auto"/>
                <w:sz w:val="21"/>
                <w:szCs w:val="21"/>
                <w:highlight w:val="none"/>
              </w:rPr>
              <w:t>不一致的，以</w:t>
            </w:r>
            <w:r>
              <w:rPr>
                <w:rFonts w:hint="eastAsia" w:ascii="宋体" w:hAnsi="宋体" w:eastAsia="宋体" w:cs="宋体"/>
                <w:b/>
                <w:bCs/>
                <w:color w:val="auto"/>
                <w:sz w:val="21"/>
                <w:szCs w:val="21"/>
                <w:highlight w:val="none"/>
                <w:lang w:val="zh-CN"/>
              </w:rPr>
              <w:t>响应报价函</w:t>
            </w:r>
            <w:r>
              <w:rPr>
                <w:rFonts w:hint="eastAsia" w:ascii="宋体" w:hAnsi="宋体" w:eastAsia="宋体" w:cs="宋体"/>
                <w:b/>
                <w:bCs/>
                <w:color w:val="auto"/>
                <w:sz w:val="21"/>
                <w:szCs w:val="21"/>
                <w:highlight w:val="none"/>
              </w:rPr>
              <w:t>为准。</w:t>
            </w:r>
            <w:r>
              <w:rPr>
                <w:rFonts w:hint="eastAsia" w:ascii="宋体" w:hAnsi="宋体" w:eastAsia="宋体" w:cs="宋体"/>
                <w:color w:val="auto"/>
                <w:kern w:val="0"/>
                <w:sz w:val="21"/>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highlight w:val="none"/>
              </w:rPr>
            </w:pPr>
            <w:r>
              <w:rPr>
                <w:rFonts w:hint="eastAsia" w:ascii="宋体" w:hAnsi="宋体" w:eastAsia="宋体" w:cs="宋体"/>
                <w:b/>
                <w:color w:val="auto"/>
                <w:kern w:val="0"/>
                <w:sz w:val="21"/>
                <w:szCs w:val="21"/>
                <w:highlight w:val="none"/>
                <w:lang w:val="zh-CN"/>
              </w:rPr>
              <w:t>响应无效情形，详见</w:t>
            </w:r>
            <w:r>
              <w:rPr>
                <w:rFonts w:hint="eastAsia"/>
                <w:color w:val="auto"/>
                <w:highlight w:val="none"/>
                <w:lang w:eastAsia="zh-CN"/>
              </w:rPr>
              <w:t>“第四部分 《评审方法》</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评</w:t>
            </w:r>
            <w:r>
              <w:rPr>
                <w:rFonts w:hint="eastAsia" w:ascii="宋体" w:hAnsi="宋体" w:cs="宋体"/>
                <w:b/>
                <w:bCs w:val="0"/>
                <w:snapToGrid w:val="0"/>
                <w:color w:val="auto"/>
                <w:kern w:val="0"/>
                <w:szCs w:val="21"/>
                <w:highlight w:val="none"/>
                <w:lang w:eastAsia="zh-CN"/>
              </w:rPr>
              <w:t>审方</w:t>
            </w:r>
            <w:r>
              <w:rPr>
                <w:rFonts w:hint="eastAsia" w:ascii="宋体" w:hAnsi="宋体" w:cs="宋体"/>
                <w:b/>
                <w:bCs w:val="0"/>
                <w:snapToGrid w:val="0"/>
                <w:color w:val="auto"/>
                <w:kern w:val="0"/>
                <w:szCs w:val="21"/>
                <w:highlight w:val="none"/>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cs="宋体"/>
                <w:b/>
                <w:bCs w:val="0"/>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sym w:font="Wingdings" w:char="00A8"/>
            </w:r>
            <w:r>
              <w:rPr>
                <w:rFonts w:hint="eastAsia" w:ascii="宋体" w:hAnsi="宋体" w:cs="宋体"/>
                <w:b w:val="0"/>
                <w:bCs w:val="0"/>
                <w:color w:val="auto"/>
                <w:kern w:val="2"/>
                <w:sz w:val="21"/>
                <w:szCs w:val="24"/>
                <w:highlight w:val="none"/>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sym w:font="Wingdings" w:char="00FE"/>
            </w:r>
            <w:r>
              <w:rPr>
                <w:rFonts w:hint="eastAsia" w:ascii="宋体" w:hAnsi="宋体" w:cs="宋体"/>
                <w:b w:val="0"/>
                <w:bCs w:val="0"/>
                <w:color w:val="auto"/>
                <w:kern w:val="2"/>
                <w:sz w:val="21"/>
                <w:szCs w:val="24"/>
                <w:highlight w:val="none"/>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eastAsia="zh-CN"/>
              </w:rPr>
            </w:pPr>
            <w:r>
              <w:rPr>
                <w:rFonts w:hint="eastAsia" w:ascii="宋体" w:hAnsi="宋体" w:cs="宋体"/>
                <w:b w:val="0"/>
                <w:bCs w:val="0"/>
                <w:color w:val="auto"/>
                <w:kern w:val="2"/>
                <w:sz w:val="21"/>
                <w:szCs w:val="24"/>
                <w:highlight w:val="none"/>
                <w:lang w:val="en-US"/>
              </w:rPr>
              <w:sym w:font="Wingdings" w:char="00A8"/>
            </w:r>
            <w:r>
              <w:rPr>
                <w:rFonts w:hint="eastAsia" w:ascii="宋体" w:hAnsi="宋体" w:cs="宋体"/>
                <w:b w:val="0"/>
                <w:bCs w:val="0"/>
                <w:color w:val="auto"/>
                <w:kern w:val="2"/>
                <w:sz w:val="21"/>
                <w:szCs w:val="24"/>
                <w:highlight w:val="none"/>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highlight w:val="none"/>
              </w:rPr>
            </w:pPr>
            <w:r>
              <w:rPr>
                <w:rFonts w:hint="eastAsia" w:ascii="宋体" w:hAnsi="宋体" w:cs="宋体"/>
                <w:b w:val="0"/>
                <w:bCs w:val="0"/>
                <w:color w:val="auto"/>
                <w:kern w:val="2"/>
                <w:sz w:val="21"/>
                <w:szCs w:val="24"/>
                <w:highlight w:val="none"/>
                <w:lang w:val="en-US"/>
              </w:rPr>
              <w:t>详见</w:t>
            </w:r>
            <w:r>
              <w:rPr>
                <w:rFonts w:hint="eastAsia" w:ascii="宋体" w:hAnsi="宋体" w:cs="宋体"/>
                <w:b w:val="0"/>
                <w:bCs w:val="0"/>
                <w:color w:val="auto"/>
                <w:kern w:val="2"/>
                <w:sz w:val="21"/>
                <w:szCs w:val="24"/>
                <w:highlight w:val="none"/>
                <w:lang w:val="en-US" w:eastAsia="zh-CN"/>
              </w:rPr>
              <w:t>询价采购文件“第四部分 《评审方法》</w:t>
            </w:r>
            <w:r>
              <w:rPr>
                <w:rFonts w:hint="eastAsia" w:ascii="宋体" w:hAnsi="宋体" w:cs="宋体"/>
                <w:b w:val="0"/>
                <w:bCs w:val="0"/>
                <w:color w:val="auto"/>
                <w:kern w:val="2"/>
                <w:sz w:val="21"/>
                <w:szCs w:val="24"/>
                <w:highlight w:val="none"/>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履约保证金金额：</w:t>
            </w:r>
            <w:r>
              <w:rPr>
                <w:rFonts w:hint="eastAsia" w:ascii="宋体" w:hAnsi="宋体" w:cs="宋体"/>
                <w:color w:val="auto"/>
                <w:kern w:val="2"/>
                <w:sz w:val="21"/>
                <w:szCs w:val="24"/>
                <w:highlight w:val="none"/>
                <w:lang w:val="en-US"/>
              </w:rPr>
              <w:t>约合同价的</w:t>
            </w:r>
            <w:r>
              <w:rPr>
                <w:rFonts w:ascii="宋体" w:hAnsi="宋体" w:cs="宋体"/>
                <w:color w:val="auto"/>
                <w:kern w:val="2"/>
                <w:sz w:val="21"/>
                <w:szCs w:val="24"/>
                <w:highlight w:val="none"/>
                <w:lang w:val="en-US"/>
              </w:rPr>
              <w:t>5</w:t>
            </w:r>
            <w:r>
              <w:rPr>
                <w:rFonts w:hint="eastAsia" w:ascii="宋体" w:hAnsi="宋体" w:cs="宋体"/>
                <w:color w:val="auto"/>
                <w:kern w:val="2"/>
                <w:sz w:val="21"/>
                <w:szCs w:val="24"/>
                <w:highlight w:val="none"/>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highlight w:val="none"/>
                <w:lang w:val="en-US" w:eastAsia="zh-CN"/>
              </w:rPr>
            </w:pPr>
            <w:r>
              <w:rPr>
                <w:rFonts w:hint="eastAsia" w:ascii="宋体" w:hAnsi="宋体" w:cs="宋体"/>
                <w:b w:val="0"/>
                <w:bCs w:val="0"/>
                <w:color w:val="auto"/>
                <w:kern w:val="2"/>
                <w:sz w:val="21"/>
                <w:szCs w:val="24"/>
                <w:highlight w:val="none"/>
                <w:lang w:val="en-US"/>
              </w:rPr>
              <w:t>履约保证金缴纳时间：中标通知书领取之后，合同签订</w:t>
            </w:r>
            <w:r>
              <w:rPr>
                <w:rFonts w:hint="eastAsia" w:ascii="宋体" w:hAnsi="宋体" w:cs="宋体"/>
                <w:b w:val="0"/>
                <w:bCs w:val="0"/>
                <w:color w:val="auto"/>
                <w:kern w:val="2"/>
                <w:sz w:val="21"/>
                <w:szCs w:val="24"/>
                <w:highlight w:val="none"/>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highlight w:val="none"/>
              </w:rPr>
            </w:pPr>
            <w:r>
              <w:rPr>
                <w:rFonts w:hint="eastAsia" w:ascii="宋体" w:hAnsi="宋体" w:cs="宋体"/>
                <w:b w:val="0"/>
                <w:bCs w:val="0"/>
                <w:color w:val="auto"/>
                <w:kern w:val="2"/>
                <w:sz w:val="21"/>
                <w:szCs w:val="24"/>
                <w:highlight w:val="none"/>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highlight w:val="none"/>
                <w:lang w:val="en-US"/>
              </w:rPr>
              <w:t>30</w:t>
            </w:r>
            <w:r>
              <w:rPr>
                <w:rFonts w:hint="eastAsia" w:ascii="宋体" w:hAnsi="宋体" w:cs="宋体"/>
                <w:b w:val="0"/>
                <w:bCs w:val="0"/>
                <w:color w:val="auto"/>
                <w:kern w:val="2"/>
                <w:sz w:val="21"/>
                <w:szCs w:val="24"/>
                <w:highlight w:val="none"/>
                <w:lang w:val="en-US" w:eastAsia="zh-CN"/>
              </w:rPr>
              <w:t>个工作日</w:t>
            </w:r>
            <w:r>
              <w:rPr>
                <w:rFonts w:hint="eastAsia" w:ascii="宋体" w:hAnsi="宋体" w:cs="宋体"/>
                <w:b w:val="0"/>
                <w:bCs w:val="0"/>
                <w:color w:val="auto"/>
                <w:kern w:val="2"/>
                <w:sz w:val="21"/>
                <w:szCs w:val="24"/>
                <w:highlight w:val="none"/>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是否分册装订：</w:t>
            </w:r>
          </w:p>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color w:val="auto"/>
                <w:szCs w:val="21"/>
                <w:highlight w:val="none"/>
                <w:lang w:bidi="ar"/>
              </w:rPr>
              <w:sym w:font="Wingdings" w:char="00FE"/>
            </w:r>
            <w:r>
              <w:rPr>
                <w:rFonts w:hint="eastAsia"/>
                <w:snapToGrid w:val="0"/>
                <w:color w:val="auto"/>
                <w:sz w:val="21"/>
                <w:szCs w:val="21"/>
                <w:highlight w:val="none"/>
                <w:lang w:eastAsia="zh-CN"/>
              </w:rPr>
              <w:t>不分册装订；</w:t>
            </w:r>
          </w:p>
          <w:p>
            <w:pPr>
              <w:pStyle w:val="19"/>
              <w:snapToGrid w:val="0"/>
              <w:spacing w:line="400" w:lineRule="exact"/>
              <w:ind w:right="42" w:rightChars="20"/>
              <w:jc w:val="both"/>
              <w:rPr>
                <w:snapToGrid w:val="0"/>
                <w:color w:val="auto"/>
                <w:sz w:val="21"/>
                <w:szCs w:val="21"/>
                <w:highlight w:val="none"/>
                <w:u w:val="single"/>
                <w:lang w:eastAsia="zh-CN"/>
              </w:rPr>
            </w:pPr>
            <w:r>
              <w:rPr>
                <w:rFonts w:hint="eastAsia"/>
                <w:snapToGrid w:val="0"/>
                <w:color w:val="auto"/>
                <w:szCs w:val="21"/>
                <w:highlight w:val="none"/>
                <w:lang w:eastAsia="zh-CN"/>
              </w:rPr>
              <w:t>□</w:t>
            </w:r>
            <w:r>
              <w:rPr>
                <w:rFonts w:hint="eastAsia"/>
                <w:snapToGrid w:val="0"/>
                <w:color w:val="auto"/>
                <w:sz w:val="21"/>
                <w:szCs w:val="21"/>
                <w:highlight w:val="none"/>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highlight w:val="none"/>
                <w:lang w:val="en-US"/>
              </w:rPr>
            </w:pPr>
            <w:r>
              <w:rPr>
                <w:rFonts w:hint="eastAsia"/>
                <w:snapToGrid w:val="0"/>
                <w:color w:val="auto"/>
                <w:sz w:val="21"/>
                <w:szCs w:val="21"/>
                <w:highlight w:val="none"/>
                <w:lang w:eastAsia="zh-CN"/>
              </w:rPr>
              <w:t>装订要求：</w:t>
            </w:r>
            <w:r>
              <w:rPr>
                <w:rFonts w:hint="eastAsia"/>
                <w:b/>
                <w:bCs/>
                <w:snapToGrid w:val="0"/>
                <w:color w:val="auto"/>
                <w:sz w:val="21"/>
                <w:szCs w:val="21"/>
                <w:highlight w:val="none"/>
                <w:lang w:eastAsia="zh-CN"/>
              </w:rPr>
              <w:t>正本1份，副本</w:t>
            </w:r>
            <w:r>
              <w:rPr>
                <w:rFonts w:hint="eastAsia"/>
                <w:b/>
                <w:bCs/>
                <w:snapToGrid w:val="0"/>
                <w:color w:val="auto"/>
                <w:sz w:val="21"/>
                <w:szCs w:val="21"/>
                <w:highlight w:val="none"/>
                <w:lang w:val="en-US" w:eastAsia="zh-CN"/>
              </w:rPr>
              <w:t>2</w:t>
            </w:r>
            <w:r>
              <w:rPr>
                <w:rFonts w:hint="eastAsia"/>
                <w:b/>
                <w:bCs/>
                <w:snapToGrid w:val="0"/>
                <w:color w:val="auto"/>
                <w:sz w:val="21"/>
                <w:szCs w:val="21"/>
                <w:highlight w:val="none"/>
                <w:lang w:eastAsia="zh-CN"/>
              </w:rPr>
              <w:t>份；</w:t>
            </w:r>
            <w:r>
              <w:rPr>
                <w:rFonts w:hint="eastAsia"/>
                <w:snapToGrid w:val="0"/>
                <w:color w:val="auto"/>
                <w:sz w:val="21"/>
                <w:szCs w:val="21"/>
                <w:highlight w:val="none"/>
                <w:lang w:eastAsia="zh-CN"/>
              </w:rPr>
              <w:t>A4幅面，单面或</w:t>
            </w:r>
            <w:r>
              <w:rPr>
                <w:rFonts w:hint="eastAsia"/>
                <w:b/>
                <w:bCs/>
                <w:snapToGrid w:val="0"/>
                <w:color w:val="auto"/>
                <w:sz w:val="21"/>
                <w:szCs w:val="21"/>
                <w:highlight w:val="none"/>
                <w:lang w:eastAsia="zh-CN"/>
              </w:rPr>
              <w:t>双面</w:t>
            </w:r>
            <w:r>
              <w:rPr>
                <w:rFonts w:hint="eastAsia"/>
                <w:snapToGrid w:val="0"/>
                <w:color w:val="auto"/>
                <w:sz w:val="21"/>
                <w:szCs w:val="21"/>
                <w:highlight w:val="none"/>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highlight w:val="none"/>
                <w:lang w:eastAsia="zh-CN"/>
              </w:rPr>
            </w:pPr>
            <w:r>
              <w:rPr>
                <w:rFonts w:hint="eastAsia" w:ascii="宋体" w:hAnsi="宋体" w:cs="宋体"/>
                <w:b/>
                <w:bCs/>
                <w:snapToGrid w:val="0"/>
                <w:color w:val="auto"/>
                <w:kern w:val="0"/>
                <w:szCs w:val="21"/>
                <w:highlight w:val="none"/>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rPr>
          <w:rFonts w:hint="eastAsia" w:cs="仿宋" w:asciiTheme="minorEastAsia" w:hAnsiTheme="minorEastAsia"/>
          <w:b/>
          <w:color w:val="auto"/>
          <w:sz w:val="32"/>
          <w:szCs w:val="20"/>
          <w:highlight w:val="none"/>
        </w:rPr>
      </w:pPr>
    </w:p>
    <w:p>
      <w:pPr>
        <w:pStyle w:val="8"/>
        <w:rPr>
          <w:rFonts w:hint="eastAsia" w:cs="仿宋" w:asciiTheme="minorEastAsia" w:hAnsiTheme="minorEastAsia"/>
          <w:b/>
          <w:color w:val="auto"/>
          <w:sz w:val="32"/>
          <w:szCs w:val="20"/>
          <w:highlight w:val="none"/>
        </w:rPr>
      </w:pPr>
    </w:p>
    <w:p>
      <w:pPr>
        <w:pStyle w:val="9"/>
        <w:rPr>
          <w:rFonts w:hint="eastAsia"/>
          <w:highlight w:val="none"/>
        </w:rPr>
      </w:pPr>
    </w:p>
    <w:p>
      <w:pPr>
        <w:pStyle w:val="8"/>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highlight w:val="none"/>
          <w:lang w:eastAsia="zh-CN"/>
        </w:rPr>
        <w:t>杭州临江环境能源有限公司</w:t>
      </w:r>
      <w:r>
        <w:rPr>
          <w:rFonts w:hint="eastAsia" w:cs="仿宋" w:asciiTheme="minorEastAsia" w:hAnsiTheme="minorEastAsia"/>
          <w:color w:val="auto"/>
          <w:kern w:val="0"/>
          <w:szCs w:val="24"/>
          <w:highlight w:val="none"/>
        </w:rPr>
        <w:t>采购活动。</w:t>
      </w: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highlight w:val="none"/>
          <w:lang w:eastAsia="zh-CN"/>
        </w:rPr>
        <w:t>（格式自理）</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7"/>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pStyle w:val="7"/>
        <w:numPr>
          <w:ilvl w:val="0"/>
          <w:numId w:val="0"/>
        </w:numPr>
        <w:ind w:firstLine="480" w:firstLineChars="200"/>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1.概况：杭州临江环境能源有限公司能源项目MIS系统由南京科远智慧科技集团有限公司开发。MIS系统包含</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"https://baike.baidu.com/item/%E8%BE%85%E5%8A%A9%E5%86%B3%E7%AD%96%E7%B3%BB%E7%BB%9F/0?fromModule=lemma_inlink"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辅助决策系统</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"https://baike.baidu.com/item/%E5%B7%A5%E4%B8%9A%E6%8E%A7%E5%88%B6%E7%B3%BB%E7%BB%9F/0?fromModule=lemma_inlink"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工业控制系统</w:t>
      </w:r>
      <w:r>
        <w:rPr>
          <w:rFonts w:hint="eastAsia"/>
          <w:color w:val="auto"/>
          <w:highlight w:val="none"/>
          <w:lang w:val="en-US" w:eastAsia="zh-CN"/>
        </w:rPr>
        <w:fldChar w:fldCharType="end"/>
      </w:r>
      <w:r>
        <w:rPr>
          <w:rFonts w:hint="eastAsia"/>
          <w:color w:val="auto"/>
          <w:highlight w:val="none"/>
          <w:lang w:val="en-US" w:eastAsia="zh-CN"/>
        </w:rPr>
        <w:t>、数据库、模型库、方法库、知识库以及与上级机关及外界交换信息的接口；其中内置主要功能菜单有运行监控、智能报表、性能分析、EHS管理、运行管理、设备管理、两票管理等分项功能及应用。因MIS系统中组织机构发生改变，系统功能及应用需要进一步优化完善，以满足使用要求，加强平台数据共享展示，提升采购方数字化运营管控水平。</w:t>
      </w:r>
    </w:p>
    <w:p>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2.主要负责 MIS系统功能组织变更迁移、日常年度维护、系统培训等服务内容，具体如下：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服务类别</w:t>
            </w:r>
          </w:p>
        </w:tc>
        <w:tc>
          <w:tcPr>
            <w:tcW w:w="7911" w:type="dxa"/>
            <w:vAlign w:val="center"/>
          </w:tcPr>
          <w:p>
            <w:pPr>
              <w:pStyle w:val="8"/>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数字化MIS系统维护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1.组织变更迁移，账号权限中组织机构更换，角色、权限调整；</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2.生产报表新增和修改；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3.班组会议审批流程更改；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4.运行日志排班及值班人员更改；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5.定期工作内容更改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7.两票管理中审批流程修改及票面优化；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8.设备编码管理审批流程优化；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9.缺陷管理审批流程修改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10.预防性维护项目修改等；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数据库管理</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维护数据库的结构、性能和安全性。包括每24小时备份数据库、紧急情况及时恢复数据库、优化查询和索引、监控数据库性能、清理无用数据等操作。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硬件维护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季度检查和维护服务器、网络设备和存储设备等硬件设施，确保其正常运行并提供良好的性能。包括检查硬件状态、清理设备、更换损坏的部件等。包含年度内MIS系统相关服务器（3个服务器）、网闸（4个网闸）、接口机（4个接口机）等硬件设备异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故障排除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及时诊断和修复系统故障，确保系统能够持续可靠地运行。这包括监控系统状态、分析日志、排查问题、实施修复措施等。包含年度内MIS系统数据通讯中断进行恢复，系统内新增点位进行添加。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性能优化</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持续监控系统性能，并采取措施优化系统以提高效率和响应速度，这包括调整系统配置、优化代码等。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7911" w:type="dxa"/>
            <w:vAlign w:val="center"/>
          </w:tcPr>
          <w:p>
            <w:pPr>
              <w:pStyle w:val="8"/>
              <w:numPr>
                <w:ilvl w:val="0"/>
                <w:numId w:val="0"/>
              </w:numPr>
              <w:ind w:left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1.包含年度内MIS系统两次入厂服务（时长20天），软件系统补丁升级，系统异常崩溃维护处理；如遇紧急事件，应在48小时内进行到场处理。</w:t>
            </w:r>
          </w:p>
          <w:p>
            <w:pPr>
              <w:pStyle w:val="8"/>
              <w:numPr>
                <w:ilvl w:val="0"/>
                <w:numId w:val="0"/>
              </w:numPr>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napToGrid/>
                <w:kern w:val="2"/>
                <w:sz w:val="21"/>
                <w:szCs w:val="21"/>
                <w:highlight w:val="none"/>
                <w:vertAlign w:val="baseline"/>
                <w:lang w:val="en-US" w:eastAsia="zh-CN" w:bidi="ar-SA"/>
              </w:rPr>
              <w:t>2.</w:t>
            </w:r>
            <w:r>
              <w:rPr>
                <w:rFonts w:hint="eastAsia" w:ascii="宋体" w:hAnsi="宋体" w:eastAsia="宋体" w:cs="宋体"/>
                <w:sz w:val="21"/>
                <w:szCs w:val="21"/>
                <w:highlight w:val="none"/>
                <w:vertAlign w:val="baseline"/>
                <w:lang w:val="en-US" w:eastAsia="zh-CN"/>
              </w:rPr>
              <w:t>包含年度内MIS系统内报表异常数据处理，报表内统计指标新增、修改，工作流程修改，功能使用指导，单据报错处理。</w:t>
            </w:r>
          </w:p>
        </w:tc>
      </w:tr>
    </w:tbl>
    <w:p>
      <w:pPr>
        <w:pStyle w:val="7"/>
        <w:numPr>
          <w:ilvl w:val="0"/>
          <w:numId w:val="0"/>
        </w:numPr>
        <w:ind w:firstLine="482" w:firstLineChars="200"/>
        <w:rPr>
          <w:rFonts w:hint="default"/>
          <w:color w:val="auto"/>
          <w:highlight w:val="non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：自合同签订后12个月。</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确保MIS系统稳定高质运行，MIS系统中菜单运行监控、智能报表、运行管理、设备管理、两票管理、总貌展示等分项应用（包括但不限于）符合采购人验收要求。</w:t>
      </w:r>
    </w:p>
    <w:p>
      <w:pPr>
        <w:pStyle w:val="7"/>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8"/>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每季度形成一个服务报告，</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7"/>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s="Arial"/>
          <w:snapToGrid w:val="0"/>
          <w:color w:val="auto"/>
          <w:kern w:val="2"/>
          <w:sz w:val="24"/>
          <w:szCs w:val="21"/>
          <w:highlight w:val="none"/>
          <w:lang w:val="en-US" w:eastAsia="zh-CN" w:bidi="ar-SA"/>
        </w:rPr>
        <w:t>.</w:t>
      </w:r>
      <w:r>
        <w:rPr>
          <w:rFonts w:hint="eastAsia"/>
          <w:color w:val="auto"/>
          <w:highlight w:val="none"/>
          <w:lang w:val="en-US" w:eastAsia="zh-CN"/>
        </w:rPr>
        <w:t>供应商需指派专人与采购人进行技术对接，技术人员应保持手机24小时开机，如需更换技术人员，需提前与采购人沟通；运维人员必须熟悉能源项目MIS系统及相关硬件，具有操作维护经验；</w:t>
      </w:r>
    </w:p>
    <w:p>
      <w:pPr>
        <w:pStyle w:val="8"/>
        <w:numPr>
          <w:ilvl w:val="0"/>
          <w:numId w:val="0"/>
        </w:numPr>
        <w:ind w:firstLine="480" w:firstLineChars="20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.接到维护要求时，运维人员需在白天2小时、夜间8小时内（0：00-8：00为夜间）做出响应，及时处理系统现场异常情况，确保系统正常使用；如遇设备损坏等特殊情况，出具处理办法，双方协商解决。</w:t>
      </w:r>
    </w:p>
    <w:p>
      <w:pPr>
        <w:pStyle w:val="8"/>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3.如涉及设备、零件更换，由供应商免费负责维修或更换，设备、零件由采购人负责采购提供。</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8"/>
        <w:ind w:left="0" w:leftChars="0" w:firstLine="480" w:firstLineChars="200"/>
        <w:rPr>
          <w:rFonts w:hint="default"/>
          <w:b w:val="0"/>
          <w:bCs w:val="0"/>
          <w:color w:val="auto"/>
          <w:highlight w:val="none"/>
          <w:lang w:val="en-US" w:eastAsia="zh-CN"/>
        </w:rPr>
      </w:pPr>
      <w:r>
        <w:rPr>
          <w:rFonts w:hint="eastAsia"/>
          <w:b w:val="0"/>
          <w:bCs w:val="0"/>
          <w:color w:val="auto"/>
          <w:highlight w:val="none"/>
          <w:lang w:val="en-US" w:eastAsia="zh-CN"/>
        </w:rPr>
        <w:t>1.合同金额为包干价，合同期限内采购人不再额外支付费用，特殊情况除外。</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2.以本询价采购文件中的合同条款为准。</w:t>
      </w:r>
    </w:p>
    <w:p>
      <w:pPr>
        <w:pStyle w:val="14"/>
        <w:rPr>
          <w:rFonts w:hint="eastAsia"/>
          <w:color w:val="auto"/>
          <w:highlight w:val="none"/>
          <w:lang w:eastAsia="zh-CN"/>
        </w:rPr>
      </w:pPr>
    </w:p>
    <w:p>
      <w:pPr>
        <w:rPr>
          <w:rFonts w:hint="eastAsia"/>
          <w:color w:val="auto"/>
          <w:highlight w:val="none"/>
          <w:lang w:eastAsia="zh-CN"/>
        </w:rPr>
      </w:pPr>
    </w:p>
    <w:p>
      <w:pPr>
        <w:pStyle w:val="14"/>
        <w:rPr>
          <w:rFonts w:hint="eastAsia"/>
          <w:color w:val="auto"/>
          <w:highlight w:val="none"/>
          <w:lang w:eastAsia="zh-CN"/>
        </w:rPr>
      </w:pPr>
    </w:p>
    <w:p>
      <w:pPr>
        <w:rPr>
          <w:rFonts w:hint="eastAsia"/>
          <w:color w:val="auto"/>
          <w:highlight w:val="none"/>
          <w:lang w:eastAsia="zh-CN"/>
        </w:rPr>
      </w:pPr>
    </w:p>
    <w:p>
      <w:pPr>
        <w:pStyle w:val="14"/>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75"/>
      <w:bookmarkEnd w:id="19"/>
      <w:bookmarkStart w:id="20" w:name="_Toc184310330"/>
      <w:bookmarkEnd w:id="20"/>
      <w:bookmarkStart w:id="21" w:name="_Toc184313270"/>
      <w:bookmarkEnd w:id="21"/>
      <w:bookmarkStart w:id="22" w:name="_Toc184310291"/>
      <w:bookmarkEnd w:id="22"/>
      <w:bookmarkStart w:id="23" w:name="_Toc184308083"/>
      <w:bookmarkEnd w:id="23"/>
      <w:bookmarkStart w:id="24" w:name="_Toc184308048"/>
      <w:bookmarkEnd w:id="24"/>
      <w:bookmarkStart w:id="25" w:name="_Toc184312128"/>
      <w:bookmarkEnd w:id="25"/>
      <w:bookmarkStart w:id="26" w:name="_Toc184312094"/>
      <w:bookmarkEnd w:id="26"/>
      <w:bookmarkStart w:id="27" w:name="_Toc184310340"/>
      <w:bookmarkEnd w:id="27"/>
      <w:bookmarkStart w:id="28" w:name="_Toc184312127"/>
      <w:bookmarkEnd w:id="28"/>
      <w:bookmarkStart w:id="29" w:name="_Toc184308054"/>
      <w:bookmarkEnd w:id="29"/>
      <w:bookmarkStart w:id="30" w:name="_Toc184310299"/>
      <w:bookmarkEnd w:id="30"/>
      <w:bookmarkStart w:id="31" w:name="_Toc184314482"/>
      <w:bookmarkEnd w:id="31"/>
      <w:bookmarkStart w:id="32" w:name="_Toc184310314"/>
      <w:bookmarkEnd w:id="32"/>
      <w:bookmarkStart w:id="33" w:name="_Toc184308039"/>
      <w:bookmarkEnd w:id="33"/>
      <w:bookmarkStart w:id="34" w:name="_Toc184308089"/>
      <w:bookmarkEnd w:id="34"/>
      <w:bookmarkStart w:id="35" w:name="_Toc184314413"/>
      <w:bookmarkEnd w:id="35"/>
      <w:bookmarkStart w:id="36" w:name="_Toc184308108"/>
      <w:bookmarkEnd w:id="36"/>
      <w:bookmarkStart w:id="37" w:name="_Toc184308080"/>
      <w:bookmarkEnd w:id="37"/>
      <w:bookmarkStart w:id="38" w:name="_Toc184314463"/>
      <w:bookmarkEnd w:id="38"/>
      <w:bookmarkStart w:id="39" w:name="_Toc184313253"/>
      <w:bookmarkEnd w:id="39"/>
      <w:bookmarkStart w:id="40" w:name="_Toc184314433"/>
      <w:bookmarkEnd w:id="40"/>
      <w:bookmarkStart w:id="41" w:name="_Toc184310297"/>
      <w:bookmarkEnd w:id="41"/>
      <w:bookmarkStart w:id="42" w:name="_Toc184308097"/>
      <w:bookmarkEnd w:id="42"/>
      <w:bookmarkStart w:id="43" w:name="_Toc184308058"/>
      <w:bookmarkEnd w:id="43"/>
      <w:bookmarkStart w:id="44" w:name="_Toc184312108"/>
      <w:bookmarkEnd w:id="44"/>
      <w:bookmarkStart w:id="45" w:name="_Toc184314428"/>
      <w:bookmarkEnd w:id="45"/>
      <w:bookmarkStart w:id="46" w:name="_Toc184314415"/>
      <w:bookmarkEnd w:id="46"/>
      <w:bookmarkStart w:id="47" w:name="_Toc184310278"/>
      <w:bookmarkEnd w:id="47"/>
      <w:bookmarkStart w:id="48" w:name="_Toc184313306"/>
      <w:bookmarkEnd w:id="48"/>
      <w:bookmarkStart w:id="49" w:name="_Toc184313297"/>
      <w:bookmarkEnd w:id="49"/>
      <w:bookmarkStart w:id="50" w:name="_Toc184310294"/>
      <w:bookmarkEnd w:id="50"/>
      <w:bookmarkStart w:id="51" w:name="_Toc184313272"/>
      <w:bookmarkEnd w:id="51"/>
      <w:bookmarkStart w:id="52" w:name="_Toc184308051"/>
      <w:bookmarkEnd w:id="52"/>
      <w:bookmarkStart w:id="53" w:name="_Toc184310344"/>
      <w:bookmarkEnd w:id="53"/>
      <w:bookmarkStart w:id="54" w:name="_Toc184313289"/>
      <w:bookmarkEnd w:id="54"/>
      <w:bookmarkStart w:id="55" w:name="_Toc184313310"/>
      <w:bookmarkEnd w:id="55"/>
      <w:bookmarkStart w:id="56" w:name="_Toc184314431"/>
      <w:bookmarkEnd w:id="56"/>
      <w:bookmarkStart w:id="57" w:name="_Toc184310325"/>
      <w:bookmarkEnd w:id="57"/>
      <w:bookmarkStart w:id="58" w:name="_Toc184308062"/>
      <w:bookmarkEnd w:id="58"/>
      <w:bookmarkStart w:id="59" w:name="_Toc184308084"/>
      <w:bookmarkEnd w:id="59"/>
      <w:bookmarkStart w:id="60" w:name="_Toc184310317"/>
      <w:bookmarkEnd w:id="60"/>
      <w:bookmarkStart w:id="61" w:name="_Toc184308088"/>
      <w:bookmarkEnd w:id="61"/>
      <w:bookmarkStart w:id="62" w:name="_Toc184313247"/>
      <w:bookmarkEnd w:id="62"/>
      <w:bookmarkStart w:id="63" w:name="_Toc184308096"/>
      <w:bookmarkEnd w:id="63"/>
      <w:bookmarkStart w:id="64" w:name="_Toc184308041"/>
      <w:bookmarkEnd w:id="64"/>
      <w:bookmarkStart w:id="65" w:name="_Toc184312079"/>
      <w:bookmarkEnd w:id="65"/>
      <w:bookmarkStart w:id="66" w:name="_Toc184310283"/>
      <w:bookmarkEnd w:id="66"/>
      <w:bookmarkStart w:id="67" w:name="_Toc184314477"/>
      <w:bookmarkEnd w:id="67"/>
      <w:bookmarkStart w:id="68" w:name="_Toc184310296"/>
      <w:bookmarkEnd w:id="68"/>
      <w:bookmarkStart w:id="69" w:name="_Toc184312133"/>
      <w:bookmarkEnd w:id="69"/>
      <w:bookmarkStart w:id="70" w:name="_Toc184314425"/>
      <w:bookmarkEnd w:id="70"/>
      <w:bookmarkStart w:id="71" w:name="_Toc184314418"/>
      <w:bookmarkEnd w:id="71"/>
      <w:bookmarkStart w:id="72" w:name="_Toc184312096"/>
      <w:bookmarkEnd w:id="72"/>
      <w:bookmarkStart w:id="73" w:name="_Toc184308044"/>
      <w:bookmarkEnd w:id="73"/>
      <w:bookmarkStart w:id="74" w:name="_Toc184314421"/>
      <w:bookmarkEnd w:id="74"/>
      <w:bookmarkStart w:id="75" w:name="_Toc184308070"/>
      <w:bookmarkEnd w:id="75"/>
      <w:bookmarkStart w:id="76" w:name="_Toc184314437"/>
      <w:bookmarkEnd w:id="76"/>
      <w:bookmarkStart w:id="77" w:name="_Toc184313295"/>
      <w:bookmarkEnd w:id="77"/>
      <w:bookmarkStart w:id="78" w:name="_Toc184313299"/>
      <w:bookmarkEnd w:id="78"/>
      <w:bookmarkStart w:id="79" w:name="_Toc184312115"/>
      <w:bookmarkEnd w:id="79"/>
      <w:bookmarkStart w:id="80" w:name="_Toc184313293"/>
      <w:bookmarkEnd w:id="80"/>
      <w:bookmarkStart w:id="81" w:name="_Toc184312136"/>
      <w:bookmarkEnd w:id="81"/>
      <w:bookmarkStart w:id="82" w:name="_Toc184312111"/>
      <w:bookmarkEnd w:id="82"/>
      <w:bookmarkStart w:id="83" w:name="_Toc184308079"/>
      <w:bookmarkEnd w:id="83"/>
      <w:bookmarkStart w:id="84" w:name="_Toc184313263"/>
      <w:bookmarkEnd w:id="84"/>
      <w:bookmarkStart w:id="85" w:name="_Toc184312085"/>
      <w:bookmarkEnd w:id="85"/>
      <w:bookmarkStart w:id="86" w:name="_Toc184312105"/>
      <w:bookmarkEnd w:id="86"/>
      <w:bookmarkStart w:id="87" w:name="_Toc184310305"/>
      <w:bookmarkEnd w:id="87"/>
      <w:bookmarkStart w:id="88" w:name="_Toc184310319"/>
      <w:bookmarkEnd w:id="88"/>
      <w:bookmarkStart w:id="89" w:name="_Toc184312110"/>
      <w:bookmarkEnd w:id="89"/>
      <w:bookmarkStart w:id="90" w:name="_Toc184313250"/>
      <w:bookmarkEnd w:id="90"/>
      <w:bookmarkStart w:id="91" w:name="_Toc184312069"/>
      <w:bookmarkEnd w:id="91"/>
      <w:bookmarkStart w:id="92" w:name="_Toc184308077"/>
      <w:bookmarkEnd w:id="92"/>
      <w:bookmarkStart w:id="93" w:name="_Toc184313278"/>
      <w:bookmarkEnd w:id="93"/>
      <w:bookmarkStart w:id="94" w:name="_Toc184312091"/>
      <w:bookmarkEnd w:id="94"/>
      <w:bookmarkStart w:id="95" w:name="_Toc184308082"/>
      <w:bookmarkEnd w:id="95"/>
      <w:bookmarkStart w:id="96" w:name="_Toc184314467"/>
      <w:bookmarkEnd w:id="96"/>
      <w:bookmarkStart w:id="97" w:name="_Toc184313290"/>
      <w:bookmarkEnd w:id="97"/>
      <w:bookmarkStart w:id="98" w:name="_Toc184308103"/>
      <w:bookmarkEnd w:id="98"/>
      <w:bookmarkStart w:id="99" w:name="_Toc184313266"/>
      <w:bookmarkEnd w:id="99"/>
      <w:bookmarkStart w:id="100" w:name="_Toc184312109"/>
      <w:bookmarkEnd w:id="100"/>
      <w:bookmarkStart w:id="101" w:name="_Toc184310281"/>
      <w:bookmarkEnd w:id="101"/>
      <w:bookmarkStart w:id="102" w:name="_Toc184313268"/>
      <w:bookmarkEnd w:id="102"/>
      <w:bookmarkStart w:id="103" w:name="_Toc184314416"/>
      <w:bookmarkEnd w:id="103"/>
      <w:bookmarkStart w:id="104" w:name="_Toc184313302"/>
      <w:bookmarkEnd w:id="104"/>
      <w:bookmarkStart w:id="105" w:name="_Toc184313240"/>
      <w:bookmarkEnd w:id="105"/>
      <w:bookmarkStart w:id="106" w:name="_Toc184310307"/>
      <w:bookmarkEnd w:id="106"/>
      <w:bookmarkStart w:id="107" w:name="_Toc184310334"/>
      <w:bookmarkEnd w:id="107"/>
      <w:bookmarkStart w:id="108" w:name="_Toc184310309"/>
      <w:bookmarkEnd w:id="108"/>
      <w:bookmarkStart w:id="109" w:name="_Toc184308105"/>
      <w:bookmarkEnd w:id="109"/>
      <w:bookmarkStart w:id="110" w:name="_Toc184313279"/>
      <w:bookmarkEnd w:id="110"/>
      <w:bookmarkStart w:id="111" w:name="_Toc184312130"/>
      <w:bookmarkEnd w:id="111"/>
      <w:bookmarkStart w:id="112" w:name="_Toc184313269"/>
      <w:bookmarkEnd w:id="112"/>
      <w:bookmarkStart w:id="113" w:name="_Toc184308099"/>
      <w:bookmarkEnd w:id="113"/>
      <w:bookmarkStart w:id="114" w:name="_Toc184313261"/>
      <w:bookmarkEnd w:id="114"/>
      <w:bookmarkStart w:id="115" w:name="_Toc184313243"/>
      <w:bookmarkEnd w:id="115"/>
      <w:bookmarkStart w:id="116" w:name="_Toc184312082"/>
      <w:bookmarkEnd w:id="116"/>
      <w:bookmarkStart w:id="117" w:name="_Toc184314462"/>
      <w:bookmarkEnd w:id="117"/>
      <w:bookmarkStart w:id="118" w:name="_Toc184310288"/>
      <w:bookmarkEnd w:id="118"/>
      <w:bookmarkStart w:id="119" w:name="_Toc184314426"/>
      <w:bookmarkEnd w:id="119"/>
      <w:bookmarkStart w:id="120" w:name="_Toc184310300"/>
      <w:bookmarkEnd w:id="120"/>
      <w:bookmarkStart w:id="121" w:name="_Toc184313252"/>
      <w:bookmarkEnd w:id="121"/>
      <w:bookmarkStart w:id="122" w:name="_Toc184308042"/>
      <w:bookmarkEnd w:id="122"/>
      <w:bookmarkStart w:id="123" w:name="_Toc184314454"/>
      <w:bookmarkEnd w:id="123"/>
      <w:bookmarkStart w:id="124" w:name="_Toc184314439"/>
      <w:bookmarkEnd w:id="124"/>
      <w:bookmarkStart w:id="125" w:name="_Toc184310274"/>
      <w:bookmarkEnd w:id="125"/>
      <w:bookmarkStart w:id="126" w:name="_Toc184308064"/>
      <w:bookmarkEnd w:id="126"/>
      <w:bookmarkStart w:id="127" w:name="_Toc184313241"/>
      <w:bookmarkEnd w:id="127"/>
      <w:bookmarkStart w:id="128" w:name="_Toc184313309"/>
      <w:bookmarkEnd w:id="128"/>
      <w:bookmarkStart w:id="129" w:name="_Toc184314438"/>
      <w:bookmarkEnd w:id="129"/>
      <w:bookmarkStart w:id="130" w:name="_Toc184310310"/>
      <w:bookmarkEnd w:id="130"/>
      <w:bookmarkStart w:id="131" w:name="_Toc184314452"/>
      <w:bookmarkEnd w:id="131"/>
      <w:bookmarkStart w:id="132" w:name="_Toc184314422"/>
      <w:bookmarkEnd w:id="132"/>
      <w:bookmarkStart w:id="133" w:name="_Toc184308055"/>
      <w:bookmarkEnd w:id="133"/>
      <w:bookmarkStart w:id="134" w:name="_Toc184310312"/>
      <w:bookmarkEnd w:id="134"/>
      <w:bookmarkStart w:id="135" w:name="_Toc184312068"/>
      <w:bookmarkEnd w:id="135"/>
      <w:bookmarkStart w:id="136" w:name="_Toc184313245"/>
      <w:bookmarkEnd w:id="136"/>
      <w:bookmarkStart w:id="137" w:name="_Toc184310336"/>
      <w:bookmarkEnd w:id="137"/>
      <w:bookmarkStart w:id="138" w:name="_Toc184312119"/>
      <w:bookmarkEnd w:id="138"/>
      <w:bookmarkStart w:id="139" w:name="_Toc184308072"/>
      <w:bookmarkEnd w:id="139"/>
      <w:bookmarkStart w:id="140" w:name="_Toc184314427"/>
      <w:bookmarkEnd w:id="140"/>
      <w:bookmarkStart w:id="141" w:name="_Toc184308076"/>
      <w:bookmarkEnd w:id="141"/>
      <w:bookmarkStart w:id="142" w:name="_Toc184314471"/>
      <w:bookmarkEnd w:id="142"/>
      <w:bookmarkStart w:id="143" w:name="_Toc184314420"/>
      <w:bookmarkEnd w:id="143"/>
      <w:bookmarkStart w:id="144" w:name="_Toc184310287"/>
      <w:bookmarkEnd w:id="144"/>
      <w:bookmarkStart w:id="145" w:name="_Toc184308045"/>
      <w:bookmarkEnd w:id="145"/>
      <w:bookmarkStart w:id="146" w:name="_Toc184310306"/>
      <w:bookmarkEnd w:id="146"/>
      <w:bookmarkStart w:id="147" w:name="_Toc184313292"/>
      <w:bookmarkEnd w:id="147"/>
      <w:bookmarkStart w:id="148" w:name="_Toc184308095"/>
      <w:bookmarkEnd w:id="148"/>
      <w:bookmarkStart w:id="149" w:name="_Toc184312083"/>
      <w:bookmarkEnd w:id="149"/>
      <w:bookmarkStart w:id="150" w:name="_Toc184308038"/>
      <w:bookmarkEnd w:id="150"/>
      <w:bookmarkStart w:id="151" w:name="_Toc184313238"/>
      <w:bookmarkEnd w:id="151"/>
      <w:bookmarkStart w:id="152" w:name="_Toc184308092"/>
      <w:bookmarkEnd w:id="152"/>
      <w:bookmarkStart w:id="153" w:name="_Toc184308087"/>
      <w:bookmarkEnd w:id="153"/>
      <w:bookmarkStart w:id="154" w:name="_Toc184313280"/>
      <w:bookmarkEnd w:id="154"/>
      <w:bookmarkStart w:id="155" w:name="_Toc184310335"/>
      <w:bookmarkEnd w:id="155"/>
      <w:bookmarkStart w:id="156" w:name="_Toc184308104"/>
      <w:bookmarkEnd w:id="156"/>
      <w:bookmarkStart w:id="157" w:name="_Toc184312095"/>
      <w:bookmarkEnd w:id="157"/>
      <w:bookmarkStart w:id="158" w:name="_Toc184312106"/>
      <w:bookmarkEnd w:id="158"/>
      <w:bookmarkStart w:id="159" w:name="_Toc184314480"/>
      <w:bookmarkEnd w:id="159"/>
      <w:bookmarkStart w:id="160" w:name="_Toc184308061"/>
      <w:bookmarkEnd w:id="160"/>
      <w:bookmarkStart w:id="161" w:name="_Toc184308052"/>
      <w:bookmarkEnd w:id="161"/>
      <w:bookmarkStart w:id="162" w:name="_Toc184310301"/>
      <w:bookmarkEnd w:id="162"/>
      <w:bookmarkStart w:id="163" w:name="_Toc184312135"/>
      <w:bookmarkEnd w:id="163"/>
      <w:bookmarkStart w:id="164" w:name="_Toc184314417"/>
      <w:bookmarkEnd w:id="164"/>
      <w:bookmarkStart w:id="165" w:name="_Toc184314466"/>
      <w:bookmarkEnd w:id="165"/>
      <w:bookmarkStart w:id="166" w:name="_Toc184313307"/>
      <w:bookmarkEnd w:id="166"/>
      <w:bookmarkStart w:id="167" w:name="_Toc184313259"/>
      <w:bookmarkEnd w:id="167"/>
      <w:bookmarkStart w:id="168" w:name="_Toc184313274"/>
      <w:bookmarkEnd w:id="168"/>
      <w:bookmarkStart w:id="169" w:name="_Toc184310302"/>
      <w:bookmarkEnd w:id="169"/>
      <w:bookmarkStart w:id="170" w:name="_Toc184308106"/>
      <w:bookmarkEnd w:id="170"/>
      <w:bookmarkStart w:id="171" w:name="_Toc184314470"/>
      <w:bookmarkEnd w:id="171"/>
      <w:bookmarkStart w:id="172" w:name="_Toc184314442"/>
      <w:bookmarkEnd w:id="172"/>
      <w:bookmarkStart w:id="173" w:name="_Toc184312139"/>
      <w:bookmarkEnd w:id="173"/>
      <w:bookmarkStart w:id="174" w:name="_Toc184314441"/>
      <w:bookmarkEnd w:id="174"/>
      <w:bookmarkStart w:id="175" w:name="_Toc184313249"/>
      <w:bookmarkEnd w:id="175"/>
      <w:bookmarkStart w:id="176" w:name="_Toc184314446"/>
      <w:bookmarkEnd w:id="176"/>
      <w:bookmarkStart w:id="177" w:name="_Toc184314460"/>
      <w:bookmarkEnd w:id="177"/>
      <w:bookmarkStart w:id="178" w:name="_Toc184310315"/>
      <w:bookmarkEnd w:id="178"/>
      <w:bookmarkStart w:id="179" w:name="_Toc184313288"/>
      <w:bookmarkEnd w:id="179"/>
      <w:bookmarkStart w:id="180" w:name="_Toc184314457"/>
      <w:bookmarkEnd w:id="180"/>
      <w:bookmarkStart w:id="181" w:name="_Toc184308086"/>
      <w:bookmarkEnd w:id="181"/>
      <w:bookmarkStart w:id="182" w:name="_Toc184313256"/>
      <w:bookmarkEnd w:id="182"/>
      <w:bookmarkStart w:id="183" w:name="_Toc184312123"/>
      <w:bookmarkEnd w:id="183"/>
      <w:bookmarkStart w:id="184" w:name="_Toc184314450"/>
      <w:bookmarkEnd w:id="184"/>
      <w:bookmarkStart w:id="185" w:name="_Toc184308065"/>
      <w:bookmarkEnd w:id="185"/>
      <w:bookmarkStart w:id="186" w:name="_Toc184314412"/>
      <w:bookmarkEnd w:id="186"/>
      <w:bookmarkStart w:id="187" w:name="_Toc184308053"/>
      <w:bookmarkEnd w:id="187"/>
      <w:bookmarkStart w:id="188" w:name="_Toc184308067"/>
      <w:bookmarkEnd w:id="188"/>
      <w:bookmarkStart w:id="189" w:name="_Toc184314440"/>
      <w:bookmarkEnd w:id="189"/>
      <w:bookmarkStart w:id="190" w:name="_Toc184312099"/>
      <w:bookmarkEnd w:id="190"/>
      <w:bookmarkStart w:id="191" w:name="_Toc184314414"/>
      <w:bookmarkEnd w:id="191"/>
      <w:bookmarkStart w:id="192" w:name="_Toc184312071"/>
      <w:bookmarkEnd w:id="192"/>
      <w:bookmarkStart w:id="193" w:name="_Toc184312088"/>
      <w:bookmarkEnd w:id="193"/>
      <w:bookmarkStart w:id="194" w:name="_Toc184308060"/>
      <w:bookmarkEnd w:id="194"/>
      <w:bookmarkStart w:id="195" w:name="_Toc184314436"/>
      <w:bookmarkEnd w:id="195"/>
      <w:bookmarkStart w:id="196" w:name="_Toc184314464"/>
      <w:bookmarkEnd w:id="196"/>
      <w:bookmarkStart w:id="197" w:name="_Toc184312087"/>
      <w:bookmarkEnd w:id="197"/>
      <w:bookmarkStart w:id="198" w:name="_Toc184313267"/>
      <w:bookmarkEnd w:id="198"/>
      <w:bookmarkStart w:id="199" w:name="_Toc184312131"/>
      <w:bookmarkEnd w:id="199"/>
      <w:bookmarkStart w:id="200" w:name="_Toc184314429"/>
      <w:bookmarkEnd w:id="200"/>
      <w:bookmarkStart w:id="201" w:name="_Toc184313282"/>
      <w:bookmarkEnd w:id="201"/>
      <w:bookmarkStart w:id="202" w:name="_Toc184312098"/>
      <w:bookmarkEnd w:id="202"/>
      <w:bookmarkStart w:id="203" w:name="_Toc184313298"/>
      <w:bookmarkEnd w:id="203"/>
      <w:bookmarkStart w:id="204" w:name="_Toc184312134"/>
      <w:bookmarkEnd w:id="204"/>
      <w:bookmarkStart w:id="205" w:name="_Toc184310279"/>
      <w:bookmarkEnd w:id="205"/>
      <w:bookmarkStart w:id="206" w:name="_Toc184313239"/>
      <w:bookmarkEnd w:id="206"/>
      <w:bookmarkStart w:id="207" w:name="_Toc184312132"/>
      <w:bookmarkEnd w:id="207"/>
      <w:bookmarkStart w:id="208" w:name="_Toc184314478"/>
      <w:bookmarkEnd w:id="208"/>
      <w:bookmarkStart w:id="209" w:name="_Toc184312138"/>
      <w:bookmarkEnd w:id="209"/>
      <w:bookmarkStart w:id="210" w:name="_Toc184308037"/>
      <w:bookmarkEnd w:id="210"/>
      <w:bookmarkStart w:id="211" w:name="_Toc184314459"/>
      <w:bookmarkEnd w:id="211"/>
      <w:bookmarkStart w:id="212" w:name="_Toc184312118"/>
      <w:bookmarkEnd w:id="212"/>
      <w:bookmarkStart w:id="213" w:name="_Toc184314447"/>
      <w:bookmarkEnd w:id="213"/>
      <w:bookmarkStart w:id="214" w:name="_Toc184308071"/>
      <w:bookmarkEnd w:id="214"/>
      <w:bookmarkStart w:id="215" w:name="_Toc184312122"/>
      <w:bookmarkEnd w:id="215"/>
      <w:bookmarkStart w:id="216" w:name="_Toc184312120"/>
      <w:bookmarkEnd w:id="216"/>
      <w:bookmarkStart w:id="217" w:name="_Toc184308049"/>
      <w:bookmarkEnd w:id="217"/>
      <w:bookmarkStart w:id="218" w:name="_Toc184313303"/>
      <w:bookmarkEnd w:id="218"/>
      <w:bookmarkStart w:id="219" w:name="_Toc184314424"/>
      <w:bookmarkEnd w:id="219"/>
      <w:bookmarkStart w:id="220" w:name="_Toc184314430"/>
      <w:bookmarkEnd w:id="220"/>
      <w:bookmarkStart w:id="221" w:name="_Toc184313308"/>
      <w:bookmarkEnd w:id="221"/>
      <w:bookmarkStart w:id="222" w:name="_Toc184312081"/>
      <w:bookmarkEnd w:id="222"/>
      <w:bookmarkStart w:id="223" w:name="_Toc184314411"/>
      <w:bookmarkEnd w:id="223"/>
      <w:bookmarkStart w:id="224" w:name="_Toc184308069"/>
      <w:bookmarkEnd w:id="224"/>
      <w:bookmarkStart w:id="225" w:name="_Toc184310282"/>
      <w:bookmarkEnd w:id="225"/>
      <w:bookmarkStart w:id="226" w:name="_Toc184313258"/>
      <w:bookmarkEnd w:id="226"/>
      <w:bookmarkStart w:id="227" w:name="_Toc184308066"/>
      <w:bookmarkEnd w:id="227"/>
      <w:bookmarkStart w:id="228" w:name="_Toc184308094"/>
      <w:bookmarkEnd w:id="228"/>
      <w:bookmarkStart w:id="229" w:name="_Toc184312114"/>
      <w:bookmarkEnd w:id="229"/>
      <w:bookmarkStart w:id="230" w:name="_Toc184312113"/>
      <w:bookmarkEnd w:id="230"/>
      <w:bookmarkStart w:id="231" w:name="_Toc184308085"/>
      <w:bookmarkEnd w:id="231"/>
      <w:bookmarkStart w:id="232" w:name="_Toc184312084"/>
      <w:bookmarkEnd w:id="232"/>
      <w:bookmarkStart w:id="233" w:name="_Toc184308063"/>
      <w:bookmarkEnd w:id="233"/>
      <w:bookmarkStart w:id="234" w:name="_Toc184314434"/>
      <w:bookmarkEnd w:id="234"/>
      <w:bookmarkStart w:id="235" w:name="_Toc184312124"/>
      <w:bookmarkEnd w:id="235"/>
      <w:bookmarkStart w:id="236" w:name="_Toc184312112"/>
      <w:bookmarkEnd w:id="236"/>
      <w:bookmarkStart w:id="237" w:name="_Toc184312089"/>
      <w:bookmarkEnd w:id="237"/>
      <w:bookmarkStart w:id="238" w:name="_Toc184310276"/>
      <w:bookmarkEnd w:id="238"/>
      <w:bookmarkStart w:id="239" w:name="_Toc184310292"/>
      <w:bookmarkEnd w:id="239"/>
      <w:bookmarkStart w:id="240" w:name="_Toc184314432"/>
      <w:bookmarkEnd w:id="240"/>
      <w:bookmarkStart w:id="241" w:name="_Toc184310320"/>
      <w:bookmarkEnd w:id="241"/>
      <w:bookmarkStart w:id="242" w:name="_Toc184308091"/>
      <w:bookmarkEnd w:id="242"/>
      <w:bookmarkStart w:id="243" w:name="_Toc184314476"/>
      <w:bookmarkEnd w:id="243"/>
      <w:bookmarkStart w:id="244" w:name="_Toc184314444"/>
      <w:bookmarkEnd w:id="244"/>
      <w:bookmarkStart w:id="245" w:name="_Toc184310308"/>
      <w:bookmarkEnd w:id="245"/>
      <w:bookmarkStart w:id="246" w:name="_Toc184310280"/>
      <w:bookmarkEnd w:id="246"/>
      <w:bookmarkStart w:id="247" w:name="_Toc184308057"/>
      <w:bookmarkEnd w:id="247"/>
      <w:bookmarkStart w:id="248" w:name="_Toc184314455"/>
      <w:bookmarkEnd w:id="248"/>
      <w:bookmarkStart w:id="249" w:name="_Toc184313281"/>
      <w:bookmarkEnd w:id="249"/>
      <w:bookmarkStart w:id="250" w:name="_Toc184313287"/>
      <w:bookmarkEnd w:id="250"/>
      <w:bookmarkStart w:id="251" w:name="_Toc184314445"/>
      <w:bookmarkEnd w:id="251"/>
      <w:bookmarkStart w:id="252" w:name="_Toc184314465"/>
      <w:bookmarkEnd w:id="252"/>
      <w:bookmarkStart w:id="253" w:name="_Toc184310338"/>
      <w:bookmarkEnd w:id="253"/>
      <w:bookmarkStart w:id="254" w:name="_Toc184314449"/>
      <w:bookmarkEnd w:id="254"/>
      <w:bookmarkStart w:id="255" w:name="_Toc184314419"/>
      <w:bookmarkEnd w:id="255"/>
      <w:bookmarkStart w:id="256" w:name="_Toc184310273"/>
      <w:bookmarkEnd w:id="256"/>
      <w:bookmarkStart w:id="257" w:name="_Toc184310332"/>
      <w:bookmarkEnd w:id="257"/>
      <w:bookmarkStart w:id="258" w:name="_Toc184314448"/>
      <w:bookmarkEnd w:id="258"/>
      <w:bookmarkStart w:id="259" w:name="_Toc184314479"/>
      <w:bookmarkEnd w:id="259"/>
      <w:bookmarkStart w:id="260" w:name="_Toc184308081"/>
      <w:bookmarkEnd w:id="260"/>
      <w:bookmarkStart w:id="261" w:name="_Toc184314443"/>
      <w:bookmarkEnd w:id="261"/>
      <w:bookmarkStart w:id="262" w:name="_Toc184314461"/>
      <w:bookmarkEnd w:id="262"/>
      <w:bookmarkStart w:id="263" w:name="_Toc184312090"/>
      <w:bookmarkEnd w:id="263"/>
      <w:bookmarkStart w:id="264" w:name="_Toc184310326"/>
      <w:bookmarkEnd w:id="264"/>
      <w:bookmarkStart w:id="265" w:name="_Toc184313300"/>
      <w:bookmarkEnd w:id="265"/>
      <w:bookmarkStart w:id="266" w:name="_Toc184308036"/>
      <w:bookmarkEnd w:id="266"/>
      <w:bookmarkStart w:id="267" w:name="_Toc184313304"/>
      <w:bookmarkEnd w:id="267"/>
      <w:bookmarkStart w:id="268" w:name="_Toc184308078"/>
      <w:bookmarkEnd w:id="268"/>
      <w:bookmarkStart w:id="269" w:name="_Toc184308098"/>
      <w:bookmarkEnd w:id="269"/>
      <w:bookmarkStart w:id="270" w:name="_Toc184312073"/>
      <w:bookmarkEnd w:id="270"/>
      <w:bookmarkStart w:id="271" w:name="_Toc184314456"/>
      <w:bookmarkEnd w:id="271"/>
      <w:bookmarkStart w:id="272" w:name="_Toc184313291"/>
      <w:bookmarkEnd w:id="272"/>
      <w:bookmarkStart w:id="273" w:name="_Toc184312077"/>
      <w:bookmarkEnd w:id="273"/>
      <w:bookmarkStart w:id="274" w:name="_Toc184312107"/>
      <w:bookmarkEnd w:id="274"/>
      <w:bookmarkStart w:id="275" w:name="_Toc184313294"/>
      <w:bookmarkEnd w:id="275"/>
      <w:bookmarkStart w:id="276" w:name="_Toc184308074"/>
      <w:bookmarkEnd w:id="276"/>
      <w:bookmarkStart w:id="277" w:name="_Toc184312102"/>
      <w:bookmarkEnd w:id="277"/>
      <w:bookmarkStart w:id="278" w:name="_Toc184313305"/>
      <w:bookmarkEnd w:id="278"/>
      <w:bookmarkStart w:id="279" w:name="_Toc184308101"/>
      <w:bookmarkEnd w:id="279"/>
      <w:bookmarkStart w:id="280" w:name="_Toc184313264"/>
      <w:bookmarkEnd w:id="280"/>
      <w:bookmarkStart w:id="281" w:name="_Toc184310289"/>
      <w:bookmarkEnd w:id="281"/>
      <w:bookmarkStart w:id="282" w:name="_Toc184313251"/>
      <w:bookmarkEnd w:id="282"/>
      <w:bookmarkStart w:id="283" w:name="_Toc184308068"/>
      <w:bookmarkEnd w:id="283"/>
      <w:bookmarkStart w:id="284" w:name="_Toc184310277"/>
      <w:bookmarkEnd w:id="284"/>
      <w:bookmarkStart w:id="285" w:name="_Toc184313285"/>
      <w:bookmarkEnd w:id="285"/>
      <w:bookmarkStart w:id="286" w:name="_Toc184312129"/>
      <w:bookmarkEnd w:id="286"/>
      <w:bookmarkStart w:id="287" w:name="_Toc184310321"/>
      <w:bookmarkEnd w:id="287"/>
      <w:bookmarkStart w:id="288" w:name="_Toc184310318"/>
      <w:bookmarkEnd w:id="288"/>
      <w:bookmarkStart w:id="289" w:name="_Toc184313242"/>
      <w:bookmarkEnd w:id="289"/>
      <w:bookmarkStart w:id="290" w:name="_Toc184308100"/>
      <w:bookmarkEnd w:id="290"/>
      <w:bookmarkStart w:id="291" w:name="_Toc184312097"/>
      <w:bookmarkEnd w:id="291"/>
      <w:bookmarkStart w:id="292" w:name="_Toc184313284"/>
      <w:bookmarkEnd w:id="292"/>
      <w:bookmarkStart w:id="293" w:name="_Toc184310295"/>
      <w:bookmarkEnd w:id="293"/>
      <w:bookmarkStart w:id="294" w:name="_Toc184313286"/>
      <w:bookmarkEnd w:id="294"/>
      <w:bookmarkStart w:id="295" w:name="_Toc184312125"/>
      <w:bookmarkEnd w:id="295"/>
      <w:bookmarkStart w:id="296" w:name="_Toc184310324"/>
      <w:bookmarkEnd w:id="296"/>
      <w:bookmarkStart w:id="297" w:name="_Toc184310341"/>
      <w:bookmarkEnd w:id="297"/>
      <w:bookmarkStart w:id="298" w:name="_Toc184310285"/>
      <w:bookmarkEnd w:id="298"/>
      <w:bookmarkStart w:id="299" w:name="_Toc184310311"/>
      <w:bookmarkEnd w:id="299"/>
      <w:bookmarkStart w:id="300" w:name="_Toc184312086"/>
      <w:bookmarkEnd w:id="300"/>
      <w:bookmarkStart w:id="301" w:name="_Toc184314473"/>
      <w:bookmarkEnd w:id="301"/>
      <w:bookmarkStart w:id="302" w:name="_Toc184313246"/>
      <w:bookmarkEnd w:id="302"/>
      <w:bookmarkStart w:id="303" w:name="_Toc184312116"/>
      <w:bookmarkEnd w:id="303"/>
      <w:bookmarkStart w:id="304" w:name="_Toc184313254"/>
      <w:bookmarkEnd w:id="304"/>
      <w:bookmarkStart w:id="305" w:name="_Toc184308075"/>
      <w:bookmarkEnd w:id="305"/>
      <w:bookmarkStart w:id="306" w:name="_Toc184312076"/>
      <w:bookmarkEnd w:id="306"/>
      <w:bookmarkStart w:id="307" w:name="_Toc184308050"/>
      <w:bookmarkEnd w:id="307"/>
      <w:bookmarkStart w:id="308" w:name="_Toc184313277"/>
      <w:bookmarkEnd w:id="308"/>
      <w:bookmarkStart w:id="309" w:name="_Toc184312070"/>
      <w:bookmarkEnd w:id="309"/>
      <w:bookmarkStart w:id="310" w:name="_Toc184313301"/>
      <w:bookmarkEnd w:id="310"/>
      <w:bookmarkStart w:id="311" w:name="_Toc184314472"/>
      <w:bookmarkEnd w:id="311"/>
      <w:bookmarkStart w:id="312" w:name="_Toc184310293"/>
      <w:bookmarkEnd w:id="312"/>
      <w:bookmarkStart w:id="313" w:name="_Toc184312074"/>
      <w:bookmarkEnd w:id="313"/>
      <w:bookmarkStart w:id="314" w:name="_Toc184312078"/>
      <w:bookmarkEnd w:id="314"/>
      <w:bookmarkStart w:id="315" w:name="_Toc184310329"/>
      <w:bookmarkEnd w:id="315"/>
      <w:bookmarkStart w:id="316" w:name="_Toc184312100"/>
      <w:bookmarkEnd w:id="316"/>
      <w:bookmarkStart w:id="317" w:name="_Toc184313260"/>
      <w:bookmarkEnd w:id="317"/>
      <w:bookmarkStart w:id="318" w:name="_Toc184310322"/>
      <w:bookmarkEnd w:id="318"/>
      <w:bookmarkStart w:id="319" w:name="_Toc184314469"/>
      <w:bookmarkEnd w:id="319"/>
      <w:bookmarkStart w:id="320" w:name="_Toc184313296"/>
      <w:bookmarkEnd w:id="320"/>
      <w:bookmarkStart w:id="321" w:name="_Toc184312121"/>
      <w:bookmarkEnd w:id="321"/>
      <w:bookmarkStart w:id="322" w:name="_Toc184310313"/>
      <w:bookmarkEnd w:id="322"/>
      <w:bookmarkStart w:id="323" w:name="_Toc184308102"/>
      <w:bookmarkEnd w:id="323"/>
      <w:bookmarkStart w:id="324" w:name="_Toc184308047"/>
      <w:bookmarkEnd w:id="324"/>
      <w:bookmarkStart w:id="325" w:name="_Toc184312080"/>
      <w:bookmarkEnd w:id="325"/>
      <w:bookmarkStart w:id="326" w:name="_Toc184308043"/>
      <w:bookmarkEnd w:id="326"/>
      <w:bookmarkStart w:id="327" w:name="_Toc184308056"/>
      <w:bookmarkEnd w:id="327"/>
      <w:bookmarkStart w:id="328" w:name="_Toc184313262"/>
      <w:bookmarkEnd w:id="328"/>
      <w:bookmarkStart w:id="329" w:name="_Toc184310284"/>
      <w:bookmarkEnd w:id="329"/>
      <w:bookmarkStart w:id="330" w:name="_Toc184308046"/>
      <w:bookmarkEnd w:id="330"/>
      <w:bookmarkStart w:id="331" w:name="_Toc184313265"/>
      <w:bookmarkEnd w:id="331"/>
      <w:bookmarkStart w:id="332" w:name="_Toc184310342"/>
      <w:bookmarkEnd w:id="332"/>
      <w:bookmarkStart w:id="333" w:name="_Toc184310331"/>
      <w:bookmarkEnd w:id="333"/>
      <w:bookmarkStart w:id="334" w:name="_Toc184312101"/>
      <w:bookmarkEnd w:id="334"/>
      <w:bookmarkStart w:id="335" w:name="_Toc184308107"/>
      <w:bookmarkEnd w:id="335"/>
      <w:bookmarkStart w:id="336" w:name="_Toc184310272"/>
      <w:bookmarkEnd w:id="336"/>
      <w:bookmarkStart w:id="337" w:name="_Toc184312126"/>
      <w:bookmarkEnd w:id="337"/>
      <w:bookmarkStart w:id="338" w:name="_Toc184308090"/>
      <w:bookmarkEnd w:id="338"/>
      <w:bookmarkStart w:id="339" w:name="_Toc184310333"/>
      <w:bookmarkEnd w:id="339"/>
      <w:bookmarkStart w:id="340" w:name="_Toc184314435"/>
      <w:bookmarkEnd w:id="340"/>
      <w:bookmarkStart w:id="341" w:name="_Toc184310337"/>
      <w:bookmarkEnd w:id="341"/>
      <w:bookmarkStart w:id="342" w:name="_Toc184310290"/>
      <w:bookmarkEnd w:id="342"/>
      <w:bookmarkStart w:id="343" w:name="_Toc184314481"/>
      <w:bookmarkEnd w:id="343"/>
      <w:bookmarkStart w:id="344" w:name="_Toc184310275"/>
      <w:bookmarkEnd w:id="344"/>
      <w:bookmarkStart w:id="345" w:name="_Toc184310327"/>
      <w:bookmarkEnd w:id="345"/>
      <w:bookmarkStart w:id="346" w:name="_Toc184314453"/>
      <w:bookmarkEnd w:id="346"/>
      <w:bookmarkStart w:id="347" w:name="_Toc184312092"/>
      <w:bookmarkEnd w:id="347"/>
      <w:bookmarkStart w:id="348" w:name="_Toc184312072"/>
      <w:bookmarkEnd w:id="348"/>
      <w:bookmarkStart w:id="349" w:name="_Toc184312075"/>
      <w:bookmarkEnd w:id="349"/>
      <w:bookmarkStart w:id="350" w:name="_Toc184314451"/>
      <w:bookmarkEnd w:id="350"/>
      <w:bookmarkStart w:id="351" w:name="_Toc184312103"/>
      <w:bookmarkEnd w:id="351"/>
      <w:bookmarkStart w:id="352" w:name="_Toc184314468"/>
      <w:bookmarkEnd w:id="352"/>
      <w:bookmarkStart w:id="353" w:name="_Toc184312117"/>
      <w:bookmarkEnd w:id="353"/>
      <w:bookmarkStart w:id="354" w:name="_Toc184314423"/>
      <w:bookmarkEnd w:id="354"/>
      <w:bookmarkStart w:id="355" w:name="_Toc184310339"/>
      <w:bookmarkEnd w:id="355"/>
      <w:bookmarkStart w:id="356" w:name="_Toc184308040"/>
      <w:bookmarkEnd w:id="356"/>
      <w:bookmarkStart w:id="357" w:name="_Toc184314458"/>
      <w:bookmarkEnd w:id="357"/>
      <w:bookmarkStart w:id="358" w:name="_Toc184312137"/>
      <w:bookmarkEnd w:id="358"/>
      <w:bookmarkStart w:id="359" w:name="_Toc184314474"/>
      <w:bookmarkEnd w:id="359"/>
      <w:bookmarkStart w:id="360" w:name="_Toc184310328"/>
      <w:bookmarkEnd w:id="360"/>
      <w:bookmarkStart w:id="361" w:name="_Toc184313273"/>
      <w:bookmarkEnd w:id="361"/>
      <w:bookmarkStart w:id="362" w:name="_Toc184312093"/>
      <w:bookmarkEnd w:id="362"/>
      <w:bookmarkStart w:id="363" w:name="_Toc184308059"/>
      <w:bookmarkEnd w:id="363"/>
      <w:bookmarkStart w:id="364" w:name="_Toc184313257"/>
      <w:bookmarkEnd w:id="364"/>
      <w:bookmarkStart w:id="365" w:name="_Toc184310298"/>
      <w:bookmarkEnd w:id="365"/>
      <w:bookmarkStart w:id="366" w:name="_Toc184314410"/>
      <w:bookmarkEnd w:id="366"/>
      <w:bookmarkStart w:id="367" w:name="_Toc184310316"/>
      <w:bookmarkEnd w:id="367"/>
      <w:bookmarkStart w:id="368" w:name="_Toc184312104"/>
      <w:bookmarkEnd w:id="368"/>
      <w:bookmarkStart w:id="369" w:name="_Toc184313248"/>
      <w:bookmarkEnd w:id="369"/>
      <w:bookmarkStart w:id="370" w:name="_Toc184313244"/>
      <w:bookmarkEnd w:id="370"/>
      <w:bookmarkStart w:id="371" w:name="_Toc184313271"/>
      <w:bookmarkEnd w:id="371"/>
      <w:bookmarkStart w:id="372" w:name="_Toc184313276"/>
      <w:bookmarkEnd w:id="372"/>
      <w:bookmarkStart w:id="373" w:name="_Toc184310323"/>
      <w:bookmarkEnd w:id="373"/>
      <w:bookmarkStart w:id="374" w:name="_Toc184310303"/>
      <w:bookmarkEnd w:id="374"/>
      <w:bookmarkStart w:id="375" w:name="_Toc184310286"/>
      <w:bookmarkEnd w:id="375"/>
      <w:bookmarkStart w:id="376" w:name="_Toc184310343"/>
      <w:bookmarkEnd w:id="376"/>
      <w:bookmarkStart w:id="377" w:name="_Toc184308093"/>
      <w:bookmarkEnd w:id="377"/>
      <w:bookmarkStart w:id="378" w:name="_Toc184313283"/>
      <w:bookmarkEnd w:id="378"/>
      <w:bookmarkStart w:id="379" w:name="_Toc184313255"/>
      <w:bookmarkEnd w:id="379"/>
      <w:bookmarkStart w:id="380" w:name="_Toc184308073"/>
      <w:bookmarkEnd w:id="380"/>
      <w:bookmarkStart w:id="381" w:name="_Toc184313275"/>
      <w:bookmarkEnd w:id="381"/>
      <w:bookmarkStart w:id="382" w:name="_Toc184310304"/>
      <w:bookmarkEnd w:id="382"/>
      <w:bookmarkStart w:id="383" w:name="_Toc184312067"/>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K</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L</w:t>
      </w:r>
      <w:r>
        <w:rPr>
          <w:rFonts w:hint="eastAsia" w:ascii="宋体" w:hAnsi="宋体" w:cs="宋体"/>
          <w:color w:val="auto"/>
          <w:kern w:val="0"/>
          <w:sz w:val="24"/>
          <w:highlight w:val="none"/>
        </w:rPr>
        <w:t>在采购人规定的截止时间以后送达的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文件</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M</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w:t>
      </w:r>
      <w:r>
        <w:rPr>
          <w:rFonts w:hint="eastAsia" w:ascii="宋体" w:hAnsi="宋体" w:cs="宋体"/>
          <w:color w:val="auto"/>
          <w:kern w:val="0"/>
          <w:sz w:val="24"/>
          <w:highlight w:val="none"/>
          <w:lang w:eastAsia="zh-CN"/>
        </w:rPr>
        <w:t>询价保证金</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spacing w:line="360" w:lineRule="auto"/>
        <w:ind w:firstLine="480" w:firstLineChars="200"/>
        <w:rPr>
          <w:rFonts w:hint="eastAsia"/>
          <w:highlight w:val="none"/>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出现相同总金额最低报价情况时，总金额最低报价相同的</w:t>
      </w:r>
      <w:r>
        <w:rPr>
          <w:rFonts w:hint="eastAsia"/>
          <w:color w:val="auto"/>
          <w:highlight w:val="none"/>
          <w:lang w:eastAsia="zh-CN"/>
        </w:rPr>
        <w:t>供应商</w:t>
      </w:r>
      <w:r>
        <w:rPr>
          <w:rFonts w:hint="eastAsia"/>
          <w:color w:val="auto"/>
          <w:highlight w:val="none"/>
        </w:rPr>
        <w:t>再进行一轮报价</w:t>
      </w:r>
      <w:r>
        <w:rPr>
          <w:rFonts w:hint="eastAsia"/>
          <w:b/>
          <w:bCs/>
          <w:color w:val="auto"/>
          <w:highlight w:val="none"/>
        </w:rPr>
        <w:t>。如报价再相同，则由采购</w:t>
      </w:r>
      <w:r>
        <w:rPr>
          <w:rFonts w:hint="eastAsia"/>
          <w:b/>
          <w:bCs/>
          <w:color w:val="auto"/>
          <w:highlight w:val="none"/>
          <w:lang w:eastAsia="zh-CN"/>
        </w:rPr>
        <w:t>工作人员</w:t>
      </w:r>
      <w:r>
        <w:rPr>
          <w:rFonts w:hint="eastAsia"/>
          <w:b/>
          <w:bCs/>
          <w:color w:val="auto"/>
          <w:highlight w:val="none"/>
          <w:lang w:val="en-US" w:eastAsia="zh-CN"/>
        </w:rPr>
        <w:t>组织询价评审小组成员与供应商分别</w:t>
      </w:r>
      <w:r>
        <w:rPr>
          <w:rFonts w:hint="eastAsia"/>
          <w:b/>
          <w:bCs/>
          <w:color w:val="auto"/>
          <w:highlight w:val="none"/>
        </w:rPr>
        <w:t>再进行一轮报价</w:t>
      </w:r>
      <w:r>
        <w:rPr>
          <w:rFonts w:hint="eastAsia"/>
          <w:b/>
          <w:bCs/>
          <w:color w:val="auto"/>
          <w:highlight w:val="none"/>
          <w:lang w:eastAsia="zh-CN"/>
        </w:rPr>
        <w:t>，以此类推</w:t>
      </w:r>
      <w:r>
        <w:rPr>
          <w:rFonts w:hint="eastAsia"/>
          <w:b/>
          <w:bCs/>
          <w:color w:val="auto"/>
          <w:highlight w:val="none"/>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第二次询价后，</w:t>
      </w:r>
      <w:r>
        <w:rPr>
          <w:rFonts w:hint="eastAsia" w:cs="仿宋" w:asciiTheme="minorEastAsia" w:hAnsiTheme="minorEastAsia"/>
          <w:color w:val="auto"/>
          <w:sz w:val="24"/>
          <w:highlight w:val="none"/>
        </w:rPr>
        <w:t>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w:t>
      </w:r>
      <w:r>
        <w:rPr>
          <w:rFonts w:hint="eastAsia" w:cs="仿宋" w:asciiTheme="minorEastAsia" w:hAnsiTheme="minorEastAsia"/>
          <w:color w:val="auto"/>
          <w:sz w:val="24"/>
          <w:highlight w:val="none"/>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lang w:val="en-US" w:eastAsia="zh-CN"/>
        </w:rPr>
        <w:t>成员即为</w:t>
      </w:r>
      <w:r>
        <w:rPr>
          <w:rFonts w:hint="eastAsia" w:cs="仿宋" w:asciiTheme="minorEastAsia" w:hAnsiTheme="minorEastAsia"/>
          <w:color w:val="auto"/>
          <w:sz w:val="24"/>
          <w:highlight w:val="none"/>
          <w:lang w:eastAsia="zh-CN"/>
        </w:rPr>
        <w:t>询价</w:t>
      </w:r>
      <w:r>
        <w:rPr>
          <w:rFonts w:hint="eastAsia" w:cs="仿宋" w:asciiTheme="minorEastAsia" w:hAnsiTheme="minorEastAsia"/>
          <w:color w:val="auto"/>
          <w:sz w:val="24"/>
          <w:highlight w:val="none"/>
          <w:lang w:val="en-US" w:eastAsia="zh-CN"/>
        </w:rPr>
        <w:t>谈判小组成员，询价保证金转为谈判保证金（若有）。</w:t>
      </w:r>
    </w:p>
    <w:p>
      <w:pPr>
        <w:pStyle w:val="7"/>
        <w:numPr>
          <w:ilvl w:val="0"/>
          <w:numId w:val="0"/>
        </w:numPr>
        <w:rPr>
          <w:rFonts w:hint="default"/>
          <w:color w:val="auto"/>
          <w:highlight w:val="none"/>
          <w:lang w:val="en-US" w:eastAsia="zh-CN"/>
        </w:rPr>
      </w:pP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9"/>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4"/>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2024年临江公司MIS系统维护服务采购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8"/>
        <w:ind w:firstLine="214"/>
        <w:jc w:val="center"/>
        <w:rPr>
          <w:rFonts w:hint="eastAsia"/>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rFonts w:hint="eastAsia"/>
          <w:highlight w:val="none"/>
        </w:rPr>
      </w:pPr>
      <w:r>
        <w:rPr>
          <w:rFonts w:hint="eastAsia"/>
          <w:highlight w:val="none"/>
        </w:rPr>
        <w:t>第二章 合同一般条款……………………………………………………（页码）</w:t>
      </w:r>
    </w:p>
    <w:p>
      <w:pPr>
        <w:pStyle w:val="10"/>
        <w:spacing w:line="360" w:lineRule="auto"/>
        <w:ind w:firstLine="240" w:firstLineChars="100"/>
        <w:rPr>
          <w:rFonts w:hint="eastAsia"/>
          <w:highlight w:val="none"/>
        </w:rPr>
      </w:pPr>
      <w:r>
        <w:rPr>
          <w:rFonts w:hint="eastAsia"/>
          <w:highlight w:val="none"/>
        </w:rPr>
        <w:t>第三章 安全协议…………………………………………………………（页码）</w:t>
      </w:r>
    </w:p>
    <w:p>
      <w:pPr>
        <w:pStyle w:val="10"/>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7"/>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lang w:eastAsia="zh-CN"/>
        </w:rPr>
        <w:t>2024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询价</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sz w:val="24"/>
          <w:highlight w:val="none"/>
          <w:lang w:val="en-US" w:eastAsia="zh-CN"/>
        </w:rPr>
        <w:t xml:space="preserve"> </w:t>
      </w:r>
      <w:r>
        <w:rPr>
          <w:rFonts w:hint="eastAsia" w:ascii="宋体" w:hAnsi="宋体" w:cs="宋体"/>
          <w:sz w:val="24"/>
          <w:highlight w:val="none"/>
          <w:u w:val="single"/>
          <w:lang w:eastAsia="zh-CN"/>
        </w:rPr>
        <w:t xml:space="preserve">2024年临江公司MIS系统维护服务采购 </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15367"/>
      <w:bookmarkStart w:id="385" w:name="_Toc28855"/>
      <w:bookmarkStart w:id="386" w:name="_Toc19273"/>
      <w:bookmarkStart w:id="387" w:name="_Toc22967"/>
      <w:bookmarkStart w:id="388" w:name="_Toc2042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18585"/>
      <w:bookmarkStart w:id="390" w:name="_Toc22185"/>
      <w:bookmarkStart w:id="391" w:name="_Toc6311"/>
      <w:bookmarkStart w:id="392" w:name="_Toc6773"/>
      <w:bookmarkStart w:id="393" w:name="_Toc2918"/>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rPr>
        <w:t xml:space="preserve">6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hint="eastAsia" w:ascii="宋体" w:hAnsi="宋体" w:cs="宋体"/>
          <w:sz w:val="24"/>
          <w:highlight w:val="none"/>
          <w:lang w:val="en-US" w:eastAsia="zh-CN"/>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单价和总价中均包括了服务类、运费、安装调试费、人工费、服务费、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r>
        <w:rPr>
          <w:rFonts w:hint="eastAsia" w:ascii="宋体" w:hAnsi="宋体" w:cs="宋体"/>
          <w:sz w:val="24"/>
          <w:highlight w:val="none"/>
          <w:lang w:eastAsia="zh-CN"/>
        </w:rPr>
        <w:t>，</w:t>
      </w:r>
      <w:r>
        <w:rPr>
          <w:rFonts w:hint="eastAsia" w:ascii="宋体" w:hAnsi="宋体" w:cs="宋体"/>
          <w:sz w:val="24"/>
          <w:highlight w:val="none"/>
          <w:lang w:val="en-US" w:eastAsia="zh-CN"/>
        </w:rPr>
        <w:t>特殊情况除外</w:t>
      </w:r>
      <w:r>
        <w:rPr>
          <w:rFonts w:hint="eastAsia" w:ascii="宋体" w:hAnsi="宋体" w:cs="宋体"/>
          <w:sz w:val="24"/>
          <w:highlight w:val="none"/>
        </w:rPr>
        <w:t>。</w:t>
      </w:r>
      <w:r>
        <w:rPr>
          <w:rFonts w:hint="eastAsia" w:ascii="宋体" w:hAnsi="宋体" w:cs="宋体"/>
          <w:sz w:val="24"/>
          <w:highlight w:val="none"/>
          <w:lang w:val="en-US" w:eastAsia="zh-CN"/>
        </w:rPr>
        <w:t>工作内容如下：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Align w:val="center"/>
          </w:tcPr>
          <w:p>
            <w:pPr>
              <w:pStyle w:val="8"/>
              <w:ind w:left="0" w:leftChars="0" w:firstLine="0" w:firstLineChars="0"/>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服务类别</w:t>
            </w:r>
          </w:p>
        </w:tc>
        <w:tc>
          <w:tcPr>
            <w:tcW w:w="7911" w:type="dxa"/>
            <w:vAlign w:val="center"/>
          </w:tcPr>
          <w:p>
            <w:pPr>
              <w:pStyle w:val="8"/>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数字化MIS系统维护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1.组织变更迁移，账号权限中组织机构更换，角色、权限调整；</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2.生产报表新增和修改；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3.班组会议审批流程更改；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4.运行日志排班及值班人员更改；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5.定期工作内容更改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7.两票管理中审批流程修改及票面优化；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8.设备编码管理审批流程优化；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9.缺陷管理审批流程修改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10.预防性维护项目修改等；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数据库管理</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维护数据库的结构、性能和安全性。包括每24小时备份数据库、紧急情况及时恢复数据库、优化查询和索引、监控数据库性能、清理无用数据等操作。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硬件维护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季度检查和维护服务器、网络设备和存储设备等硬件设施，确保其正常运行并提供良好的性能。包括检查硬件状态、清理设备、更换损坏的部件等。包含年度内MIS系统相关服务器（3个服务器）、网闸（4个网闸）、接口机（4个接口机）等硬件设备异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故障排除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及时诊断和修复系统故障，确保系统能够持续可靠地运行。这包括监控系统状态、分析日志、排查问题、实施修复措施等。包含年度内MIS系统数据通讯中断进行恢复，系统内新增点位进行添加。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性能优化</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持续监控系统性能，并采取措施优化系统以提高效率和响应速度，这包括调整系统配置、优化代码等。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7911" w:type="dxa"/>
            <w:vAlign w:val="center"/>
          </w:tcPr>
          <w:p>
            <w:pPr>
              <w:pStyle w:val="8"/>
              <w:numPr>
                <w:ilvl w:val="0"/>
                <w:numId w:val="0"/>
              </w:numPr>
              <w:ind w:left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1.包含年度内MIS系统两次入厂服务（时长20天），软件系统补丁升级，系统异常崩溃维护处理；如遇紧急事件，应在48小时内进行到场处理。</w:t>
            </w:r>
          </w:p>
          <w:p>
            <w:pPr>
              <w:pStyle w:val="8"/>
              <w:numPr>
                <w:ilvl w:val="0"/>
                <w:numId w:val="0"/>
              </w:numPr>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napToGrid/>
                <w:kern w:val="2"/>
                <w:sz w:val="21"/>
                <w:szCs w:val="21"/>
                <w:highlight w:val="none"/>
                <w:vertAlign w:val="baseline"/>
                <w:lang w:val="en-US" w:eastAsia="zh-CN" w:bidi="ar-SA"/>
              </w:rPr>
              <w:t>2.</w:t>
            </w:r>
            <w:r>
              <w:rPr>
                <w:rFonts w:hint="eastAsia" w:ascii="宋体" w:hAnsi="宋体" w:eastAsia="宋体" w:cs="宋体"/>
                <w:sz w:val="21"/>
                <w:szCs w:val="21"/>
                <w:highlight w:val="none"/>
                <w:vertAlign w:val="baseline"/>
                <w:lang w:val="en-US" w:eastAsia="zh-CN"/>
              </w:rPr>
              <w:t>包含年度内MIS系统内报表异常数据处理，报表内统计指标新增、修改，工作流程修改，功能使用指导，单据报错处理；。</w:t>
            </w:r>
          </w:p>
        </w:tc>
      </w:tr>
    </w:tbl>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hint="eastAsia" w:ascii="宋体" w:hAnsi="宋体"/>
          <w:sz w:val="24"/>
          <w:highlight w:val="none"/>
          <w:u w:val="single"/>
          <w:lang w:val="en-US" w:eastAsia="zh-CN"/>
        </w:rPr>
        <w:t>/</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9047" w:type="dxa"/>
        <w:tblInd w:w="96" w:type="dxa"/>
        <w:tblLayout w:type="fixed"/>
        <w:tblCellMar>
          <w:top w:w="0" w:type="dxa"/>
          <w:left w:w="108" w:type="dxa"/>
          <w:bottom w:w="0" w:type="dxa"/>
          <w:right w:w="108" w:type="dxa"/>
        </w:tblCellMar>
      </w:tblPr>
      <w:tblGrid>
        <w:gridCol w:w="578"/>
        <w:gridCol w:w="1517"/>
        <w:gridCol w:w="3174"/>
        <w:gridCol w:w="666"/>
        <w:gridCol w:w="774"/>
        <w:gridCol w:w="795"/>
        <w:gridCol w:w="1543"/>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eastAsia="zh-CN"/>
              </w:rPr>
            </w:pPr>
            <w:r>
              <w:rPr>
                <w:rFonts w:hint="eastAsia" w:ascii="宋体" w:hAnsi="宋体" w:cs="宋体"/>
                <w:kern w:val="0"/>
                <w:sz w:val="20"/>
                <w:szCs w:val="20"/>
                <w:highlight w:val="none"/>
                <w:lang w:val="en-US" w:eastAsia="zh-CN" w:bidi="ar"/>
              </w:rPr>
              <w:t>类别</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sz w:val="24"/>
          <w:highlight w:val="none"/>
        </w:rPr>
        <w:t>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单价和总价中均包括了服务类、运费、安装调试费、人工费、服务费、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w:t>
      </w:r>
      <w:r>
        <w:rPr>
          <w:rFonts w:hint="eastAsia" w:ascii="宋体" w:hAnsi="宋体" w:cs="宋体"/>
          <w:sz w:val="24"/>
          <w:highlight w:val="none"/>
          <w:lang w:eastAsia="zh-CN"/>
        </w:rPr>
        <w:t>列明</w:t>
      </w:r>
      <w:r>
        <w:rPr>
          <w:rFonts w:hint="eastAsia" w:ascii="宋体" w:hAnsi="宋体" w:cs="宋体"/>
          <w:sz w:val="24"/>
          <w:highlight w:val="none"/>
        </w:rPr>
        <w:t>的分项视为优惠,本合同履行中，甲方不再另行支付任何费用。</w:t>
      </w:r>
    </w:p>
    <w:p>
      <w:pPr>
        <w:spacing w:line="360" w:lineRule="auto"/>
        <w:ind w:firstLine="480" w:firstLineChars="200"/>
        <w:rPr>
          <w:rFonts w:hint="eastAsia"/>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w:t>
      </w:r>
      <w:r>
        <w:rPr>
          <w:rFonts w:ascii="宋体" w:hAnsi="宋体"/>
          <w:sz w:val="24"/>
          <w:highlight w:val="none"/>
        </w:rPr>
        <w:t>分项价格</w:t>
      </w:r>
      <w:r>
        <w:rPr>
          <w:rFonts w:hint="eastAsia" w:ascii="宋体" w:hAnsi="宋体" w:cs="宋体"/>
          <w:sz w:val="24"/>
          <w:highlight w:val="none"/>
        </w:rPr>
        <w:t>如下：</w:t>
      </w:r>
    </w:p>
    <w:tbl>
      <w:tblPr>
        <w:tblStyle w:val="15"/>
        <w:tblW w:w="958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bookmarkStart w:id="394" w:name="_Toc5635"/>
            <w:bookmarkStart w:id="395" w:name="_Toc4929"/>
            <w:bookmarkStart w:id="396" w:name="_Toc21124"/>
            <w:bookmarkStart w:id="397" w:name="_Toc1386"/>
            <w:bookmarkStart w:id="398" w:name="_Toc13918"/>
            <w:r>
              <w:rPr>
                <w:rFonts w:hint="eastAsia" w:ascii="宋体" w:hAnsi="宋体" w:eastAsia="宋体"/>
                <w:b w:val="0"/>
                <w:sz w:val="20"/>
                <w:szCs w:val="20"/>
                <w:highlight w:val="none"/>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金额</w:t>
            </w:r>
          </w:p>
        </w:tc>
        <w:tc>
          <w:tcPr>
            <w:tcW w:w="16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45" w:type="dxa"/>
            <w:noWrap w:val="0"/>
            <w:vAlign w:val="center"/>
          </w:tcPr>
          <w:p>
            <w:pPr>
              <w:pStyle w:val="4"/>
              <w:tabs>
                <w:tab w:val="left" w:pos="432"/>
              </w:tabs>
              <w:ind w:left="0" w:firstLine="0"/>
              <w:jc w:val="center"/>
              <w:rPr>
                <w:rFonts w:hint="default" w:ascii="宋体" w:hAnsi="宋体" w:eastAsia="宋体"/>
                <w:b w:val="0"/>
                <w:sz w:val="20"/>
                <w:szCs w:val="20"/>
                <w:highlight w:val="none"/>
                <w:lang w:val="en-US" w:eastAsia="zh-CN"/>
              </w:rPr>
            </w:pPr>
            <w:r>
              <w:rPr>
                <w:rFonts w:hint="eastAsia" w:ascii="宋体" w:hAnsi="宋体" w:eastAsia="宋体"/>
                <w:b w:val="0"/>
                <w:sz w:val="20"/>
                <w:szCs w:val="20"/>
                <w:highlight w:val="none"/>
                <w:lang w:val="en-US" w:eastAsia="zh-CN"/>
              </w:rPr>
              <w:t>税率</w:t>
            </w:r>
            <w:r>
              <w:rPr>
                <w:rFonts w:hint="eastAsia" w:ascii="宋体" w:hAnsi="宋体" w:eastAsia="宋体"/>
                <w:b w:val="0"/>
                <w:sz w:val="20"/>
                <w:szCs w:val="20"/>
                <w:highlight w:val="none"/>
                <w:u w:val="single"/>
                <w:lang w:val="en-US" w:eastAsia="zh-CN"/>
              </w:rPr>
              <w:t xml:space="preserve">    </w:t>
            </w:r>
            <w:r>
              <w:rPr>
                <w:rFonts w:hint="eastAsia" w:ascii="宋体" w:hAnsi="宋体" w:eastAsia="宋体"/>
                <w:b w:val="0"/>
                <w:sz w:val="20"/>
                <w:szCs w:val="20"/>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0340"/>
      <w:bookmarkStart w:id="400" w:name="_Toc22618"/>
      <w:bookmarkStart w:id="401" w:name="_Toc1814"/>
      <w:bookmarkStart w:id="402" w:name="_Toc3625"/>
      <w:bookmarkStart w:id="403" w:name="_Toc4760"/>
      <w:bookmarkStart w:id="404" w:name="_Toc8772"/>
      <w:bookmarkStart w:id="405" w:name="_Toc11108"/>
      <w:bookmarkStart w:id="406" w:name="_Toc31421"/>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sz w:val="24"/>
          <w:highlight w:val="none"/>
          <w:u w:val="singl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自合同签订后</w:t>
      </w:r>
      <w:r>
        <w:rPr>
          <w:rFonts w:hint="eastAsia" w:ascii="宋体" w:hAnsi="宋体"/>
          <w:b/>
          <w:bCs/>
          <w:sz w:val="24"/>
          <w:highlight w:val="none"/>
          <w:u w:val="single"/>
        </w:rPr>
        <w:t>12个月</w:t>
      </w:r>
      <w:r>
        <w:rPr>
          <w:rFonts w:hint="eastAsia" w:ascii="宋体" w:hAnsi="宋体" w:cs="宋体"/>
          <w:sz w:val="24"/>
          <w:highlight w:val="none"/>
          <w:u w:val="single"/>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bookmarkStart w:id="407" w:name="_Toc6596"/>
      <w:bookmarkStart w:id="408" w:name="_Toc14563"/>
      <w:bookmarkStart w:id="409" w:name="_Toc1125"/>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eastAsia="zh-CN"/>
        </w:rPr>
        <w:t>乙方</w:t>
      </w:r>
      <w:r>
        <w:rPr>
          <w:rFonts w:hint="eastAsia" w:ascii="宋体" w:hAnsi="宋体" w:cs="宋体"/>
          <w:sz w:val="24"/>
          <w:highlight w:val="none"/>
        </w:rPr>
        <w:t>需指派专人与</w:t>
      </w:r>
      <w:r>
        <w:rPr>
          <w:rFonts w:hint="eastAsia" w:ascii="宋体" w:hAnsi="宋体" w:cs="宋体"/>
          <w:sz w:val="24"/>
          <w:highlight w:val="none"/>
          <w:lang w:eastAsia="zh-CN"/>
        </w:rPr>
        <w:t>甲方</w:t>
      </w:r>
      <w:r>
        <w:rPr>
          <w:rFonts w:hint="eastAsia" w:ascii="宋体" w:hAnsi="宋体" w:cs="宋体"/>
          <w:sz w:val="24"/>
          <w:highlight w:val="none"/>
        </w:rPr>
        <w:t>进行技术对接，技术人员应保持手机24小时开机，如需更换技术人员，需提前与</w:t>
      </w:r>
      <w:r>
        <w:rPr>
          <w:rFonts w:hint="eastAsia" w:ascii="宋体" w:hAnsi="宋体" w:cs="宋体"/>
          <w:sz w:val="24"/>
          <w:highlight w:val="none"/>
          <w:lang w:eastAsia="zh-CN"/>
        </w:rPr>
        <w:t>甲方</w:t>
      </w:r>
      <w:r>
        <w:rPr>
          <w:rFonts w:hint="eastAsia" w:ascii="宋体" w:hAnsi="宋体" w:cs="宋体"/>
          <w:sz w:val="24"/>
          <w:highlight w:val="none"/>
        </w:rPr>
        <w:t>沟通；运维人员必须熟悉能源项目MIS系统及相关硬件，具有操作维护经验；</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.接到维护要求时，运维人员需在白天2小时、夜间8小时内（0：00-8：00为夜间）做出响应，及时处理系统现场异常情况，确保系统正常使用；如遇设备损坏等特殊情况，出具处理办法，双方协商解决。</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.如涉及设备、零件更换，由</w:t>
      </w:r>
      <w:r>
        <w:rPr>
          <w:rFonts w:hint="eastAsia" w:ascii="宋体" w:hAnsi="宋体" w:cs="宋体"/>
          <w:sz w:val="24"/>
          <w:highlight w:val="none"/>
          <w:lang w:eastAsia="zh-CN"/>
        </w:rPr>
        <w:t>乙方</w:t>
      </w:r>
      <w:r>
        <w:rPr>
          <w:rFonts w:hint="eastAsia" w:ascii="宋体" w:hAnsi="宋体" w:cs="宋体"/>
          <w:sz w:val="24"/>
          <w:highlight w:val="none"/>
        </w:rPr>
        <w:t>免费负责维修或更换，设备、零件由</w:t>
      </w:r>
      <w:r>
        <w:rPr>
          <w:rFonts w:hint="eastAsia" w:ascii="宋体" w:hAnsi="宋体" w:cs="宋体"/>
          <w:sz w:val="24"/>
          <w:highlight w:val="none"/>
          <w:lang w:eastAsia="zh-CN"/>
        </w:rPr>
        <w:t>甲方</w:t>
      </w:r>
      <w:r>
        <w:rPr>
          <w:rFonts w:hint="eastAsia" w:ascii="宋体" w:hAnsi="宋体" w:cs="宋体"/>
          <w:sz w:val="24"/>
          <w:highlight w:val="none"/>
        </w:rPr>
        <w:t>负责采购提供。</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rPr>
        <w:t>1.</w:t>
      </w:r>
      <w:r>
        <w:rPr>
          <w:rFonts w:hint="eastAsia" w:ascii="宋体" w:hAnsi="宋体"/>
          <w:sz w:val="24"/>
          <w:highlight w:val="none"/>
          <w:u w:val="single"/>
          <w:lang w:val="en-US" w:eastAsia="zh-CN"/>
        </w:rPr>
        <w:t>乙方每季度形成一个服务报告，甲方验收服务报告</w:t>
      </w:r>
      <w:r>
        <w:rPr>
          <w:rFonts w:hint="eastAsia" w:ascii="宋体" w:hAnsi="宋体"/>
          <w:sz w:val="24"/>
          <w:highlight w:val="none"/>
          <w:u w:val="single"/>
        </w:rPr>
        <w:t>。</w:t>
      </w:r>
    </w:p>
    <w:p>
      <w:pPr>
        <w:pStyle w:val="25"/>
        <w:spacing w:before="0" w:beforeAutospacing="0" w:after="0" w:afterAutospacing="0" w:line="360" w:lineRule="auto"/>
        <w:ind w:firstLine="480"/>
        <w:rPr>
          <w:b/>
          <w:highlight w:val="none"/>
        </w:rPr>
      </w:pPr>
      <w:r>
        <w:rPr>
          <w:rFonts w:hint="eastAsia"/>
          <w:b/>
          <w:highlight w:val="none"/>
        </w:rPr>
        <w:t>七、履约保证金</w:t>
      </w:r>
    </w:p>
    <w:p>
      <w:pPr>
        <w:pStyle w:val="25"/>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i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5"/>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b/>
          <w:bCs/>
          <w:highlight w:val="none"/>
        </w:rPr>
      </w:pPr>
      <w:r>
        <w:rPr>
          <w:rFonts w:hint="eastAsia"/>
          <w:b/>
          <w:bCs/>
          <w:highlight w:val="none"/>
        </w:rPr>
        <w:t>九、资金支付</w:t>
      </w:r>
    </w:p>
    <w:p>
      <w:pPr>
        <w:pStyle w:val="25"/>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条款规定：</w:t>
      </w:r>
    </w:p>
    <w:p>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5"/>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按次支付费用， 验收合格后，乙方提供准确清单以及合格的增值税发票后，甲方于30日内完成该次费用支付。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24662"/>
      <w:bookmarkStart w:id="411" w:name="_Toc2375"/>
      <w:bookmarkStart w:id="412" w:name="_Toc5698"/>
      <w:bookmarkStart w:id="413" w:name="_Toc8586"/>
      <w:bookmarkStart w:id="414" w:name="_Toc3079"/>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按本合同总价</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，并要求乙方一次性承担（□本合同累计已发生金额/☑合同约定总金额）</w:t>
      </w:r>
      <w:r>
        <w:rPr>
          <w:rFonts w:ascii="宋体" w:hAnsi="宋体"/>
          <w:sz w:val="24"/>
          <w:highlight w:val="none"/>
        </w:rPr>
        <w:t xml:space="preserve"> 30%</w:t>
      </w:r>
      <w:r>
        <w:rPr>
          <w:rFonts w:hint="eastAsia" w:ascii="宋体" w:hAnsi="宋体"/>
          <w:sz w:val="24"/>
          <w:highlight w:val="none"/>
        </w:rPr>
        <w:t>的违约金；</w:t>
      </w:r>
    </w:p>
    <w:p>
      <w:pPr>
        <w:spacing w:line="360" w:lineRule="auto"/>
        <w:ind w:firstLine="480" w:firstLineChars="200"/>
        <w:rPr>
          <w:rFonts w:ascii="宋体" w:hAnsi="宋体"/>
          <w:sz w:val="24"/>
          <w:highlight w:val="none"/>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按本合同总价</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，迟延交付达到15天的，甲方有权单方解除本合同，并要求乙方一次性承担（□本合同累计已发生金额/☑合同约定总金额）</w:t>
      </w:r>
      <w:r>
        <w:rPr>
          <w:rFonts w:ascii="宋体" w:hAnsi="宋体"/>
          <w:sz w:val="24"/>
          <w:highlight w:val="none"/>
        </w:rPr>
        <w:t xml:space="preserve"> 30%</w:t>
      </w:r>
      <w:r>
        <w:rPr>
          <w:rFonts w:hint="eastAsia" w:ascii="宋体" w:hAnsi="宋体"/>
          <w:sz w:val="24"/>
          <w:highlight w:val="none"/>
        </w:rPr>
        <w:t>的违约金；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32454"/>
      <w:bookmarkStart w:id="416" w:name="_Toc26807"/>
      <w:bookmarkStart w:id="417" w:name="_Toc30329"/>
      <w:bookmarkStart w:id="418" w:name="_Toc9497"/>
      <w:bookmarkStart w:id="419" w:name="_Toc18683"/>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（3）甲方无故拒收成果交付，乙方有权要求甲方按照合同原价支付费用  。</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5583"/>
      <w:bookmarkStart w:id="421" w:name="_Toc16021"/>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
          <w:sz w:val="24"/>
          <w:highlight w:val="none"/>
          <w:u w:val="single"/>
        </w:rPr>
        <w:t>甲方所在地</w:t>
      </w:r>
      <w:r>
        <w:rPr>
          <w:rFonts w:hint="eastAsia" w:ascii="宋体" w:hAnsi="宋体" w:cs="宋体"/>
          <w:sz w:val="24"/>
          <w:highlight w:val="none"/>
        </w:rPr>
        <w:t>人民法院起诉。</w:t>
      </w:r>
    </w:p>
    <w:p>
      <w:pPr>
        <w:spacing w:line="360" w:lineRule="auto"/>
        <w:ind w:firstLine="482" w:firstLineChars="200"/>
        <w:outlineLvl w:val="0"/>
        <w:rPr>
          <w:rFonts w:ascii="宋体" w:hAnsi="宋体" w:cs="宋体"/>
          <w:b/>
          <w:sz w:val="24"/>
          <w:highlight w:val="none"/>
        </w:rPr>
      </w:pPr>
      <w:bookmarkStart w:id="423" w:name="_Toc15322"/>
      <w:bookmarkStart w:id="424" w:name="_Toc7245"/>
      <w:bookmarkStart w:id="425" w:name="_Toc11173"/>
      <w:r>
        <w:rPr>
          <w:rFonts w:hint="eastAsia" w:ascii="宋体" w:hAnsi="宋体" w:cs="宋体"/>
          <w:b/>
          <w:sz w:val="24"/>
          <w:highlight w:val="none"/>
        </w:rPr>
        <w:t>十二、合同生效</w:t>
      </w:r>
      <w:bookmarkEnd w:id="423"/>
      <w:bookmarkEnd w:id="424"/>
      <w:bookmarkEnd w:id="425"/>
    </w:p>
    <w:p>
      <w:pPr>
        <w:pStyle w:val="24"/>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4"/>
        <w:ind w:left="0" w:leftChars="0" w:firstLine="0" w:firstLineChars="0"/>
        <w:jc w:val="center"/>
        <w:rPr>
          <w:rFonts w:hint="eastAsia" w:ascii="宋体" w:hAnsi="宋体"/>
          <w:b/>
          <w:szCs w:val="24"/>
          <w:highlight w:val="none"/>
        </w:rPr>
      </w:pPr>
    </w:p>
    <w:p>
      <w:pPr>
        <w:pStyle w:val="24"/>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14021"/>
      <w:bookmarkStart w:id="427" w:name="_Toc19680"/>
      <w:bookmarkStart w:id="428" w:name="_Toc31297"/>
      <w:bookmarkStart w:id="429" w:name="_Toc5228"/>
      <w:bookmarkStart w:id="430" w:name="_Toc25079"/>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1402"/>
      <w:bookmarkStart w:id="432" w:name="_Toc23289"/>
      <w:bookmarkStart w:id="433" w:name="_Toc16752"/>
      <w:bookmarkStart w:id="434" w:name="_Toc19539"/>
      <w:bookmarkStart w:id="435" w:name="_Toc3769"/>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13673"/>
      <w:bookmarkStart w:id="437" w:name="_Toc4133"/>
      <w:bookmarkStart w:id="438" w:name="_Toc27945"/>
      <w:bookmarkStart w:id="439" w:name="_Toc9161"/>
      <w:bookmarkStart w:id="440" w:name="_Toc12412"/>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32670"/>
      <w:bookmarkStart w:id="442" w:name="_Toc15447"/>
      <w:bookmarkStart w:id="443" w:name="_Toc31233"/>
      <w:bookmarkStart w:id="444" w:name="_Toc26555"/>
      <w:bookmarkStart w:id="445" w:name="_Toc22011"/>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30507"/>
      <w:bookmarkStart w:id="447" w:name="_Toc18990"/>
      <w:bookmarkStart w:id="448" w:name="_Toc13154"/>
      <w:bookmarkStart w:id="449" w:name="_Toc13467"/>
      <w:bookmarkStart w:id="450" w:name="_Toc16163"/>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1830"/>
      <w:bookmarkStart w:id="455" w:name="_Toc26689"/>
      <w:bookmarkStart w:id="456" w:name="_Toc42"/>
      <w:bookmarkStart w:id="457" w:name="_Toc10663"/>
      <w:bookmarkStart w:id="458" w:name="_Toc23368"/>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32494"/>
      <w:bookmarkStart w:id="461" w:name="_Toc14371"/>
      <w:bookmarkStart w:id="462" w:name="_Toc26633"/>
      <w:bookmarkStart w:id="463" w:name="_Toc4720"/>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25783"/>
      <w:bookmarkStart w:id="465" w:name="_Toc3638"/>
      <w:bookmarkStart w:id="466" w:name="_Toc23854"/>
      <w:bookmarkStart w:id="467" w:name="_Toc14115"/>
      <w:bookmarkStart w:id="468" w:name="_Toc24465"/>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30105"/>
      <w:bookmarkStart w:id="470" w:name="_Toc25525"/>
      <w:bookmarkStart w:id="471" w:name="_Toc7315"/>
      <w:bookmarkStart w:id="472" w:name="_Toc26883"/>
      <w:bookmarkStart w:id="473" w:name="_Toc14814"/>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3323"/>
      <w:bookmarkStart w:id="476" w:name="_Toc2016"/>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7363"/>
      <w:bookmarkStart w:id="478" w:name="_Toc1969"/>
      <w:bookmarkStart w:id="479" w:name="_Toc14525"/>
      <w:r>
        <w:rPr>
          <w:rFonts w:hint="eastAsia" w:ascii="宋体" w:hAnsi="宋体"/>
          <w:b/>
          <w:sz w:val="24"/>
          <w:highlight w:val="none"/>
        </w:rPr>
        <w:t>十五</w:t>
      </w:r>
      <w:bookmarkEnd w:id="477"/>
      <w:bookmarkEnd w:id="478"/>
      <w:bookmarkEnd w:id="479"/>
      <w:bookmarkStart w:id="480" w:name="_Toc25198"/>
      <w:bookmarkStart w:id="481" w:name="_Toc31892"/>
      <w:bookmarkStart w:id="482" w:name="_Toc2308"/>
      <w:bookmarkStart w:id="483" w:name="_Toc12666"/>
      <w:bookmarkStart w:id="484" w:name="_Toc9808"/>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4355"/>
      <w:bookmarkStart w:id="488" w:name="_Toc18540"/>
      <w:bookmarkStart w:id="489" w:name="_Toc30599"/>
      <w:bookmarkStart w:id="490" w:name="_Toc28906"/>
      <w:bookmarkStart w:id="491" w:name="_Toc20808"/>
      <w:bookmarkStart w:id="492" w:name="_Toc12254"/>
      <w:bookmarkStart w:id="493" w:name="_Toc27644"/>
      <w:bookmarkStart w:id="494" w:name="_Toc5063"/>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4"/>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4"/>
        <w:spacing w:line="560" w:lineRule="exact"/>
        <w:ind w:left="0" w:leftChars="0" w:firstLine="0" w:firstLineChars="0"/>
        <w:jc w:val="center"/>
        <w:rPr>
          <w:rFonts w:hint="eastAsia" w:ascii="宋体" w:hAnsi="宋体"/>
          <w:b/>
          <w:szCs w:val="24"/>
          <w:highlight w:val="none"/>
        </w:rPr>
      </w:pPr>
    </w:p>
    <w:p>
      <w:pPr>
        <w:pStyle w:val="24"/>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2024年临江公司MIS系统维护服务采购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2024年临江公司MIS系统维护服务采购</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1.建立健全本单位该项目的安全生产责任制度和安全生产管理制度，健全组织机构，</w:t>
      </w:r>
      <w:r>
        <w:rPr>
          <w:rFonts w:hint="eastAsia" w:ascii="宋体" w:hAnsi="宋体" w:cs="宋体"/>
          <w:sz w:val="24"/>
          <w:highlight w:val="none"/>
          <w:lang w:eastAsia="zh-CN"/>
        </w:rPr>
        <w:t>落实</w:t>
      </w:r>
      <w:r>
        <w:rPr>
          <w:rFonts w:hint="eastAsia" w:ascii="宋体" w:hAnsi="宋体" w:cs="宋体"/>
          <w:sz w:val="24"/>
          <w:highlight w:val="none"/>
        </w:rPr>
        <w:t>现场专职安全管理人员。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10"/>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5"/>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2024年临江公司MIS系统维护服务采购</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pStyle w:val="7"/>
        <w:rPr>
          <w:color w:val="auto"/>
          <w:highlight w:val="none"/>
        </w:rPr>
      </w:pPr>
    </w:p>
    <w:p>
      <w:pPr>
        <w:pStyle w:val="8"/>
        <w:rPr>
          <w:color w:val="auto"/>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2"/>
        <w:rPr>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7"/>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jc w:val="both"/>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（5）响应产品规格配置清单</w:t>
      </w:r>
      <w:r>
        <w:rPr>
          <w:rFonts w:hint="eastAsia" w:cs="仿宋" w:asciiTheme="minorEastAsia" w:hAnsiTheme="minorEastAsia"/>
          <w:color w:val="auto"/>
          <w:sz w:val="24"/>
          <w:highlight w:val="none"/>
          <w:lang w:eastAsia="zh-CN"/>
        </w:rPr>
        <w:t>（若有）</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（6）商务技术偏离表……………………………………………………………（页码）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供应商股东信息及出资比例信息表</w:t>
      </w:r>
      <w:r>
        <w:rPr>
          <w:rFonts w:hint="eastAsia" w:cs="仿宋" w:asciiTheme="minorEastAsia" w:hAnsiTheme="minorEastAsia"/>
          <w:color w:val="auto"/>
          <w:sz w:val="24"/>
          <w:highlight w:val="none"/>
        </w:rPr>
        <w:t>………………………………………（页码）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（9）供应商</w:t>
      </w:r>
      <w:r>
        <w:rPr>
          <w:rFonts w:hint="eastAsia" w:cs="仿宋" w:asciiTheme="minorEastAsia" w:hAnsiTheme="minorEastAsia"/>
          <w:color w:val="auto"/>
          <w:sz w:val="24"/>
          <w:highlight w:val="none"/>
        </w:rPr>
        <w:t>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ind w:left="0" w:leftChars="0" w:firstLine="0" w:firstLineChars="0"/>
        <w:rPr>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lang w:val="en-US" w:eastAsia="zh-CN"/>
        </w:rPr>
        <w:t>202403018</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widowControl w:val="0"/>
        <w:numPr>
          <w:ilvl w:val="0"/>
          <w:numId w:val="0"/>
        </w:numPr>
        <w:autoSpaceDE w:val="0"/>
        <w:autoSpaceDN w:val="0"/>
        <w:adjustRightInd w:val="0"/>
        <w:spacing w:line="360" w:lineRule="auto"/>
        <w:jc w:val="both"/>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lang w:val="en-US" w:eastAsia="zh-CN"/>
        </w:rPr>
        <w:t>202403018</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u w:val="single"/>
          <w:lang w:val="en-US" w:eastAsia="zh-CN"/>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olor w:val="auto"/>
          <w:highlight w:val="none"/>
          <w:lang w:val="zh-CN"/>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eastAsiaTheme="minorEastAsia"/>
          <w:color w:val="auto"/>
          <w:highlight w:val="none"/>
          <w:lang w:eastAsia="zh-CN"/>
        </w:rPr>
      </w:pPr>
      <w:r>
        <w:rPr>
          <w:rFonts w:hint="eastAsia" w:cs="仿宋" w:asciiTheme="minorEastAsia" w:hAnsiTheme="minorEastAsia"/>
          <w:b/>
          <w:color w:val="auto"/>
          <w:kern w:val="0"/>
          <w:sz w:val="32"/>
          <w:szCs w:val="32"/>
          <w:highlight w:val="none"/>
        </w:rPr>
        <w:t>五、响应产品规格配置清单</w:t>
      </w:r>
      <w:r>
        <w:rPr>
          <w:rFonts w:hint="eastAsia" w:cs="仿宋" w:asciiTheme="minorEastAsia" w:hAnsiTheme="minorEastAsia"/>
          <w:b/>
          <w:color w:val="auto"/>
          <w:kern w:val="0"/>
          <w:sz w:val="32"/>
          <w:szCs w:val="32"/>
          <w:highlight w:val="none"/>
          <w:lang w:eastAsia="zh-CN"/>
        </w:rPr>
        <w:t>（若有）</w:t>
      </w:r>
    </w:p>
    <w:p>
      <w:pPr>
        <w:pStyle w:val="8"/>
        <w:rPr>
          <w:rFonts w:cs="仿宋" w:asciiTheme="minorEastAsia" w:hAnsiTheme="minorEastAsia"/>
          <w:color w:val="auto"/>
          <w:highlight w:val="none"/>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bl>
    <w:p>
      <w:pPr>
        <w:pStyle w:val="7"/>
        <w:rPr>
          <w:color w:val="auto"/>
          <w:highlight w:val="none"/>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highlight w:val="none"/>
        </w:rPr>
        <w:t>注</w:t>
      </w:r>
      <w:r>
        <w:rPr>
          <w:rFonts w:cs="仿宋_GB2312" w:asciiTheme="minorEastAsia" w:hAnsiTheme="minorEastAsia"/>
          <w:color w:val="auto"/>
          <w:highlight w:val="none"/>
          <w:lang w:val="en-US"/>
        </w:rPr>
        <w:t>：</w:t>
      </w:r>
      <w:r>
        <w:rPr>
          <w:rFonts w:hint="eastAsia" w:cs="仿宋_GB2312" w:asciiTheme="minorEastAsia" w:hAnsiTheme="minorEastAsia"/>
          <w:color w:val="auto"/>
          <w:highlight w:val="none"/>
        </w:rPr>
        <w:t>按本格式和要求提供。</w:t>
      </w: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七、</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eastAsiaTheme="minorEastAsia"/>
          <w:b/>
          <w:color w:val="auto"/>
          <w:kern w:val="0"/>
          <w:sz w:val="32"/>
          <w:szCs w:val="32"/>
          <w:highlight w:val="none"/>
          <w:lang w:val="zh-CN" w:eastAsia="zh-CN" w:bidi="ar-SA"/>
        </w:rPr>
        <w:t>八、</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4"/>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4"/>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eastAsia="zh-CN"/>
        </w:rPr>
        <w:t>九</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2024年临江公司MIS系统维护服务采购（项目编号：202403018）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ascii="宋体" w:hAnsi="宋体" w:eastAsia="宋体" w:cs="宋体"/>
          <w:color w:val="auto"/>
          <w:sz w:val="24"/>
          <w:szCs w:val="24"/>
          <w:highlight w:val="none"/>
          <w:u w:val="single"/>
          <w:lang w:eastAsia="zh-CN"/>
        </w:rPr>
        <w:t>2024年临江公司MIS系统维护服务采购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val="en-US" w:eastAsia="zh-CN"/>
        </w:rPr>
        <w:t>202403018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品牌（如果有）</w:t>
            </w:r>
          </w:p>
        </w:tc>
        <w:tc>
          <w:tcPr>
            <w:tcW w:w="2562"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规格型号</w:t>
            </w:r>
          </w:p>
        </w:tc>
        <w:tc>
          <w:tcPr>
            <w:tcW w:w="82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single"/>
                <w:lang w:val="en-US" w:eastAsia="zh-CN"/>
              </w:rPr>
              <w:t>MIS维护服务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825"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c>
          <w:tcPr>
            <w:tcW w:w="1230"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4"/>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val="en-US" w:eastAsia="zh-CN"/>
        </w:rPr>
        <w:t>2024年临江公司MIS系统维护服务采购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pStyle w:val="7"/>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780086"/>
    <w:rsid w:val="023E1286"/>
    <w:rsid w:val="046A1781"/>
    <w:rsid w:val="04E634F4"/>
    <w:rsid w:val="05150472"/>
    <w:rsid w:val="051B17AF"/>
    <w:rsid w:val="0805754C"/>
    <w:rsid w:val="08147C9D"/>
    <w:rsid w:val="08670640"/>
    <w:rsid w:val="08E37A2F"/>
    <w:rsid w:val="09EC7123"/>
    <w:rsid w:val="09ED56C9"/>
    <w:rsid w:val="0A1D0FFF"/>
    <w:rsid w:val="0AD025A1"/>
    <w:rsid w:val="0B133596"/>
    <w:rsid w:val="0BD07B44"/>
    <w:rsid w:val="0C30706F"/>
    <w:rsid w:val="0C492847"/>
    <w:rsid w:val="0C6133EF"/>
    <w:rsid w:val="0C6D616F"/>
    <w:rsid w:val="0E8E64CE"/>
    <w:rsid w:val="0F095788"/>
    <w:rsid w:val="0F81598B"/>
    <w:rsid w:val="0F864523"/>
    <w:rsid w:val="10BE08E9"/>
    <w:rsid w:val="1157552B"/>
    <w:rsid w:val="120F3A28"/>
    <w:rsid w:val="14521432"/>
    <w:rsid w:val="14521AA0"/>
    <w:rsid w:val="15BE749A"/>
    <w:rsid w:val="166F3635"/>
    <w:rsid w:val="17811642"/>
    <w:rsid w:val="185A544F"/>
    <w:rsid w:val="18890233"/>
    <w:rsid w:val="19550115"/>
    <w:rsid w:val="198737C7"/>
    <w:rsid w:val="19DC6BDA"/>
    <w:rsid w:val="1AA56FDE"/>
    <w:rsid w:val="1B7913A6"/>
    <w:rsid w:val="1C742A28"/>
    <w:rsid w:val="1CD34128"/>
    <w:rsid w:val="1CDE6781"/>
    <w:rsid w:val="1F457921"/>
    <w:rsid w:val="21677697"/>
    <w:rsid w:val="224D22D1"/>
    <w:rsid w:val="22A244DC"/>
    <w:rsid w:val="23AE001C"/>
    <w:rsid w:val="270B7A08"/>
    <w:rsid w:val="284A39BF"/>
    <w:rsid w:val="290541A2"/>
    <w:rsid w:val="2916035C"/>
    <w:rsid w:val="2A1060BE"/>
    <w:rsid w:val="2A6366FF"/>
    <w:rsid w:val="2A6807FA"/>
    <w:rsid w:val="2B32649C"/>
    <w:rsid w:val="2C270527"/>
    <w:rsid w:val="2C4141D8"/>
    <w:rsid w:val="2F136972"/>
    <w:rsid w:val="2F1F33A8"/>
    <w:rsid w:val="2F5836E9"/>
    <w:rsid w:val="30123142"/>
    <w:rsid w:val="304A7E50"/>
    <w:rsid w:val="314B6E80"/>
    <w:rsid w:val="31774C16"/>
    <w:rsid w:val="32792469"/>
    <w:rsid w:val="32843E96"/>
    <w:rsid w:val="352F03C1"/>
    <w:rsid w:val="36162BCB"/>
    <w:rsid w:val="36412810"/>
    <w:rsid w:val="36BD312A"/>
    <w:rsid w:val="37514AF4"/>
    <w:rsid w:val="377C0298"/>
    <w:rsid w:val="37F61CA1"/>
    <w:rsid w:val="39C31C6C"/>
    <w:rsid w:val="39E64928"/>
    <w:rsid w:val="3C283344"/>
    <w:rsid w:val="3C3420E0"/>
    <w:rsid w:val="3C485F9D"/>
    <w:rsid w:val="3C7C70D7"/>
    <w:rsid w:val="3CDB292A"/>
    <w:rsid w:val="3E0C6463"/>
    <w:rsid w:val="403E57B7"/>
    <w:rsid w:val="40532D51"/>
    <w:rsid w:val="4179370E"/>
    <w:rsid w:val="42112513"/>
    <w:rsid w:val="43496F4C"/>
    <w:rsid w:val="435518AD"/>
    <w:rsid w:val="437A2DA4"/>
    <w:rsid w:val="44873A1C"/>
    <w:rsid w:val="44A46D96"/>
    <w:rsid w:val="472961BF"/>
    <w:rsid w:val="48BD432F"/>
    <w:rsid w:val="490C739F"/>
    <w:rsid w:val="49105C83"/>
    <w:rsid w:val="49A53D97"/>
    <w:rsid w:val="4AE27CAC"/>
    <w:rsid w:val="4B5447A1"/>
    <w:rsid w:val="4BAC48C9"/>
    <w:rsid w:val="4F251D5C"/>
    <w:rsid w:val="4FD65994"/>
    <w:rsid w:val="4FEB08B0"/>
    <w:rsid w:val="50886E1D"/>
    <w:rsid w:val="513B5867"/>
    <w:rsid w:val="514563A8"/>
    <w:rsid w:val="523875F5"/>
    <w:rsid w:val="52506204"/>
    <w:rsid w:val="52B35FD7"/>
    <w:rsid w:val="52FC2DD4"/>
    <w:rsid w:val="533B163F"/>
    <w:rsid w:val="53FA1DF3"/>
    <w:rsid w:val="54AB2D04"/>
    <w:rsid w:val="56F563A5"/>
    <w:rsid w:val="571F3A0C"/>
    <w:rsid w:val="57F2034A"/>
    <w:rsid w:val="58235318"/>
    <w:rsid w:val="58354DBE"/>
    <w:rsid w:val="59121C77"/>
    <w:rsid w:val="59DE0E09"/>
    <w:rsid w:val="5A283DD0"/>
    <w:rsid w:val="5ACD76EE"/>
    <w:rsid w:val="5B3D7F5F"/>
    <w:rsid w:val="5E7B54F5"/>
    <w:rsid w:val="5EFD2476"/>
    <w:rsid w:val="5F0279C4"/>
    <w:rsid w:val="5F944466"/>
    <w:rsid w:val="6139287F"/>
    <w:rsid w:val="618943CD"/>
    <w:rsid w:val="62121B84"/>
    <w:rsid w:val="63CF15A0"/>
    <w:rsid w:val="657B7ADB"/>
    <w:rsid w:val="66CC0FE3"/>
    <w:rsid w:val="673E5F91"/>
    <w:rsid w:val="679754A0"/>
    <w:rsid w:val="67D649B5"/>
    <w:rsid w:val="68C66552"/>
    <w:rsid w:val="6A4E3ABD"/>
    <w:rsid w:val="6AE63D7E"/>
    <w:rsid w:val="6B462C2B"/>
    <w:rsid w:val="6BB92906"/>
    <w:rsid w:val="6EB56A91"/>
    <w:rsid w:val="6EDA6750"/>
    <w:rsid w:val="700D088C"/>
    <w:rsid w:val="700E4F44"/>
    <w:rsid w:val="70173239"/>
    <w:rsid w:val="720D24B0"/>
    <w:rsid w:val="721A5B23"/>
    <w:rsid w:val="72B931C1"/>
    <w:rsid w:val="738D03F5"/>
    <w:rsid w:val="7679065E"/>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Hyperlink"/>
    <w:basedOn w:val="17"/>
    <w:autoRedefine/>
    <w:qFormat/>
    <w:uiPriority w:val="0"/>
    <w:rPr>
      <w:color w:val="0000FF"/>
      <w:u w:val="single"/>
    </w:r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0</TotalTime>
  <ScaleCrop>false</ScaleCrop>
  <LinksUpToDate>false</LinksUpToDate>
  <CharactersWithSpaces>30082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2024-03-17T06:55:57Z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A1ED29D5195F42DC88B15D6E555041E6</vt:lpwstr>
  </property>
</Properties>
</file>