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cs="宋体" w:asciiTheme="minorEastAsia" w:hAnsiTheme="minorEastAsia"/>
          <w:color w:val="auto"/>
          <w:sz w:val="48"/>
          <w:szCs w:val="48"/>
          <w:u w:val="single"/>
        </w:rPr>
      </w:pPr>
    </w:p>
    <w:p>
      <w:pPr>
        <w:pStyle w:val="9"/>
        <w:jc w:val="center"/>
        <w:rPr>
          <w:rFonts w:hint="eastAsia" w:cs="宋体" w:asciiTheme="minorEastAsia" w:hAnsiTheme="minorEastAsia"/>
          <w:color w:val="auto"/>
          <w:sz w:val="48"/>
          <w:szCs w:val="48"/>
          <w:u w:val="single"/>
        </w:rPr>
      </w:pPr>
    </w:p>
    <w:p>
      <w:pPr>
        <w:pStyle w:val="9"/>
        <w:jc w:val="center"/>
        <w:rPr>
          <w:rFonts w:hint="eastAsia" w:cs="宋体" w:asciiTheme="minorEastAsia" w:hAnsiTheme="minorEastAsia"/>
          <w:color w:val="auto"/>
          <w:sz w:val="48"/>
          <w:szCs w:val="48"/>
          <w:u w:val="single"/>
        </w:rPr>
      </w:pPr>
    </w:p>
    <w:p>
      <w:pPr>
        <w:pStyle w:val="9"/>
        <w:jc w:val="center"/>
        <w:rPr>
          <w:rFonts w:hint="eastAsia" w:cs="宋体" w:asciiTheme="minorEastAsia" w:hAnsiTheme="minorEastAsia"/>
          <w:color w:val="auto"/>
          <w:sz w:val="48"/>
          <w:szCs w:val="48"/>
          <w:u w:val="single"/>
        </w:rPr>
      </w:pPr>
    </w:p>
    <w:p>
      <w:pPr>
        <w:pStyle w:val="9"/>
        <w:jc w:val="center"/>
        <w:rPr>
          <w:rFonts w:hint="eastAsia" w:cs="宋体" w:asciiTheme="minorEastAsia" w:hAnsiTheme="minorEastAsia"/>
          <w:color w:val="auto"/>
          <w:sz w:val="48"/>
          <w:szCs w:val="48"/>
          <w:u w:val="single"/>
        </w:rPr>
      </w:pPr>
    </w:p>
    <w:p>
      <w:pPr>
        <w:keepNext w:val="0"/>
        <w:keepLines w:val="0"/>
        <w:widowControl/>
        <w:suppressLineNumbers w:val="0"/>
        <w:jc w:val="center"/>
        <w:rPr>
          <w:color w:val="auto"/>
        </w:rPr>
      </w:pPr>
      <w:r>
        <w:rPr>
          <w:rFonts w:hint="eastAsia" w:cs="宋体" w:asciiTheme="minorEastAsia" w:hAnsiTheme="minorEastAsia"/>
          <w:color w:val="auto"/>
          <w:sz w:val="48"/>
          <w:szCs w:val="48"/>
          <w:u w:val="single"/>
        </w:rPr>
        <w:t>2024年临江公司</w:t>
      </w:r>
      <w:r>
        <w:rPr>
          <w:rFonts w:hint="eastAsia" w:cs="宋体" w:asciiTheme="minorEastAsia" w:hAnsiTheme="minorEastAsia"/>
          <w:color w:val="auto"/>
          <w:sz w:val="48"/>
          <w:szCs w:val="48"/>
          <w:u w:val="single"/>
          <w:lang w:val="en-US" w:eastAsia="zh-CN"/>
        </w:rPr>
        <w:t>地下水检测井服务</w:t>
      </w:r>
      <w:r>
        <w:rPr>
          <w:rFonts w:hint="eastAsia" w:cs="宋体" w:asciiTheme="minorEastAsia" w:hAnsiTheme="minorEastAsia"/>
          <w:color w:val="auto"/>
          <w:sz w:val="48"/>
          <w:szCs w:val="48"/>
          <w:u w:val="single"/>
        </w:rPr>
        <w:t>采购项目</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202403022</w:t>
      </w:r>
    </w:p>
    <w:p>
      <w:pPr>
        <w:spacing w:line="360" w:lineRule="auto"/>
        <w:jc w:val="center"/>
        <w:rPr>
          <w:rFonts w:cs="仿宋" w:asciiTheme="minorEastAsia" w:hAnsiTheme="minorEastAsia"/>
          <w:b/>
          <w:bCs/>
          <w:color w:val="auto"/>
          <w:sz w:val="72"/>
          <w:szCs w:val="72"/>
        </w:rPr>
      </w:pPr>
    </w:p>
    <w:p>
      <w:pPr>
        <w:pStyle w:val="3"/>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9"/>
        <w:rPr>
          <w:color w:val="auto"/>
        </w:rPr>
      </w:pPr>
    </w:p>
    <w:p>
      <w:pPr>
        <w:rPr>
          <w:color w:val="auto"/>
        </w:rPr>
      </w:pPr>
    </w:p>
    <w:p>
      <w:pPr>
        <w:pStyle w:val="9"/>
        <w:rPr>
          <w:color w:val="auto"/>
        </w:rPr>
      </w:pPr>
    </w:p>
    <w:p>
      <w:pPr>
        <w:rPr>
          <w:color w:val="auto"/>
        </w:rPr>
      </w:pPr>
    </w:p>
    <w:p>
      <w:pPr>
        <w:spacing w:line="360" w:lineRule="auto"/>
        <w:rPr>
          <w:rFonts w:cs="仿宋" w:asciiTheme="minorEastAsia" w:hAnsiTheme="minorEastAsia"/>
          <w:color w:val="auto"/>
          <w:sz w:val="24"/>
        </w:rPr>
      </w:pPr>
    </w:p>
    <w:p>
      <w:pPr>
        <w:pStyle w:val="9"/>
        <w:rPr>
          <w:rFonts w:cs="仿宋" w:asciiTheme="minorEastAsia" w:hAnsiTheme="minorEastAsia"/>
          <w:color w:val="auto"/>
          <w:sz w:val="24"/>
          <w:szCs w:val="24"/>
        </w:rPr>
      </w:pPr>
    </w:p>
    <w:p>
      <w:pPr>
        <w:pStyle w:val="9"/>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3</w:t>
      </w:r>
      <w:r>
        <w:rPr>
          <w:rFonts w:hint="eastAsia" w:cs="仿宋" w:asciiTheme="minorEastAsia" w:hAnsiTheme="minorEastAsia"/>
          <w:color w:val="auto"/>
          <w:sz w:val="32"/>
          <w:szCs w:val="32"/>
        </w:rPr>
        <w:t>月</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790"/>
      <w:bookmarkStart w:id="2" w:name="_Toc28359002"/>
      <w:bookmarkStart w:id="3" w:name="_Toc28359079"/>
      <w:bookmarkStart w:id="4" w:name="_Toc35393621"/>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2024年临江公司地下水检测井服务采购项目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5"/>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202403022</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2024年临江公司地下水检测井服务采购项目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75000元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lang w:val="en-US" w:eastAsia="zh-CN"/>
        </w:rPr>
        <w:t xml:space="preserve"> 为排查临江公司厂区地下水环境质量，掌握地下水污染物的变化规律，加强对厂区重点防渗区地下水质量监测备案工作，需在能源、三固事业部厂区内新增14个地下水监测井（永久井）并进行采样检测，</w:t>
      </w:r>
      <w:r>
        <w:rPr>
          <w:rFonts w:hint="eastAsia" w:cs="仿宋" w:asciiTheme="minorEastAsia" w:hAnsiTheme="minorEastAsia"/>
          <w:color w:val="auto"/>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合同签订起至完成地下水建井并采样分析出具报告为止。</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03"/>
      <w:bookmarkStart w:id="7" w:name="_Toc35393622"/>
      <w:bookmarkStart w:id="8" w:name="_Toc28359080"/>
      <w:bookmarkStart w:id="9" w:name="_Toc35393791"/>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35393792"/>
      <w:bookmarkStart w:id="12" w:name="_Toc28359004"/>
      <w:bookmarkStart w:id="13" w:name="_Toc2835908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lang w:eastAsia="zh-CN"/>
        </w:rPr>
      </w:pPr>
      <w:r>
        <w:rPr>
          <w:rFonts w:hint="eastAsia" w:cs="仿宋" w:asciiTheme="minorEastAsia" w:hAnsiTheme="minorEastAsia"/>
          <w:bCs/>
          <w:color w:val="auto"/>
          <w:sz w:val="24"/>
        </w:rPr>
        <w:t>2.供应商在“信用中国”（www.creditchina.gov.cn）、中国政府采购网（www.ccgp.gov.cn）等其</w:t>
      </w:r>
      <w:r>
        <w:rPr>
          <w:rFonts w:hint="eastAsia" w:cs="仿宋" w:asciiTheme="minorEastAsia" w:hAnsiTheme="minorEastAsia"/>
          <w:bCs/>
          <w:color w:val="auto"/>
          <w:sz w:val="24"/>
          <w:lang w:val="en-US" w:eastAsia="zh-CN"/>
        </w:rPr>
        <w:t>他</w:t>
      </w:r>
      <w:r>
        <w:rPr>
          <w:rFonts w:hint="eastAsia" w:cs="仿宋" w:asciiTheme="minorEastAsia" w:hAnsiTheme="minorEastAsia"/>
          <w:bCs/>
          <w:color w:val="auto"/>
          <w:sz w:val="24"/>
        </w:rPr>
        <w:t>官方网站没有被列入失信被执行人、重大税收违法案件当事人名单、政府采购严重违法失信行为记录名单、有责合同纠纷、重点关注名单、黑名单等不良记录</w:t>
      </w:r>
      <w:r>
        <w:rPr>
          <w:rFonts w:hint="eastAsia" w:cs="仿宋" w:asciiTheme="minorEastAsia" w:hAnsiTheme="minorEastAsia"/>
          <w:bCs/>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3.</w:t>
      </w:r>
      <w:r>
        <w:rPr>
          <w:rFonts w:hint="eastAsia" w:cs="仿宋" w:asciiTheme="minorEastAsia" w:hAnsiTheme="minorEastAsia"/>
          <w:bCs/>
          <w:color w:val="auto"/>
          <w:sz w:val="24"/>
          <w:highlight w:val="none"/>
          <w:lang w:eastAsia="zh-CN"/>
        </w:rPr>
        <w:t>业绩要求：</w:t>
      </w:r>
      <w:r>
        <w:rPr>
          <w:rFonts w:hint="eastAsia" w:cs="仿宋" w:asciiTheme="minorEastAsia" w:hAnsiTheme="minorEastAsia"/>
          <w:bCs/>
          <w:color w:val="auto"/>
          <w:sz w:val="24"/>
          <w:highlight w:val="none"/>
          <w:u w:val="single"/>
          <w:lang w:val="en-US" w:eastAsia="zh-CN"/>
        </w:rPr>
        <w:t>/</w:t>
      </w:r>
      <w:r>
        <w:rPr>
          <w:rFonts w:hint="eastAsia" w:cs="仿宋" w:asciiTheme="minorEastAsia" w:hAnsiTheme="minorEastAsia"/>
          <w:bCs/>
          <w:color w:val="auto"/>
          <w:sz w:val="24"/>
          <w:highlight w:val="none"/>
          <w:u w:val="single"/>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lang w:val="en-US" w:eastAsia="zh-CN"/>
        </w:rPr>
        <w:t>4.供应商须有CMA资质证书；</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5</w:t>
      </w:r>
      <w:r>
        <w:rPr>
          <w:rFonts w:hint="eastAsia" w:cs="仿宋" w:asciiTheme="minorEastAsia" w:hAnsiTheme="minorEastAsia"/>
          <w:bCs/>
          <w:color w:val="auto"/>
          <w:sz w:val="24"/>
        </w:rPr>
        <w:t>.供应商不得为</w:t>
      </w:r>
      <w:r>
        <w:rPr>
          <w:rFonts w:hint="eastAsia" w:cs="仿宋" w:asciiTheme="minorEastAsia" w:hAnsiTheme="minorEastAsia"/>
          <w:bCs/>
          <w:color w:val="auto"/>
          <w:sz w:val="24"/>
          <w:lang w:eastAsia="zh-CN"/>
        </w:rPr>
        <w:t>杭州市环境集团有限公司或</w:t>
      </w:r>
      <w:r>
        <w:rPr>
          <w:rFonts w:hint="eastAsia" w:cs="仿宋" w:asciiTheme="minorEastAsia" w:hAnsiTheme="minorEastAsia"/>
          <w:bCs/>
          <w:color w:val="auto"/>
          <w:sz w:val="24"/>
        </w:rPr>
        <w:t>杭州临江环境能源有限公司不合格供应商或者在黑名单之内。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6</w:t>
      </w:r>
      <w:r>
        <w:rPr>
          <w:rFonts w:hint="eastAsia" w:cs="仿宋" w:asciiTheme="minorEastAsia" w:hAnsiTheme="minorEastAsia"/>
          <w:bCs/>
          <w:color w:val="auto"/>
          <w:sz w:val="24"/>
        </w:rPr>
        <w:t xml:space="preserve">.供应商负责人为同一人或者存在控股、管理关系的不同单位，不得同时参加本项目。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7</w:t>
      </w:r>
      <w:r>
        <w:rPr>
          <w:rFonts w:hint="eastAsia" w:cs="仿宋" w:asciiTheme="minorEastAsia" w:hAnsiTheme="minorEastAsia"/>
          <w:bCs/>
          <w:color w:val="auto"/>
          <w:sz w:val="24"/>
        </w:rPr>
        <w:t>.供应商须提供其股东信息及出资比例信息。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eastAsia" w:cs="仿宋" w:asciiTheme="minorEastAsia" w:hAnsiTheme="minorEastAsia"/>
          <w:bCs/>
          <w:color w:val="auto"/>
          <w:sz w:val="24"/>
          <w:lang w:val="en-US" w:eastAsia="zh-CN"/>
        </w:rPr>
        <w:t>8</w:t>
      </w:r>
      <w:r>
        <w:rPr>
          <w:rFonts w:hint="default" w:cs="仿宋" w:asciiTheme="minorEastAsia" w:hAnsiTheme="minorEastAsia"/>
          <w:bCs/>
          <w:color w:val="auto"/>
          <w:sz w:val="24"/>
          <w:lang w:val="en-US"/>
        </w:rPr>
        <w:t>.</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28359005"/>
      <w:bookmarkStart w:id="16" w:name="_Toc35393624"/>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3</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27</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bCs/>
          <w:color w:val="auto"/>
          <w:sz w:val="24"/>
          <w:u w:val="single"/>
        </w:rPr>
        <w:t>年</w:t>
      </w:r>
      <w:r>
        <w:rPr>
          <w:rFonts w:hint="eastAsia" w:cs="仿宋" w:asciiTheme="minorEastAsia" w:hAnsiTheme="minorEastAsia"/>
          <w:bCs/>
          <w:color w:val="auto"/>
          <w:sz w:val="24"/>
          <w:u w:val="single"/>
          <w:lang w:val="en-US" w:eastAsia="zh-CN"/>
        </w:rPr>
        <w:t>3</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27</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color w:val="auto"/>
          <w:sz w:val="24"/>
          <w:u w:val="single"/>
          <w:lang w:eastAsia="zh-CN"/>
        </w:rPr>
        <w:t>ljgsbjzy@163.com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 xml:space="preserve">胡工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15700099079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eastAsia="zh-CN"/>
        </w:rPr>
        <w:t>九、</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6480" w:firstLineChars="27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3月18</w:t>
      </w:r>
      <w:bookmarkStart w:id="496" w:name="_GoBack"/>
      <w:bookmarkEnd w:id="496"/>
      <w:r>
        <w:rPr>
          <w:rFonts w:hint="eastAsia" w:cs="仿宋" w:asciiTheme="minorEastAsia" w:hAnsiTheme="minorEastAsia"/>
          <w:color w:val="auto"/>
          <w:sz w:val="24"/>
        </w:rPr>
        <w:t>日</w:t>
      </w:r>
    </w:p>
    <w:p>
      <w:pPr>
        <w:spacing w:line="460" w:lineRule="exact"/>
        <w:jc w:val="center"/>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eastAsia="宋体" w:cs="宋体"/>
                <w:b/>
                <w:bCs w:val="0"/>
                <w:snapToGrid w:val="0"/>
                <w:color w:val="auto"/>
                <w:sz w:val="21"/>
                <w:szCs w:val="21"/>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ascii="宋体" w:hAnsi="宋体" w:eastAsia="宋体" w:cs="宋体"/>
                <w:color w:val="auto"/>
                <w:sz w:val="21"/>
                <w:szCs w:val="21"/>
              </w:rPr>
            </w:pPr>
            <w:r>
              <w:rPr>
                <w:rFonts w:hint="eastAsia" w:cs="宋体"/>
                <w:snapToGrid w:val="0"/>
                <w:color w:val="auto"/>
                <w:sz w:val="21"/>
                <w:szCs w:val="21"/>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snapToGrid w:val="0"/>
                <w:color w:val="auto"/>
                <w:sz w:val="21"/>
                <w:szCs w:val="21"/>
                <w:lang w:eastAsia="zh-CN"/>
              </w:rPr>
            </w:pPr>
            <w:r>
              <w:rPr>
                <w:rFonts w:hint="eastAsia"/>
                <w:b/>
                <w:bCs/>
                <w:snapToGrid w:val="0"/>
                <w:color w:val="auto"/>
                <w:sz w:val="21"/>
                <w:szCs w:val="21"/>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 xml:space="preserve">供应商资格审查方式：  □资格预审  </w:t>
            </w:r>
            <w:r>
              <w:rPr>
                <w:rFonts w:hint="eastAsia"/>
                <w:snapToGrid w:val="0"/>
                <w:color w:val="auto"/>
                <w:sz w:val="21"/>
                <w:szCs w:val="21"/>
                <w:lang w:eastAsia="zh-CN"/>
              </w:rPr>
              <w:sym w:font="Wingdings 2" w:char="0052"/>
            </w:r>
            <w:r>
              <w:rPr>
                <w:rFonts w:hint="eastAsia"/>
                <w:snapToGrid w:val="0"/>
                <w:color w:val="auto"/>
                <w:sz w:val="21"/>
                <w:szCs w:val="21"/>
                <w:lang w:eastAsia="zh-CN"/>
              </w:rPr>
              <w:t>资格后审</w:t>
            </w:r>
          </w:p>
          <w:p>
            <w:pPr>
              <w:pStyle w:val="18"/>
              <w:snapToGrid w:val="0"/>
              <w:spacing w:line="400" w:lineRule="exact"/>
              <w:ind w:right="42" w:rightChars="20"/>
              <w:jc w:val="both"/>
              <w:rPr>
                <w:rFonts w:hint="eastAsia" w:ascii="宋体" w:hAnsi="宋体" w:eastAsia="宋体" w:cs="宋体"/>
                <w:snapToGrid w:val="0"/>
                <w:color w:val="auto"/>
                <w:sz w:val="21"/>
                <w:szCs w:val="21"/>
                <w:lang w:eastAsia="zh-CN"/>
              </w:rPr>
            </w:pPr>
            <w:r>
              <w:rPr>
                <w:rFonts w:hint="eastAsia"/>
                <w:snapToGrid w:val="0"/>
                <w:color w:val="auto"/>
                <w:sz w:val="21"/>
                <w:szCs w:val="21"/>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（1）分包：</w:t>
            </w:r>
            <w:r>
              <w:rPr>
                <w:rFonts w:hint="eastAsia"/>
                <w:snapToGrid w:val="0"/>
                <w:color w:val="auto"/>
                <w:szCs w:val="21"/>
                <w:lang w:eastAsia="zh-CN"/>
              </w:rPr>
              <w:t>□</w:t>
            </w:r>
            <w:r>
              <w:rPr>
                <w:rFonts w:hint="eastAsia"/>
                <w:snapToGrid w:val="0"/>
                <w:color w:val="auto"/>
                <w:sz w:val="21"/>
                <w:szCs w:val="21"/>
                <w:lang w:eastAsia="zh-CN"/>
              </w:rPr>
              <w:t xml:space="preserve">允许  </w:t>
            </w:r>
            <w:r>
              <w:rPr>
                <w:rFonts w:hint="eastAsia"/>
                <w:color w:val="auto"/>
                <w:szCs w:val="21"/>
                <w:lang w:bidi="ar"/>
              </w:rPr>
              <w:sym w:font="Wingdings" w:char="00FE"/>
            </w:r>
            <w:r>
              <w:rPr>
                <w:rFonts w:hint="eastAsia"/>
                <w:snapToGrid w:val="0"/>
                <w:color w:val="auto"/>
                <w:sz w:val="21"/>
                <w:szCs w:val="21"/>
                <w:lang w:eastAsia="zh-CN"/>
              </w:rPr>
              <w:t>不允许</w:t>
            </w:r>
          </w:p>
          <w:p>
            <w:pPr>
              <w:pStyle w:val="18"/>
              <w:snapToGrid w:val="0"/>
              <w:spacing w:line="400" w:lineRule="exact"/>
              <w:ind w:right="42" w:rightChars="20"/>
              <w:jc w:val="both"/>
              <w:rPr>
                <w:rFonts w:hint="eastAsia" w:ascii="宋体" w:hAnsi="宋体" w:eastAsia="宋体" w:cs="宋体"/>
                <w:color w:val="auto"/>
                <w:sz w:val="21"/>
                <w:szCs w:val="21"/>
              </w:rPr>
            </w:pPr>
            <w:r>
              <w:rPr>
                <w:rFonts w:hint="eastAsia"/>
                <w:snapToGrid w:val="0"/>
                <w:color w:val="auto"/>
                <w:sz w:val="21"/>
                <w:szCs w:val="21"/>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7"/>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8"/>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r>
              <w:rPr>
                <w:rFonts w:hint="eastAsia" w:ascii="宋体" w:hAnsi="宋体" w:eastAsia="宋体" w:cs="宋体"/>
                <w:color w:val="auto"/>
                <w:kern w:val="0"/>
                <w:sz w:val="21"/>
                <w:szCs w:val="21"/>
              </w:rPr>
              <w:t>B组织，</w:t>
            </w:r>
            <w:r>
              <w:rPr>
                <w:rFonts w:hint="eastAsia" w:ascii="宋体" w:hAnsi="宋体" w:eastAsia="宋体" w:cs="宋体"/>
                <w:color w:val="auto"/>
                <w:sz w:val="21"/>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不要求提供。</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B要求提供。</w:t>
            </w:r>
          </w:p>
          <w:p>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潜在供应商</w:t>
            </w:r>
            <w:r>
              <w:rPr>
                <w:rFonts w:hint="eastAsia" w:ascii="宋体" w:hAnsi="宋体" w:eastAsia="宋体" w:cs="宋体"/>
                <w:color w:val="auto"/>
                <w:sz w:val="21"/>
                <w:szCs w:val="21"/>
              </w:rPr>
              <w:t>需要提供</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1"/>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b/>
                <w:bCs w:val="0"/>
                <w:color w:val="auto"/>
                <w:sz w:val="21"/>
                <w:szCs w:val="21"/>
              </w:rPr>
            </w:pPr>
            <w:r>
              <w:rPr>
                <w:rFonts w:hint="eastAsia" w:ascii="宋体" w:hAnsi="宋体" w:eastAsia="宋体" w:cs="宋体"/>
                <w:b/>
                <w:bCs/>
                <w:color w:val="auto"/>
                <w:sz w:val="21"/>
                <w:szCs w:val="21"/>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lang w:eastAsia="zh-CN"/>
              </w:rPr>
            </w:pPr>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w:t>
            </w:r>
            <w:r>
              <w:rPr>
                <w:rFonts w:hint="eastAsia" w:ascii="宋体" w:hAnsi="宋体" w:eastAsia="宋体" w:cs="宋体"/>
                <w:color w:val="auto"/>
                <w:sz w:val="21"/>
                <w:szCs w:val="21"/>
                <w:lang w:eastAsia="zh-CN"/>
              </w:rPr>
              <w:t>询价保证金</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w:t>
            </w:r>
            <w:r>
              <w:rPr>
                <w:rFonts w:hint="eastAsia" w:ascii="宋体" w:hAnsi="宋体" w:eastAsia="宋体" w:cs="宋体"/>
                <w:color w:val="auto"/>
                <w:sz w:val="21"/>
                <w:szCs w:val="21"/>
                <w:lang w:eastAsia="zh-CN"/>
              </w:rPr>
              <w:t>询价保证金</w:t>
            </w:r>
            <w:r>
              <w:rPr>
                <w:rFonts w:hint="eastAsia" w:ascii="宋体" w:hAnsi="宋体" w:eastAsia="宋体" w:cs="宋体"/>
                <w:color w:val="auto"/>
                <w:kern w:val="0"/>
                <w:sz w:val="21"/>
                <w:szCs w:val="21"/>
              </w:rPr>
              <w:t>。</w:t>
            </w:r>
          </w:p>
          <w:p>
            <w:pPr>
              <w:numPr>
                <w:ilvl w:val="0"/>
                <w:numId w:val="0"/>
              </w:numPr>
              <w:spacing w:line="360" w:lineRule="auto"/>
              <w:jc w:val="both"/>
              <w:outlineLvl w:val="1"/>
              <w:rPr>
                <w:rFonts w:hint="eastAsia" w:ascii="宋体" w:hAnsi="宋体" w:eastAsia="宋体" w:cs="宋体"/>
                <w:b/>
                <w:bCs/>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项目</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保证金为</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rPr>
              <w:t>元，</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应在</w:t>
            </w:r>
            <w:r>
              <w:rPr>
                <w:rFonts w:hint="eastAsia" w:ascii="宋体" w:hAnsi="宋体" w:eastAsia="宋体" w:cs="宋体"/>
                <w:color w:val="auto"/>
                <w:sz w:val="21"/>
                <w:szCs w:val="21"/>
                <w:lang w:val="en-US" w:eastAsia="zh-CN"/>
              </w:rPr>
              <w:t>响应文件</w:t>
            </w:r>
            <w:r>
              <w:rPr>
                <w:rFonts w:hint="eastAsia" w:ascii="宋体" w:hAnsi="宋体" w:eastAsia="宋体" w:cs="宋体"/>
                <w:color w:val="auto"/>
                <w:sz w:val="21"/>
                <w:szCs w:val="21"/>
                <w:lang w:eastAsia="zh-CN"/>
              </w:rPr>
              <w:t>开启</w:t>
            </w:r>
            <w:r>
              <w:rPr>
                <w:rFonts w:hint="eastAsia" w:ascii="宋体" w:hAnsi="宋体" w:eastAsia="宋体" w:cs="宋体"/>
                <w:color w:val="auto"/>
                <w:sz w:val="21"/>
                <w:szCs w:val="21"/>
              </w:rPr>
              <w:t>截止</w:t>
            </w:r>
            <w:r>
              <w:rPr>
                <w:rFonts w:hint="eastAsia" w:ascii="宋体" w:hAnsi="宋体" w:eastAsia="宋体" w:cs="宋体"/>
                <w:color w:val="auto"/>
                <w:sz w:val="21"/>
                <w:szCs w:val="21"/>
                <w:lang w:val="en-US" w:eastAsia="zh-CN"/>
              </w:rPr>
              <w:t>之</w:t>
            </w:r>
            <w:r>
              <w:rPr>
                <w:rFonts w:hint="eastAsia" w:ascii="宋体" w:hAnsi="宋体" w:eastAsia="宋体" w:cs="宋体"/>
                <w:color w:val="auto"/>
                <w:sz w:val="21"/>
                <w:szCs w:val="21"/>
              </w:rPr>
              <w:t>前以电汇或网银转账方式缴纳至杭州临江环境能源有限公司。同时将银行缴款凭证复印件作为</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文件组成部分。</w:t>
            </w:r>
            <w:r>
              <w:rPr>
                <w:rFonts w:hint="eastAsia" w:ascii="宋体" w:hAnsi="宋体" w:eastAsia="宋体" w:cs="宋体"/>
                <w:b/>
                <w:bCs/>
                <w:color w:val="auto"/>
                <w:sz w:val="21"/>
                <w:szCs w:val="21"/>
              </w:rPr>
              <w:t>须注明：</w:t>
            </w:r>
            <w:r>
              <w:rPr>
                <w:rFonts w:hint="eastAsia" w:ascii="宋体" w:hAnsi="宋体" w:eastAsia="宋体" w:cs="宋体"/>
                <w:b/>
                <w:bCs/>
                <w:color w:val="auto"/>
                <w:sz w:val="21"/>
                <w:szCs w:val="21"/>
                <w:lang w:val="en-US" w:eastAsia="zh-CN"/>
              </w:rPr>
              <w:t xml:space="preserve"> </w:t>
            </w:r>
            <w:r>
              <w:rPr>
                <w:rFonts w:hint="default"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lang w:eastAsia="zh-CN"/>
              </w:rPr>
              <w:t>询价保证金</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户    名：杭州临江环境能源有限公司</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开户银行：杭州银行大江东支行</w:t>
            </w:r>
          </w:p>
          <w:p>
            <w:pPr>
              <w:spacing w:line="360" w:lineRule="auto"/>
              <w:jc w:val="both"/>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58"/>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5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495733405"/>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 w:val="21"/>
                      <w:szCs w:val="21"/>
                    </w:rPr>
                    <w:id w:val="60"/>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kern w:val="0"/>
                <w:sz w:val="21"/>
                <w:szCs w:val="21"/>
              </w:rPr>
            </w:pPr>
            <w:sdt>
              <w:sdtPr>
                <w:rPr>
                  <w:rFonts w:hint="eastAsia" w:ascii="宋体" w:hAnsi="宋体" w:eastAsia="宋体" w:cs="宋体"/>
                  <w:color w:val="auto"/>
                  <w:kern w:val="0"/>
                  <w:sz w:val="21"/>
                  <w:szCs w:val="21"/>
                </w:rPr>
                <w:id w:val="11740717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62"/>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sdt>
                  <w:sdtPr>
                    <w:rPr>
                      <w:rFonts w:hint="eastAsia" w:ascii="宋体" w:hAnsi="宋体" w:eastAsia="宋体" w:cs="宋体"/>
                      <w:color w:val="auto"/>
                      <w:kern w:val="0"/>
                      <w:sz w:val="21"/>
                      <w:szCs w:val="21"/>
                    </w:rPr>
                    <w:id w:val="63"/>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B组织。</w:t>
            </w:r>
          </w:p>
          <w:p>
            <w:pPr>
              <w:snapToGrid w:val="0"/>
              <w:spacing w:line="360" w:lineRule="auto"/>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rPr>
              <w:t>（1）在评审时安排供应商进行方案讲解演示。每个供应商时间不超过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分钟，讲解次序以响应文件解密时间先后次序为准，讲解演示人员不超过</w:t>
            </w:r>
            <w:r>
              <w:rPr>
                <w:rFonts w:hint="eastAsia" w:ascii="宋体" w:hAnsi="宋体" w:eastAsia="宋体" w:cs="宋体"/>
                <w:color w:val="auto"/>
                <w:kern w:val="0"/>
                <w:sz w:val="21"/>
                <w:szCs w:val="21"/>
                <w:u w:val="single"/>
              </w:rPr>
              <w:t>3</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rPr>
              <w:t>人。讲解演示结束后按要求解答</w:t>
            </w:r>
            <w:r>
              <w:rPr>
                <w:rFonts w:hint="eastAsia" w:ascii="宋体" w:hAnsi="宋体" w:eastAsia="宋体" w:cs="宋体"/>
                <w:color w:val="auto"/>
                <w:kern w:val="0"/>
                <w:sz w:val="21"/>
                <w:szCs w:val="21"/>
                <w:lang w:eastAsia="zh-CN"/>
              </w:rPr>
              <w:t>询价评审小组</w:t>
            </w:r>
            <w:r>
              <w:rPr>
                <w:rFonts w:hint="eastAsia" w:ascii="宋体" w:hAnsi="宋体" w:eastAsia="宋体" w:cs="宋体"/>
                <w:color w:val="auto"/>
                <w:kern w:val="0"/>
                <w:sz w:val="21"/>
                <w:szCs w:val="21"/>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有关本项目实施所需的所有费用（含税费）均计入报价。</w:t>
            </w:r>
            <w:r>
              <w:rPr>
                <w:rFonts w:hint="eastAsia" w:ascii="宋体" w:hAnsi="宋体" w:eastAsia="宋体" w:cs="宋体"/>
                <w:color w:val="auto"/>
                <w:sz w:val="21"/>
                <w:szCs w:val="21"/>
                <w:lang w:val="zh-CN"/>
              </w:rPr>
              <w:t>响应报价函</w:t>
            </w:r>
            <w:r>
              <w:rPr>
                <w:rFonts w:hint="eastAsia" w:ascii="宋体" w:hAnsi="宋体" w:eastAsia="宋体" w:cs="宋体"/>
                <w:color w:val="auto"/>
                <w:sz w:val="21"/>
                <w:szCs w:val="21"/>
              </w:rPr>
              <w:t>是报价的唯一载体</w:t>
            </w:r>
            <w:r>
              <w:rPr>
                <w:rFonts w:hint="eastAsia" w:ascii="宋体" w:hAnsi="宋体" w:eastAsia="宋体" w:cs="宋体"/>
                <w:b/>
                <w:bCs/>
                <w:color w:val="auto"/>
                <w:sz w:val="21"/>
                <w:szCs w:val="21"/>
              </w:rPr>
              <w:t>，如供应商填写的报价</w:t>
            </w:r>
            <w:r>
              <w:rPr>
                <w:rFonts w:hint="eastAsia" w:ascii="宋体" w:hAnsi="宋体" w:eastAsia="宋体" w:cs="宋体"/>
                <w:b/>
                <w:bCs/>
                <w:color w:val="auto"/>
                <w:sz w:val="21"/>
                <w:szCs w:val="21"/>
                <w:lang w:eastAsia="zh-CN"/>
              </w:rPr>
              <w:t>函</w:t>
            </w:r>
            <w:r>
              <w:rPr>
                <w:rFonts w:hint="eastAsia" w:ascii="宋体" w:hAnsi="宋体" w:eastAsia="宋体" w:cs="宋体"/>
                <w:b/>
                <w:bCs/>
                <w:color w:val="auto"/>
                <w:sz w:val="21"/>
                <w:szCs w:val="21"/>
              </w:rPr>
              <w:t>与响应文件中</w:t>
            </w:r>
            <w:r>
              <w:rPr>
                <w:rFonts w:hint="eastAsia" w:ascii="宋体" w:hAnsi="宋体" w:eastAsia="宋体" w:cs="宋体"/>
                <w:b/>
                <w:bCs/>
                <w:color w:val="auto"/>
                <w:sz w:val="21"/>
                <w:szCs w:val="21"/>
                <w:lang w:val="zh-CN"/>
              </w:rPr>
              <w:t>响应报价明细表</w:t>
            </w:r>
            <w:r>
              <w:rPr>
                <w:rFonts w:hint="eastAsia" w:ascii="宋体" w:hAnsi="宋体" w:eastAsia="宋体" w:cs="宋体"/>
                <w:b/>
                <w:bCs/>
                <w:color w:val="auto"/>
                <w:sz w:val="21"/>
                <w:szCs w:val="21"/>
              </w:rPr>
              <w:t>不一致的，以</w:t>
            </w:r>
            <w:r>
              <w:rPr>
                <w:rFonts w:hint="eastAsia" w:ascii="宋体" w:hAnsi="宋体" w:eastAsia="宋体" w:cs="宋体"/>
                <w:b/>
                <w:bCs/>
                <w:color w:val="auto"/>
                <w:sz w:val="21"/>
                <w:szCs w:val="21"/>
                <w:lang w:val="zh-CN"/>
              </w:rPr>
              <w:t>响应报价函</w:t>
            </w:r>
            <w:r>
              <w:rPr>
                <w:rFonts w:hint="eastAsia" w:ascii="宋体" w:hAnsi="宋体" w:eastAsia="宋体" w:cs="宋体"/>
                <w:b/>
                <w:bCs/>
                <w:color w:val="auto"/>
                <w:sz w:val="21"/>
                <w:szCs w:val="21"/>
              </w:rPr>
              <w:t>为准。</w:t>
            </w:r>
            <w:r>
              <w:rPr>
                <w:rFonts w:hint="eastAsia" w:ascii="宋体" w:hAnsi="宋体" w:eastAsia="宋体" w:cs="宋体"/>
                <w:color w:val="auto"/>
                <w:kern w:val="0"/>
                <w:sz w:val="21"/>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color w:val="auto"/>
              </w:rPr>
            </w:pPr>
            <w:r>
              <w:rPr>
                <w:rFonts w:hint="eastAsia" w:ascii="宋体" w:hAnsi="宋体" w:eastAsia="宋体" w:cs="宋体"/>
                <w:b/>
                <w:color w:val="auto"/>
                <w:kern w:val="0"/>
                <w:sz w:val="21"/>
                <w:szCs w:val="21"/>
                <w:lang w:val="zh-CN"/>
              </w:rPr>
              <w:t>响应无效情形，详见</w:t>
            </w:r>
            <w:r>
              <w:rPr>
                <w:rFonts w:hint="eastAsia"/>
                <w:color w:val="auto"/>
                <w:lang w:eastAsia="zh-CN"/>
              </w:rPr>
              <w:t>“第四部分 《评审方法》</w:t>
            </w:r>
            <w:r>
              <w:rPr>
                <w:rFonts w:hint="eastAsia"/>
                <w:color w:val="auto"/>
              </w:rPr>
              <w:t>”</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评</w:t>
            </w:r>
            <w:r>
              <w:rPr>
                <w:rFonts w:hint="eastAsia" w:ascii="宋体" w:hAnsi="宋体" w:cs="宋体"/>
                <w:b/>
                <w:bCs w:val="0"/>
                <w:snapToGrid w:val="0"/>
                <w:color w:val="auto"/>
                <w:kern w:val="0"/>
                <w:szCs w:val="21"/>
                <w:lang w:eastAsia="zh-CN"/>
              </w:rPr>
              <w:t>审方</w:t>
            </w:r>
            <w:r>
              <w:rPr>
                <w:rFonts w:hint="eastAsia" w:ascii="宋体" w:hAnsi="宋体" w:cs="宋体"/>
                <w:b/>
                <w:bCs w:val="0"/>
                <w:snapToGrid w:val="0"/>
                <w:color w:val="auto"/>
                <w:kern w:val="0"/>
                <w:szCs w:val="21"/>
              </w:rPr>
              <w:t>法</w:t>
            </w:r>
          </w:p>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val="0"/>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rPr>
              <w:t>综合评分法。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FE"/>
            </w:r>
            <w:r>
              <w:rPr>
                <w:rFonts w:hint="eastAsia" w:ascii="宋体" w:hAnsi="宋体" w:cs="宋体"/>
                <w:b w:val="0"/>
                <w:bCs w:val="0"/>
                <w:color w:val="auto"/>
                <w:kern w:val="2"/>
                <w:sz w:val="21"/>
                <w:szCs w:val="24"/>
                <w:lang w:val="en-US"/>
              </w:rPr>
              <w:t>经评审后最低投标价法。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eastAsia="zh-CN"/>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eastAsia="zh-CN"/>
              </w:rPr>
              <w:t>其他。</w:t>
            </w:r>
          </w:p>
          <w:p>
            <w:pPr>
              <w:pStyle w:val="20"/>
              <w:snapToGrid w:val="0"/>
              <w:spacing w:after="0" w:line="400" w:lineRule="exact"/>
              <w:ind w:left="0" w:leftChars="0" w:firstLine="0" w:firstLineChars="0"/>
              <w:jc w:val="left"/>
              <w:rPr>
                <w:rFonts w:hint="eastAsia" w:ascii="宋体" w:hAnsi="宋体" w:eastAsia="宋体" w:cs="宋体"/>
                <w:b/>
                <w:color w:val="auto"/>
                <w:kern w:val="0"/>
                <w:sz w:val="21"/>
                <w:szCs w:val="21"/>
              </w:rPr>
            </w:pPr>
            <w:r>
              <w:rPr>
                <w:rFonts w:hint="eastAsia" w:ascii="宋体" w:hAnsi="宋体" w:cs="宋体"/>
                <w:b w:val="0"/>
                <w:bCs w:val="0"/>
                <w:color w:val="auto"/>
                <w:kern w:val="2"/>
                <w:sz w:val="21"/>
                <w:szCs w:val="24"/>
                <w:lang w:val="en-US"/>
              </w:rPr>
              <w:t>详见</w:t>
            </w:r>
            <w:r>
              <w:rPr>
                <w:rFonts w:hint="eastAsia" w:ascii="宋体" w:hAnsi="宋体" w:cs="宋体"/>
                <w:b w:val="0"/>
                <w:bCs w:val="0"/>
                <w:color w:val="auto"/>
                <w:kern w:val="2"/>
                <w:sz w:val="21"/>
                <w:szCs w:val="24"/>
                <w:lang w:val="en-US" w:eastAsia="zh-CN"/>
              </w:rPr>
              <w:t>询价采购文件“第四部分 《评审方法》</w:t>
            </w:r>
            <w:r>
              <w:rPr>
                <w:rFonts w:hint="eastAsia" w:ascii="宋体" w:hAnsi="宋体" w:cs="宋体"/>
                <w:b w:val="0"/>
                <w:bCs w:val="0"/>
                <w:color w:val="auto"/>
                <w:kern w:val="2"/>
                <w:sz w:val="21"/>
                <w:szCs w:val="24"/>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履约保证金金额：</w:t>
            </w:r>
            <w:r>
              <w:rPr>
                <w:rFonts w:hint="eastAsia" w:ascii="宋体" w:hAnsi="宋体" w:cs="宋体"/>
                <w:color w:val="auto"/>
                <w:kern w:val="2"/>
                <w:sz w:val="21"/>
                <w:szCs w:val="24"/>
                <w:lang w:val="en-US"/>
              </w:rPr>
              <w:t>约合同价的</w:t>
            </w:r>
            <w:r>
              <w:rPr>
                <w:rFonts w:ascii="宋体" w:hAnsi="宋体" w:cs="宋体"/>
                <w:color w:val="auto"/>
                <w:kern w:val="2"/>
                <w:sz w:val="21"/>
                <w:szCs w:val="24"/>
                <w:lang w:val="en-US"/>
              </w:rPr>
              <w:t>5</w:t>
            </w:r>
            <w:r>
              <w:rPr>
                <w:rFonts w:hint="eastAsia" w:ascii="宋体" w:hAnsi="宋体" w:cs="宋体"/>
                <w:color w:val="auto"/>
                <w:kern w:val="2"/>
                <w:sz w:val="21"/>
                <w:szCs w:val="24"/>
                <w:lang w:val="en-US"/>
              </w:rPr>
              <w:t>%</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履约保证金缴纳形式：电汇/转账</w:t>
            </w:r>
          </w:p>
          <w:p>
            <w:pPr>
              <w:pStyle w:val="20"/>
              <w:snapToGrid w:val="0"/>
              <w:spacing w:after="0" w:line="400" w:lineRule="exact"/>
              <w:ind w:left="0" w:leftChars="0" w:firstLine="0" w:firstLineChars="0"/>
              <w:jc w:val="left"/>
              <w:rPr>
                <w:rFonts w:hint="default" w:ascii="宋体" w:hAnsi="宋体" w:cs="宋体" w:eastAsiaTheme="minorEastAsia"/>
                <w:b w:val="0"/>
                <w:bCs w:val="0"/>
                <w:color w:val="auto"/>
                <w:kern w:val="2"/>
                <w:sz w:val="21"/>
                <w:szCs w:val="24"/>
                <w:lang w:val="en-US" w:eastAsia="zh-CN"/>
              </w:rPr>
            </w:pPr>
            <w:r>
              <w:rPr>
                <w:rFonts w:hint="eastAsia" w:ascii="宋体" w:hAnsi="宋体" w:cs="宋体"/>
                <w:b w:val="0"/>
                <w:bCs w:val="0"/>
                <w:color w:val="auto"/>
                <w:kern w:val="2"/>
                <w:sz w:val="21"/>
                <w:szCs w:val="24"/>
                <w:lang w:val="en-US"/>
              </w:rPr>
              <w:t>履约保证金缴纳时间：中标通知书领取之后，合同签订</w:t>
            </w:r>
            <w:r>
              <w:rPr>
                <w:rFonts w:hint="eastAsia" w:ascii="宋体" w:hAnsi="宋体" w:cs="宋体"/>
                <w:b w:val="0"/>
                <w:bCs w:val="0"/>
                <w:color w:val="auto"/>
                <w:kern w:val="2"/>
                <w:sz w:val="21"/>
                <w:szCs w:val="24"/>
                <w:lang w:val="en-US" w:eastAsia="zh-CN"/>
              </w:rPr>
              <w:t>后10日内</w:t>
            </w:r>
          </w:p>
          <w:p>
            <w:pPr>
              <w:pStyle w:val="20"/>
              <w:snapToGrid w:val="0"/>
              <w:spacing w:after="0" w:line="400" w:lineRule="exact"/>
              <w:ind w:left="0" w:leftChars="0" w:firstLine="0" w:firstLineChars="0"/>
              <w:jc w:val="left"/>
              <w:rPr>
                <w:rFonts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履约保证金接收人：杭州临江环境能源有限公司</w:t>
            </w:r>
          </w:p>
          <w:p>
            <w:pPr>
              <w:pStyle w:val="20"/>
              <w:snapToGrid w:val="0"/>
              <w:spacing w:after="0" w:line="400" w:lineRule="exact"/>
              <w:ind w:left="0" w:leftChars="0" w:firstLine="0" w:firstLineChars="0"/>
              <w:jc w:val="left"/>
              <w:rPr>
                <w:rFonts w:ascii="宋体" w:hAnsi="宋体" w:cs="宋体"/>
                <w:color w:val="auto"/>
              </w:rPr>
            </w:pPr>
            <w:r>
              <w:rPr>
                <w:rFonts w:hint="eastAsia" w:ascii="宋体" w:hAnsi="宋体" w:cs="宋体"/>
                <w:b w:val="0"/>
                <w:bCs w:val="0"/>
                <w:color w:val="auto"/>
                <w:kern w:val="2"/>
                <w:sz w:val="21"/>
                <w:szCs w:val="24"/>
                <w:lang w:val="en-US"/>
              </w:rPr>
              <w:t>履约保证金有效期限：履约保证金将在本项目合同到期或终止后，扣除中标人应承担的违约金、损失赔偿金等款项后经中标人申请</w:t>
            </w:r>
            <w:r>
              <w:rPr>
                <w:rFonts w:hint="default" w:ascii="宋体" w:hAnsi="宋体" w:cs="宋体"/>
                <w:b w:val="0"/>
                <w:bCs w:val="0"/>
                <w:color w:val="auto"/>
                <w:kern w:val="2"/>
                <w:sz w:val="21"/>
                <w:szCs w:val="24"/>
                <w:lang w:val="en-US"/>
              </w:rPr>
              <w:t>30</w:t>
            </w:r>
            <w:r>
              <w:rPr>
                <w:rFonts w:hint="eastAsia" w:ascii="宋体" w:hAnsi="宋体" w:cs="宋体"/>
                <w:b w:val="0"/>
                <w:bCs w:val="0"/>
                <w:color w:val="auto"/>
                <w:kern w:val="2"/>
                <w:sz w:val="21"/>
                <w:szCs w:val="24"/>
                <w:lang w:val="en-US" w:eastAsia="zh-CN"/>
              </w:rPr>
              <w:t>个工作日</w:t>
            </w:r>
            <w:r>
              <w:rPr>
                <w:rFonts w:hint="eastAsia" w:ascii="宋体" w:hAnsi="宋体" w:cs="宋体"/>
                <w:b w:val="0"/>
                <w:bCs w:val="0"/>
                <w:color w:val="auto"/>
                <w:kern w:val="2"/>
                <w:sz w:val="21"/>
                <w:szCs w:val="24"/>
                <w:lang w:val="en-US"/>
              </w:rPr>
              <w:t>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是否分册装订：</w:t>
            </w:r>
          </w:p>
          <w:p>
            <w:pPr>
              <w:pStyle w:val="18"/>
              <w:snapToGrid w:val="0"/>
              <w:spacing w:line="400" w:lineRule="exact"/>
              <w:ind w:right="42" w:rightChars="20"/>
              <w:jc w:val="both"/>
              <w:rPr>
                <w:rFonts w:hint="eastAsia"/>
                <w:snapToGrid w:val="0"/>
                <w:color w:val="auto"/>
                <w:sz w:val="21"/>
                <w:szCs w:val="21"/>
                <w:lang w:eastAsia="zh-CN"/>
              </w:rPr>
            </w:pPr>
            <w:r>
              <w:rPr>
                <w:rFonts w:hint="eastAsia"/>
                <w:color w:val="auto"/>
                <w:szCs w:val="21"/>
                <w:lang w:bidi="ar"/>
              </w:rPr>
              <w:sym w:font="Wingdings" w:char="00FE"/>
            </w:r>
            <w:r>
              <w:rPr>
                <w:rFonts w:hint="eastAsia"/>
                <w:snapToGrid w:val="0"/>
                <w:color w:val="auto"/>
                <w:sz w:val="21"/>
                <w:szCs w:val="21"/>
                <w:lang w:eastAsia="zh-CN"/>
              </w:rPr>
              <w:t>不分册装订；</w:t>
            </w:r>
          </w:p>
          <w:p>
            <w:pPr>
              <w:pStyle w:val="18"/>
              <w:snapToGrid w:val="0"/>
              <w:spacing w:line="400" w:lineRule="exact"/>
              <w:ind w:right="42" w:rightChars="20"/>
              <w:jc w:val="both"/>
              <w:rPr>
                <w:snapToGrid w:val="0"/>
                <w:color w:val="auto"/>
                <w:sz w:val="21"/>
                <w:szCs w:val="21"/>
                <w:u w:val="single"/>
                <w:lang w:eastAsia="zh-CN"/>
              </w:rPr>
            </w:pPr>
            <w:r>
              <w:rPr>
                <w:rFonts w:hint="eastAsia"/>
                <w:snapToGrid w:val="0"/>
                <w:color w:val="auto"/>
                <w:szCs w:val="21"/>
                <w:lang w:eastAsia="zh-CN"/>
              </w:rPr>
              <w:t>□</w:t>
            </w:r>
            <w:r>
              <w:rPr>
                <w:rFonts w:hint="eastAsia"/>
                <w:snapToGrid w:val="0"/>
                <w:color w:val="auto"/>
                <w:sz w:val="21"/>
                <w:szCs w:val="21"/>
                <w:lang w:eastAsia="zh-CN"/>
              </w:rPr>
              <w:t>分册装订。</w:t>
            </w:r>
          </w:p>
          <w:p>
            <w:pPr>
              <w:pStyle w:val="18"/>
              <w:snapToGrid w:val="0"/>
              <w:spacing w:line="400" w:lineRule="exact"/>
              <w:ind w:right="42" w:rightChars="20"/>
              <w:jc w:val="both"/>
              <w:rPr>
                <w:rFonts w:hint="eastAsia" w:ascii="宋体" w:hAnsi="宋体" w:cs="宋体"/>
                <w:b w:val="0"/>
                <w:bCs w:val="0"/>
                <w:color w:val="auto"/>
                <w:kern w:val="2"/>
                <w:sz w:val="21"/>
                <w:szCs w:val="24"/>
                <w:lang w:val="en-US"/>
              </w:rPr>
            </w:pPr>
            <w:r>
              <w:rPr>
                <w:rFonts w:hint="eastAsia"/>
                <w:snapToGrid w:val="0"/>
                <w:color w:val="auto"/>
                <w:sz w:val="21"/>
                <w:szCs w:val="21"/>
                <w:lang w:eastAsia="zh-CN"/>
              </w:rPr>
              <w:t>装订要求：</w:t>
            </w:r>
            <w:r>
              <w:rPr>
                <w:rFonts w:hint="eastAsia"/>
                <w:b/>
                <w:bCs/>
                <w:snapToGrid w:val="0"/>
                <w:color w:val="auto"/>
                <w:sz w:val="21"/>
                <w:szCs w:val="21"/>
                <w:lang w:eastAsia="zh-CN"/>
              </w:rPr>
              <w:t>正本1份，副本</w:t>
            </w:r>
            <w:r>
              <w:rPr>
                <w:rFonts w:hint="eastAsia"/>
                <w:b/>
                <w:bCs/>
                <w:snapToGrid w:val="0"/>
                <w:color w:val="auto"/>
                <w:sz w:val="21"/>
                <w:szCs w:val="21"/>
                <w:lang w:val="en-US" w:eastAsia="zh-CN"/>
              </w:rPr>
              <w:t>2</w:t>
            </w:r>
            <w:r>
              <w:rPr>
                <w:rFonts w:hint="eastAsia"/>
                <w:b/>
                <w:bCs/>
                <w:snapToGrid w:val="0"/>
                <w:color w:val="auto"/>
                <w:sz w:val="21"/>
                <w:szCs w:val="21"/>
                <w:lang w:eastAsia="zh-CN"/>
              </w:rPr>
              <w:t>份；</w:t>
            </w:r>
            <w:r>
              <w:rPr>
                <w:rFonts w:hint="eastAsia"/>
                <w:snapToGrid w:val="0"/>
                <w:color w:val="auto"/>
                <w:sz w:val="21"/>
                <w:szCs w:val="21"/>
                <w:lang w:eastAsia="zh-CN"/>
              </w:rPr>
              <w:t>A4幅面，单面或</w:t>
            </w:r>
            <w:r>
              <w:rPr>
                <w:rFonts w:hint="eastAsia"/>
                <w:b/>
                <w:bCs/>
                <w:snapToGrid w:val="0"/>
                <w:color w:val="auto"/>
                <w:sz w:val="21"/>
                <w:szCs w:val="21"/>
                <w:lang w:eastAsia="zh-CN"/>
              </w:rPr>
              <w:t>双面</w:t>
            </w:r>
            <w:r>
              <w:rPr>
                <w:rFonts w:hint="eastAsia"/>
                <w:snapToGrid w:val="0"/>
                <w:color w:val="auto"/>
                <w:sz w:val="21"/>
                <w:szCs w:val="21"/>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snapToGrid w:val="0"/>
                <w:color w:val="auto"/>
                <w:kern w:val="0"/>
                <w:szCs w:val="21"/>
                <w:lang w:eastAsia="zh-CN"/>
              </w:rPr>
            </w:pPr>
            <w:r>
              <w:rPr>
                <w:rFonts w:hint="eastAsia" w:ascii="宋体" w:hAnsi="宋体" w:cs="宋体"/>
                <w:b/>
                <w:bCs/>
                <w:snapToGrid w:val="0"/>
                <w:color w:val="auto"/>
                <w:kern w:val="0"/>
                <w:szCs w:val="21"/>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3"/>
        <w:rPr>
          <w:rFonts w:hint="eastAsia" w:cs="仿宋" w:asciiTheme="minorEastAsia" w:hAnsiTheme="minorEastAsia"/>
          <w:b/>
          <w:color w:val="auto"/>
          <w:sz w:val="32"/>
          <w:szCs w:val="20"/>
        </w:rPr>
      </w:pPr>
    </w:p>
    <w:p>
      <w:pPr>
        <w:pStyle w:val="3"/>
        <w:rPr>
          <w:rFonts w:hint="eastAsia" w:cs="仿宋" w:asciiTheme="minorEastAsia" w:hAnsiTheme="minorEastAsia"/>
          <w:b/>
          <w:color w:val="auto"/>
          <w:sz w:val="32"/>
          <w:szCs w:val="20"/>
        </w:rPr>
      </w:pPr>
    </w:p>
    <w:p>
      <w:pPr>
        <w:pStyle w:val="3"/>
        <w:rPr>
          <w:rFonts w:hint="eastAsia" w:cs="仿宋" w:asciiTheme="minorEastAsia" w:hAnsiTheme="minorEastAsia"/>
          <w:b/>
          <w:color w:val="auto"/>
          <w:sz w:val="32"/>
          <w:szCs w:val="20"/>
        </w:rPr>
      </w:pPr>
    </w:p>
    <w:p>
      <w:pPr>
        <w:pStyle w:val="2"/>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3"/>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9"/>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8"/>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rPr>
      </w:pPr>
    </w:p>
    <w:p>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.3信用信息的使用规则：经查询列入失信被执行人名单、重大税收违法案件当事人名单、政府采购严重违法失信行为记录名单的供应商将被拒绝参与</w:t>
      </w:r>
      <w:r>
        <w:rPr>
          <w:rFonts w:hint="eastAsia" w:cs="仿宋" w:asciiTheme="minorEastAsia" w:hAnsiTheme="minorEastAsia"/>
          <w:color w:val="auto"/>
          <w:kern w:val="0"/>
          <w:szCs w:val="24"/>
          <w:lang w:eastAsia="zh-CN"/>
        </w:rPr>
        <w:t>杭州临江环境能源有限公司</w:t>
      </w:r>
      <w:r>
        <w:rPr>
          <w:rFonts w:hint="eastAsia" w:cs="仿宋" w:asciiTheme="minorEastAsia" w:hAnsiTheme="minorEastAsia"/>
          <w:color w:val="auto"/>
          <w:kern w:val="0"/>
          <w:szCs w:val="24"/>
        </w:rPr>
        <w:t>采购活动。</w:t>
      </w:r>
    </w:p>
    <w:p>
      <w:pPr>
        <w:pStyle w:val="21"/>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8"/>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3"/>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eastAsia="zh-CN"/>
        </w:rPr>
        <w:t>供应商的询价保证金将在采购人与中标人签订合同后全额退还。退保证金前，供应商必须提供加盖公章或财务专用章的收款收据</w:t>
      </w:r>
      <w:r>
        <w:rPr>
          <w:rFonts w:hint="eastAsia" w:cs="仿宋" w:asciiTheme="minorEastAsia" w:hAnsiTheme="minorEastAsia"/>
          <w:b/>
          <w:bCs/>
          <w:color w:val="auto"/>
          <w:sz w:val="24"/>
          <w:szCs w:val="20"/>
          <w:lang w:eastAsia="zh-CN"/>
        </w:rPr>
        <w:t>（格式自理）</w:t>
      </w:r>
      <w:r>
        <w:rPr>
          <w:rFonts w:hint="eastAsia" w:cs="仿宋" w:asciiTheme="minorEastAsia" w:hAnsiTheme="minorEastAsia"/>
          <w:color w:val="auto"/>
          <w:sz w:val="24"/>
          <w:szCs w:val="20"/>
          <w:lang w:eastAsia="zh-CN"/>
        </w:rPr>
        <w:t>。</w:t>
      </w:r>
      <w:r>
        <w:rPr>
          <w:rFonts w:hint="eastAsia" w:cs="仿宋" w:asciiTheme="minorEastAsia" w:hAnsiTheme="minorEastAsia"/>
          <w:color w:val="auto"/>
          <w:sz w:val="24"/>
          <w:szCs w:val="20"/>
          <w:lang w:val="en-US" w:eastAsia="zh-CN"/>
        </w:rPr>
        <w:t xml:space="preserve">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8"/>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3"/>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color w:val="auto"/>
          <w:sz w:val="24"/>
          <w:highlight w:val="yellow"/>
          <w:lang w:val="en-US" w:eastAsia="zh-CN"/>
        </w:rPr>
      </w:pPr>
      <w:r>
        <w:rPr>
          <w:rFonts w:hint="eastAsia" w:hAnsi="宋体" w:cs="宋体"/>
          <w:bCs/>
          <w:color w:val="auto"/>
          <w:sz w:val="24"/>
          <w:highlight w:val="none"/>
          <w:lang w:val="en-US" w:eastAsia="zh-CN"/>
        </w:rPr>
        <w:t>为排查临江公司厂区地下水环境质量，掌握地下水污染物的变化规律，加强对厂区重点防渗区地下水质量监测备案工作，需在能源、三固事业部厂区内新增14个地下水监测井（永久井）并进行采样检测。</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color w:val="auto"/>
          <w:sz w:val="24"/>
          <w:highlight w:val="none"/>
          <w:lang w:val="en-US" w:eastAsia="zh-CN"/>
        </w:rPr>
      </w:pPr>
      <w:r>
        <w:rPr>
          <w:rFonts w:hint="eastAsia" w:hAnsi="宋体" w:cs="宋体" w:asciiTheme="minorHAnsi" w:eastAsiaTheme="minorEastAsia"/>
          <w:bCs/>
          <w:snapToGrid/>
          <w:color w:val="auto"/>
          <w:kern w:val="2"/>
          <w:sz w:val="24"/>
          <w:szCs w:val="24"/>
          <w:highlight w:val="none"/>
          <w:lang w:val="en-US" w:eastAsia="zh-CN" w:bidi="ar-SA"/>
        </w:rPr>
        <w:t>采样检测项目：pH、氨氮、硝酸盐、亚硝酸盐、挥发性酚类、氰化物、耗氧量、铁、锰、镍、锌、铜、镉、铅、汞、砷、锑、锡、六价铬、氟化物、溶解性总固体、总硬度、氯化物、硫酸盐、细菌总数、总大肠菌群</w:t>
      </w:r>
      <w:r>
        <w:rPr>
          <w:rFonts w:hint="eastAsia" w:hAnsi="宋体" w:cs="宋体" w:asciiTheme="minorHAnsi"/>
          <w:bCs/>
          <w:snapToGrid/>
          <w:color w:val="auto"/>
          <w:kern w:val="2"/>
          <w:sz w:val="24"/>
          <w:szCs w:val="24"/>
          <w:highlight w:val="none"/>
          <w:lang w:val="en-US" w:eastAsia="zh-CN" w:bidi="ar-SA"/>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能源事业部：本次主要包括地下水监测共布置9个地下水监测点，每个点位建井尺寸为DN200、深度为12米，并各取1个样品进行实验室分析出具报告。</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hAnsi="宋体" w:cs="宋体"/>
          <w:bCs/>
          <w:color w:val="auto"/>
          <w:sz w:val="24"/>
          <w:highlight w:val="none"/>
          <w:lang w:val="en-US" w:eastAsia="zh-CN"/>
        </w:rPr>
        <w:t>三固事业部：本次主要包括地下水监测共布置5个地下水监测点，每个点位建井尺寸为DN100、深度为12米，并各取1个样品进行实验室分析出具报告。</w:t>
      </w:r>
    </w:p>
    <w:p>
      <w:pPr>
        <w:pStyle w:val="3"/>
        <w:numPr>
          <w:ilvl w:val="0"/>
          <w:numId w:val="0"/>
        </w:numPr>
        <w:ind w:firstLine="482" w:firstLineChars="200"/>
        <w:rPr>
          <w:rFonts w:hint="default"/>
          <w:color w:val="auto"/>
          <w:lang w:val="en-US" w:eastAsia="zh-CN"/>
        </w:rPr>
      </w:pPr>
      <w:r>
        <w:rPr>
          <w:rFonts w:hint="eastAsia"/>
          <w:b/>
          <w:bCs/>
          <w:color w:val="auto"/>
          <w:lang w:val="en-US" w:eastAsia="zh-CN"/>
        </w:rPr>
        <w:t>二、合同期限</w:t>
      </w:r>
      <w:r>
        <w:rPr>
          <w:rFonts w:hint="eastAsia"/>
          <w:color w:val="auto"/>
          <w:lang w:val="en-US" w:eastAsia="zh-CN"/>
        </w:rPr>
        <w:t>：</w:t>
      </w:r>
      <w:r>
        <w:rPr>
          <w:rFonts w:hint="eastAsia" w:cs="仿宋" w:asciiTheme="minorEastAsia" w:hAnsiTheme="minorEastAsia"/>
          <w:color w:val="auto"/>
          <w:sz w:val="24"/>
          <w:u w:val="none"/>
          <w:lang w:val="en-US" w:eastAsia="zh-CN"/>
        </w:rPr>
        <w:t>合同签订起至完成地下水建井并采样分析出具报告为止</w:t>
      </w:r>
      <w:r>
        <w:rPr>
          <w:rFonts w:hint="eastAsia"/>
          <w:color w:val="auto"/>
          <w:lang w:val="en-US" w:eastAsia="zh-CN"/>
        </w:rPr>
        <w:t>。</w:t>
      </w:r>
    </w:p>
    <w:p>
      <w:pPr>
        <w:pStyle w:val="3"/>
        <w:numPr>
          <w:ilvl w:val="0"/>
          <w:numId w:val="0"/>
        </w:numPr>
        <w:ind w:firstLine="482" w:firstLineChars="200"/>
        <w:rPr>
          <w:rFonts w:hint="eastAsia"/>
          <w:b/>
          <w:bCs/>
          <w:color w:val="auto"/>
          <w:lang w:val="en-US" w:eastAsia="zh-CN"/>
        </w:rPr>
      </w:pPr>
      <w:r>
        <w:rPr>
          <w:rFonts w:hint="eastAsia"/>
          <w:b/>
          <w:bCs/>
          <w:color w:val="auto"/>
          <w:lang w:val="en-US" w:eastAsia="zh-CN"/>
        </w:rPr>
        <w:t>三、服务要求</w:t>
      </w:r>
    </w:p>
    <w:p>
      <w:pPr>
        <w:pStyle w:val="3"/>
        <w:numPr>
          <w:ilvl w:val="0"/>
          <w:numId w:val="0"/>
        </w:numPr>
        <w:ind w:firstLine="480" w:firstLineChars="200"/>
        <w:rPr>
          <w:rFonts w:hint="eastAsia"/>
          <w:color w:val="auto"/>
          <w:lang w:val="en-US" w:eastAsia="zh-CN"/>
        </w:rPr>
      </w:pPr>
      <w:r>
        <w:rPr>
          <w:rFonts w:hint="eastAsia"/>
          <w:color w:val="auto"/>
          <w:lang w:val="en-US" w:eastAsia="zh-CN"/>
        </w:rPr>
        <w:t>1.供应商根据采购人指定时间和地点按规范要求进行打井、采样、检测，并出具合规的正式检测报告。</w:t>
      </w:r>
    </w:p>
    <w:p>
      <w:pPr>
        <w:pStyle w:val="3"/>
        <w:numPr>
          <w:ilvl w:val="0"/>
          <w:numId w:val="0"/>
        </w:numPr>
        <w:ind w:firstLine="480" w:firstLineChars="200"/>
        <w:rPr>
          <w:rFonts w:hint="default" w:ascii="宋体"/>
          <w:color w:val="auto"/>
          <w:lang w:val="en-US" w:eastAsia="zh-CN"/>
        </w:rPr>
      </w:pPr>
      <w:r>
        <w:rPr>
          <w:rFonts w:hint="eastAsia"/>
          <w:color w:val="auto"/>
          <w:lang w:val="en-US" w:eastAsia="zh-CN"/>
        </w:rPr>
        <w:t>2.对14个地下水监测点进行一次采样检测，每个监测点出具一份检测报告。</w:t>
      </w:r>
    </w:p>
    <w:p>
      <w:pPr>
        <w:pStyle w:val="3"/>
        <w:numPr>
          <w:ilvl w:val="0"/>
          <w:numId w:val="0"/>
        </w:numPr>
        <w:ind w:firstLine="480" w:firstLineChars="200"/>
        <w:rPr>
          <w:rFonts w:hint="eastAsia" w:ascii="宋体"/>
          <w:color w:val="auto"/>
          <w:lang w:val="en-US" w:eastAsia="zh-CN"/>
        </w:rPr>
      </w:pPr>
      <w:r>
        <w:rPr>
          <w:rFonts w:hint="eastAsia"/>
          <w:color w:val="auto"/>
          <w:lang w:val="en-US" w:eastAsia="zh-CN"/>
        </w:rPr>
        <w:t>3</w:t>
      </w:r>
      <w:r>
        <w:rPr>
          <w:rFonts w:hint="eastAsia" w:ascii="宋体"/>
          <w:color w:val="auto"/>
          <w:lang w:val="en-US" w:eastAsia="zh-CN"/>
        </w:rPr>
        <w:t>.采样后应在7个工作日内提供相应数据经双方确认无误后3个工作日内出具正式电子报告,正式电子报告出具后及时将盖有CMA章的纸质检测报告送达至采购人公司地址。</w:t>
      </w:r>
    </w:p>
    <w:p>
      <w:pPr>
        <w:pStyle w:val="3"/>
        <w:numPr>
          <w:ilvl w:val="0"/>
          <w:numId w:val="0"/>
        </w:numPr>
        <w:ind w:firstLine="482" w:firstLineChars="200"/>
        <w:rPr>
          <w:rFonts w:hint="eastAsia"/>
          <w:b/>
          <w:bCs/>
          <w:color w:val="auto"/>
          <w:lang w:val="en-US" w:eastAsia="zh-CN"/>
        </w:rPr>
      </w:pP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验收方式</w:t>
      </w:r>
    </w:p>
    <w:p>
      <w:pPr>
        <w:pStyle w:val="2"/>
        <w:numPr>
          <w:ilvl w:val="0"/>
          <w:numId w:val="0"/>
        </w:numPr>
        <w:ind w:firstLine="480" w:firstLineChars="200"/>
        <w:rPr>
          <w:rFonts w:hint="eastAsia"/>
          <w:color w:val="auto"/>
          <w:lang w:val="en-US" w:eastAsia="zh-CN"/>
        </w:rPr>
      </w:pPr>
      <w:r>
        <w:rPr>
          <w:rFonts w:hint="eastAsia"/>
          <w:color w:val="auto"/>
          <w:lang w:val="en-US" w:eastAsia="zh-CN"/>
        </w:rPr>
        <w:t>1.检测井建井位置、尺寸等要求需按照采购人需求进行，并经采购人验收合格为止。</w:t>
      </w:r>
    </w:p>
    <w:p>
      <w:pPr>
        <w:pStyle w:val="2"/>
        <w:numPr>
          <w:ilvl w:val="0"/>
          <w:numId w:val="0"/>
        </w:numPr>
        <w:ind w:firstLine="480" w:firstLineChars="200"/>
        <w:rPr>
          <w:rFonts w:hint="eastAsia"/>
          <w:color w:val="auto"/>
          <w:lang w:val="en-US" w:eastAsia="zh-CN"/>
        </w:rPr>
      </w:pPr>
      <w:r>
        <w:rPr>
          <w:rFonts w:hint="eastAsia"/>
          <w:color w:val="auto"/>
          <w:lang w:val="en-US" w:eastAsia="zh-CN"/>
        </w:rPr>
        <w:t>2.提供14份纸质检测报告，检测报告经双方确认并需盖CMA章。</w:t>
      </w:r>
    </w:p>
    <w:p>
      <w:pPr>
        <w:pStyle w:val="3"/>
        <w:numPr>
          <w:ilvl w:val="0"/>
          <w:numId w:val="0"/>
        </w:numPr>
        <w:ind w:firstLine="482" w:firstLineChars="200"/>
        <w:rPr>
          <w:rFonts w:hint="eastAsia"/>
          <w:b/>
          <w:bCs/>
          <w:color w:val="auto"/>
          <w:lang w:val="en-US" w:eastAsia="zh-CN"/>
        </w:rPr>
      </w:pPr>
      <w:r>
        <w:rPr>
          <w:rFonts w:hint="eastAsia"/>
          <w:b/>
          <w:bCs/>
          <w:color w:val="auto"/>
          <w:lang w:val="en-US" w:eastAsia="zh-CN"/>
        </w:rPr>
        <w:t>五、结算方式</w:t>
      </w:r>
    </w:p>
    <w:p>
      <w:pPr>
        <w:pStyle w:val="2"/>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3"/>
        <w:numPr>
          <w:ilvl w:val="0"/>
          <w:numId w:val="0"/>
        </w:numPr>
        <w:ind w:firstLine="482" w:firstLineChars="200"/>
        <w:rPr>
          <w:rFonts w:hint="eastAsia"/>
          <w:b/>
          <w:bCs/>
          <w:color w:val="auto"/>
          <w:lang w:val="en-US" w:eastAsia="zh-CN"/>
        </w:rPr>
      </w:pPr>
      <w:r>
        <w:rPr>
          <w:rFonts w:hint="eastAsia"/>
          <w:b/>
          <w:bCs/>
          <w:color w:val="auto"/>
          <w:lang w:val="en-US" w:eastAsia="zh-CN"/>
        </w:rPr>
        <w:t>七、售后要求</w:t>
      </w:r>
    </w:p>
    <w:p>
      <w:pPr>
        <w:pStyle w:val="3"/>
        <w:numPr>
          <w:ilvl w:val="0"/>
          <w:numId w:val="0"/>
        </w:numPr>
        <w:ind w:firstLine="480" w:firstLineChars="200"/>
        <w:rPr>
          <w:rFonts w:hint="eastAsia"/>
          <w:color w:val="auto"/>
          <w:lang w:val="en-US" w:eastAsia="zh-CN"/>
        </w:rPr>
      </w:pPr>
      <w:r>
        <w:rPr>
          <w:rFonts w:hint="eastAsia"/>
          <w:color w:val="auto"/>
          <w:lang w:val="en-US" w:eastAsia="zh-CN"/>
        </w:rPr>
        <w:t>1.</w:t>
      </w:r>
      <w:r>
        <w:rPr>
          <w:rFonts w:hint="eastAsia"/>
          <w:color w:val="333333"/>
          <w:spacing w:val="12"/>
          <w:lang w:val="en-US" w:eastAsia="zh-CN"/>
        </w:rPr>
        <w:t>供应商</w:t>
      </w:r>
      <w:r>
        <w:rPr>
          <w:color w:val="333333"/>
          <w:spacing w:val="12"/>
        </w:rPr>
        <w:t>提供的所有业务技术资料、文档,有责任对第三方保密；</w:t>
      </w:r>
    </w:p>
    <w:p>
      <w:pPr>
        <w:pStyle w:val="3"/>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pPr>
        <w:pStyle w:val="12"/>
        <w:rPr>
          <w:rFonts w:hint="eastAsia"/>
          <w:color w:val="auto"/>
          <w:lang w:eastAsia="zh-CN"/>
        </w:rPr>
      </w:pPr>
    </w:p>
    <w:p>
      <w:pPr>
        <w:rPr>
          <w:rFonts w:hint="eastAsia"/>
          <w:color w:val="auto"/>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08066"/>
      <w:bookmarkEnd w:id="19"/>
      <w:bookmarkStart w:id="20" w:name="_Toc184310294"/>
      <w:bookmarkEnd w:id="20"/>
      <w:bookmarkStart w:id="21" w:name="_Toc184310296"/>
      <w:bookmarkEnd w:id="21"/>
      <w:bookmarkStart w:id="22" w:name="_Toc184313288"/>
      <w:bookmarkEnd w:id="22"/>
      <w:bookmarkStart w:id="23" w:name="_Toc184312131"/>
      <w:bookmarkEnd w:id="23"/>
      <w:bookmarkStart w:id="24" w:name="_Toc184313310"/>
      <w:bookmarkEnd w:id="24"/>
      <w:bookmarkStart w:id="25" w:name="_Toc184313299"/>
      <w:bookmarkEnd w:id="25"/>
      <w:bookmarkStart w:id="26" w:name="_Toc184314464"/>
      <w:bookmarkEnd w:id="26"/>
      <w:bookmarkStart w:id="27" w:name="_Toc184310317"/>
      <w:bookmarkEnd w:id="27"/>
      <w:bookmarkStart w:id="28" w:name="_Toc184308044"/>
      <w:bookmarkEnd w:id="28"/>
      <w:bookmarkStart w:id="29" w:name="_Toc184314434"/>
      <w:bookmarkEnd w:id="29"/>
      <w:bookmarkStart w:id="30" w:name="_Toc184310308"/>
      <w:bookmarkEnd w:id="30"/>
      <w:bookmarkStart w:id="31" w:name="_Toc184312129"/>
      <w:bookmarkEnd w:id="31"/>
      <w:bookmarkStart w:id="32" w:name="_Toc184312113"/>
      <w:bookmarkEnd w:id="32"/>
      <w:bookmarkStart w:id="33" w:name="_Toc184314476"/>
      <w:bookmarkEnd w:id="33"/>
      <w:bookmarkStart w:id="34" w:name="_Toc184314449"/>
      <w:bookmarkEnd w:id="34"/>
      <w:bookmarkStart w:id="35" w:name="_Toc184312081"/>
      <w:bookmarkEnd w:id="35"/>
      <w:bookmarkStart w:id="36" w:name="_Toc184314477"/>
      <w:bookmarkEnd w:id="36"/>
      <w:bookmarkStart w:id="37" w:name="_Toc184312079"/>
      <w:bookmarkEnd w:id="37"/>
      <w:bookmarkStart w:id="38" w:name="_Toc184313304"/>
      <w:bookmarkEnd w:id="38"/>
      <w:bookmarkStart w:id="39" w:name="_Toc184308071"/>
      <w:bookmarkEnd w:id="39"/>
      <w:bookmarkStart w:id="40" w:name="_Toc184312087"/>
      <w:bookmarkEnd w:id="40"/>
      <w:bookmarkStart w:id="41" w:name="_Toc184314424"/>
      <w:bookmarkEnd w:id="41"/>
      <w:bookmarkStart w:id="42" w:name="_Toc184310315"/>
      <w:bookmarkEnd w:id="42"/>
      <w:bookmarkStart w:id="43" w:name="_Toc184313287"/>
      <w:bookmarkEnd w:id="43"/>
      <w:bookmarkStart w:id="44" w:name="_Toc184314429"/>
      <w:bookmarkEnd w:id="44"/>
      <w:bookmarkStart w:id="45" w:name="_Toc184308065"/>
      <w:bookmarkEnd w:id="45"/>
      <w:bookmarkStart w:id="46" w:name="_Toc184314411"/>
      <w:bookmarkEnd w:id="46"/>
      <w:bookmarkStart w:id="47" w:name="_Toc184314412"/>
      <w:bookmarkEnd w:id="47"/>
      <w:bookmarkStart w:id="48" w:name="_Toc184308054"/>
      <w:bookmarkEnd w:id="48"/>
      <w:bookmarkStart w:id="49" w:name="_Toc184314463"/>
      <w:bookmarkEnd w:id="49"/>
      <w:bookmarkStart w:id="50" w:name="_Toc184308081"/>
      <w:bookmarkEnd w:id="50"/>
      <w:bookmarkStart w:id="51" w:name="_Toc184314436"/>
      <w:bookmarkEnd w:id="51"/>
      <w:bookmarkStart w:id="52" w:name="_Toc184313249"/>
      <w:bookmarkEnd w:id="52"/>
      <w:bookmarkStart w:id="53" w:name="_Toc184314440"/>
      <w:bookmarkEnd w:id="53"/>
      <w:bookmarkStart w:id="54" w:name="_Toc184314447"/>
      <w:bookmarkEnd w:id="54"/>
      <w:bookmarkStart w:id="55" w:name="_Toc184308094"/>
      <w:bookmarkEnd w:id="55"/>
      <w:bookmarkStart w:id="56" w:name="_Toc184314475"/>
      <w:bookmarkEnd w:id="56"/>
      <w:bookmarkStart w:id="57" w:name="_Toc184308041"/>
      <w:bookmarkEnd w:id="57"/>
      <w:bookmarkStart w:id="58" w:name="_Toc184310292"/>
      <w:bookmarkEnd w:id="58"/>
      <w:bookmarkStart w:id="59" w:name="_Toc184308083"/>
      <w:bookmarkEnd w:id="59"/>
      <w:bookmarkStart w:id="60" w:name="_Toc184312089"/>
      <w:bookmarkEnd w:id="60"/>
      <w:bookmarkStart w:id="61" w:name="_Toc184313297"/>
      <w:bookmarkEnd w:id="61"/>
      <w:bookmarkStart w:id="62" w:name="_Toc184314478"/>
      <w:bookmarkEnd w:id="62"/>
      <w:bookmarkStart w:id="63" w:name="_Toc184312090"/>
      <w:bookmarkEnd w:id="63"/>
      <w:bookmarkStart w:id="64" w:name="_Toc184313308"/>
      <w:bookmarkEnd w:id="64"/>
      <w:bookmarkStart w:id="65" w:name="_Toc184314461"/>
      <w:bookmarkEnd w:id="65"/>
      <w:bookmarkStart w:id="66" w:name="_Toc184313239"/>
      <w:bookmarkEnd w:id="66"/>
      <w:bookmarkStart w:id="67" w:name="_Toc184312071"/>
      <w:bookmarkEnd w:id="67"/>
      <w:bookmarkStart w:id="68" w:name="_Toc184308067"/>
      <w:bookmarkEnd w:id="68"/>
      <w:bookmarkStart w:id="69" w:name="_Toc184310280"/>
      <w:bookmarkEnd w:id="69"/>
      <w:bookmarkStart w:id="70" w:name="_Toc184312073"/>
      <w:bookmarkEnd w:id="70"/>
      <w:bookmarkStart w:id="71" w:name="_Toc184310283"/>
      <w:bookmarkEnd w:id="71"/>
      <w:bookmarkStart w:id="72" w:name="_Toc184308078"/>
      <w:bookmarkEnd w:id="72"/>
      <w:bookmarkStart w:id="73" w:name="_Toc184312112"/>
      <w:bookmarkEnd w:id="73"/>
      <w:bookmarkStart w:id="74" w:name="_Toc184312123"/>
      <w:bookmarkEnd w:id="74"/>
      <w:bookmarkStart w:id="75" w:name="_Toc184313258"/>
      <w:bookmarkEnd w:id="75"/>
      <w:bookmarkStart w:id="76" w:name="_Toc184308063"/>
      <w:bookmarkEnd w:id="76"/>
      <w:bookmarkStart w:id="77" w:name="_Toc184310289"/>
      <w:bookmarkEnd w:id="77"/>
      <w:bookmarkStart w:id="78" w:name="_Toc184308051"/>
      <w:bookmarkEnd w:id="78"/>
      <w:bookmarkStart w:id="79" w:name="_Toc184313270"/>
      <w:bookmarkEnd w:id="79"/>
      <w:bookmarkStart w:id="80" w:name="_Toc184310279"/>
      <w:bookmarkEnd w:id="80"/>
      <w:bookmarkStart w:id="81" w:name="_Toc184308049"/>
      <w:bookmarkEnd w:id="81"/>
      <w:bookmarkStart w:id="82" w:name="_Toc184314413"/>
      <w:bookmarkEnd w:id="82"/>
      <w:bookmarkStart w:id="83" w:name="_Toc184312120"/>
      <w:bookmarkEnd w:id="83"/>
      <w:bookmarkStart w:id="84" w:name="_Toc184312088"/>
      <w:bookmarkEnd w:id="84"/>
      <w:bookmarkStart w:id="85" w:name="_Toc184314418"/>
      <w:bookmarkEnd w:id="85"/>
      <w:bookmarkStart w:id="86" w:name="_Toc184314460"/>
      <w:bookmarkEnd w:id="86"/>
      <w:bookmarkStart w:id="87" w:name="_Toc184314428"/>
      <w:bookmarkEnd w:id="87"/>
      <w:bookmarkStart w:id="88" w:name="_Toc184313289"/>
      <w:bookmarkEnd w:id="88"/>
      <w:bookmarkStart w:id="89" w:name="_Toc184308080"/>
      <w:bookmarkEnd w:id="89"/>
      <w:bookmarkStart w:id="90" w:name="_Toc184312128"/>
      <w:bookmarkEnd w:id="90"/>
      <w:bookmarkStart w:id="91" w:name="_Toc184314465"/>
      <w:bookmarkEnd w:id="91"/>
      <w:bookmarkStart w:id="92" w:name="_Toc184308088"/>
      <w:bookmarkEnd w:id="92"/>
      <w:bookmarkStart w:id="93" w:name="_Toc184313256"/>
      <w:bookmarkEnd w:id="93"/>
      <w:bookmarkStart w:id="94" w:name="_Toc184312132"/>
      <w:bookmarkEnd w:id="94"/>
      <w:bookmarkStart w:id="95" w:name="_Toc184308037"/>
      <w:bookmarkEnd w:id="95"/>
      <w:bookmarkStart w:id="96" w:name="_Toc184312138"/>
      <w:bookmarkEnd w:id="96"/>
      <w:bookmarkStart w:id="97" w:name="_Toc184310297"/>
      <w:bookmarkEnd w:id="97"/>
      <w:bookmarkStart w:id="98" w:name="_Toc184310278"/>
      <w:bookmarkEnd w:id="98"/>
      <w:bookmarkStart w:id="99" w:name="_Toc184312098"/>
      <w:bookmarkEnd w:id="99"/>
      <w:bookmarkStart w:id="100" w:name="_Toc184314459"/>
      <w:bookmarkEnd w:id="100"/>
      <w:bookmarkStart w:id="101" w:name="_Toc184313272"/>
      <w:bookmarkEnd w:id="101"/>
      <w:bookmarkStart w:id="102" w:name="_Toc184313267"/>
      <w:bookmarkEnd w:id="102"/>
      <w:bookmarkStart w:id="103" w:name="_Toc184314450"/>
      <w:bookmarkEnd w:id="103"/>
      <w:bookmarkStart w:id="104" w:name="_Toc184308069"/>
      <w:bookmarkEnd w:id="104"/>
      <w:bookmarkStart w:id="105" w:name="_Toc184313281"/>
      <w:bookmarkEnd w:id="105"/>
      <w:bookmarkStart w:id="106" w:name="_Toc184308048"/>
      <w:bookmarkEnd w:id="106"/>
      <w:bookmarkStart w:id="107" w:name="_Toc184308053"/>
      <w:bookmarkEnd w:id="107"/>
      <w:bookmarkStart w:id="108" w:name="_Toc184308097"/>
      <w:bookmarkEnd w:id="108"/>
      <w:bookmarkStart w:id="109" w:name="_Toc184308108"/>
      <w:bookmarkEnd w:id="109"/>
      <w:bookmarkStart w:id="110" w:name="_Toc184310314"/>
      <w:bookmarkEnd w:id="110"/>
      <w:bookmarkStart w:id="111" w:name="_Toc184312096"/>
      <w:bookmarkEnd w:id="111"/>
      <w:bookmarkStart w:id="112" w:name="_Toc184308060"/>
      <w:bookmarkEnd w:id="112"/>
      <w:bookmarkStart w:id="113" w:name="_Toc184314414"/>
      <w:bookmarkEnd w:id="113"/>
      <w:bookmarkStart w:id="114" w:name="_Toc184308058"/>
      <w:bookmarkEnd w:id="114"/>
      <w:bookmarkStart w:id="115" w:name="_Toc184310332"/>
      <w:bookmarkEnd w:id="115"/>
      <w:bookmarkStart w:id="116" w:name="_Toc184310325"/>
      <w:bookmarkEnd w:id="116"/>
      <w:bookmarkStart w:id="117" w:name="_Toc184314457"/>
      <w:bookmarkEnd w:id="117"/>
      <w:bookmarkStart w:id="118" w:name="_Toc184310318"/>
      <w:bookmarkEnd w:id="118"/>
      <w:bookmarkStart w:id="119" w:name="_Toc184310273"/>
      <w:bookmarkEnd w:id="119"/>
      <w:bookmarkStart w:id="120" w:name="_Toc184312133"/>
      <w:bookmarkEnd w:id="120"/>
      <w:bookmarkStart w:id="121" w:name="_Toc184310326"/>
      <w:bookmarkEnd w:id="121"/>
      <w:bookmarkStart w:id="122" w:name="_Toc184308085"/>
      <w:bookmarkEnd w:id="122"/>
      <w:bookmarkStart w:id="123" w:name="_Toc184313264"/>
      <w:bookmarkEnd w:id="123"/>
      <w:bookmarkStart w:id="124" w:name="_Toc184312084"/>
      <w:bookmarkEnd w:id="124"/>
      <w:bookmarkStart w:id="125" w:name="_Toc184310299"/>
      <w:bookmarkEnd w:id="125"/>
      <w:bookmarkStart w:id="126" w:name="_Toc184312134"/>
      <w:bookmarkEnd w:id="126"/>
      <w:bookmarkStart w:id="127" w:name="_Toc184312102"/>
      <w:bookmarkEnd w:id="127"/>
      <w:bookmarkStart w:id="128" w:name="_Toc184313303"/>
      <w:bookmarkEnd w:id="128"/>
      <w:bookmarkStart w:id="129" w:name="_Toc184308086"/>
      <w:bookmarkEnd w:id="129"/>
      <w:bookmarkStart w:id="130" w:name="_Toc184310340"/>
      <w:bookmarkEnd w:id="130"/>
      <w:bookmarkStart w:id="131" w:name="_Toc184313306"/>
      <w:bookmarkEnd w:id="131"/>
      <w:bookmarkStart w:id="132" w:name="_Toc184312094"/>
      <w:bookmarkEnd w:id="132"/>
      <w:bookmarkStart w:id="133" w:name="_Toc184314437"/>
      <w:bookmarkEnd w:id="133"/>
      <w:bookmarkStart w:id="134" w:name="_Toc184312124"/>
      <w:bookmarkEnd w:id="134"/>
      <w:bookmarkStart w:id="135" w:name="_Toc184308070"/>
      <w:bookmarkEnd w:id="135"/>
      <w:bookmarkStart w:id="136" w:name="_Toc184313282"/>
      <w:bookmarkEnd w:id="136"/>
      <w:bookmarkStart w:id="137" w:name="_Toc184313295"/>
      <w:bookmarkEnd w:id="137"/>
      <w:bookmarkStart w:id="138" w:name="_Toc184314425"/>
      <w:bookmarkEnd w:id="138"/>
      <w:bookmarkStart w:id="139" w:name="_Toc184313298"/>
      <w:bookmarkEnd w:id="139"/>
      <w:bookmarkStart w:id="140" w:name="_Toc184313251"/>
      <w:bookmarkEnd w:id="140"/>
      <w:bookmarkStart w:id="141" w:name="_Toc184314467"/>
      <w:bookmarkEnd w:id="141"/>
      <w:bookmarkStart w:id="142" w:name="_Toc184312108"/>
      <w:bookmarkEnd w:id="142"/>
      <w:bookmarkStart w:id="143" w:name="_Toc184308062"/>
      <w:bookmarkEnd w:id="143"/>
      <w:bookmarkStart w:id="144" w:name="_Toc184310330"/>
      <w:bookmarkEnd w:id="144"/>
      <w:bookmarkStart w:id="145" w:name="_Toc184308091"/>
      <w:bookmarkEnd w:id="145"/>
      <w:bookmarkStart w:id="146" w:name="_Toc184310344"/>
      <w:bookmarkEnd w:id="146"/>
      <w:bookmarkStart w:id="147" w:name="_Toc184313253"/>
      <w:bookmarkEnd w:id="147"/>
      <w:bookmarkStart w:id="148" w:name="_Toc184310321"/>
      <w:bookmarkEnd w:id="148"/>
      <w:bookmarkStart w:id="149" w:name="_Toc184312114"/>
      <w:bookmarkEnd w:id="149"/>
      <w:bookmarkStart w:id="150" w:name="_Toc184313285"/>
      <w:bookmarkEnd w:id="150"/>
      <w:bookmarkStart w:id="151" w:name="_Toc184313300"/>
      <w:bookmarkEnd w:id="151"/>
      <w:bookmarkStart w:id="152" w:name="_Toc184310276"/>
      <w:bookmarkEnd w:id="152"/>
      <w:bookmarkStart w:id="153" w:name="_Toc184308084"/>
      <w:bookmarkEnd w:id="153"/>
      <w:bookmarkStart w:id="154" w:name="_Toc184310277"/>
      <w:bookmarkEnd w:id="154"/>
      <w:bookmarkStart w:id="155" w:name="_Toc184308101"/>
      <w:bookmarkEnd w:id="155"/>
      <w:bookmarkStart w:id="156" w:name="_Toc184314446"/>
      <w:bookmarkEnd w:id="156"/>
      <w:bookmarkStart w:id="157" w:name="_Toc184310311"/>
      <w:bookmarkEnd w:id="157"/>
      <w:bookmarkStart w:id="158" w:name="_Toc184310324"/>
      <w:bookmarkEnd w:id="158"/>
      <w:bookmarkStart w:id="159" w:name="_Toc184308096"/>
      <w:bookmarkEnd w:id="159"/>
      <w:bookmarkStart w:id="160" w:name="_Toc184310291"/>
      <w:bookmarkEnd w:id="160"/>
      <w:bookmarkStart w:id="161" w:name="_Toc184308089"/>
      <w:bookmarkEnd w:id="161"/>
      <w:bookmarkStart w:id="162" w:name="_Toc184314415"/>
      <w:bookmarkEnd w:id="162"/>
      <w:bookmarkStart w:id="163" w:name="_Toc184314448"/>
      <w:bookmarkEnd w:id="163"/>
      <w:bookmarkStart w:id="164" w:name="_Toc184312097"/>
      <w:bookmarkEnd w:id="164"/>
      <w:bookmarkStart w:id="165" w:name="_Toc184314472"/>
      <w:bookmarkEnd w:id="165"/>
      <w:bookmarkStart w:id="166" w:name="_Toc184310295"/>
      <w:bookmarkEnd w:id="166"/>
      <w:bookmarkStart w:id="167" w:name="_Toc184314482"/>
      <w:bookmarkEnd w:id="167"/>
      <w:bookmarkStart w:id="168" w:name="_Toc184314421"/>
      <w:bookmarkEnd w:id="168"/>
      <w:bookmarkStart w:id="169" w:name="_Toc184314479"/>
      <w:bookmarkEnd w:id="169"/>
      <w:bookmarkStart w:id="170" w:name="_Toc184312099"/>
      <w:bookmarkEnd w:id="170"/>
      <w:bookmarkStart w:id="171" w:name="_Toc184314419"/>
      <w:bookmarkEnd w:id="171"/>
      <w:bookmarkStart w:id="172" w:name="_Toc184314473"/>
      <w:bookmarkEnd w:id="172"/>
      <w:bookmarkStart w:id="173" w:name="_Toc184314445"/>
      <w:bookmarkEnd w:id="173"/>
      <w:bookmarkStart w:id="174" w:name="_Toc184308068"/>
      <w:bookmarkEnd w:id="174"/>
      <w:bookmarkStart w:id="175" w:name="_Toc184314431"/>
      <w:bookmarkEnd w:id="175"/>
      <w:bookmarkStart w:id="176" w:name="_Toc184308050"/>
      <w:bookmarkEnd w:id="176"/>
      <w:bookmarkStart w:id="177" w:name="_Toc184310313"/>
      <w:bookmarkEnd w:id="177"/>
      <w:bookmarkStart w:id="178" w:name="_Toc184310293"/>
      <w:bookmarkEnd w:id="178"/>
      <w:bookmarkStart w:id="179" w:name="_Toc184314439"/>
      <w:bookmarkEnd w:id="179"/>
      <w:bookmarkStart w:id="180" w:name="_Toc184310320"/>
      <w:bookmarkEnd w:id="180"/>
      <w:bookmarkStart w:id="181" w:name="_Toc184313265"/>
      <w:bookmarkEnd w:id="181"/>
      <w:bookmarkStart w:id="182" w:name="_Toc184310342"/>
      <w:bookmarkEnd w:id="182"/>
      <w:bookmarkStart w:id="183" w:name="_Toc184314455"/>
      <w:bookmarkEnd w:id="183"/>
      <w:bookmarkStart w:id="184" w:name="_Toc184313268"/>
      <w:bookmarkEnd w:id="184"/>
      <w:bookmarkStart w:id="185" w:name="_Toc184312125"/>
      <w:bookmarkEnd w:id="185"/>
      <w:bookmarkStart w:id="186" w:name="_Toc184313242"/>
      <w:bookmarkEnd w:id="186"/>
      <w:bookmarkStart w:id="187" w:name="_Toc184308079"/>
      <w:bookmarkEnd w:id="187"/>
      <w:bookmarkStart w:id="188" w:name="_Toc184314444"/>
      <w:bookmarkEnd w:id="188"/>
      <w:bookmarkStart w:id="189" w:name="_Toc184314432"/>
      <w:bookmarkEnd w:id="189"/>
      <w:bookmarkStart w:id="190" w:name="_Toc184312122"/>
      <w:bookmarkEnd w:id="190"/>
      <w:bookmarkStart w:id="191" w:name="_Toc184313291"/>
      <w:bookmarkEnd w:id="191"/>
      <w:bookmarkStart w:id="192" w:name="_Toc184308074"/>
      <w:bookmarkEnd w:id="192"/>
      <w:bookmarkStart w:id="193" w:name="_Toc184312100"/>
      <w:bookmarkEnd w:id="193"/>
      <w:bookmarkStart w:id="194" w:name="_Toc184314443"/>
      <w:bookmarkEnd w:id="194"/>
      <w:bookmarkStart w:id="195" w:name="_Toc184312070"/>
      <w:bookmarkEnd w:id="195"/>
      <w:bookmarkStart w:id="196" w:name="_Toc184310285"/>
      <w:bookmarkEnd w:id="196"/>
      <w:bookmarkStart w:id="197" w:name="_Toc184312127"/>
      <w:bookmarkEnd w:id="197"/>
      <w:bookmarkStart w:id="198" w:name="_Toc184308098"/>
      <w:bookmarkEnd w:id="198"/>
      <w:bookmarkStart w:id="199" w:name="_Toc184308039"/>
      <w:bookmarkEnd w:id="199"/>
      <w:bookmarkStart w:id="200" w:name="_Toc184314433"/>
      <w:bookmarkEnd w:id="200"/>
      <w:bookmarkStart w:id="201" w:name="_Toc184312118"/>
      <w:bookmarkEnd w:id="201"/>
      <w:bookmarkStart w:id="202" w:name="_Toc184308036"/>
      <w:bookmarkEnd w:id="202"/>
      <w:bookmarkStart w:id="203" w:name="_Toc184308056"/>
      <w:bookmarkEnd w:id="203"/>
      <w:bookmarkStart w:id="204" w:name="_Toc184313294"/>
      <w:bookmarkEnd w:id="204"/>
      <w:bookmarkStart w:id="205" w:name="_Toc184310309"/>
      <w:bookmarkEnd w:id="205"/>
      <w:bookmarkStart w:id="206" w:name="_Toc184313247"/>
      <w:bookmarkEnd w:id="206"/>
      <w:bookmarkStart w:id="207" w:name="_Toc184308043"/>
      <w:bookmarkEnd w:id="207"/>
      <w:bookmarkStart w:id="208" w:name="_Toc184313293"/>
      <w:bookmarkEnd w:id="208"/>
      <w:bookmarkStart w:id="209" w:name="_Toc184312076"/>
      <w:bookmarkEnd w:id="209"/>
      <w:bookmarkStart w:id="210" w:name="_Toc184312116"/>
      <w:bookmarkEnd w:id="210"/>
      <w:bookmarkStart w:id="211" w:name="_Toc184313274"/>
      <w:bookmarkEnd w:id="211"/>
      <w:bookmarkStart w:id="212" w:name="_Toc184312136"/>
      <w:bookmarkEnd w:id="212"/>
      <w:bookmarkStart w:id="213" w:name="_Toc184314456"/>
      <w:bookmarkEnd w:id="213"/>
      <w:bookmarkStart w:id="214" w:name="_Toc184308100"/>
      <w:bookmarkEnd w:id="214"/>
      <w:bookmarkStart w:id="215" w:name="_Toc184313263"/>
      <w:bookmarkEnd w:id="215"/>
      <w:bookmarkStart w:id="216" w:name="_Toc184313279"/>
      <w:bookmarkEnd w:id="216"/>
      <w:bookmarkStart w:id="217" w:name="_Toc184314430"/>
      <w:bookmarkEnd w:id="217"/>
      <w:bookmarkStart w:id="218" w:name="_Toc184312086"/>
      <w:bookmarkEnd w:id="218"/>
      <w:bookmarkStart w:id="219" w:name="_Toc184313290"/>
      <w:bookmarkEnd w:id="219"/>
      <w:bookmarkStart w:id="220" w:name="_Toc184310341"/>
      <w:bookmarkEnd w:id="220"/>
      <w:bookmarkStart w:id="221" w:name="_Toc184313296"/>
      <w:bookmarkEnd w:id="221"/>
      <w:bookmarkStart w:id="222" w:name="_Toc184313284"/>
      <w:bookmarkEnd w:id="222"/>
      <w:bookmarkStart w:id="223" w:name="_Toc184313305"/>
      <w:bookmarkEnd w:id="223"/>
      <w:bookmarkStart w:id="224" w:name="_Toc184313246"/>
      <w:bookmarkEnd w:id="224"/>
      <w:bookmarkStart w:id="225" w:name="_Toc184310322"/>
      <w:bookmarkEnd w:id="225"/>
      <w:bookmarkStart w:id="226" w:name="_Toc184312082"/>
      <w:bookmarkEnd w:id="226"/>
      <w:bookmarkStart w:id="227" w:name="_Toc184310338"/>
      <w:bookmarkEnd w:id="227"/>
      <w:bookmarkStart w:id="228" w:name="_Toc184310284"/>
      <w:bookmarkEnd w:id="228"/>
      <w:bookmarkStart w:id="229" w:name="_Toc184312105"/>
      <w:bookmarkEnd w:id="229"/>
      <w:bookmarkStart w:id="230" w:name="_Toc184314452"/>
      <w:bookmarkEnd w:id="230"/>
      <w:bookmarkStart w:id="231" w:name="_Toc184310329"/>
      <w:bookmarkEnd w:id="231"/>
      <w:bookmarkStart w:id="232" w:name="_Toc184312107"/>
      <w:bookmarkEnd w:id="232"/>
      <w:bookmarkStart w:id="233" w:name="_Toc184308057"/>
      <w:bookmarkEnd w:id="233"/>
      <w:bookmarkStart w:id="234" w:name="_Toc184313302"/>
      <w:bookmarkEnd w:id="234"/>
      <w:bookmarkStart w:id="235" w:name="_Toc184313261"/>
      <w:bookmarkEnd w:id="235"/>
      <w:bookmarkStart w:id="236" w:name="_Toc184313286"/>
      <w:bookmarkEnd w:id="236"/>
      <w:bookmarkStart w:id="237" w:name="_Toc184314416"/>
      <w:bookmarkEnd w:id="237"/>
      <w:bookmarkStart w:id="238" w:name="_Toc184312085"/>
      <w:bookmarkEnd w:id="238"/>
      <w:bookmarkStart w:id="239" w:name="_Toc184308075"/>
      <w:bookmarkEnd w:id="239"/>
      <w:bookmarkStart w:id="240" w:name="_Toc184313301"/>
      <w:bookmarkEnd w:id="240"/>
      <w:bookmarkStart w:id="241" w:name="_Toc184312080"/>
      <w:bookmarkEnd w:id="241"/>
      <w:bookmarkStart w:id="242" w:name="_Toc184310282"/>
      <w:bookmarkEnd w:id="242"/>
      <w:bookmarkStart w:id="243" w:name="_Toc184308105"/>
      <w:bookmarkEnd w:id="243"/>
      <w:bookmarkStart w:id="244" w:name="_Toc184312074"/>
      <w:bookmarkEnd w:id="244"/>
      <w:bookmarkStart w:id="245" w:name="_Toc184308042"/>
      <w:bookmarkEnd w:id="245"/>
      <w:bookmarkStart w:id="246" w:name="_Toc184313259"/>
      <w:bookmarkEnd w:id="246"/>
      <w:bookmarkStart w:id="247" w:name="_Toc184308077"/>
      <w:bookmarkEnd w:id="247"/>
      <w:bookmarkStart w:id="248" w:name="_Toc184310301"/>
      <w:bookmarkEnd w:id="248"/>
      <w:bookmarkStart w:id="249" w:name="_Toc184312091"/>
      <w:bookmarkEnd w:id="249"/>
      <w:bookmarkStart w:id="250" w:name="_Toc184314471"/>
      <w:bookmarkEnd w:id="250"/>
      <w:bookmarkStart w:id="251" w:name="_Toc184312119"/>
      <w:bookmarkEnd w:id="251"/>
      <w:bookmarkStart w:id="252" w:name="_Toc184312111"/>
      <w:bookmarkEnd w:id="252"/>
      <w:bookmarkStart w:id="253" w:name="_Toc184312077"/>
      <w:bookmarkEnd w:id="253"/>
      <w:bookmarkStart w:id="254" w:name="_Toc184312068"/>
      <w:bookmarkEnd w:id="254"/>
      <w:bookmarkStart w:id="255" w:name="_Toc184314426"/>
      <w:bookmarkEnd w:id="255"/>
      <w:bookmarkStart w:id="256" w:name="_Toc184310300"/>
      <w:bookmarkEnd w:id="256"/>
      <w:bookmarkStart w:id="257" w:name="_Toc184310310"/>
      <w:bookmarkEnd w:id="257"/>
      <w:bookmarkStart w:id="258" w:name="_Toc184314427"/>
      <w:bookmarkEnd w:id="258"/>
      <w:bookmarkStart w:id="259" w:name="_Toc184313260"/>
      <w:bookmarkEnd w:id="259"/>
      <w:bookmarkStart w:id="260" w:name="_Toc184314442"/>
      <w:bookmarkEnd w:id="260"/>
      <w:bookmarkStart w:id="261" w:name="_Toc184308102"/>
      <w:bookmarkEnd w:id="261"/>
      <w:bookmarkStart w:id="262" w:name="_Toc184314469"/>
      <w:bookmarkEnd w:id="262"/>
      <w:bookmarkStart w:id="263" w:name="_Toc184313240"/>
      <w:bookmarkEnd w:id="263"/>
      <w:bookmarkStart w:id="264" w:name="_Toc184312069"/>
      <w:bookmarkEnd w:id="264"/>
      <w:bookmarkStart w:id="265" w:name="_Toc184308076"/>
      <w:bookmarkEnd w:id="265"/>
      <w:bookmarkStart w:id="266" w:name="_Toc184314454"/>
      <w:bookmarkEnd w:id="266"/>
      <w:bookmarkStart w:id="267" w:name="_Toc184308103"/>
      <w:bookmarkEnd w:id="267"/>
      <w:bookmarkStart w:id="268" w:name="_Toc184313262"/>
      <w:bookmarkEnd w:id="268"/>
      <w:bookmarkStart w:id="269" w:name="_Toc184314438"/>
      <w:bookmarkEnd w:id="269"/>
      <w:bookmarkStart w:id="270" w:name="_Toc184310334"/>
      <w:bookmarkEnd w:id="270"/>
      <w:bookmarkStart w:id="271" w:name="_Toc184313254"/>
      <w:bookmarkEnd w:id="271"/>
      <w:bookmarkStart w:id="272" w:name="_Toc184312072"/>
      <w:bookmarkEnd w:id="272"/>
      <w:bookmarkStart w:id="273" w:name="_Toc184313245"/>
      <w:bookmarkEnd w:id="273"/>
      <w:bookmarkStart w:id="274" w:name="_Toc184308073"/>
      <w:bookmarkEnd w:id="274"/>
      <w:bookmarkStart w:id="275" w:name="_Toc184310274"/>
      <w:bookmarkEnd w:id="275"/>
      <w:bookmarkStart w:id="276" w:name="_Toc184308082"/>
      <w:bookmarkEnd w:id="276"/>
      <w:bookmarkStart w:id="277" w:name="_Toc184312078"/>
      <w:bookmarkEnd w:id="277"/>
      <w:bookmarkStart w:id="278" w:name="_Toc184314422"/>
      <w:bookmarkEnd w:id="278"/>
      <w:bookmarkStart w:id="279" w:name="_Toc184308087"/>
      <w:bookmarkEnd w:id="279"/>
      <w:bookmarkStart w:id="280" w:name="_Toc184308104"/>
      <w:bookmarkEnd w:id="280"/>
      <w:bookmarkStart w:id="281" w:name="_Toc184310302"/>
      <w:bookmarkEnd w:id="281"/>
      <w:bookmarkStart w:id="282" w:name="_Toc184312110"/>
      <w:bookmarkEnd w:id="282"/>
      <w:bookmarkStart w:id="283" w:name="_Toc184313266"/>
      <w:bookmarkEnd w:id="283"/>
      <w:bookmarkStart w:id="284" w:name="_Toc184312121"/>
      <w:bookmarkEnd w:id="284"/>
      <w:bookmarkStart w:id="285" w:name="_Toc184312083"/>
      <w:bookmarkEnd w:id="285"/>
      <w:bookmarkStart w:id="286" w:name="_Toc184314470"/>
      <w:bookmarkEnd w:id="286"/>
      <w:bookmarkStart w:id="287" w:name="_Toc184312115"/>
      <w:bookmarkEnd w:id="287"/>
      <w:bookmarkStart w:id="288" w:name="_Toc184313241"/>
      <w:bookmarkEnd w:id="288"/>
      <w:bookmarkStart w:id="289" w:name="_Toc184314462"/>
      <w:bookmarkEnd w:id="289"/>
      <w:bookmarkStart w:id="290" w:name="_Toc184308047"/>
      <w:bookmarkEnd w:id="290"/>
      <w:bookmarkStart w:id="291" w:name="_Toc184310336"/>
      <w:bookmarkEnd w:id="291"/>
      <w:bookmarkStart w:id="292" w:name="_Toc184313278"/>
      <w:bookmarkEnd w:id="292"/>
      <w:bookmarkStart w:id="293" w:name="_Toc184308059"/>
      <w:bookmarkEnd w:id="293"/>
      <w:bookmarkStart w:id="294" w:name="_Toc184313250"/>
      <w:bookmarkEnd w:id="294"/>
      <w:bookmarkStart w:id="295" w:name="_Toc184310312"/>
      <w:bookmarkEnd w:id="295"/>
      <w:bookmarkStart w:id="296" w:name="_Toc184310307"/>
      <w:bookmarkEnd w:id="296"/>
      <w:bookmarkStart w:id="297" w:name="_Toc184313307"/>
      <w:bookmarkEnd w:id="297"/>
      <w:bookmarkStart w:id="298" w:name="_Toc184314417"/>
      <w:bookmarkEnd w:id="298"/>
      <w:bookmarkStart w:id="299" w:name="_Toc184308046"/>
      <w:bookmarkEnd w:id="299"/>
      <w:bookmarkStart w:id="300" w:name="_Toc184310281"/>
      <w:bookmarkEnd w:id="300"/>
      <w:bookmarkStart w:id="301" w:name="_Toc184312103"/>
      <w:bookmarkEnd w:id="301"/>
      <w:bookmarkStart w:id="302" w:name="_Toc184312095"/>
      <w:bookmarkEnd w:id="302"/>
      <w:bookmarkStart w:id="303" w:name="_Toc184314420"/>
      <w:bookmarkEnd w:id="303"/>
      <w:bookmarkStart w:id="304" w:name="_Toc184310333"/>
      <w:bookmarkEnd w:id="304"/>
      <w:bookmarkStart w:id="305" w:name="_Toc184313292"/>
      <w:bookmarkEnd w:id="305"/>
      <w:bookmarkStart w:id="306" w:name="_Toc184308038"/>
      <w:bookmarkEnd w:id="306"/>
      <w:bookmarkStart w:id="307" w:name="_Toc184308061"/>
      <w:bookmarkEnd w:id="307"/>
      <w:bookmarkStart w:id="308" w:name="_Toc184308064"/>
      <w:bookmarkEnd w:id="308"/>
      <w:bookmarkStart w:id="309" w:name="_Toc184308045"/>
      <w:bookmarkEnd w:id="309"/>
      <w:bookmarkStart w:id="310" w:name="_Toc184308107"/>
      <w:bookmarkEnd w:id="310"/>
      <w:bookmarkStart w:id="311" w:name="_Toc184312101"/>
      <w:bookmarkEnd w:id="311"/>
      <w:bookmarkStart w:id="312" w:name="_Toc184312126"/>
      <w:bookmarkEnd w:id="312"/>
      <w:bookmarkStart w:id="313" w:name="_Toc184310306"/>
      <w:bookmarkEnd w:id="313"/>
      <w:bookmarkStart w:id="314" w:name="_Toc184308055"/>
      <w:bookmarkEnd w:id="314"/>
      <w:bookmarkStart w:id="315" w:name="_Toc184314435"/>
      <w:bookmarkEnd w:id="315"/>
      <w:bookmarkStart w:id="316" w:name="_Toc184308072"/>
      <w:bookmarkEnd w:id="316"/>
      <w:bookmarkStart w:id="317" w:name="_Toc184314480"/>
      <w:bookmarkEnd w:id="317"/>
      <w:bookmarkStart w:id="318" w:name="_Toc184313257"/>
      <w:bookmarkEnd w:id="318"/>
      <w:bookmarkStart w:id="319" w:name="_Toc184308099"/>
      <w:bookmarkEnd w:id="319"/>
      <w:bookmarkStart w:id="320" w:name="_Toc184312109"/>
      <w:bookmarkEnd w:id="320"/>
      <w:bookmarkStart w:id="321" w:name="_Toc184314466"/>
      <w:bookmarkEnd w:id="321"/>
      <w:bookmarkStart w:id="322" w:name="_Toc184313277"/>
      <w:bookmarkEnd w:id="322"/>
      <w:bookmarkStart w:id="323" w:name="_Toc184313309"/>
      <w:bookmarkEnd w:id="323"/>
      <w:bookmarkStart w:id="324" w:name="_Toc184314451"/>
      <w:bookmarkEnd w:id="324"/>
      <w:bookmarkStart w:id="325" w:name="_Toc184310288"/>
      <w:bookmarkEnd w:id="325"/>
      <w:bookmarkStart w:id="326" w:name="_Toc184312092"/>
      <w:bookmarkEnd w:id="326"/>
      <w:bookmarkStart w:id="327" w:name="_Toc184314441"/>
      <w:bookmarkEnd w:id="327"/>
      <w:bookmarkStart w:id="328" w:name="_Toc184313243"/>
      <w:bookmarkEnd w:id="328"/>
      <w:bookmarkStart w:id="329" w:name="_Toc184313280"/>
      <w:bookmarkEnd w:id="329"/>
      <w:bookmarkStart w:id="330" w:name="_Toc184310319"/>
      <w:bookmarkEnd w:id="330"/>
      <w:bookmarkStart w:id="331" w:name="_Toc184314423"/>
      <w:bookmarkEnd w:id="331"/>
      <w:bookmarkStart w:id="332" w:name="_Toc184312093"/>
      <w:bookmarkEnd w:id="332"/>
      <w:bookmarkStart w:id="333" w:name="_Toc184308052"/>
      <w:bookmarkEnd w:id="333"/>
      <w:bookmarkStart w:id="334" w:name="_Toc184312075"/>
      <w:bookmarkEnd w:id="334"/>
      <w:bookmarkStart w:id="335" w:name="_Toc184308093"/>
      <w:bookmarkEnd w:id="335"/>
      <w:bookmarkStart w:id="336" w:name="_Toc184314468"/>
      <w:bookmarkEnd w:id="336"/>
      <w:bookmarkStart w:id="337" w:name="_Toc184313273"/>
      <w:bookmarkEnd w:id="337"/>
      <w:bookmarkStart w:id="338" w:name="_Toc184310298"/>
      <w:bookmarkEnd w:id="338"/>
      <w:bookmarkStart w:id="339" w:name="_Toc184310290"/>
      <w:bookmarkEnd w:id="339"/>
      <w:bookmarkStart w:id="340" w:name="_Toc184310343"/>
      <w:bookmarkEnd w:id="340"/>
      <w:bookmarkStart w:id="341" w:name="_Toc184310323"/>
      <w:bookmarkEnd w:id="341"/>
      <w:bookmarkStart w:id="342" w:name="_Toc184312130"/>
      <w:bookmarkEnd w:id="342"/>
      <w:bookmarkStart w:id="343" w:name="_Toc184310327"/>
      <w:bookmarkEnd w:id="343"/>
      <w:bookmarkStart w:id="344" w:name="_Toc184310275"/>
      <w:bookmarkEnd w:id="344"/>
      <w:bookmarkStart w:id="345" w:name="_Toc184310303"/>
      <w:bookmarkEnd w:id="345"/>
      <w:bookmarkStart w:id="346" w:name="_Toc184310287"/>
      <w:bookmarkEnd w:id="346"/>
      <w:bookmarkStart w:id="347" w:name="_Toc184314458"/>
      <w:bookmarkEnd w:id="347"/>
      <w:bookmarkStart w:id="348" w:name="_Toc184313275"/>
      <w:bookmarkEnd w:id="348"/>
      <w:bookmarkStart w:id="349" w:name="_Toc184308106"/>
      <w:bookmarkEnd w:id="349"/>
      <w:bookmarkStart w:id="350" w:name="_Toc184314481"/>
      <w:bookmarkEnd w:id="350"/>
      <w:bookmarkStart w:id="351" w:name="_Toc184310339"/>
      <w:bookmarkEnd w:id="351"/>
      <w:bookmarkStart w:id="352" w:name="_Toc184310335"/>
      <w:bookmarkEnd w:id="352"/>
      <w:bookmarkStart w:id="353" w:name="_Toc184312137"/>
      <w:bookmarkEnd w:id="353"/>
      <w:bookmarkStart w:id="354" w:name="_Toc184313252"/>
      <w:bookmarkEnd w:id="354"/>
      <w:bookmarkStart w:id="355" w:name="_Toc184312135"/>
      <w:bookmarkEnd w:id="355"/>
      <w:bookmarkStart w:id="356" w:name="_Toc184312117"/>
      <w:bookmarkEnd w:id="356"/>
      <w:bookmarkStart w:id="357" w:name="_Toc184308092"/>
      <w:bookmarkEnd w:id="357"/>
      <w:bookmarkStart w:id="358" w:name="_Toc184310331"/>
      <w:bookmarkEnd w:id="358"/>
      <w:bookmarkStart w:id="359" w:name="_Toc184310305"/>
      <w:bookmarkEnd w:id="359"/>
      <w:bookmarkStart w:id="360" w:name="_Toc184313269"/>
      <w:bookmarkEnd w:id="360"/>
      <w:bookmarkStart w:id="361" w:name="_Toc184310286"/>
      <w:bookmarkEnd w:id="361"/>
      <w:bookmarkStart w:id="362" w:name="_Toc184312139"/>
      <w:bookmarkEnd w:id="362"/>
      <w:bookmarkStart w:id="363" w:name="_Toc184313244"/>
      <w:bookmarkEnd w:id="363"/>
      <w:bookmarkStart w:id="364" w:name="_Toc184312104"/>
      <w:bookmarkEnd w:id="364"/>
      <w:bookmarkStart w:id="365" w:name="_Toc184308040"/>
      <w:bookmarkEnd w:id="365"/>
      <w:bookmarkStart w:id="366" w:name="_Toc184313276"/>
      <w:bookmarkEnd w:id="366"/>
      <w:bookmarkStart w:id="367" w:name="_Toc184314474"/>
      <w:bookmarkEnd w:id="367"/>
      <w:bookmarkStart w:id="368" w:name="_Toc184310316"/>
      <w:bookmarkEnd w:id="368"/>
      <w:bookmarkStart w:id="369" w:name="_Toc184310272"/>
      <w:bookmarkEnd w:id="369"/>
      <w:bookmarkStart w:id="370" w:name="_Toc184314410"/>
      <w:bookmarkEnd w:id="370"/>
      <w:bookmarkStart w:id="371" w:name="_Toc184308095"/>
      <w:bookmarkEnd w:id="371"/>
      <w:bookmarkStart w:id="372" w:name="_Toc184313248"/>
      <w:bookmarkEnd w:id="372"/>
      <w:bookmarkStart w:id="373" w:name="_Toc184314453"/>
      <w:bookmarkEnd w:id="373"/>
      <w:bookmarkStart w:id="374" w:name="_Toc184312106"/>
      <w:bookmarkEnd w:id="374"/>
      <w:bookmarkStart w:id="375" w:name="_Toc184313255"/>
      <w:bookmarkEnd w:id="375"/>
      <w:bookmarkStart w:id="376" w:name="_Toc184310304"/>
      <w:bookmarkEnd w:id="376"/>
      <w:bookmarkStart w:id="377" w:name="_Toc184310337"/>
      <w:bookmarkEnd w:id="377"/>
      <w:bookmarkStart w:id="378" w:name="_Toc184313283"/>
      <w:bookmarkEnd w:id="378"/>
      <w:bookmarkStart w:id="379" w:name="_Toc184313238"/>
      <w:bookmarkEnd w:id="379"/>
      <w:bookmarkStart w:id="380" w:name="_Toc184312067"/>
      <w:bookmarkEnd w:id="380"/>
      <w:bookmarkStart w:id="381" w:name="_Toc184310328"/>
      <w:bookmarkEnd w:id="381"/>
      <w:bookmarkStart w:id="382" w:name="_Toc184313271"/>
      <w:bookmarkEnd w:id="382"/>
      <w:bookmarkStart w:id="383" w:name="_Toc184308090"/>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8"/>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K</w:t>
      </w:r>
      <w:r>
        <w:rPr>
          <w:rFonts w:hint="eastAsia" w:ascii="宋体" w:hAnsi="宋体" w:cs="宋体"/>
          <w:color w:val="auto"/>
          <w:kern w:val="0"/>
          <w:sz w:val="24"/>
        </w:rPr>
        <w:t>.</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L</w:t>
      </w:r>
      <w:r>
        <w:rPr>
          <w:rFonts w:hint="eastAsia" w:ascii="宋体" w:hAnsi="宋体" w:cs="宋体"/>
          <w:color w:val="auto"/>
          <w:kern w:val="0"/>
          <w:sz w:val="24"/>
        </w:rPr>
        <w:t>在采购人规定的截止时间以后送达的</w:t>
      </w:r>
      <w:r>
        <w:rPr>
          <w:rFonts w:hint="eastAsia" w:ascii="宋体" w:hAnsi="宋体" w:cs="宋体"/>
          <w:color w:val="auto"/>
          <w:kern w:val="0"/>
          <w:sz w:val="24"/>
          <w:lang w:eastAsia="zh-CN"/>
        </w:rPr>
        <w:t>响应</w:t>
      </w:r>
      <w:r>
        <w:rPr>
          <w:rFonts w:hint="eastAsia" w:ascii="宋体" w:hAnsi="宋体" w:cs="宋体"/>
          <w:color w:val="auto"/>
          <w:kern w:val="0"/>
          <w:sz w:val="24"/>
        </w:rPr>
        <w:t>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M</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w:t>
      </w:r>
      <w:r>
        <w:rPr>
          <w:rFonts w:hint="eastAsia" w:ascii="宋体" w:hAnsi="宋体" w:cs="宋体"/>
          <w:color w:val="auto"/>
          <w:kern w:val="0"/>
          <w:sz w:val="24"/>
          <w:lang w:eastAsia="zh-CN"/>
        </w:rPr>
        <w:t>询价保证金</w:t>
      </w:r>
      <w:r>
        <w:rPr>
          <w:rFonts w:hint="eastAsia" w:ascii="宋体" w:hAnsi="宋体" w:cs="宋体"/>
          <w:color w:val="auto"/>
          <w:kern w:val="0"/>
          <w:sz w:val="24"/>
        </w:rPr>
        <w:t>的</w:t>
      </w:r>
      <w:r>
        <w:rPr>
          <w:rFonts w:hint="eastAsia" w:ascii="宋体" w:hAnsi="宋体" w:cs="宋体"/>
          <w:color w:val="auto"/>
          <w:kern w:val="0"/>
          <w:sz w:val="24"/>
          <w:lang w:eastAsia="zh-CN"/>
        </w:rPr>
        <w:t>（若有）</w:t>
      </w:r>
      <w:r>
        <w:rPr>
          <w:rFonts w:hint="eastAsia" w:ascii="宋体" w:hAnsi="宋体" w:cs="宋体"/>
          <w:color w:val="auto"/>
          <w:kern w:val="0"/>
          <w:sz w:val="24"/>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N</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color w:val="auto"/>
          <w:kern w:val="0"/>
          <w:sz w:val="24"/>
          <w:lang w:eastAsia="zh-CN"/>
        </w:rPr>
        <w:t>（若有）</w:t>
      </w:r>
      <w:r>
        <w:rPr>
          <w:rFonts w:hint="eastAsia" w:ascii="宋体" w:hAnsi="宋体" w:cs="宋体"/>
          <w:color w:val="auto"/>
          <w:kern w:val="0"/>
          <w:sz w:val="24"/>
        </w:rPr>
        <w:t>。</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pStyle w:val="3"/>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3"/>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出现相同总金额最低报价情况时，总金额最低报价相同的</w:t>
      </w:r>
      <w:r>
        <w:rPr>
          <w:rFonts w:hint="eastAsia"/>
          <w:color w:val="auto"/>
          <w:lang w:eastAsia="zh-CN"/>
        </w:rPr>
        <w:t>供应商</w:t>
      </w:r>
      <w:r>
        <w:rPr>
          <w:rFonts w:hint="eastAsia"/>
          <w:color w:val="auto"/>
        </w:rPr>
        <w:t>再进行一轮报价</w:t>
      </w:r>
      <w:r>
        <w:rPr>
          <w:rFonts w:hint="eastAsia"/>
          <w:b/>
          <w:bCs/>
          <w:color w:val="auto"/>
        </w:rPr>
        <w:t>。如报价再相同，则由采购</w:t>
      </w:r>
      <w:r>
        <w:rPr>
          <w:rFonts w:hint="eastAsia"/>
          <w:b/>
          <w:bCs/>
          <w:color w:val="auto"/>
          <w:lang w:eastAsia="zh-CN"/>
        </w:rPr>
        <w:t>工作人员</w:t>
      </w:r>
      <w:r>
        <w:rPr>
          <w:rFonts w:hint="eastAsia"/>
          <w:b/>
          <w:bCs/>
          <w:color w:val="auto"/>
          <w:lang w:val="en-US" w:eastAsia="zh-CN"/>
        </w:rPr>
        <w:t>组织询价评审小组成员与供应商分别</w:t>
      </w:r>
      <w:r>
        <w:rPr>
          <w:rFonts w:hint="eastAsia"/>
          <w:b/>
          <w:bCs/>
          <w:color w:val="auto"/>
        </w:rPr>
        <w:t>再进行一轮报价</w:t>
      </w:r>
      <w:r>
        <w:rPr>
          <w:rFonts w:hint="eastAsia"/>
          <w:b/>
          <w:bCs/>
          <w:color w:val="auto"/>
          <w:lang w:eastAsia="zh-CN"/>
        </w:rPr>
        <w:t>，以此类推</w:t>
      </w:r>
      <w:r>
        <w:rPr>
          <w:rFonts w:hint="eastAsia"/>
          <w:b/>
          <w:bCs/>
          <w:color w:val="auto"/>
        </w:rPr>
        <w:t>。</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第二次询价后，</w:t>
      </w:r>
      <w:r>
        <w:rPr>
          <w:rFonts w:hint="eastAsia" w:cs="仿宋" w:asciiTheme="minorEastAsia" w:hAnsiTheme="minorEastAsia"/>
          <w:color w:val="auto"/>
          <w:sz w:val="24"/>
        </w:rPr>
        <w:t>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w:t>
      </w:r>
      <w:r>
        <w:rPr>
          <w:rFonts w:hint="eastAsia" w:cs="仿宋" w:asciiTheme="minorEastAsia" w:hAnsiTheme="minorEastAsia"/>
          <w:color w:val="auto"/>
          <w:sz w:val="24"/>
          <w:lang w:val="en-US" w:eastAsia="zh-CN"/>
        </w:rPr>
        <w:t>或者经评审有效的供应商仍少于3个，采购方式由询价直接转为谈判，询价采购文件即为谈判文件，</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lang w:val="en-US" w:eastAsia="zh-CN"/>
        </w:rPr>
        <w:t>成员即为</w:t>
      </w:r>
      <w:r>
        <w:rPr>
          <w:rFonts w:hint="eastAsia" w:cs="仿宋" w:asciiTheme="minorEastAsia" w:hAnsiTheme="minorEastAsia"/>
          <w:color w:val="auto"/>
          <w:sz w:val="24"/>
          <w:lang w:eastAsia="zh-CN"/>
        </w:rPr>
        <w:t>询价</w:t>
      </w:r>
      <w:r>
        <w:rPr>
          <w:rFonts w:hint="eastAsia" w:cs="仿宋" w:asciiTheme="minorEastAsia" w:hAnsiTheme="minorEastAsia"/>
          <w:color w:val="auto"/>
          <w:sz w:val="24"/>
          <w:lang w:val="en-US" w:eastAsia="zh-CN"/>
        </w:rPr>
        <w:t>谈判小组成员，询价保证金转为谈判保证金（若有）。</w:t>
      </w:r>
    </w:p>
    <w:p>
      <w:pPr>
        <w:pStyle w:val="3"/>
        <w:numPr>
          <w:ilvl w:val="0"/>
          <w:numId w:val="0"/>
        </w:numPr>
        <w:rPr>
          <w:rFonts w:hint="default"/>
          <w:color w:val="auto"/>
          <w:lang w:val="en-US" w:eastAsia="zh-CN"/>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13"/>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服务类采购合同</w:t>
      </w:r>
    </w:p>
    <w:p>
      <w:pPr>
        <w:spacing w:before="120" w:line="22" w:lineRule="atLeast"/>
        <w:rPr>
          <w:rFonts w:ascii="宋体" w:hAnsi="宋体" w:cs="宋体"/>
          <w:sz w:val="24"/>
        </w:rPr>
      </w:pPr>
    </w:p>
    <w:p>
      <w:pPr>
        <w:pStyle w:val="5"/>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cs="仿宋" w:asciiTheme="minorEastAsia" w:hAnsiTheme="minorEastAsia"/>
          <w:color w:val="auto"/>
          <w:sz w:val="24"/>
          <w:u w:val="single"/>
          <w:lang w:val="en-US" w:eastAsia="zh-CN"/>
        </w:rPr>
        <w:t>2024年临江公司地下水检测井服务采购项目</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2024</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ind w:firstLine="214"/>
        <w:jc w:val="center"/>
        <w:rPr>
          <w:rFonts w:hint="eastAsia"/>
          <w:b/>
          <w:bCs/>
        </w:rPr>
      </w:pPr>
      <w:r>
        <w:rPr>
          <w:rFonts w:hint="eastAsia"/>
          <w:b/>
          <w:bCs/>
        </w:rPr>
        <w:t>目录</w:t>
      </w:r>
    </w:p>
    <w:p>
      <w:pPr>
        <w:pStyle w:val="8"/>
        <w:spacing w:line="360" w:lineRule="auto"/>
        <w:ind w:firstLine="720" w:firstLineChars="300"/>
      </w:pPr>
      <w:r>
        <w:rPr>
          <w:rFonts w:hint="eastAsia"/>
        </w:rPr>
        <w:t>第一章 合同书  …………………………………………………………（页码）</w:t>
      </w:r>
    </w:p>
    <w:p>
      <w:pPr>
        <w:pStyle w:val="8"/>
        <w:spacing w:line="360" w:lineRule="auto"/>
        <w:ind w:firstLine="720" w:firstLineChars="300"/>
        <w:rPr>
          <w:rFonts w:hint="eastAsia"/>
        </w:rPr>
      </w:pPr>
      <w:r>
        <w:rPr>
          <w:rFonts w:hint="eastAsia"/>
        </w:rPr>
        <w:t>第二章 合同一般条款……………………………………………………（页码）</w:t>
      </w:r>
    </w:p>
    <w:p>
      <w:pPr>
        <w:pStyle w:val="8"/>
        <w:spacing w:line="360" w:lineRule="auto"/>
        <w:ind w:firstLine="720" w:firstLineChars="300"/>
        <w:rPr>
          <w:rFonts w:hint="eastAsia"/>
        </w:rPr>
      </w:pPr>
      <w:r>
        <w:rPr>
          <w:rFonts w:hint="eastAsia"/>
        </w:rPr>
        <w:t>第三章 安全协议…………………………………………………………（页码）</w:t>
      </w:r>
    </w:p>
    <w:p>
      <w:pPr>
        <w:pStyle w:val="8"/>
        <w:spacing w:line="360" w:lineRule="auto"/>
        <w:ind w:firstLine="720" w:firstLineChars="300"/>
      </w:pPr>
      <w:r>
        <w:rPr>
          <w:rFonts w:hint="eastAsia"/>
        </w:rPr>
        <w:t>第四章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3"/>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w:t>
      </w:r>
      <w:r>
        <w:rPr>
          <w:rFonts w:hint="eastAsia" w:ascii="宋体" w:hAnsi="宋体"/>
          <w:sz w:val="24"/>
          <w:u w:val="single"/>
          <w:lang w:val="en-US" w:eastAsia="zh-CN"/>
        </w:rPr>
        <w:t>24</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rPr>
        <w:t xml:space="preserve">比价 </w:t>
      </w:r>
      <w:r>
        <w:rPr>
          <w:rFonts w:hint="eastAsia" w:ascii="宋体" w:hAnsi="宋体"/>
          <w:sz w:val="24"/>
        </w:rPr>
        <w:t>形式对</w:t>
      </w:r>
      <w:r>
        <w:rPr>
          <w:rFonts w:hint="eastAsia" w:cs="仿宋" w:asciiTheme="minorEastAsia" w:hAnsiTheme="minorEastAsia"/>
          <w:color w:val="auto"/>
          <w:sz w:val="24"/>
          <w:u w:val="single"/>
          <w:lang w:val="en-US" w:eastAsia="zh-CN"/>
        </w:rPr>
        <w:t>2024年临江公司地下水检测井服务采购</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评标小组</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ascii="宋体" w:hAnsi="宋体"/>
          <w:sz w:val="24"/>
          <w:lang w:val="zh-CN"/>
        </w:rPr>
        <w:t>(以下简称：乙方)协商一致，约定以下合同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84" w:name="_Toc22967"/>
      <w:bookmarkStart w:id="385" w:name="_Toc19273"/>
      <w:bookmarkStart w:id="386" w:name="_Toc15367"/>
      <w:bookmarkStart w:id="387" w:name="_Toc20421"/>
      <w:bookmarkStart w:id="388" w:name="_Toc28855"/>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89" w:name="_Toc18585"/>
      <w:bookmarkStart w:id="390" w:name="_Toc6311"/>
      <w:bookmarkStart w:id="391" w:name="_Toc2918"/>
      <w:bookmarkStart w:id="392" w:name="_Toc22185"/>
      <w:bookmarkStart w:id="393" w:name="_Toc6773"/>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 </w:t>
      </w:r>
      <w:r>
        <w:rPr>
          <w:rFonts w:hint="eastAsia" w:ascii="宋体" w:hAnsi="宋体"/>
          <w:sz w:val="24"/>
        </w:rPr>
        <w:t xml:space="preserve"> %。其中三固事业部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元，能源事业部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r>
        <w:rPr>
          <w:rFonts w:hint="eastAsia" w:ascii="宋体" w:hAnsi="宋体"/>
          <w:sz w:val="24"/>
          <w:lang w:eastAsia="zh-CN"/>
        </w:rPr>
        <w:t>，</w:t>
      </w:r>
      <w:r>
        <w:rPr>
          <w:rFonts w:hint="eastAsia" w:ascii="宋体" w:hAnsi="宋体"/>
          <w:sz w:val="24"/>
          <w:lang w:val="en-US" w:eastAsia="zh-CN"/>
        </w:rPr>
        <w:t>具体详见附件清单</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1</w:t>
      </w:r>
      <w:r>
        <w:rPr>
          <w:rFonts w:hint="eastAsia" w:ascii="宋体" w:hAnsi="宋体" w:cs="宋体"/>
          <w:sz w:val="24"/>
          <w:u w:val="single"/>
        </w:rPr>
        <w:t xml:space="preserve">）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单价和总价中均包括了</w:t>
      </w:r>
      <w:r>
        <w:rPr>
          <w:rFonts w:hint="eastAsia" w:ascii="宋体" w:hAnsi="宋体" w:cs="宋体"/>
          <w:sz w:val="24"/>
          <w:lang w:val="en-US" w:eastAsia="zh-CN"/>
        </w:rPr>
        <w:t>检测费</w:t>
      </w:r>
      <w:r>
        <w:rPr>
          <w:rFonts w:hint="eastAsia" w:ascii="宋体" w:hAnsi="宋体" w:cs="宋体"/>
          <w:sz w:val="24"/>
        </w:rPr>
        <w:t>、运费、人工费、服务费、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8975" w:type="dxa"/>
        <w:tblInd w:w="96" w:type="dxa"/>
        <w:tblLayout w:type="fixed"/>
        <w:tblCellMar>
          <w:top w:w="0" w:type="dxa"/>
          <w:left w:w="108" w:type="dxa"/>
          <w:bottom w:w="0" w:type="dxa"/>
          <w:right w:w="108" w:type="dxa"/>
        </w:tblCellMar>
      </w:tblPr>
      <w:tblGrid>
        <w:gridCol w:w="636"/>
        <w:gridCol w:w="1671"/>
        <w:gridCol w:w="3097"/>
        <w:gridCol w:w="837"/>
        <w:gridCol w:w="1148"/>
        <w:gridCol w:w="876"/>
        <w:gridCol w:w="710"/>
      </w:tblGrid>
      <w:tr>
        <w:tblPrEx>
          <w:tblCellMar>
            <w:top w:w="0" w:type="dxa"/>
            <w:left w:w="108" w:type="dxa"/>
            <w:bottom w:w="0" w:type="dxa"/>
            <w:right w:w="108" w:type="dxa"/>
          </w:tblCellMar>
        </w:tblPrEx>
        <w:trPr>
          <w:trHeight w:val="561"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6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lang w:eastAsia="zh-CN"/>
              </w:rPr>
            </w:pPr>
            <w:r>
              <w:rPr>
                <w:rFonts w:hint="eastAsia" w:ascii="宋体" w:hAnsi="宋体" w:cs="宋体"/>
                <w:kern w:val="0"/>
                <w:sz w:val="20"/>
                <w:szCs w:val="20"/>
                <w:lang w:val="en-US" w:eastAsia="zh-CN" w:bidi="ar"/>
              </w:rPr>
              <w:t>项目</w:t>
            </w:r>
          </w:p>
        </w:tc>
        <w:tc>
          <w:tcPr>
            <w:tcW w:w="30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内容</w:t>
            </w:r>
          </w:p>
        </w:tc>
        <w:tc>
          <w:tcPr>
            <w:tcW w:w="8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w:t>
            </w:r>
          </w:p>
        </w:tc>
        <w:tc>
          <w:tcPr>
            <w:tcW w:w="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tblPrEx>
          <w:tblCellMar>
            <w:top w:w="0" w:type="dxa"/>
            <w:left w:w="108" w:type="dxa"/>
            <w:bottom w:w="0" w:type="dxa"/>
            <w:right w:w="108" w:type="dxa"/>
          </w:tblCellMar>
        </w:tblPrEx>
        <w:trPr>
          <w:trHeight w:val="41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w:t>
            </w:r>
          </w:p>
        </w:tc>
        <w:tc>
          <w:tcPr>
            <w:tcW w:w="16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w:t>
            </w:r>
          </w:p>
        </w:tc>
        <w:tc>
          <w:tcPr>
            <w:tcW w:w="30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r>
    </w:tbl>
    <w:p>
      <w:pPr>
        <w:pStyle w:val="5"/>
        <w:tabs>
          <w:tab w:val="left" w:pos="432"/>
        </w:tabs>
        <w:ind w:firstLine="480" w:firstLineChars="200"/>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 xml:space="preserve">（3）其他计价方式： </w:t>
      </w:r>
      <w:r>
        <w:rPr>
          <w:rFonts w:hint="eastAsia" w:ascii="宋体" w:hAnsi="宋体" w:cs="宋体" w:eastAsiaTheme="minorEastAsia"/>
          <w:b w:val="0"/>
          <w:bCs w:val="0"/>
          <w:kern w:val="2"/>
          <w:sz w:val="24"/>
          <w:szCs w:val="24"/>
          <w:u w:val="single"/>
          <w:lang w:val="en-US" w:eastAsia="zh-CN" w:bidi="ar-SA"/>
        </w:rPr>
        <w:t xml:space="preserve">  / </w:t>
      </w:r>
      <w:r>
        <w:rPr>
          <w:rFonts w:hint="eastAsia" w:ascii="宋体" w:hAnsi="宋体" w:cs="宋体" w:eastAsiaTheme="minorEastAsia"/>
          <w:b w:val="0"/>
          <w:bCs w:val="0"/>
          <w:kern w:val="2"/>
          <w:sz w:val="24"/>
          <w:szCs w:val="24"/>
          <w:lang w:val="en-US" w:eastAsia="zh-CN" w:bidi="ar-SA"/>
        </w:rPr>
        <w:t xml:space="preserve"> 。</w:t>
      </w:r>
    </w:p>
    <w:p>
      <w:pPr>
        <w:pStyle w:val="24"/>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cs="Times New Roman"/>
          <w:kern w:val="2"/>
          <w:u w:val="single"/>
        </w:rPr>
        <w:t xml:space="preserve">/  </w:t>
      </w:r>
      <w:r>
        <w:rPr>
          <w:rFonts w:hint="eastAsia" w:cs="Times New Roman"/>
          <w:kern w:val="2"/>
        </w:rPr>
        <w:t>条款规定的计价方式计价。</w:t>
      </w:r>
    </w:p>
    <w:p>
      <w:pPr>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1</w:t>
      </w:r>
      <w:r>
        <w:rPr>
          <w:rFonts w:hint="eastAsia" w:ascii="宋体" w:hAnsi="宋体" w:cs="宋体"/>
          <w:sz w:val="24"/>
        </w:rPr>
        <w:t>）</w:t>
      </w:r>
      <w:r>
        <w:rPr>
          <w:rFonts w:hint="eastAsia" w:ascii="宋体" w:hAnsi="宋体"/>
          <w:sz w:val="24"/>
        </w:rPr>
        <w:t>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单价和总价中均包括了服务类、运费、安装调试费、人工费、服务费、</w:t>
      </w:r>
      <w:r>
        <w:rPr>
          <w:rFonts w:hint="eastAsia" w:ascii="宋体" w:hAnsi="宋体" w:cs="宋体"/>
          <w:sz w:val="24"/>
          <w:lang w:eastAsia="zh-CN"/>
        </w:rPr>
        <w:t>税费</w:t>
      </w:r>
      <w:r>
        <w:rPr>
          <w:rFonts w:hint="eastAsia" w:ascii="宋体" w:hAnsi="宋体" w:cs="宋体"/>
          <w:sz w:val="24"/>
        </w:rPr>
        <w:t>、杂费等所有费用，该价格已包含甲方为履行本合同所需的全部费用，未</w:t>
      </w:r>
      <w:r>
        <w:rPr>
          <w:rFonts w:hint="eastAsia" w:ascii="宋体" w:hAnsi="宋体" w:cs="宋体"/>
          <w:sz w:val="24"/>
          <w:lang w:eastAsia="zh-CN"/>
        </w:rPr>
        <w:t>列明</w:t>
      </w:r>
      <w:r>
        <w:rPr>
          <w:rFonts w:hint="eastAsia" w:ascii="宋体" w:hAnsi="宋体" w:cs="宋体"/>
          <w:sz w:val="24"/>
        </w:rPr>
        <w:t>的分项视为优惠,本合同履行中，甲方不再另行支付任何费用。</w:t>
      </w:r>
    </w:p>
    <w:p>
      <w:pPr>
        <w:spacing w:line="360" w:lineRule="auto"/>
        <w:ind w:firstLine="480" w:firstLineChars="200"/>
        <w:rPr>
          <w:rFonts w:hint="eastAsia"/>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w:t>
      </w:r>
      <w:r>
        <w:rPr>
          <w:rFonts w:ascii="宋体" w:hAnsi="宋体"/>
          <w:sz w:val="24"/>
        </w:rPr>
        <w:t>分项价格</w:t>
      </w:r>
      <w:r>
        <w:rPr>
          <w:rFonts w:hint="eastAsia" w:ascii="宋体" w:hAnsi="宋体" w:cs="宋体"/>
          <w:sz w:val="24"/>
        </w:rPr>
        <w:t>如下：</w:t>
      </w:r>
    </w:p>
    <w:tbl>
      <w:tblPr>
        <w:tblStyle w:val="15"/>
        <w:tblW w:w="9367"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171"/>
        <w:gridCol w:w="1629"/>
        <w:gridCol w:w="1632"/>
        <w:gridCol w:w="859"/>
        <w:gridCol w:w="745"/>
        <w:gridCol w:w="939"/>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0" w:type="dxa"/>
            <w:noWrap w:val="0"/>
            <w:vAlign w:val="center"/>
          </w:tcPr>
          <w:p>
            <w:pPr>
              <w:pStyle w:val="5"/>
              <w:tabs>
                <w:tab w:val="left" w:pos="432"/>
              </w:tabs>
              <w:ind w:left="0" w:firstLine="0"/>
              <w:jc w:val="center"/>
              <w:rPr>
                <w:rFonts w:hint="eastAsia" w:ascii="宋体" w:hAnsi="宋体" w:eastAsia="宋体"/>
                <w:b w:val="0"/>
                <w:sz w:val="24"/>
                <w:szCs w:val="24"/>
                <w:lang w:val="en-US"/>
              </w:rPr>
            </w:pPr>
            <w:bookmarkStart w:id="394" w:name="_Toc21124"/>
            <w:bookmarkStart w:id="395" w:name="_Toc5635"/>
            <w:bookmarkStart w:id="396" w:name="_Toc4929"/>
            <w:bookmarkStart w:id="397" w:name="_Toc13918"/>
            <w:bookmarkStart w:id="398" w:name="_Toc1386"/>
            <w:r>
              <w:rPr>
                <w:rFonts w:hint="eastAsia" w:ascii="宋体" w:hAnsi="宋体" w:eastAsia="宋体"/>
                <w:b w:val="0"/>
                <w:sz w:val="24"/>
                <w:szCs w:val="24"/>
                <w:lang w:val="en-US"/>
              </w:rPr>
              <w:t>序号</w:t>
            </w:r>
          </w:p>
        </w:tc>
        <w:tc>
          <w:tcPr>
            <w:tcW w:w="1171" w:type="dxa"/>
            <w:noWrap w:val="0"/>
            <w:vAlign w:val="center"/>
          </w:tcPr>
          <w:p>
            <w:pPr>
              <w:pStyle w:val="5"/>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货物名称</w:t>
            </w:r>
          </w:p>
        </w:tc>
        <w:tc>
          <w:tcPr>
            <w:tcW w:w="1629" w:type="dxa"/>
            <w:noWrap w:val="0"/>
            <w:vAlign w:val="center"/>
          </w:tcPr>
          <w:p>
            <w:pPr>
              <w:pStyle w:val="5"/>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规格型号/技术要求</w:t>
            </w:r>
          </w:p>
        </w:tc>
        <w:tc>
          <w:tcPr>
            <w:tcW w:w="1632" w:type="dxa"/>
            <w:noWrap w:val="0"/>
            <w:vAlign w:val="center"/>
          </w:tcPr>
          <w:p>
            <w:pPr>
              <w:pStyle w:val="5"/>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品牌/制造商</w:t>
            </w:r>
          </w:p>
        </w:tc>
        <w:tc>
          <w:tcPr>
            <w:tcW w:w="859" w:type="dxa"/>
            <w:noWrap w:val="0"/>
            <w:vAlign w:val="center"/>
          </w:tcPr>
          <w:p>
            <w:pPr>
              <w:pStyle w:val="5"/>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暂定数量</w:t>
            </w:r>
          </w:p>
        </w:tc>
        <w:tc>
          <w:tcPr>
            <w:tcW w:w="745" w:type="dxa"/>
            <w:noWrap w:val="0"/>
            <w:vAlign w:val="center"/>
          </w:tcPr>
          <w:p>
            <w:pPr>
              <w:pStyle w:val="5"/>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单价</w:t>
            </w:r>
          </w:p>
        </w:tc>
        <w:tc>
          <w:tcPr>
            <w:tcW w:w="939" w:type="dxa"/>
            <w:noWrap w:val="0"/>
            <w:vAlign w:val="center"/>
          </w:tcPr>
          <w:p>
            <w:pPr>
              <w:pStyle w:val="5"/>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金额</w:t>
            </w:r>
          </w:p>
        </w:tc>
        <w:tc>
          <w:tcPr>
            <w:tcW w:w="1432" w:type="dxa"/>
            <w:noWrap w:val="0"/>
            <w:vAlign w:val="center"/>
          </w:tcPr>
          <w:p>
            <w:pPr>
              <w:pStyle w:val="5"/>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60" w:type="dxa"/>
            <w:noWrap w:val="0"/>
            <w:vAlign w:val="center"/>
          </w:tcPr>
          <w:p>
            <w:pPr>
              <w:pStyle w:val="5"/>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1</w:t>
            </w:r>
          </w:p>
        </w:tc>
        <w:tc>
          <w:tcPr>
            <w:tcW w:w="1171" w:type="dxa"/>
            <w:noWrap w:val="0"/>
            <w:vAlign w:val="center"/>
          </w:tcPr>
          <w:p>
            <w:pPr>
              <w:pStyle w:val="5"/>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1629" w:type="dxa"/>
            <w:noWrap w:val="0"/>
            <w:vAlign w:val="center"/>
          </w:tcPr>
          <w:p>
            <w:pPr>
              <w:pStyle w:val="5"/>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1632" w:type="dxa"/>
            <w:noWrap w:val="0"/>
            <w:vAlign w:val="center"/>
          </w:tcPr>
          <w:p>
            <w:pPr>
              <w:pStyle w:val="5"/>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859" w:type="dxa"/>
            <w:noWrap w:val="0"/>
            <w:vAlign w:val="center"/>
          </w:tcPr>
          <w:p>
            <w:pPr>
              <w:pStyle w:val="5"/>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745" w:type="dxa"/>
            <w:noWrap w:val="0"/>
            <w:vAlign w:val="center"/>
          </w:tcPr>
          <w:p>
            <w:pPr>
              <w:pStyle w:val="5"/>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939" w:type="dxa"/>
            <w:noWrap w:val="0"/>
            <w:vAlign w:val="center"/>
          </w:tcPr>
          <w:p>
            <w:pPr>
              <w:pStyle w:val="5"/>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1432" w:type="dxa"/>
            <w:noWrap w:val="0"/>
            <w:vAlign w:val="center"/>
          </w:tcPr>
          <w:p>
            <w:pPr>
              <w:pStyle w:val="5"/>
              <w:tabs>
                <w:tab w:val="left" w:pos="432"/>
              </w:tabs>
              <w:ind w:left="0" w:firstLine="0"/>
              <w:jc w:val="center"/>
              <w:rPr>
                <w:rFonts w:hint="default" w:ascii="宋体" w:hAnsi="宋体" w:eastAsia="宋体"/>
                <w:b w:val="0"/>
                <w:sz w:val="24"/>
                <w:szCs w:val="24"/>
                <w:lang w:val="en-US" w:eastAsia="zh-CN"/>
              </w:rPr>
            </w:pPr>
            <w:r>
              <w:rPr>
                <w:rFonts w:hint="eastAsia" w:ascii="宋体" w:hAnsi="宋体" w:eastAsia="宋体"/>
                <w:b w:val="0"/>
                <w:sz w:val="24"/>
                <w:szCs w:val="24"/>
                <w:lang w:val="en-US" w:eastAsia="zh-CN"/>
              </w:rPr>
              <w:t>税率</w:t>
            </w:r>
            <w:r>
              <w:rPr>
                <w:rFonts w:hint="eastAsia" w:ascii="宋体" w:hAnsi="宋体" w:eastAsia="宋体"/>
                <w:b w:val="0"/>
                <w:sz w:val="24"/>
                <w:szCs w:val="24"/>
                <w:u w:val="single"/>
                <w:lang w:val="en-US" w:eastAsia="zh-CN"/>
              </w:rPr>
              <w:t xml:space="preserve">    </w:t>
            </w:r>
            <w:r>
              <w:rPr>
                <w:rFonts w:hint="eastAsia" w:ascii="宋体" w:hAnsi="宋体" w:eastAsia="宋体"/>
                <w:b w:val="0"/>
                <w:sz w:val="24"/>
                <w:szCs w:val="24"/>
                <w:lang w:val="en-US" w:eastAsia="zh-CN"/>
              </w:rPr>
              <w:t>%</w:t>
            </w:r>
          </w:p>
        </w:tc>
      </w:tr>
      <w:bookmarkEnd w:id="394"/>
      <w:bookmarkEnd w:id="395"/>
      <w:bookmarkEnd w:id="396"/>
      <w:bookmarkEnd w:id="397"/>
      <w:bookmarkEnd w:id="398"/>
    </w:tbl>
    <w:p>
      <w:pPr>
        <w:spacing w:line="360" w:lineRule="auto"/>
        <w:ind w:firstLine="482" w:firstLineChars="200"/>
        <w:outlineLvl w:val="0"/>
        <w:rPr>
          <w:rFonts w:ascii="宋体" w:hAnsi="宋体"/>
          <w:b/>
          <w:sz w:val="24"/>
        </w:rPr>
      </w:pPr>
      <w:bookmarkStart w:id="399" w:name="_Toc22618"/>
      <w:bookmarkStart w:id="400" w:name="_Toc1814"/>
      <w:bookmarkStart w:id="401" w:name="_Toc10340"/>
      <w:bookmarkStart w:id="402" w:name="_Toc31421"/>
      <w:bookmarkStart w:id="403" w:name="_Toc11108"/>
      <w:bookmarkStart w:id="404" w:name="_Toc8772"/>
      <w:bookmarkStart w:id="405" w:name="_Toc4760"/>
      <w:bookmarkStart w:id="406" w:name="_Toc3625"/>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pPr>
        <w:spacing w:line="360" w:lineRule="auto"/>
        <w:ind w:firstLine="480" w:firstLineChars="200"/>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w:t>
      </w:r>
      <w:r>
        <w:rPr>
          <w:rFonts w:hint="eastAsia" w:cs="仿宋" w:asciiTheme="minorEastAsia" w:hAnsiTheme="minorEastAsia"/>
          <w:color w:val="auto"/>
          <w:sz w:val="24"/>
          <w:u w:val="single"/>
          <w:lang w:val="en-US" w:eastAsia="zh-CN"/>
        </w:rPr>
        <w:t>合同签订起至完成地下水建井并采样分析出具报告为止</w:t>
      </w:r>
      <w:r>
        <w:rPr>
          <w:rFonts w:hint="eastAsia" w:ascii="宋体" w:hAnsi="宋体"/>
          <w:b/>
          <w:bCs/>
          <w:sz w:val="24"/>
          <w:u w:val="single"/>
        </w:rPr>
        <w:t xml:space="preserve">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完成建井并采样检测出具检测报告</w:t>
      </w:r>
      <w:r>
        <w:rPr>
          <w:rFonts w:hint="eastAsia" w:ascii="宋体" w:hAnsi="宋体"/>
          <w:sz w:val="24"/>
        </w:rPr>
        <w:t>。</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pPr>
        <w:spacing w:line="360" w:lineRule="auto"/>
        <w:ind w:firstLine="480" w:firstLineChars="200"/>
        <w:outlineLvl w:val="0"/>
        <w:rPr>
          <w:rFonts w:hint="eastAsia" w:ascii="宋体" w:hAnsi="宋体" w:cs="宋体"/>
          <w:sz w:val="24"/>
        </w:rPr>
      </w:pPr>
      <w:r>
        <w:rPr>
          <w:rFonts w:hint="eastAsia" w:ascii="宋体" w:hAnsi="宋体" w:cs="宋体"/>
          <w:sz w:val="24"/>
        </w:rPr>
        <w:t>2.乙方所供货物应满足合同约定要求，有国家、地方、行业标准、规范（含强制适用标准、规范和推荐适用标准、规范）的，按相应标准、规范执行（不同标准、规范之间要求不一的，按要求较高者执行）；</w:t>
      </w:r>
    </w:p>
    <w:p>
      <w:pPr>
        <w:spacing w:line="360" w:lineRule="auto"/>
        <w:ind w:firstLine="480" w:firstLineChars="200"/>
        <w:outlineLvl w:val="0"/>
        <w:rPr>
          <w:rFonts w:hint="eastAsia" w:ascii="宋体" w:hAnsi="宋体" w:cs="宋体"/>
          <w:sz w:val="24"/>
        </w:rPr>
      </w:pPr>
      <w:r>
        <w:rPr>
          <w:rFonts w:hint="eastAsia" w:ascii="宋体" w:hAnsi="宋体" w:cs="宋体"/>
          <w:sz w:val="24"/>
        </w:rPr>
        <w:t>3.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spacing w:line="360" w:lineRule="auto"/>
        <w:ind w:firstLine="480" w:firstLineChars="200"/>
        <w:outlineLvl w:val="0"/>
        <w:rPr>
          <w:rFonts w:hint="eastAsia"/>
        </w:rPr>
      </w:pPr>
      <w:r>
        <w:rPr>
          <w:rFonts w:hint="eastAsia" w:ascii="宋体" w:hAnsi="宋体" w:cs="宋体"/>
          <w:sz w:val="24"/>
        </w:rPr>
        <w:t>4.甲方不再对任何售后服务进行付费，乙方的派遣人员产生的一切费用由供应商承担。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bookmarkStart w:id="407" w:name="_Toc6596"/>
      <w:bookmarkStart w:id="408" w:name="_Toc14563"/>
      <w:bookmarkStart w:id="409" w:name="_Toc1125"/>
      <w:r>
        <w:rPr>
          <w:rFonts w:hint="eastAsia" w:ascii="宋体" w:hAnsi="宋体" w:cs="宋体"/>
          <w:b/>
          <w:sz w:val="24"/>
        </w:rPr>
        <w:t>五、检验和验收</w:t>
      </w:r>
      <w:bookmarkEnd w:id="407"/>
      <w:bookmarkEnd w:id="408"/>
      <w:bookmarkEnd w:id="409"/>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pPr>
        <w:pStyle w:val="3"/>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pStyle w:val="24"/>
        <w:spacing w:before="0" w:beforeAutospacing="0" w:after="0" w:afterAutospacing="0" w:line="360" w:lineRule="auto"/>
        <w:ind w:firstLine="480"/>
        <w:rPr>
          <w:b/>
        </w:rPr>
      </w:pPr>
      <w:r>
        <w:rPr>
          <w:rFonts w:hint="eastAsia"/>
          <w:b/>
        </w:rPr>
        <w:t>七、履约保证金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eastAsiaTheme="minorEastAsia"/>
          <w:kern w:val="0"/>
          <w:sz w:val="24"/>
          <w:szCs w:val="24"/>
          <w:u w:val="single"/>
          <w:lang w:val="en-US" w:eastAsia="zh-CN" w:bidi="ar-SA"/>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5.甲方在项目验收结束后及时退还履约保证金。甲方在项目通过验收之日起</w:t>
      </w:r>
      <w:r>
        <w:rPr>
          <w:rFonts w:hint="eastAsia" w:ascii="宋体" w:hAnsi="宋体"/>
          <w:sz w:val="24"/>
          <w:u w:val="single"/>
          <w:lang w:val="en-US" w:eastAsia="zh-CN"/>
        </w:rPr>
        <w:t>30</w:t>
      </w:r>
      <w:r>
        <w:rPr>
          <w:rFonts w:hint="eastAsia" w:ascii="宋体" w:hAnsi="宋体"/>
          <w:sz w:val="24"/>
          <w:lang w:val="en-US" w:eastAsia="zh-CN"/>
        </w:rPr>
        <w:t>个工作日内将履约保证金无息退还乙方。</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9"/>
    <w:bookmarkEnd w:id="400"/>
    <w:bookmarkEnd w:id="401"/>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九、资金支付</w:t>
      </w:r>
    </w:p>
    <w:p>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firstLineChars="200"/>
        <w:rPr>
          <w:rFonts w:hint="eastAsia"/>
        </w:rPr>
      </w:pPr>
      <w:r>
        <w:rPr>
          <w:rFonts w:hint="eastAsia"/>
          <w:u w:val="single"/>
        </w:rPr>
        <w:t>（3）一次性付款，</w:t>
      </w:r>
      <w:r>
        <w:rPr>
          <w:rFonts w:hint="eastAsia"/>
          <w:u w:val="single"/>
          <w:lang w:val="en-US" w:eastAsia="zh-CN"/>
        </w:rPr>
        <w:t>建井、检测报告</w:t>
      </w:r>
      <w:r>
        <w:rPr>
          <w:rFonts w:hint="eastAsia"/>
          <w:u w:val="single"/>
        </w:rPr>
        <w:t>经甲方验收合格后，甲方收到乙方提供的增值税专用发票后，甲方在本合同约定时间内完成支付。</w:t>
      </w:r>
      <w:r>
        <w:rPr>
          <w:rFonts w:hint="eastAsia"/>
        </w:rPr>
        <w:t xml:space="preserve">     </w:t>
      </w:r>
    </w:p>
    <w:p>
      <w:pPr>
        <w:pStyle w:val="24"/>
        <w:spacing w:before="0" w:beforeAutospacing="0" w:after="0" w:afterAutospacing="0" w:line="360" w:lineRule="auto"/>
        <w:ind w:firstLine="480" w:firstLineChars="200"/>
      </w:pPr>
      <w:r>
        <w:rPr>
          <w:rFonts w:hint="eastAsia"/>
        </w:rPr>
        <w:t>（4）</w:t>
      </w:r>
      <w:r>
        <w:rPr>
          <w:rFonts w:hint="eastAsia"/>
          <w:u w:val="single"/>
        </w:rPr>
        <w:t xml:space="preserve">其他付款方式： 按次支付费用， 验收合格后，乙方提供准确清单以及合格的增值税发票后，甲方于30日内完成该次费用支付 </w:t>
      </w:r>
      <w:r>
        <w:rPr>
          <w:rFonts w:hint="eastAsia"/>
        </w:rPr>
        <w:t>。</w:t>
      </w:r>
    </w:p>
    <w:p>
      <w:pPr>
        <w:spacing w:line="360" w:lineRule="auto"/>
        <w:ind w:firstLine="482" w:firstLineChars="200"/>
        <w:rPr>
          <w:rFonts w:ascii="宋体" w:hAnsi="宋体"/>
          <w:sz w:val="24"/>
          <w:u w:val="single"/>
        </w:rPr>
      </w:pPr>
      <w:r>
        <w:rPr>
          <w:rFonts w:hint="eastAsia" w:ascii="宋体" w:hAnsi="宋体"/>
          <w:b/>
          <w:sz w:val="24"/>
        </w:rPr>
        <w:t>十、</w:t>
      </w:r>
      <w:bookmarkEnd w:id="402"/>
      <w:bookmarkEnd w:id="403"/>
      <w:bookmarkEnd w:id="404"/>
      <w:bookmarkEnd w:id="405"/>
      <w:bookmarkEnd w:id="406"/>
      <w:bookmarkStart w:id="410" w:name="_Toc5698"/>
      <w:bookmarkStart w:id="411" w:name="_Toc24662"/>
      <w:bookmarkStart w:id="412" w:name="_Toc8586"/>
      <w:bookmarkStart w:id="413" w:name="_Toc3079"/>
      <w:bookmarkStart w:id="414" w:name="_Toc2375"/>
      <w:r>
        <w:rPr>
          <w:rFonts w:hint="eastAsia" w:ascii="宋体" w:hAnsi="宋体"/>
          <w:b/>
          <w:sz w:val="24"/>
        </w:rPr>
        <w:t>违约责任</w:t>
      </w:r>
      <w:bookmarkEnd w:id="410"/>
      <w:bookmarkEnd w:id="411"/>
      <w:bookmarkEnd w:id="412"/>
      <w:bookmarkEnd w:id="413"/>
      <w:bookmarkEnd w:id="414"/>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2.服务中涉及的货物，除不可抗力外，如果乙方没有按照本合同约定的期限、地点和方式交付货物，那么甲方可要求乙方支付违约金，迟延履行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，迟延交付达到15天的，甲方有权单方解除本合同，并要求乙方一次性承担（□本合同累计已发生金额/☑合同约定总金额）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3.除不可抗力外，如果甲方没有按照本合同约定的付款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415" w:name="_Toc18683"/>
      <w:bookmarkStart w:id="416" w:name="_Toc26807"/>
      <w:bookmarkStart w:id="417" w:name="_Toc30329"/>
      <w:bookmarkStart w:id="418" w:name="_Toc9497"/>
      <w:bookmarkStart w:id="419" w:name="_Toc32454"/>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（3）甲方无故拒收成果交付，乙方有权要求甲方按照合同原价支付费用  。</w:t>
      </w:r>
    </w:p>
    <w:p>
      <w:pPr>
        <w:spacing w:line="360" w:lineRule="auto"/>
        <w:ind w:right="-420" w:rightChars="-200" w:firstLine="480" w:firstLineChars="200"/>
        <w:rPr>
          <w:rFonts w:ascii="宋体" w:hAnsi="宋体" w:cs="宋体"/>
          <w:u w:val="single"/>
        </w:rPr>
      </w:pPr>
      <w:r>
        <w:rPr>
          <w:rFonts w:hint="eastAsia" w:ascii="宋体" w:hAnsi="宋体" w:cs="宋体"/>
          <w:sz w:val="24"/>
          <w:u w:val="single"/>
        </w:rPr>
        <w:t>（4）若质保期内出现质量问题，甲方有权从质保金中扣除违约金，同时乙方应免费维修或更换。</w:t>
      </w:r>
    </w:p>
    <w:bookmarkEnd w:id="415"/>
    <w:bookmarkEnd w:id="416"/>
    <w:bookmarkEnd w:id="417"/>
    <w:bookmarkEnd w:id="418"/>
    <w:bookmarkEnd w:id="419"/>
    <w:p>
      <w:pPr>
        <w:spacing w:line="360" w:lineRule="auto"/>
        <w:ind w:firstLine="482" w:firstLineChars="200"/>
        <w:outlineLvl w:val="0"/>
        <w:rPr>
          <w:rFonts w:ascii="宋体" w:hAnsi="宋体" w:cs="宋体"/>
          <w:b/>
          <w:sz w:val="24"/>
        </w:rPr>
      </w:pPr>
      <w:bookmarkStart w:id="420" w:name="_Toc28375"/>
      <w:bookmarkStart w:id="421" w:name="_Toc16021"/>
      <w:bookmarkStart w:id="422" w:name="_Toc15583"/>
      <w:r>
        <w:rPr>
          <w:rFonts w:hint="eastAsia" w:ascii="宋体" w:hAnsi="宋体" w:cs="宋体"/>
          <w:b/>
          <w:sz w:val="24"/>
        </w:rPr>
        <w:t>十一、合同争议的解决</w:t>
      </w:r>
      <w:bookmarkEnd w:id="420"/>
      <w:bookmarkEnd w:id="421"/>
      <w:bookmarkEnd w:id="422"/>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p>
      <w:pPr>
        <w:spacing w:line="360" w:lineRule="auto"/>
        <w:ind w:firstLine="482" w:firstLineChars="200"/>
        <w:outlineLvl w:val="0"/>
        <w:rPr>
          <w:rFonts w:ascii="宋体" w:hAnsi="宋体" w:cs="宋体"/>
          <w:b/>
          <w:sz w:val="24"/>
        </w:rPr>
      </w:pPr>
      <w:bookmarkStart w:id="423" w:name="_Toc11173"/>
      <w:bookmarkStart w:id="424" w:name="_Toc15322"/>
      <w:bookmarkStart w:id="425" w:name="_Toc7245"/>
      <w:r>
        <w:rPr>
          <w:rFonts w:hint="eastAsia" w:ascii="宋体" w:hAnsi="宋体" w:cs="宋体"/>
          <w:b/>
          <w:sz w:val="24"/>
        </w:rPr>
        <w:t>十二、合同生效</w:t>
      </w:r>
      <w:bookmarkEnd w:id="423"/>
      <w:bookmarkEnd w:id="424"/>
      <w:bookmarkEnd w:id="425"/>
    </w:p>
    <w:p>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spacing w:line="360" w:lineRule="auto"/>
        <w:ind w:firstLine="480" w:firstLineChars="200"/>
        <w:rPr>
          <w:rFonts w:hint="eastAsia" w:ascii="宋体" w:hAnsi="宋体" w:cs="宋体"/>
          <w:sz w:val="24"/>
        </w:rPr>
      </w:pPr>
    </w:p>
    <w:p>
      <w:pPr>
        <w:pStyle w:val="23"/>
        <w:ind w:left="0" w:leftChars="0" w:firstLine="0" w:firstLineChars="0"/>
        <w:jc w:val="center"/>
        <w:rPr>
          <w:rFonts w:hint="eastAsia" w:ascii="宋体" w:hAnsi="宋体"/>
          <w:b/>
          <w:szCs w:val="24"/>
        </w:rPr>
      </w:pPr>
    </w:p>
    <w:p>
      <w:pPr>
        <w:pStyle w:val="8"/>
        <w:rPr>
          <w:rFonts w:hint="eastAsia" w:ascii="宋体" w:hAnsi="宋体"/>
          <w:b/>
          <w:szCs w:val="24"/>
        </w:rPr>
      </w:pPr>
    </w:p>
    <w:p>
      <w:pPr>
        <w:pStyle w:val="8"/>
        <w:rPr>
          <w:rFonts w:hint="eastAsia" w:ascii="宋体" w:hAnsi="宋体"/>
          <w:b/>
          <w:szCs w:val="24"/>
        </w:rPr>
      </w:pPr>
    </w:p>
    <w:p>
      <w:pPr>
        <w:pStyle w:val="8"/>
        <w:rPr>
          <w:rFonts w:hint="eastAsia" w:ascii="宋体" w:hAnsi="宋体"/>
          <w:b/>
          <w:szCs w:val="24"/>
        </w:rPr>
      </w:pPr>
    </w:p>
    <w:p>
      <w:pPr>
        <w:pStyle w:val="8"/>
        <w:rPr>
          <w:rFonts w:hint="eastAsia" w:ascii="宋体" w:hAnsi="宋体"/>
          <w:b/>
          <w:szCs w:val="24"/>
        </w:rPr>
      </w:pPr>
    </w:p>
    <w:p>
      <w:pPr>
        <w:pStyle w:val="8"/>
        <w:rPr>
          <w:rFonts w:hint="eastAsia" w:ascii="宋体" w:hAnsi="宋体"/>
          <w:b/>
          <w:szCs w:val="24"/>
        </w:rPr>
      </w:pPr>
    </w:p>
    <w:p>
      <w:pPr>
        <w:pStyle w:val="8"/>
        <w:rPr>
          <w:rFonts w:hint="eastAsia" w:ascii="宋体" w:hAnsi="宋体"/>
          <w:b/>
          <w:szCs w:val="24"/>
        </w:rPr>
      </w:pPr>
    </w:p>
    <w:p>
      <w:pPr>
        <w:pStyle w:val="8"/>
        <w:rPr>
          <w:rFonts w:hint="eastAsia" w:ascii="宋体" w:hAnsi="宋体"/>
          <w:b/>
          <w:szCs w:val="24"/>
        </w:rPr>
      </w:pPr>
    </w:p>
    <w:p>
      <w:pPr>
        <w:pStyle w:val="8"/>
        <w:rPr>
          <w:rFonts w:hint="eastAsia" w:ascii="宋体" w:hAnsi="宋体"/>
          <w:b/>
          <w:szCs w:val="24"/>
        </w:rPr>
      </w:pPr>
    </w:p>
    <w:p>
      <w:pPr>
        <w:pStyle w:val="8"/>
        <w:rPr>
          <w:rFonts w:hint="eastAsia" w:ascii="宋体" w:hAnsi="宋体"/>
          <w:b/>
          <w:szCs w:val="24"/>
        </w:rPr>
      </w:pPr>
    </w:p>
    <w:p>
      <w:pPr>
        <w:pStyle w:val="8"/>
        <w:rPr>
          <w:rFonts w:hint="eastAsia" w:ascii="宋体" w:hAnsi="宋体"/>
          <w:b/>
          <w:szCs w:val="24"/>
        </w:rPr>
      </w:pPr>
    </w:p>
    <w:p>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26" w:name="_Toc14021"/>
      <w:bookmarkStart w:id="427" w:name="_Toc25079"/>
      <w:bookmarkStart w:id="428" w:name="_Toc31297"/>
      <w:bookmarkStart w:id="429" w:name="_Toc5228"/>
      <w:bookmarkStart w:id="430" w:name="_Toc19680"/>
      <w:r>
        <w:rPr>
          <w:rFonts w:hint="eastAsia" w:ascii="宋体" w:hAnsi="宋体"/>
          <w:b/>
          <w:sz w:val="24"/>
        </w:rPr>
        <w:t>一、</w:t>
      </w:r>
      <w:r>
        <w:rPr>
          <w:rFonts w:ascii="宋体" w:hAnsi="宋体"/>
          <w:b/>
          <w:sz w:val="24"/>
        </w:rPr>
        <w:t>定义</w:t>
      </w:r>
      <w:bookmarkEnd w:id="426"/>
      <w:bookmarkEnd w:id="427"/>
      <w:bookmarkEnd w:id="428"/>
      <w:bookmarkEnd w:id="429"/>
      <w:bookmarkEnd w:id="430"/>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31" w:name="_Toc23289"/>
      <w:bookmarkStart w:id="432" w:name="_Toc3769"/>
      <w:bookmarkStart w:id="433" w:name="_Toc19539"/>
      <w:bookmarkStart w:id="434" w:name="_Toc16752"/>
      <w:bookmarkStart w:id="435" w:name="_Toc31402"/>
      <w:r>
        <w:rPr>
          <w:rFonts w:hint="eastAsia" w:ascii="宋体" w:hAnsi="宋体"/>
          <w:b/>
          <w:sz w:val="24"/>
        </w:rPr>
        <w:t>二、</w:t>
      </w:r>
      <w:r>
        <w:rPr>
          <w:rFonts w:ascii="宋体" w:hAnsi="宋体"/>
          <w:b/>
          <w:sz w:val="24"/>
        </w:rPr>
        <w:t xml:space="preserve"> 技术规范</w:t>
      </w:r>
      <w:bookmarkEnd w:id="431"/>
      <w:bookmarkEnd w:id="432"/>
      <w:bookmarkEnd w:id="433"/>
      <w:bookmarkEnd w:id="434"/>
      <w:bookmarkEnd w:id="435"/>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36" w:name="_Toc12412"/>
      <w:bookmarkStart w:id="437" w:name="_Toc13673"/>
      <w:bookmarkStart w:id="438" w:name="_Toc27945"/>
      <w:bookmarkStart w:id="439" w:name="_Toc4133"/>
      <w:bookmarkStart w:id="440" w:name="_Toc9161"/>
      <w:r>
        <w:rPr>
          <w:rFonts w:hint="eastAsia" w:ascii="宋体" w:hAnsi="宋体"/>
          <w:b/>
          <w:sz w:val="24"/>
        </w:rPr>
        <w:t>三、</w:t>
      </w:r>
      <w:r>
        <w:rPr>
          <w:rFonts w:ascii="宋体" w:hAnsi="宋体"/>
          <w:b/>
          <w:sz w:val="24"/>
        </w:rPr>
        <w:t xml:space="preserve"> 知识产权</w:t>
      </w:r>
      <w:bookmarkEnd w:id="436"/>
      <w:bookmarkEnd w:id="437"/>
      <w:bookmarkEnd w:id="438"/>
      <w:bookmarkEnd w:id="439"/>
      <w:bookmarkEnd w:id="440"/>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41" w:name="_Toc32670"/>
      <w:bookmarkStart w:id="442" w:name="_Toc26555"/>
      <w:bookmarkStart w:id="443" w:name="_Toc15447"/>
      <w:bookmarkStart w:id="444" w:name="_Toc22011"/>
      <w:bookmarkStart w:id="445" w:name="_Toc31233"/>
      <w:r>
        <w:rPr>
          <w:rFonts w:hint="eastAsia" w:ascii="宋体" w:hAnsi="宋体"/>
          <w:b/>
          <w:sz w:val="24"/>
        </w:rPr>
        <w:t>五、</w:t>
      </w:r>
      <w:r>
        <w:rPr>
          <w:rFonts w:ascii="宋体" w:hAnsi="宋体"/>
          <w:b/>
          <w:sz w:val="24"/>
        </w:rPr>
        <w:t>结算方式和付款条件</w:t>
      </w:r>
      <w:bookmarkEnd w:id="441"/>
      <w:bookmarkEnd w:id="442"/>
      <w:bookmarkEnd w:id="443"/>
      <w:bookmarkEnd w:id="444"/>
      <w:bookmarkEnd w:id="445"/>
    </w:p>
    <w:p>
      <w:pPr>
        <w:spacing w:line="360" w:lineRule="auto"/>
        <w:ind w:firstLine="480" w:firstLineChars="200"/>
        <w:outlineLvl w:val="0"/>
        <w:rPr>
          <w:rFonts w:hint="eastAsia" w:ascii="宋体" w:hAnsi="宋体"/>
          <w:bCs/>
          <w:sz w:val="24"/>
        </w:rPr>
      </w:pPr>
      <w:bookmarkStart w:id="446" w:name="_Toc13467"/>
      <w:bookmarkStart w:id="447" w:name="_Toc30507"/>
      <w:bookmarkStart w:id="448" w:name="_Toc13154"/>
      <w:bookmarkStart w:id="449" w:name="_Toc16163"/>
      <w:bookmarkStart w:id="450" w:name="_Toc18990"/>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6"/>
      <w:bookmarkEnd w:id="447"/>
      <w:bookmarkEnd w:id="448"/>
      <w:bookmarkEnd w:id="449"/>
      <w:bookmarkEnd w:id="450"/>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51" w:name="_Toc19069"/>
      <w:r>
        <w:rPr>
          <w:rFonts w:hint="eastAsia" w:ascii="宋体" w:hAnsi="宋体"/>
          <w:b/>
          <w:sz w:val="24"/>
        </w:rPr>
        <w:t>七、质量保证</w:t>
      </w:r>
      <w:bookmarkEnd w:id="451"/>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52"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2"/>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53" w:name="_Toc10611"/>
      <w:r>
        <w:rPr>
          <w:rFonts w:hint="eastAsia" w:ascii="宋体" w:hAnsi="宋体"/>
          <w:b/>
          <w:sz w:val="24"/>
        </w:rPr>
        <w:t>九、合同变更</w:t>
      </w:r>
      <w:bookmarkEnd w:id="453"/>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54" w:name="_Toc21830"/>
      <w:bookmarkStart w:id="455" w:name="_Toc26689"/>
      <w:bookmarkStart w:id="456" w:name="_Toc10663"/>
      <w:bookmarkStart w:id="457" w:name="_Toc23368"/>
      <w:bookmarkStart w:id="458" w:name="_Toc42"/>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4"/>
      <w:bookmarkEnd w:id="455"/>
      <w:bookmarkEnd w:id="456"/>
      <w:bookmarkEnd w:id="457"/>
      <w:bookmarkEnd w:id="458"/>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59" w:name="_Toc26633"/>
      <w:bookmarkStart w:id="460" w:name="_Toc32494"/>
      <w:bookmarkStart w:id="461" w:name="_Toc25571"/>
      <w:bookmarkStart w:id="462" w:name="_Toc14371"/>
      <w:bookmarkStart w:id="463" w:name="_Toc4720"/>
      <w:r>
        <w:rPr>
          <w:rFonts w:hint="eastAsia" w:ascii="宋体" w:hAnsi="宋体"/>
          <w:b/>
          <w:sz w:val="24"/>
        </w:rPr>
        <w:t>十一、</w:t>
      </w:r>
      <w:r>
        <w:rPr>
          <w:rFonts w:ascii="宋体" w:hAnsi="宋体"/>
          <w:b/>
          <w:sz w:val="24"/>
        </w:rPr>
        <w:t>不可抗力</w:t>
      </w:r>
      <w:bookmarkEnd w:id="459"/>
      <w:bookmarkEnd w:id="460"/>
      <w:bookmarkEnd w:id="461"/>
      <w:bookmarkEnd w:id="462"/>
      <w:bookmarkEnd w:id="463"/>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64" w:name="_Toc24465"/>
      <w:bookmarkStart w:id="465" w:name="_Toc3638"/>
      <w:bookmarkStart w:id="466" w:name="_Toc23854"/>
      <w:bookmarkStart w:id="467" w:name="_Toc14115"/>
      <w:bookmarkStart w:id="468" w:name="_Toc25783"/>
      <w:r>
        <w:rPr>
          <w:rFonts w:hint="eastAsia" w:ascii="宋体" w:hAnsi="宋体"/>
          <w:b/>
          <w:sz w:val="24"/>
        </w:rPr>
        <w:t>十二、</w:t>
      </w:r>
      <w:r>
        <w:rPr>
          <w:rFonts w:ascii="宋体" w:hAnsi="宋体"/>
          <w:b/>
          <w:sz w:val="24"/>
        </w:rPr>
        <w:t>税费</w:t>
      </w:r>
      <w:bookmarkEnd w:id="464"/>
      <w:bookmarkEnd w:id="465"/>
      <w:bookmarkEnd w:id="466"/>
      <w:bookmarkEnd w:id="467"/>
      <w:bookmarkEnd w:id="468"/>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69" w:name="_Toc30105"/>
      <w:bookmarkStart w:id="470" w:name="_Toc7315"/>
      <w:bookmarkStart w:id="471" w:name="_Toc25525"/>
      <w:bookmarkStart w:id="472" w:name="_Toc14814"/>
      <w:bookmarkStart w:id="473" w:name="_Toc26883"/>
      <w:r>
        <w:rPr>
          <w:rFonts w:hint="eastAsia" w:ascii="宋体" w:hAnsi="宋体"/>
          <w:b/>
          <w:sz w:val="24"/>
        </w:rPr>
        <w:t>十三、</w:t>
      </w:r>
      <w:r>
        <w:rPr>
          <w:rFonts w:ascii="宋体" w:hAnsi="宋体"/>
          <w:b/>
          <w:sz w:val="24"/>
        </w:rPr>
        <w:t>乙方破产</w:t>
      </w:r>
      <w:bookmarkEnd w:id="469"/>
      <w:bookmarkEnd w:id="470"/>
      <w:bookmarkEnd w:id="471"/>
      <w:bookmarkEnd w:id="472"/>
      <w:bookmarkEnd w:id="473"/>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74" w:name="_Toc1123"/>
      <w:bookmarkStart w:id="475" w:name="_Toc23323"/>
      <w:bookmarkStart w:id="476" w:name="_Toc2016"/>
      <w:r>
        <w:rPr>
          <w:rFonts w:hint="eastAsia" w:ascii="宋体" w:hAnsi="宋体"/>
          <w:b/>
          <w:sz w:val="24"/>
        </w:rPr>
        <w:t>十四、</w:t>
      </w:r>
      <w:r>
        <w:rPr>
          <w:rFonts w:ascii="宋体" w:hAnsi="宋体"/>
          <w:b/>
          <w:sz w:val="24"/>
        </w:rPr>
        <w:t>合同中止、终止</w:t>
      </w:r>
      <w:bookmarkEnd w:id="474"/>
      <w:bookmarkEnd w:id="475"/>
      <w:bookmarkEnd w:id="476"/>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bookmarkStart w:id="477" w:name="_Toc14525"/>
      <w:bookmarkStart w:id="478" w:name="_Toc17363"/>
      <w:bookmarkStart w:id="479" w:name="_Toc1969"/>
      <w:r>
        <w:rPr>
          <w:rFonts w:hint="eastAsia" w:ascii="宋体" w:hAnsi="宋体"/>
          <w:b/>
          <w:sz w:val="24"/>
        </w:rPr>
        <w:t>十五</w:t>
      </w:r>
      <w:bookmarkEnd w:id="477"/>
      <w:bookmarkEnd w:id="478"/>
      <w:bookmarkEnd w:id="479"/>
      <w:bookmarkStart w:id="480" w:name="_Toc12666"/>
      <w:bookmarkStart w:id="481" w:name="_Toc25198"/>
      <w:bookmarkStart w:id="482" w:name="_Toc31892"/>
      <w:bookmarkStart w:id="483" w:name="_Toc9808"/>
      <w:bookmarkStart w:id="484" w:name="_Toc2308"/>
      <w:r>
        <w:rPr>
          <w:rFonts w:hint="eastAsia" w:ascii="宋体" w:hAnsi="宋体"/>
          <w:b/>
          <w:sz w:val="24"/>
        </w:rPr>
        <w:t>、</w:t>
      </w:r>
      <w:r>
        <w:rPr>
          <w:rFonts w:ascii="宋体" w:hAnsi="宋体"/>
          <w:b/>
          <w:sz w:val="24"/>
        </w:rPr>
        <w:t>通知和送达</w:t>
      </w:r>
      <w:bookmarkEnd w:id="480"/>
      <w:bookmarkEnd w:id="481"/>
      <w:bookmarkEnd w:id="482"/>
      <w:bookmarkEnd w:id="483"/>
      <w:bookmarkEnd w:id="484"/>
    </w:p>
    <w:p>
      <w:pPr>
        <w:spacing w:line="360" w:lineRule="auto"/>
        <w:ind w:firstLine="480" w:firstLineChars="200"/>
        <w:rPr>
          <w:rFonts w:ascii="宋体" w:hAnsi="宋体"/>
          <w:sz w:val="24"/>
        </w:rPr>
      </w:pPr>
      <w:bookmarkStart w:id="485" w:name="_Toc27674"/>
      <w:bookmarkStart w:id="486" w:name="_Toc18401"/>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5"/>
      <w:bookmarkEnd w:id="486"/>
    </w:p>
    <w:p>
      <w:pPr>
        <w:spacing w:line="360" w:lineRule="auto"/>
        <w:ind w:firstLine="482" w:firstLineChars="200"/>
        <w:outlineLvl w:val="0"/>
        <w:rPr>
          <w:rFonts w:ascii="宋体" w:hAnsi="宋体" w:cs="宋体"/>
          <w:b/>
          <w:sz w:val="24"/>
        </w:rPr>
      </w:pPr>
      <w:bookmarkStart w:id="487" w:name="_Toc18540"/>
      <w:bookmarkStart w:id="488" w:name="_Toc30599"/>
      <w:bookmarkStart w:id="489" w:name="_Toc4355"/>
      <w:bookmarkStart w:id="490" w:name="_Toc28906"/>
      <w:bookmarkStart w:id="491" w:name="_Toc27644"/>
      <w:bookmarkStart w:id="492" w:name="_Toc12254"/>
      <w:bookmarkStart w:id="493" w:name="_Toc20808"/>
      <w:bookmarkStart w:id="494" w:name="_Toc5063"/>
      <w:r>
        <w:rPr>
          <w:rFonts w:hint="eastAsia" w:ascii="宋体" w:hAnsi="宋体" w:cs="宋体"/>
          <w:b/>
          <w:sz w:val="24"/>
        </w:rPr>
        <w:t>十六、计量单位</w:t>
      </w:r>
      <w:bookmarkEnd w:id="487"/>
      <w:bookmarkEnd w:id="488"/>
      <w:bookmarkEnd w:id="489"/>
    </w:p>
    <w:p>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0"/>
      <w:bookmarkEnd w:id="491"/>
      <w:bookmarkEnd w:id="492"/>
      <w:bookmarkEnd w:id="493"/>
      <w:bookmarkEnd w:id="494"/>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rPr>
          <w:rFonts w:hint="eastAsia"/>
        </w:rPr>
      </w:pPr>
    </w:p>
    <w:p>
      <w:pPr>
        <w:pStyle w:val="23"/>
        <w:spacing w:line="560" w:lineRule="exact"/>
        <w:ind w:left="0" w:leftChars="0" w:firstLine="0" w:firstLineChars="0"/>
        <w:jc w:val="both"/>
        <w:rPr>
          <w:rFonts w:hint="eastAsia" w:ascii="宋体" w:hAnsi="宋体"/>
          <w:b/>
          <w:szCs w:val="24"/>
        </w:rPr>
      </w:pPr>
    </w:p>
    <w:p>
      <w:pPr>
        <w:pStyle w:val="8"/>
        <w:rPr>
          <w:rFonts w:hint="eastAsia" w:ascii="宋体" w:hAnsi="宋体"/>
          <w:b/>
          <w:szCs w:val="24"/>
        </w:rPr>
      </w:pPr>
    </w:p>
    <w:p>
      <w:pPr>
        <w:pStyle w:val="8"/>
        <w:rPr>
          <w:rFonts w:hint="eastAsia" w:ascii="宋体" w:hAnsi="宋体"/>
          <w:b/>
          <w:szCs w:val="24"/>
        </w:rPr>
      </w:pPr>
    </w:p>
    <w:p>
      <w:pPr>
        <w:pStyle w:val="8"/>
        <w:ind w:left="0" w:leftChars="0" w:firstLine="0" w:firstLineChars="0"/>
        <w:rPr>
          <w:rFonts w:hint="eastAsia"/>
          <w:b/>
          <w:szCs w:val="24"/>
          <w:lang w:val="en-US" w:eastAsia="zh-CN"/>
        </w:rPr>
      </w:pPr>
      <w:r>
        <w:rPr>
          <w:rFonts w:hint="eastAsia"/>
          <w:b/>
          <w:szCs w:val="24"/>
          <w:lang w:val="en-US" w:eastAsia="zh-CN"/>
        </w:rPr>
        <w:t>附件清单</w:t>
      </w:r>
    </w:p>
    <w:p>
      <w:pPr>
        <w:pStyle w:val="8"/>
        <w:ind w:left="0" w:leftChars="0" w:firstLine="0" w:firstLineChars="0"/>
        <w:rPr>
          <w:rFonts w:hint="default"/>
          <w:b/>
          <w:szCs w:val="24"/>
          <w:lang w:val="en-US" w:eastAsia="zh-CN"/>
        </w:rPr>
      </w:pPr>
    </w:p>
    <w:tbl>
      <w:tblPr>
        <w:tblStyle w:val="15"/>
        <w:tblW w:w="8975" w:type="dxa"/>
        <w:tblInd w:w="96" w:type="dxa"/>
        <w:tblLayout w:type="fixed"/>
        <w:tblCellMar>
          <w:top w:w="0" w:type="dxa"/>
          <w:left w:w="108" w:type="dxa"/>
          <w:bottom w:w="0" w:type="dxa"/>
          <w:right w:w="108" w:type="dxa"/>
        </w:tblCellMar>
      </w:tblPr>
      <w:tblGrid>
        <w:gridCol w:w="636"/>
        <w:gridCol w:w="1671"/>
        <w:gridCol w:w="3097"/>
        <w:gridCol w:w="837"/>
        <w:gridCol w:w="1148"/>
        <w:gridCol w:w="876"/>
        <w:gridCol w:w="710"/>
      </w:tblGrid>
      <w:tr>
        <w:trPr>
          <w:trHeight w:val="561" w:hRule="atLeast"/>
        </w:trPr>
        <w:tc>
          <w:tcPr>
            <w:tcW w:w="8975" w:type="dxa"/>
            <w:gridSpan w:val="7"/>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能源事业部</w:t>
            </w:r>
          </w:p>
        </w:tc>
      </w:tr>
      <w:tr>
        <w:tblPrEx>
          <w:tblCellMar>
            <w:top w:w="0" w:type="dxa"/>
            <w:left w:w="108" w:type="dxa"/>
            <w:bottom w:w="0" w:type="dxa"/>
            <w:right w:w="108" w:type="dxa"/>
          </w:tblCellMar>
        </w:tblPrEx>
        <w:trPr>
          <w:trHeight w:val="561"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6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lang w:eastAsia="zh-CN"/>
              </w:rPr>
            </w:pPr>
            <w:r>
              <w:rPr>
                <w:rFonts w:hint="eastAsia" w:ascii="宋体" w:hAnsi="宋体" w:cs="宋体"/>
                <w:kern w:val="0"/>
                <w:sz w:val="20"/>
                <w:szCs w:val="20"/>
                <w:lang w:val="en-US" w:eastAsia="zh-CN" w:bidi="ar"/>
              </w:rPr>
              <w:t>项目</w:t>
            </w:r>
          </w:p>
        </w:tc>
        <w:tc>
          <w:tcPr>
            <w:tcW w:w="30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内容</w:t>
            </w:r>
          </w:p>
        </w:tc>
        <w:tc>
          <w:tcPr>
            <w:tcW w:w="8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eastAsia="zh-CN"/>
              </w:rPr>
            </w:pPr>
            <w:r>
              <w:rPr>
                <w:rFonts w:hint="eastAsia" w:ascii="宋体" w:hAnsi="宋体" w:cs="宋体"/>
                <w:kern w:val="0"/>
                <w:sz w:val="20"/>
                <w:szCs w:val="20"/>
                <w:lang w:val="en-US" w:eastAsia="zh-CN" w:bidi="ar"/>
              </w:rPr>
              <w:t>数量</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w:t>
            </w:r>
          </w:p>
        </w:tc>
        <w:tc>
          <w:tcPr>
            <w:tcW w:w="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tblPrEx>
          <w:tblCellMar>
            <w:top w:w="0" w:type="dxa"/>
            <w:left w:w="108" w:type="dxa"/>
            <w:bottom w:w="0" w:type="dxa"/>
            <w:right w:w="108" w:type="dxa"/>
          </w:tblCellMar>
        </w:tblPrEx>
        <w:trPr>
          <w:trHeight w:val="41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1</w:t>
            </w:r>
          </w:p>
        </w:tc>
        <w:tc>
          <w:tcPr>
            <w:tcW w:w="16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建井</w:t>
            </w:r>
          </w:p>
        </w:tc>
        <w:tc>
          <w:tcPr>
            <w:tcW w:w="30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DN200 深度12米</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9个</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lang w:val="en-US" w:eastAsia="zh-CN" w:bidi="ar"/>
              </w:rPr>
            </w:pPr>
          </w:p>
        </w:tc>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lang w:val="en-US" w:eastAsia="zh-CN" w:bidi="ar"/>
              </w:rPr>
            </w:pPr>
          </w:p>
        </w:tc>
      </w:tr>
      <w:tr>
        <w:tblPrEx>
          <w:tblCellMar>
            <w:top w:w="0" w:type="dxa"/>
            <w:left w:w="108" w:type="dxa"/>
            <w:bottom w:w="0" w:type="dxa"/>
            <w:right w:w="108" w:type="dxa"/>
          </w:tblCellMar>
        </w:tblPrEx>
        <w:trPr>
          <w:trHeight w:val="176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2</w:t>
            </w:r>
          </w:p>
        </w:tc>
        <w:tc>
          <w:tcPr>
            <w:tcW w:w="16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检测报告</w:t>
            </w:r>
          </w:p>
        </w:tc>
        <w:tc>
          <w:tcPr>
            <w:tcW w:w="30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lang w:val="en-US" w:eastAsia="zh-CN"/>
              </w:rPr>
            </w:pPr>
            <w:r>
              <w:rPr>
                <w:rFonts w:hint="eastAsia" w:ascii="宋体" w:hAnsi="宋体" w:cs="宋体"/>
                <w:kern w:val="0"/>
                <w:sz w:val="20"/>
                <w:szCs w:val="20"/>
                <w:lang w:val="en-US" w:eastAsia="zh-CN" w:bidi="ar"/>
              </w:rPr>
              <w:t>pH、氨氮、硝酸盐、亚硝酸盐、挥发性酚类、氰化物、耗氧量、铁、锰、镍、锌、铜、镉、铅、汞、砷、锑、锡、六价铬、氟化物、溶解性总固体、总硬度、氯化物、硫酸盐、细菌总数、总大肠菌群</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9份</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val="en-US" w:eastAsia="zh-CN" w:bidi="ar"/>
              </w:rPr>
            </w:pPr>
          </w:p>
        </w:tc>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val="en-US" w:eastAsia="zh-CN" w:bidi="ar"/>
              </w:rPr>
            </w:pPr>
          </w:p>
        </w:tc>
      </w:tr>
      <w:tr>
        <w:tblPrEx>
          <w:tblCellMar>
            <w:top w:w="0" w:type="dxa"/>
            <w:left w:w="108" w:type="dxa"/>
            <w:bottom w:w="0" w:type="dxa"/>
            <w:right w:w="108" w:type="dxa"/>
          </w:tblCellMar>
        </w:tblPrEx>
        <w:trPr>
          <w:trHeight w:val="414" w:hRule="atLeast"/>
        </w:trPr>
        <w:tc>
          <w:tcPr>
            <w:tcW w:w="8265"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三固事业部</w:t>
            </w:r>
          </w:p>
        </w:tc>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val="en-US" w:eastAsia="zh-CN" w:bidi="ar"/>
              </w:rPr>
            </w:pPr>
          </w:p>
        </w:tc>
      </w:tr>
      <w:tr>
        <w:tblPrEx>
          <w:tblCellMar>
            <w:top w:w="0" w:type="dxa"/>
            <w:left w:w="108" w:type="dxa"/>
            <w:bottom w:w="0" w:type="dxa"/>
            <w:right w:w="108" w:type="dxa"/>
          </w:tblCellMar>
        </w:tblPrEx>
        <w:trPr>
          <w:trHeight w:val="41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16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建井</w:t>
            </w:r>
          </w:p>
        </w:tc>
        <w:tc>
          <w:tcPr>
            <w:tcW w:w="30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DN100 深度12米</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5个</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val="en-US" w:eastAsia="zh-CN" w:bidi="ar"/>
              </w:rPr>
            </w:pPr>
          </w:p>
        </w:tc>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val="en-US" w:eastAsia="zh-CN" w:bidi="ar"/>
              </w:rPr>
            </w:pPr>
          </w:p>
        </w:tc>
      </w:tr>
      <w:tr>
        <w:tblPrEx>
          <w:tblCellMar>
            <w:top w:w="0" w:type="dxa"/>
            <w:left w:w="108" w:type="dxa"/>
            <w:bottom w:w="0" w:type="dxa"/>
            <w:right w:w="108" w:type="dxa"/>
          </w:tblCellMar>
        </w:tblPrEx>
        <w:trPr>
          <w:trHeight w:val="41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2</w:t>
            </w:r>
          </w:p>
        </w:tc>
        <w:tc>
          <w:tcPr>
            <w:tcW w:w="16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检测报告</w:t>
            </w:r>
          </w:p>
        </w:tc>
        <w:tc>
          <w:tcPr>
            <w:tcW w:w="30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lang w:val="en-US" w:eastAsia="zh-CN"/>
              </w:rPr>
            </w:pPr>
            <w:r>
              <w:rPr>
                <w:rFonts w:hint="eastAsia" w:ascii="宋体" w:hAnsi="宋体" w:cs="宋体"/>
                <w:kern w:val="0"/>
                <w:sz w:val="20"/>
                <w:szCs w:val="20"/>
                <w:lang w:val="en-US" w:eastAsia="zh-CN" w:bidi="ar"/>
              </w:rPr>
              <w:t>pH、氨氮、硝酸盐、亚硝酸盐、挥发性酚类、氰化物、耗氧量、铁、锰、镍、锌、铜、镉、铅、汞、砷、锑、锡、六价铬、氟化物、溶解性总固体、总硬度、氯化物、硫酸盐、细菌总数、总大肠菌群</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5份</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val="en-US" w:eastAsia="zh-CN" w:bidi="ar"/>
              </w:rPr>
            </w:pPr>
          </w:p>
        </w:tc>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val="en-US" w:eastAsia="zh-CN" w:bidi="ar"/>
              </w:rPr>
            </w:pPr>
          </w:p>
        </w:tc>
      </w:tr>
    </w:tbl>
    <w:p>
      <w:pPr>
        <w:pStyle w:val="8"/>
        <w:ind w:left="0" w:leftChars="0" w:firstLine="0" w:firstLineChars="0"/>
        <w:rPr>
          <w:rFonts w:hint="eastAsia" w:ascii="宋体" w:hAnsi="宋体" w:eastAsiaTheme="minorEastAsia"/>
          <w:b/>
          <w:szCs w:val="24"/>
          <w:lang w:val="en-US" w:eastAsia="zh-CN"/>
        </w:rPr>
      </w:pPr>
    </w:p>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w:t>
      </w:r>
      <w:r>
        <w:rPr>
          <w:rFonts w:hint="eastAsia" w:cs="仿宋" w:asciiTheme="minorEastAsia" w:hAnsiTheme="minorEastAsia"/>
          <w:color w:val="auto"/>
          <w:sz w:val="24"/>
          <w:u w:val="single"/>
          <w:lang w:val="en-US" w:eastAsia="zh-CN"/>
        </w:rPr>
        <w:t>2024年临江公司地下水检测井服务采购项目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cs="仿宋" w:asciiTheme="minorEastAsia" w:hAnsiTheme="minorEastAsia"/>
          <w:color w:val="auto"/>
          <w:sz w:val="24"/>
          <w:u w:val="single"/>
          <w:lang w:val="en-US" w:eastAsia="zh-CN"/>
        </w:rPr>
        <w:t>2024年临江公司地下水检测井服务采购项目</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spacing w:line="360" w:lineRule="auto"/>
        <w:ind w:firstLine="480" w:firstLineChars="200"/>
        <w:rPr>
          <w:rFonts w:hint="eastAsia" w:ascii="宋体" w:hAnsi="宋体" w:cs="宋体"/>
          <w:sz w:val="24"/>
        </w:rPr>
      </w:pPr>
      <w:r>
        <w:rPr>
          <w:rFonts w:hint="eastAsia" w:ascii="宋体" w:hAnsi="宋体" w:cs="宋体"/>
          <w:sz w:val="24"/>
        </w:rPr>
        <w:t>1.建立健全本单位该项目的安全生产责任制度和安全生产管理制度，健全组织机构，</w:t>
      </w:r>
      <w:r>
        <w:rPr>
          <w:rFonts w:hint="eastAsia" w:ascii="宋体" w:hAnsi="宋体" w:cs="宋体"/>
          <w:sz w:val="24"/>
          <w:lang w:eastAsia="zh-CN"/>
        </w:rPr>
        <w:t>落实</w:t>
      </w:r>
      <w:r>
        <w:rPr>
          <w:rFonts w:hint="eastAsia" w:ascii="宋体" w:hAnsi="宋体" w:cs="宋体"/>
          <w:sz w:val="24"/>
        </w:rPr>
        <w:t>现场专职安全管理人员。</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pPr>
        <w:pStyle w:val="8"/>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3"/>
      </w:pPr>
    </w:p>
    <w:p>
      <w:pPr>
        <w:pStyle w:val="3"/>
        <w:rPr>
          <w:color w:val="auto"/>
        </w:rPr>
      </w:pPr>
    </w:p>
    <w:p>
      <w:pPr>
        <w:pStyle w:val="2"/>
        <w:rPr>
          <w:color w:val="auto"/>
        </w:rPr>
      </w:pPr>
    </w:p>
    <w:p>
      <w:pPr>
        <w:pStyle w:val="13"/>
        <w:rPr>
          <w:color w:val="auto"/>
        </w:rPr>
      </w:pPr>
    </w:p>
    <w:p>
      <w:pPr>
        <w:rPr>
          <w:color w:val="auto"/>
        </w:rPr>
      </w:pPr>
    </w:p>
    <w:p>
      <w:pPr>
        <w:pStyle w:val="14"/>
        <w:rPr>
          <w:color w:val="auto"/>
        </w:rPr>
      </w:pPr>
    </w:p>
    <w:p>
      <w:pPr>
        <w:rPr>
          <w:color w:val="auto"/>
        </w:rPr>
      </w:pPr>
    </w:p>
    <w:p>
      <w:pPr>
        <w:pStyle w:val="14"/>
        <w:rPr>
          <w:color w:val="auto"/>
        </w:rPr>
      </w:pPr>
    </w:p>
    <w:p>
      <w:pPr>
        <w:rPr>
          <w:color w:val="auto"/>
        </w:rPr>
      </w:pPr>
    </w:p>
    <w:p>
      <w:pPr>
        <w:pStyle w:val="14"/>
      </w:pPr>
    </w:p>
    <w:p>
      <w:pPr>
        <w:pStyle w:val="2"/>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6"/>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2024年临江公司地下水检测井服务采购项目</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pStyle w:val="3"/>
        <w:rPr>
          <w:color w:val="auto"/>
        </w:rPr>
      </w:pPr>
    </w:p>
    <w:p>
      <w:pPr>
        <w:pStyle w:val="2"/>
        <w:rPr>
          <w:color w:val="auto"/>
        </w:rPr>
      </w:pPr>
    </w:p>
    <w:p>
      <w:pPr>
        <w:rPr>
          <w:color w:val="auto"/>
        </w:rPr>
      </w:pPr>
    </w:p>
    <w:p>
      <w:pPr>
        <w:pStyle w:val="3"/>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pStyle w:val="13"/>
        <w:rPr>
          <w:color w:val="auto"/>
        </w:rPr>
      </w:pPr>
    </w:p>
    <w:p>
      <w:pPr>
        <w:rPr>
          <w:color w:val="auto"/>
        </w:rPr>
      </w:pPr>
    </w:p>
    <w:p>
      <w:pPr>
        <w:pStyle w:val="14"/>
      </w:pPr>
    </w:p>
    <w:p>
      <w:pPr>
        <w:rPr>
          <w:color w:val="auto"/>
        </w:rPr>
      </w:pPr>
    </w:p>
    <w:p>
      <w:pPr>
        <w:pStyle w:val="3"/>
        <w:rPr>
          <w:color w:val="auto"/>
        </w:rPr>
      </w:pPr>
    </w:p>
    <w:p>
      <w:pPr>
        <w:pStyle w:val="2"/>
        <w:rPr>
          <w:color w:val="auto"/>
        </w:rPr>
      </w:pPr>
    </w:p>
    <w:p>
      <w:pPr>
        <w:rPr>
          <w:color w:val="auto"/>
        </w:rPr>
      </w:pPr>
    </w:p>
    <w:p>
      <w:pPr>
        <w:pStyle w:val="3"/>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2024年临江公司地下水检测井服务采购项目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202403022</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pPr>
    </w:p>
    <w:p>
      <w:pPr>
        <w:pStyle w:val="2"/>
        <w:rPr>
          <w:color w:val="auto"/>
        </w:rPr>
      </w:pPr>
    </w:p>
    <w:p>
      <w:pPr>
        <w:rPr>
          <w:color w:val="auto"/>
        </w:rPr>
      </w:pPr>
    </w:p>
    <w:p>
      <w:pPr>
        <w:pStyle w:val="3"/>
        <w:rPr>
          <w:color w:val="auto"/>
        </w:rPr>
      </w:pPr>
    </w:p>
    <w:p>
      <w:pPr>
        <w:pStyle w:val="2"/>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3"/>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pPr>
    </w:p>
    <w:p>
      <w:pPr>
        <w:pStyle w:val="3"/>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jc w:val="both"/>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8</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供应商股东信息及出资比例信息表</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（9）供应商</w:t>
      </w:r>
      <w:r>
        <w:rPr>
          <w:rFonts w:hint="eastAsia" w:cs="仿宋" w:asciiTheme="minorEastAsia" w:hAnsiTheme="minorEastAsia"/>
          <w:color w:val="auto"/>
          <w:sz w:val="24"/>
        </w:rPr>
        <w:t>服务质量保证承诺函………………………………………………（页码）</w:t>
      </w: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ind w:left="0" w:leftChars="0" w:firstLine="0" w:firstLineChars="0"/>
      </w:pPr>
    </w:p>
    <w:p>
      <w:pPr>
        <w:pStyle w:val="2"/>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2024年临江公司地下水检测井服务采购项目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202403022</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1"/>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3"/>
        <w:widowControl w:val="0"/>
        <w:numPr>
          <w:ilvl w:val="0"/>
          <w:numId w:val="0"/>
        </w:numPr>
        <w:autoSpaceDE w:val="0"/>
        <w:autoSpaceDN w:val="0"/>
        <w:adjustRightInd w:val="0"/>
        <w:spacing w:line="360" w:lineRule="auto"/>
        <w:jc w:val="both"/>
        <w:rPr>
          <w:color w:val="auto"/>
        </w:rPr>
      </w:pPr>
    </w:p>
    <w:p>
      <w:pPr>
        <w:pStyle w:val="2"/>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sz w:val="24"/>
          <w:u w:val="single"/>
          <w:lang w:val="en-US" w:eastAsia="zh-CN"/>
        </w:rPr>
        <w:t>2024年临江公司地下水检测井服务采购项目</w:t>
      </w:r>
      <w:r>
        <w:rPr>
          <w:rFonts w:hint="eastAsia" w:cs="仿宋" w:asciiTheme="minorEastAsia" w:hAnsiTheme="minorEastAsia"/>
          <w:color w:val="auto"/>
          <w:kern w:val="0"/>
          <w:sz w:val="24"/>
          <w:u w:val="single"/>
          <w:lang w:eastAsia="zh-CN"/>
        </w:rPr>
        <w:t>（项目编号：202403022）</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3"/>
        <w:rPr>
          <w:rFonts w:hint="eastAsia" w:cs="仿宋" w:asciiTheme="minorEastAsia" w:hAnsiTheme="minorEastAsia"/>
          <w:b/>
          <w:color w:val="auto"/>
          <w:kern w:val="0"/>
          <w:sz w:val="32"/>
          <w:szCs w:val="32"/>
          <w:lang w:val="zh-CN"/>
        </w:rPr>
      </w:pPr>
    </w:p>
    <w:p>
      <w:pPr>
        <w:pStyle w:val="2"/>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3"/>
        <w:rPr>
          <w:rFonts w:hint="eastAsia" w:cs="仿宋" w:asciiTheme="minorEastAsia" w:hAnsiTheme="minorEastAsia"/>
          <w:b/>
          <w:color w:val="auto"/>
          <w:kern w:val="0"/>
          <w:sz w:val="32"/>
          <w:szCs w:val="32"/>
          <w:lang w:val="zh-CN"/>
        </w:rPr>
      </w:pPr>
    </w:p>
    <w:p>
      <w:pPr>
        <w:pStyle w:val="2"/>
        <w:rPr>
          <w:rFonts w:hint="eastAsia"/>
          <w:color w:val="auto"/>
          <w:lang w:val="zh-CN"/>
        </w:rPr>
      </w:pPr>
    </w:p>
    <w:p>
      <w:pPr>
        <w:rPr>
          <w:color w:val="auto"/>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eastAsiaTheme="minorEastAsia"/>
          <w:color w:val="auto"/>
          <w:lang w:eastAsia="zh-CN"/>
        </w:rPr>
      </w:pPr>
      <w:r>
        <w:rPr>
          <w:rFonts w:hint="eastAsia" w:cs="仿宋" w:asciiTheme="minorEastAsia" w:hAnsiTheme="minorEastAsia"/>
          <w:b/>
          <w:color w:val="auto"/>
          <w:kern w:val="0"/>
          <w:sz w:val="32"/>
          <w:szCs w:val="32"/>
        </w:rPr>
        <w:t>五、响应产品规格配置清单</w:t>
      </w:r>
      <w:r>
        <w:rPr>
          <w:rFonts w:hint="eastAsia" w:cs="仿宋" w:asciiTheme="minorEastAsia" w:hAnsiTheme="minorEastAsia"/>
          <w:b/>
          <w:color w:val="auto"/>
          <w:kern w:val="0"/>
          <w:sz w:val="32"/>
          <w:szCs w:val="32"/>
          <w:lang w:eastAsia="zh-CN"/>
        </w:rPr>
        <w:t>（若有）</w:t>
      </w:r>
    </w:p>
    <w:p>
      <w:pPr>
        <w:pStyle w:val="2"/>
        <w:rPr>
          <w:rFonts w:cs="仿宋" w:asciiTheme="minorEastAsia" w:hAnsiTheme="minorEastAsia"/>
          <w:color w:val="auto"/>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3"/>
        <w:rPr>
          <w:color w:val="auto"/>
          <w:lang w:val="en-US"/>
        </w:rPr>
        <w:sectPr>
          <w:pgSz w:w="11906" w:h="16838"/>
          <w:pgMar w:top="1276" w:right="1418" w:bottom="1247" w:left="1418" w:header="851" w:footer="992" w:gutter="0"/>
          <w:pgNumType w:fmt="decimal"/>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3"/>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eastAsiaTheme="minorEastAsia"/>
          <w:b/>
          <w:color w:val="auto"/>
          <w:kern w:val="0"/>
          <w:sz w:val="32"/>
          <w:szCs w:val="32"/>
          <w:lang w:val="zh-CN" w:eastAsia="zh-CN" w:bidi="ar-SA"/>
        </w:rPr>
        <w:t>八、</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2"/>
        <w:widowControl w:val="0"/>
        <w:numPr>
          <w:ilvl w:val="0"/>
          <w:numId w:val="0"/>
        </w:numPr>
        <w:jc w:val="left"/>
        <w:rPr>
          <w:rFonts w:hint="eastAsia"/>
          <w:color w:val="auto"/>
          <w:lang w:val="zh-CN"/>
        </w:rPr>
      </w:pPr>
    </w:p>
    <w:p>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2"/>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eastAsia="zh-CN"/>
        </w:rPr>
        <w:t>九</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color w:val="auto"/>
          <w:sz w:val="24"/>
          <w:u w:val="single"/>
          <w:lang w:val="en-US" w:eastAsia="zh-CN"/>
        </w:rPr>
        <w:t>2024年临江公司地下水检测井服务采购项目</w:t>
      </w:r>
      <w:r>
        <w:rPr>
          <w:rFonts w:hint="eastAsia" w:ascii="宋体" w:hAnsi="宋体" w:eastAsia="宋体" w:cs="宋体"/>
          <w:color w:val="auto"/>
          <w:sz w:val="24"/>
          <w:szCs w:val="24"/>
          <w:u w:val="single"/>
          <w:lang w:val="en-US" w:eastAsia="zh-CN"/>
        </w:rPr>
        <w:t xml:space="preserve">（项目编号：202403022）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6"/>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3"/>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ascii="宋体" w:hAnsi="宋体" w:eastAsia="宋体" w:cs="宋体"/>
          <w:color w:val="auto"/>
          <w:sz w:val="24"/>
          <w:szCs w:val="24"/>
          <w:u w:val="single"/>
          <w:lang w:eastAsia="zh-CN"/>
        </w:rPr>
        <w:t xml:space="preserve"> </w:t>
      </w:r>
      <w:r>
        <w:rPr>
          <w:rFonts w:hint="eastAsia" w:cs="仿宋" w:asciiTheme="minorEastAsia" w:hAnsiTheme="minorEastAsia"/>
          <w:color w:val="auto"/>
          <w:sz w:val="24"/>
          <w:u w:val="single"/>
          <w:lang w:val="en-US" w:eastAsia="zh-CN"/>
        </w:rPr>
        <w:t>2024年临江公司地下水检测井服务采购</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202300x</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lang w:val="en-US" w:eastAsia="zh-CN"/>
        </w:rPr>
        <w:t>服务</w:t>
      </w:r>
      <w:r>
        <w:rPr>
          <w:rFonts w:hint="eastAsia" w:ascii="宋体" w:hAnsi="宋体" w:eastAsia="宋体" w:cs="宋体"/>
          <w:color w:val="auto"/>
          <w:sz w:val="24"/>
          <w:szCs w:val="24"/>
        </w:rPr>
        <w:t>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3"/>
        <w:adjustRightInd w:val="0"/>
        <w:spacing w:after="0" w:line="360" w:lineRule="auto"/>
        <w:ind w:firstLine="480" w:firstLineChars="200"/>
        <w:jc w:val="left"/>
        <w:rPr>
          <w:rFonts w:hint="eastAsia" w:ascii="宋体" w:hAnsi="宋体" w:cs="宋体"/>
          <w:color w:val="auto"/>
          <w:szCs w:val="21"/>
        </w:rPr>
      </w:pPr>
    </w:p>
    <w:p>
      <w:pPr>
        <w:pStyle w:val="3"/>
        <w:adjustRightInd w:val="0"/>
        <w:spacing w:after="0" w:line="360" w:lineRule="auto"/>
        <w:ind w:firstLine="480" w:firstLineChars="200"/>
        <w:jc w:val="left"/>
        <w:rPr>
          <w:rFonts w:hint="eastAsia" w:ascii="宋体" w:hAnsi="宋体" w:cs="宋体"/>
          <w:color w:val="auto"/>
          <w:szCs w:val="21"/>
        </w:rPr>
      </w:pPr>
    </w:p>
    <w:p>
      <w:pPr>
        <w:pStyle w:val="3"/>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3"/>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3"/>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3"/>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 xml:space="preserve"> 2024年临江公司地下水检测井服务采购项目</w:t>
      </w:r>
      <w:r>
        <w:rPr>
          <w:rFonts w:hint="eastAsia" w:cs="仿宋" w:asciiTheme="minorEastAsia" w:hAnsiTheme="minorEastAsia"/>
          <w:color w:val="auto"/>
          <w:sz w:val="24"/>
        </w:rPr>
        <w:t>【项目编号：</w:t>
      </w:r>
      <w:r>
        <w:rPr>
          <w:rFonts w:hint="default" w:cs="仿宋" w:asciiTheme="minorEastAsia" w:hAnsiTheme="minorEastAsia"/>
          <w:color w:val="auto"/>
          <w:sz w:val="24"/>
          <w:u w:val="single"/>
          <w:lang w:val="en-US"/>
        </w:rPr>
        <w:t>202</w:t>
      </w:r>
      <w:r>
        <w:rPr>
          <w:rFonts w:hint="eastAsia" w:cs="仿宋" w:asciiTheme="minorEastAsia" w:hAnsiTheme="minorEastAsia"/>
          <w:color w:val="auto"/>
          <w:sz w:val="24"/>
          <w:u w:val="single"/>
          <w:lang w:val="en-US" w:eastAsia="zh-CN"/>
        </w:rPr>
        <w:t>4003</w:t>
      </w:r>
      <w:r>
        <w:rPr>
          <w:rFonts w:hint="default" w:cs="仿宋" w:asciiTheme="minorEastAsia" w:hAnsiTheme="minorEastAsia"/>
          <w:color w:val="auto"/>
          <w:sz w:val="24"/>
          <w:u w:val="single"/>
          <w:lang w:val="en-US"/>
        </w:rPr>
        <w:t>x</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27"/>
        <w:gridCol w:w="1552"/>
        <w:gridCol w:w="3248"/>
        <w:gridCol w:w="825"/>
        <w:gridCol w:w="1230"/>
        <w:gridCol w:w="1230"/>
        <w:gridCol w:w="1080"/>
        <w:gridCol w:w="28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34"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1927"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1552"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品牌（如果有）</w:t>
            </w:r>
          </w:p>
        </w:tc>
        <w:tc>
          <w:tcPr>
            <w:tcW w:w="3248"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规格型号</w:t>
            </w:r>
          </w:p>
        </w:tc>
        <w:tc>
          <w:tcPr>
            <w:tcW w:w="825"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数量</w:t>
            </w:r>
          </w:p>
        </w:tc>
        <w:tc>
          <w:tcPr>
            <w:tcW w:w="1230" w:type="dxa"/>
            <w:vAlign w:val="center"/>
          </w:tcPr>
          <w:p>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123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08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515" w:type="dxa"/>
            <w:gridSpan w:val="2"/>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1927" w:type="dxa"/>
            <w:vAlign w:val="center"/>
          </w:tcPr>
          <w:p>
            <w:pPr>
              <w:snapToGrid w:val="0"/>
              <w:spacing w:line="360" w:lineRule="auto"/>
              <w:jc w:val="center"/>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u w:val="none"/>
                <w:lang w:val="en-US" w:eastAsia="zh-CN"/>
              </w:rPr>
              <w:t>建井（永久井）</w:t>
            </w:r>
          </w:p>
        </w:tc>
        <w:tc>
          <w:tcPr>
            <w:tcW w:w="1552" w:type="dxa"/>
            <w:vAlign w:val="center"/>
          </w:tcPr>
          <w:p>
            <w:pPr>
              <w:snapToGrid w:val="0"/>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w:t>
            </w:r>
          </w:p>
        </w:tc>
        <w:tc>
          <w:tcPr>
            <w:tcW w:w="3248" w:type="dxa"/>
            <w:vAlign w:val="center"/>
          </w:tcPr>
          <w:p>
            <w:pPr>
              <w:snapToGrid w:val="0"/>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DN200，深度12米</w:t>
            </w:r>
          </w:p>
        </w:tc>
        <w:tc>
          <w:tcPr>
            <w:tcW w:w="825" w:type="dxa"/>
            <w:vAlign w:val="center"/>
          </w:tcPr>
          <w:p>
            <w:pPr>
              <w:snapToGrid w:val="0"/>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9</w:t>
            </w:r>
          </w:p>
        </w:tc>
        <w:tc>
          <w:tcPr>
            <w:tcW w:w="1230" w:type="dxa"/>
            <w:vAlign w:val="center"/>
          </w:tcPr>
          <w:p>
            <w:pPr>
              <w:snapToGrid w:val="0"/>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个</w:t>
            </w:r>
          </w:p>
        </w:tc>
        <w:tc>
          <w:tcPr>
            <w:tcW w:w="1230" w:type="dxa"/>
            <w:vAlign w:val="center"/>
          </w:tcPr>
          <w:p>
            <w:pPr>
              <w:spacing w:line="360" w:lineRule="auto"/>
              <w:jc w:val="center"/>
              <w:rPr>
                <w:rFonts w:cs="仿宋" w:asciiTheme="minorEastAsia" w:hAnsiTheme="minorEastAsia"/>
                <w:color w:val="auto"/>
                <w:sz w:val="24"/>
              </w:rPr>
            </w:pPr>
          </w:p>
        </w:tc>
        <w:tc>
          <w:tcPr>
            <w:tcW w:w="1080" w:type="dxa"/>
            <w:vAlign w:val="center"/>
          </w:tcPr>
          <w:p>
            <w:pPr>
              <w:spacing w:line="360" w:lineRule="auto"/>
              <w:jc w:val="center"/>
              <w:rPr>
                <w:rFonts w:cs="仿宋" w:asciiTheme="minorEastAsia" w:hAnsiTheme="minorEastAsia"/>
                <w:color w:val="auto"/>
                <w:sz w:val="24"/>
              </w:rPr>
            </w:pPr>
          </w:p>
        </w:tc>
        <w:tc>
          <w:tcPr>
            <w:tcW w:w="1515" w:type="dxa"/>
            <w:gridSpan w:val="2"/>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w:t>
            </w:r>
          </w:p>
        </w:tc>
        <w:tc>
          <w:tcPr>
            <w:tcW w:w="1927" w:type="dxa"/>
            <w:vAlign w:val="center"/>
          </w:tcPr>
          <w:p>
            <w:pPr>
              <w:snapToGrid w:val="0"/>
              <w:spacing w:line="360" w:lineRule="auto"/>
              <w:jc w:val="center"/>
              <w:rPr>
                <w:rFonts w:hint="eastAsia" w:cs="仿宋" w:asciiTheme="minorEastAsia" w:hAnsiTheme="minorEastAsia"/>
                <w:color w:val="auto"/>
                <w:sz w:val="24"/>
                <w:u w:val="none"/>
                <w:lang w:val="en-US" w:eastAsia="zh-CN"/>
              </w:rPr>
            </w:pPr>
            <w:r>
              <w:rPr>
                <w:rFonts w:hint="eastAsia" w:cs="仿宋" w:asciiTheme="minorEastAsia" w:hAnsiTheme="minorEastAsia"/>
                <w:color w:val="auto"/>
                <w:sz w:val="24"/>
                <w:u w:val="none"/>
                <w:lang w:val="en-US" w:eastAsia="zh-CN"/>
              </w:rPr>
              <w:t>建井（永久井）</w:t>
            </w:r>
          </w:p>
        </w:tc>
        <w:tc>
          <w:tcPr>
            <w:tcW w:w="1552" w:type="dxa"/>
            <w:vAlign w:val="center"/>
          </w:tcPr>
          <w:p>
            <w:pPr>
              <w:snapToGrid w:val="0"/>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w:t>
            </w:r>
          </w:p>
        </w:tc>
        <w:tc>
          <w:tcPr>
            <w:tcW w:w="3248" w:type="dxa"/>
            <w:vAlign w:val="center"/>
          </w:tcPr>
          <w:p>
            <w:pPr>
              <w:snapToGrid w:val="0"/>
              <w:spacing w:line="360" w:lineRule="auto"/>
              <w:jc w:val="center"/>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DN100，深度12米</w:t>
            </w:r>
          </w:p>
        </w:tc>
        <w:tc>
          <w:tcPr>
            <w:tcW w:w="825" w:type="dxa"/>
            <w:vAlign w:val="center"/>
          </w:tcPr>
          <w:p>
            <w:pPr>
              <w:snapToGrid w:val="0"/>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5</w:t>
            </w:r>
          </w:p>
        </w:tc>
        <w:tc>
          <w:tcPr>
            <w:tcW w:w="1230" w:type="dxa"/>
            <w:vAlign w:val="center"/>
          </w:tcPr>
          <w:p>
            <w:pPr>
              <w:snapToGrid w:val="0"/>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个</w:t>
            </w:r>
          </w:p>
        </w:tc>
        <w:tc>
          <w:tcPr>
            <w:tcW w:w="1230" w:type="dxa"/>
            <w:vAlign w:val="center"/>
          </w:tcPr>
          <w:p>
            <w:pPr>
              <w:spacing w:line="360" w:lineRule="auto"/>
              <w:jc w:val="center"/>
              <w:rPr>
                <w:rFonts w:cs="仿宋" w:asciiTheme="minorEastAsia" w:hAnsiTheme="minorEastAsia"/>
                <w:color w:val="auto"/>
                <w:sz w:val="24"/>
              </w:rPr>
            </w:pPr>
          </w:p>
        </w:tc>
        <w:tc>
          <w:tcPr>
            <w:tcW w:w="1080" w:type="dxa"/>
            <w:vAlign w:val="center"/>
          </w:tcPr>
          <w:p>
            <w:pPr>
              <w:spacing w:line="360" w:lineRule="auto"/>
              <w:jc w:val="center"/>
              <w:rPr>
                <w:rFonts w:cs="仿宋" w:asciiTheme="minorEastAsia" w:hAnsiTheme="minorEastAsia"/>
                <w:color w:val="auto"/>
                <w:sz w:val="24"/>
              </w:rPr>
            </w:pPr>
          </w:p>
        </w:tc>
        <w:tc>
          <w:tcPr>
            <w:tcW w:w="1515" w:type="dxa"/>
            <w:gridSpan w:val="2"/>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w:t>
            </w:r>
          </w:p>
        </w:tc>
        <w:tc>
          <w:tcPr>
            <w:tcW w:w="1927" w:type="dxa"/>
            <w:vAlign w:val="center"/>
          </w:tcPr>
          <w:p>
            <w:pPr>
              <w:snapToGrid w:val="0"/>
              <w:spacing w:line="360" w:lineRule="auto"/>
              <w:jc w:val="center"/>
              <w:rPr>
                <w:rFonts w:hint="default" w:cs="仿宋" w:asciiTheme="minorEastAsia" w:hAnsiTheme="minorEastAsia"/>
                <w:color w:val="auto"/>
                <w:sz w:val="24"/>
                <w:u w:val="none"/>
                <w:lang w:val="en-US" w:eastAsia="zh-CN"/>
              </w:rPr>
            </w:pPr>
            <w:r>
              <w:rPr>
                <w:rFonts w:hint="eastAsia" w:cs="仿宋" w:asciiTheme="minorEastAsia" w:hAnsiTheme="minorEastAsia"/>
                <w:color w:val="auto"/>
                <w:sz w:val="24"/>
                <w:u w:val="none"/>
                <w:lang w:val="en-US" w:eastAsia="zh-CN"/>
              </w:rPr>
              <w:t>分析报告</w:t>
            </w:r>
          </w:p>
        </w:tc>
        <w:tc>
          <w:tcPr>
            <w:tcW w:w="1552" w:type="dxa"/>
            <w:vAlign w:val="center"/>
          </w:tcPr>
          <w:p>
            <w:pPr>
              <w:snapToGrid w:val="0"/>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w:t>
            </w:r>
          </w:p>
        </w:tc>
        <w:tc>
          <w:tcPr>
            <w:tcW w:w="3248" w:type="dxa"/>
            <w:vAlign w:val="center"/>
          </w:tcPr>
          <w:p>
            <w:pPr>
              <w:snapToGrid w:val="0"/>
              <w:spacing w:line="360" w:lineRule="auto"/>
              <w:jc w:val="center"/>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pH、氨氮、硝酸盐、亚硝酸盐、挥发性酚类、氰化物、耗氧量、铁、锰、镍、锌、铜、镉、铅、汞、砷、锑、锡、六价铬、氟化物、溶解性总固体、总硬度、氯化物、硫酸盐、细菌总数、总大肠菌群</w:t>
            </w:r>
          </w:p>
        </w:tc>
        <w:tc>
          <w:tcPr>
            <w:tcW w:w="825" w:type="dxa"/>
            <w:vAlign w:val="center"/>
          </w:tcPr>
          <w:p>
            <w:pPr>
              <w:snapToGrid w:val="0"/>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14</w:t>
            </w:r>
          </w:p>
        </w:tc>
        <w:tc>
          <w:tcPr>
            <w:tcW w:w="1230" w:type="dxa"/>
            <w:vAlign w:val="center"/>
          </w:tcPr>
          <w:p>
            <w:pPr>
              <w:snapToGrid w:val="0"/>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份</w:t>
            </w:r>
          </w:p>
        </w:tc>
        <w:tc>
          <w:tcPr>
            <w:tcW w:w="1230" w:type="dxa"/>
            <w:vAlign w:val="center"/>
          </w:tcPr>
          <w:p>
            <w:pPr>
              <w:spacing w:line="360" w:lineRule="auto"/>
              <w:jc w:val="center"/>
              <w:rPr>
                <w:rFonts w:cs="仿宋" w:asciiTheme="minorEastAsia" w:hAnsiTheme="minorEastAsia"/>
                <w:color w:val="auto"/>
                <w:sz w:val="24"/>
              </w:rPr>
            </w:pPr>
          </w:p>
        </w:tc>
        <w:tc>
          <w:tcPr>
            <w:tcW w:w="1080" w:type="dxa"/>
            <w:vAlign w:val="center"/>
          </w:tcPr>
          <w:p>
            <w:pPr>
              <w:spacing w:line="360" w:lineRule="auto"/>
              <w:jc w:val="center"/>
              <w:rPr>
                <w:rFonts w:cs="仿宋" w:asciiTheme="minorEastAsia" w:hAnsiTheme="minorEastAsia"/>
                <w:color w:val="auto"/>
                <w:sz w:val="24"/>
              </w:rPr>
            </w:pPr>
          </w:p>
        </w:tc>
        <w:tc>
          <w:tcPr>
            <w:tcW w:w="1515" w:type="dxa"/>
            <w:gridSpan w:val="2"/>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013"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7898" w:type="dxa"/>
            <w:gridSpan w:val="6"/>
            <w:vAlign w:val="center"/>
          </w:tcPr>
          <w:p>
            <w:pPr>
              <w:spacing w:line="360" w:lineRule="auto"/>
              <w:jc w:val="center"/>
              <w:rPr>
                <w:rFonts w:cs="仿宋" w:asciiTheme="minorEastAsia" w:hAnsiTheme="minorEastAsia"/>
                <w:color w:val="auto"/>
                <w:sz w:val="24"/>
              </w:rPr>
            </w:pPr>
          </w:p>
        </w:tc>
        <w:tc>
          <w:tcPr>
            <w:tcW w:w="1230"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013"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7898" w:type="dxa"/>
            <w:gridSpan w:val="6"/>
            <w:vAlign w:val="center"/>
          </w:tcPr>
          <w:p>
            <w:pPr>
              <w:spacing w:line="360" w:lineRule="auto"/>
              <w:jc w:val="center"/>
              <w:rPr>
                <w:rFonts w:cs="仿宋" w:asciiTheme="minorEastAsia" w:hAnsiTheme="minorEastAsia"/>
                <w:color w:val="auto"/>
                <w:sz w:val="24"/>
              </w:rPr>
            </w:pPr>
          </w:p>
        </w:tc>
        <w:tc>
          <w:tcPr>
            <w:tcW w:w="1230"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013" w:type="dxa"/>
            <w:gridSpan w:val="3"/>
            <w:vAlign w:val="center"/>
          </w:tcPr>
          <w:p>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税率</w:t>
            </w:r>
          </w:p>
        </w:tc>
        <w:tc>
          <w:tcPr>
            <w:tcW w:w="7898" w:type="dxa"/>
            <w:gridSpan w:val="6"/>
            <w:vAlign w:val="center"/>
          </w:tcPr>
          <w:p>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c>
          <w:tcPr>
            <w:tcW w:w="1230" w:type="dxa"/>
            <w:vAlign w:val="center"/>
          </w:tcPr>
          <w:p>
            <w:pPr>
              <w:spacing w:line="360" w:lineRule="auto"/>
              <w:jc w:val="center"/>
              <w:rPr>
                <w:rFonts w:hint="eastAsia" w:cs="仿宋" w:asciiTheme="minorEastAsia" w:hAnsiTheme="minorEastAsia"/>
                <w:color w:val="auto"/>
                <w:sz w:val="24"/>
                <w:u w:val="single"/>
                <w:lang w:val="en-US" w:eastAsia="zh-CN"/>
              </w:rPr>
            </w:pPr>
          </w:p>
        </w:tc>
      </w:tr>
    </w:tbl>
    <w:p>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495" w:name="_Toc465665161"/>
      <w:r>
        <w:rPr>
          <w:rFonts w:hint="eastAsia" w:cs="宋体" w:asciiTheme="minorEastAsia" w:hAnsiTheme="minorEastAsia"/>
          <w:b/>
          <w:bCs/>
          <w:color w:val="auto"/>
          <w:kern w:val="44"/>
          <w:sz w:val="44"/>
          <w:szCs w:val="44"/>
        </w:rPr>
        <w:t>附件</w:t>
      </w:r>
      <w:bookmarkEnd w:id="495"/>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2"/>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2024年临江公司地下水检测井服务采购项目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2024003x</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w:t>
      </w:r>
      <w:r>
        <w:rPr>
          <w:rFonts w:hint="eastAsia" w:cs="仿宋" w:asciiTheme="minorEastAsia" w:hAnsiTheme="minorEastAsia"/>
          <w:bCs/>
          <w:color w:val="auto"/>
          <w:sz w:val="24"/>
          <w:lang w:eastAsia="zh-CN"/>
        </w:rPr>
        <w:t>做如下</w:t>
      </w:r>
      <w:r>
        <w:rPr>
          <w:rFonts w:hint="eastAsia" w:cs="仿宋" w:asciiTheme="minorEastAsia" w:hAnsiTheme="minorEastAsia"/>
          <w:bCs/>
          <w:color w:val="auto"/>
          <w:sz w:val="24"/>
        </w:rPr>
        <w:t>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2024年临江公司地下水检测井服务采购项目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202403022</w:t>
      </w:r>
      <w:r>
        <w:rPr>
          <w:rFonts w:hint="eastAsia" w:cs="仿宋" w:asciiTheme="minorEastAsia" w:hAnsiTheme="minorEastAsia"/>
          <w:color w:val="auto"/>
          <w:sz w:val="24"/>
        </w:rPr>
        <w:t>】</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5"/>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3"/>
        <w:rPr>
          <w:color w:val="auto"/>
        </w:rPr>
      </w:pPr>
    </w:p>
    <w:p>
      <w:pPr>
        <w:rPr>
          <w:color w:val="auto"/>
        </w:rPr>
      </w:pPr>
    </w:p>
    <w:p>
      <w:pPr>
        <w:pStyle w:val="3"/>
        <w:rPr>
          <w:color w:val="auto"/>
        </w:rPr>
      </w:pPr>
    </w:p>
    <w:p>
      <w:pPr>
        <w:pStyle w:val="3"/>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000000"/>
    <w:rsid w:val="023E1286"/>
    <w:rsid w:val="046A1781"/>
    <w:rsid w:val="04E634F4"/>
    <w:rsid w:val="05150472"/>
    <w:rsid w:val="051B17AF"/>
    <w:rsid w:val="0805754C"/>
    <w:rsid w:val="08670640"/>
    <w:rsid w:val="08E37A2F"/>
    <w:rsid w:val="09EC7123"/>
    <w:rsid w:val="09ED56C9"/>
    <w:rsid w:val="0A1D0FFF"/>
    <w:rsid w:val="0AD025A1"/>
    <w:rsid w:val="0BD07B44"/>
    <w:rsid w:val="0C492847"/>
    <w:rsid w:val="0D9D236E"/>
    <w:rsid w:val="0E8343D4"/>
    <w:rsid w:val="0F095788"/>
    <w:rsid w:val="0F81598B"/>
    <w:rsid w:val="10BE08E9"/>
    <w:rsid w:val="1157552B"/>
    <w:rsid w:val="1429122D"/>
    <w:rsid w:val="14521AA0"/>
    <w:rsid w:val="15BE749A"/>
    <w:rsid w:val="166F3635"/>
    <w:rsid w:val="185A544F"/>
    <w:rsid w:val="18890233"/>
    <w:rsid w:val="198737C7"/>
    <w:rsid w:val="19DC6BDA"/>
    <w:rsid w:val="1A6E3C55"/>
    <w:rsid w:val="1AA56FDE"/>
    <w:rsid w:val="1B7913A6"/>
    <w:rsid w:val="1C742A28"/>
    <w:rsid w:val="1CD34128"/>
    <w:rsid w:val="1CDE6781"/>
    <w:rsid w:val="1F457921"/>
    <w:rsid w:val="21677697"/>
    <w:rsid w:val="22A244DC"/>
    <w:rsid w:val="23AE001C"/>
    <w:rsid w:val="284A39BF"/>
    <w:rsid w:val="2A1060BE"/>
    <w:rsid w:val="2A6366FF"/>
    <w:rsid w:val="2A6807FA"/>
    <w:rsid w:val="2B32649C"/>
    <w:rsid w:val="2BFF4E3C"/>
    <w:rsid w:val="2C270527"/>
    <w:rsid w:val="2C4141D8"/>
    <w:rsid w:val="2E8337FA"/>
    <w:rsid w:val="2F1F33A8"/>
    <w:rsid w:val="2F5836E9"/>
    <w:rsid w:val="30123142"/>
    <w:rsid w:val="304A7E50"/>
    <w:rsid w:val="314B6E80"/>
    <w:rsid w:val="32843E96"/>
    <w:rsid w:val="352F03C1"/>
    <w:rsid w:val="36162BCB"/>
    <w:rsid w:val="36412810"/>
    <w:rsid w:val="36BD312A"/>
    <w:rsid w:val="37514AF4"/>
    <w:rsid w:val="377C0298"/>
    <w:rsid w:val="37F61CA1"/>
    <w:rsid w:val="39C31C6C"/>
    <w:rsid w:val="3C283344"/>
    <w:rsid w:val="3C3420E0"/>
    <w:rsid w:val="3C485F9D"/>
    <w:rsid w:val="3C7C70D7"/>
    <w:rsid w:val="3E0C6463"/>
    <w:rsid w:val="3EEC52AF"/>
    <w:rsid w:val="403E57B7"/>
    <w:rsid w:val="40532D51"/>
    <w:rsid w:val="4179370E"/>
    <w:rsid w:val="42112513"/>
    <w:rsid w:val="43496F4C"/>
    <w:rsid w:val="435518AD"/>
    <w:rsid w:val="437A2DA4"/>
    <w:rsid w:val="44873A1C"/>
    <w:rsid w:val="472961BF"/>
    <w:rsid w:val="49105C83"/>
    <w:rsid w:val="49A53D97"/>
    <w:rsid w:val="4AE27CAC"/>
    <w:rsid w:val="4B70249A"/>
    <w:rsid w:val="4BAC48C9"/>
    <w:rsid w:val="4F251D5C"/>
    <w:rsid w:val="4FD65994"/>
    <w:rsid w:val="4FEB08B0"/>
    <w:rsid w:val="4FEE63C4"/>
    <w:rsid w:val="5039401C"/>
    <w:rsid w:val="50886E1D"/>
    <w:rsid w:val="513B5867"/>
    <w:rsid w:val="514563A8"/>
    <w:rsid w:val="523875F5"/>
    <w:rsid w:val="52506204"/>
    <w:rsid w:val="52B35FD7"/>
    <w:rsid w:val="533B163F"/>
    <w:rsid w:val="53FA1DF3"/>
    <w:rsid w:val="54AB2D04"/>
    <w:rsid w:val="56F563A5"/>
    <w:rsid w:val="571F3A0C"/>
    <w:rsid w:val="57F2034A"/>
    <w:rsid w:val="58235318"/>
    <w:rsid w:val="58354DBE"/>
    <w:rsid w:val="59121C77"/>
    <w:rsid w:val="59DE0E09"/>
    <w:rsid w:val="5A283DD0"/>
    <w:rsid w:val="5ACD76EE"/>
    <w:rsid w:val="5B3D7F5F"/>
    <w:rsid w:val="5EFD2476"/>
    <w:rsid w:val="5F0279C4"/>
    <w:rsid w:val="5F944466"/>
    <w:rsid w:val="6139287F"/>
    <w:rsid w:val="62121B84"/>
    <w:rsid w:val="63CF15A0"/>
    <w:rsid w:val="657B7ADB"/>
    <w:rsid w:val="673E5F91"/>
    <w:rsid w:val="679754A0"/>
    <w:rsid w:val="67D649B5"/>
    <w:rsid w:val="68C66552"/>
    <w:rsid w:val="6A4E3ABD"/>
    <w:rsid w:val="6AE63D7E"/>
    <w:rsid w:val="6B462C2B"/>
    <w:rsid w:val="700D088C"/>
    <w:rsid w:val="700E4F44"/>
    <w:rsid w:val="70173239"/>
    <w:rsid w:val="721A5B23"/>
    <w:rsid w:val="72B931C1"/>
    <w:rsid w:val="738D03F5"/>
    <w:rsid w:val="767E5B01"/>
    <w:rsid w:val="79EB254B"/>
    <w:rsid w:val="7AF4716D"/>
    <w:rsid w:val="7BA82ABD"/>
    <w:rsid w:val="7C662D96"/>
    <w:rsid w:val="7D797C2B"/>
    <w:rsid w:val="7D955BFE"/>
    <w:rsid w:val="7DAC6A56"/>
    <w:rsid w:val="7E600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autoRedefine/>
    <w:qFormat/>
    <w:uiPriority w:val="0"/>
    <w:pPr>
      <w:ind w:firstLine="420"/>
    </w:pPr>
    <w:rPr>
      <w:rFonts w:hAnsi="Times New Roman" w:cs="Times New Roman"/>
      <w:snapToGrid/>
      <w:szCs w:val="20"/>
    </w:rPr>
  </w:style>
  <w:style w:type="paragraph" w:styleId="3">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4"/>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25385</Words>
  <Characters>26522</Characters>
  <Lines>0</Lines>
  <Paragraphs>0</Paragraphs>
  <TotalTime>22</TotalTime>
  <ScaleCrop>false</ScaleCrop>
  <LinksUpToDate>false</LinksUpToDate>
  <CharactersWithSpaces>30082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2024-03-18T02:44:36Z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A1ED29D5195F42DC88B15D6E555041E6</vt:lpwstr>
  </property>
</Properties>
</file>