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color w:val="auto"/>
          <w:sz w:val="48"/>
          <w:szCs w:val="48"/>
          <w:highlight w:val="none"/>
          <w:u w:val="single"/>
        </w:rPr>
      </w:pPr>
    </w:p>
    <w:p>
      <w:pPr>
        <w:pStyle w:val="10"/>
        <w:jc w:val="center"/>
        <w:rPr>
          <w:rFonts w:cs="宋体" w:asciiTheme="minorEastAsia" w:hAnsiTheme="minorEastAsia"/>
          <w:color w:val="auto"/>
          <w:sz w:val="48"/>
          <w:szCs w:val="48"/>
          <w:highlight w:val="none"/>
          <w:u w:val="single"/>
        </w:rPr>
      </w:pPr>
    </w:p>
    <w:p>
      <w:pPr>
        <w:pStyle w:val="10"/>
        <w:jc w:val="center"/>
        <w:rPr>
          <w:rFonts w:cs="宋体" w:asciiTheme="minorEastAsia" w:hAnsiTheme="minorEastAsia"/>
          <w:color w:val="auto"/>
          <w:sz w:val="48"/>
          <w:szCs w:val="48"/>
          <w:highlight w:val="none"/>
          <w:u w:val="single"/>
        </w:rPr>
      </w:pPr>
    </w:p>
    <w:p>
      <w:pPr>
        <w:pStyle w:val="10"/>
        <w:jc w:val="center"/>
        <w:rPr>
          <w:rFonts w:cs="宋体" w:asciiTheme="minorEastAsia" w:hAnsiTheme="minorEastAsia"/>
          <w:color w:val="auto"/>
          <w:sz w:val="48"/>
          <w:szCs w:val="48"/>
          <w:highlight w:val="none"/>
          <w:u w:val="single"/>
        </w:rPr>
      </w:pPr>
    </w:p>
    <w:p>
      <w:pPr>
        <w:pStyle w:val="10"/>
        <w:jc w:val="center"/>
        <w:rPr>
          <w:rFonts w:cs="宋体" w:asciiTheme="minorEastAsia" w:hAnsiTheme="minorEastAsia"/>
          <w:color w:val="auto"/>
          <w:sz w:val="48"/>
          <w:szCs w:val="48"/>
          <w:highlight w:val="none"/>
          <w:u w:val="single"/>
        </w:rPr>
      </w:pPr>
    </w:p>
    <w:p>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color w:val="auto"/>
          <w:sz w:val="48"/>
          <w:szCs w:val="48"/>
          <w:highlight w:val="none"/>
          <w:u w:val="single"/>
        </w:rPr>
        <w:t>2024年临江公司E+H仪控备件采购项目</w:t>
      </w:r>
      <w:r>
        <w:rPr>
          <w:rFonts w:hint="eastAsia" w:cs="宋体" w:asciiTheme="minorEastAsia" w:hAnsiTheme="minorEastAsia"/>
          <w:b/>
          <w:bCs/>
          <w:color w:val="auto"/>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 xml:space="preserve">ZHJXJ202403018 </w:t>
      </w:r>
    </w:p>
    <w:p>
      <w:pPr>
        <w:spacing w:line="360" w:lineRule="auto"/>
        <w:jc w:val="center"/>
        <w:rPr>
          <w:rFonts w:cs="仿宋" w:asciiTheme="minorEastAsia" w:hAnsiTheme="minorEastAsia"/>
          <w:b/>
          <w:bCs/>
          <w:color w:val="auto"/>
          <w:sz w:val="72"/>
          <w:szCs w:val="72"/>
          <w:highlight w:val="none"/>
        </w:rPr>
      </w:pPr>
    </w:p>
    <w:p>
      <w:pPr>
        <w:pStyle w:val="7"/>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0"/>
        <w:rPr>
          <w:rFonts w:cs="仿宋" w:asciiTheme="minorEastAsia" w:hAnsiTheme="minorEastAsia"/>
          <w:color w:val="auto"/>
          <w:sz w:val="24"/>
          <w:szCs w:val="24"/>
          <w:highlight w:val="none"/>
        </w:rPr>
      </w:pPr>
    </w:p>
    <w:p>
      <w:pPr>
        <w:pStyle w:val="10"/>
        <w:jc w:val="center"/>
        <w:rPr>
          <w:rFonts w:cs="仿宋" w:asciiTheme="minorEastAsia" w:hAnsiTheme="minorEastAsia"/>
          <w:color w:val="auto"/>
          <w:sz w:val="24"/>
          <w:szCs w:val="24"/>
          <w:highlight w:val="none"/>
        </w:rPr>
      </w:pPr>
    </w:p>
    <w:p>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rPr>
        <w:t>2024年</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19</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rPr>
        <w:t>2024年临江公司E+H仪控备件采购项目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 xml:space="preserve">ZHJXJ202403018 </w:t>
      </w:r>
    </w:p>
    <w:p>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rPr>
        <w:t>2024年临江公司E+H仪控备件采购项目</w:t>
      </w:r>
      <w:r>
        <w:rPr>
          <w:rFonts w:cs="仿宋" w:asciiTheme="minorEastAsia" w:hAnsiTheme="minorEastAsia"/>
          <w:color w:val="auto"/>
          <w:sz w:val="24"/>
          <w:highlight w:val="none"/>
          <w:u w:val="single"/>
        </w:rPr>
        <w:t xml:space="preserve"> </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76.69</w:t>
      </w:r>
      <w:r>
        <w:rPr>
          <w:rFonts w:hint="eastAsia" w:cs="仿宋" w:asciiTheme="minorEastAsia" w:hAnsiTheme="minorEastAsia"/>
          <w:color w:val="auto"/>
          <w:sz w:val="24"/>
          <w:highlight w:val="none"/>
          <w:u w:val="single"/>
        </w:rPr>
        <w:t>万元</w:t>
      </w:r>
    </w:p>
    <w:p>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杭州临江环境能源有限公司因日常生产需要，需采购E+H仪控备件一批。</w:t>
      </w:r>
      <w:r>
        <w:rPr>
          <w:rFonts w:hint="eastAsia" w:cs="仿宋" w:asciiTheme="minorEastAsia" w:hAnsiTheme="minorEastAsia"/>
          <w:color w:val="auto"/>
          <w:sz w:val="24"/>
          <w:highlight w:val="none"/>
        </w:rPr>
        <w:t>具体要求以询价通知书第三部分采购需求为准。</w:t>
      </w:r>
    </w:p>
    <w:p>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自合同签订后12个月。</w:t>
      </w:r>
    </w:p>
    <w:p>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
        </w:sdtPr>
        <w:sdtEndPr>
          <w:rPr>
            <w:rFonts w:hAnsi="宋体" w:cs="宋体"/>
            <w:color w:val="auto"/>
            <w:kern w:val="0"/>
            <w:sz w:val="24"/>
            <w:highlight w:val="none"/>
          </w:rPr>
        </w:sdtEndPr>
        <w:sdtContent>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spacing w:line="360" w:lineRule="auto"/>
        <w:ind w:firstLine="482" w:firstLineChars="200"/>
        <w:rPr>
          <w:rFonts w:cs="仿宋" w:asciiTheme="minorEastAsia" w:hAnsiTheme="minorEastAsia"/>
          <w:b/>
          <w:bCs/>
          <w:color w:val="auto"/>
          <w:sz w:val="24"/>
          <w:highlight w:val="none"/>
        </w:rPr>
      </w:pPr>
      <w:bookmarkStart w:id="6" w:name="_Toc28359080"/>
      <w:bookmarkStart w:id="7" w:name="_Toc35393622"/>
      <w:bookmarkStart w:id="8" w:name="_Toc35393791"/>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81"/>
      <w:bookmarkStart w:id="11" w:name="_Toc28359004"/>
      <w:bookmarkStart w:id="12" w:name="_Toc35393623"/>
      <w:bookmarkStart w:id="13" w:name="_Toc35393792"/>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auto"/>
          <w:sz w:val="24"/>
          <w:highlight w:val="none"/>
          <w:u w:val="single"/>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供应商提供</w:t>
      </w:r>
      <w:r>
        <w:rPr>
          <w:rFonts w:hint="eastAsia" w:cs="仿宋" w:asciiTheme="minorEastAsia" w:hAnsiTheme="minorEastAsia"/>
          <w:bCs/>
          <w:color w:val="auto"/>
          <w:sz w:val="24"/>
          <w:highlight w:val="none"/>
          <w:u w:val="single"/>
          <w:lang w:val="en-US" w:eastAsia="zh-CN"/>
        </w:rPr>
        <w:t>合同签订时间</w:t>
      </w:r>
      <w:r>
        <w:rPr>
          <w:rFonts w:hint="eastAsia" w:cs="仿宋" w:asciiTheme="minorEastAsia" w:hAnsiTheme="minorEastAsia"/>
          <w:bCs/>
          <w:color w:val="auto"/>
          <w:sz w:val="24"/>
          <w:highlight w:val="none"/>
          <w:u w:val="single"/>
        </w:rPr>
        <w:t>自2021年1月1日起至少1例E+H备件销售业绩（同时提供合同复印件和与合同相对应的正规合法发票复印件作为业绩证明材料，缺少其中任何一个均视为业绩证明材料不符合要求）。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2024年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 xml:space="preserve">月 </w:t>
      </w:r>
      <w:r>
        <w:rPr>
          <w:rFonts w:hint="eastAsia" w:cs="仿宋" w:asciiTheme="minorEastAsia" w:hAnsiTheme="minorEastAsia"/>
          <w:bCs/>
          <w:color w:val="auto"/>
          <w:sz w:val="24"/>
          <w:highlight w:val="none"/>
          <w:u w:val="single"/>
          <w:lang w:val="en-US" w:eastAsia="zh-CN"/>
        </w:rPr>
        <w:t>29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2.递交地点：杭州市拱墅区临半路90号(杭州市环境集团集采中心)。</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3、递交方式：响应文件可采用现场递交或者邮寄方式其中任何一种方式。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（2）响应文件邮寄封装要求：供应商除按照文件要求封装响应文件外，还需在快递外包装上</w:t>
      </w:r>
      <w:r>
        <w:rPr>
          <w:rFonts w:hint="eastAsia" w:cs="仿宋" w:asciiTheme="minorEastAsia" w:hAnsiTheme="minorEastAsia"/>
          <w:b/>
          <w:bCs/>
          <w:color w:val="auto"/>
          <w:sz w:val="28"/>
          <w:szCs w:val="28"/>
          <w:highlight w:val="none"/>
        </w:rPr>
        <w:t>醒目注明项目名称、询价编号，且注明联系人、联系人电话</w:t>
      </w:r>
      <w:r>
        <w:rPr>
          <w:rFonts w:hint="eastAsia" w:cs="仿宋" w:asciiTheme="minorEastAsia" w:hAnsiTheme="minorEastAsia"/>
          <w:color w:val="auto"/>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（3）响应文件邮递递交截止时间：以邮寄签收时间为准，因邮寄原因导致响应文件不能如期送达等风险由供应商自行承担。</w:t>
      </w:r>
      <w:r>
        <w:rPr>
          <w:rFonts w:hint="eastAsia" w:cs="仿宋" w:asciiTheme="minorEastAsia" w:hAnsiTheme="minorEastAsia"/>
          <w:b/>
          <w:bCs/>
          <w:color w:val="auto"/>
          <w:sz w:val="24"/>
          <w:highlight w:val="none"/>
        </w:rPr>
        <w:t>邮递送达时间必须在响应文件递交截止时间前一天，即</w:t>
      </w:r>
      <w:r>
        <w:rPr>
          <w:rFonts w:hint="eastAsia" w:cs="仿宋" w:asciiTheme="minorEastAsia" w:hAnsiTheme="minorEastAsia"/>
          <w:b/>
          <w:bCs/>
          <w:color w:val="auto"/>
          <w:sz w:val="24"/>
          <w:highlight w:val="none"/>
          <w:u w:val="single"/>
        </w:rPr>
        <w:t>2024年</w:t>
      </w:r>
      <w:r>
        <w:rPr>
          <w:rFonts w:hint="eastAsia" w:cs="仿宋" w:asciiTheme="minorEastAsia" w:hAnsiTheme="minorEastAsia"/>
          <w:b/>
          <w:bCs/>
          <w:color w:val="auto"/>
          <w:sz w:val="24"/>
          <w:highlight w:val="none"/>
          <w:u w:val="single"/>
          <w:lang w:val="en-US" w:eastAsia="zh-CN"/>
        </w:rPr>
        <w:t>3</w:t>
      </w:r>
      <w:r>
        <w:rPr>
          <w:rFonts w:hint="eastAsia" w:cs="仿宋" w:asciiTheme="minorEastAsia" w:hAnsiTheme="minorEastAsia"/>
          <w:b/>
          <w:bCs/>
          <w:color w:val="auto"/>
          <w:sz w:val="24"/>
          <w:highlight w:val="none"/>
          <w:u w:val="single"/>
        </w:rPr>
        <w:t>月</w:t>
      </w:r>
      <w:r>
        <w:rPr>
          <w:rFonts w:hint="eastAsia" w:cs="仿宋" w:asciiTheme="minorEastAsia" w:hAnsiTheme="minorEastAsia"/>
          <w:b/>
          <w:bCs/>
          <w:color w:val="auto"/>
          <w:sz w:val="24"/>
          <w:highlight w:val="none"/>
          <w:u w:val="single"/>
          <w:lang w:val="en-US" w:eastAsia="zh-CN"/>
        </w:rPr>
        <w:t>28</w:t>
      </w:r>
      <w:r>
        <w:rPr>
          <w:rFonts w:hint="eastAsia" w:cs="仿宋" w:asciiTheme="minorEastAsia" w:hAnsiTheme="minorEastAsia"/>
          <w:b/>
          <w:bCs/>
          <w:color w:val="auto"/>
          <w:sz w:val="24"/>
          <w:highlight w:val="none"/>
          <w:u w:val="single"/>
        </w:rPr>
        <w:t>日18点 0分0秒</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rPr>
        <w:t>北京时间）</w:t>
      </w:r>
      <w:r>
        <w:rPr>
          <w:rFonts w:hint="eastAsia" w:cs="仿宋" w:asciiTheme="minorEastAsia" w:hAnsiTheme="minorEastAsia"/>
          <w:b/>
          <w:bCs/>
          <w:color w:val="auto"/>
          <w:sz w:val="24"/>
          <w:highlight w:val="none"/>
        </w:rPr>
        <w:t>送达采购人指定地点，否则视为未送达。</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2024年</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2.地点：杭州市拱墅区临半路90号(杭州市环境集团集采中心)。</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开启记录结果，各供应商在线回复确认记录结果完毕后（供应商因故未能确认记录结果的，默认供应商已确认开启结果），采购人打印开启记录，宣布开启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（4）见证要求：开启期间供应商因未参与现场开启或者未参加线上直播，视为认可全过程和结果，不得提出异议。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single"/>
        </w:rPr>
        <w:t>ljgsbjzy@163.com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联系人：叶工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联系电话：18458245764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九、监督部门</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联系人：李文拓       联系电话：15636132687</w:t>
      </w:r>
    </w:p>
    <w:p>
      <w:pPr>
        <w:spacing w:line="360" w:lineRule="auto"/>
        <w:ind w:firstLine="3840" w:firstLineChars="16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2024年</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19</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ascii="宋体" w:hAnsi="宋体" w:eastAsia="宋体" w:cs="宋体"/>
                <w:b/>
                <w:bCs/>
                <w:color w:val="auto"/>
                <w:szCs w:val="21"/>
                <w:highlight w:val="none"/>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15000 </w:t>
            </w:r>
            <w:r>
              <w:rPr>
                <w:rFonts w:hint="eastAsia" w:ascii="宋体" w:hAnsi="宋体" w:eastAsia="宋体" w:cs="宋体"/>
                <w:color w:val="auto"/>
                <w:szCs w:val="21"/>
                <w:highlight w:val="none"/>
              </w:rPr>
              <w:t>元，供应商应在响应文件开启截止之前以电汇或网银转账方式缴纳至杭州临江环境能源有限公司。同时将银行缴款凭证复印件作为响应文件组成部分。</w:t>
            </w:r>
            <w:r>
              <w:rPr>
                <w:rFonts w:hint="eastAsia" w:ascii="宋体" w:hAnsi="宋体" w:eastAsia="宋体" w:cs="宋体"/>
                <w:b/>
                <w:bCs/>
                <w:color w:val="auto"/>
                <w:szCs w:val="21"/>
                <w:highlight w:val="none"/>
              </w:rPr>
              <w:t xml:space="preserve">须注明： </w:t>
            </w:r>
            <w:r>
              <w:rPr>
                <w:rFonts w:hint="eastAsia" w:ascii="宋体" w:hAnsi="宋体" w:eastAsia="宋体" w:cs="宋体"/>
                <w:b/>
                <w:bCs/>
                <w:color w:val="auto"/>
                <w:szCs w:val="21"/>
                <w:highlight w:val="none"/>
                <w:u w:val="single"/>
              </w:rPr>
              <w:t>2024年临江公司E+H仪控备件采购项目</w:t>
            </w:r>
            <w:r>
              <w:rPr>
                <w:rFonts w:hint="eastAsia" w:ascii="宋体" w:hAnsi="宋体" w:eastAsia="宋体" w:cs="宋体"/>
                <w:b/>
                <w:bCs/>
                <w:color w:val="auto"/>
                <w:szCs w:val="21"/>
                <w:highlight w:val="none"/>
              </w:rPr>
              <w:t>询价保证金</w:t>
            </w:r>
          </w:p>
          <w:p>
            <w:pPr>
              <w:pStyle w:val="19"/>
              <w:snapToGrid w:val="0"/>
              <w:spacing w:before="0" w:beforeAutospacing="0" w:after="0" w:afterAutospacing="0" w:line="360" w:lineRule="auto"/>
              <w:jc w:val="both"/>
              <w:rPr>
                <w:rFonts w:eastAsia="宋体" w:cs="宋体"/>
                <w:color w:val="auto"/>
                <w:kern w:val="2"/>
                <w:sz w:val="21"/>
                <w:szCs w:val="21"/>
                <w:highlight w:val="none"/>
              </w:rPr>
            </w:pPr>
            <w:r>
              <w:rPr>
                <w:rFonts w:hint="eastAsia" w:eastAsia="宋体" w:cs="宋体"/>
                <w:color w:val="auto"/>
                <w:kern w:val="2"/>
                <w:sz w:val="21"/>
                <w:szCs w:val="21"/>
                <w:highlight w:val="none"/>
              </w:rPr>
              <w:t>户    名：杭州市能源集团有限公司</w:t>
            </w:r>
          </w:p>
          <w:p>
            <w:pPr>
              <w:pStyle w:val="19"/>
              <w:snapToGrid w:val="0"/>
              <w:spacing w:before="0" w:beforeAutospacing="0" w:after="0" w:afterAutospacing="0" w:line="360" w:lineRule="auto"/>
              <w:jc w:val="both"/>
              <w:rPr>
                <w:rFonts w:eastAsia="宋体" w:cs="宋体"/>
                <w:color w:val="auto"/>
                <w:kern w:val="2"/>
                <w:sz w:val="21"/>
                <w:szCs w:val="21"/>
                <w:highlight w:val="none"/>
              </w:rPr>
            </w:pPr>
            <w:r>
              <w:rPr>
                <w:rFonts w:hint="eastAsia" w:eastAsia="宋体" w:cs="宋体"/>
                <w:color w:val="auto"/>
                <w:kern w:val="2"/>
                <w:sz w:val="21"/>
                <w:szCs w:val="21"/>
                <w:highlight w:val="none"/>
              </w:rPr>
              <w:t>开户银行：宁波银行杭州分行营业部</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号：86041110000078615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58"/>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5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sdt>
                  <w:sdtPr>
                    <w:rPr>
                      <w:rFonts w:hint="eastAsia" w:ascii="宋体" w:hAnsi="宋体" w:eastAsia="宋体" w:cs="宋体"/>
                      <w:color w:val="auto"/>
                      <w:kern w:val="0"/>
                      <w:szCs w:val="21"/>
                      <w:highlight w:val="none"/>
                    </w:rPr>
                    <w:id w:val="60"/>
                    <w:showingPlcHdr/>
                  </w:sdtPr>
                  <w:sdtEndPr>
                    <w:rPr>
                      <w:rFonts w:hint="eastAsia" w:ascii="宋体" w:hAnsi="宋体" w:eastAsia="宋体" w:cs="宋体"/>
                      <w:color w:val="auto"/>
                      <w:kern w:val="0"/>
                      <w:szCs w:val="21"/>
                      <w:highlight w:val="none"/>
                    </w:rPr>
                  </w:sdtEndP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kern w:val="0"/>
                <w:szCs w:val="21"/>
                <w:highlight w:val="none"/>
              </w:rPr>
            </w:pPr>
            <w:sdt>
              <w:sdtPr>
                <w:rPr>
                  <w:rFonts w:hint="eastAsia" w:ascii="宋体" w:hAnsi="宋体" w:eastAsia="宋体" w:cs="宋体"/>
                  <w:color w:val="auto"/>
                  <w:kern w:val="0"/>
                  <w:szCs w:val="21"/>
                  <w:highlight w:val="none"/>
                </w:rPr>
                <w:id w:val="11740717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62"/>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sdt>
                  <w:sdtPr>
                    <w:rPr>
                      <w:rFonts w:hint="eastAsia" w:ascii="宋体" w:hAnsi="宋体" w:eastAsia="宋体" w:cs="宋体"/>
                      <w:color w:val="auto"/>
                      <w:kern w:val="0"/>
                      <w:szCs w:val="21"/>
                      <w:highlight w:val="none"/>
                    </w:rPr>
                    <w:id w:val="63"/>
                    <w:showingPlcHdr/>
                  </w:sdtPr>
                  <w:sdtEndPr>
                    <w:rPr>
                      <w:rFonts w:hint="eastAsia" w:ascii="宋体" w:hAnsi="宋体" w:eastAsia="宋体" w:cs="宋体"/>
                      <w:color w:val="auto"/>
                      <w:kern w:val="0"/>
                      <w:szCs w:val="21"/>
                      <w:highlight w:val="none"/>
                    </w:rPr>
                  </w:sdtEndPr>
                  <w:sdtContent/>
                </w:sdt>
              </w:sdtContent>
            </w:sdt>
            <w:r>
              <w:rPr>
                <w:rFonts w:hint="eastAsia" w:ascii="宋体" w:hAnsi="宋体" w:eastAsia="宋体" w:cs="宋体"/>
                <w:color w:val="auto"/>
                <w:kern w:val="0"/>
                <w:szCs w:val="21"/>
                <w:highlight w:val="none"/>
              </w:rPr>
              <w:t>B组织。</w:t>
            </w:r>
          </w:p>
          <w:p>
            <w:pPr>
              <w:snapToGrid w:val="0"/>
              <w:spacing w:line="360" w:lineRule="auto"/>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rPr>
              <w:t>（1）在评审时安排供应商进行方案讲解演示。每个供应商时间不超过</w:t>
            </w:r>
            <w:r>
              <w:rPr>
                <w:rFonts w:hint="eastAsia" w:ascii="宋体" w:hAnsi="宋体" w:eastAsia="宋体" w:cs="宋体"/>
                <w:color w:val="auto"/>
                <w:szCs w:val="21"/>
                <w:highlight w:val="none"/>
                <w:u w:val="single"/>
              </w:rPr>
              <w:t xml:space="preserve"> 20</w:t>
            </w:r>
            <w:r>
              <w:rPr>
                <w:rFonts w:hint="eastAsia" w:ascii="宋体" w:hAnsi="宋体" w:eastAsia="宋体" w:cs="宋体"/>
                <w:color w:val="auto"/>
                <w:kern w:val="0"/>
                <w:szCs w:val="21"/>
                <w:highlight w:val="none"/>
                <w:u w:val="single"/>
              </w:rPr>
              <w:t>（编制时可根据项目情况进行调整）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分钟，讲解次序以响应文件解密时间先后次序为准，讲解演示人员不超过</w:t>
            </w:r>
            <w:r>
              <w:rPr>
                <w:rFonts w:hint="eastAsia" w:ascii="宋体" w:hAnsi="宋体" w:eastAsia="宋体" w:cs="宋体"/>
                <w:color w:val="auto"/>
                <w:kern w:val="0"/>
                <w:szCs w:val="21"/>
                <w:highlight w:val="none"/>
                <w:u w:val="single"/>
              </w:rPr>
              <w:t>3（编制时可根据项目情况进行调整）</w:t>
            </w:r>
            <w:r>
              <w:rPr>
                <w:rFonts w:hint="eastAsia" w:ascii="宋体" w:hAnsi="宋体" w:eastAsia="宋体" w:cs="宋体"/>
                <w:color w:val="auto"/>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color w:val="auto"/>
                <w:highlight w:val="none"/>
              </w:rPr>
              <w:t>综合评分法。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履约保证金金额：约合同价的</w:t>
            </w:r>
            <w:r>
              <w:rPr>
                <w:rFonts w:ascii="宋体" w:hAnsi="宋体" w:cs="宋体"/>
                <w:color w:val="auto"/>
                <w:highlight w:val="none"/>
              </w:rPr>
              <w:t>5</w:t>
            </w:r>
            <w:r>
              <w:rPr>
                <w:rFonts w:hint="eastAsia" w:ascii="宋体" w:hAnsi="宋体" w:cs="宋体"/>
                <w:color w:val="auto"/>
                <w:highlight w:val="none"/>
              </w:rPr>
              <w:t>%</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履约保证金有效期限：履约保证金将在本项目合同到期或终止后，扣除供应商应承担的违约金、损失赔偿金等款项后经供应商申请30个工作日后无息退还。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w:t>
            </w:r>
            <w:r>
              <w:rPr>
                <w:rFonts w:hint="eastAsia"/>
                <w:snapToGrid w:val="0"/>
                <w:color w:val="auto"/>
                <w:szCs w:val="21"/>
                <w:highlight w:val="none"/>
                <w:lang w:val="en-US"/>
              </w:rPr>
              <w:t>正本1份，副本2份，</w:t>
            </w:r>
            <w:r>
              <w:rPr>
                <w:rFonts w:hint="eastAsia"/>
                <w:snapToGrid w:val="0"/>
                <w:color w:val="auto"/>
                <w:szCs w:val="21"/>
                <w:highlight w:val="none"/>
              </w:rPr>
              <w:t>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p>
    <w:p>
      <w:pPr>
        <w:pStyle w:val="7"/>
        <w:rPr>
          <w:rFonts w:cs="仿宋" w:asciiTheme="minorEastAsia" w:hAnsiTheme="minorEastAsia"/>
          <w:b/>
          <w:color w:val="auto"/>
          <w:sz w:val="32"/>
          <w:szCs w:val="20"/>
          <w:highlight w:val="none"/>
        </w:rPr>
      </w:pPr>
    </w:p>
    <w:p>
      <w:pPr>
        <w:pStyle w:val="8"/>
        <w:rPr>
          <w:rFonts w:cs="仿宋" w:asciiTheme="minorEastAsia" w:hAnsiTheme="minorEastAsia"/>
          <w:b/>
          <w:color w:val="auto"/>
          <w:sz w:val="32"/>
          <w:highlight w:val="none"/>
        </w:rPr>
      </w:pPr>
    </w:p>
    <w:p>
      <w:pPr>
        <w:rPr>
          <w:rFonts w:cs="仿宋" w:asciiTheme="minorEastAsia" w:hAnsiTheme="minorEastAsia"/>
          <w:b/>
          <w:color w:val="auto"/>
          <w:sz w:val="32"/>
          <w:szCs w:val="20"/>
          <w:highlight w:val="none"/>
        </w:rPr>
      </w:pPr>
    </w:p>
    <w:p>
      <w:pPr>
        <w:rPr>
          <w:color w:val="auto"/>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“供应商”系指是指响应询价邀请、参加响应竞争的法人、其他组织、成交单位。</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2.4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详见采购公告中获取询价采购文件的时间期限、地点等</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6.响应截止前答疑会或现场考察</w:t>
      </w:r>
    </w:p>
    <w:p>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pPr>
        <w:pStyle w:val="1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1"/>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pPr>
        <w:pStyle w:val="21"/>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pPr>
        <w:pStyle w:val="21"/>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highlight w:val="none"/>
        </w:rPr>
      </w:pPr>
    </w:p>
    <w:p>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pPr>
        <w:pStyle w:val="22"/>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pPr>
        <w:pStyle w:val="21"/>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1"/>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pPr>
        <w:pStyle w:val="21"/>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pPr>
        <w:pStyle w:val="21"/>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除不可抗力等特殊情况外，原则上采购人应当在成交通知书发出之日起30日内，与成交供应商按照询价采购文件确定的事项签订采购合同。</w:t>
      </w:r>
    </w:p>
    <w:p>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pPr>
        <w:pStyle w:val="7"/>
        <w:ind w:firstLine="480" w:firstLineChars="200"/>
        <w:rPr>
          <w:color w:val="auto"/>
          <w:highlight w:val="none"/>
        </w:rPr>
      </w:pPr>
      <w:r>
        <w:rPr>
          <w:rFonts w:hint="eastAsia"/>
          <w:color w:val="auto"/>
          <w:highlight w:val="none"/>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供应商的询价保证金将在采购人与供应商签订合同并按要求缴纳履约保证金后全额无息退还。退保证金前，供应商必须提供加盖公章或财务专用章的收款收据</w:t>
      </w:r>
      <w:r>
        <w:rPr>
          <w:rFonts w:hint="eastAsia" w:cs="仿宋" w:asciiTheme="minorEastAsia" w:hAnsiTheme="minorEastAsia"/>
          <w:b/>
          <w:bCs/>
          <w:color w:val="auto"/>
          <w:sz w:val="24"/>
          <w:szCs w:val="20"/>
          <w:highlight w:val="none"/>
        </w:rPr>
        <w:t>（格式自理）</w:t>
      </w:r>
      <w:r>
        <w:rPr>
          <w:rFonts w:hint="eastAsia" w:cs="仿宋" w:asciiTheme="minorEastAsia" w:hAnsiTheme="minorEastAsia"/>
          <w:color w:val="auto"/>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26.4法律法规规定的其他情形。</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pPr>
        <w:pStyle w:val="9"/>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color w:val="auto"/>
          <w:kern w:val="0"/>
          <w:sz w:val="24"/>
          <w:highlight w:val="none"/>
        </w:rPr>
      </w:pPr>
    </w:p>
    <w:p>
      <w:pPr>
        <w:pStyle w:val="7"/>
        <w:rPr>
          <w:color w:val="auto"/>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pPr>
        <w:pStyle w:val="7"/>
        <w:ind w:firstLine="480" w:firstLineChars="200"/>
        <w:rPr>
          <w:color w:val="auto"/>
          <w:highlight w:val="none"/>
          <w:lang w:val="en-US"/>
        </w:rPr>
      </w:pPr>
      <w:r>
        <w:rPr>
          <w:rFonts w:hint="eastAsia"/>
          <w:color w:val="auto"/>
          <w:highlight w:val="none"/>
          <w:lang w:val="en-US"/>
        </w:rPr>
        <w:t>杭州临江环境能源有限公司因日常生产需要，需采购E+H仪控备件一批，具体如下：</w:t>
      </w:r>
    </w:p>
    <w:tbl>
      <w:tblPr>
        <w:tblStyle w:val="15"/>
        <w:tblW w:w="8996" w:type="dxa"/>
        <w:tblInd w:w="96" w:type="dxa"/>
        <w:tblLayout w:type="fixed"/>
        <w:tblCellMar>
          <w:top w:w="0" w:type="dxa"/>
          <w:left w:w="108" w:type="dxa"/>
          <w:bottom w:w="0" w:type="dxa"/>
          <w:right w:w="108" w:type="dxa"/>
        </w:tblCellMar>
      </w:tblPr>
      <w:tblGrid>
        <w:gridCol w:w="681"/>
        <w:gridCol w:w="2141"/>
        <w:gridCol w:w="917"/>
        <w:gridCol w:w="3523"/>
        <w:gridCol w:w="764"/>
        <w:gridCol w:w="970"/>
      </w:tblGrid>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货物名称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品牌</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型号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单位</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暂定数量</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荧光法模拟式溶氧电极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COS61-A2F0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溶解氧二次表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COM223-WX8105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PH/ORP二次表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CPM223-PR8105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溶解氧电极维护包</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COV45-41TN1</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盒</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电导率二次表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CLM223-CD8605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电导率电极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CLS50D-AA1B21，另配国产DN50材质为316L的法兰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模拟量pH电极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CPF81-LH11C3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数字式pH电极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CPS11E-AA7BTA4</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14</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数字测量电缆</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CYK10-A101</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PH支架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同CPA640系列，匹配CPS11E-AA7BTA4，</w:t>
            </w:r>
            <w:r>
              <w:rPr>
                <w:rFonts w:hint="eastAsia" w:ascii="宋体" w:hAnsi="宋体" w:eastAsia="宋体" w:cs="宋体"/>
                <w:color w:val="auto"/>
                <w:kern w:val="0"/>
                <w:sz w:val="18"/>
                <w:szCs w:val="18"/>
                <w:highlight w:val="none"/>
                <w:lang w:bidi="ar"/>
              </w:rPr>
              <w:br w:type="textWrapping"/>
            </w:r>
            <w:r>
              <w:rPr>
                <w:rStyle w:val="33"/>
                <w:rFonts w:hint="default"/>
                <w:color w:val="auto"/>
                <w:sz w:val="18"/>
                <w:szCs w:val="18"/>
                <w:highlight w:val="none"/>
                <w:lang w:bidi="ar"/>
              </w:rPr>
              <w:t>L=240mm</w:t>
            </w:r>
            <w:r>
              <w:rPr>
                <w:rStyle w:val="34"/>
                <w:rFonts w:hint="default"/>
                <w:color w:val="auto"/>
                <w:sz w:val="18"/>
                <w:szCs w:val="18"/>
                <w:highlight w:val="none"/>
                <w:lang w:bidi="ar"/>
              </w:rPr>
              <w:t>，材质：PVDF，按国产第三方制作</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数字式电导率传感器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CLS21E-AAGA11</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数字式pH/ORP组合电极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CPS16E-AA7BTA2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单通道变送器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CM14-AAM</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数字式pH电极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CPF81E-AA5LAD1</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15</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数字电极电缆</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CYK10-A151</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多参数水质二次表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CM442-AAM2A4F060A+AK</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CM442仪表配件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CM442R-AAM2CCF06+AK</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CM442仪表配件</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71135632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数字式PH电极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CPS11E-AA7BAA4</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电导率电极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CLS15-B1A1A</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模拟ORP电极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CPF82-PA11A4</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电导率电极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CLS19-B1A1D</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5PBB15-AAEADBKA0AED5KGAA1+AK</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5WBB25-AADAEBKA0AQD321AA1+AK</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5P5B2H-63E2/0</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9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5W4C2H-AADLHP2AQD230B+AK</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5HBB04-AAAEBKA0AAI2S0AA1+AK</w:t>
            </w:r>
          </w:p>
        </w:tc>
        <w:tc>
          <w:tcPr>
            <w:tcW w:w="7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5WBB1F-AADAEBKA0AUD210AA1+AK</w:t>
            </w:r>
          </w:p>
        </w:tc>
        <w:tc>
          <w:tcPr>
            <w:tcW w:w="7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涡街流量计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7D2C80-AAACCAAAAADESKA1+AK</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涡街流量计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7D2C1H-AAACCAAAAAD1SKA1+AK</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电磁流量计分体式二次表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5W4C80-AADLHP2AQD210B+AK</w:t>
            </w:r>
          </w:p>
        </w:tc>
        <w:tc>
          <w:tcPr>
            <w:tcW w:w="7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涡街流量计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7D2C1F-AAACCAAAAAD1SKA1+AK</w:t>
            </w:r>
          </w:p>
        </w:tc>
        <w:tc>
          <w:tcPr>
            <w:tcW w:w="7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电磁流量计一体式</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5W4C2H-AADLHP2AQD210B+AK</w:t>
            </w:r>
          </w:p>
        </w:tc>
        <w:tc>
          <w:tcPr>
            <w:tcW w:w="7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5WBB80-AADAEBKA0DQD211AA1+AK</w:t>
            </w:r>
          </w:p>
        </w:tc>
        <w:tc>
          <w:tcPr>
            <w:tcW w:w="7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电磁流量计一体式</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5W4C2F-AADLHA0AQD230B+AK</w:t>
            </w:r>
          </w:p>
        </w:tc>
        <w:tc>
          <w:tcPr>
            <w:tcW w:w="7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5P5B1H-BBEBAAAAFBAA2AED3S0BA1+AK</w:t>
            </w:r>
          </w:p>
        </w:tc>
        <w:tc>
          <w:tcPr>
            <w:tcW w:w="7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分体式电磁流量计表头</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5P5B1H-BBEBAAAAFBAA2AED3S0BA1+AK</w:t>
            </w:r>
          </w:p>
        </w:tc>
        <w:tc>
          <w:tcPr>
            <w:tcW w:w="76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PH电极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CPS71E-AA7BTB2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明渠流量计变送器</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FMU9O-R21CA111AA3A</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明渠流量计探头</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FDU9O-RG2AA</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r>
    </w:tbl>
    <w:p>
      <w:pPr>
        <w:pStyle w:val="7"/>
        <w:ind w:firstLine="480" w:firstLineChars="200"/>
        <w:rPr>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二、合同期限</w:t>
      </w:r>
      <w:r>
        <w:rPr>
          <w:rFonts w:hint="eastAsia"/>
          <w:color w:val="auto"/>
          <w:highlight w:val="none"/>
          <w:lang w:val="en-US"/>
        </w:rPr>
        <w:t>：自合同签订后12个月。</w:t>
      </w:r>
    </w:p>
    <w:p>
      <w:pPr>
        <w:pStyle w:val="7"/>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三、技术、质量要求</w:t>
      </w:r>
    </w:p>
    <w:p>
      <w:pPr>
        <w:pStyle w:val="7"/>
        <w:ind w:firstLine="480" w:firstLineChars="200"/>
        <w:rPr>
          <w:color w:val="auto"/>
          <w:highlight w:val="none"/>
          <w:lang w:val="en-US"/>
        </w:rPr>
      </w:pPr>
      <w:r>
        <w:rPr>
          <w:rFonts w:hint="eastAsia"/>
          <w:color w:val="auto"/>
          <w:highlight w:val="none"/>
          <w:lang w:val="en-US"/>
        </w:rPr>
        <w:t>1.品牌和型号等技术参数满足采购内容中的规格型号/技术要求；</w:t>
      </w:r>
    </w:p>
    <w:p>
      <w:pPr>
        <w:pStyle w:val="7"/>
        <w:ind w:firstLine="480" w:firstLineChars="200"/>
        <w:rPr>
          <w:color w:val="auto"/>
          <w:highlight w:val="none"/>
          <w:lang w:val="en-US"/>
        </w:rPr>
      </w:pPr>
      <w:r>
        <w:rPr>
          <w:rFonts w:hint="eastAsia"/>
          <w:color w:val="auto"/>
          <w:highlight w:val="none"/>
          <w:lang w:val="en-US"/>
        </w:rPr>
        <w:t>2.供应商提供的E+H仪控备件必须为原厂正品，不得为假冒伪劣产品。</w:t>
      </w:r>
    </w:p>
    <w:p>
      <w:pPr>
        <w:pStyle w:val="24"/>
        <w:spacing w:before="0" w:beforeAutospacing="0" w:after="0" w:afterAutospacing="0" w:line="360" w:lineRule="auto"/>
        <w:ind w:firstLine="480" w:firstLineChars="200"/>
        <w:rPr>
          <w:rFonts w:cs="仿宋" w:asciiTheme="minorEastAsia" w:hAnsiTheme="minorEastAsia"/>
          <w:color w:val="auto"/>
          <w:highlight w:val="none"/>
        </w:rPr>
      </w:pPr>
      <w:r>
        <w:rPr>
          <w:rFonts w:hint="eastAsia"/>
          <w:color w:val="auto"/>
          <w:highlight w:val="none"/>
        </w:rPr>
        <w:t>3.质保条款按照E+H原厂条款执行。</w:t>
      </w:r>
    </w:p>
    <w:p>
      <w:pPr>
        <w:pStyle w:val="7"/>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四、验收方式</w:t>
      </w:r>
    </w:p>
    <w:p>
      <w:pPr>
        <w:pStyle w:val="7"/>
        <w:ind w:firstLine="480" w:firstLineChars="200"/>
        <w:rPr>
          <w:color w:val="auto"/>
          <w:highlight w:val="none"/>
          <w:lang w:val="en-US"/>
        </w:rPr>
      </w:pPr>
      <w:r>
        <w:rPr>
          <w:rFonts w:hint="eastAsia"/>
          <w:color w:val="auto"/>
          <w:highlight w:val="none"/>
          <w:lang w:val="en-US"/>
        </w:rPr>
        <w:t>1.供应商须提供该批次货物质量证明材料（格式按E+H厂家拟定）和送货单，支持E+H官网或者小程序防伪查询，配合采购人做好货物的到货数量验收工作，将货物运达采购人指定交货地点后及时书面通知采购人。</w:t>
      </w:r>
    </w:p>
    <w:p>
      <w:pPr>
        <w:pStyle w:val="7"/>
        <w:ind w:firstLine="480" w:firstLineChars="200"/>
        <w:rPr>
          <w:color w:val="auto"/>
          <w:highlight w:val="none"/>
          <w:lang w:val="en-US"/>
        </w:rPr>
      </w:pPr>
      <w:r>
        <w:rPr>
          <w:rFonts w:hint="eastAsia"/>
          <w:color w:val="auto"/>
          <w:highlight w:val="none"/>
          <w:lang w:val="en-US"/>
        </w:rPr>
        <w:t>2.双方指定人员现场确认送货数量并由双方签字确认。</w:t>
      </w:r>
    </w:p>
    <w:p>
      <w:pPr>
        <w:pStyle w:val="8"/>
        <w:rPr>
          <w:color w:val="auto"/>
          <w:highlight w:val="none"/>
          <w:lang w:val="en-US"/>
        </w:rPr>
      </w:pPr>
      <w:r>
        <w:rPr>
          <w:rFonts w:hint="eastAsia"/>
          <w:color w:val="auto"/>
          <w:highlight w:val="none"/>
          <w:lang w:val="en-US"/>
        </w:rPr>
        <w:t>3.供应商提供E+H上游供货方的发票、合同（与本次采购的品种、数量、品牌），该上游供货方须为该品牌的授权经销商，同时提供品牌经销授权书。</w:t>
      </w:r>
    </w:p>
    <w:p>
      <w:pPr>
        <w:pStyle w:val="7"/>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五、服务要求</w:t>
      </w:r>
    </w:p>
    <w:p>
      <w:pPr>
        <w:pStyle w:val="7"/>
        <w:ind w:firstLine="480" w:firstLineChars="200"/>
        <w:rPr>
          <w:color w:val="auto"/>
          <w:highlight w:val="none"/>
          <w:lang w:val="en-US"/>
        </w:rPr>
      </w:pPr>
      <w:r>
        <w:rPr>
          <w:rFonts w:hint="eastAsia"/>
          <w:color w:val="auto"/>
          <w:highlight w:val="none"/>
          <w:lang w:val="en-US"/>
        </w:rPr>
        <w:t>根据采购人生产计划，确定送货数量要求，分批次供货，供应商负责在接到采购人电话或书面通知后在20个工作日内完成供货（若因进口问题，供货时间双方另行协商）。供应商负责卸货，人工费由供应商承担，采购人可免费提供叉车服务。</w:t>
      </w:r>
    </w:p>
    <w:p>
      <w:pPr>
        <w:pStyle w:val="7"/>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六、结算方式</w:t>
      </w:r>
    </w:p>
    <w:p>
      <w:pPr>
        <w:pStyle w:val="8"/>
        <w:ind w:firstLine="480" w:firstLineChars="200"/>
        <w:rPr>
          <w:color w:val="auto"/>
          <w:highlight w:val="none"/>
          <w:lang w:val="en-US"/>
        </w:rPr>
      </w:pPr>
      <w:r>
        <w:rPr>
          <w:rFonts w:hint="eastAsia"/>
          <w:color w:val="auto"/>
          <w:highlight w:val="none"/>
          <w:lang w:val="en-US"/>
        </w:rPr>
        <w:t>以本询价采购文件中的合同条款为准。</w:t>
      </w:r>
    </w:p>
    <w:p>
      <w:pPr>
        <w:pStyle w:val="7"/>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rPr>
        <w:t>七、售后要求</w:t>
      </w:r>
    </w:p>
    <w:p>
      <w:pPr>
        <w:pStyle w:val="7"/>
        <w:ind w:firstLine="480" w:firstLineChars="200"/>
        <w:rPr>
          <w:color w:val="auto"/>
          <w:highlight w:val="none"/>
          <w:lang w:val="en-US"/>
        </w:rPr>
      </w:pPr>
      <w:r>
        <w:rPr>
          <w:rFonts w:hint="eastAsia"/>
          <w:color w:val="auto"/>
          <w:highlight w:val="none"/>
          <w:lang w:val="en-US"/>
        </w:rPr>
        <w:t>1.供应商必须满足采购人售后服务要求。如使用过程发生问题，供应商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color w:val="auto"/>
          <w:highlight w:val="none"/>
          <w:lang w:val="en-US"/>
        </w:rPr>
      </w:pPr>
      <w:r>
        <w:rPr>
          <w:rFonts w:hint="eastAsia"/>
          <w:color w:val="auto"/>
          <w:highlight w:val="none"/>
          <w:lang w:val="en-US"/>
        </w:rPr>
        <w:t>2.采购人不再对任何售后服务进行付费。供应商的派遣人员产生的一切费用由供应商承担。</w:t>
      </w:r>
    </w:p>
    <w:p>
      <w:pPr>
        <w:rPr>
          <w:color w:val="auto"/>
          <w:highlight w:val="none"/>
        </w:rPr>
      </w:pPr>
    </w:p>
    <w:p>
      <w:pPr>
        <w:pStyle w:val="13"/>
        <w:rPr>
          <w:color w:val="auto"/>
          <w:highlight w:val="none"/>
        </w:rPr>
      </w:pPr>
    </w:p>
    <w:p>
      <w:pPr>
        <w:spacing w:line="460" w:lineRule="exact"/>
        <w:jc w:val="center"/>
        <w:rPr>
          <w:rFonts w:cs="仿宋" w:asciiTheme="minorEastAsia" w:hAnsiTheme="minorEastAsia"/>
          <w:b/>
          <w:color w:val="auto"/>
          <w:sz w:val="36"/>
          <w:szCs w:val="36"/>
          <w:highlight w:val="none"/>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4453"/>
      <w:bookmarkEnd w:id="19"/>
      <w:bookmarkStart w:id="20" w:name="_Toc184310304"/>
      <w:bookmarkEnd w:id="20"/>
      <w:bookmarkStart w:id="21" w:name="_Toc184313249"/>
      <w:bookmarkEnd w:id="21"/>
      <w:bookmarkStart w:id="22" w:name="_Toc184313257"/>
      <w:bookmarkEnd w:id="22"/>
      <w:bookmarkStart w:id="23" w:name="_Toc184308087"/>
      <w:bookmarkEnd w:id="23"/>
      <w:bookmarkStart w:id="24" w:name="_Toc184310337"/>
      <w:bookmarkEnd w:id="24"/>
      <w:bookmarkStart w:id="25" w:name="_Toc184314416"/>
      <w:bookmarkEnd w:id="25"/>
      <w:bookmarkStart w:id="26" w:name="_Toc184313307"/>
      <w:bookmarkEnd w:id="26"/>
      <w:bookmarkStart w:id="27" w:name="_Toc184310297"/>
      <w:bookmarkEnd w:id="27"/>
      <w:bookmarkStart w:id="28" w:name="_Toc184314417"/>
      <w:bookmarkEnd w:id="28"/>
      <w:bookmarkStart w:id="29" w:name="_Toc184308077"/>
      <w:bookmarkEnd w:id="29"/>
      <w:bookmarkStart w:id="30" w:name="_Toc184310272"/>
      <w:bookmarkEnd w:id="30"/>
      <w:bookmarkStart w:id="31" w:name="_Toc184308055"/>
      <w:bookmarkEnd w:id="31"/>
      <w:bookmarkStart w:id="32" w:name="_Toc184310295"/>
      <w:bookmarkEnd w:id="32"/>
      <w:bookmarkStart w:id="33" w:name="_Toc184313263"/>
      <w:bookmarkEnd w:id="33"/>
      <w:bookmarkStart w:id="34" w:name="_Toc184314419"/>
      <w:bookmarkEnd w:id="34"/>
      <w:bookmarkStart w:id="35" w:name="_Toc184314467"/>
      <w:bookmarkEnd w:id="35"/>
      <w:bookmarkStart w:id="36" w:name="_Toc184310294"/>
      <w:bookmarkEnd w:id="36"/>
      <w:bookmarkStart w:id="37" w:name="_Toc184308104"/>
      <w:bookmarkEnd w:id="37"/>
      <w:bookmarkStart w:id="38" w:name="_Toc184312106"/>
      <w:bookmarkEnd w:id="38"/>
      <w:bookmarkStart w:id="39" w:name="_Toc184313288"/>
      <w:bookmarkEnd w:id="39"/>
      <w:bookmarkStart w:id="40" w:name="_Toc184314420"/>
      <w:bookmarkEnd w:id="40"/>
      <w:bookmarkStart w:id="41" w:name="_Toc184314422"/>
      <w:bookmarkEnd w:id="41"/>
      <w:bookmarkStart w:id="42" w:name="_Toc184310320"/>
      <w:bookmarkEnd w:id="42"/>
      <w:bookmarkStart w:id="43" w:name="_Toc184308078"/>
      <w:bookmarkEnd w:id="43"/>
      <w:bookmarkStart w:id="44" w:name="_Toc184310279"/>
      <w:bookmarkEnd w:id="44"/>
      <w:bookmarkStart w:id="45" w:name="_Toc184312068"/>
      <w:bookmarkEnd w:id="45"/>
      <w:bookmarkStart w:id="46" w:name="_Toc184314441"/>
      <w:bookmarkEnd w:id="46"/>
      <w:bookmarkStart w:id="47" w:name="_Toc184313303"/>
      <w:bookmarkEnd w:id="47"/>
      <w:bookmarkStart w:id="48" w:name="_Toc184310314"/>
      <w:bookmarkEnd w:id="48"/>
      <w:bookmarkStart w:id="49" w:name="_Toc184310321"/>
      <w:bookmarkEnd w:id="49"/>
      <w:bookmarkStart w:id="50" w:name="_Toc184312081"/>
      <w:bookmarkEnd w:id="50"/>
      <w:bookmarkStart w:id="51" w:name="_Toc184308052"/>
      <w:bookmarkEnd w:id="51"/>
      <w:bookmarkStart w:id="52" w:name="_Toc184313275"/>
      <w:bookmarkEnd w:id="52"/>
      <w:bookmarkStart w:id="53" w:name="_Toc184313271"/>
      <w:bookmarkEnd w:id="53"/>
      <w:bookmarkStart w:id="54" w:name="_Toc184308061"/>
      <w:bookmarkEnd w:id="54"/>
      <w:bookmarkStart w:id="55" w:name="_Toc184314466"/>
      <w:bookmarkEnd w:id="55"/>
      <w:bookmarkStart w:id="56" w:name="_Toc184312112"/>
      <w:bookmarkEnd w:id="56"/>
      <w:bookmarkStart w:id="57" w:name="_Toc184313291"/>
      <w:bookmarkEnd w:id="57"/>
      <w:bookmarkStart w:id="58" w:name="_Toc184314458"/>
      <w:bookmarkEnd w:id="58"/>
      <w:bookmarkStart w:id="59" w:name="_Toc184313287"/>
      <w:bookmarkEnd w:id="59"/>
      <w:bookmarkStart w:id="60" w:name="_Toc184314463"/>
      <w:bookmarkEnd w:id="60"/>
      <w:bookmarkStart w:id="61" w:name="_Toc184308105"/>
      <w:bookmarkEnd w:id="61"/>
      <w:bookmarkStart w:id="62" w:name="_Toc184312137"/>
      <w:bookmarkEnd w:id="62"/>
      <w:bookmarkStart w:id="63" w:name="_Toc184310316"/>
      <w:bookmarkEnd w:id="63"/>
      <w:bookmarkStart w:id="64" w:name="_Toc184314448"/>
      <w:bookmarkEnd w:id="64"/>
      <w:bookmarkStart w:id="65" w:name="_Toc184310322"/>
      <w:bookmarkEnd w:id="65"/>
      <w:bookmarkStart w:id="66" w:name="_Toc184310287"/>
      <w:bookmarkEnd w:id="66"/>
      <w:bookmarkStart w:id="67" w:name="_Toc184312085"/>
      <w:bookmarkEnd w:id="67"/>
      <w:bookmarkStart w:id="68" w:name="_Toc184310302"/>
      <w:bookmarkEnd w:id="68"/>
      <w:bookmarkStart w:id="69" w:name="_Toc184312134"/>
      <w:bookmarkEnd w:id="69"/>
      <w:bookmarkStart w:id="70" w:name="_Toc184312120"/>
      <w:bookmarkEnd w:id="70"/>
      <w:bookmarkStart w:id="71" w:name="_Toc184312131"/>
      <w:bookmarkEnd w:id="71"/>
      <w:bookmarkStart w:id="72" w:name="_Toc184312139"/>
      <w:bookmarkEnd w:id="72"/>
      <w:bookmarkStart w:id="73" w:name="_Toc184310341"/>
      <w:bookmarkEnd w:id="73"/>
      <w:bookmarkStart w:id="74" w:name="_Toc184313310"/>
      <w:bookmarkEnd w:id="74"/>
      <w:bookmarkStart w:id="75" w:name="_Toc184310278"/>
      <w:bookmarkEnd w:id="75"/>
      <w:bookmarkStart w:id="76" w:name="_Toc184314480"/>
      <w:bookmarkEnd w:id="76"/>
      <w:bookmarkStart w:id="77" w:name="_Toc184314440"/>
      <w:bookmarkEnd w:id="77"/>
      <w:bookmarkStart w:id="78" w:name="_Toc184310344"/>
      <w:bookmarkEnd w:id="78"/>
      <w:bookmarkStart w:id="79" w:name="_Toc184312129"/>
      <w:bookmarkEnd w:id="79"/>
      <w:bookmarkStart w:id="80" w:name="_Toc184312125"/>
      <w:bookmarkEnd w:id="80"/>
      <w:bookmarkStart w:id="81" w:name="_Toc184314456"/>
      <w:bookmarkEnd w:id="81"/>
      <w:bookmarkStart w:id="82" w:name="_Toc184314470"/>
      <w:bookmarkEnd w:id="82"/>
      <w:bookmarkStart w:id="83" w:name="_Toc184314474"/>
      <w:bookmarkEnd w:id="83"/>
      <w:bookmarkStart w:id="84" w:name="_Toc184310276"/>
      <w:bookmarkEnd w:id="84"/>
      <w:bookmarkStart w:id="85" w:name="_Toc184314471"/>
      <w:bookmarkEnd w:id="85"/>
      <w:bookmarkStart w:id="86" w:name="_Toc184314446"/>
      <w:bookmarkEnd w:id="86"/>
      <w:bookmarkStart w:id="87" w:name="_Toc184312121"/>
      <w:bookmarkEnd w:id="87"/>
      <w:bookmarkStart w:id="88" w:name="_Toc184313298"/>
      <w:bookmarkEnd w:id="88"/>
      <w:bookmarkStart w:id="89" w:name="_Toc184308040"/>
      <w:bookmarkEnd w:id="89"/>
      <w:bookmarkStart w:id="90" w:name="_Toc184310323"/>
      <w:bookmarkEnd w:id="90"/>
      <w:bookmarkStart w:id="91" w:name="_Toc184308039"/>
      <w:bookmarkEnd w:id="91"/>
      <w:bookmarkStart w:id="92" w:name="_Toc184310286"/>
      <w:bookmarkEnd w:id="92"/>
      <w:bookmarkStart w:id="93" w:name="_Toc184312130"/>
      <w:bookmarkEnd w:id="93"/>
      <w:bookmarkStart w:id="94" w:name="_Toc184314468"/>
      <w:bookmarkEnd w:id="94"/>
      <w:bookmarkStart w:id="95" w:name="_Toc184312076"/>
      <w:bookmarkEnd w:id="95"/>
      <w:bookmarkStart w:id="96" w:name="_Toc184310280"/>
      <w:bookmarkEnd w:id="96"/>
      <w:bookmarkStart w:id="97" w:name="_Toc184313302"/>
      <w:bookmarkEnd w:id="97"/>
      <w:bookmarkStart w:id="98" w:name="_Toc184314430"/>
      <w:bookmarkEnd w:id="98"/>
      <w:bookmarkStart w:id="99" w:name="_Toc184314428"/>
      <w:bookmarkEnd w:id="99"/>
      <w:bookmarkStart w:id="100" w:name="_Toc184308045"/>
      <w:bookmarkEnd w:id="100"/>
      <w:bookmarkStart w:id="101" w:name="_Toc184312090"/>
      <w:bookmarkEnd w:id="101"/>
      <w:bookmarkStart w:id="102" w:name="_Toc184313252"/>
      <w:bookmarkEnd w:id="102"/>
      <w:bookmarkStart w:id="103" w:name="_Toc184314427"/>
      <w:bookmarkEnd w:id="103"/>
      <w:bookmarkStart w:id="104" w:name="_Toc184312138"/>
      <w:bookmarkEnd w:id="104"/>
      <w:bookmarkStart w:id="105" w:name="_Toc184308042"/>
      <w:bookmarkEnd w:id="105"/>
      <w:bookmarkStart w:id="106" w:name="_Toc184308036"/>
      <w:bookmarkEnd w:id="106"/>
      <w:bookmarkStart w:id="107" w:name="_Toc184314477"/>
      <w:bookmarkEnd w:id="107"/>
      <w:bookmarkStart w:id="108" w:name="_Toc184310309"/>
      <w:bookmarkEnd w:id="108"/>
      <w:bookmarkStart w:id="109" w:name="_Toc184308066"/>
      <w:bookmarkEnd w:id="109"/>
      <w:bookmarkStart w:id="110" w:name="_Toc184314476"/>
      <w:bookmarkEnd w:id="110"/>
      <w:bookmarkStart w:id="111" w:name="_Toc184312087"/>
      <w:bookmarkEnd w:id="111"/>
      <w:bookmarkStart w:id="112" w:name="_Toc184310284"/>
      <w:bookmarkEnd w:id="112"/>
      <w:bookmarkStart w:id="113" w:name="_Toc184310318"/>
      <w:bookmarkEnd w:id="113"/>
      <w:bookmarkStart w:id="114" w:name="_Toc184314443"/>
      <w:bookmarkEnd w:id="114"/>
      <w:bookmarkStart w:id="115" w:name="_Toc184314439"/>
      <w:bookmarkEnd w:id="115"/>
      <w:bookmarkStart w:id="116" w:name="_Toc184313262"/>
      <w:bookmarkEnd w:id="116"/>
      <w:bookmarkStart w:id="117" w:name="_Toc184308044"/>
      <w:bookmarkEnd w:id="117"/>
      <w:bookmarkStart w:id="118" w:name="_Toc184310325"/>
      <w:bookmarkEnd w:id="118"/>
      <w:bookmarkStart w:id="119" w:name="_Toc184313293"/>
      <w:bookmarkEnd w:id="119"/>
      <w:bookmarkStart w:id="120" w:name="_Toc184312099"/>
      <w:bookmarkEnd w:id="120"/>
      <w:bookmarkStart w:id="121" w:name="_Toc184308059"/>
      <w:bookmarkEnd w:id="121"/>
      <w:bookmarkStart w:id="122" w:name="_Toc184313301"/>
      <w:bookmarkEnd w:id="122"/>
      <w:bookmarkStart w:id="123" w:name="_Toc184308068"/>
      <w:bookmarkEnd w:id="123"/>
      <w:bookmarkStart w:id="124" w:name="_Toc184312133"/>
      <w:bookmarkEnd w:id="124"/>
      <w:bookmarkStart w:id="125" w:name="_Toc184312114"/>
      <w:bookmarkEnd w:id="125"/>
      <w:bookmarkStart w:id="126" w:name="_Toc184308075"/>
      <w:bookmarkEnd w:id="126"/>
      <w:bookmarkStart w:id="127" w:name="_Toc184313244"/>
      <w:bookmarkEnd w:id="127"/>
      <w:bookmarkStart w:id="128" w:name="_Toc184310330"/>
      <w:bookmarkEnd w:id="128"/>
      <w:bookmarkStart w:id="129" w:name="_Toc184310317"/>
      <w:bookmarkEnd w:id="129"/>
      <w:bookmarkStart w:id="130" w:name="_Toc184310288"/>
      <w:bookmarkEnd w:id="130"/>
      <w:bookmarkStart w:id="131" w:name="_Toc184313294"/>
      <w:bookmarkEnd w:id="131"/>
      <w:bookmarkStart w:id="132" w:name="_Toc184312103"/>
      <w:bookmarkEnd w:id="132"/>
      <w:bookmarkStart w:id="133" w:name="_Toc184312067"/>
      <w:bookmarkEnd w:id="133"/>
      <w:bookmarkStart w:id="134" w:name="_Toc184308098"/>
      <w:bookmarkEnd w:id="134"/>
      <w:bookmarkStart w:id="135" w:name="_Toc184308085"/>
      <w:bookmarkEnd w:id="135"/>
      <w:bookmarkStart w:id="136" w:name="_Toc184314479"/>
      <w:bookmarkEnd w:id="136"/>
      <w:bookmarkStart w:id="137" w:name="_Toc184308086"/>
      <w:bookmarkEnd w:id="137"/>
      <w:bookmarkStart w:id="138" w:name="_Toc184312135"/>
      <w:bookmarkEnd w:id="138"/>
      <w:bookmarkStart w:id="139" w:name="_Toc184312093"/>
      <w:bookmarkEnd w:id="139"/>
      <w:bookmarkStart w:id="140" w:name="_Toc184310299"/>
      <w:bookmarkEnd w:id="140"/>
      <w:bookmarkStart w:id="141" w:name="_Toc184314429"/>
      <w:bookmarkEnd w:id="141"/>
      <w:bookmarkStart w:id="142" w:name="_Toc184313269"/>
      <w:bookmarkEnd w:id="142"/>
      <w:bookmarkStart w:id="143" w:name="_Toc184312096"/>
      <w:bookmarkEnd w:id="143"/>
      <w:bookmarkStart w:id="144" w:name="_Toc184312118"/>
      <w:bookmarkEnd w:id="144"/>
      <w:bookmarkStart w:id="145" w:name="_Toc184313266"/>
      <w:bookmarkEnd w:id="145"/>
      <w:bookmarkStart w:id="146" w:name="_Toc184313299"/>
      <w:bookmarkEnd w:id="146"/>
      <w:bookmarkStart w:id="147" w:name="_Toc184308079"/>
      <w:bookmarkEnd w:id="147"/>
      <w:bookmarkStart w:id="148" w:name="_Toc184314412"/>
      <w:bookmarkEnd w:id="148"/>
      <w:bookmarkStart w:id="149" w:name="_Toc184312110"/>
      <w:bookmarkEnd w:id="149"/>
      <w:bookmarkStart w:id="150" w:name="_Toc184310310"/>
      <w:bookmarkEnd w:id="150"/>
      <w:bookmarkStart w:id="151" w:name="_Toc184313281"/>
      <w:bookmarkEnd w:id="151"/>
      <w:bookmarkStart w:id="152" w:name="_Toc184308094"/>
      <w:bookmarkEnd w:id="152"/>
      <w:bookmarkStart w:id="153" w:name="_Toc184314421"/>
      <w:bookmarkEnd w:id="153"/>
      <w:bookmarkStart w:id="154" w:name="_Toc184312128"/>
      <w:bookmarkEnd w:id="154"/>
      <w:bookmarkStart w:id="155" w:name="_Toc184313296"/>
      <w:bookmarkEnd w:id="155"/>
      <w:bookmarkStart w:id="156" w:name="_Toc184308107"/>
      <w:bookmarkEnd w:id="156"/>
      <w:bookmarkStart w:id="157" w:name="_Toc184308095"/>
      <w:bookmarkEnd w:id="157"/>
      <w:bookmarkStart w:id="158" w:name="_Toc184313292"/>
      <w:bookmarkEnd w:id="158"/>
      <w:bookmarkStart w:id="159" w:name="_Toc184312127"/>
      <w:bookmarkEnd w:id="159"/>
      <w:bookmarkStart w:id="160" w:name="_Toc184314425"/>
      <w:bookmarkEnd w:id="160"/>
      <w:bookmarkStart w:id="161" w:name="_Toc184312113"/>
      <w:bookmarkEnd w:id="161"/>
      <w:bookmarkStart w:id="162" w:name="_Toc184313277"/>
      <w:bookmarkEnd w:id="162"/>
      <w:bookmarkStart w:id="163" w:name="_Toc184312122"/>
      <w:bookmarkEnd w:id="163"/>
      <w:bookmarkStart w:id="164" w:name="_Toc184308081"/>
      <w:bookmarkEnd w:id="164"/>
      <w:bookmarkStart w:id="165" w:name="_Toc184313245"/>
      <w:bookmarkEnd w:id="165"/>
      <w:bookmarkStart w:id="166" w:name="_Toc184313240"/>
      <w:bookmarkEnd w:id="166"/>
      <w:bookmarkStart w:id="167" w:name="_Toc184312123"/>
      <w:bookmarkEnd w:id="167"/>
      <w:bookmarkStart w:id="168" w:name="_Toc184308099"/>
      <w:bookmarkEnd w:id="168"/>
      <w:bookmarkStart w:id="169" w:name="_Toc184314414"/>
      <w:bookmarkEnd w:id="169"/>
      <w:bookmarkStart w:id="170" w:name="_Toc184310333"/>
      <w:bookmarkEnd w:id="170"/>
      <w:bookmarkStart w:id="171" w:name="_Toc184308056"/>
      <w:bookmarkEnd w:id="171"/>
      <w:bookmarkStart w:id="172" w:name="_Toc184310311"/>
      <w:bookmarkEnd w:id="172"/>
      <w:bookmarkStart w:id="173" w:name="_Toc184310329"/>
      <w:bookmarkEnd w:id="173"/>
      <w:bookmarkStart w:id="174" w:name="_Toc184314413"/>
      <w:bookmarkEnd w:id="174"/>
      <w:bookmarkStart w:id="175" w:name="_Toc184313255"/>
      <w:bookmarkEnd w:id="175"/>
      <w:bookmarkStart w:id="176" w:name="_Toc184310292"/>
      <w:bookmarkEnd w:id="176"/>
      <w:bookmarkStart w:id="177" w:name="_Toc184308063"/>
      <w:bookmarkEnd w:id="177"/>
      <w:bookmarkStart w:id="178" w:name="_Toc184308050"/>
      <w:bookmarkEnd w:id="178"/>
      <w:bookmarkStart w:id="179" w:name="_Toc184310340"/>
      <w:bookmarkEnd w:id="179"/>
      <w:bookmarkStart w:id="180" w:name="_Toc184312111"/>
      <w:bookmarkEnd w:id="180"/>
      <w:bookmarkStart w:id="181" w:name="_Toc184314411"/>
      <w:bookmarkEnd w:id="181"/>
      <w:bookmarkStart w:id="182" w:name="_Toc184314482"/>
      <w:bookmarkEnd w:id="182"/>
      <w:bookmarkStart w:id="183" w:name="_Toc184312086"/>
      <w:bookmarkEnd w:id="183"/>
      <w:bookmarkStart w:id="184" w:name="_Toc184312101"/>
      <w:bookmarkEnd w:id="184"/>
      <w:bookmarkStart w:id="185" w:name="_Toc184312089"/>
      <w:bookmarkEnd w:id="185"/>
      <w:bookmarkStart w:id="186" w:name="_Toc184310291"/>
      <w:bookmarkEnd w:id="186"/>
      <w:bookmarkStart w:id="187" w:name="_Toc184310331"/>
      <w:bookmarkEnd w:id="187"/>
      <w:bookmarkStart w:id="188" w:name="_Toc184312084"/>
      <w:bookmarkEnd w:id="188"/>
      <w:bookmarkStart w:id="189" w:name="_Toc184308091"/>
      <w:bookmarkEnd w:id="189"/>
      <w:bookmarkStart w:id="190" w:name="_Toc184314435"/>
      <w:bookmarkEnd w:id="190"/>
      <w:bookmarkStart w:id="191" w:name="_Toc184313284"/>
      <w:bookmarkEnd w:id="191"/>
      <w:bookmarkStart w:id="192" w:name="_Toc184310277"/>
      <w:bookmarkEnd w:id="192"/>
      <w:bookmarkStart w:id="193" w:name="_Toc184312092"/>
      <w:bookmarkEnd w:id="193"/>
      <w:bookmarkStart w:id="194" w:name="_Toc184312070"/>
      <w:bookmarkEnd w:id="194"/>
      <w:bookmarkStart w:id="195" w:name="_Toc184308053"/>
      <w:bookmarkEnd w:id="195"/>
      <w:bookmarkStart w:id="196" w:name="_Toc184314437"/>
      <w:bookmarkEnd w:id="196"/>
      <w:bookmarkStart w:id="197" w:name="_Toc184313270"/>
      <w:bookmarkEnd w:id="197"/>
      <w:bookmarkStart w:id="198" w:name="_Toc184308043"/>
      <w:bookmarkEnd w:id="198"/>
      <w:bookmarkStart w:id="199" w:name="_Toc184313246"/>
      <w:bookmarkEnd w:id="199"/>
      <w:bookmarkStart w:id="200" w:name="_Toc184313268"/>
      <w:bookmarkEnd w:id="200"/>
      <w:bookmarkStart w:id="201" w:name="_Toc184312071"/>
      <w:bookmarkEnd w:id="201"/>
      <w:bookmarkStart w:id="202" w:name="_Toc184308047"/>
      <w:bookmarkEnd w:id="202"/>
      <w:bookmarkStart w:id="203" w:name="_Toc184308096"/>
      <w:bookmarkEnd w:id="203"/>
      <w:bookmarkStart w:id="204" w:name="_Toc184313282"/>
      <w:bookmarkEnd w:id="204"/>
      <w:bookmarkStart w:id="205" w:name="_Toc184312097"/>
      <w:bookmarkEnd w:id="205"/>
      <w:bookmarkStart w:id="206" w:name="_Toc184310315"/>
      <w:bookmarkEnd w:id="206"/>
      <w:bookmarkStart w:id="207" w:name="_Toc184313264"/>
      <w:bookmarkEnd w:id="207"/>
      <w:bookmarkStart w:id="208" w:name="_Toc184308064"/>
      <w:bookmarkEnd w:id="208"/>
      <w:bookmarkStart w:id="209" w:name="_Toc184308084"/>
      <w:bookmarkEnd w:id="209"/>
      <w:bookmarkStart w:id="210" w:name="_Toc184313280"/>
      <w:bookmarkEnd w:id="210"/>
      <w:bookmarkStart w:id="211" w:name="_Toc184314438"/>
      <w:bookmarkEnd w:id="211"/>
      <w:bookmarkStart w:id="212" w:name="_Toc184308071"/>
      <w:bookmarkEnd w:id="212"/>
      <w:bookmarkStart w:id="213" w:name="_Toc184312132"/>
      <w:bookmarkEnd w:id="213"/>
      <w:bookmarkStart w:id="214" w:name="_Toc184308088"/>
      <w:bookmarkEnd w:id="214"/>
      <w:bookmarkStart w:id="215" w:name="_Toc184308058"/>
      <w:bookmarkEnd w:id="215"/>
      <w:bookmarkStart w:id="216" w:name="_Toc184312082"/>
      <w:bookmarkEnd w:id="216"/>
      <w:bookmarkStart w:id="217" w:name="_Toc184313279"/>
      <w:bookmarkEnd w:id="217"/>
      <w:bookmarkStart w:id="218" w:name="_Toc184308049"/>
      <w:bookmarkEnd w:id="218"/>
      <w:bookmarkStart w:id="219" w:name="_Toc184313274"/>
      <w:bookmarkEnd w:id="219"/>
      <w:bookmarkStart w:id="220" w:name="_Toc184312080"/>
      <w:bookmarkEnd w:id="220"/>
      <w:bookmarkStart w:id="221" w:name="_Toc184308092"/>
      <w:bookmarkEnd w:id="221"/>
      <w:bookmarkStart w:id="222" w:name="_Toc184314451"/>
      <w:bookmarkEnd w:id="222"/>
      <w:bookmarkStart w:id="223" w:name="_Toc184314464"/>
      <w:bookmarkEnd w:id="223"/>
      <w:bookmarkStart w:id="224" w:name="_Toc184312083"/>
      <w:bookmarkEnd w:id="224"/>
      <w:bookmarkStart w:id="225" w:name="_Toc184308065"/>
      <w:bookmarkEnd w:id="225"/>
      <w:bookmarkStart w:id="226" w:name="_Toc184308072"/>
      <w:bookmarkEnd w:id="226"/>
      <w:bookmarkStart w:id="227" w:name="_Toc184312102"/>
      <w:bookmarkEnd w:id="227"/>
      <w:bookmarkStart w:id="228" w:name="_Toc184310285"/>
      <w:bookmarkEnd w:id="228"/>
      <w:bookmarkStart w:id="229" w:name="_Toc184313297"/>
      <w:bookmarkEnd w:id="229"/>
      <w:bookmarkStart w:id="230" w:name="_Toc184308101"/>
      <w:bookmarkEnd w:id="230"/>
      <w:bookmarkStart w:id="231" w:name="_Toc184310327"/>
      <w:bookmarkEnd w:id="231"/>
      <w:bookmarkStart w:id="232" w:name="_Toc184314454"/>
      <w:bookmarkEnd w:id="232"/>
      <w:bookmarkStart w:id="233" w:name="_Toc184310334"/>
      <w:bookmarkEnd w:id="233"/>
      <w:bookmarkStart w:id="234" w:name="_Toc184310281"/>
      <w:bookmarkEnd w:id="234"/>
      <w:bookmarkStart w:id="235" w:name="_Toc184314452"/>
      <w:bookmarkEnd w:id="235"/>
      <w:bookmarkStart w:id="236" w:name="_Toc184314455"/>
      <w:bookmarkEnd w:id="236"/>
      <w:bookmarkStart w:id="237" w:name="_Toc184313309"/>
      <w:bookmarkEnd w:id="237"/>
      <w:bookmarkStart w:id="238" w:name="_Toc184310324"/>
      <w:bookmarkEnd w:id="238"/>
      <w:bookmarkStart w:id="239" w:name="_Toc184313272"/>
      <w:bookmarkEnd w:id="239"/>
      <w:bookmarkStart w:id="240" w:name="_Toc184313243"/>
      <w:bookmarkEnd w:id="240"/>
      <w:bookmarkStart w:id="241" w:name="_Toc184313283"/>
      <w:bookmarkEnd w:id="241"/>
      <w:bookmarkStart w:id="242" w:name="_Toc184308093"/>
      <w:bookmarkEnd w:id="242"/>
      <w:bookmarkStart w:id="243" w:name="_Toc184312136"/>
      <w:bookmarkEnd w:id="243"/>
      <w:bookmarkStart w:id="244" w:name="_Toc184308057"/>
      <w:bookmarkEnd w:id="244"/>
      <w:bookmarkStart w:id="245" w:name="_Toc184310313"/>
      <w:bookmarkEnd w:id="245"/>
      <w:bookmarkStart w:id="246" w:name="_Toc184314461"/>
      <w:bookmarkEnd w:id="246"/>
      <w:bookmarkStart w:id="247" w:name="_Toc184308074"/>
      <w:bookmarkEnd w:id="247"/>
      <w:bookmarkStart w:id="248" w:name="_Toc184314459"/>
      <w:bookmarkEnd w:id="248"/>
      <w:bookmarkStart w:id="249" w:name="_Toc184310290"/>
      <w:bookmarkEnd w:id="249"/>
      <w:bookmarkStart w:id="250" w:name="_Toc184310343"/>
      <w:bookmarkEnd w:id="250"/>
      <w:bookmarkStart w:id="251" w:name="_Toc184308037"/>
      <w:bookmarkEnd w:id="251"/>
      <w:bookmarkStart w:id="252" w:name="_Toc184312069"/>
      <w:bookmarkEnd w:id="252"/>
      <w:bookmarkStart w:id="253" w:name="_Toc184313290"/>
      <w:bookmarkEnd w:id="253"/>
      <w:bookmarkStart w:id="254" w:name="_Toc184312079"/>
      <w:bookmarkEnd w:id="254"/>
      <w:bookmarkStart w:id="255" w:name="_Toc184313251"/>
      <w:bookmarkEnd w:id="255"/>
      <w:bookmarkStart w:id="256" w:name="_Toc184310335"/>
      <w:bookmarkEnd w:id="256"/>
      <w:bookmarkStart w:id="257" w:name="_Toc184308041"/>
      <w:bookmarkEnd w:id="257"/>
      <w:bookmarkStart w:id="258" w:name="_Toc184314472"/>
      <w:bookmarkEnd w:id="258"/>
      <w:bookmarkStart w:id="259" w:name="_Toc184313278"/>
      <w:bookmarkEnd w:id="259"/>
      <w:bookmarkStart w:id="260" w:name="_Toc184313239"/>
      <w:bookmarkEnd w:id="260"/>
      <w:bookmarkStart w:id="261" w:name="_Toc184310342"/>
      <w:bookmarkEnd w:id="261"/>
      <w:bookmarkStart w:id="262" w:name="_Toc184313295"/>
      <w:bookmarkEnd w:id="262"/>
      <w:bookmarkStart w:id="263" w:name="_Toc184314434"/>
      <w:bookmarkEnd w:id="263"/>
      <w:bookmarkStart w:id="264" w:name="_Toc184314469"/>
      <w:bookmarkEnd w:id="264"/>
      <w:bookmarkStart w:id="265" w:name="_Toc184313300"/>
      <w:bookmarkEnd w:id="265"/>
      <w:bookmarkStart w:id="266" w:name="_Toc184312078"/>
      <w:bookmarkEnd w:id="266"/>
      <w:bookmarkStart w:id="267" w:name="_Toc184310275"/>
      <w:bookmarkEnd w:id="267"/>
      <w:bookmarkStart w:id="268" w:name="_Toc184308108"/>
      <w:bookmarkEnd w:id="268"/>
      <w:bookmarkStart w:id="269" w:name="_Toc184308103"/>
      <w:bookmarkEnd w:id="269"/>
      <w:bookmarkStart w:id="270" w:name="_Toc184314431"/>
      <w:bookmarkEnd w:id="270"/>
      <w:bookmarkStart w:id="271" w:name="_Toc184312109"/>
      <w:bookmarkEnd w:id="271"/>
      <w:bookmarkStart w:id="272" w:name="_Toc184308106"/>
      <w:bookmarkEnd w:id="272"/>
      <w:bookmarkStart w:id="273" w:name="_Toc184310298"/>
      <w:bookmarkEnd w:id="273"/>
      <w:bookmarkStart w:id="274" w:name="_Toc184314442"/>
      <w:bookmarkEnd w:id="274"/>
      <w:bookmarkStart w:id="275" w:name="_Toc184312094"/>
      <w:bookmarkEnd w:id="275"/>
      <w:bookmarkStart w:id="276" w:name="_Toc184312088"/>
      <w:bookmarkEnd w:id="276"/>
      <w:bookmarkStart w:id="277" w:name="_Toc184312115"/>
      <w:bookmarkEnd w:id="277"/>
      <w:bookmarkStart w:id="278" w:name="_Toc184310307"/>
      <w:bookmarkEnd w:id="278"/>
      <w:bookmarkStart w:id="279" w:name="_Toc184314426"/>
      <w:bookmarkEnd w:id="279"/>
      <w:bookmarkStart w:id="280" w:name="_Toc184312117"/>
      <w:bookmarkEnd w:id="280"/>
      <w:bookmarkStart w:id="281" w:name="_Toc184314478"/>
      <w:bookmarkEnd w:id="281"/>
      <w:bookmarkStart w:id="282" w:name="_Toc184308069"/>
      <w:bookmarkEnd w:id="282"/>
      <w:bookmarkStart w:id="283" w:name="_Toc184313306"/>
      <w:bookmarkEnd w:id="283"/>
      <w:bookmarkStart w:id="284" w:name="_Toc184313250"/>
      <w:bookmarkEnd w:id="284"/>
      <w:bookmarkStart w:id="285" w:name="_Toc184312126"/>
      <w:bookmarkEnd w:id="285"/>
      <w:bookmarkStart w:id="286" w:name="_Toc184308038"/>
      <w:bookmarkEnd w:id="286"/>
      <w:bookmarkStart w:id="287" w:name="_Toc184314447"/>
      <w:bookmarkEnd w:id="287"/>
      <w:bookmarkStart w:id="288" w:name="_Toc184313247"/>
      <w:bookmarkEnd w:id="288"/>
      <w:bookmarkStart w:id="289" w:name="_Toc184308051"/>
      <w:bookmarkEnd w:id="289"/>
      <w:bookmarkStart w:id="290" w:name="_Toc184313241"/>
      <w:bookmarkEnd w:id="290"/>
      <w:bookmarkStart w:id="291" w:name="_Toc184314450"/>
      <w:bookmarkEnd w:id="291"/>
      <w:bookmarkStart w:id="292" w:name="_Toc184310312"/>
      <w:bookmarkEnd w:id="292"/>
      <w:bookmarkStart w:id="293" w:name="_Toc184312108"/>
      <w:bookmarkEnd w:id="293"/>
      <w:bookmarkStart w:id="294" w:name="_Toc184310293"/>
      <w:bookmarkEnd w:id="294"/>
      <w:bookmarkStart w:id="295" w:name="_Toc184308097"/>
      <w:bookmarkEnd w:id="295"/>
      <w:bookmarkStart w:id="296" w:name="_Toc184312116"/>
      <w:bookmarkEnd w:id="296"/>
      <w:bookmarkStart w:id="297" w:name="_Toc184308048"/>
      <w:bookmarkEnd w:id="297"/>
      <w:bookmarkStart w:id="298" w:name="_Toc184313254"/>
      <w:bookmarkEnd w:id="298"/>
      <w:bookmarkStart w:id="299" w:name="_Toc184313308"/>
      <w:bookmarkEnd w:id="299"/>
      <w:bookmarkStart w:id="300" w:name="_Toc184308067"/>
      <w:bookmarkEnd w:id="300"/>
      <w:bookmarkStart w:id="301" w:name="_Toc184313260"/>
      <w:bookmarkEnd w:id="301"/>
      <w:bookmarkStart w:id="302" w:name="_Toc184313289"/>
      <w:bookmarkEnd w:id="302"/>
      <w:bookmarkStart w:id="303" w:name="_Toc184310274"/>
      <w:bookmarkEnd w:id="303"/>
      <w:bookmarkStart w:id="304" w:name="_Toc184313256"/>
      <w:bookmarkEnd w:id="304"/>
      <w:bookmarkStart w:id="305" w:name="_Toc184314460"/>
      <w:bookmarkEnd w:id="305"/>
      <w:bookmarkStart w:id="306" w:name="_Toc184308073"/>
      <w:bookmarkEnd w:id="306"/>
      <w:bookmarkStart w:id="307" w:name="_Toc184312091"/>
      <w:bookmarkEnd w:id="307"/>
      <w:bookmarkStart w:id="308" w:name="_Toc184314418"/>
      <w:bookmarkEnd w:id="308"/>
      <w:bookmarkStart w:id="309" w:name="_Toc184314481"/>
      <w:bookmarkEnd w:id="309"/>
      <w:bookmarkStart w:id="310" w:name="_Toc184310282"/>
      <w:bookmarkEnd w:id="310"/>
      <w:bookmarkStart w:id="311" w:name="_Toc184314457"/>
      <w:bookmarkEnd w:id="311"/>
      <w:bookmarkStart w:id="312" w:name="_Toc184313258"/>
      <w:bookmarkEnd w:id="312"/>
      <w:bookmarkStart w:id="313" w:name="_Toc184310338"/>
      <w:bookmarkEnd w:id="313"/>
      <w:bookmarkStart w:id="314" w:name="_Toc184314462"/>
      <w:bookmarkEnd w:id="314"/>
      <w:bookmarkStart w:id="315" w:name="_Toc184313286"/>
      <w:bookmarkEnd w:id="315"/>
      <w:bookmarkStart w:id="316" w:name="_Toc184313265"/>
      <w:bookmarkEnd w:id="316"/>
      <w:bookmarkStart w:id="317" w:name="_Toc184312104"/>
      <w:bookmarkEnd w:id="317"/>
      <w:bookmarkStart w:id="318" w:name="_Toc184310300"/>
      <w:bookmarkEnd w:id="318"/>
      <w:bookmarkStart w:id="319" w:name="_Toc184310319"/>
      <w:bookmarkEnd w:id="319"/>
      <w:bookmarkStart w:id="320" w:name="_Toc184314473"/>
      <w:bookmarkEnd w:id="320"/>
      <w:bookmarkStart w:id="321" w:name="_Toc184308102"/>
      <w:bookmarkEnd w:id="321"/>
      <w:bookmarkStart w:id="322" w:name="_Toc184308076"/>
      <w:bookmarkEnd w:id="322"/>
      <w:bookmarkStart w:id="323" w:name="_Toc184308062"/>
      <w:bookmarkEnd w:id="323"/>
      <w:bookmarkStart w:id="324" w:name="_Toc184312074"/>
      <w:bookmarkEnd w:id="324"/>
      <w:bookmarkStart w:id="325" w:name="_Toc184308080"/>
      <w:bookmarkEnd w:id="325"/>
      <w:bookmarkStart w:id="326" w:name="_Toc184312119"/>
      <w:bookmarkEnd w:id="326"/>
      <w:bookmarkStart w:id="327" w:name="_Toc184313273"/>
      <w:bookmarkEnd w:id="327"/>
      <w:bookmarkStart w:id="328" w:name="_Toc184312107"/>
      <w:bookmarkEnd w:id="328"/>
      <w:bookmarkStart w:id="329" w:name="_Toc184313253"/>
      <w:bookmarkEnd w:id="329"/>
      <w:bookmarkStart w:id="330" w:name="_Toc184314410"/>
      <w:bookmarkEnd w:id="330"/>
      <w:bookmarkStart w:id="331" w:name="_Toc184312073"/>
      <w:bookmarkEnd w:id="331"/>
      <w:bookmarkStart w:id="332" w:name="_Toc184308082"/>
      <w:bookmarkEnd w:id="332"/>
      <w:bookmarkStart w:id="333" w:name="_Toc184313238"/>
      <w:bookmarkEnd w:id="333"/>
      <w:bookmarkStart w:id="334" w:name="_Toc184310303"/>
      <w:bookmarkEnd w:id="334"/>
      <w:bookmarkStart w:id="335" w:name="_Toc184308100"/>
      <w:bookmarkEnd w:id="335"/>
      <w:bookmarkStart w:id="336" w:name="_Toc184310301"/>
      <w:bookmarkEnd w:id="336"/>
      <w:bookmarkStart w:id="337" w:name="_Toc184313305"/>
      <w:bookmarkEnd w:id="337"/>
      <w:bookmarkStart w:id="338" w:name="_Toc184310289"/>
      <w:bookmarkEnd w:id="338"/>
      <w:bookmarkStart w:id="339" w:name="_Toc184312095"/>
      <w:bookmarkEnd w:id="339"/>
      <w:bookmarkStart w:id="340" w:name="_Toc184312075"/>
      <w:bookmarkEnd w:id="340"/>
      <w:bookmarkStart w:id="341" w:name="_Toc184314432"/>
      <w:bookmarkEnd w:id="341"/>
      <w:bookmarkStart w:id="342" w:name="_Toc184314424"/>
      <w:bookmarkEnd w:id="342"/>
      <w:bookmarkStart w:id="343" w:name="_Toc184308090"/>
      <w:bookmarkEnd w:id="343"/>
      <w:bookmarkStart w:id="344" w:name="_Toc184313248"/>
      <w:bookmarkEnd w:id="344"/>
      <w:bookmarkStart w:id="345" w:name="_Toc184310305"/>
      <w:bookmarkEnd w:id="345"/>
      <w:bookmarkStart w:id="346" w:name="_Toc184308060"/>
      <w:bookmarkEnd w:id="346"/>
      <w:bookmarkStart w:id="347" w:name="_Toc184314444"/>
      <w:bookmarkEnd w:id="347"/>
      <w:bookmarkStart w:id="348" w:name="_Toc184314465"/>
      <w:bookmarkEnd w:id="348"/>
      <w:bookmarkStart w:id="349" w:name="_Toc184313259"/>
      <w:bookmarkEnd w:id="349"/>
      <w:bookmarkStart w:id="350" w:name="_Toc184312077"/>
      <w:bookmarkEnd w:id="350"/>
      <w:bookmarkStart w:id="351" w:name="_Toc184312124"/>
      <w:bookmarkEnd w:id="351"/>
      <w:bookmarkStart w:id="352" w:name="_Toc184310306"/>
      <w:bookmarkEnd w:id="352"/>
      <w:bookmarkStart w:id="353" w:name="_Toc184308046"/>
      <w:bookmarkEnd w:id="353"/>
      <w:bookmarkStart w:id="354" w:name="_Toc184310332"/>
      <w:bookmarkEnd w:id="354"/>
      <w:bookmarkStart w:id="355" w:name="_Toc184310328"/>
      <w:bookmarkEnd w:id="355"/>
      <w:bookmarkStart w:id="356" w:name="_Toc184308070"/>
      <w:bookmarkEnd w:id="356"/>
      <w:bookmarkStart w:id="357" w:name="_Toc184310326"/>
      <w:bookmarkEnd w:id="357"/>
      <w:bookmarkStart w:id="358" w:name="_Toc184314423"/>
      <w:bookmarkEnd w:id="358"/>
      <w:bookmarkStart w:id="359" w:name="_Toc184310308"/>
      <w:bookmarkEnd w:id="359"/>
      <w:bookmarkStart w:id="360" w:name="_Toc184313242"/>
      <w:bookmarkEnd w:id="360"/>
      <w:bookmarkStart w:id="361" w:name="_Toc184314445"/>
      <w:bookmarkEnd w:id="361"/>
      <w:bookmarkStart w:id="362" w:name="_Toc184312100"/>
      <w:bookmarkEnd w:id="362"/>
      <w:bookmarkStart w:id="363" w:name="_Toc184308083"/>
      <w:bookmarkEnd w:id="363"/>
      <w:bookmarkStart w:id="364" w:name="_Toc184308089"/>
      <w:bookmarkEnd w:id="364"/>
      <w:bookmarkStart w:id="365" w:name="_Toc184313285"/>
      <w:bookmarkEnd w:id="365"/>
      <w:bookmarkStart w:id="366" w:name="_Toc184314475"/>
      <w:bookmarkEnd w:id="366"/>
      <w:bookmarkStart w:id="367" w:name="_Toc184312072"/>
      <w:bookmarkEnd w:id="367"/>
      <w:bookmarkStart w:id="368" w:name="_Toc184308054"/>
      <w:bookmarkEnd w:id="368"/>
      <w:bookmarkStart w:id="369" w:name="_Toc184314436"/>
      <w:bookmarkEnd w:id="369"/>
      <w:bookmarkStart w:id="370" w:name="_Toc184313304"/>
      <w:bookmarkEnd w:id="370"/>
      <w:bookmarkStart w:id="371" w:name="_Toc184313267"/>
      <w:bookmarkEnd w:id="371"/>
      <w:bookmarkStart w:id="372" w:name="_Toc184310273"/>
      <w:bookmarkEnd w:id="372"/>
      <w:bookmarkStart w:id="373" w:name="_Toc184314449"/>
      <w:bookmarkEnd w:id="373"/>
      <w:bookmarkStart w:id="374" w:name="_Toc184313261"/>
      <w:bookmarkEnd w:id="374"/>
      <w:bookmarkStart w:id="375" w:name="_Toc184312105"/>
      <w:bookmarkEnd w:id="375"/>
      <w:bookmarkStart w:id="376" w:name="_Toc184314433"/>
      <w:bookmarkEnd w:id="376"/>
      <w:bookmarkStart w:id="377" w:name="_Toc184312098"/>
      <w:bookmarkEnd w:id="377"/>
      <w:bookmarkStart w:id="378" w:name="_Toc184310296"/>
      <w:bookmarkEnd w:id="378"/>
      <w:bookmarkStart w:id="379" w:name="_Toc184313276"/>
      <w:bookmarkEnd w:id="379"/>
      <w:bookmarkStart w:id="380" w:name="_Toc184310283"/>
      <w:bookmarkEnd w:id="380"/>
      <w:bookmarkStart w:id="381" w:name="_Toc184310339"/>
      <w:bookmarkEnd w:id="381"/>
      <w:bookmarkStart w:id="382" w:name="_Toc184310336"/>
      <w:bookmarkEnd w:id="382"/>
      <w:bookmarkStart w:id="383" w:name="_Toc184314415"/>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D.响应文件中承诺的响应有效期少于询价采购文件中载明的响应有效期的；响应文件出现不是唯一的、有选择性响应报价的;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J.响应文件不满足询价采购文件的其他实质性要求的；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K.法律法规、规章（适用本市的）及省级以上规范性文件（适用本市的）规定的其他无效情形。</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L在采购人规定的截止时间以后送达的响应文件；</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M未按要求缴纳询价保证金的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rPr>
        <w:t>。</w:t>
      </w:r>
    </w:p>
    <w:p>
      <w:pPr>
        <w:spacing w:line="360" w:lineRule="auto"/>
        <w:ind w:firstLine="480" w:firstLineChars="200"/>
        <w:rPr>
          <w:color w:val="auto"/>
          <w:highlight w:val="none"/>
        </w:rPr>
      </w:pPr>
      <w:r>
        <w:rPr>
          <w:rFonts w:hint="eastAsia" w:ascii="宋体" w:hAnsi="宋体" w:cs="宋体"/>
          <w:color w:val="auto"/>
          <w:kern w:val="0"/>
          <w:sz w:val="24"/>
          <w:highlight w:val="none"/>
        </w:rPr>
        <w:t>N未按要求提供样品的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1.评审办法：询价评审小组应当从质量和服务均能满足询价采购文件实质性响应要求的供应商中，按照报价由低到高的顺序提出成交候选人。</w:t>
      </w:r>
    </w:p>
    <w:p>
      <w:pPr>
        <w:pStyle w:val="7"/>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pPr>
        <w:pStyle w:val="7"/>
        <w:ind w:firstLine="480" w:firstLineChars="200"/>
        <w:rPr>
          <w:color w:val="auto"/>
          <w:highlight w:val="none"/>
        </w:rPr>
      </w:pPr>
      <w:r>
        <w:rPr>
          <w:color w:val="auto"/>
          <w:highlight w:val="none"/>
          <w:lang w:val="en-US"/>
        </w:rPr>
        <w:t>1.2</w:t>
      </w:r>
      <w:r>
        <w:rPr>
          <w:rFonts w:hint="eastAsia"/>
          <w:color w:val="auto"/>
          <w:highlight w:val="none"/>
          <w:lang w:val="en-US"/>
        </w:rPr>
        <w:t>若</w:t>
      </w:r>
      <w:r>
        <w:rPr>
          <w:rFonts w:hint="eastAsia"/>
          <w:color w:val="auto"/>
          <w:highlight w:val="none"/>
        </w:rPr>
        <w:t>出现相同总金额最低报价情况时，总金额最低报价相同的供应商再进行一轮报价</w:t>
      </w:r>
      <w:r>
        <w:rPr>
          <w:rFonts w:hint="eastAsia"/>
          <w:b/>
          <w:bCs/>
          <w:color w:val="auto"/>
          <w:highlight w:val="none"/>
        </w:rPr>
        <w:t>。如报价再相同，则由采购人</w:t>
      </w:r>
      <w:r>
        <w:rPr>
          <w:rFonts w:hint="eastAsia"/>
          <w:b/>
          <w:bCs/>
          <w:color w:val="auto"/>
          <w:highlight w:val="none"/>
          <w:lang w:val="en-US"/>
        </w:rPr>
        <w:t>工作人员组织询价评审小组成员与供应商分别</w:t>
      </w:r>
      <w:r>
        <w:rPr>
          <w:rFonts w:hint="eastAsia"/>
          <w:b/>
          <w:bCs/>
          <w:color w:val="auto"/>
          <w:highlight w:val="none"/>
        </w:rPr>
        <w:t>再进行一轮报价，以此类推。</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color w:val="auto"/>
          <w:highlight w:val="none"/>
          <w:lang w:val="en-US"/>
        </w:rPr>
      </w:pP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pPr>
        <w:rPr>
          <w:rFonts w:ascii="宋体" w:hAnsi="宋体" w:cs="宋体"/>
          <w:color w:val="auto"/>
          <w:sz w:val="24"/>
          <w:highlight w:val="none"/>
        </w:rPr>
      </w:pPr>
    </w:p>
    <w:p>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LJGS-2023-          </w:t>
      </w:r>
    </w:p>
    <w:p>
      <w:pPr>
        <w:spacing w:line="480" w:lineRule="auto"/>
        <w:rPr>
          <w:rFonts w:ascii="宋体" w:hAnsi="宋体" w:cs="宋体"/>
          <w:b/>
          <w:color w:val="auto"/>
          <w:sz w:val="24"/>
          <w:highlight w:val="none"/>
        </w:rPr>
      </w:pPr>
    </w:p>
    <w:p>
      <w:pPr>
        <w:pStyle w:val="4"/>
        <w:rPr>
          <w:rFonts w:ascii="宋体" w:hAnsi="宋体" w:cs="宋体"/>
          <w:color w:val="auto"/>
          <w:sz w:val="24"/>
          <w:highlight w:val="none"/>
        </w:rPr>
      </w:pPr>
    </w:p>
    <w:p>
      <w:pPr>
        <w:rPr>
          <w:color w:val="auto"/>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pPr>
        <w:pStyle w:val="23"/>
        <w:rPr>
          <w:rFonts w:ascii="宋体" w:hAnsi="宋体" w:cs="宋体"/>
          <w:color w:val="auto"/>
          <w:szCs w:val="24"/>
          <w:highlight w:val="none"/>
        </w:rPr>
      </w:pPr>
    </w:p>
    <w:p>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2024年临江公司E+H仪控备件采购项目</w:t>
      </w: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pPr>
        <w:spacing w:before="120" w:line="22" w:lineRule="atLeast"/>
        <w:rPr>
          <w:rFonts w:ascii="宋体" w:hAnsi="宋体" w:cs="宋体"/>
          <w:color w:val="auto"/>
          <w:sz w:val="24"/>
          <w:highlight w:val="none"/>
        </w:rPr>
      </w:pPr>
      <w:r>
        <w:rPr>
          <w:rFonts w:hint="eastAsia" w:ascii="宋体" w:hAnsi="宋体" w:cs="宋体"/>
          <w:color w:val="auto"/>
          <w:sz w:val="24"/>
          <w:highlight w:val="none"/>
        </w:rPr>
        <w:t xml:space="preserve"> </w:t>
      </w:r>
    </w:p>
    <w:p>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pPr>
        <w:spacing w:before="120" w:line="22" w:lineRule="atLeast"/>
        <w:rPr>
          <w:rFonts w:ascii="宋体" w:hAnsi="宋体" w:cs="宋体"/>
          <w:color w:val="auto"/>
          <w:sz w:val="24"/>
          <w:highlight w:val="none"/>
        </w:rPr>
      </w:pPr>
    </w:p>
    <w:p>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23"/>
        <w:ind w:left="0" w:leftChars="0" w:firstLine="0" w:firstLineChars="0"/>
        <w:rPr>
          <w:rFonts w:ascii="宋体" w:hAnsi="宋体" w:cs="宋体"/>
          <w:b/>
          <w:color w:val="auto"/>
          <w:szCs w:val="24"/>
          <w:highlight w:val="none"/>
        </w:rPr>
      </w:pPr>
    </w:p>
    <w:p>
      <w:pPr>
        <w:pStyle w:val="8"/>
        <w:jc w:val="center"/>
        <w:rPr>
          <w:rFonts w:eastAsia="宋体"/>
          <w:b/>
          <w:bCs/>
          <w:color w:val="auto"/>
          <w:highlight w:val="none"/>
        </w:rPr>
      </w:pPr>
      <w:r>
        <w:rPr>
          <w:rFonts w:hint="eastAsia"/>
          <w:b/>
          <w:bCs/>
          <w:color w:val="auto"/>
          <w:highlight w:val="none"/>
        </w:rPr>
        <w:t>目录</w:t>
      </w:r>
    </w:p>
    <w:p>
      <w:pPr>
        <w:pStyle w:val="9"/>
        <w:spacing w:line="360" w:lineRule="auto"/>
        <w:ind w:firstLine="240" w:firstLineChars="100"/>
        <w:rPr>
          <w:color w:val="auto"/>
          <w:highlight w:val="none"/>
        </w:rPr>
      </w:pPr>
      <w:r>
        <w:rPr>
          <w:rFonts w:hint="eastAsia"/>
          <w:color w:val="auto"/>
          <w:highlight w:val="none"/>
        </w:rPr>
        <w:t>第一章 合同书  ……………………………………………………………（页码）</w:t>
      </w:r>
    </w:p>
    <w:p>
      <w:pPr>
        <w:pStyle w:val="9"/>
        <w:spacing w:line="360" w:lineRule="auto"/>
        <w:ind w:firstLine="240" w:firstLineChars="100"/>
        <w:rPr>
          <w:color w:val="auto"/>
          <w:highlight w:val="none"/>
        </w:rPr>
      </w:pPr>
      <w:r>
        <w:rPr>
          <w:rFonts w:hint="eastAsia"/>
          <w:color w:val="auto"/>
          <w:highlight w:val="none"/>
        </w:rPr>
        <w:t>第二章 合同一般条款………………………………………………………（页码）</w:t>
      </w:r>
    </w:p>
    <w:p>
      <w:pPr>
        <w:pStyle w:val="9"/>
        <w:spacing w:line="360" w:lineRule="auto"/>
        <w:ind w:firstLine="240" w:firstLineChars="100"/>
        <w:rPr>
          <w:color w:val="auto"/>
          <w:highlight w:val="none"/>
        </w:rPr>
      </w:pPr>
      <w:r>
        <w:rPr>
          <w:rFonts w:hint="eastAsia"/>
          <w:color w:val="auto"/>
          <w:highlight w:val="none"/>
        </w:rPr>
        <w:t>第三章 廉洁协议……………………………………………………………（页码）</w:t>
      </w:r>
    </w:p>
    <w:p>
      <w:pPr>
        <w:pStyle w:val="9"/>
        <w:spacing w:line="360" w:lineRule="auto"/>
        <w:ind w:firstLine="240" w:firstLineChars="100"/>
        <w:rPr>
          <w:color w:val="auto"/>
          <w:highlight w:val="none"/>
        </w:rPr>
      </w:pPr>
    </w:p>
    <w:p>
      <w:pPr>
        <w:pStyle w:val="23"/>
        <w:rPr>
          <w:rFonts w:ascii="宋体" w:hAnsi="宋体" w:cs="宋体"/>
          <w:color w:val="auto"/>
          <w:szCs w:val="24"/>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9"/>
        <w:rPr>
          <w:rFonts w:cs="宋体"/>
          <w:color w:val="auto"/>
          <w:highlight w:val="none"/>
        </w:rPr>
      </w:pPr>
    </w:p>
    <w:p>
      <w:pPr>
        <w:pStyle w:val="23"/>
        <w:ind w:left="0" w:leftChars="0" w:firstLine="0" w:firstLineChars="0"/>
        <w:rPr>
          <w:rFonts w:ascii="宋体" w:hAnsi="宋体" w:cs="宋体"/>
          <w:b/>
          <w:color w:val="auto"/>
          <w:szCs w:val="24"/>
          <w:highlight w:val="none"/>
        </w:rPr>
      </w:pPr>
    </w:p>
    <w:p>
      <w:pPr>
        <w:pStyle w:val="9"/>
        <w:ind w:firstLine="0" w:firstLineChars="0"/>
        <w:rPr>
          <w:rFonts w:cs="宋体"/>
          <w:b/>
          <w:color w:val="auto"/>
          <w:highlight w:val="none"/>
        </w:rPr>
      </w:pPr>
    </w:p>
    <w:p>
      <w:pPr>
        <w:pStyle w:val="9"/>
        <w:ind w:firstLine="0" w:firstLineChars="0"/>
        <w:rPr>
          <w:rFonts w:cs="宋体"/>
          <w:b/>
          <w:color w:val="auto"/>
          <w:highlight w:val="none"/>
        </w:rPr>
      </w:pPr>
    </w:p>
    <w:p>
      <w:pPr>
        <w:pStyle w:val="23"/>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2024年临江公司E+H仪控备件采购项目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（中标或者成交供应商名称）</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（中标或者成交供应商名称）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pPr>
        <w:spacing w:line="360" w:lineRule="auto"/>
        <w:ind w:firstLine="482" w:firstLineChars="200"/>
        <w:outlineLvl w:val="0"/>
        <w:rPr>
          <w:rFonts w:ascii="宋体" w:hAnsi="宋体" w:cs="宋体"/>
          <w:b/>
          <w:color w:val="auto"/>
          <w:sz w:val="24"/>
          <w:highlight w:val="none"/>
        </w:rPr>
      </w:pPr>
      <w:bookmarkStart w:id="384" w:name="_Toc2232"/>
      <w:bookmarkStart w:id="385" w:name="_Toc3029"/>
      <w:bookmarkStart w:id="386" w:name="_Toc24059"/>
      <w:r>
        <w:rPr>
          <w:rFonts w:hint="eastAsia" w:ascii="宋体" w:hAnsi="宋体" w:cs="宋体"/>
          <w:b/>
          <w:color w:val="auto"/>
          <w:sz w:val="24"/>
          <w:highlight w:val="none"/>
        </w:rPr>
        <w:t>一、合同组成部分</w:t>
      </w:r>
      <w:bookmarkEnd w:id="384"/>
      <w:bookmarkEnd w:id="385"/>
      <w:bookmarkEnd w:id="38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pPr>
        <w:spacing w:line="360" w:lineRule="auto"/>
        <w:ind w:firstLine="482" w:firstLineChars="200"/>
        <w:outlineLvl w:val="0"/>
        <w:rPr>
          <w:rFonts w:ascii="宋体" w:hAnsi="宋体" w:cs="宋体"/>
          <w:b/>
          <w:color w:val="auto"/>
          <w:sz w:val="24"/>
          <w:highlight w:val="none"/>
        </w:rPr>
      </w:pPr>
      <w:bookmarkStart w:id="387" w:name="_Toc27126"/>
      <w:bookmarkStart w:id="388" w:name="_Toc24300"/>
      <w:bookmarkStart w:id="389" w:name="_Toc21295"/>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tbl>
      <w:tblPr>
        <w:tblStyle w:val="15"/>
        <w:tblW w:w="9354" w:type="dxa"/>
        <w:tblInd w:w="96" w:type="dxa"/>
        <w:tblLayout w:type="fixed"/>
        <w:tblCellMar>
          <w:top w:w="0" w:type="dxa"/>
          <w:left w:w="108" w:type="dxa"/>
          <w:bottom w:w="0" w:type="dxa"/>
          <w:right w:w="108" w:type="dxa"/>
        </w:tblCellMar>
      </w:tblPr>
      <w:tblGrid>
        <w:gridCol w:w="681"/>
        <w:gridCol w:w="2141"/>
        <w:gridCol w:w="683"/>
        <w:gridCol w:w="2269"/>
        <w:gridCol w:w="796"/>
        <w:gridCol w:w="710"/>
        <w:gridCol w:w="1146"/>
        <w:gridCol w:w="928"/>
      </w:tblGrid>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货物名称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品牌</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型号</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暂定数量</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单价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金额</w:t>
            </w: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荧光法模拟式溶氧电极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COS61-A2F0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溶解氧二次表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COM223-WX8105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PH/ORP二次表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CPM223-PR8105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溶解氧电极维护包</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COV45-41TN1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盒</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电导率二次表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CLM223-CD8605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电导率电极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CLS50D-AA1B21，另配国产DN50材质为316L的法兰</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模拟量pH电极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CPF81-LH11C3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数字式pH电极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CPS11E-AA7BTA4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数字测量电缆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CYK10-A101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PH支架</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同CPA640系列，匹配CPS11E-AA7BTA4，</w:t>
            </w:r>
            <w:r>
              <w:rPr>
                <w:rFonts w:hint="eastAsia" w:ascii="宋体" w:hAnsi="宋体" w:eastAsia="宋体" w:cs="宋体"/>
                <w:color w:val="auto"/>
                <w:kern w:val="0"/>
                <w:sz w:val="18"/>
                <w:szCs w:val="18"/>
                <w:highlight w:val="none"/>
                <w:lang w:bidi="ar"/>
              </w:rPr>
              <w:br w:type="textWrapping"/>
            </w:r>
            <w:r>
              <w:rPr>
                <w:rStyle w:val="33"/>
                <w:rFonts w:hint="default"/>
                <w:color w:val="auto"/>
                <w:sz w:val="18"/>
                <w:szCs w:val="18"/>
                <w:highlight w:val="none"/>
                <w:lang w:bidi="ar"/>
              </w:rPr>
              <w:t>L=240mm</w:t>
            </w:r>
            <w:r>
              <w:rPr>
                <w:rStyle w:val="34"/>
                <w:rFonts w:hint="default"/>
                <w:color w:val="auto"/>
                <w:sz w:val="18"/>
                <w:szCs w:val="18"/>
                <w:highlight w:val="none"/>
                <w:lang w:bidi="ar"/>
              </w:rPr>
              <w:t>，材质：PVDF，按国产第三方制作</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数字式电导率传感器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CLS21E-AAGA11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数字式pH/ORP组合电极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CPS16E-AA7BTA2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单通道变送器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CM14-AAM</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数字式pH电极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CPF81E-AA5LAD1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15</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数字电极电缆</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CYK10-A151</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多参数水质二次表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CM442-AAM2A4F060A+AK</w:t>
            </w:r>
          </w:p>
        </w:tc>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CM442仪表配件</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CM442R-AAM2CCF06+AK</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CM442仪表配件</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71135632</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数字式PH电极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CPS11E-AA7BAA4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电导率电极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CLS15-B1A1A</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模拟ORP电极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CPF82-PA11A4</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电导率电极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CLS19-B1A1D</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5PBB15-AAEADBKA0AED5KGAA1+AK</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5WBB25-AADAEBKA0AQD321AA1+AK</w:t>
            </w:r>
          </w:p>
        </w:tc>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5P5B2H-63E2/0</w:t>
            </w:r>
          </w:p>
        </w:tc>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5W4C2H-AADLHP2AQD230B+AK</w:t>
            </w:r>
          </w:p>
        </w:tc>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5HBB04-AAAEBKA0AAI2S0AA1+AK</w:t>
            </w:r>
          </w:p>
        </w:tc>
        <w:tc>
          <w:tcPr>
            <w:tcW w:w="7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5WBB1F-AADAEBKA0AUD210AA1+AK</w:t>
            </w:r>
          </w:p>
        </w:tc>
        <w:tc>
          <w:tcPr>
            <w:tcW w:w="7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涡街流量计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7D2C80-AAACCAAAAADESKA1+AK</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涡街流量计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7D2C1H-AAACCAAAAAD1SKA1+AK</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31</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电磁流量计分体式二次表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5W4C80-AADLHP2AQD210B+AK</w:t>
            </w:r>
          </w:p>
        </w:tc>
        <w:tc>
          <w:tcPr>
            <w:tcW w:w="7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32</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涡街流量计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7D2C1F-AAACCAAAAAD1SKA1+AK</w:t>
            </w:r>
          </w:p>
        </w:tc>
        <w:tc>
          <w:tcPr>
            <w:tcW w:w="7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33</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电磁流量计一体式</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5W4C2H-AADLHP2AQD210B+AK</w:t>
            </w:r>
          </w:p>
        </w:tc>
        <w:tc>
          <w:tcPr>
            <w:tcW w:w="7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34</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5WBB80-AADAEBKA0DQD211AA1+AK</w:t>
            </w:r>
          </w:p>
        </w:tc>
        <w:tc>
          <w:tcPr>
            <w:tcW w:w="7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电磁流量计一体式</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5W4C2F-AADLHA0AQD230B+AK</w:t>
            </w:r>
          </w:p>
        </w:tc>
        <w:tc>
          <w:tcPr>
            <w:tcW w:w="7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36</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5P5B1H-BBEBAAAAFBAA2AED3S0BA1+AK</w:t>
            </w:r>
          </w:p>
        </w:tc>
        <w:tc>
          <w:tcPr>
            <w:tcW w:w="7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37</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分体式电磁流量计表头</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5P5B1H-BBEBAAAAFBAA2AED3S0BA1+AK</w:t>
            </w:r>
          </w:p>
        </w:tc>
        <w:tc>
          <w:tcPr>
            <w:tcW w:w="79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台</w:t>
            </w:r>
          </w:p>
        </w:tc>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PH电极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CPS71E-AA7BTB2</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支</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明渠流量计变送器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FMU9O-R21CA111AA3A</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r>
      <w:tr>
        <w:tblPrEx>
          <w:tblCellMar>
            <w:top w:w="0" w:type="dxa"/>
            <w:left w:w="108" w:type="dxa"/>
            <w:bottom w:w="0" w:type="dxa"/>
            <w:right w:w="108" w:type="dxa"/>
          </w:tblCellMar>
        </w:tblPrEx>
        <w:trPr>
          <w:trHeight w:val="2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明渠流量计探头</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E+H</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FDU9O-RG2AA</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个</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kern w:val="0"/>
                <w:sz w:val="18"/>
                <w:szCs w:val="18"/>
                <w:highlight w:val="none"/>
                <w:lang w:bidi="ar"/>
              </w:rPr>
            </w:pPr>
          </w:p>
        </w:tc>
      </w:tr>
    </w:tbl>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单价和总价均包括但不限于货款、包装费、运输费及运输保险费（如有）、装卸费、售后服务费及税费等全部费用。除非甲方有额外采购需求且经甲方书面同意，否则，本合同下总价不予调整。</w:t>
      </w:r>
    </w:p>
    <w:p>
      <w:pPr>
        <w:pStyle w:val="24"/>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需要乙方安装。若需要乙方提供安装的，则涉及拆旧（若有）装新的</w:t>
      </w:r>
      <w:r>
        <w:rPr>
          <w:rFonts w:hint="eastAsia"/>
          <w:bCs/>
          <w:color w:val="auto"/>
          <w:highlight w:val="none"/>
          <w:u w:val="single"/>
        </w:rPr>
        <w:t xml:space="preserve">  所有  </w:t>
      </w:r>
      <w:r>
        <w:rPr>
          <w:rFonts w:hint="eastAsia"/>
          <w:bCs/>
          <w:color w:val="auto"/>
          <w:highlight w:val="none"/>
        </w:rPr>
        <w:t>费用</w:t>
      </w:r>
      <w:r>
        <w:rPr>
          <w:rFonts w:hint="eastAsia"/>
          <w:bCs/>
          <w:color w:val="auto"/>
          <w:highlight w:val="none"/>
          <w:u w:val="single"/>
        </w:rPr>
        <w:t>已包含在货物单价中，甲方不再另外支付费用。</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u w:val="single"/>
        </w:rPr>
        <w:t>详见</w:t>
      </w:r>
      <w:r>
        <w:rPr>
          <w:rFonts w:hint="eastAsia" w:ascii="宋体" w:hAnsi="宋体"/>
          <w:b/>
          <w:color w:val="auto"/>
          <w:sz w:val="24"/>
          <w:highlight w:val="none"/>
          <w:u w:val="single"/>
        </w:rPr>
        <w:t>合同清单</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：按需供货，按实结算；合同清单数量仅为甲方暂定数量，乙方须按照甲方的采购订单数量供货，不得以超过合同暂定数量为由停止供货。</w:t>
      </w:r>
    </w:p>
    <w:p>
      <w:pPr>
        <w:pStyle w:val="24"/>
        <w:spacing w:before="0" w:beforeAutospacing="0" w:after="0" w:afterAutospacing="0" w:line="360" w:lineRule="auto"/>
        <w:ind w:firstLine="480"/>
        <w:rPr>
          <w:b/>
          <w:color w:val="auto"/>
          <w:highlight w:val="none"/>
        </w:rPr>
      </w:pPr>
      <w:bookmarkStart w:id="390" w:name="_Toc10340"/>
      <w:bookmarkStart w:id="391" w:name="_Toc22618"/>
      <w:bookmarkStart w:id="392" w:name="_Toc1814"/>
      <w:r>
        <w:rPr>
          <w:rFonts w:hint="eastAsia"/>
          <w:b/>
          <w:color w:val="auto"/>
          <w:highlight w:val="none"/>
        </w:rPr>
        <w:t>三、合同期限、货物交付期限、地点和联系方式、交付方式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1.合同期限：</w:t>
      </w:r>
      <w:r>
        <w:rPr>
          <w:rFonts w:hint="eastAsia" w:ascii="宋体" w:hAnsi="宋体" w:cs="宋体"/>
          <w:color w:val="auto"/>
          <w:sz w:val="24"/>
          <w:highlight w:val="none"/>
          <w:u w:val="single"/>
        </w:rPr>
        <w:t xml:space="preserve"> 自合同签订后3个月内分批次完成供货</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single"/>
        </w:rPr>
        <w:t>按采购订单要求执行 ；</w:t>
      </w:r>
    </w:p>
    <w:p>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single"/>
        </w:rPr>
        <w:t xml:space="preserve"> 按采购订单要求执行 ，基本要求如下：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pPr>
        <w:pStyle w:val="24"/>
        <w:spacing w:before="0" w:beforeAutospacing="0" w:after="0" w:afterAutospacing="0" w:line="360" w:lineRule="auto"/>
        <w:ind w:firstLine="480"/>
        <w:rPr>
          <w:b/>
          <w:color w:val="auto"/>
          <w:highlight w:val="none"/>
        </w:rPr>
      </w:pPr>
      <w:r>
        <w:rPr>
          <w:rFonts w:hint="eastAsia"/>
          <w:b/>
          <w:color w:val="auto"/>
          <w:highlight w:val="none"/>
        </w:rPr>
        <w:t>四、技术和质量要求</w:t>
      </w:r>
    </w:p>
    <w:p>
      <w:pPr>
        <w:pStyle w:val="24"/>
        <w:spacing w:before="0" w:beforeAutospacing="0" w:after="0" w:afterAutospacing="0" w:line="360" w:lineRule="auto"/>
        <w:ind w:firstLine="480" w:firstLineChars="200"/>
        <w:rPr>
          <w:color w:val="auto"/>
          <w:highlight w:val="none"/>
        </w:rPr>
      </w:pPr>
      <w:r>
        <w:rPr>
          <w:rFonts w:hint="eastAsia"/>
          <w:color w:val="auto"/>
          <w:highlight w:val="none"/>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color w:val="auto"/>
          <w:highlight w:val="none"/>
        </w:rPr>
      </w:pPr>
      <w:r>
        <w:rPr>
          <w:rFonts w:hint="eastAsia"/>
          <w:color w:val="auto"/>
          <w:highlight w:val="none"/>
        </w:rPr>
        <w:t>2.乙方提供的E+H仪控备件必须为原厂正品，不得为假冒伪劣产品。</w:t>
      </w:r>
    </w:p>
    <w:p>
      <w:pPr>
        <w:pStyle w:val="24"/>
        <w:spacing w:before="0" w:beforeAutospacing="0" w:after="0" w:afterAutospacing="0" w:line="360" w:lineRule="auto"/>
        <w:ind w:firstLine="480" w:firstLineChars="200"/>
        <w:rPr>
          <w:color w:val="auto"/>
          <w:highlight w:val="none"/>
        </w:rPr>
      </w:pPr>
      <w:r>
        <w:rPr>
          <w:rFonts w:hint="eastAsia"/>
          <w:color w:val="auto"/>
          <w:highlight w:val="none"/>
        </w:rPr>
        <w:t>3.质保条款按照E+H原厂条款执行。</w:t>
      </w:r>
    </w:p>
    <w:p>
      <w:pPr>
        <w:spacing w:line="360" w:lineRule="auto"/>
        <w:ind w:firstLine="482" w:firstLineChars="200"/>
        <w:outlineLvl w:val="0"/>
        <w:rPr>
          <w:rFonts w:ascii="宋体" w:hAnsi="宋体" w:cs="宋体"/>
          <w:b/>
          <w:color w:val="auto"/>
          <w:sz w:val="24"/>
          <w:highlight w:val="none"/>
        </w:rPr>
      </w:pPr>
      <w:bookmarkStart w:id="393" w:name="_Toc1125"/>
      <w:bookmarkStart w:id="394" w:name="_Toc6596"/>
      <w:bookmarkStart w:id="395" w:name="_Toc14563"/>
      <w:r>
        <w:rPr>
          <w:rFonts w:hint="eastAsia" w:ascii="宋体" w:hAnsi="宋体" w:cs="宋体"/>
          <w:b/>
          <w:color w:val="auto"/>
          <w:sz w:val="24"/>
          <w:highlight w:val="none"/>
        </w:rPr>
        <w:t>五、服务要求</w:t>
      </w:r>
    </w:p>
    <w:p>
      <w:pPr>
        <w:pStyle w:val="7"/>
        <w:ind w:firstLine="480" w:firstLineChars="200"/>
        <w:rPr>
          <w:color w:val="auto"/>
          <w:highlight w:val="none"/>
          <w:lang w:val="en-US"/>
        </w:rPr>
      </w:pPr>
      <w:r>
        <w:rPr>
          <w:rFonts w:hint="eastAsia"/>
          <w:color w:val="auto"/>
          <w:highlight w:val="none"/>
          <w:lang w:val="en-US"/>
        </w:rPr>
        <w:t>1.根据甲方生产计划，确定送货数量要求，分批次供货，乙方负责在接到甲方电话或书面通知后在20个工作日内完成供货（若因进口问题，供货时间双方另行协商）。乙方负责卸货，人工费由乙方承担，甲方可免费提供叉车服务。</w:t>
      </w:r>
    </w:p>
    <w:p>
      <w:pPr>
        <w:pStyle w:val="7"/>
        <w:ind w:firstLine="480" w:firstLineChars="200"/>
        <w:rPr>
          <w:color w:val="auto"/>
          <w:highlight w:val="none"/>
          <w:lang w:val="en-US"/>
        </w:rPr>
      </w:pPr>
      <w:r>
        <w:rPr>
          <w:rFonts w:hint="eastAsia"/>
          <w:color w:val="auto"/>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color w:val="auto"/>
          <w:highlight w:val="none"/>
          <w:lang w:val="en-US"/>
        </w:rPr>
      </w:pPr>
      <w:r>
        <w:rPr>
          <w:rFonts w:hint="eastAsia"/>
          <w:color w:val="auto"/>
          <w:highlight w:val="none"/>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rPr>
        <w:t>1.货物交付前，乙方应对货物的质量、数量等方面进行详细、全面的检验，并向甲方</w:t>
      </w:r>
      <w:r>
        <w:rPr>
          <w:rFonts w:hint="eastAsia" w:ascii="宋体" w:hAnsi="宋体" w:cs="宋体"/>
          <w:b/>
          <w:bCs/>
          <w:color w:val="auto"/>
          <w:sz w:val="24"/>
          <w:highlight w:val="none"/>
          <w:u w:val="single"/>
        </w:rPr>
        <w:t>出具证明货物符合合同约定的文件</w:t>
      </w:r>
      <w:r>
        <w:rPr>
          <w:rFonts w:hint="eastAsia" w:ascii="宋体" w:hAnsi="宋体" w:cs="宋体"/>
          <w:color w:val="auto"/>
          <w:sz w:val="24"/>
          <w:highlight w:val="none"/>
        </w:rPr>
        <w:t>；货物交付时，甲方在</w:t>
      </w:r>
      <w:r>
        <w:rPr>
          <w:rFonts w:hint="eastAsia" w:ascii="宋体" w:hAnsi="宋体" w:cs="宋体"/>
          <w:b/>
          <w:color w:val="auto"/>
          <w:sz w:val="24"/>
          <w:highlight w:val="none"/>
          <w:u w:val="single"/>
        </w:rPr>
        <w:t>5个工作日</w:t>
      </w:r>
      <w:r>
        <w:rPr>
          <w:rFonts w:hint="eastAsia" w:ascii="宋体" w:hAnsi="宋体" w:cs="宋体"/>
          <w:color w:val="auto"/>
          <w:sz w:val="24"/>
          <w:highlight w:val="none"/>
        </w:rPr>
        <w:t>内组织验收，验收应出具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如因货物检测需要更长时间的，组织验收时间为自货物交付之日起至甲方收到检测报告后5个工作日内）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证明货物符合合同约定的文件是指包括但不限于合格证、检测报告（制造厂家或者第三方机构）、质量承诺</w:t>
      </w:r>
      <w:r>
        <w:rPr>
          <w:rFonts w:hint="eastAsia" w:ascii="宋体" w:hAnsi="宋体" w:cs="宋体"/>
          <w:color w:val="auto"/>
          <w:sz w:val="24"/>
          <w:highlight w:val="none"/>
        </w:rPr>
        <w:t>（格式自拟）</w:t>
      </w:r>
      <w:r>
        <w:rPr>
          <w:rFonts w:hint="eastAsia" w:ascii="宋体" w:hAnsi="宋体" w:eastAsia="宋体" w:cs="宋体"/>
          <w:color w:val="auto"/>
          <w:sz w:val="24"/>
          <w:highlight w:val="none"/>
        </w:rPr>
        <w:t>等证明材料。以下情况</w:t>
      </w:r>
      <w:r>
        <w:rPr>
          <w:rFonts w:hint="eastAsia" w:ascii="宋体" w:hAnsi="宋体" w:cs="宋体"/>
          <w:color w:val="auto"/>
          <w:sz w:val="24"/>
          <w:highlight w:val="none"/>
        </w:rPr>
        <w:t>在甲方同意的前提下，</w:t>
      </w:r>
      <w:r>
        <w:rPr>
          <w:rFonts w:hint="eastAsia" w:ascii="宋体" w:hAnsi="宋体" w:eastAsia="宋体" w:cs="宋体"/>
          <w:color w:val="auto"/>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color w:val="auto"/>
          <w:highlight w:val="none"/>
        </w:rPr>
      </w:pPr>
      <w:r>
        <w:rPr>
          <w:rFonts w:hint="eastAsia" w:ascii="宋体" w:hAnsi="宋体" w:cs="宋体"/>
          <w:color w:val="auto"/>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color w:val="auto"/>
          <w:sz w:val="24"/>
          <w:highlight w:val="none"/>
        </w:rPr>
      </w:pPr>
      <w:r>
        <w:rPr>
          <w:rFonts w:hint="eastAsia" w:ascii="宋体" w:hAnsi="宋体" w:cs="宋体"/>
          <w:color w:val="auto"/>
          <w:sz w:val="24"/>
          <w:highlight w:val="none"/>
        </w:rPr>
        <w:t>5.检验和验收标准、程序等具体内容以及前述验收书的效力如下：</w:t>
      </w:r>
    </w:p>
    <w:p>
      <w:pPr>
        <w:spacing w:line="360" w:lineRule="auto"/>
        <w:ind w:firstLine="480" w:firstLineChars="200"/>
        <w:outlineLvl w:val="0"/>
        <w:rPr>
          <w:rFonts w:ascii="宋体" w:hAnsi="宋体"/>
          <w:b/>
          <w:color w:val="auto"/>
          <w:sz w:val="24"/>
          <w:highlight w:val="none"/>
        </w:rPr>
      </w:pPr>
      <w:r>
        <w:rPr>
          <w:rFonts w:hint="eastAsia" w:ascii="宋体" w:hAnsi="宋体"/>
          <w:color w:val="auto"/>
          <w:sz w:val="24"/>
          <w:highlight w:val="none"/>
          <w:u w:val="single"/>
        </w:rPr>
        <w:t>有合法资质第三方机构验收单或者验收报告效力&gt;甲方的验收单或者验收报告&gt;合格证或出厂检测报告。</w:t>
      </w:r>
      <w:r>
        <w:rPr>
          <w:rFonts w:hint="eastAsia" w:ascii="宋体" w:hAnsi="宋体"/>
          <w:b/>
          <w:color w:val="auto"/>
          <w:sz w:val="24"/>
          <w:highlight w:val="none"/>
        </w:rPr>
        <w:t xml:space="preserve"> </w:t>
      </w:r>
    </w:p>
    <w:p>
      <w:pPr>
        <w:pStyle w:val="7"/>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pPr>
        <w:pStyle w:val="7"/>
        <w:ind w:firstLine="480" w:firstLineChars="200"/>
        <w:rPr>
          <w:rFonts w:hAnsi="宋体" w:eastAsia="宋体" w:cs="宋体"/>
          <w:color w:val="auto"/>
          <w:highlight w:val="none"/>
          <w:u w:val="single"/>
        </w:rPr>
      </w:pPr>
      <w:r>
        <w:rPr>
          <w:rFonts w:hint="eastAsia" w:hAnsi="宋体" w:eastAsia="宋体" w:cs="宋体"/>
          <w:color w:val="auto"/>
          <w:highlight w:val="none"/>
          <w:u w:val="single"/>
        </w:rPr>
        <w:t>1.供应商须提供该批次货物质量证明材料(格式按E+H厂家拟定)和送货单，支持E+H官网或者小程序防伪查询。</w:t>
      </w:r>
    </w:p>
    <w:p>
      <w:pPr>
        <w:pStyle w:val="7"/>
        <w:ind w:firstLine="480" w:firstLineChars="200"/>
        <w:rPr>
          <w:rFonts w:hAnsi="宋体" w:eastAsia="宋体" w:cs="宋体"/>
          <w:color w:val="auto"/>
          <w:highlight w:val="none"/>
          <w:u w:val="single"/>
        </w:rPr>
      </w:pPr>
      <w:r>
        <w:rPr>
          <w:rFonts w:hint="eastAsia" w:hAnsi="宋体" w:eastAsia="宋体" w:cs="宋体"/>
          <w:color w:val="auto"/>
          <w:highlight w:val="none"/>
          <w:u w:val="single"/>
          <w:lang w:val="en-US"/>
        </w:rPr>
        <w:t>2</w:t>
      </w:r>
      <w:r>
        <w:rPr>
          <w:rFonts w:hint="eastAsia" w:hAnsi="宋体" w:eastAsia="宋体" w:cs="宋体"/>
          <w:color w:val="auto"/>
          <w:highlight w:val="none"/>
          <w:u w:val="single"/>
        </w:rPr>
        <w:t>.供应商提供E+H上游供货方的发票、合同(与本次采购的品种、数量、品牌)，该上游供货方须为该品牌的授权经销商，同时提供品牌经销授权书。</w:t>
      </w:r>
    </w:p>
    <w:p>
      <w:pPr>
        <w:pStyle w:val="7"/>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pPr>
        <w:pStyle w:val="24"/>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single"/>
        </w:rPr>
        <w:t xml:space="preserve"> 电汇/转账 ；</w:t>
      </w:r>
      <w:r>
        <w:rPr>
          <w:rFonts w:hint="eastAsia" w:ascii="宋体" w:hAnsi="宋体" w:cs="宋体"/>
          <w:color w:val="auto"/>
          <w:kern w:val="0"/>
          <w:sz w:val="24"/>
          <w:highlight w:val="none"/>
        </w:rPr>
        <w:t>账户信息如下：</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税号：91330100MA2B02NX2L</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开户行及账号：杭州银行大江东支行 3301040160008775754</w:t>
      </w:r>
    </w:p>
    <w:p>
      <w:pPr>
        <w:spacing w:line="360" w:lineRule="auto"/>
        <w:ind w:firstLine="480" w:firstLineChars="200"/>
        <w:outlineLvl w:val="0"/>
        <w:rPr>
          <w:color w:val="auto"/>
          <w:highlight w:val="none"/>
        </w:rPr>
      </w:pPr>
      <w:r>
        <w:rPr>
          <w:rFonts w:ascii="宋体" w:hAnsi="宋体" w:cs="宋体"/>
          <w:color w:val="auto"/>
          <w:kern w:val="0"/>
          <w:sz w:val="24"/>
          <w:highlight w:val="none"/>
        </w:rPr>
        <w:t>4</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5</w:t>
      </w:r>
      <w:r>
        <w:rPr>
          <w:rFonts w:hint="eastAsia" w:ascii="宋体" w:hAnsi="宋体" w:cs="宋体"/>
          <w:color w:val="auto"/>
          <w:kern w:val="0"/>
          <w:sz w:val="24"/>
          <w:highlight w:val="none"/>
        </w:rPr>
        <w:t xml:space="preserve">.甲方在项目验收结束后及时退还履约保证金。甲方在项目通过验收之日起   </w:t>
      </w:r>
      <w:r>
        <w:rPr>
          <w:rFonts w:hint="eastAsia" w:ascii="宋体" w:hAnsi="宋体" w:cs="宋体"/>
          <w:color w:val="auto"/>
          <w:kern w:val="0"/>
          <w:sz w:val="24"/>
          <w:highlight w:val="none"/>
          <w:u w:val="single"/>
        </w:rPr>
        <w:t xml:space="preserve">30 </w:t>
      </w:r>
      <w:r>
        <w:rPr>
          <w:rFonts w:hint="eastAsia" w:ascii="宋体" w:hAnsi="宋体" w:cs="宋体"/>
          <w:color w:val="auto"/>
          <w:kern w:val="0"/>
          <w:sz w:val="24"/>
          <w:highlight w:val="none"/>
        </w:rPr>
        <w:t>个工作日内将履约保证金无息退还乙方。</w:t>
      </w:r>
    </w:p>
    <w:p>
      <w:pPr>
        <w:spacing w:line="360" w:lineRule="auto"/>
        <w:ind w:firstLine="480" w:firstLineChars="200"/>
        <w:outlineLvl w:val="0"/>
        <w:rPr>
          <w:color w:val="auto"/>
          <w:highlight w:val="none"/>
        </w:rPr>
      </w:pPr>
      <w:r>
        <w:rPr>
          <w:rFonts w:ascii="宋体" w:hAnsi="宋体" w:cs="宋体"/>
          <w:color w:val="auto"/>
          <w:kern w:val="0"/>
          <w:sz w:val="24"/>
          <w:highlight w:val="none"/>
        </w:rPr>
        <w:t>6</w:t>
      </w:r>
      <w:r>
        <w:rPr>
          <w:rFonts w:hint="eastAsia" w:ascii="宋体" w:hAnsi="宋体" w:cs="宋体"/>
          <w:color w:val="auto"/>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pPr>
        <w:pStyle w:val="24"/>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pPr>
        <w:pStyle w:val="24"/>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pPr>
        <w:pStyle w:val="24"/>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pPr>
        <w:pStyle w:val="24"/>
        <w:spacing w:before="0" w:beforeAutospacing="0" w:after="0" w:afterAutospacing="0" w:line="360" w:lineRule="auto"/>
        <w:ind w:firstLine="480"/>
        <w:rPr>
          <w:b/>
          <w:bCs/>
          <w:color w:val="auto"/>
          <w:highlight w:val="none"/>
        </w:rPr>
      </w:pPr>
      <w:r>
        <w:rPr>
          <w:rFonts w:hint="eastAsia"/>
          <w:b/>
          <w:bCs/>
          <w:color w:val="auto"/>
          <w:highlight w:val="none"/>
        </w:rPr>
        <w:t>十、资金支付</w:t>
      </w:r>
    </w:p>
    <w:p>
      <w:pPr>
        <w:pStyle w:val="24"/>
        <w:spacing w:before="0" w:beforeAutospacing="0" w:after="0" w:afterAutospacing="0" w:line="360" w:lineRule="auto"/>
        <w:ind w:firstLine="480"/>
        <w:rPr>
          <w:color w:val="auto"/>
          <w:highlight w:val="none"/>
        </w:rPr>
      </w:pPr>
      <w:bookmarkStart w:id="396" w:name="_Toc32071"/>
      <w:bookmarkStart w:id="397" w:name="_Toc19304"/>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color w:val="auto"/>
          <w:highlight w:val="none"/>
          <w:u w:val="single"/>
        </w:rPr>
        <w:t>30</w:t>
      </w:r>
      <w:r>
        <w:rPr>
          <w:rFonts w:hint="eastAsia"/>
          <w:color w:val="auto"/>
          <w:highlight w:val="none"/>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color w:val="auto"/>
          <w:highlight w:val="none"/>
        </w:rPr>
      </w:pPr>
      <w:r>
        <w:rPr>
          <w:rFonts w:hint="eastAsia"/>
          <w:color w:val="auto"/>
          <w:highlight w:val="none"/>
        </w:rPr>
        <w:t xml:space="preserve">2.本合同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（1）质保期限：</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pPr>
        <w:pStyle w:val="24"/>
        <w:spacing w:before="0" w:beforeAutospacing="0" w:after="0" w:afterAutospacing="0" w:line="360" w:lineRule="auto"/>
        <w:ind w:firstLine="480"/>
        <w:rPr>
          <w:color w:val="auto"/>
          <w:highlight w:val="none"/>
        </w:rPr>
      </w:pPr>
      <w:r>
        <w:rPr>
          <w:rFonts w:hint="eastAsia"/>
          <w:color w:val="auto"/>
          <w:highlight w:val="none"/>
        </w:rPr>
        <w:t>（2）质保金的比例为合同金额的</w:t>
      </w:r>
      <w:r>
        <w:rPr>
          <w:rFonts w:hint="eastAsia"/>
          <w:color w:val="auto"/>
          <w:highlight w:val="none"/>
          <w:u w:val="single"/>
        </w:rPr>
        <w:t xml:space="preserve">  </w:t>
      </w:r>
      <w:r>
        <w:rPr>
          <w:rFonts w:hint="eastAsia"/>
          <w:b/>
          <w:bCs/>
          <w:i/>
          <w:iCs/>
          <w:color w:val="auto"/>
          <w:highlight w:val="none"/>
          <w:u w:val="single"/>
        </w:rPr>
        <w:t>/</w:t>
      </w:r>
      <w:r>
        <w:rPr>
          <w:rFonts w:hint="eastAsia"/>
          <w:color w:val="auto"/>
          <w:highlight w:val="none"/>
          <w:u w:val="single"/>
        </w:rPr>
        <w:t xml:space="preserve"> </w:t>
      </w:r>
      <w:r>
        <w:rPr>
          <w:rFonts w:hint="eastAsia"/>
          <w:color w:val="auto"/>
          <w:highlight w:val="none"/>
        </w:rPr>
        <w:t>%；</w:t>
      </w:r>
    </w:p>
    <w:p>
      <w:pPr>
        <w:pStyle w:val="24"/>
        <w:spacing w:before="0" w:beforeAutospacing="0" w:after="0" w:afterAutospacing="0" w:line="360" w:lineRule="auto"/>
        <w:ind w:firstLine="480"/>
        <w:rPr>
          <w:color w:val="auto"/>
          <w:highlight w:val="none"/>
        </w:rPr>
      </w:pPr>
      <w:r>
        <w:rPr>
          <w:rFonts w:hint="eastAsia"/>
          <w:color w:val="auto"/>
          <w:highlight w:val="none"/>
        </w:rPr>
        <w:t>（3）质保金支付条件：</w:t>
      </w:r>
      <w:r>
        <w:rPr>
          <w:rFonts w:hint="eastAsia"/>
          <w:color w:val="auto"/>
          <w:highlight w:val="none"/>
          <w:u w:val="single"/>
        </w:rPr>
        <w:t>质保期内无任何质量问题，双方无任何遗留问题 ，质保期结束后30天内甲方无息支付</w:t>
      </w:r>
      <w:r>
        <w:rPr>
          <w:rFonts w:hint="eastAsia"/>
          <w:color w:val="auto"/>
          <w:highlight w:val="none"/>
        </w:rPr>
        <w:t>。</w:t>
      </w:r>
    </w:p>
    <w:p>
      <w:pPr>
        <w:pStyle w:val="24"/>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（1）   </w:t>
      </w:r>
      <w:r>
        <w:rPr>
          <w:rFonts w:hint="eastAsia"/>
          <w:color w:val="auto"/>
          <w:highlight w:val="none"/>
        </w:rPr>
        <w:t>条款规定：</w:t>
      </w:r>
    </w:p>
    <w:bookmarkEnd w:id="396"/>
    <w:bookmarkEnd w:id="397"/>
    <w:bookmarkEnd w:id="398"/>
    <w:p>
      <w:pPr>
        <w:pStyle w:val="24"/>
        <w:spacing w:before="0" w:beforeAutospacing="0" w:after="0" w:afterAutospacing="0" w:line="360" w:lineRule="auto"/>
        <w:ind w:firstLine="480"/>
        <w:rPr>
          <w:color w:val="auto"/>
          <w:highlight w:val="none"/>
          <w:u w:val="single"/>
        </w:rPr>
      </w:pPr>
      <w:bookmarkStart w:id="399" w:name="_Toc21423"/>
      <w:bookmarkStart w:id="400" w:name="_Toc27250"/>
      <w:bookmarkStart w:id="401"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color w:val="auto"/>
          <w:highlight w:val="none"/>
        </w:rPr>
      </w:pPr>
      <w:r>
        <w:rPr>
          <w:rFonts w:hint="eastAsia"/>
          <w:color w:val="auto"/>
          <w:highlight w:val="none"/>
          <w:u w:val="single"/>
        </w:rPr>
        <w:t xml:space="preserve">（4）其他付款方式：      /       。     </w:t>
      </w:r>
      <w:r>
        <w:rPr>
          <w:rFonts w:hint="eastAsia"/>
          <w:color w:val="auto"/>
          <w:highlight w:val="none"/>
        </w:rPr>
        <w:t xml:space="preserve"> </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天的，甲方有权单方解除本合同，并要求乙方一次性承担（□本合同累计已发生金额/□合同约定总金额）30%的违约；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天的，乙方有权在要求甲方支付违约金的同时，书面通知甲方解除本合同；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6.违约责任另有约定具体如下：</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（3）甲方无故拒收货物，乙方有权要求甲方按照合同原价支付货款  。</w:t>
      </w:r>
    </w:p>
    <w:p>
      <w:pPr>
        <w:spacing w:line="360" w:lineRule="auto"/>
        <w:ind w:right="-420" w:rightChars="-200" w:firstLine="480" w:firstLineChars="200"/>
        <w:rPr>
          <w:color w:val="auto"/>
          <w:highlight w:val="none"/>
        </w:rPr>
      </w:pPr>
      <w:r>
        <w:rPr>
          <w:rFonts w:hint="eastAsia" w:ascii="宋体" w:hAnsi="宋体" w:cs="宋体"/>
          <w:color w:val="auto"/>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color w:val="auto"/>
          <w:sz w:val="24"/>
          <w:highlight w:val="none"/>
        </w:rPr>
      </w:pPr>
      <w:bookmarkStart w:id="402" w:name="_Toc15583"/>
      <w:bookmarkStart w:id="403" w:name="_Toc28375"/>
      <w:bookmarkStart w:id="404" w:name="_Toc16021"/>
      <w:r>
        <w:rPr>
          <w:rFonts w:hint="eastAsia" w:ascii="宋体" w:hAnsi="宋体" w:cs="宋体"/>
          <w:b/>
          <w:color w:val="auto"/>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b/>
          <w:iCs/>
          <w:color w:val="auto"/>
          <w:sz w:val="24"/>
          <w:highlight w:val="none"/>
          <w:u w:val="single"/>
        </w:rPr>
        <w:t>2</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pPr>
        <w:spacing w:line="360" w:lineRule="auto"/>
        <w:ind w:right="-420" w:rightChars="-200" w:firstLine="480" w:firstLineChars="200"/>
        <w:rPr>
          <w:rFonts w:ascii="宋体" w:hAnsi="宋体" w:cs="宋体"/>
          <w:color w:val="auto"/>
          <w:sz w:val="24"/>
          <w:highlight w:val="none"/>
        </w:rPr>
      </w:pPr>
      <w:bookmarkStart w:id="405" w:name="_Toc15322"/>
      <w:bookmarkStart w:id="406" w:name="_Toc11173"/>
      <w:bookmarkStart w:id="407" w:name="_Toc7245"/>
      <w:r>
        <w:rPr>
          <w:rFonts w:hint="eastAsia" w:ascii="宋体" w:hAnsi="宋体" w:cs="宋体"/>
          <w:color w:val="auto"/>
          <w:sz w:val="24"/>
          <w:highlight w:val="none"/>
        </w:rPr>
        <w:t>1. 将争议提交</w:t>
      </w:r>
      <w:r>
        <w:rPr>
          <w:rFonts w:hint="eastAsia" w:ascii="宋体" w:hAnsi="宋体" w:cs="宋体"/>
          <w:b/>
          <w:iCs/>
          <w:color w:val="auto"/>
          <w:sz w:val="24"/>
          <w:highlight w:val="none"/>
          <w:u w:val="single"/>
        </w:rPr>
        <w:t>甲方所在地</w:t>
      </w:r>
      <w:r>
        <w:rPr>
          <w:rFonts w:hint="eastAsia" w:ascii="宋体" w:hAnsi="宋体" w:cs="宋体"/>
          <w:iCs/>
          <w:color w:val="auto"/>
          <w:sz w:val="24"/>
          <w:highlight w:val="none"/>
        </w:rPr>
        <w:t>仲</w:t>
      </w:r>
      <w:r>
        <w:rPr>
          <w:rFonts w:hint="eastAsia" w:ascii="宋体" w:hAnsi="宋体" w:cs="宋体"/>
          <w:color w:val="auto"/>
          <w:sz w:val="24"/>
          <w:highlight w:val="none"/>
        </w:rPr>
        <w:t>裁委员会依申请仲裁时其现行有效的仲裁规则裁决；</w:t>
      </w:r>
    </w:p>
    <w:p>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2.向</w:t>
      </w:r>
      <w:r>
        <w:rPr>
          <w:rFonts w:hint="eastAsia" w:ascii="宋体" w:hAnsi="宋体" w:cs="宋体"/>
          <w:b/>
          <w:iCs/>
          <w:color w:val="auto"/>
          <w:sz w:val="24"/>
          <w:highlight w:val="none"/>
          <w:u w:val="single"/>
        </w:rPr>
        <w:t>甲方所在地</w:t>
      </w:r>
      <w:r>
        <w:rPr>
          <w:rFonts w:hint="eastAsia" w:ascii="宋体" w:hAnsi="宋体" w:cs="宋体"/>
          <w:color w:val="auto"/>
          <w:sz w:val="24"/>
          <w:highlight w:val="none"/>
        </w:rPr>
        <w:t>人民法院起诉。</w:t>
      </w:r>
    </w:p>
    <w:bookmarkEnd w:id="405"/>
    <w:bookmarkEnd w:id="406"/>
    <w:bookmarkEnd w:id="407"/>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pPr>
        <w:pStyle w:val="23"/>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、第三章廉洁协议为本合同不可分割的一部分，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pPr>
        <w:pStyle w:val="23"/>
        <w:ind w:left="0" w:leftChars="0" w:firstLine="0" w:firstLineChars="0"/>
        <w:rPr>
          <w:rFonts w:ascii="宋体" w:hAnsi="宋体" w:cs="宋体"/>
          <w:b/>
          <w:color w:val="auto"/>
          <w:szCs w:val="24"/>
          <w:highlight w:val="none"/>
        </w:rPr>
      </w:pPr>
    </w:p>
    <w:p>
      <w:pPr>
        <w:pStyle w:val="23"/>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pPr>
        <w:spacing w:line="360" w:lineRule="auto"/>
        <w:ind w:firstLine="482" w:firstLineChars="200"/>
        <w:outlineLvl w:val="0"/>
        <w:rPr>
          <w:rFonts w:ascii="宋体" w:hAnsi="宋体" w:cs="宋体"/>
          <w:b/>
          <w:color w:val="auto"/>
          <w:sz w:val="24"/>
          <w:highlight w:val="none"/>
        </w:rPr>
      </w:pPr>
      <w:bookmarkStart w:id="408" w:name="_Ref467378463"/>
      <w:bookmarkStart w:id="409" w:name="_Toc19614"/>
      <w:bookmarkStart w:id="410" w:name="_Toc16917"/>
      <w:bookmarkStart w:id="411" w:name="_Ref467379205"/>
      <w:bookmarkStart w:id="412" w:name="_Toc487900349"/>
      <w:bookmarkStart w:id="413" w:name="_Ref467379109"/>
      <w:bookmarkStart w:id="414" w:name="_Toc28763"/>
      <w:bookmarkStart w:id="415" w:name="_Ref467379195"/>
      <w:bookmarkStart w:id="416" w:name="_Ref467379094"/>
      <w:bookmarkStart w:id="417" w:name="_Ref467379101"/>
      <w:bookmarkStart w:id="418" w:name="_Toc259093669"/>
      <w:bookmarkStart w:id="419" w:name="_Ref467379225"/>
      <w:bookmarkStart w:id="420" w:name="_Ref467378404"/>
      <w:bookmarkStart w:id="421" w:name="_Ref467379214"/>
      <w:bookmarkStart w:id="422" w:name="_Toc279701240"/>
      <w:bookmarkStart w:id="423" w:name="_Ref467378499"/>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color w:val="auto"/>
          <w:sz w:val="24"/>
          <w:highlight w:val="none"/>
        </w:rPr>
      </w:pPr>
      <w:bookmarkStart w:id="427" w:name="_Toc13336"/>
      <w:bookmarkStart w:id="428" w:name="_Toc279701241"/>
      <w:bookmarkStart w:id="429" w:name="_Toc32504"/>
      <w:bookmarkStart w:id="430" w:name="_Toc259093670"/>
      <w:bookmarkStart w:id="431" w:name="_Toc487900350"/>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highlight w:val="none"/>
        </w:rPr>
      </w:pPr>
      <w:bookmarkStart w:id="433" w:name="_Toc487900351"/>
      <w:bookmarkStart w:id="434" w:name="_Toc279701242"/>
      <w:bookmarkStart w:id="435" w:name="_Toc27853"/>
      <w:bookmarkStart w:id="436" w:name="_Toc9829"/>
      <w:bookmarkStart w:id="437" w:name="_Toc259093671"/>
      <w:bookmarkStart w:id="438" w:name="_Toc31634"/>
      <w:r>
        <w:rPr>
          <w:rFonts w:hint="eastAsia" w:ascii="宋体" w:hAnsi="宋体" w:cs="宋体"/>
          <w:b/>
          <w:color w:val="auto"/>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29149"/>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highlight w:val="none"/>
        </w:rPr>
      </w:pPr>
      <w:bookmarkStart w:id="442" w:name="_Toc26182"/>
      <w:bookmarkStart w:id="443" w:name="_Toc19074"/>
      <w:bookmarkStart w:id="444" w:name="_Toc30272"/>
      <w:r>
        <w:rPr>
          <w:rFonts w:hint="eastAsia" w:ascii="宋体" w:hAnsi="宋体" w:cs="宋体"/>
          <w:b/>
          <w:color w:val="auto"/>
          <w:sz w:val="24"/>
          <w:highlight w:val="none"/>
        </w:rPr>
        <w:t>五、 履约检查和问题反馈</w:t>
      </w:r>
      <w:bookmarkEnd w:id="442"/>
      <w:bookmarkEnd w:id="443"/>
      <w:bookmarkEnd w:id="444"/>
    </w:p>
    <w:p>
      <w:pP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Toc259093676"/>
      <w:bookmarkStart w:id="448" w:name="_Toc279701247"/>
      <w:bookmarkStart w:id="449" w:name="_Ref467379793"/>
      <w:bookmarkStart w:id="450"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highlight w:val="none"/>
        </w:rPr>
      </w:pPr>
      <w:bookmarkStart w:id="452" w:name="_Ref467379923"/>
      <w:bookmarkStart w:id="453" w:name="_Toc487900358"/>
      <w:bookmarkStart w:id="454" w:name="_Ref467379852"/>
      <w:bookmarkStart w:id="455" w:name="_Toc259093677"/>
      <w:bookmarkStart w:id="456" w:name="_Ref467379863"/>
      <w:bookmarkStart w:id="457" w:name="_Toc279701248"/>
      <w:bookmarkStart w:id="458" w:name="_Toc16110"/>
      <w:bookmarkStart w:id="459" w:name="_Toc3225"/>
      <w:bookmarkStart w:id="460" w:name="_Toc774"/>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highlight w:val="none"/>
        </w:rPr>
      </w:pPr>
      <w:bookmarkStart w:id="462" w:name="_Toc17244"/>
      <w:bookmarkStart w:id="463" w:name="_Toc487900362"/>
      <w:bookmarkStart w:id="464" w:name="_Toc279701252"/>
      <w:bookmarkStart w:id="465" w:name="_Toc259093681"/>
      <w:r>
        <w:rPr>
          <w:rFonts w:hint="eastAsia" w:ascii="宋体" w:hAnsi="宋体" w:cs="宋体"/>
          <w:b/>
          <w:color w:val="auto"/>
          <w:sz w:val="24"/>
          <w:highlight w:val="none"/>
        </w:rPr>
        <w:t>八、货物的风险负担</w:t>
      </w:r>
      <w:bookmarkEnd w:id="462"/>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highlight w:val="none"/>
        </w:rPr>
      </w:pPr>
      <w:bookmarkStart w:id="467" w:name="_Toc7502"/>
      <w:bookmarkStart w:id="468" w:name="_Ref467378121"/>
      <w:bookmarkStart w:id="469" w:name="_Toc259093683"/>
      <w:bookmarkStart w:id="470" w:name="_Toc487900364"/>
      <w:bookmarkStart w:id="471" w:name="_Toc279701254"/>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pPr>
        <w:spacing w:line="360" w:lineRule="auto"/>
        <w:ind w:firstLine="480" w:firstLineChars="200"/>
        <w:rPr>
          <w:rFonts w:ascii="宋体" w:hAnsi="宋体"/>
          <w:color w:val="auto"/>
          <w:sz w:val="24"/>
          <w:highlight w:val="none"/>
        </w:rPr>
      </w:pPr>
      <w:bookmarkStart w:id="472" w:name="_Toc259093688"/>
      <w:bookmarkStart w:id="473" w:name="_Toc487900369"/>
      <w:bookmarkStart w:id="474" w:name="_Toc279701259"/>
      <w:bookmarkStart w:id="475" w:name="_Toc22955"/>
      <w:bookmarkStart w:id="476" w:name="_Toc10366"/>
      <w:bookmarkStart w:id="477"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r>
        <w:rPr>
          <w:rFonts w:hint="eastAsia" w:ascii="宋体" w:hAnsi="宋体" w:cs="宋体"/>
          <w:b/>
          <w:color w:val="auto"/>
          <w:sz w:val="24"/>
          <w:highlight w:val="none"/>
        </w:rPr>
        <w:t>和分包</w:t>
      </w:r>
      <w:bookmarkEnd w:id="475"/>
      <w:bookmarkEnd w:id="476"/>
      <w:bookmarkEnd w:id="477"/>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color w:val="auto"/>
          <w:sz w:val="24"/>
          <w:highlight w:val="none"/>
        </w:rPr>
      </w:pPr>
      <w:bookmarkStart w:id="478" w:name="_Toc16508"/>
      <w:bookmarkStart w:id="479" w:name="_Toc13566"/>
      <w:bookmarkStart w:id="480" w:name="_Toc14066"/>
      <w:r>
        <w:rPr>
          <w:rFonts w:hint="eastAsia" w:ascii="宋体" w:hAnsi="宋体" w:cs="宋体"/>
          <w:b/>
          <w:color w:val="auto"/>
          <w:sz w:val="24"/>
          <w:highlight w:val="none"/>
        </w:rPr>
        <w:t>十二、不可抗力</w:t>
      </w:r>
      <w:bookmarkEnd w:id="478"/>
      <w:bookmarkEnd w:id="479"/>
      <w:bookmarkEnd w:id="480"/>
    </w:p>
    <w:p>
      <w:pPr>
        <w:spacing w:line="360" w:lineRule="auto"/>
        <w:ind w:firstLine="480" w:firstLineChars="200"/>
        <w:rPr>
          <w:rFonts w:ascii="宋体" w:hAnsi="宋体"/>
          <w:color w:val="auto"/>
          <w:sz w:val="24"/>
          <w:highlight w:val="none"/>
        </w:rPr>
      </w:pPr>
      <w:bookmarkStart w:id="481" w:name="_Toc259093684"/>
      <w:bookmarkStart w:id="482" w:name="_Toc689"/>
      <w:bookmarkStart w:id="483" w:name="_Toc487900365"/>
      <w:bookmarkStart w:id="484" w:name="_Toc6969"/>
      <w:bookmarkStart w:id="485" w:name="_Toc279701255"/>
      <w:bookmarkStart w:id="486"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pPr>
        <w:spacing w:line="360" w:lineRule="auto"/>
        <w:ind w:firstLine="482" w:firstLineChars="200"/>
        <w:outlineLvl w:val="0"/>
        <w:rPr>
          <w:rFonts w:ascii="宋体" w:hAnsi="宋体" w:cs="宋体"/>
          <w:b/>
          <w:color w:val="auto"/>
          <w:sz w:val="24"/>
          <w:highlight w:val="none"/>
        </w:rPr>
      </w:pPr>
      <w:bookmarkStart w:id="487" w:name="_Toc279701258"/>
      <w:bookmarkStart w:id="488" w:name="_Toc259093687"/>
      <w:bookmarkStart w:id="489" w:name="_Toc8298"/>
      <w:bookmarkStart w:id="490" w:name="_Toc7102"/>
      <w:bookmarkStart w:id="491" w:name="_Toc16959"/>
      <w:bookmarkStart w:id="492" w:name="_Toc487900368"/>
      <w:r>
        <w:rPr>
          <w:rFonts w:hint="eastAsia" w:ascii="宋体" w:hAnsi="宋体" w:cs="宋体"/>
          <w:b/>
          <w:color w:val="auto"/>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highlight w:val="none"/>
        </w:rPr>
      </w:pPr>
      <w:bookmarkStart w:id="493" w:name="_Toc29333"/>
      <w:bookmarkStart w:id="494" w:name="_Toc15387"/>
      <w:bookmarkStart w:id="495" w:name="_Toc6134"/>
      <w:r>
        <w:rPr>
          <w:rFonts w:hint="eastAsia" w:ascii="宋体" w:hAnsi="宋体" w:cs="宋体"/>
          <w:b/>
          <w:color w:val="auto"/>
          <w:sz w:val="24"/>
          <w:highlight w:val="none"/>
        </w:rPr>
        <w:t>十五、合同中止、终止</w:t>
      </w:r>
      <w:bookmarkEnd w:id="493"/>
      <w:bookmarkEnd w:id="494"/>
      <w:bookmarkEnd w:id="495"/>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3.合同到期后，自动终止合同；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highlight w:val="none"/>
        </w:rPr>
      </w:pPr>
      <w:r>
        <w:rPr>
          <w:rFonts w:hint="eastAsia" w:ascii="宋体" w:hAnsi="宋体" w:cs="宋体"/>
          <w:color w:val="auto"/>
          <w:sz w:val="24"/>
          <w:highlight w:val="none"/>
        </w:rPr>
        <w:t>5.出现违约行为的，甲方有权终止或解除合同。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highlight w:val="none"/>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pPr>
        <w:spacing w:line="360" w:lineRule="auto"/>
        <w:ind w:firstLine="480" w:firstLineChars="200"/>
        <w:rPr>
          <w:rFonts w:ascii="宋体" w:hAnsi="宋体"/>
          <w:color w:val="auto"/>
          <w:sz w:val="24"/>
          <w:highlight w:val="none"/>
        </w:rPr>
      </w:pPr>
      <w:bookmarkStart w:id="502" w:name="_Toc27674"/>
      <w:bookmarkStart w:id="503" w:name="_Toc18401"/>
      <w:bookmarkStart w:id="504" w:name="_Toc259093691"/>
      <w:bookmarkStart w:id="505" w:name="_Toc487900372"/>
      <w:bookmarkStart w:id="506" w:name="_Toc4355"/>
      <w:bookmarkStart w:id="507" w:name="_Toc18540"/>
      <w:bookmarkStart w:id="508" w:name="_Toc30599"/>
      <w:bookmarkStart w:id="509" w:name="_Toc279701262"/>
      <w:r>
        <w:rPr>
          <w:rFonts w:hint="eastAsia" w:ascii="宋体" w:hAnsi="宋体"/>
          <w:color w:val="auto"/>
          <w:sz w:val="24"/>
          <w:highlight w:val="none"/>
        </w:rPr>
        <w:t>1.任何一方因履行合同而以合同第一章尾部所列明的电子邮件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highlight w:val="none"/>
        </w:rPr>
      </w:pPr>
      <w:bookmarkStart w:id="510" w:name="_Toc12773"/>
      <w:bookmarkStart w:id="511" w:name="_Toc18567"/>
      <w:bookmarkStart w:id="512" w:name="_Toc259093692"/>
      <w:bookmarkStart w:id="513" w:name="_Toc279701263"/>
      <w:bookmarkStart w:id="514" w:name="_Toc487900373"/>
      <w:bookmarkStart w:id="515" w:name="_Toc10330"/>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1.合同使用汉语书写、变更和解释；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pPr>
        <w:spacing w:line="360" w:lineRule="auto"/>
        <w:ind w:firstLine="482" w:firstLineChars="200"/>
        <w:rPr>
          <w:rFonts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color w:val="auto"/>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统一社会信用代码：</w:t>
            </w:r>
          </w:p>
          <w:p>
            <w:pPr>
              <w:spacing w:line="360" w:lineRule="auto"/>
              <w:rPr>
                <w:rFonts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ascii="宋体" w:hAnsi="宋体" w:cs="Times New Roman"/>
                <w:color w:val="auto"/>
                <w:sz w:val="24"/>
                <w:highlight w:val="none"/>
              </w:rPr>
            </w:pPr>
            <w:r>
              <w:rPr>
                <w:rFonts w:hint="eastAsia" w:ascii="宋体" w:hAnsi="宋体" w:eastAsia="宋体" w:cs="Times New Roman"/>
                <w:color w:val="auto"/>
                <w:sz w:val="24"/>
                <w:highlight w:val="none"/>
                <w:lang w:val="zh-CN"/>
              </w:rPr>
              <w:t>开户账号：</w:t>
            </w:r>
          </w:p>
        </w:tc>
      </w:tr>
    </w:tbl>
    <w:p>
      <w:pPr>
        <w:pStyle w:val="23"/>
        <w:spacing w:line="560" w:lineRule="exact"/>
        <w:ind w:left="0" w:leftChars="0" w:firstLine="0" w:firstLineChars="0"/>
        <w:rPr>
          <w:rFonts w:ascii="宋体" w:hAnsi="宋体" w:cs="Times New Roman"/>
          <w:b/>
          <w:color w:val="auto"/>
          <w:szCs w:val="24"/>
          <w:highlight w:val="none"/>
        </w:rPr>
      </w:pPr>
    </w:p>
    <w:p>
      <w:pPr>
        <w:pStyle w:val="23"/>
        <w:spacing w:line="560" w:lineRule="exact"/>
        <w:ind w:left="0" w:leftChars="0" w:firstLine="0" w:firstLineChars="0"/>
        <w:jc w:val="center"/>
        <w:rPr>
          <w:rFonts w:ascii="宋体" w:hAnsi="宋体"/>
          <w:b/>
          <w:color w:val="auto"/>
          <w:szCs w:val="24"/>
          <w:highlight w:val="none"/>
        </w:rPr>
      </w:pPr>
      <w:r>
        <w:rPr>
          <w:rFonts w:hint="eastAsia" w:ascii="宋体" w:hAnsi="宋体" w:cs="Times New Roman"/>
          <w:b/>
          <w:color w:val="auto"/>
          <w:szCs w:val="24"/>
          <w:highlight w:val="none"/>
        </w:rPr>
        <w:t xml:space="preserve">第三章 </w:t>
      </w:r>
      <w:r>
        <w:rPr>
          <w:rFonts w:hint="eastAsia" w:ascii="宋体" w:hAnsi="宋体"/>
          <w:b/>
          <w:color w:val="auto"/>
          <w:szCs w:val="24"/>
          <w:highlight w:val="none"/>
        </w:rPr>
        <w:t>廉洁协议</w:t>
      </w:r>
    </w:p>
    <w:p>
      <w:pPr>
        <w:pStyle w:val="9"/>
        <w:ind w:firstLine="0" w:firstLineChars="0"/>
        <w:rPr>
          <w:color w:val="auto"/>
          <w:highlight w:val="none"/>
        </w:rPr>
      </w:pPr>
    </w:p>
    <w:p>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w:t>
      </w:r>
    </w:p>
    <w:p>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甲、乙双方应共同严格遵守国家和省市以及采购人主管部门关于市场准入、项目招标投标、市场经济活动等有关法律法规和相关政策，以及项目廉政建设的各项规定。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甲、乙双方如发现对方人员在业务活动中有违规、违纪、违法行为的，应及时提醒对方并督促其纠正，或直接向对方法定代表人、纪检监察部门及检察机关如实反映情况。</w:t>
      </w:r>
    </w:p>
    <w:p>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乙方贿赂甲方人员的，被纪检监察部门或检察机关立案查处的，甲方有权终止项目合同，由此造成甲方的损失以及一切费用均由乙方承担。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auto"/>
          <w:sz w:val="24"/>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7"/>
        <w:rPr>
          <w:color w:val="auto"/>
          <w:highlight w:val="none"/>
        </w:rPr>
      </w:pPr>
    </w:p>
    <w:p>
      <w:pPr>
        <w:pStyle w:val="8"/>
        <w:ind w:firstLine="0"/>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highlight w:val="none"/>
        </w:rPr>
      </w:pPr>
    </w:p>
    <w:p>
      <w:pPr>
        <w:spacing w:line="360" w:lineRule="auto"/>
        <w:rPr>
          <w:rFonts w:ascii="Times New Roman" w:hAnsi="Times New Roman" w:eastAsia="Cambria Math" w:cs="Times New Roman"/>
          <w:color w:val="auto"/>
          <w:sz w:val="96"/>
          <w:szCs w:val="22"/>
          <w:highlight w:val="none"/>
        </w:rPr>
      </w:pPr>
    </w:p>
    <w:p>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开启时启封</w:t>
      </w:r>
    </w:p>
    <w:p>
      <w:pPr>
        <w:spacing w:line="360" w:lineRule="auto"/>
        <w:rPr>
          <w:rFonts w:ascii="宋体" w:hAnsi="宋体" w:eastAsia="宋体" w:cs="宋体"/>
          <w:color w:val="auto"/>
          <w:sz w:val="44"/>
          <w:szCs w:val="44"/>
          <w:highlight w:val="none"/>
        </w:rPr>
      </w:pP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2024年临江公司E+H仪控备件采购项目              </w:t>
      </w:r>
    </w:p>
    <w:p>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14"/>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pStyle w:val="7"/>
        <w:rPr>
          <w:color w:val="auto"/>
          <w:highlight w:val="none"/>
        </w:rPr>
      </w:pPr>
    </w:p>
    <w:p>
      <w:pPr>
        <w:rPr>
          <w:color w:val="auto"/>
          <w:highlight w:val="none"/>
        </w:rPr>
      </w:pPr>
    </w:p>
    <w:p>
      <w:pPr>
        <w:pStyle w:val="7"/>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rPr>
        <w:t>2024年临江公司E+H仪控备件采购项目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 xml:space="preserve">ZHJXJ202403018 </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13"/>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pPr>
        <w:pStyle w:val="7"/>
        <w:rPr>
          <w:color w:val="auto"/>
          <w:highlight w:val="none"/>
          <w:lang w:val="en-US"/>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（根据采购公告本项目的特定要求提供相应的材料，如业绩证明材料、特殊行业许可证书等；未要求的，无需提供）</w:t>
      </w: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7"/>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（5）响应产品规格配置清单（若有）…………………………………………（页码）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（6）商务技术偏离表……………………………………………………………（页码）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（8）供应商股东信息及出资比例信息表………………………………………（页码）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（9）供应商服务质量保证承诺函………………………………………………（页码）</w:t>
      </w: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8"/>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rPr>
        <w:t>E+H仪控备件【项目编号：</w:t>
      </w:r>
      <w:r>
        <w:rPr>
          <w:rFonts w:hint="eastAsia" w:cs="仿宋" w:asciiTheme="minorEastAsia" w:hAnsiTheme="minorEastAsia"/>
          <w:color w:val="auto"/>
          <w:sz w:val="24"/>
          <w:highlight w:val="none"/>
          <w:u w:val="single"/>
          <w:lang w:eastAsia="zh-CN"/>
        </w:rPr>
        <w:t xml:space="preserve">ZHJXJ202403018 </w:t>
      </w:r>
      <w:r>
        <w:rPr>
          <w:rFonts w:hint="eastAsia" w:cs="仿宋" w:asciiTheme="minorEastAsia" w:hAnsiTheme="minorEastAsia"/>
          <w:color w:val="auto"/>
          <w:sz w:val="24"/>
          <w:highlight w:val="none"/>
        </w:rPr>
        <w:t>】采购的有关活动，并对此项目进行响应。为此：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7"/>
        <w:rPr>
          <w:color w:val="auto"/>
          <w:highlight w:val="none"/>
        </w:rPr>
      </w:pPr>
    </w:p>
    <w:p>
      <w:pPr>
        <w:pStyle w:val="8"/>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cs="仿宋" w:asciiTheme="minorEastAsia" w:hAnsiTheme="minorEastAsia"/>
          <w:color w:val="auto"/>
          <w:kern w:val="0"/>
          <w:sz w:val="24"/>
          <w:highlight w:val="none"/>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kern w:val="0"/>
          <w:sz w:val="24"/>
          <w:highlight w:val="none"/>
          <w:u w:val="single"/>
        </w:rPr>
        <w:t>2024年临江公司E+H仪控备件【项目编号：</w:t>
      </w:r>
      <w:r>
        <w:rPr>
          <w:rFonts w:hint="eastAsia" w:cs="仿宋" w:asciiTheme="minorEastAsia" w:hAnsiTheme="minorEastAsia"/>
          <w:color w:val="auto"/>
          <w:kern w:val="0"/>
          <w:sz w:val="24"/>
          <w:highlight w:val="none"/>
          <w:u w:val="single"/>
          <w:lang w:eastAsia="zh-CN"/>
        </w:rPr>
        <w:t xml:space="preserve">ZHJXJ202403018 </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其在报价过程中的一切活动本公司均予承认</w:t>
      </w:r>
      <w:r>
        <w:rPr>
          <w:rFonts w:hint="eastAsia" w:cs="仿宋" w:asciiTheme="minorEastAsia" w:hAnsiTheme="minorEastAsia"/>
          <w:color w:val="auto"/>
          <w:kern w:val="0"/>
          <w:sz w:val="24"/>
          <w:highlight w:val="none"/>
          <w:lang w:val="zh-CN"/>
        </w:rPr>
        <w:t>，其法律后果由我方承担。</w:t>
      </w:r>
    </w:p>
    <w:p>
      <w:pPr>
        <w:snapToGrid w:val="0"/>
        <w:spacing w:line="360" w:lineRule="auto"/>
        <w:rPr>
          <w:rFonts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jc w:val="center"/>
        <w:rPr>
          <w:rFonts w:cs="仿宋" w:asciiTheme="minorEastAsia" w:hAnsiTheme="minorEastAsia"/>
          <w:b/>
          <w:color w:val="auto"/>
          <w:kern w:val="0"/>
          <w:sz w:val="32"/>
          <w:szCs w:val="32"/>
          <w:highlight w:val="none"/>
          <w:lang w:val="zh-CN"/>
        </w:rPr>
      </w:pPr>
    </w:p>
    <w:p>
      <w:pPr>
        <w:pStyle w:val="7"/>
        <w:rPr>
          <w:rFonts w:cs="仿宋" w:asciiTheme="minorEastAsia" w:hAnsiTheme="minorEastAsia"/>
          <w:b/>
          <w:color w:val="auto"/>
          <w:kern w:val="0"/>
          <w:sz w:val="32"/>
          <w:szCs w:val="32"/>
          <w:highlight w:val="none"/>
        </w:rPr>
      </w:pPr>
    </w:p>
    <w:p>
      <w:pPr>
        <w:pStyle w:val="8"/>
        <w:rPr>
          <w:rFonts w:cs="仿宋" w:asciiTheme="minorEastAsia" w:hAnsiTheme="minorEastAsia"/>
          <w:b/>
          <w:color w:val="auto"/>
          <w:kern w:val="0"/>
          <w:sz w:val="32"/>
          <w:szCs w:val="32"/>
          <w:highlight w:val="none"/>
        </w:rPr>
      </w:pPr>
    </w:p>
    <w:p>
      <w:pPr>
        <w:rPr>
          <w:rFonts w:cs="仿宋" w:asciiTheme="minorEastAsia" w:hAnsiTheme="minorEastAsia"/>
          <w:b/>
          <w:color w:val="auto"/>
          <w:kern w:val="0"/>
          <w:sz w:val="32"/>
          <w:szCs w:val="32"/>
          <w:highlight w:val="none"/>
          <w:lang w:val="zh-CN"/>
        </w:rPr>
      </w:pPr>
    </w:p>
    <w:p>
      <w:pPr>
        <w:pStyle w:val="7"/>
        <w:rPr>
          <w:rFonts w:cs="仿宋" w:asciiTheme="minorEastAsia" w:hAnsiTheme="minorEastAsia"/>
          <w:b/>
          <w:color w:val="auto"/>
          <w:kern w:val="0"/>
          <w:sz w:val="32"/>
          <w:szCs w:val="32"/>
          <w:highlight w:val="none"/>
        </w:rPr>
      </w:pPr>
    </w:p>
    <w:p>
      <w:pPr>
        <w:pStyle w:val="8"/>
        <w:rPr>
          <w:color w:val="auto"/>
          <w:highlight w:val="none"/>
        </w:rPr>
      </w:pPr>
    </w:p>
    <w:p>
      <w:pPr>
        <w:rPr>
          <w:color w:val="auto"/>
          <w:highlight w:val="none"/>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cs="仿宋" w:asciiTheme="minorEastAsia" w:hAnsiTheme="minorEastAsia"/>
          <w:color w:val="auto"/>
          <w:kern w:val="0"/>
          <w:sz w:val="24"/>
          <w:highlight w:val="none"/>
          <w:lang w:val="zh-CN"/>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响应文件满足询价采购文件的其他实质性要求。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rPr>
        <w:t>五、响应产品规格配置清单（若有）</w:t>
      </w:r>
    </w:p>
    <w:p>
      <w:pPr>
        <w:pStyle w:val="8"/>
        <w:rPr>
          <w:rFonts w:cs="仿宋" w:asciiTheme="minorEastAsia" w:hAnsiTheme="minorEastAsia"/>
          <w:color w:val="auto"/>
          <w:highlight w:val="none"/>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highlight w:val="none"/>
              </w:rPr>
            </w:pPr>
            <w:r>
              <w:rPr>
                <w:rFonts w:hint="eastAsia"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r>
              <w:rPr>
                <w:rFonts w:hint="eastAsia" w:asciiTheme="minorEastAsia" w:hAnsiTheme="minorEastAsia"/>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highlight w:val="none"/>
              </w:rPr>
            </w:pPr>
          </w:p>
        </w:tc>
      </w:tr>
    </w:tbl>
    <w:p>
      <w:pPr>
        <w:pStyle w:val="7"/>
        <w:rPr>
          <w:color w:val="auto"/>
          <w:highlight w:val="none"/>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color w:val="auto"/>
          <w:highlight w:val="none"/>
        </w:rPr>
        <w:t>注</w:t>
      </w:r>
      <w:r>
        <w:rPr>
          <w:rFonts w:cs="仿宋_GB2312" w:asciiTheme="minorEastAsia" w:hAnsiTheme="minorEastAsia"/>
          <w:color w:val="auto"/>
          <w:highlight w:val="none"/>
          <w:lang w:val="en-US"/>
        </w:rPr>
        <w:t>：</w:t>
      </w:r>
      <w:r>
        <w:rPr>
          <w:rFonts w:hint="eastAsia" w:cs="仿宋_GB2312" w:asciiTheme="minorEastAsia" w:hAnsiTheme="minorEastAsia"/>
          <w:color w:val="auto"/>
          <w:highlight w:val="none"/>
        </w:rPr>
        <w:t>按本格式和要求提供。</w:t>
      </w: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七、</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7"/>
        <w:rPr>
          <w:color w:val="auto"/>
          <w:highlight w:val="none"/>
        </w:rPr>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八、供应商股东信息及出资比例信息表</w:t>
      </w:r>
    </w:p>
    <w:p>
      <w:pPr>
        <w:pStyle w:val="13"/>
        <w:rPr>
          <w:color w:val="auto"/>
          <w:highlight w:val="none"/>
          <w:lang w:val="zh-CN"/>
        </w:rPr>
      </w:pPr>
    </w:p>
    <w:p>
      <w:pPr>
        <w:rPr>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pPr>
              <w:spacing w:line="360" w:lineRule="auto"/>
              <w:rPr>
                <w:rFonts w:ascii="宋体" w:hAnsi="宋体" w:eastAsia="宋体" w:cs="宋体"/>
                <w:b/>
                <w:color w:val="auto"/>
                <w:kern w:val="0"/>
                <w:sz w:val="24"/>
                <w:highlight w:val="none"/>
              </w:rPr>
            </w:pPr>
          </w:p>
        </w:tc>
        <w:tc>
          <w:tcPr>
            <w:tcW w:w="2881" w:type="dxa"/>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bCs/>
          <w:color w:val="auto"/>
          <w:sz w:val="24"/>
          <w:highlight w:val="none"/>
        </w:r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3"/>
        <w:rPr>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存在管理关系的单位全称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p>
        </w:tc>
        <w:tc>
          <w:tcPr>
            <w:tcW w:w="5387" w:type="dxa"/>
            <w:vAlign w:val="center"/>
          </w:tcPr>
          <w:p>
            <w:pPr>
              <w:spacing w:line="360" w:lineRule="auto"/>
              <w:rPr>
                <w:rFonts w:ascii="宋体" w:hAnsi="宋体" w:eastAsia="宋体" w:cs="宋体"/>
                <w:b/>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pPr>
              <w:spacing w:line="360" w:lineRule="auto"/>
              <w:rPr>
                <w:rFonts w:ascii="宋体" w:hAnsi="宋体" w:eastAsia="宋体" w:cs="宋体"/>
                <w:b/>
                <w:color w:val="auto"/>
                <w:kern w:val="0"/>
                <w:sz w:val="24"/>
                <w:highlight w:val="none"/>
              </w:rPr>
            </w:pPr>
          </w:p>
        </w:tc>
      </w:tr>
    </w:tbl>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rPr>
        <w:t>九、</w:t>
      </w:r>
      <w:r>
        <w:rPr>
          <w:rFonts w:hint="eastAsia" w:cs="仿宋" w:asciiTheme="minorEastAsia" w:hAnsiTheme="minorEastAsia"/>
          <w:b/>
          <w:color w:val="auto"/>
          <w:kern w:val="0"/>
          <w:sz w:val="32"/>
          <w:szCs w:val="32"/>
          <w:highlight w:val="none"/>
          <w:lang w:val="zh-CN"/>
        </w:rPr>
        <w:t>供应商服务质量保证承诺函</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2024年临江公司E+H仪控备件【项目编号：</w:t>
      </w:r>
      <w:r>
        <w:rPr>
          <w:rFonts w:hint="eastAsia" w:ascii="宋体" w:hAnsi="宋体" w:eastAsia="宋体" w:cs="宋体"/>
          <w:color w:val="auto"/>
          <w:sz w:val="24"/>
          <w:highlight w:val="none"/>
          <w:u w:val="single"/>
          <w:lang w:eastAsia="zh-CN"/>
        </w:rPr>
        <w:t xml:space="preserve">ZHJXJ202403018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采购活动，并作如下承诺：</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rPr>
          <w:rFonts w:ascii="宋体" w:hAnsi="宋体" w:eastAsia="宋体" w:cs="宋体"/>
          <w:color w:val="auto"/>
          <w:sz w:val="24"/>
          <w:highlight w:val="none"/>
        </w:rPr>
      </w:pPr>
    </w:p>
    <w:p>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2024年 月  日</w:t>
      </w: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5"/>
        <w:jc w:val="center"/>
        <w:rPr>
          <w:color w:val="auto"/>
          <w:sz w:val="32"/>
          <w:szCs w:val="32"/>
          <w:highlight w:val="none"/>
        </w:rPr>
      </w:pPr>
      <w:r>
        <w:rPr>
          <w:rFonts w:hint="eastAsia"/>
          <w:color w:val="auto"/>
          <w:sz w:val="32"/>
          <w:szCs w:val="32"/>
          <w:highlight w:val="none"/>
        </w:rPr>
        <w:t>一 、 报价函</w:t>
      </w:r>
    </w:p>
    <w:p>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ascii="宋体" w:hAnsi="宋体" w:eastAsia="宋体" w:cs="宋体"/>
          <w:color w:val="auto"/>
          <w:sz w:val="24"/>
          <w:highlight w:val="none"/>
          <w:u w:val="single"/>
        </w:rPr>
        <w:t>2024年临江公司E+H仪控备件采购</w:t>
      </w:r>
      <w:r>
        <w:rPr>
          <w:rFonts w:hint="eastAsia" w:ascii="宋体" w:hAnsi="宋体" w:eastAsia="宋体" w:cs="宋体"/>
          <w:color w:val="auto"/>
          <w:sz w:val="24"/>
          <w:highlight w:val="none"/>
        </w:rPr>
        <w:t>项</w:t>
      </w:r>
      <w:r>
        <w:rPr>
          <w:rFonts w:hint="eastAsia" w:ascii="宋体" w:hAnsi="宋体" w:eastAsia="宋体" w:cs="宋体"/>
          <w:color w:val="auto"/>
          <w:spacing w:val="-3"/>
          <w:sz w:val="24"/>
          <w:highlight w:val="none"/>
        </w:rPr>
        <w:t>目</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eastAsia="zh-CN"/>
        </w:rPr>
        <w:t xml:space="preserve">ZHJXJ202403018 </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pPr>
        <w:pStyle w:val="28"/>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4.如我方在响应过程中，发生询价文件规定的采购人可以没收询价保证金的情形的，我方同意采购人没收我方缴纳的全部询价保证金。</w:t>
      </w:r>
    </w:p>
    <w:p>
      <w:pPr>
        <w:pStyle w:val="28"/>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pPr>
        <w:pStyle w:val="7"/>
        <w:ind w:firstLine="480" w:firstLineChars="200"/>
        <w:jc w:val="left"/>
        <w:rPr>
          <w:rFonts w:hAnsi="宋体" w:cs="宋体"/>
          <w:color w:val="auto"/>
          <w:highlight w:val="none"/>
        </w:rPr>
      </w:pPr>
    </w:p>
    <w:p>
      <w:pPr>
        <w:pStyle w:val="7"/>
        <w:ind w:firstLine="480" w:firstLineChars="200"/>
        <w:jc w:val="left"/>
        <w:rPr>
          <w:rFonts w:hAnsi="宋体" w:cs="宋体"/>
          <w:color w:val="auto"/>
          <w:highlight w:val="none"/>
        </w:rPr>
      </w:pPr>
    </w:p>
    <w:p>
      <w:pPr>
        <w:pStyle w:val="7"/>
        <w:jc w:val="left"/>
        <w:rPr>
          <w:rFonts w:hAnsi="宋体" w:cs="宋体"/>
          <w:color w:val="auto"/>
          <w:highlight w:val="none"/>
        </w:rPr>
      </w:pPr>
      <w:r>
        <w:rPr>
          <w:rFonts w:hint="eastAsia" w:hAnsi="宋体" w:cs="宋体"/>
          <w:color w:val="auto"/>
          <w:highlight w:val="none"/>
        </w:rPr>
        <w:t>供应商名称：（盖单位公章）</w:t>
      </w:r>
    </w:p>
    <w:p>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pPr>
        <w:pStyle w:val="7"/>
        <w:tabs>
          <w:tab w:val="left" w:pos="4101"/>
        </w:tabs>
        <w:jc w:val="left"/>
        <w:rPr>
          <w:rFonts w:hAnsi="宋体" w:cs="宋体"/>
          <w:color w:val="auto"/>
          <w:highlight w:val="none"/>
        </w:rPr>
      </w:pPr>
      <w:r>
        <w:rPr>
          <w:rFonts w:hint="eastAsia" w:hAnsi="宋体" w:cs="宋体"/>
          <w:color w:val="auto"/>
          <w:highlight w:val="none"/>
        </w:rPr>
        <w:t>地址：</w:t>
      </w:r>
    </w:p>
    <w:p>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pPr>
        <w:rPr>
          <w:rFonts w:ascii="宋体" w:hAnsi="宋体" w:cs="宋体"/>
          <w:color w:val="auto"/>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rPr>
        <w:t>2024年</w:t>
      </w:r>
      <w:r>
        <w:rPr>
          <w:rFonts w:cs="仿宋" w:asciiTheme="minorEastAsia" w:hAnsiTheme="minorEastAsia"/>
          <w:color w:val="auto"/>
          <w:sz w:val="24"/>
          <w:highlight w:val="none"/>
          <w:u w:val="single"/>
        </w:rPr>
        <w:t>临江公司</w:t>
      </w:r>
      <w:r>
        <w:rPr>
          <w:rFonts w:hint="eastAsia" w:cs="仿宋" w:asciiTheme="minorEastAsia" w:hAnsiTheme="minorEastAsia"/>
          <w:color w:val="auto"/>
          <w:sz w:val="24"/>
          <w:highlight w:val="none"/>
          <w:u w:val="single"/>
        </w:rPr>
        <w:t>E+H仪控备件</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 xml:space="preserve">ZHJXJ202403018 </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3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742"/>
        <w:gridCol w:w="1004"/>
        <w:gridCol w:w="3491"/>
        <w:gridCol w:w="622"/>
        <w:gridCol w:w="905"/>
        <w:gridCol w:w="1309"/>
        <w:gridCol w:w="1244"/>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2742" w:type="dxa"/>
            <w:vAlign w:val="center"/>
          </w:tcPr>
          <w:p>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名称</w:t>
            </w:r>
          </w:p>
        </w:tc>
        <w:tc>
          <w:tcPr>
            <w:tcW w:w="1004" w:type="dxa"/>
            <w:vAlign w:val="center"/>
          </w:tcPr>
          <w:p>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品牌</w:t>
            </w:r>
          </w:p>
        </w:tc>
        <w:tc>
          <w:tcPr>
            <w:tcW w:w="3491" w:type="dxa"/>
            <w:vAlign w:val="center"/>
          </w:tcPr>
          <w:p>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规格型号</w:t>
            </w:r>
          </w:p>
        </w:tc>
        <w:tc>
          <w:tcPr>
            <w:tcW w:w="622" w:type="dxa"/>
            <w:vAlign w:val="center"/>
          </w:tcPr>
          <w:p>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数量</w:t>
            </w:r>
          </w:p>
        </w:tc>
        <w:tc>
          <w:tcPr>
            <w:tcW w:w="905" w:type="dxa"/>
            <w:vAlign w:val="center"/>
          </w:tcPr>
          <w:p>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单位</w:t>
            </w:r>
          </w:p>
        </w:tc>
        <w:tc>
          <w:tcPr>
            <w:tcW w:w="1309" w:type="dxa"/>
            <w:vAlign w:val="center"/>
          </w:tcPr>
          <w:p>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单价</w:t>
            </w:r>
          </w:p>
        </w:tc>
        <w:tc>
          <w:tcPr>
            <w:tcW w:w="1244" w:type="dxa"/>
            <w:vAlign w:val="center"/>
          </w:tcPr>
          <w:p>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总价</w:t>
            </w:r>
          </w:p>
        </w:tc>
        <w:tc>
          <w:tcPr>
            <w:tcW w:w="1721" w:type="dxa"/>
            <w:vAlign w:val="center"/>
          </w:tcPr>
          <w:p>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荧光法模拟式溶氧电极</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COS61-A2F0</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3</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支</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溶解氧二次表</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COM223-WX8105</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3</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PH/ORP二次表</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CPM223-PR8105</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溶解氧电极维护包</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COV45-41TN1</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6</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盒</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电导率二次表</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CLM223-CD8605</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3</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电导率电极</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CLS50D-AA1B21，另配国产DN50材质为316L的法兰</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支</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模拟量pH电极</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CPF81-LH11C3</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10</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支</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数字式pH电极</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CPS11E-AA7BTA4</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14</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支</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数字测量电缆</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CYK10-A101</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4</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支</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PH支架</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同CPA640系列，匹配CPS11E-AA7BTA4，</w:t>
            </w:r>
            <w:r>
              <w:rPr>
                <w:rFonts w:hint="eastAsia" w:ascii="宋体" w:hAnsi="宋体" w:eastAsia="宋体" w:cs="宋体"/>
                <w:color w:val="auto"/>
                <w:kern w:val="0"/>
                <w:sz w:val="18"/>
                <w:szCs w:val="18"/>
                <w:highlight w:val="none"/>
                <w:lang w:bidi="ar"/>
              </w:rPr>
              <w:br w:type="textWrapping"/>
            </w:r>
            <w:r>
              <w:rPr>
                <w:rStyle w:val="35"/>
                <w:rFonts w:hint="default"/>
                <w:color w:val="auto"/>
                <w:sz w:val="18"/>
                <w:szCs w:val="18"/>
                <w:highlight w:val="none"/>
                <w:lang w:bidi="ar"/>
              </w:rPr>
              <w:t>L=240mm</w:t>
            </w:r>
            <w:r>
              <w:rPr>
                <w:rStyle w:val="36"/>
                <w:rFonts w:hint="default"/>
                <w:color w:val="auto"/>
                <w:sz w:val="18"/>
                <w:szCs w:val="18"/>
                <w:highlight w:val="none"/>
                <w:lang w:bidi="ar"/>
              </w:rPr>
              <w:t>，材质：PVDF，按国产第三方制作</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4</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支</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数字式电导率传感器</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CLS21E-AAGA11</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2</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支</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数字式pH/ORP组合电极</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CPS16E-AA7BTA2</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2</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支</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13</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单通道变送器</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CM14-AAM</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14</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数字式pH电极</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CPF81E-AA5LAD1</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4</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支</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15</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数字电极电缆</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CYK10-A151</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4</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16</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多参数水质二次表</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CM442-AAM2A4F060A+AK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17</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CM442仪表配件</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CM442R-AAM2CCF06+AK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2</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18</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CM442仪表配件</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71135632</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2</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19</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数字式PH电极</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CPS11E-AA7BAA4</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2</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电导率电极</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CLS15-B1A1A</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2</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21</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模拟ORP电极</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CPF82-PA11A4</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22</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电导率电极</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CLS19-B1A1D</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23</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5PBB15-AAEADBKA0AED5KGAA1+AK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24</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5WBB25-AADAEBKA0AQD321AA1+AK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25</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5P5B2H-63E2/0</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2</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26</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5W4C2H-AADLHP2AQD230B+AK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27</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5HBB04-AAAEBKA0AAI2S0AA1+AK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28</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5WBB1F-AADAEBKA0AUD210AA1+AK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29</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涡街流量计</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7D2C80-AAACCAAAAADESKA1+AK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涡街流量计</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7D2C1H-AAACCAAAAAD1SKA1+AK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31</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电磁流量计分体式二次表</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5W4C80-AADLHP2AQD210B+AK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32</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涡街流量计</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7D2C1F-AAACCAAAAAD1SKA1+AK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33</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电磁流量计一体式</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5W4C2H-AADLHP2AQD210B+AK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34</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5WBB80-AADAEBKA0DQD211AA1+AK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35</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电磁流量计一体式</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5W4C2F-AADLHA0AQD230B+AK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36</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电磁流量计</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5P5B1H-BBEBAAAAFBAA2AED3S0BA1+AK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37</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分体式电磁流量计表头</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5P5B1H-BBEBAAAAFBAA2AED3S0BA1+AK</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台</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PH电极</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CPS71E-AA7BTB2</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5</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支</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明渠流量计变送器</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FMU9O-R21CA111AA3A</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5" w:type="dxa"/>
            <w:vAlign w:val="center"/>
          </w:tcPr>
          <w:p>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40</w:t>
            </w:r>
          </w:p>
        </w:tc>
        <w:tc>
          <w:tcPr>
            <w:tcW w:w="274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明渠流量计探头</w:t>
            </w:r>
          </w:p>
        </w:tc>
        <w:tc>
          <w:tcPr>
            <w:tcW w:w="1004"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E+H</w:t>
            </w:r>
          </w:p>
        </w:tc>
        <w:tc>
          <w:tcPr>
            <w:tcW w:w="3491"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FDU9O-RG2AA</w:t>
            </w:r>
          </w:p>
        </w:tc>
        <w:tc>
          <w:tcPr>
            <w:tcW w:w="622"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1</w:t>
            </w:r>
          </w:p>
        </w:tc>
        <w:tc>
          <w:tcPr>
            <w:tcW w:w="905" w:type="dxa"/>
            <w:vAlign w:val="center"/>
          </w:tcPr>
          <w:p>
            <w:pPr>
              <w:widowControl/>
              <w:jc w:val="center"/>
              <w:textAlignment w:val="center"/>
              <w:rPr>
                <w:rFonts w:ascii="宋体" w:hAnsi="宋体" w:eastAsia="宋体" w:cs="宋体"/>
                <w:b/>
                <w:color w:val="auto"/>
                <w:sz w:val="18"/>
                <w:szCs w:val="18"/>
                <w:highlight w:val="none"/>
              </w:rPr>
            </w:pPr>
            <w:r>
              <w:rPr>
                <w:rFonts w:hint="eastAsia" w:ascii="宋体" w:hAnsi="宋体" w:eastAsia="宋体" w:cs="宋体"/>
                <w:color w:val="auto"/>
                <w:kern w:val="0"/>
                <w:sz w:val="18"/>
                <w:szCs w:val="18"/>
                <w:highlight w:val="none"/>
                <w:lang w:bidi="ar"/>
              </w:rPr>
              <w:t>个</w:t>
            </w:r>
          </w:p>
        </w:tc>
        <w:tc>
          <w:tcPr>
            <w:tcW w:w="1309" w:type="dxa"/>
            <w:vAlign w:val="center"/>
          </w:tcPr>
          <w:p>
            <w:pPr>
              <w:spacing w:line="360" w:lineRule="auto"/>
              <w:jc w:val="center"/>
              <w:rPr>
                <w:rFonts w:ascii="宋体" w:hAnsi="宋体" w:eastAsia="宋体" w:cs="宋体"/>
                <w:b/>
                <w:color w:val="auto"/>
                <w:sz w:val="18"/>
                <w:szCs w:val="18"/>
                <w:highlight w:val="none"/>
              </w:rPr>
            </w:pPr>
          </w:p>
        </w:tc>
        <w:tc>
          <w:tcPr>
            <w:tcW w:w="1244" w:type="dxa"/>
            <w:vAlign w:val="center"/>
          </w:tcPr>
          <w:p>
            <w:pPr>
              <w:spacing w:line="360" w:lineRule="auto"/>
              <w:jc w:val="center"/>
              <w:rPr>
                <w:rFonts w:ascii="宋体" w:hAnsi="宋体" w:eastAsia="宋体" w:cs="宋体"/>
                <w:b/>
                <w:color w:val="auto"/>
                <w:sz w:val="18"/>
                <w:szCs w:val="18"/>
                <w:highlight w:val="none"/>
              </w:rPr>
            </w:pPr>
          </w:p>
        </w:tc>
        <w:tc>
          <w:tcPr>
            <w:tcW w:w="1721" w:type="dxa"/>
            <w:vAlign w:val="center"/>
          </w:tcPr>
          <w:p>
            <w:pPr>
              <w:spacing w:line="360" w:lineRule="auto"/>
              <w:jc w:val="center"/>
              <w:rPr>
                <w:rFonts w:ascii="宋体" w:hAnsi="宋体" w:eastAsia="宋体" w:cs="宋体"/>
                <w:b/>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1" w:type="dxa"/>
            <w:gridSpan w:val="3"/>
            <w:vAlign w:val="center"/>
          </w:tcPr>
          <w:p>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响应报价合计（小写）</w:t>
            </w:r>
          </w:p>
        </w:tc>
        <w:tc>
          <w:tcPr>
            <w:tcW w:w="9292" w:type="dxa"/>
            <w:gridSpan w:val="6"/>
            <w:vAlign w:val="center"/>
          </w:tcPr>
          <w:p>
            <w:pPr>
              <w:spacing w:line="360" w:lineRule="auto"/>
              <w:jc w:val="center"/>
              <w:rPr>
                <w:rFonts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1" w:type="dxa"/>
            <w:gridSpan w:val="3"/>
            <w:vAlign w:val="center"/>
          </w:tcPr>
          <w:p>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响应报价合计（大写）</w:t>
            </w:r>
          </w:p>
        </w:tc>
        <w:tc>
          <w:tcPr>
            <w:tcW w:w="9292" w:type="dxa"/>
            <w:gridSpan w:val="6"/>
            <w:vAlign w:val="center"/>
          </w:tcPr>
          <w:p>
            <w:pPr>
              <w:spacing w:line="360" w:lineRule="auto"/>
              <w:jc w:val="center"/>
              <w:rPr>
                <w:rFonts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81" w:type="dxa"/>
            <w:gridSpan w:val="3"/>
            <w:vAlign w:val="center"/>
          </w:tcPr>
          <w:p>
            <w:pPr>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税率</w:t>
            </w:r>
          </w:p>
        </w:tc>
        <w:tc>
          <w:tcPr>
            <w:tcW w:w="9292" w:type="dxa"/>
            <w:gridSpan w:val="6"/>
            <w:vAlign w:val="center"/>
          </w:tcPr>
          <w:p>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 xml:space="preserve"> %</w:t>
            </w:r>
          </w:p>
        </w:tc>
      </w:tr>
    </w:tbl>
    <w:p>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rPr>
          <w:color w:val="auto"/>
          <w:highlight w:val="none"/>
        </w:r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516" w:name="_Toc465665161"/>
      <w:r>
        <w:rPr>
          <w:rFonts w:hint="eastAsia" w:cs="宋体" w:asciiTheme="minorEastAsia" w:hAnsiTheme="minorEastAsia"/>
          <w:b/>
          <w:bCs/>
          <w:color w:val="auto"/>
          <w:kern w:val="44"/>
          <w:sz w:val="44"/>
          <w:szCs w:val="44"/>
          <w:highlight w:val="none"/>
        </w:rPr>
        <w:t>附件</w:t>
      </w:r>
      <w:bookmarkEnd w:id="516"/>
    </w:p>
    <w:p>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cols w:space="425" w:num="1"/>
          <w:docGrid w:type="lines" w:linePitch="312" w:charSpace="0"/>
        </w:sectPr>
      </w:pPr>
    </w:p>
    <w:p>
      <w:pPr>
        <w:pStyle w:val="13"/>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附件2：</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rPr>
        <w:t>2024年临江公司E+H仪控备件采购项目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eastAsia="zh-CN"/>
        </w:rPr>
        <w:t xml:space="preserve">ZHJXJ202403018 </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rPr>
        <w:t xml:space="preserve">2024年临江公司E+H仪控备件采购项目【项目编号： </w:t>
      </w:r>
      <w:r>
        <w:rPr>
          <w:rFonts w:hint="eastAsia" w:cs="仿宋" w:asciiTheme="minorEastAsia" w:hAnsiTheme="minorEastAsia"/>
          <w:color w:val="auto"/>
          <w:sz w:val="24"/>
          <w:highlight w:val="none"/>
          <w:u w:val="single"/>
          <w:lang w:eastAsia="zh-CN"/>
        </w:rPr>
        <w:t xml:space="preserve">ZHJXJ202403018 </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7"/>
        <w:rPr>
          <w:color w:val="auto"/>
          <w:highlight w:val="none"/>
        </w:rPr>
      </w:pPr>
    </w:p>
    <w:p>
      <w:pPr>
        <w:pStyle w:val="8"/>
        <w:rPr>
          <w:color w:val="auto"/>
          <w:highlight w:val="none"/>
        </w:rPr>
      </w:pPr>
    </w:p>
    <w:p>
      <w:pPr>
        <w:pStyle w:val="14"/>
        <w:rPr>
          <w:color w:val="auto"/>
          <w:highlight w:val="none"/>
        </w:rPr>
      </w:pPr>
    </w:p>
    <w:p>
      <w:pPr>
        <w:rPr>
          <w:color w:val="auto"/>
          <w:highlight w:val="none"/>
        </w:rPr>
      </w:pPr>
    </w:p>
    <w:p>
      <w:pPr>
        <w:pStyle w:val="10"/>
        <w:spacing w:before="100" w:beforeAutospacing="1" w:after="100" w:afterAutospacing="1" w:line="360" w:lineRule="auto"/>
        <w:rPr>
          <w:rFonts w:hAnsi="宋体" w:cs="宋体"/>
          <w:b/>
          <w:color w:val="auto"/>
          <w:sz w:val="32"/>
          <w:szCs w:val="32"/>
          <w:highlight w:val="none"/>
        </w:rPr>
      </w:pPr>
      <w:r>
        <w:rPr>
          <w:rFonts w:hint="eastAsia" w:hAnsi="宋体" w:cs="宋体"/>
          <w:b/>
          <w:color w:val="auto"/>
          <w:sz w:val="32"/>
          <w:szCs w:val="32"/>
          <w:highlight w:val="none"/>
        </w:rPr>
        <w:t>附件4           退还询价保证金申请书</w:t>
      </w: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杭州临江环境能源有限公司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2024年临江公司E+H仪控备件采购项目【项目编号： </w:t>
      </w:r>
      <w:r>
        <w:rPr>
          <w:rFonts w:hint="eastAsia" w:ascii="宋体" w:hAnsi="宋体" w:cs="宋体"/>
          <w:color w:val="auto"/>
          <w:sz w:val="24"/>
          <w:highlight w:val="none"/>
          <w:u w:val="single"/>
          <w:lang w:eastAsia="zh-CN"/>
        </w:rPr>
        <w:t xml:space="preserve">ZHJXJ202403018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的报价，现申请退还该笔响应保证金，本申请书也作为收款凭证。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6717"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highlight w:val="none"/>
              </w:rPr>
            </w:pPr>
          </w:p>
        </w:tc>
        <w:tc>
          <w:tcPr>
            <w:tcW w:w="408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60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1026" w:type="dxa"/>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highlight w:val="none"/>
              </w:rPr>
            </w:pPr>
          </w:p>
        </w:tc>
        <w:tc>
          <w:tcPr>
            <w:tcW w:w="4084"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607"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1026" w:type="dxa"/>
            <w:vAlign w:val="center"/>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highlight w:val="none"/>
              </w:rPr>
            </w:pPr>
          </w:p>
        </w:tc>
        <w:tc>
          <w:tcPr>
            <w:tcW w:w="6717"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响应保证金金额（大写）：人民币</w:t>
            </w:r>
            <w:r>
              <w:rPr>
                <w:rFonts w:hint="eastAsia" w:ascii="宋体" w:hAnsi="宋体" w:cs="宋体"/>
                <w:color w:val="auto"/>
                <w:sz w:val="24"/>
                <w:highlight w:val="none"/>
                <w:lang w:val="en-US" w:eastAsia="zh-CN"/>
              </w:rPr>
              <w:t>壹万伍仟元整</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（小写）：RMB  </w:t>
            </w:r>
            <w:r>
              <w:rPr>
                <w:rFonts w:hint="eastAsia" w:ascii="宋体" w:hAnsi="宋体" w:cs="宋体"/>
                <w:color w:val="auto"/>
                <w:sz w:val="24"/>
                <w:highlight w:val="none"/>
                <w:lang w:val="en-US" w:eastAsia="zh-CN"/>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highlight w:val="none"/>
              </w:rPr>
            </w:pPr>
          </w:p>
        </w:tc>
        <w:tc>
          <w:tcPr>
            <w:tcW w:w="6717"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响应保证金提交形式：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6717"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highlight w:val="none"/>
              </w:rPr>
            </w:pPr>
          </w:p>
        </w:tc>
        <w:tc>
          <w:tcPr>
            <w:tcW w:w="6717"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bookmarkStart w:id="517" w:name="_GoBack"/>
            <w:bookmarkEnd w:id="5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highlight w:val="none"/>
              </w:rPr>
            </w:pPr>
          </w:p>
        </w:tc>
        <w:tc>
          <w:tcPr>
            <w:tcW w:w="6717" w:type="dxa"/>
            <w:gridSpan w:val="3"/>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pPr>
        <w:pStyle w:val="7"/>
        <w:rPr>
          <w:rFonts w:hAnsi="宋体" w:cs="宋体"/>
          <w:color w:val="auto"/>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2024年临江公司E+H仪控备件采购 </w:t>
      </w:r>
      <w:r>
        <w:rPr>
          <w:rFonts w:hint="eastAsia" w:ascii="宋体" w:hAnsi="宋体" w:cs="宋体"/>
          <w:color w:val="auto"/>
          <w:sz w:val="24"/>
          <w:highlight w:val="none"/>
        </w:rPr>
        <w:t>项目（采购编号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ZHJXJ202403018</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）的询价保证金。金额为：大写（人民币：</w:t>
      </w:r>
      <w:r>
        <w:rPr>
          <w:rFonts w:hint="eastAsia" w:ascii="宋体" w:hAnsi="宋体" w:cs="宋体"/>
          <w:color w:val="auto"/>
          <w:sz w:val="24"/>
          <w:highlight w:val="none"/>
          <w:lang w:val="en-US" w:eastAsia="zh-CN"/>
        </w:rPr>
        <w:t>壹万伍仟元整</w:t>
      </w:r>
      <w:r>
        <w:rPr>
          <w:rFonts w:hint="eastAsia" w:ascii="宋体" w:hAnsi="宋体" w:cs="宋体"/>
          <w:color w:val="auto"/>
          <w:sz w:val="24"/>
          <w:highlight w:val="none"/>
        </w:rPr>
        <w:t xml:space="preserve">  ），小写（RMB  </w:t>
      </w:r>
      <w:r>
        <w:rPr>
          <w:rFonts w:hint="eastAsia" w:ascii="宋体" w:hAnsi="宋体" w:cs="宋体"/>
          <w:color w:val="auto"/>
          <w:sz w:val="24"/>
          <w:highlight w:val="none"/>
          <w:lang w:val="en-US" w:eastAsia="zh-CN"/>
        </w:rPr>
        <w:t>15000.00</w:t>
      </w:r>
      <w:r>
        <w:rPr>
          <w:rFonts w:hint="eastAsia" w:ascii="宋体" w:hAnsi="宋体" w:cs="宋体"/>
          <w:color w:val="auto"/>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pPr>
        <w:pStyle w:val="10"/>
        <w:rPr>
          <w:rFonts w:hAnsi="宋体" w:eastAsia="宋体" w:cs="宋体"/>
          <w:color w:val="auto"/>
          <w:spacing w:val="10"/>
          <w:highlight w:val="none"/>
        </w:rPr>
      </w:pPr>
      <w:r>
        <w:rPr>
          <w:rFonts w:hint="eastAsia" w:hAnsi="宋体" w:cs="宋体"/>
          <w:b/>
          <w:bCs/>
          <w:color w:val="auto"/>
          <w:sz w:val="24"/>
          <w:highlight w:val="none"/>
        </w:rPr>
        <w:t>备注：退还询价保证金申请书可以当日同报价文件一起带到开启现场并交给采购人，并收据生效之日为采购人退还响应保证金之日。</w:t>
      </w:r>
    </w:p>
    <w:p>
      <w:pPr>
        <w:pStyle w:val="2"/>
        <w:rPr>
          <w:color w:val="auto"/>
          <w:highlight w:val="none"/>
        </w:rPr>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hideGrammaticalError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EzNDY1MmJmMTI5NzI2YjgyY2Y1ZjY2ZDI0N2YifQ=="/>
  </w:docVars>
  <w:rsids>
    <w:rsidRoot w:val="004E73AF"/>
    <w:rsid w:val="001770A2"/>
    <w:rsid w:val="00211F61"/>
    <w:rsid w:val="00466F38"/>
    <w:rsid w:val="004E73AF"/>
    <w:rsid w:val="00505519"/>
    <w:rsid w:val="007B0825"/>
    <w:rsid w:val="00816543"/>
    <w:rsid w:val="00935EC2"/>
    <w:rsid w:val="00AD5386"/>
    <w:rsid w:val="00C3645A"/>
    <w:rsid w:val="00D00625"/>
    <w:rsid w:val="00E81C9E"/>
    <w:rsid w:val="00F63534"/>
    <w:rsid w:val="00FC1E89"/>
    <w:rsid w:val="013853AC"/>
    <w:rsid w:val="017E0CD4"/>
    <w:rsid w:val="023E1286"/>
    <w:rsid w:val="030669ED"/>
    <w:rsid w:val="032B7E17"/>
    <w:rsid w:val="034B5FC8"/>
    <w:rsid w:val="04E634F4"/>
    <w:rsid w:val="053242B0"/>
    <w:rsid w:val="05B622F4"/>
    <w:rsid w:val="067A4160"/>
    <w:rsid w:val="06803F38"/>
    <w:rsid w:val="06897EFF"/>
    <w:rsid w:val="07013F3A"/>
    <w:rsid w:val="078B333A"/>
    <w:rsid w:val="07C24B12"/>
    <w:rsid w:val="07D15ABF"/>
    <w:rsid w:val="08494B4C"/>
    <w:rsid w:val="087E795F"/>
    <w:rsid w:val="094F63E6"/>
    <w:rsid w:val="09EC7123"/>
    <w:rsid w:val="09ED56C9"/>
    <w:rsid w:val="0B530D41"/>
    <w:rsid w:val="0BF7590B"/>
    <w:rsid w:val="0BFE313E"/>
    <w:rsid w:val="0C492847"/>
    <w:rsid w:val="0CF31D21"/>
    <w:rsid w:val="0D89320B"/>
    <w:rsid w:val="0D8B0B2E"/>
    <w:rsid w:val="0F111837"/>
    <w:rsid w:val="0F2F6501"/>
    <w:rsid w:val="0F81598B"/>
    <w:rsid w:val="0FB91E94"/>
    <w:rsid w:val="0FE663C2"/>
    <w:rsid w:val="11B04EDA"/>
    <w:rsid w:val="11C46A46"/>
    <w:rsid w:val="12E110C3"/>
    <w:rsid w:val="143E2438"/>
    <w:rsid w:val="15CB2DA0"/>
    <w:rsid w:val="16135A37"/>
    <w:rsid w:val="166F3635"/>
    <w:rsid w:val="167F4E7B"/>
    <w:rsid w:val="16806E74"/>
    <w:rsid w:val="17AF353E"/>
    <w:rsid w:val="185870FA"/>
    <w:rsid w:val="185A544F"/>
    <w:rsid w:val="18890233"/>
    <w:rsid w:val="190D49C0"/>
    <w:rsid w:val="198737C7"/>
    <w:rsid w:val="19976A31"/>
    <w:rsid w:val="19DC6BDA"/>
    <w:rsid w:val="1AA56FDE"/>
    <w:rsid w:val="1B1B25BA"/>
    <w:rsid w:val="1B7913A6"/>
    <w:rsid w:val="1B86423A"/>
    <w:rsid w:val="1D61352C"/>
    <w:rsid w:val="1D882867"/>
    <w:rsid w:val="1DFA0457"/>
    <w:rsid w:val="1E5F5CBE"/>
    <w:rsid w:val="1E8307F5"/>
    <w:rsid w:val="1F457921"/>
    <w:rsid w:val="20D12777"/>
    <w:rsid w:val="20FB672E"/>
    <w:rsid w:val="213339C4"/>
    <w:rsid w:val="21677697"/>
    <w:rsid w:val="216830DB"/>
    <w:rsid w:val="228D26CE"/>
    <w:rsid w:val="22916FA5"/>
    <w:rsid w:val="23C64579"/>
    <w:rsid w:val="247C6E9E"/>
    <w:rsid w:val="25650E5F"/>
    <w:rsid w:val="26010880"/>
    <w:rsid w:val="26434D4B"/>
    <w:rsid w:val="26F15921"/>
    <w:rsid w:val="28D92620"/>
    <w:rsid w:val="294E0F60"/>
    <w:rsid w:val="2987716A"/>
    <w:rsid w:val="29AE18A7"/>
    <w:rsid w:val="2A6366FF"/>
    <w:rsid w:val="2B3D5BF4"/>
    <w:rsid w:val="2C4141D8"/>
    <w:rsid w:val="2C950AFD"/>
    <w:rsid w:val="2D210C4A"/>
    <w:rsid w:val="2E5E07DC"/>
    <w:rsid w:val="2F4D3609"/>
    <w:rsid w:val="2F5836E9"/>
    <w:rsid w:val="30062480"/>
    <w:rsid w:val="300B2CBB"/>
    <w:rsid w:val="30556F21"/>
    <w:rsid w:val="308C5F1F"/>
    <w:rsid w:val="31111553"/>
    <w:rsid w:val="314B6E80"/>
    <w:rsid w:val="31CA7F73"/>
    <w:rsid w:val="32843E96"/>
    <w:rsid w:val="32C901CA"/>
    <w:rsid w:val="32EC2577"/>
    <w:rsid w:val="337113A8"/>
    <w:rsid w:val="34454474"/>
    <w:rsid w:val="34AF40BC"/>
    <w:rsid w:val="36162BCB"/>
    <w:rsid w:val="364530C9"/>
    <w:rsid w:val="36A71B58"/>
    <w:rsid w:val="37103BA1"/>
    <w:rsid w:val="37514AF4"/>
    <w:rsid w:val="377C0298"/>
    <w:rsid w:val="37B04D36"/>
    <w:rsid w:val="393D49F6"/>
    <w:rsid w:val="39C31C6C"/>
    <w:rsid w:val="3A6303AE"/>
    <w:rsid w:val="3A993EAE"/>
    <w:rsid w:val="3AB61186"/>
    <w:rsid w:val="3B073BC8"/>
    <w:rsid w:val="3C283344"/>
    <w:rsid w:val="3C485F9D"/>
    <w:rsid w:val="3C7C70D7"/>
    <w:rsid w:val="3C940DD1"/>
    <w:rsid w:val="3E0C6463"/>
    <w:rsid w:val="3E6B3DB3"/>
    <w:rsid w:val="3EE43BF5"/>
    <w:rsid w:val="403E57B7"/>
    <w:rsid w:val="40625AF1"/>
    <w:rsid w:val="411A0F39"/>
    <w:rsid w:val="415A5C88"/>
    <w:rsid w:val="41CE08E1"/>
    <w:rsid w:val="420641FD"/>
    <w:rsid w:val="42112513"/>
    <w:rsid w:val="4323451C"/>
    <w:rsid w:val="433C7ACC"/>
    <w:rsid w:val="433D3663"/>
    <w:rsid w:val="435518AD"/>
    <w:rsid w:val="43C04259"/>
    <w:rsid w:val="44A040E0"/>
    <w:rsid w:val="44C67F95"/>
    <w:rsid w:val="4557347D"/>
    <w:rsid w:val="4559568A"/>
    <w:rsid w:val="45837C34"/>
    <w:rsid w:val="45A47533"/>
    <w:rsid w:val="46BC402D"/>
    <w:rsid w:val="472961BF"/>
    <w:rsid w:val="475528CD"/>
    <w:rsid w:val="47B265AF"/>
    <w:rsid w:val="4916491B"/>
    <w:rsid w:val="496717C4"/>
    <w:rsid w:val="4A063A4F"/>
    <w:rsid w:val="4A875AD1"/>
    <w:rsid w:val="4AE27CAC"/>
    <w:rsid w:val="4B1B2ECF"/>
    <w:rsid w:val="4B2E6F39"/>
    <w:rsid w:val="4B6E282F"/>
    <w:rsid w:val="4BAC48C9"/>
    <w:rsid w:val="4BB27DC6"/>
    <w:rsid w:val="4CEA2347"/>
    <w:rsid w:val="4D19039B"/>
    <w:rsid w:val="4D243428"/>
    <w:rsid w:val="4D2A411E"/>
    <w:rsid w:val="4D2D7FC0"/>
    <w:rsid w:val="4E1E04FA"/>
    <w:rsid w:val="4EFA25EF"/>
    <w:rsid w:val="4F2558B8"/>
    <w:rsid w:val="4F2C043D"/>
    <w:rsid w:val="4F8E0035"/>
    <w:rsid w:val="4F9246A8"/>
    <w:rsid w:val="4FC275AB"/>
    <w:rsid w:val="4FEB08B0"/>
    <w:rsid w:val="50A13664"/>
    <w:rsid w:val="515124CE"/>
    <w:rsid w:val="51937E4D"/>
    <w:rsid w:val="52383592"/>
    <w:rsid w:val="523875F5"/>
    <w:rsid w:val="52506204"/>
    <w:rsid w:val="53FA1DF3"/>
    <w:rsid w:val="543F566E"/>
    <w:rsid w:val="54AB2D04"/>
    <w:rsid w:val="557B35BC"/>
    <w:rsid w:val="565C1CF5"/>
    <w:rsid w:val="56E235EF"/>
    <w:rsid w:val="571F3A0C"/>
    <w:rsid w:val="578E7058"/>
    <w:rsid w:val="57DC32D5"/>
    <w:rsid w:val="57E45627"/>
    <w:rsid w:val="57F2034A"/>
    <w:rsid w:val="58207565"/>
    <w:rsid w:val="58235318"/>
    <w:rsid w:val="59121C77"/>
    <w:rsid w:val="59DE0E09"/>
    <w:rsid w:val="59DF6851"/>
    <w:rsid w:val="5A0E59EF"/>
    <w:rsid w:val="5A283DD0"/>
    <w:rsid w:val="5ACD76EE"/>
    <w:rsid w:val="5AD36B10"/>
    <w:rsid w:val="5B366E46"/>
    <w:rsid w:val="5B3D7F5F"/>
    <w:rsid w:val="5B460326"/>
    <w:rsid w:val="5C0D4CE2"/>
    <w:rsid w:val="5C9A592C"/>
    <w:rsid w:val="5F0279C4"/>
    <w:rsid w:val="5F944466"/>
    <w:rsid w:val="60844C26"/>
    <w:rsid w:val="60A9029A"/>
    <w:rsid w:val="60FA16F8"/>
    <w:rsid w:val="6139287F"/>
    <w:rsid w:val="62C642C8"/>
    <w:rsid w:val="631B2246"/>
    <w:rsid w:val="63CF15A0"/>
    <w:rsid w:val="64760C38"/>
    <w:rsid w:val="65A92947"/>
    <w:rsid w:val="661A50B7"/>
    <w:rsid w:val="66F30BCE"/>
    <w:rsid w:val="673C0170"/>
    <w:rsid w:val="673E5F91"/>
    <w:rsid w:val="67486190"/>
    <w:rsid w:val="67D6317A"/>
    <w:rsid w:val="67D649B5"/>
    <w:rsid w:val="68ED6365"/>
    <w:rsid w:val="690F51B7"/>
    <w:rsid w:val="6A4E3ABD"/>
    <w:rsid w:val="6AE63D7E"/>
    <w:rsid w:val="6B1765A5"/>
    <w:rsid w:val="6B301415"/>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4173DA2"/>
    <w:rsid w:val="767E5B01"/>
    <w:rsid w:val="76AC68DB"/>
    <w:rsid w:val="778F44F9"/>
    <w:rsid w:val="77F2017E"/>
    <w:rsid w:val="786D1EFA"/>
    <w:rsid w:val="78D6184E"/>
    <w:rsid w:val="79017606"/>
    <w:rsid w:val="79D7762B"/>
    <w:rsid w:val="79EB254B"/>
    <w:rsid w:val="7BA82ABD"/>
    <w:rsid w:val="7C5C650E"/>
    <w:rsid w:val="7C757EAB"/>
    <w:rsid w:val="7D0A41BC"/>
    <w:rsid w:val="7D0A4B32"/>
    <w:rsid w:val="7D797C2B"/>
    <w:rsid w:val="7DAC6A56"/>
    <w:rsid w:val="7E381ACE"/>
    <w:rsid w:val="7EF742CC"/>
    <w:rsid w:val="7FC874FF"/>
    <w:rsid w:val="7FD8778E"/>
    <w:rsid w:val="FEFF5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101"/>
    <w:basedOn w:val="17"/>
    <w:autoRedefine/>
    <w:qFormat/>
    <w:uiPriority w:val="0"/>
    <w:rPr>
      <w:rFonts w:hint="eastAsia" w:ascii="宋体" w:hAnsi="宋体" w:eastAsia="宋体" w:cs="宋体"/>
      <w:color w:val="FF0000"/>
      <w:sz w:val="20"/>
      <w:szCs w:val="20"/>
      <w:u w:val="none"/>
    </w:rPr>
  </w:style>
  <w:style w:type="character" w:customStyle="1" w:styleId="34">
    <w:name w:val="font71"/>
    <w:basedOn w:val="17"/>
    <w:autoRedefine/>
    <w:qFormat/>
    <w:uiPriority w:val="0"/>
    <w:rPr>
      <w:rFonts w:hint="eastAsia" w:ascii="宋体" w:hAnsi="宋体" w:eastAsia="宋体" w:cs="宋体"/>
      <w:color w:val="000000"/>
      <w:sz w:val="20"/>
      <w:szCs w:val="20"/>
      <w:u w:val="none"/>
    </w:rPr>
  </w:style>
  <w:style w:type="character" w:customStyle="1" w:styleId="35">
    <w:name w:val="font91"/>
    <w:basedOn w:val="17"/>
    <w:autoRedefine/>
    <w:qFormat/>
    <w:uiPriority w:val="0"/>
    <w:rPr>
      <w:rFonts w:hint="eastAsia" w:ascii="宋体" w:hAnsi="宋体" w:eastAsia="宋体" w:cs="宋体"/>
      <w:color w:val="FF0000"/>
      <w:sz w:val="20"/>
      <w:szCs w:val="20"/>
      <w:u w:val="none"/>
    </w:rPr>
  </w:style>
  <w:style w:type="character" w:customStyle="1" w:styleId="36">
    <w:name w:val="font61"/>
    <w:basedOn w:val="1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5269</Words>
  <Characters>30037</Characters>
  <Lines>250</Lines>
  <Paragraphs>70</Paragraphs>
  <TotalTime>0</TotalTime>
  <ScaleCrop>false</ScaleCrop>
  <LinksUpToDate>false</LinksUpToDate>
  <CharactersWithSpaces>35236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2024-03-01T15:35:00Z</dcterms:created>
  <dc:creator>Administrator</dc:creator>
  <cp:lastModifiedBy>WPS_1646251015</cp:lastModifiedBy>
  <dcterms:modified xsi:type="dcterms:W3CDTF">2024-03-19T01:03:53Z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84A4714C30764EB0859368879CA3AF87_13</vt:lpwstr>
  </property>
</Properties>
</file>