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2024年临江公司机械非标件委外加工服务采购项目（重新询价）</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202404017</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23</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2024年临江公司机械非标件委外加工服务采购项目（重新询价）</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202404017</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2024年临江公司机械非标件委外加工服务采购项目（重新询价）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 xml:space="preserve"> 29.77万元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供应商</w:t>
      </w:r>
      <w:r>
        <w:rPr>
          <w:rFonts w:hint="eastAsia" w:hAnsi="宋体" w:cs="宋体"/>
          <w:bCs/>
          <w:color w:val="auto"/>
          <w:sz w:val="24"/>
        </w:rPr>
        <w:t>根据</w:t>
      </w:r>
      <w:r>
        <w:rPr>
          <w:rFonts w:hint="eastAsia" w:hAnsi="宋体" w:cs="宋体"/>
          <w:bCs/>
          <w:color w:val="auto"/>
          <w:sz w:val="24"/>
          <w:lang w:val="en-US" w:eastAsia="zh-CN"/>
        </w:rPr>
        <w:t>采购人</w:t>
      </w:r>
      <w:r>
        <w:rPr>
          <w:rFonts w:hint="eastAsia" w:hAnsi="宋体" w:cs="宋体"/>
          <w:bCs/>
          <w:color w:val="auto"/>
          <w:sz w:val="24"/>
        </w:rPr>
        <w:t>提供的相关技术资料、图纸、工艺要求、样品等资料进行</w:t>
      </w:r>
      <w:r>
        <w:rPr>
          <w:rFonts w:hint="eastAsia" w:hAnsi="宋体" w:cs="宋体"/>
          <w:bCs/>
          <w:color w:val="auto"/>
          <w:sz w:val="24"/>
          <w:lang w:val="en-US" w:eastAsia="zh-CN"/>
        </w:rPr>
        <w:t>机械</w:t>
      </w:r>
      <w:r>
        <w:rPr>
          <w:rFonts w:hint="eastAsia" w:hAnsi="宋体" w:cs="宋体"/>
          <w:bCs/>
          <w:color w:val="auto"/>
          <w:sz w:val="24"/>
        </w:rPr>
        <w:t>加工</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28359080"/>
      <w:bookmarkStart w:id="8" w:name="_Toc35393622"/>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81"/>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w:t>
      </w:r>
      <w:r>
        <w:rPr>
          <w:rFonts w:hint="eastAsia" w:cs="仿宋" w:asciiTheme="minorEastAsia" w:hAnsiTheme="minorEastAsia"/>
          <w:bCs/>
          <w:color w:val="auto"/>
          <w:sz w:val="24"/>
          <w:lang w:val="en-US" w:eastAsia="zh-CN"/>
        </w:rPr>
        <w:t>或个体工商户</w:t>
      </w:r>
      <w:r>
        <w:rPr>
          <w:rFonts w:hint="eastAsia" w:cs="仿宋" w:asciiTheme="minorEastAsia" w:hAnsiTheme="minorEastAsia"/>
          <w:bCs/>
          <w:color w:val="auto"/>
          <w:sz w:val="24"/>
        </w:rPr>
        <w:t>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供应商必须有自</w:t>
      </w:r>
      <w:r>
        <w:rPr>
          <w:rFonts w:hint="eastAsia" w:cs="仿宋" w:asciiTheme="minorEastAsia" w:hAnsiTheme="minorEastAsia"/>
          <w:bCs/>
          <w:color w:val="auto"/>
          <w:sz w:val="24"/>
          <w:u w:val="single"/>
          <w:lang w:val="en-US" w:eastAsia="zh-CN"/>
        </w:rPr>
        <w:t>2021</w:t>
      </w:r>
      <w:r>
        <w:rPr>
          <w:rFonts w:hint="eastAsia" w:cs="仿宋" w:asciiTheme="minorEastAsia" w:hAnsiTheme="minorEastAsia"/>
          <w:bCs/>
          <w:color w:val="auto"/>
          <w:sz w:val="24"/>
          <w:u w:val="single"/>
        </w:rPr>
        <w:t>年1月1日起不少于</w:t>
      </w:r>
      <w:r>
        <w:rPr>
          <w:rFonts w:hint="default" w:cs="仿宋" w:asciiTheme="minorEastAsia" w:hAnsiTheme="minorEastAsia"/>
          <w:b/>
          <w:bCs w:val="0"/>
          <w:color w:val="auto"/>
          <w:sz w:val="24"/>
          <w:u w:val="single"/>
          <w:lang w:val="en-US" w:eastAsia="zh-CN"/>
        </w:rPr>
        <w:t>1</w:t>
      </w:r>
      <w:r>
        <w:rPr>
          <w:rFonts w:hint="eastAsia" w:cs="仿宋" w:asciiTheme="minorEastAsia" w:hAnsiTheme="minorEastAsia"/>
          <w:bCs/>
          <w:color w:val="auto"/>
          <w:sz w:val="24"/>
          <w:u w:val="single"/>
        </w:rPr>
        <w:t>个</w:t>
      </w:r>
      <w:r>
        <w:rPr>
          <w:rFonts w:hint="eastAsia" w:cs="仿宋" w:asciiTheme="minorEastAsia" w:hAnsiTheme="minorEastAsia"/>
          <w:bCs/>
          <w:color w:val="auto"/>
          <w:sz w:val="24"/>
          <w:u w:val="single"/>
          <w:lang w:val="en-US" w:eastAsia="zh-CN"/>
        </w:rPr>
        <w:t>与非标件机械加工的业绩</w:t>
      </w:r>
      <w:r>
        <w:rPr>
          <w:rFonts w:hint="eastAsia" w:cs="仿宋" w:asciiTheme="minorEastAsia" w:hAnsiTheme="minorEastAsia"/>
          <w:bCs/>
          <w:sz w:val="24"/>
          <w:u w:val="single"/>
        </w:rPr>
        <w:t>（同时提供合同复印件和与合同相对应的正规合法发票复印件作为业绩证明材料，缺少其中任何一个均视为业绩证明材料不符合要求）。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 xml:space="preserve">4 </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29</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29</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 xml:space="preserve">点 </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 4月23</w:t>
      </w:r>
      <w:bookmarkStart w:id="504" w:name="_GoBack"/>
      <w:bookmarkEnd w:id="504"/>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5800</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w:t>
            </w:r>
            <w:r>
              <w:rPr>
                <w:rFonts w:hint="eastAsia" w:ascii="宋体" w:hAnsi="宋体" w:eastAsia="宋体" w:cs="宋体"/>
                <w:color w:val="auto"/>
                <w:sz w:val="21"/>
                <w:szCs w:val="21"/>
                <w:lang w:val="en-US" w:eastAsia="zh-CN"/>
              </w:rPr>
              <w:t>指定账户</w:t>
            </w:r>
            <w:r>
              <w:rPr>
                <w:rFonts w:hint="eastAsia" w:ascii="宋体" w:hAnsi="宋体" w:eastAsia="宋体" w:cs="宋体"/>
                <w:color w:val="auto"/>
                <w:sz w:val="21"/>
                <w:szCs w:val="21"/>
              </w:rPr>
              <w:t>。同时将银行缴款凭证复印件作为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eastAsia" w:ascii="宋体" w:hAnsi="宋体" w:eastAsia="宋体" w:cs="宋体"/>
                <w:color w:val="auto"/>
                <w:sz w:val="21"/>
                <w:szCs w:val="21"/>
                <w:u w:val="single"/>
                <w:lang w:val="en-US" w:eastAsia="zh-CN"/>
              </w:rPr>
              <w:t>2024年临江公司机械非标件委外加工服务采购项目（重新询价）</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color w:val="auto"/>
          <w:lang w:val="en-US" w:eastAsia="zh-CN"/>
        </w:rPr>
      </w:pPr>
      <w:r>
        <w:rPr>
          <w:rFonts w:hint="eastAsia"/>
          <w:color w:val="auto"/>
          <w:lang w:val="en-US" w:eastAsia="zh-CN"/>
        </w:rPr>
        <w:t>供应商根据采购人提供的相关技术资料、图纸、工艺要求、样品等资料进行机械加工。清单暂定如下：</w:t>
      </w:r>
    </w:p>
    <w:tbl>
      <w:tblPr>
        <w:tblStyle w:val="15"/>
        <w:tblW w:w="8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666"/>
        <w:gridCol w:w="1509"/>
        <w:gridCol w:w="1238"/>
        <w:gridCol w:w="893"/>
        <w:gridCol w:w="1000"/>
        <w:gridCol w:w="8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三固需求</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bl>
    <w:p>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default"/>
          <w:color w:val="auto"/>
          <w:lang w:val="en-US" w:eastAsia="zh-CN"/>
        </w:rPr>
      </w:pPr>
      <w:r>
        <w:rPr>
          <w:rFonts w:hint="eastAsia"/>
          <w:b/>
          <w:bCs/>
          <w:color w:val="auto"/>
          <w:lang w:val="en-US" w:eastAsia="zh-CN"/>
        </w:rPr>
        <w:t>二、合同期限：</w:t>
      </w:r>
      <w:r>
        <w:rPr>
          <w:rFonts w:hint="eastAsia"/>
          <w:color w:val="auto"/>
          <w:lang w:val="en-US" w:eastAsia="zh-CN"/>
        </w:rPr>
        <w:t>自合同签订后12个月。</w:t>
      </w:r>
    </w:p>
    <w:p>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eastAsia"/>
          <w:b/>
          <w:bCs/>
          <w:color w:val="auto"/>
          <w:lang w:val="en-US" w:eastAsia="zh-CN"/>
        </w:rPr>
      </w:pPr>
      <w:r>
        <w:rPr>
          <w:rFonts w:hint="eastAsia"/>
          <w:b/>
          <w:bCs/>
          <w:color w:val="auto"/>
          <w:lang w:val="en-US" w:eastAsia="zh-CN"/>
        </w:rPr>
        <w:t>三、技术要求</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19" w:name="_Toc23900"/>
      <w:r>
        <w:rPr>
          <w:rFonts w:hint="eastAsia" w:ascii="宋体" w:hAnsi="宋体" w:cs="3"/>
          <w:b/>
          <w:bCs/>
          <w:kern w:val="0"/>
          <w:sz w:val="24"/>
          <w:szCs w:val="24"/>
          <w:lang w:val="en-US" w:eastAsia="zh-CN"/>
        </w:rPr>
        <w:t>（一）加工原则</w:t>
      </w:r>
      <w:bookmarkEnd w:id="19"/>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1.“基准先行”原则：基准表面先加工，为后续工序做可靠的定位。如轴类零件第—道工序一般为铣端面钻中心孔，然后以中心孔定位加工其他表面。</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先面后孔”原则：当零件上有较大的平面可以用来作为定位基准时，总是先加工平面，再以平面定位加工孔，保证孔和平面之间的位置精度，这样定位比较稳定，装夹也方便，并可避免粗糙面钻孔引起的偏斜。</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3.“先主后次”原则：先加工主要表面（位置精度要求较高的基准面和工作表面）后加工次要表面（如键槽、螺孔、紧固小孔等）。次要表面一般在主要表面达到一定精度后，最终精加工之前。</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4.“先粗后精”原则：对于精度要求较高的零件，按由粗到精的顺序依次进行，逐步提高加工精度。这一点对于刚性较差的零件，尤其不能忽视。</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20" w:name="_Toc28324"/>
      <w:r>
        <w:rPr>
          <w:rFonts w:hint="eastAsia" w:ascii="宋体" w:hAnsi="宋体" w:cs="3"/>
          <w:b/>
          <w:bCs/>
          <w:kern w:val="0"/>
          <w:sz w:val="24"/>
          <w:szCs w:val="24"/>
          <w:lang w:val="en-US" w:eastAsia="zh-CN"/>
        </w:rPr>
        <w:t>（二）一般要求</w:t>
      </w:r>
      <w:bookmarkEnd w:id="20"/>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1.机械加工件的切削加工必须符合产品图样，工艺规程和本标准规定。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2.机械加工件的已加工表面，不得有锈蚀及影响性能，寿命和外观的磕碰、划伤等缺陷。</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3.除了特殊要求外，加工后的零部件不得有尖锐的棱角和毛刺。</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 精加工后的配合面，摩擦面和定位面等工作表面，不得打有损于表面质量的印记。</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5.经热处理后的零件，精加工时不得产生退火、烧伤及裂纹等现象。</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6.经加工后的零件在搬运、存放时，必须防止受到损伤、腐蚀及变形。</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1" w:name="_Toc32579"/>
      <w:r>
        <w:rPr>
          <w:rFonts w:hint="eastAsia" w:ascii="宋体" w:hAnsi="宋体" w:cs="3"/>
          <w:kern w:val="0"/>
          <w:sz w:val="24"/>
          <w:szCs w:val="24"/>
          <w:lang w:val="en-US" w:eastAsia="zh-CN"/>
        </w:rPr>
        <w:t>7.图样上未注明的倒角应符合表1的规定。</w:t>
      </w:r>
      <w:bookmarkEnd w:id="21"/>
      <w:r>
        <w:rPr>
          <w:rFonts w:hint="eastAsia" w:ascii="宋体" w:hAnsi="宋体" w:cs="3"/>
          <w:kern w:val="0"/>
          <w:sz w:val="24"/>
          <w:szCs w:val="24"/>
          <w:lang w:val="en-US" w:eastAsia="zh-CN"/>
        </w:rPr>
        <w:t xml:space="preserve">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w:t>
      </w:r>
      <w:bookmarkStart w:id="22" w:name="_Toc10484"/>
      <w:r>
        <w:rPr>
          <w:rFonts w:hint="eastAsia" w:ascii="宋体" w:hAnsi="宋体" w:cs="3"/>
          <w:kern w:val="0"/>
          <w:sz w:val="24"/>
          <w:szCs w:val="24"/>
          <w:lang w:val="en-US" w:eastAsia="zh-CN"/>
        </w:rPr>
        <w:t>表1                             mm</w:t>
      </w:r>
      <w:bookmarkEnd w:id="2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666"/>
        <w:gridCol w:w="902"/>
        <w:gridCol w:w="1083"/>
        <w:gridCol w:w="1083"/>
        <w:gridCol w:w="1263"/>
        <w:gridCol w:w="1263"/>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D(d或l)</w:t>
            </w:r>
          </w:p>
        </w:tc>
        <w:tc>
          <w:tcPr>
            <w:tcW w:w="666"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90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&gt;5～10</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&gt;30～100</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&gt;100～250</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&gt;250～500</w:t>
            </w:r>
          </w:p>
        </w:tc>
        <w:tc>
          <w:tcPr>
            <w:tcW w:w="120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666"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both"/>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20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注：非圆柱面倒角参照选用，其中l为与倒角处有关的尺寸中最小的一个尺寸。</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8.图样上未注明的倒圆尺寸，如无倾角要求时，应符合表2的规定。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表2                              mm</w:t>
      </w:r>
    </w:p>
    <w:tbl>
      <w:tblPr>
        <w:tblStyle w:val="15"/>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877"/>
        <w:gridCol w:w="1057"/>
        <w:gridCol w:w="1057"/>
        <w:gridCol w:w="1057"/>
        <w:gridCol w:w="1137"/>
        <w:gridCol w:w="125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w:t>
            </w:r>
          </w:p>
        </w:tc>
        <w:tc>
          <w:tcPr>
            <w:tcW w:w="87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&gt;4～12</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&gt;12～30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&gt;12～80</w:t>
            </w:r>
          </w:p>
        </w:tc>
        <w:tc>
          <w:tcPr>
            <w:tcW w:w="113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&gt;80～140</w:t>
            </w:r>
          </w:p>
        </w:tc>
        <w:tc>
          <w:tcPr>
            <w:tcW w:w="1255"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&gt;140～200</w:t>
            </w:r>
          </w:p>
        </w:tc>
        <w:tc>
          <w:tcPr>
            <w:tcW w:w="10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D(L)</w:t>
            </w:r>
          </w:p>
        </w:tc>
        <w:tc>
          <w:tcPr>
            <w:tcW w:w="87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3～10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&gt;30～80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&gt;80～260</w:t>
            </w:r>
          </w:p>
        </w:tc>
        <w:tc>
          <w:tcPr>
            <w:tcW w:w="113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&gt;260～630</w:t>
            </w:r>
          </w:p>
        </w:tc>
        <w:tc>
          <w:tcPr>
            <w:tcW w:w="1255"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&gt;630～1000</w:t>
            </w:r>
          </w:p>
        </w:tc>
        <w:tc>
          <w:tcPr>
            <w:tcW w:w="10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R</w:t>
            </w:r>
          </w:p>
        </w:tc>
        <w:tc>
          <w:tcPr>
            <w:tcW w:w="87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13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8</w:t>
            </w:r>
          </w:p>
        </w:tc>
        <w:tc>
          <w:tcPr>
            <w:tcW w:w="1255"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0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注1： D值用于盲孔和外端面倒圆。</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注2： 非圆柱面倒圆参照选用，其中L为与倒圆处有关的尺寸中最小的一个尺寸。</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9.图样上未注明倒角，过渡圆角的表面粗糙度，应以相连两表中Ra值较大的选取，如有一面不进行加工时，则应取加工面的Rd值。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10.在成对成组加工的零部件（如滑动轴承的上、下轴瓦，齿轮箱的上下盖等）上，应做出标记.</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（三）未注尺寸公差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1.未注公差尺寸（不包括倒角和倒圆半径）的极限偏差数值按GB/T1804-2000-m级取值。数值见表3的规定。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表3未注公差尺寸的极限偏差数值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900"/>
        <w:gridCol w:w="900"/>
        <w:gridCol w:w="900"/>
        <w:gridCol w:w="1129"/>
        <w:gridCol w:w="1211"/>
        <w:gridCol w:w="126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w:t>
            </w:r>
          </w:p>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等级</w:t>
            </w:r>
          </w:p>
        </w:tc>
        <w:tc>
          <w:tcPr>
            <w:tcW w:w="7730" w:type="dxa"/>
            <w:gridSpan w:val="7"/>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＞30～120</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＞400～1000</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90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1129"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±0.15</w:t>
            </w:r>
          </w:p>
        </w:tc>
        <w:tc>
          <w:tcPr>
            <w:tcW w:w="1211"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260"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430"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±2.5</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2.倒角尺寸和倒圆半径的极限偏差数值按GB/T1804-2000-m级取值。数值见表4的规定。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表4倒角尺寸和倒圆半径的极限偏差数值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800"/>
        <w:gridCol w:w="1688"/>
        <w:gridCol w:w="1732"/>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874" w:type="dxa"/>
            <w:gridSpan w:val="4"/>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57"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8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1688"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732"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65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80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688"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732"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654"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57"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80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800" w:type="dxa"/>
            <w:vMerge w:val="restart"/>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±0.4</w:t>
            </w:r>
          </w:p>
        </w:tc>
        <w:tc>
          <w:tcPr>
            <w:tcW w:w="1688"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732"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654"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80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bl>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eastAsiaTheme="minorEastAsia"/>
          <w:kern w:val="0"/>
          <w:sz w:val="24"/>
          <w:szCs w:val="24"/>
          <w:lang w:val="en-US" w:eastAsia="zh-CN" w:bidi="ar-SA"/>
        </w:rPr>
        <w:t>3.</w:t>
      </w:r>
      <w:r>
        <w:rPr>
          <w:rFonts w:hint="eastAsia" w:ascii="宋体" w:hAnsi="宋体" w:cs="3"/>
          <w:kern w:val="0"/>
          <w:sz w:val="24"/>
          <w:szCs w:val="24"/>
          <w:lang w:val="en-US" w:eastAsia="zh-CN"/>
        </w:rPr>
        <w:t>盲孔的钻孔深度，其允许偏差规定如下：</w:t>
      </w:r>
    </w:p>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3.1孔深不大于50mm的为0～+3mm；</w:t>
      </w:r>
    </w:p>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3.2 孔深大于50mm的为0～+5mm。</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4.凡锪平处以最低点测量，锪平深度的极限偏差为0～+5mm。</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5.一面为加工面，一面为非加工面的未注尺寸公差的极限偏差应符合下列规定：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5.1铸件、锻件及焊接件按相应的非加工未注尺寸公差的极限偏差的70%取±值。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 铸件、锻件的凸缘或壁厚允许减薄，当壁厚≤10mm时，其减薄量不得大于壁厚的20%；当壁厚&gt;10mm时，其减薄量不得大于壁厚的15%.</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（四）未注形状公差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1.直线度和平面度</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图样上未标注的直线度和平面度的公差值按GB/T1184-1996-H级取值，具体公差值见表5。</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表5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083"/>
        <w:gridCol w:w="1080"/>
        <w:gridCol w:w="1080"/>
        <w:gridCol w:w="126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7203" w:type="dxa"/>
            <w:gridSpan w:val="6"/>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083"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＞10～30</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＞30～100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083"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0.02</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0.05</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2.圆度、圆柱度的未注公差值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圆度、圆柱度的未注公差值要求见GB/T1184-1996中相关规定。</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（五）未注位置公差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1.平行度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平行度的未注公差值等于给出的尺寸公差值，或是直线度和平面度未注公差值中的相应公差值取较大者。应取两要素中较长者作为基准，若两要素的长度相等则可选取一要素为基准。</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2.垂直度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取形成直角的两边中较长的一边作为基准，较短的一边作为被测要素，若两边的长度相等则可取其中任意一边作为基准，按GB/T1184-1996-H级取值，垂直度的未注公差值见表6.</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表6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 对称度</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应取两要素中较长的一边作为基准，较短的一边作为被测要素，若两要素的长度相等则可取其中任意一要素作为基准，按GB/T1184-1996-H级取值，对称度的未注公差值见表7.</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注：对称度的未注公差值用于至少两个要素中的一个是中心平面，或两个要素的轴线相互垂直。</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表7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6220" w:type="dxa"/>
            <w:gridSpan w:val="4"/>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3060" w:type="dxa"/>
            <w:gridSpan w:val="2"/>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0.8</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1.5</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2.0</w:t>
            </w:r>
          </w:p>
        </w:tc>
      </w:tr>
    </w:tbl>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eastAsiaTheme="minorEastAsia"/>
          <w:kern w:val="0"/>
          <w:sz w:val="24"/>
          <w:szCs w:val="24"/>
          <w:lang w:val="en-US" w:eastAsia="zh-CN" w:bidi="ar-SA"/>
        </w:rPr>
        <w:t>4.</w:t>
      </w:r>
      <w:r>
        <w:rPr>
          <w:rFonts w:hint="eastAsia" w:ascii="宋体" w:hAnsi="宋体" w:cs="3"/>
          <w:kern w:val="0"/>
          <w:sz w:val="24"/>
          <w:szCs w:val="24"/>
        </w:rPr>
        <w:t>同轴度</w:t>
      </w: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宋体" w:hAnsi="宋体" w:cs="3"/>
          <w:kern w:val="0"/>
          <w:sz w:val="24"/>
          <w:szCs w:val="24"/>
        </w:rPr>
      </w:pPr>
      <w:r>
        <w:rPr>
          <w:rFonts w:hint="eastAsia" w:ascii="宋体" w:hAnsi="宋体" w:cs="3"/>
          <w:kern w:val="0"/>
          <w:sz w:val="24"/>
          <w:szCs w:val="24"/>
        </w:rPr>
        <w:t>同轴度的未注公差值未作规定。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rPr>
        <w:t xml:space="preserve"> 在几极限情况下，同轴度的未注公差值可以和表8中规定的径向圆跳动的未注公差值相等，应取两要素中较长的一边作为基准，若两要素的长度相等则可取其中任意一要素作为基准。</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lang w:val="en-US" w:eastAsia="zh-CN"/>
        </w:rPr>
        <w:t>5.</w:t>
      </w:r>
      <w:r>
        <w:rPr>
          <w:rFonts w:hint="eastAsia" w:ascii="宋体" w:hAnsi="宋体" w:cs="3"/>
          <w:kern w:val="0"/>
          <w:sz w:val="24"/>
          <w:szCs w:val="24"/>
        </w:rPr>
        <w:t>圆跳动</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对于圆跳动的未注公差值，应以设计或工艺给出的支撑面作为基准，否则应取两要素中较长的一边作为基准，若两要素的长度相等则可取其中任意一要素作为基准。按GB/T1184-1996-H级取值，圆跳动的未注公差值见表8.</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表8                            mm</w:t>
      </w:r>
    </w:p>
    <w:tbl>
      <w:tblPr>
        <w:tblStyle w:val="1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8"/>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圆跳动公差值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6.垂直要素、倾斜要素由角度公差和直线度或平面度未注公差值分别控制。</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7.圆跳动和全跳动的公差值不应大于该要素的形状和位置的未注公差的综合值。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8.任意两螺钉、螺栓孔中心距的极限偏差当图样上未注明时，按表9的规定。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表9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836"/>
        <w:gridCol w:w="1123"/>
        <w:gridCol w:w="1126"/>
        <w:gridCol w:w="1126"/>
        <w:gridCol w:w="1126"/>
        <w:gridCol w:w="1130"/>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7"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螺钉或螺栓中心距</w:t>
            </w:r>
          </w:p>
        </w:tc>
        <w:tc>
          <w:tcPr>
            <w:tcW w:w="83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123"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＞6～10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＞10～18</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＞18～30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＞30～100</w:t>
            </w:r>
          </w:p>
        </w:tc>
        <w:tc>
          <w:tcPr>
            <w:tcW w:w="113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＞100～200</w:t>
            </w:r>
          </w:p>
        </w:tc>
        <w:tc>
          <w:tcPr>
            <w:tcW w:w="118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任意两螺钉中心距极限偏差</w:t>
            </w:r>
          </w:p>
        </w:tc>
        <w:tc>
          <w:tcPr>
            <w:tcW w:w="83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±0.12</w:t>
            </w:r>
          </w:p>
        </w:tc>
        <w:tc>
          <w:tcPr>
            <w:tcW w:w="1123"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3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±1.25</w:t>
            </w:r>
          </w:p>
        </w:tc>
        <w:tc>
          <w:tcPr>
            <w:tcW w:w="118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任意两螺栓中心距极限偏差</w:t>
            </w:r>
          </w:p>
        </w:tc>
        <w:tc>
          <w:tcPr>
            <w:tcW w:w="83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3"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2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±1.00</w:t>
            </w:r>
          </w:p>
        </w:tc>
        <w:tc>
          <w:tcPr>
            <w:tcW w:w="112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c>
          <w:tcPr>
            <w:tcW w:w="1130"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±2.50</w:t>
            </w:r>
          </w:p>
        </w:tc>
        <w:tc>
          <w:tcPr>
            <w:tcW w:w="118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±3.00</w:t>
            </w:r>
          </w:p>
        </w:tc>
      </w:tr>
    </w:tbl>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（六）未注公差角度的极限偏差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角度尺寸的极限偏差数值按角度短边长度确定，对圆锥角按圆锥素线长度确定。角度尺寸的极限偏差数值按GB/T1804-2000-m级取值。角度尺寸的极限偏差数值见表10.</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表10</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300"/>
        <w:gridCol w:w="1220"/>
        <w:gridCol w:w="1260"/>
        <w:gridCol w:w="130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304" w:type="dxa"/>
            <w:gridSpan w:val="5"/>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3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＞10～50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＞50～120</w:t>
            </w:r>
          </w:p>
        </w:tc>
        <w:tc>
          <w:tcPr>
            <w:tcW w:w="13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2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30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20"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60"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300"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4"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30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220"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60"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300"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24"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3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±1°30′</w:t>
            </w:r>
          </w:p>
        </w:tc>
        <w:tc>
          <w:tcPr>
            <w:tcW w:w="12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3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2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3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3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2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七</w:t>
      </w:r>
      <w:r>
        <w:rPr>
          <w:rFonts w:hint="eastAsia" w:ascii="宋体" w:hAnsi="宋体"/>
          <w:b/>
          <w:bCs w:val="0"/>
          <w:sz w:val="24"/>
          <w:szCs w:val="24"/>
          <w:lang w:eastAsia="zh-CN"/>
        </w:rPr>
        <w:t>）</w:t>
      </w:r>
      <w:r>
        <w:rPr>
          <w:rFonts w:hint="eastAsia" w:ascii="宋体" w:hAnsi="宋体"/>
          <w:b/>
          <w:bCs w:val="0"/>
          <w:sz w:val="24"/>
          <w:szCs w:val="24"/>
        </w:rPr>
        <w:t>螺纹</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加工的螺纹表面不允许有黑皮、磕碰、乱扣和毛刺等缺陷。</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螺纹的加工精度和表面粗糙度，当图样上未注明时应按下列规定：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普通螺纹精度应按GB/T197-2003规定的6H、6g级。内螺纹表面粗糙度值为12.5µm；外螺纹表面粗糙度值为6.3µm。</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梯形螺纹精度应按GB/T5796.4-2005的规定。内螺纹表面粗糙度值为6.3µm；外螺纹表面粗糙度值为3.2µm。</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sz w:val="24"/>
          <w:szCs w:val="24"/>
          <w:lang w:val="en-US" w:eastAsia="zh-CN"/>
        </w:rPr>
        <w:t>3.</w:t>
      </w:r>
      <w:r>
        <w:rPr>
          <w:rFonts w:hint="eastAsia" w:ascii="宋体" w:hAnsi="宋体"/>
          <w:sz w:val="24"/>
          <w:szCs w:val="24"/>
        </w:rPr>
        <w:t>外螺纹轴线对杆部轴线及内螺纹轴线对孔部轴线的同轴度，分别不大于外螺纹</w:t>
      </w:r>
      <w:r>
        <w:rPr>
          <w:rFonts w:hint="eastAsia" w:ascii="宋体" w:hAnsi="宋体" w:cs="3"/>
          <w:kern w:val="0"/>
          <w:sz w:val="24"/>
          <w:szCs w:val="24"/>
          <w:lang w:val="en-US" w:eastAsia="zh-CN"/>
        </w:rPr>
        <w:t>大径及内螺纹大径的尺寸公差1/2.</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4.螺纹收尾、肩距、退刀槽和倒角应符合GB/T 3-1997的规定。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5.攻制螺孔的轴线对端面的垂直度应按表11的规定。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表11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900"/>
        <w:gridCol w:w="1003"/>
        <w:gridCol w:w="1080"/>
        <w:gridCol w:w="1080"/>
        <w:gridCol w:w="1080"/>
        <w:gridCol w:w="1139"/>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gridSpan w:val="2"/>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螺纹长度</w:t>
            </w:r>
          </w:p>
        </w:tc>
        <w:tc>
          <w:tcPr>
            <w:tcW w:w="1003"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139"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09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公差值</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手攻</w:t>
            </w:r>
          </w:p>
        </w:tc>
        <w:tc>
          <w:tcPr>
            <w:tcW w:w="1003"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0.15</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0.20</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c>
          <w:tcPr>
            <w:tcW w:w="1139"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0.30</w:t>
            </w:r>
          </w:p>
        </w:tc>
        <w:tc>
          <w:tcPr>
            <w:tcW w:w="1098"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机攻</w:t>
            </w:r>
          </w:p>
        </w:tc>
        <w:tc>
          <w:tcPr>
            <w:tcW w:w="1003"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0.08</w:t>
            </w:r>
          </w:p>
        </w:tc>
        <w:tc>
          <w:tcPr>
            <w:tcW w:w="108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0.10</w:t>
            </w:r>
          </w:p>
        </w:tc>
        <w:tc>
          <w:tcPr>
            <w:tcW w:w="108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0.15</w:t>
            </w:r>
          </w:p>
        </w:tc>
        <w:tc>
          <w:tcPr>
            <w:tcW w:w="1139"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0.20</w:t>
            </w:r>
          </w:p>
        </w:tc>
        <w:tc>
          <w:tcPr>
            <w:tcW w:w="1098"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r>
    </w:tbl>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八</w:t>
      </w:r>
      <w:r>
        <w:rPr>
          <w:rFonts w:hint="eastAsia" w:ascii="宋体" w:hAnsi="宋体"/>
          <w:b/>
          <w:bCs/>
          <w:sz w:val="24"/>
          <w:szCs w:val="24"/>
          <w:lang w:eastAsia="zh-CN"/>
        </w:rPr>
        <w:t>）</w:t>
      </w:r>
      <w:r>
        <w:rPr>
          <w:rFonts w:hint="eastAsia" w:ascii="宋体" w:hAnsi="宋体"/>
          <w:b/>
          <w:bCs/>
          <w:sz w:val="24"/>
          <w:szCs w:val="24"/>
        </w:rPr>
        <w:t xml:space="preserve">螺纹、孔的检验：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 xml:space="preserve">采用牙规、塞规检验或用螺钉检验，螺纹的底孔不大于标准底孔的0.1mm。 </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图样上未注精度等级的普通螺均按GB197规定：内螺纹按7H;外螺纹7g加工和检验;未注明粗糙度的螺纹的粗糙度均为Ra6.3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螺纹部分的长度公差按+1.5倍螺距执行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螺孔对端平面、螺栓外螺纹对</w:t>
      </w:r>
      <w:r>
        <w:rPr>
          <w:rFonts w:hint="eastAsia" w:ascii="宋体" w:hAnsi="宋体"/>
          <w:sz w:val="24"/>
          <w:szCs w:val="24"/>
          <w:lang w:eastAsia="zh-CN"/>
        </w:rPr>
        <w:t>支撑</w:t>
      </w:r>
      <w:r>
        <w:rPr>
          <w:rFonts w:hint="eastAsia" w:ascii="宋体" w:hAnsi="宋体"/>
          <w:sz w:val="24"/>
          <w:szCs w:val="24"/>
        </w:rPr>
        <w:t xml:space="preserve">平面垂直度匀差按1.2/100加工和检验 </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内螺纹孔口按90°~120°倒角，倒角外圆应大于螺纹直径；外螺纹端部按45°倒角，倒角后小径应小于螺纹小径。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 xml:space="preserve">中心孔 </w:t>
      </w:r>
    </w:p>
    <w:p>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sz w:val="24"/>
          <w:szCs w:val="24"/>
        </w:rPr>
      </w:pPr>
      <w:r>
        <w:rPr>
          <w:rFonts w:hint="eastAsia" w:ascii="宋体" w:hAnsi="宋体"/>
          <w:sz w:val="24"/>
          <w:szCs w:val="24"/>
          <w:lang w:val="en-US" w:eastAsia="zh-CN"/>
        </w:rPr>
        <w:t>6.1</w:t>
      </w:r>
      <w:r>
        <w:rPr>
          <w:rFonts w:hint="eastAsia" w:ascii="宋体" w:hAnsi="宋体"/>
          <w:sz w:val="24"/>
          <w:szCs w:val="24"/>
        </w:rPr>
        <w:t xml:space="preserve">中心孔是否保留应在图样上注明，若未注明则认为有无均可，或按工艺规定。 </w:t>
      </w:r>
    </w:p>
    <w:p>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eastAsiaTheme="minorEastAsia"/>
          <w:sz w:val="24"/>
          <w:szCs w:val="24"/>
          <w:lang w:eastAsia="zh-CN"/>
        </w:rPr>
      </w:pPr>
      <w:r>
        <w:rPr>
          <w:rFonts w:hint="eastAsia" w:ascii="宋体" w:hAnsi="宋体"/>
          <w:sz w:val="24"/>
          <w:szCs w:val="24"/>
          <w:lang w:val="en-US" w:eastAsia="zh-CN"/>
        </w:rPr>
        <w:t>6.2</w:t>
      </w:r>
      <w:r>
        <w:rPr>
          <w:rFonts w:hint="eastAsia" w:ascii="宋体" w:hAnsi="宋体"/>
          <w:sz w:val="24"/>
          <w:szCs w:val="24"/>
        </w:rPr>
        <w:t>中心孔的规格图样上如未注明时按A型（不带护锥）加工和检验</w:t>
      </w:r>
      <w:r>
        <w:rPr>
          <w:rFonts w:hint="eastAsia" w:ascii="宋体" w:hAnsi="宋体"/>
          <w:sz w:val="24"/>
          <w:szCs w:val="24"/>
          <w:lang w:eastAsia="zh-CN"/>
        </w:rPr>
        <w:t>。</w:t>
      </w:r>
      <w:r>
        <w:rPr>
          <w:rFonts w:hint="eastAsia" w:ascii="宋体" w:hAnsi="宋体"/>
          <w:sz w:val="24"/>
          <w:szCs w:val="24"/>
        </w:rPr>
        <w:t>尺寸</w:t>
      </w:r>
      <w:r>
        <w:rPr>
          <w:rFonts w:hint="eastAsia" w:ascii="宋体" w:hAnsi="宋体"/>
          <w:sz w:val="24"/>
          <w:szCs w:val="24"/>
          <w:lang w:val="en-US" w:eastAsia="zh-CN"/>
        </w:rPr>
        <w:t>如下表（单位：mm）</w:t>
      </w:r>
    </w:p>
    <w:p>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6036310" cy="967105"/>
            <wp:effectExtent l="0" t="0" r="0" b="0"/>
            <wp:docPr id="13" name="图片 13" descr="C:\Users\Administrator\AppData\Roaming\Tencent\Users\970567078\QQ\WinTemp\RichOle\@JFYK)YH~HW1BHFYPZ]EY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Roaming\Tencent\Users\970567078\QQ\WinTemp\RichOle\@JFYK)YH~HW1BHFYPZ]EYBI.png"/>
                    <pic:cNvPicPr>
                      <a:picLocks noChangeAspect="1"/>
                    </pic:cNvPicPr>
                  </pic:nvPicPr>
                  <pic:blipFill>
                    <a:blip r:embed="rId23"/>
                    <a:srcRect t="17183"/>
                    <a:stretch>
                      <a:fillRect/>
                    </a:stretch>
                  </pic:blipFill>
                  <pic:spPr>
                    <a:xfrm>
                      <a:off x="0" y="0"/>
                      <a:ext cx="6036310" cy="967105"/>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九</w:t>
      </w:r>
      <w:r>
        <w:rPr>
          <w:rFonts w:hint="eastAsia" w:ascii="宋体" w:hAnsi="宋体"/>
          <w:b/>
          <w:bCs w:val="0"/>
          <w:sz w:val="24"/>
          <w:szCs w:val="24"/>
          <w:lang w:eastAsia="zh-CN"/>
        </w:rPr>
        <w:t>）</w:t>
      </w:r>
      <w:r>
        <w:rPr>
          <w:rFonts w:hint="eastAsia" w:ascii="宋体" w:hAnsi="宋体"/>
          <w:b/>
          <w:bCs w:val="0"/>
          <w:sz w:val="24"/>
          <w:szCs w:val="24"/>
        </w:rPr>
        <w:t>键和键槽</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键必须符合GB/T1568-2008的规定。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当键长与键宽之比≥8时，键工作面在长度方向的平面度应符合下列规定: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当键宽≤6mm时，公差等级按7级；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当键宽≥8～36mm时，公差等级按6级；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 xml:space="preserve"> 当键宽≥40mm时，公差等级按5级；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2.4 具体公差数值见表12。 </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表12                               mm</w:t>
      </w:r>
    </w:p>
    <w:tbl>
      <w:tblPr>
        <w:tblStyle w:val="15"/>
        <w:tblW w:w="91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456"/>
        <w:gridCol w:w="480"/>
        <w:gridCol w:w="732"/>
        <w:gridCol w:w="960"/>
        <w:gridCol w:w="1068"/>
        <w:gridCol w:w="912"/>
        <w:gridCol w:w="1008"/>
        <w:gridCol w:w="1140"/>
        <w:gridCol w:w="1032"/>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right"/>
        </w:trPr>
        <w:tc>
          <w:tcPr>
            <w:tcW w:w="1368" w:type="dxa"/>
            <w:gridSpan w:val="3"/>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键、键槽长度</w:t>
            </w: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91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00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14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c>
          <w:tcPr>
            <w:tcW w:w="10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＞100～160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＞160～250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restart"/>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公差</w:t>
            </w:r>
          </w:p>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等级</w:t>
            </w:r>
          </w:p>
        </w:tc>
        <w:tc>
          <w:tcPr>
            <w:tcW w:w="456"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5</w:t>
            </w:r>
          </w:p>
        </w:tc>
        <w:tc>
          <w:tcPr>
            <w:tcW w:w="480" w:type="dxa"/>
            <w:vMerge w:val="restart"/>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w:t>
            </w:r>
          </w:p>
          <w:p>
            <w:pPr>
              <w:keepNext w:val="0"/>
              <w:keepLines w:val="0"/>
              <w:pageBreakBefore w:val="0"/>
              <w:kinsoku/>
              <w:wordWrap/>
              <w:overflowPunct/>
              <w:topLinePunct w:val="0"/>
              <w:bidi w:val="0"/>
              <w:snapToGrid/>
              <w:spacing w:line="360" w:lineRule="auto"/>
              <w:textAlignment w:val="auto"/>
              <w:rPr>
                <w:rFonts w:hint="eastAsia" w:ascii="宋体" w:hAnsi="宋体"/>
                <w:sz w:val="18"/>
                <w:szCs w:val="18"/>
              </w:rPr>
            </w:pPr>
            <w:r>
              <w:rPr>
                <w:rFonts w:hint="eastAsia" w:ascii="宋体" w:hAnsi="宋体"/>
                <w:sz w:val="18"/>
                <w:szCs w:val="18"/>
              </w:rPr>
              <w:t>差值</w:t>
            </w: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0.005</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0.006</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1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0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114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6</w:t>
            </w:r>
          </w:p>
        </w:tc>
        <w:tc>
          <w:tcPr>
            <w:tcW w:w="48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1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0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11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3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7</w:t>
            </w:r>
          </w:p>
        </w:tc>
        <w:tc>
          <w:tcPr>
            <w:tcW w:w="48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912"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08"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11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c>
          <w:tcPr>
            <w:tcW w:w="103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0.050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0.060</w:t>
            </w:r>
          </w:p>
        </w:tc>
      </w:tr>
    </w:tbl>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未注键槽两工作面平行度的公差应按表12中公差等级7级取值。</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未注键槽的对称度按GB/T 1184-1996附录B中表B4中9级取值。</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val="en-US" w:eastAsia="zh-CN"/>
        </w:rPr>
        <w:t>（十）</w:t>
      </w:r>
      <w:r>
        <w:rPr>
          <w:rFonts w:hint="eastAsia" w:ascii="宋体" w:hAnsi="宋体"/>
          <w:b/>
          <w:bCs/>
          <w:sz w:val="24"/>
          <w:szCs w:val="24"/>
        </w:rPr>
        <w:t>中心孔</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图样中未注明、加工中又需要中心孔的零件，在不影响使用和外观的情况下，加工后中心孔可以保留。</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 中心孔应符合GB/T 145-2001的规定。</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（十一）表面粗糙度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图样中未注明表面粗糙度应符合GB/T 1031-2009的规定。</w:t>
      </w:r>
    </w:p>
    <w:p>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3" w:name="_Toc24163"/>
      <w:r>
        <w:rPr>
          <w:rFonts w:hint="eastAsia" w:ascii="宋体" w:hAnsi="宋体"/>
          <w:b/>
          <w:bCs/>
          <w:sz w:val="24"/>
          <w:szCs w:val="24"/>
          <w:lang w:val="en-US" w:eastAsia="zh-CN"/>
        </w:rPr>
        <w:t>（十二）机加工的要求</w:t>
      </w:r>
      <w:bookmarkEnd w:id="23"/>
      <w:r>
        <w:rPr>
          <w:rFonts w:hint="eastAsia" w:ascii="宋体" w:hAnsi="宋体"/>
          <w:b/>
          <w:bCs/>
          <w:sz w:val="28"/>
          <w:szCs w:val="28"/>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机加工件材料要符合图纸，选用的材料符合国家标准。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机加工件图纸未注尺寸公差参考国家标准线性尺寸的未注公差GB/T1804-f要求进行检验。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机加工件图纸未注角度公差参考国家标准角度的未注公差GB/T11335-m要求进行</w:t>
      </w:r>
      <w:r>
        <w:rPr>
          <w:rFonts w:hint="eastAsia" w:ascii="宋体" w:hAnsi="宋体"/>
          <w:sz w:val="24"/>
          <w:szCs w:val="24"/>
          <w:lang w:eastAsia="zh-CN"/>
        </w:rPr>
        <w:t>检测</w:t>
      </w:r>
      <w:r>
        <w:rPr>
          <w:rFonts w:hint="eastAsia" w:ascii="宋体" w:hAnsi="宋体"/>
          <w:sz w:val="24"/>
          <w:szCs w:val="24"/>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机加工件图纸未注形位公差参考国家标准形位的未注公差GB/T1184-H要求进行检验。</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图纸中尺寸标注为配合形式加工的，采用间隙配合，具体要求为：外配合</w:t>
      </w:r>
      <w:r>
        <w:rPr>
          <w:rFonts w:hint="eastAsia" w:ascii="宋体" w:hAnsi="宋体"/>
          <w:sz w:val="24"/>
          <w:szCs w:val="24"/>
          <w:lang w:eastAsia="zh-CN"/>
        </w:rPr>
        <w:t>为配合</w:t>
      </w:r>
      <w:r>
        <w:rPr>
          <w:rFonts w:hint="eastAsia" w:ascii="宋体" w:hAnsi="宋体"/>
          <w:sz w:val="24"/>
          <w:szCs w:val="24"/>
        </w:rPr>
        <w:t>对象最大尺寸+0.01~+0.10mm：内配合为</w:t>
      </w:r>
      <w:r>
        <w:rPr>
          <w:rFonts w:hint="eastAsia" w:ascii="宋体" w:hAnsi="宋体"/>
          <w:sz w:val="24"/>
          <w:szCs w:val="24"/>
          <w:lang w:eastAsia="zh-CN"/>
        </w:rPr>
        <w:t>配合</w:t>
      </w:r>
      <w:r>
        <w:rPr>
          <w:rFonts w:hint="eastAsia" w:ascii="宋体" w:hAnsi="宋体"/>
          <w:sz w:val="24"/>
          <w:szCs w:val="24"/>
        </w:rPr>
        <w:t>对象最小尺寸-0.10~-0.01。</w:t>
      </w:r>
    </w:p>
    <w:p>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4" w:name="_Toc5889"/>
      <w:r>
        <w:rPr>
          <w:rFonts w:hint="eastAsia" w:ascii="宋体" w:hAnsi="宋体"/>
          <w:b/>
          <w:bCs/>
          <w:sz w:val="24"/>
          <w:szCs w:val="24"/>
          <w:lang w:val="en-US" w:eastAsia="zh-CN"/>
        </w:rPr>
        <w:t>（十三）质量控制</w:t>
      </w:r>
      <w:bookmarkEnd w:id="24"/>
      <w:r>
        <w:rPr>
          <w:rFonts w:hint="eastAsia" w:ascii="宋体" w:hAnsi="宋体"/>
          <w:b/>
          <w:bCs/>
          <w:sz w:val="28"/>
          <w:szCs w:val="28"/>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零件加工按照图纸加工，对图纸有</w:t>
      </w:r>
      <w:r>
        <w:rPr>
          <w:rFonts w:hint="eastAsia" w:ascii="宋体" w:hAnsi="宋体"/>
          <w:sz w:val="24"/>
          <w:szCs w:val="24"/>
          <w:lang w:eastAsia="zh-CN"/>
        </w:rPr>
        <w:t>标识</w:t>
      </w:r>
      <w:r>
        <w:rPr>
          <w:rFonts w:hint="eastAsia" w:ascii="宋体" w:hAnsi="宋体"/>
          <w:sz w:val="24"/>
          <w:szCs w:val="24"/>
        </w:rPr>
        <w:t xml:space="preserve">不清、模糊、错误和对图纸产生疑问的与公司工艺人员联系。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零件加工按照工艺流程去做。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 xml:space="preserve">零件加工过程中遇到加工错误或尺寸超出公差范围要与公司工艺人员联系，公司工艺人员将会确认零件可以采用或不可采用。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 xml:space="preserve">需要划线加工的零件，加工后不允许有划线的痕迹。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所有机加工的零件要去毛刺、钻孔后要倒角、棱角要倒钝（特殊要求除外）。 6两加工面间</w:t>
      </w:r>
      <w:r>
        <w:rPr>
          <w:rFonts w:hint="eastAsia" w:ascii="宋体" w:hAnsi="宋体"/>
          <w:sz w:val="24"/>
          <w:szCs w:val="24"/>
          <w:lang w:eastAsia="zh-CN"/>
        </w:rPr>
        <w:t>过渡</w:t>
      </w:r>
      <w:r>
        <w:rPr>
          <w:rFonts w:hint="eastAsia" w:ascii="宋体" w:hAnsi="宋体"/>
          <w:sz w:val="24"/>
          <w:szCs w:val="24"/>
        </w:rPr>
        <w:t xml:space="preserve">圆角或倒角的粗糙度，按其中较低的执行。 5．7两加工面间的根部，未要求清根的，其圆角半径均不大于0.5。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8</w:t>
      </w:r>
      <w:r>
        <w:rPr>
          <w:rFonts w:hint="eastAsia" w:ascii="宋体" w:hAnsi="宋体"/>
          <w:sz w:val="24"/>
          <w:szCs w:val="24"/>
          <w:lang w:val="en-US" w:eastAsia="zh-CN"/>
        </w:rPr>
        <w:t>.</w:t>
      </w:r>
      <w:r>
        <w:rPr>
          <w:rFonts w:hint="eastAsia" w:ascii="宋体" w:hAnsi="宋体"/>
          <w:sz w:val="24"/>
          <w:szCs w:val="24"/>
        </w:rPr>
        <w:t xml:space="preserve">零件的配合表面上，除图样及技术文件有规定外，不得刻打印记或作其它不易清除的标记。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9</w:t>
      </w:r>
      <w:r>
        <w:rPr>
          <w:rFonts w:hint="eastAsia" w:ascii="宋体" w:hAnsi="宋体"/>
          <w:sz w:val="24"/>
          <w:szCs w:val="24"/>
          <w:lang w:val="en-US" w:eastAsia="zh-CN"/>
        </w:rPr>
        <w:t>.</w:t>
      </w:r>
      <w:r>
        <w:rPr>
          <w:rFonts w:hint="eastAsia" w:ascii="宋体" w:hAnsi="宋体"/>
          <w:sz w:val="24"/>
          <w:szCs w:val="24"/>
        </w:rPr>
        <w:t xml:space="preserve">图样上未注明锪平深度的，其深度尺寸不作检查，以锪平为限。 </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rPr>
        <w:t>10</w:t>
      </w:r>
      <w:r>
        <w:rPr>
          <w:rFonts w:hint="eastAsia" w:ascii="宋体" w:hAnsi="宋体"/>
          <w:sz w:val="24"/>
          <w:szCs w:val="24"/>
          <w:lang w:val="en-US" w:eastAsia="zh-CN"/>
        </w:rPr>
        <w:t>.</w:t>
      </w:r>
      <w:r>
        <w:rPr>
          <w:rFonts w:hint="eastAsia" w:ascii="宋体" w:hAnsi="宋体"/>
          <w:sz w:val="24"/>
          <w:szCs w:val="24"/>
        </w:rPr>
        <w:t>碰到零件加工错误不应该</w:t>
      </w:r>
      <w:r>
        <w:rPr>
          <w:rFonts w:hint="eastAsia" w:ascii="宋体" w:hAnsi="宋体"/>
          <w:sz w:val="24"/>
          <w:szCs w:val="24"/>
          <w:lang w:eastAsia="zh-CN"/>
        </w:rPr>
        <w:t>自作主张</w:t>
      </w:r>
      <w:r>
        <w:rPr>
          <w:rFonts w:hint="eastAsia" w:ascii="宋体" w:hAnsi="宋体"/>
          <w:sz w:val="24"/>
          <w:szCs w:val="24"/>
        </w:rPr>
        <w:t>对零件进行修改，应与公司工艺人员联系获得技术支持。</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5" w:name="_Toc20757"/>
      <w:r>
        <w:rPr>
          <w:rFonts w:hint="eastAsia" w:ascii="宋体" w:hAnsi="宋体"/>
          <w:b/>
          <w:bCs/>
          <w:sz w:val="24"/>
          <w:szCs w:val="24"/>
          <w:lang w:val="en-US" w:eastAsia="zh-CN"/>
        </w:rPr>
        <w:t>（十四）外观控制</w:t>
      </w:r>
      <w:bookmarkEnd w:id="25"/>
      <w:r>
        <w:rPr>
          <w:rFonts w:hint="eastAsia" w:ascii="宋体" w:hAnsi="宋体"/>
          <w:b/>
          <w:bCs/>
          <w:sz w:val="24"/>
          <w:szCs w:val="24"/>
          <w:lang w:val="en-US" w:eastAsia="zh-CN"/>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机加工中由于控制不力和操作不当造成机械碰伤、表面划伤的不允许存在A级表面，允许存在B,C 级表面.。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变形、裂纹不允许存在A，B，C级表面。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3.需要表面处理的零件表面不允许有氧化层、铁锈、凹凸不平的缺陷。 </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6" w:name="_Toc27395"/>
      <w:r>
        <w:rPr>
          <w:rFonts w:hint="eastAsia" w:ascii="宋体" w:hAnsi="宋体"/>
          <w:b/>
          <w:bCs/>
          <w:sz w:val="24"/>
          <w:szCs w:val="24"/>
          <w:lang w:val="en-US" w:eastAsia="zh-CN"/>
        </w:rPr>
        <w:t>（十五）质量检验</w:t>
      </w:r>
      <w:bookmarkEnd w:id="26"/>
      <w:r>
        <w:rPr>
          <w:rFonts w:hint="eastAsia" w:ascii="宋体" w:hAnsi="宋体"/>
          <w:b/>
          <w:bCs/>
          <w:sz w:val="24"/>
          <w:szCs w:val="24"/>
          <w:lang w:val="en-US" w:eastAsia="zh-CN"/>
        </w:rPr>
        <w:t xml:space="preserve">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1.外观检验：不允许有翘曲、变形、裂纹、划伤、碰伤、凹凸不平及表面粗糙度符合要求。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2.材料的检验：材料厚度符合国家标准。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3.尺寸及公差的检验：零件的尺寸和公差符合图纸的要求。</w:t>
      </w:r>
    </w:p>
    <w:p>
      <w:pPr>
        <w:tabs>
          <w:tab w:val="left" w:pos="567"/>
        </w:tabs>
        <w:spacing w:line="360" w:lineRule="auto"/>
        <w:ind w:firstLine="480" w:firstLineChars="200"/>
        <w:jc w:val="left"/>
        <w:rPr>
          <w:rFonts w:hint="eastAsia" w:ascii="宋体" w:hAnsi="宋体"/>
          <w:sz w:val="24"/>
          <w:szCs w:val="24"/>
        </w:rPr>
      </w:pPr>
      <w:bookmarkStart w:id="27" w:name="_Toc10472"/>
      <w:r>
        <w:rPr>
          <w:rFonts w:hint="eastAsia" w:ascii="宋体" w:hAnsi="宋体" w:cs="宋体"/>
          <w:sz w:val="24"/>
          <w:szCs w:val="24"/>
          <w:lang w:val="en-US" w:eastAsia="zh-CN"/>
        </w:rPr>
        <w:t>4.键槽对称度的检测方法按国家标准GB1958有关规定</w:t>
      </w:r>
      <w:bookmarkEnd w:id="27"/>
      <w:r>
        <w:rPr>
          <w:rFonts w:hint="eastAsia" w:ascii="宋体" w:hAnsi="宋体"/>
          <w:sz w:val="24"/>
          <w:szCs w:val="24"/>
        </w:rPr>
        <w:t xml:space="preserve"> </w:t>
      </w:r>
    </w:p>
    <w:p>
      <w:pPr>
        <w:keepNext w:val="0"/>
        <w:keepLines w:val="0"/>
        <w:pageBreakBefore w:val="0"/>
        <w:widowControl/>
        <w:kinsoku/>
        <w:wordWrap/>
        <w:overflowPunct/>
        <w:topLinePunct w:val="0"/>
        <w:bidi w:val="0"/>
        <w:snapToGrid/>
        <w:spacing w:line="360" w:lineRule="auto"/>
        <w:jc w:val="left"/>
        <w:textAlignment w:val="auto"/>
        <w:rPr>
          <w:rFonts w:hint="eastAsia" w:ascii="宋体" w:hAnsi="宋体" w:cs="宋体"/>
          <w:kern w:val="0"/>
          <w:sz w:val="24"/>
          <w:szCs w:val="24"/>
        </w:rPr>
      </w:pPr>
      <w:r>
        <w:rPr>
          <w:rFonts w:ascii="宋体" w:hAnsi="宋体" w:cs="宋体"/>
          <w:kern w:val="0"/>
          <w:sz w:val="24"/>
          <w:szCs w:val="24"/>
        </w:rPr>
        <w:drawing>
          <wp:inline distT="0" distB="0" distL="114300" distR="114300">
            <wp:extent cx="5951220" cy="2050415"/>
            <wp:effectExtent l="0" t="0" r="7620" b="6985"/>
            <wp:docPr id="15" name="图片 2" descr="C:\Users\Administrator\AppData\Roaming\Tencent\Users\970567078\QQ\WinTemp\RichOle\W~2O0Z3Z_CN3AUGAR4]BC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Users\Administrator\AppData\Roaming\Tencent\Users\970567078\QQ\WinTemp\RichOle\W~2O0Z3Z_CN3AUGAR4]BCD5.png"/>
                    <pic:cNvPicPr>
                      <a:picLocks noChangeAspect="1"/>
                    </pic:cNvPicPr>
                  </pic:nvPicPr>
                  <pic:blipFill>
                    <a:blip r:embed="rId24"/>
                    <a:stretch>
                      <a:fillRect/>
                    </a:stretch>
                  </pic:blipFill>
                  <pic:spPr>
                    <a:xfrm>
                      <a:off x="0" y="0"/>
                      <a:ext cx="5951220" cy="2050415"/>
                    </a:xfrm>
                    <a:prstGeom prst="rect">
                      <a:avLst/>
                    </a:prstGeom>
                    <a:noFill/>
                    <a:ln>
                      <a:noFill/>
                    </a:ln>
                  </pic:spPr>
                </pic:pic>
              </a:graphicData>
            </a:graphic>
          </wp:inline>
        </w:drawing>
      </w:r>
    </w:p>
    <w:p>
      <w:pPr>
        <w:tabs>
          <w:tab w:val="left" w:pos="567"/>
        </w:tabs>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4.1</w:t>
      </w:r>
      <w:r>
        <w:rPr>
          <w:rFonts w:hint="eastAsia" w:ascii="宋体" w:hAnsi="宋体" w:cs="宋体"/>
          <w:sz w:val="24"/>
          <w:szCs w:val="24"/>
          <w:lang w:eastAsia="zh-CN"/>
        </w:rPr>
        <w:t xml:space="preserve">检测方法说明：基准轴线由V型块模拟，被测中心平面由定位块模拟，分两步测量。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宋体"/>
          <w:sz w:val="24"/>
          <w:szCs w:val="24"/>
          <w:lang w:val="en-US" w:eastAsia="zh-CN"/>
        </w:rPr>
        <w:t>4.1.1</w:t>
      </w:r>
      <w:r>
        <w:rPr>
          <w:rFonts w:hint="eastAsia" w:ascii="宋体" w:hAnsi="宋体" w:cs="宋体"/>
          <w:sz w:val="24"/>
          <w:szCs w:val="24"/>
          <w:lang w:eastAsia="zh-CN"/>
        </w:rPr>
        <w:t>截面测量，调整被测件使定位块沿径向与平板平行，测量定位块与平板的距离。</w:t>
      </w:r>
      <w:r>
        <w:rPr>
          <w:rFonts w:hint="eastAsia" w:ascii="宋体" w:hAnsi="宋体" w:cs="3"/>
          <w:kern w:val="0"/>
          <w:sz w:val="24"/>
          <w:szCs w:val="24"/>
          <w:lang w:val="en-US" w:eastAsia="zh-CN"/>
        </w:rPr>
        <w:t>再将被测件旋转180度后，重复上述测量，得到该截面上下两对应点的读数差a,则该截面的对称度误差 f截=ah/(2-h)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4.1.2长向测量，沿键槽长度方向测量，长向两点的最大读数差即该键槽的斜度。 取以上两个方向误差的最大值作为该零件的对称度误差。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4.2按本规定键槽轴线偏移量换算成对称度误差如下表：</w:t>
      </w:r>
    </w:p>
    <w:p>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5874385" cy="1533525"/>
            <wp:effectExtent l="0" t="0" r="8255" b="5715"/>
            <wp:docPr id="16" name="图片 3" descr="C:\Users\Administrator\AppData\Roaming\Tencent\Users\970567078\QQ\WinTemp\RichOle\TZ){CPX0JY5QG)C}1_B$X0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C:\Users\Administrator\AppData\Roaming\Tencent\Users\970567078\QQ\WinTemp\RichOle\TZ){CPX0JY5QG)C}1_B$X0Z.png"/>
                    <pic:cNvPicPr>
                      <a:picLocks noChangeAspect="1"/>
                    </pic:cNvPicPr>
                  </pic:nvPicPr>
                  <pic:blipFill>
                    <a:blip r:embed="rId25"/>
                    <a:srcRect t="7728"/>
                    <a:stretch>
                      <a:fillRect/>
                    </a:stretch>
                  </pic:blipFill>
                  <pic:spPr>
                    <a:xfrm>
                      <a:off x="0" y="0"/>
                      <a:ext cx="5874385" cy="1533525"/>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8" w:name="_Toc24477"/>
      <w:r>
        <w:rPr>
          <w:rFonts w:hint="eastAsia" w:ascii="宋体" w:hAnsi="宋体" w:cs="3"/>
          <w:kern w:val="0"/>
          <w:sz w:val="24"/>
          <w:szCs w:val="24"/>
          <w:lang w:val="en-US" w:eastAsia="zh-CN"/>
        </w:rPr>
        <w:t>5.检验要求</w:t>
      </w:r>
      <w:bookmarkEnd w:id="28"/>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9" w:name="_Toc28670"/>
      <w:r>
        <w:rPr>
          <w:rFonts w:hint="eastAsia" w:ascii="宋体" w:hAnsi="宋体" w:cs="3"/>
          <w:kern w:val="0"/>
          <w:sz w:val="24"/>
          <w:szCs w:val="24"/>
          <w:lang w:val="en-US" w:eastAsia="zh-CN"/>
        </w:rPr>
        <w:t>5.1凡经机械加工件，由质管部按图样、有关技术文件和本标准进行检验和验收。零件按工序检查合格后，方可转入下道工序。</w:t>
      </w:r>
      <w:bookmarkEnd w:id="29"/>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5.2批量生产或用工装加工的零件必须进行首件检查，主要零件应逐件检查几何形状与尺寸精度。</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0" w:name="_Toc20559"/>
      <w:r>
        <w:rPr>
          <w:rFonts w:hint="eastAsia" w:ascii="宋体" w:hAnsi="宋体" w:cs="3"/>
          <w:kern w:val="0"/>
          <w:sz w:val="24"/>
          <w:szCs w:val="24"/>
          <w:lang w:val="en-US" w:eastAsia="zh-CN"/>
        </w:rPr>
        <w:t>5.3机械加工件的外观按要求进行检验。</w:t>
      </w:r>
      <w:bookmarkEnd w:id="30"/>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1" w:name="_Toc11827"/>
      <w:r>
        <w:rPr>
          <w:rFonts w:hint="eastAsia" w:ascii="宋体" w:hAnsi="宋体" w:cs="3"/>
          <w:kern w:val="0"/>
          <w:sz w:val="24"/>
          <w:szCs w:val="24"/>
          <w:lang w:val="en-US" w:eastAsia="zh-CN"/>
        </w:rPr>
        <w:t>5.4机械加工件的未注尺寸公差和角度公差要求进行检验。</w:t>
      </w:r>
      <w:bookmarkEnd w:id="31"/>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5.5机械加工件的未注形状和位置公差的要求进行检验。</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5.6机械加工件螺纹的外观、尺寸精度、形位公差、表面粗糙度按要求进行检验。</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5.7键和键槽的尺寸精度、形位公差按要求进行检验。</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5.8机械加工件成品经检查合格后，应在明显位置标出质管部的验收标记。</w:t>
      </w:r>
    </w:p>
    <w:p>
      <w:pPr>
        <w:keepNext w:val="0"/>
        <w:keepLines w:val="0"/>
        <w:pageBreakBefore w:val="0"/>
        <w:kinsoku/>
        <w:wordWrap/>
        <w:overflowPunct/>
        <w:topLinePunct w:val="0"/>
        <w:bidi w:val="0"/>
        <w:snapToGrid/>
        <w:spacing w:line="360" w:lineRule="auto"/>
        <w:ind w:firstLine="360" w:firstLineChars="150"/>
        <w:textAlignment w:val="auto"/>
        <w:rPr>
          <w:rFonts w:hint="eastAsia"/>
          <w:b/>
          <w:bCs/>
          <w:color w:val="auto"/>
          <w:lang w:val="en-US" w:eastAsia="zh-CN"/>
        </w:rPr>
      </w:pPr>
      <w:r>
        <w:rPr>
          <w:rFonts w:hint="eastAsia" w:ascii="宋体" w:hAnsi="宋体" w:cs="3"/>
          <w:kern w:val="0"/>
          <w:sz w:val="24"/>
          <w:szCs w:val="24"/>
          <w:lang w:val="en-US" w:eastAsia="zh-CN"/>
        </w:rPr>
        <w:t>5.9机械加工件检验合格后才能入库</w:t>
      </w:r>
      <w:r>
        <w:rPr>
          <w:rFonts w:hint="eastAsia" w:ascii="宋体" w:hAnsi="宋体"/>
          <w:sz w:val="24"/>
          <w:szCs w:val="24"/>
        </w:rPr>
        <w:t>。</w:t>
      </w:r>
    </w:p>
    <w:p>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eastAsia"/>
          <w:b/>
          <w:bCs/>
          <w:color w:val="auto"/>
          <w:lang w:val="en-US" w:eastAsia="zh-CN"/>
        </w:rPr>
      </w:pP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服务要求</w:t>
      </w:r>
    </w:p>
    <w:p>
      <w:pPr>
        <w:tabs>
          <w:tab w:val="left" w:pos="567"/>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lang w:eastAsia="zh-CN"/>
        </w:rPr>
        <w:t>供应商</w:t>
      </w:r>
      <w:r>
        <w:rPr>
          <w:rFonts w:hint="eastAsia" w:ascii="宋体" w:hAnsi="宋体" w:cs="宋体"/>
          <w:sz w:val="24"/>
          <w:szCs w:val="24"/>
        </w:rPr>
        <w:t>在依照</w:t>
      </w:r>
      <w:r>
        <w:rPr>
          <w:rFonts w:hint="eastAsia" w:ascii="宋体" w:hAnsi="宋体" w:cs="宋体"/>
          <w:sz w:val="24"/>
          <w:szCs w:val="24"/>
          <w:lang w:eastAsia="zh-CN"/>
        </w:rPr>
        <w:t>采购人</w:t>
      </w:r>
      <w:r>
        <w:rPr>
          <w:rFonts w:hint="eastAsia" w:ascii="宋体" w:hAnsi="宋体" w:cs="宋体"/>
          <w:sz w:val="24"/>
          <w:szCs w:val="24"/>
        </w:rPr>
        <w:t>的要求进行</w:t>
      </w:r>
      <w:r>
        <w:rPr>
          <w:rFonts w:hint="eastAsia" w:ascii="宋体" w:hAnsi="宋体" w:cs="宋体"/>
          <w:sz w:val="24"/>
          <w:szCs w:val="24"/>
          <w:lang w:val="en-US" w:eastAsia="zh-CN"/>
        </w:rPr>
        <w:t>机加</w:t>
      </w:r>
      <w:r>
        <w:rPr>
          <w:rFonts w:hint="eastAsia" w:ascii="宋体" w:hAnsi="宋体" w:cs="宋体"/>
          <w:sz w:val="24"/>
          <w:szCs w:val="24"/>
        </w:rPr>
        <w:t>工期间，发现</w:t>
      </w:r>
      <w:r>
        <w:rPr>
          <w:rFonts w:hint="eastAsia" w:ascii="宋体" w:hAnsi="宋体" w:cs="宋体"/>
          <w:sz w:val="24"/>
          <w:szCs w:val="24"/>
          <w:lang w:eastAsia="zh-CN"/>
        </w:rPr>
        <w:t>采购人</w:t>
      </w:r>
      <w:r>
        <w:rPr>
          <w:rFonts w:hint="eastAsia" w:ascii="宋体" w:hAnsi="宋体" w:cs="宋体"/>
          <w:sz w:val="24"/>
          <w:szCs w:val="24"/>
        </w:rPr>
        <w:t>提供的技术资料、图纸等不合理，应当及时通知</w:t>
      </w:r>
      <w:r>
        <w:rPr>
          <w:rFonts w:hint="eastAsia" w:ascii="宋体" w:hAnsi="宋体" w:cs="宋体"/>
          <w:sz w:val="24"/>
          <w:szCs w:val="24"/>
          <w:lang w:eastAsia="zh-CN"/>
        </w:rPr>
        <w:t>采购人，采购人</w:t>
      </w:r>
      <w:r>
        <w:rPr>
          <w:rFonts w:hint="eastAsia" w:ascii="宋体" w:hAnsi="宋体" w:cs="宋体"/>
          <w:sz w:val="24"/>
          <w:szCs w:val="24"/>
        </w:rPr>
        <w:t>应当在规定的时间内回复，提出修改意见。</w:t>
      </w:r>
    </w:p>
    <w:p>
      <w:pPr>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lang w:eastAsia="zh-CN"/>
        </w:rPr>
        <w:t>供应商</w:t>
      </w:r>
      <w:r>
        <w:rPr>
          <w:rFonts w:hint="eastAsia" w:ascii="宋体" w:hAnsi="宋体" w:cs="宋体"/>
          <w:sz w:val="24"/>
          <w:szCs w:val="24"/>
        </w:rPr>
        <w:t>向</w:t>
      </w:r>
      <w:r>
        <w:rPr>
          <w:rFonts w:hint="eastAsia" w:ascii="宋体" w:hAnsi="宋体" w:cs="宋体"/>
          <w:sz w:val="24"/>
          <w:szCs w:val="24"/>
          <w:lang w:eastAsia="zh-CN"/>
        </w:rPr>
        <w:t>采购人</w:t>
      </w:r>
      <w:r>
        <w:rPr>
          <w:rFonts w:hint="eastAsia" w:ascii="宋体" w:hAnsi="宋体" w:cs="宋体"/>
          <w:sz w:val="24"/>
          <w:szCs w:val="24"/>
        </w:rPr>
        <w:t>提供的产品必须是经</w:t>
      </w:r>
      <w:r>
        <w:rPr>
          <w:rFonts w:hint="eastAsia" w:ascii="宋体" w:hAnsi="宋体" w:cs="宋体"/>
          <w:sz w:val="24"/>
          <w:szCs w:val="24"/>
          <w:lang w:eastAsia="zh-CN"/>
        </w:rPr>
        <w:t>供应商</w:t>
      </w:r>
      <w:r>
        <w:rPr>
          <w:rFonts w:hint="eastAsia" w:ascii="宋体" w:hAnsi="宋体" w:cs="宋体"/>
          <w:sz w:val="24"/>
          <w:szCs w:val="24"/>
        </w:rPr>
        <w:t>检验合格</w:t>
      </w:r>
      <w:r>
        <w:rPr>
          <w:rFonts w:hint="eastAsia" w:ascii="宋体" w:hAnsi="宋体" w:cs="宋体"/>
          <w:sz w:val="24"/>
          <w:szCs w:val="24"/>
          <w:lang w:eastAsia="zh-CN"/>
        </w:rPr>
        <w:t>且</w:t>
      </w:r>
      <w:r>
        <w:rPr>
          <w:rFonts w:hint="eastAsia" w:ascii="宋体" w:hAnsi="宋体" w:cs="宋体"/>
          <w:sz w:val="24"/>
          <w:szCs w:val="24"/>
        </w:rPr>
        <w:t>满足</w:t>
      </w:r>
      <w:r>
        <w:rPr>
          <w:rFonts w:hint="eastAsia" w:ascii="宋体" w:hAnsi="宋体" w:cs="宋体"/>
          <w:sz w:val="24"/>
          <w:szCs w:val="24"/>
          <w:lang w:eastAsia="zh-CN"/>
        </w:rPr>
        <w:t>采购人</w:t>
      </w:r>
      <w:r>
        <w:rPr>
          <w:rFonts w:hint="eastAsia" w:ascii="宋体" w:hAnsi="宋体" w:cs="宋体"/>
          <w:sz w:val="24"/>
          <w:szCs w:val="24"/>
        </w:rPr>
        <w:t>的品质要求的产品。</w:t>
      </w:r>
    </w:p>
    <w:p>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lang w:eastAsia="zh-CN"/>
        </w:rPr>
        <w:t>采购人</w:t>
      </w:r>
      <w:r>
        <w:rPr>
          <w:rFonts w:hint="eastAsia" w:ascii="宋体" w:hAnsi="宋体" w:cs="宋体"/>
          <w:sz w:val="24"/>
          <w:szCs w:val="24"/>
        </w:rPr>
        <w:t>如对</w:t>
      </w:r>
      <w:r>
        <w:rPr>
          <w:rFonts w:hint="eastAsia" w:ascii="宋体" w:hAnsi="宋体" w:cs="宋体"/>
          <w:sz w:val="24"/>
          <w:szCs w:val="24"/>
          <w:lang w:eastAsia="zh-CN"/>
        </w:rPr>
        <w:t>供应商</w:t>
      </w:r>
      <w:r>
        <w:rPr>
          <w:rFonts w:hint="eastAsia" w:ascii="宋体" w:hAnsi="宋体" w:cs="宋体"/>
          <w:sz w:val="24"/>
          <w:szCs w:val="24"/>
        </w:rPr>
        <w:t>产品质量提出问题，</w:t>
      </w:r>
      <w:r>
        <w:rPr>
          <w:rFonts w:hint="eastAsia" w:ascii="宋体" w:hAnsi="宋体" w:cs="宋体"/>
          <w:sz w:val="24"/>
          <w:szCs w:val="24"/>
          <w:lang w:eastAsia="zh-CN"/>
        </w:rPr>
        <w:t>供应商</w:t>
      </w:r>
      <w:r>
        <w:rPr>
          <w:rFonts w:hint="eastAsia" w:ascii="宋体" w:hAnsi="宋体" w:cs="宋体"/>
          <w:sz w:val="24"/>
          <w:szCs w:val="24"/>
        </w:rPr>
        <w:t>必须第一时间协助处理，如因处理不当或处理周期较长，导致影响生产，</w:t>
      </w:r>
      <w:r>
        <w:rPr>
          <w:rFonts w:hint="eastAsia" w:ascii="宋体" w:hAnsi="宋体" w:cs="宋体"/>
          <w:sz w:val="24"/>
          <w:szCs w:val="24"/>
          <w:lang w:eastAsia="zh-CN"/>
        </w:rPr>
        <w:t>采购人</w:t>
      </w:r>
      <w:r>
        <w:rPr>
          <w:rFonts w:hint="eastAsia" w:ascii="宋体" w:hAnsi="宋体" w:cs="宋体"/>
          <w:sz w:val="24"/>
          <w:szCs w:val="24"/>
        </w:rPr>
        <w:t>有权按照公司规定予以考核及追偿。</w:t>
      </w:r>
    </w:p>
    <w:p>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按照甲乙双方签认的样品、图纸、质量要求作为验收标准。</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lang w:val="en-US" w:eastAsia="zh-CN"/>
        </w:rPr>
        <w:t>5</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为</w:t>
      </w:r>
      <w:r>
        <w:rPr>
          <w:rFonts w:hint="eastAsia" w:ascii="宋体" w:hAnsi="宋体" w:cs="宋体"/>
          <w:sz w:val="24"/>
          <w:szCs w:val="24"/>
          <w:highlight w:val="none"/>
          <w:lang w:eastAsia="zh-CN"/>
        </w:rPr>
        <w:t>采购人</w:t>
      </w:r>
      <w:r>
        <w:rPr>
          <w:rFonts w:hint="eastAsia" w:ascii="宋体" w:hAnsi="宋体" w:cs="宋体"/>
          <w:sz w:val="24"/>
          <w:szCs w:val="24"/>
          <w:highlight w:val="none"/>
          <w:lang w:val="en-US" w:eastAsia="zh-CN"/>
        </w:rPr>
        <w:t>加工</w:t>
      </w:r>
      <w:r>
        <w:rPr>
          <w:rFonts w:hint="eastAsia" w:ascii="宋体" w:hAnsi="宋体" w:cs="宋体"/>
          <w:sz w:val="24"/>
          <w:szCs w:val="24"/>
          <w:highlight w:val="none"/>
        </w:rPr>
        <w:t>的产品在</w:t>
      </w:r>
      <w:r>
        <w:rPr>
          <w:rFonts w:hint="eastAsia" w:ascii="宋体" w:hAnsi="宋体" w:cs="宋体"/>
          <w:b/>
          <w:bCs/>
          <w:sz w:val="24"/>
          <w:szCs w:val="24"/>
          <w:highlight w:val="none"/>
        </w:rPr>
        <w:t>质量保证期</w:t>
      </w:r>
      <w:r>
        <w:rPr>
          <w:rFonts w:hint="eastAsia" w:ascii="宋体" w:hAnsi="宋体" w:cs="宋体"/>
          <w:b/>
          <w:bCs/>
          <w:sz w:val="24"/>
          <w:szCs w:val="24"/>
          <w:highlight w:val="none"/>
          <w:lang w:val="en-US" w:eastAsia="zh-CN"/>
        </w:rPr>
        <w:t>六个月</w:t>
      </w:r>
      <w:r>
        <w:rPr>
          <w:rFonts w:hint="eastAsia" w:ascii="宋体" w:hAnsi="宋体" w:cs="宋体"/>
          <w:b/>
          <w:bCs/>
          <w:sz w:val="24"/>
          <w:szCs w:val="24"/>
          <w:highlight w:val="none"/>
        </w:rPr>
        <w:t>内</w:t>
      </w:r>
      <w:r>
        <w:rPr>
          <w:rFonts w:hint="eastAsia" w:ascii="宋体" w:hAnsi="宋体" w:cs="宋体"/>
          <w:sz w:val="24"/>
          <w:szCs w:val="24"/>
          <w:highlight w:val="none"/>
        </w:rPr>
        <w:t>出现质量问题，并经确认是</w:t>
      </w:r>
      <w:r>
        <w:rPr>
          <w:rFonts w:hint="eastAsia" w:ascii="宋体" w:hAnsi="宋体" w:cs="宋体"/>
          <w:sz w:val="24"/>
          <w:szCs w:val="24"/>
          <w:highlight w:val="none"/>
          <w:lang w:eastAsia="zh-CN"/>
        </w:rPr>
        <w:t>供应商</w:t>
      </w:r>
      <w:r>
        <w:rPr>
          <w:rFonts w:hint="eastAsia" w:ascii="宋体" w:hAnsi="宋体" w:cs="宋体"/>
          <w:sz w:val="24"/>
          <w:szCs w:val="24"/>
          <w:highlight w:val="none"/>
        </w:rPr>
        <w:t>造成</w:t>
      </w:r>
      <w:r>
        <w:rPr>
          <w:rFonts w:hint="eastAsia" w:ascii="宋体" w:hAnsi="宋体" w:cs="宋体"/>
          <w:sz w:val="24"/>
          <w:szCs w:val="24"/>
          <w:highlight w:val="none"/>
          <w:lang w:eastAsia="zh-CN"/>
        </w:rPr>
        <w:t>供应商</w:t>
      </w:r>
      <w:r>
        <w:rPr>
          <w:rFonts w:hint="eastAsia" w:ascii="宋体" w:hAnsi="宋体" w:cs="宋体"/>
          <w:sz w:val="24"/>
          <w:szCs w:val="24"/>
          <w:highlight w:val="none"/>
        </w:rPr>
        <w:t>应给予维修、重</w:t>
      </w:r>
      <w:r>
        <w:rPr>
          <w:rFonts w:hint="eastAsia" w:ascii="宋体" w:hAnsi="宋体" w:cs="宋体"/>
          <w:sz w:val="24"/>
          <w:szCs w:val="24"/>
          <w:highlight w:val="none"/>
          <w:lang w:eastAsia="zh-CN"/>
        </w:rPr>
        <w:t>做</w:t>
      </w:r>
      <w:r>
        <w:rPr>
          <w:rFonts w:hint="eastAsia" w:ascii="宋体" w:hAnsi="宋体" w:cs="宋体"/>
          <w:sz w:val="24"/>
          <w:szCs w:val="24"/>
          <w:highlight w:val="none"/>
        </w:rPr>
        <w:t>或退换。</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6.正常情况下，供应商应在3天完成机械加工并送至采购人指定地点；紧急情况下</w:t>
      </w:r>
      <w:r>
        <w:rPr>
          <w:rFonts w:hint="eastAsia" w:ascii="宋体" w:hAnsi="宋体" w:cs="宋体"/>
          <w:sz w:val="24"/>
          <w:szCs w:val="24"/>
          <w:highlight w:val="none"/>
        </w:rPr>
        <w:t>，</w:t>
      </w:r>
      <w:r>
        <w:rPr>
          <w:rFonts w:hint="eastAsia" w:ascii="宋体" w:hAnsi="宋体" w:cs="宋体"/>
          <w:sz w:val="24"/>
          <w:szCs w:val="24"/>
          <w:highlight w:val="none"/>
          <w:lang w:val="en-US" w:eastAsia="zh-CN"/>
        </w:rPr>
        <w:t>供应商需在</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小时内</w:t>
      </w:r>
      <w:r>
        <w:rPr>
          <w:rFonts w:hint="eastAsia" w:ascii="宋体" w:hAnsi="宋体" w:cs="宋体"/>
          <w:sz w:val="24"/>
          <w:szCs w:val="24"/>
          <w:highlight w:val="none"/>
        </w:rPr>
        <w:t>赶到现场协助处理，并出具处理办法。</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7.加工好的产品由供应商负责运输到采购人厂内指定地点，卸货由采购人负责</w:t>
      </w:r>
      <w:r>
        <w:rPr>
          <w:rFonts w:hint="eastAsia" w:ascii="宋体" w:hAnsi="宋体" w:cs="宋体"/>
          <w:sz w:val="24"/>
          <w:szCs w:val="24"/>
          <w:highlight w:val="none"/>
        </w:rPr>
        <w:t>。</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8.供应商对采购人提供的图纸及技术资料有保密责任，不得向第三方透露。</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五、结算方式</w:t>
      </w:r>
    </w:p>
    <w:p>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32" w:name="_Toc184308062"/>
      <w:bookmarkEnd w:id="32"/>
      <w:bookmarkStart w:id="33" w:name="_Toc184308050"/>
      <w:bookmarkEnd w:id="33"/>
      <w:bookmarkStart w:id="34" w:name="_Toc184308076"/>
      <w:bookmarkEnd w:id="34"/>
      <w:bookmarkStart w:id="35" w:name="_Toc184314439"/>
      <w:bookmarkEnd w:id="35"/>
      <w:bookmarkStart w:id="36" w:name="_Toc184313253"/>
      <w:bookmarkEnd w:id="36"/>
      <w:bookmarkStart w:id="37" w:name="_Toc184308088"/>
      <w:bookmarkEnd w:id="37"/>
      <w:bookmarkStart w:id="38" w:name="_Toc184314432"/>
      <w:bookmarkEnd w:id="38"/>
      <w:bookmarkStart w:id="39" w:name="_Toc184310340"/>
      <w:bookmarkEnd w:id="39"/>
      <w:bookmarkStart w:id="40" w:name="_Toc184310330"/>
      <w:bookmarkEnd w:id="40"/>
      <w:bookmarkStart w:id="41" w:name="_Toc184313273"/>
      <w:bookmarkEnd w:id="41"/>
      <w:bookmarkStart w:id="42" w:name="_Toc184312110"/>
      <w:bookmarkEnd w:id="42"/>
      <w:bookmarkStart w:id="43" w:name="_Toc184312082"/>
      <w:bookmarkEnd w:id="43"/>
      <w:bookmarkStart w:id="44" w:name="_Toc184314430"/>
      <w:bookmarkEnd w:id="44"/>
      <w:bookmarkStart w:id="45" w:name="_Toc184314446"/>
      <w:bookmarkEnd w:id="45"/>
      <w:bookmarkStart w:id="46" w:name="_Toc184310299"/>
      <w:bookmarkEnd w:id="46"/>
      <w:bookmarkStart w:id="47" w:name="_Toc184314444"/>
      <w:bookmarkEnd w:id="47"/>
      <w:bookmarkStart w:id="48" w:name="_Toc184314443"/>
      <w:bookmarkEnd w:id="48"/>
      <w:bookmarkStart w:id="49" w:name="_Toc184312122"/>
      <w:bookmarkEnd w:id="49"/>
      <w:bookmarkStart w:id="50" w:name="_Toc184314414"/>
      <w:bookmarkEnd w:id="50"/>
      <w:bookmarkStart w:id="51" w:name="_Toc184313242"/>
      <w:bookmarkEnd w:id="51"/>
      <w:bookmarkStart w:id="52" w:name="_Toc184314431"/>
      <w:bookmarkEnd w:id="52"/>
      <w:bookmarkStart w:id="53" w:name="_Toc184314429"/>
      <w:bookmarkEnd w:id="53"/>
      <w:bookmarkStart w:id="54" w:name="_Toc184308039"/>
      <w:bookmarkEnd w:id="54"/>
      <w:bookmarkStart w:id="55" w:name="_Toc184312132"/>
      <w:bookmarkEnd w:id="55"/>
      <w:bookmarkStart w:id="56" w:name="_Toc184308108"/>
      <w:bookmarkEnd w:id="56"/>
      <w:bookmarkStart w:id="57" w:name="_Toc184308089"/>
      <w:bookmarkEnd w:id="57"/>
      <w:bookmarkStart w:id="58" w:name="_Toc184312086"/>
      <w:bookmarkEnd w:id="58"/>
      <w:bookmarkStart w:id="59" w:name="_Toc184308058"/>
      <w:bookmarkEnd w:id="59"/>
      <w:bookmarkStart w:id="60" w:name="_Toc184312136"/>
      <w:bookmarkEnd w:id="60"/>
      <w:bookmarkStart w:id="61" w:name="_Toc184314413"/>
      <w:bookmarkEnd w:id="61"/>
      <w:bookmarkStart w:id="62" w:name="_Toc184314418"/>
      <w:bookmarkEnd w:id="62"/>
      <w:bookmarkStart w:id="63" w:name="_Toc184310282"/>
      <w:bookmarkEnd w:id="63"/>
      <w:bookmarkStart w:id="64" w:name="_Toc184313301"/>
      <w:bookmarkEnd w:id="64"/>
      <w:bookmarkStart w:id="65" w:name="_Toc184308063"/>
      <w:bookmarkEnd w:id="65"/>
      <w:bookmarkStart w:id="66" w:name="_Toc184310276"/>
      <w:bookmarkEnd w:id="66"/>
      <w:bookmarkStart w:id="67" w:name="_Toc184314473"/>
      <w:bookmarkEnd w:id="67"/>
      <w:bookmarkStart w:id="68" w:name="_Toc184312089"/>
      <w:bookmarkEnd w:id="68"/>
      <w:bookmarkStart w:id="69" w:name="_Toc184313280"/>
      <w:bookmarkEnd w:id="69"/>
      <w:bookmarkStart w:id="70" w:name="_Toc184314422"/>
      <w:bookmarkEnd w:id="70"/>
      <w:bookmarkStart w:id="71" w:name="_Toc184312118"/>
      <w:bookmarkEnd w:id="71"/>
      <w:bookmarkStart w:id="72" w:name="_Toc184312070"/>
      <w:bookmarkEnd w:id="72"/>
      <w:bookmarkStart w:id="73" w:name="_Toc184314423"/>
      <w:bookmarkEnd w:id="73"/>
      <w:bookmarkStart w:id="74" w:name="_Toc184308038"/>
      <w:bookmarkEnd w:id="74"/>
      <w:bookmarkStart w:id="75" w:name="_Toc184308075"/>
      <w:bookmarkEnd w:id="75"/>
      <w:bookmarkStart w:id="76" w:name="_Toc184312097"/>
      <w:bookmarkEnd w:id="76"/>
      <w:bookmarkStart w:id="77" w:name="_Toc184313268"/>
      <w:bookmarkEnd w:id="77"/>
      <w:bookmarkStart w:id="78" w:name="_Toc184313246"/>
      <w:bookmarkEnd w:id="78"/>
      <w:bookmarkStart w:id="79" w:name="_Toc184308068"/>
      <w:bookmarkEnd w:id="79"/>
      <w:bookmarkStart w:id="80" w:name="_Toc184313302"/>
      <w:bookmarkEnd w:id="80"/>
      <w:bookmarkStart w:id="81" w:name="_Toc184310293"/>
      <w:bookmarkEnd w:id="81"/>
      <w:bookmarkStart w:id="82" w:name="_Toc184314425"/>
      <w:bookmarkEnd w:id="82"/>
      <w:bookmarkStart w:id="83" w:name="_Toc184310289"/>
      <w:bookmarkEnd w:id="83"/>
      <w:bookmarkStart w:id="84" w:name="_Toc184312076"/>
      <w:bookmarkEnd w:id="84"/>
      <w:bookmarkStart w:id="85" w:name="_Toc184313259"/>
      <w:bookmarkEnd w:id="85"/>
      <w:bookmarkStart w:id="86" w:name="_Toc184314455"/>
      <w:bookmarkEnd w:id="86"/>
      <w:bookmarkStart w:id="87" w:name="_Toc184313271"/>
      <w:bookmarkEnd w:id="87"/>
      <w:bookmarkStart w:id="88" w:name="_Toc184308101"/>
      <w:bookmarkEnd w:id="88"/>
      <w:bookmarkStart w:id="89" w:name="_Toc184312107"/>
      <w:bookmarkEnd w:id="89"/>
      <w:bookmarkStart w:id="90" w:name="_Toc184314448"/>
      <w:bookmarkEnd w:id="90"/>
      <w:bookmarkStart w:id="91" w:name="_Toc184308046"/>
      <w:bookmarkEnd w:id="91"/>
      <w:bookmarkStart w:id="92" w:name="_Toc184314472"/>
      <w:bookmarkEnd w:id="92"/>
      <w:bookmarkStart w:id="93" w:name="_Toc184312104"/>
      <w:bookmarkEnd w:id="93"/>
      <w:bookmarkStart w:id="94" w:name="_Toc184308082"/>
      <w:bookmarkEnd w:id="94"/>
      <w:bookmarkStart w:id="95" w:name="_Toc184312125"/>
      <w:bookmarkEnd w:id="95"/>
      <w:bookmarkStart w:id="96" w:name="_Toc184312105"/>
      <w:bookmarkEnd w:id="96"/>
      <w:bookmarkStart w:id="97" w:name="_Toc184308079"/>
      <w:bookmarkEnd w:id="97"/>
      <w:bookmarkStart w:id="98" w:name="_Toc184313264"/>
      <w:bookmarkEnd w:id="98"/>
      <w:bookmarkStart w:id="99" w:name="_Toc184310332"/>
      <w:bookmarkEnd w:id="99"/>
      <w:bookmarkStart w:id="100" w:name="_Toc184310273"/>
      <w:bookmarkEnd w:id="100"/>
      <w:bookmarkStart w:id="101" w:name="_Toc184313248"/>
      <w:bookmarkEnd w:id="101"/>
      <w:bookmarkStart w:id="102" w:name="_Toc184312103"/>
      <w:bookmarkEnd w:id="102"/>
      <w:bookmarkStart w:id="103" w:name="_Toc184314461"/>
      <w:bookmarkEnd w:id="103"/>
      <w:bookmarkStart w:id="104" w:name="_Toc184308107"/>
      <w:bookmarkEnd w:id="104"/>
      <w:bookmarkStart w:id="105" w:name="_Toc184313297"/>
      <w:bookmarkEnd w:id="105"/>
      <w:bookmarkStart w:id="106" w:name="_Toc184310272"/>
      <w:bookmarkEnd w:id="106"/>
      <w:bookmarkStart w:id="107" w:name="_Toc184310307"/>
      <w:bookmarkEnd w:id="107"/>
      <w:bookmarkStart w:id="108" w:name="_Toc184310309"/>
      <w:bookmarkEnd w:id="108"/>
      <w:bookmarkStart w:id="109" w:name="_Toc184310281"/>
      <w:bookmarkEnd w:id="109"/>
      <w:bookmarkStart w:id="110" w:name="_Toc184310331"/>
      <w:bookmarkEnd w:id="110"/>
      <w:bookmarkStart w:id="111" w:name="_Toc184313258"/>
      <w:bookmarkEnd w:id="111"/>
      <w:bookmarkStart w:id="112" w:name="_Toc184314440"/>
      <w:bookmarkEnd w:id="112"/>
      <w:bookmarkStart w:id="113" w:name="_Toc184312074"/>
      <w:bookmarkEnd w:id="113"/>
      <w:bookmarkStart w:id="114" w:name="_Toc184314438"/>
      <w:bookmarkEnd w:id="114"/>
      <w:bookmarkStart w:id="115" w:name="_Toc184312078"/>
      <w:bookmarkEnd w:id="115"/>
      <w:bookmarkStart w:id="116" w:name="_Toc184308081"/>
      <w:bookmarkEnd w:id="116"/>
      <w:bookmarkStart w:id="117" w:name="_Toc184312088"/>
      <w:bookmarkEnd w:id="117"/>
      <w:bookmarkStart w:id="118" w:name="_Toc184310315"/>
      <w:bookmarkEnd w:id="118"/>
      <w:bookmarkStart w:id="119" w:name="_Toc184310311"/>
      <w:bookmarkEnd w:id="119"/>
      <w:bookmarkStart w:id="120" w:name="_Toc184314471"/>
      <w:bookmarkEnd w:id="120"/>
      <w:bookmarkStart w:id="121" w:name="_Toc184308045"/>
      <w:bookmarkEnd w:id="121"/>
      <w:bookmarkStart w:id="122" w:name="_Toc184312119"/>
      <w:bookmarkEnd w:id="122"/>
      <w:bookmarkStart w:id="123" w:name="_Toc184310298"/>
      <w:bookmarkEnd w:id="123"/>
      <w:bookmarkStart w:id="124" w:name="_Toc184310322"/>
      <w:bookmarkEnd w:id="124"/>
      <w:bookmarkStart w:id="125" w:name="_Toc184312101"/>
      <w:bookmarkEnd w:id="125"/>
      <w:bookmarkStart w:id="126" w:name="_Toc184308085"/>
      <w:bookmarkEnd w:id="126"/>
      <w:bookmarkStart w:id="127" w:name="_Toc184314480"/>
      <w:bookmarkEnd w:id="127"/>
      <w:bookmarkStart w:id="128" w:name="_Toc184313278"/>
      <w:bookmarkEnd w:id="128"/>
      <w:bookmarkStart w:id="129" w:name="_Toc184308041"/>
      <w:bookmarkEnd w:id="129"/>
      <w:bookmarkStart w:id="130" w:name="_Toc184312075"/>
      <w:bookmarkEnd w:id="130"/>
      <w:bookmarkStart w:id="131" w:name="_Toc184313281"/>
      <w:bookmarkEnd w:id="131"/>
      <w:bookmarkStart w:id="132" w:name="_Toc184313282"/>
      <w:bookmarkEnd w:id="132"/>
      <w:bookmarkStart w:id="133" w:name="_Toc184310317"/>
      <w:bookmarkEnd w:id="133"/>
      <w:bookmarkStart w:id="134" w:name="_Toc184312124"/>
      <w:bookmarkEnd w:id="134"/>
      <w:bookmarkStart w:id="135" w:name="_Toc184314451"/>
      <w:bookmarkEnd w:id="135"/>
      <w:bookmarkStart w:id="136" w:name="_Toc184312130"/>
      <w:bookmarkEnd w:id="136"/>
      <w:bookmarkStart w:id="137" w:name="_Toc184314412"/>
      <w:bookmarkEnd w:id="137"/>
      <w:bookmarkStart w:id="138" w:name="_Toc184312071"/>
      <w:bookmarkEnd w:id="138"/>
      <w:bookmarkStart w:id="139" w:name="_Toc184308037"/>
      <w:bookmarkEnd w:id="139"/>
      <w:bookmarkStart w:id="140" w:name="_Toc184313255"/>
      <w:bookmarkEnd w:id="140"/>
      <w:bookmarkStart w:id="141" w:name="_Toc184308065"/>
      <w:bookmarkEnd w:id="141"/>
      <w:bookmarkStart w:id="142" w:name="_Toc184314463"/>
      <w:bookmarkEnd w:id="142"/>
      <w:bookmarkStart w:id="143" w:name="_Toc184308044"/>
      <w:bookmarkEnd w:id="143"/>
      <w:bookmarkStart w:id="144" w:name="_Toc184312112"/>
      <w:bookmarkEnd w:id="144"/>
      <w:bookmarkStart w:id="145" w:name="_Toc184310294"/>
      <w:bookmarkEnd w:id="145"/>
      <w:bookmarkStart w:id="146" w:name="_Toc184314481"/>
      <w:bookmarkEnd w:id="146"/>
      <w:bookmarkStart w:id="147" w:name="_Toc184314476"/>
      <w:bookmarkEnd w:id="147"/>
      <w:bookmarkStart w:id="148" w:name="_Toc184312090"/>
      <w:bookmarkEnd w:id="148"/>
      <w:bookmarkStart w:id="149" w:name="_Toc184308099"/>
      <w:bookmarkEnd w:id="149"/>
      <w:bookmarkStart w:id="150" w:name="_Toc184314477"/>
      <w:bookmarkEnd w:id="150"/>
      <w:bookmarkStart w:id="151" w:name="_Toc184314441"/>
      <w:bookmarkEnd w:id="151"/>
      <w:bookmarkStart w:id="152" w:name="_Toc184308097"/>
      <w:bookmarkEnd w:id="152"/>
      <w:bookmarkStart w:id="153" w:name="_Toc184314424"/>
      <w:bookmarkEnd w:id="153"/>
      <w:bookmarkStart w:id="154" w:name="_Toc184312114"/>
      <w:bookmarkEnd w:id="154"/>
      <w:bookmarkStart w:id="155" w:name="_Toc184310279"/>
      <w:bookmarkEnd w:id="155"/>
      <w:bookmarkStart w:id="156" w:name="_Toc184313267"/>
      <w:bookmarkEnd w:id="156"/>
      <w:bookmarkStart w:id="157" w:name="_Toc184314450"/>
      <w:bookmarkEnd w:id="157"/>
      <w:bookmarkStart w:id="158" w:name="_Toc184313304"/>
      <w:bookmarkEnd w:id="158"/>
      <w:bookmarkStart w:id="159" w:name="_Toc184313275"/>
      <w:bookmarkEnd w:id="159"/>
      <w:bookmarkStart w:id="160" w:name="_Toc184308048"/>
      <w:bookmarkEnd w:id="160"/>
      <w:bookmarkStart w:id="161" w:name="_Toc184310308"/>
      <w:bookmarkEnd w:id="161"/>
      <w:bookmarkStart w:id="162" w:name="_Toc184308071"/>
      <w:bookmarkEnd w:id="162"/>
      <w:bookmarkStart w:id="163" w:name="_Toc184308078"/>
      <w:bookmarkEnd w:id="163"/>
      <w:bookmarkStart w:id="164" w:name="_Toc184314460"/>
      <w:bookmarkEnd w:id="164"/>
      <w:bookmarkStart w:id="165" w:name="_Toc184313310"/>
      <w:bookmarkEnd w:id="165"/>
      <w:bookmarkStart w:id="166" w:name="_Toc184310297"/>
      <w:bookmarkEnd w:id="166"/>
      <w:bookmarkStart w:id="167" w:name="_Toc184312081"/>
      <w:bookmarkEnd w:id="167"/>
      <w:bookmarkStart w:id="168" w:name="_Toc184312138"/>
      <w:bookmarkEnd w:id="168"/>
      <w:bookmarkStart w:id="169" w:name="_Toc184308098"/>
      <w:bookmarkEnd w:id="169"/>
      <w:bookmarkStart w:id="170" w:name="_Toc184312106"/>
      <w:bookmarkEnd w:id="170"/>
      <w:bookmarkStart w:id="171" w:name="_Toc184313295"/>
      <w:bookmarkEnd w:id="171"/>
      <w:bookmarkStart w:id="172" w:name="_Toc184312079"/>
      <w:bookmarkEnd w:id="172"/>
      <w:bookmarkStart w:id="173" w:name="_Toc184314449"/>
      <w:bookmarkEnd w:id="173"/>
      <w:bookmarkStart w:id="174" w:name="_Toc184313308"/>
      <w:bookmarkEnd w:id="174"/>
      <w:bookmarkStart w:id="175" w:name="_Toc184314464"/>
      <w:bookmarkEnd w:id="175"/>
      <w:bookmarkStart w:id="176" w:name="_Toc184312129"/>
      <w:bookmarkEnd w:id="176"/>
      <w:bookmarkStart w:id="177" w:name="_Toc184312131"/>
      <w:bookmarkEnd w:id="177"/>
      <w:bookmarkStart w:id="178" w:name="_Toc184310296"/>
      <w:bookmarkEnd w:id="178"/>
      <w:bookmarkStart w:id="179" w:name="_Toc184313239"/>
      <w:bookmarkEnd w:id="179"/>
      <w:bookmarkStart w:id="180" w:name="_Toc184308051"/>
      <w:bookmarkEnd w:id="180"/>
      <w:bookmarkStart w:id="181" w:name="_Toc184310314"/>
      <w:bookmarkEnd w:id="181"/>
      <w:bookmarkStart w:id="182" w:name="_Toc184314447"/>
      <w:bookmarkEnd w:id="182"/>
      <w:bookmarkStart w:id="183" w:name="_Toc184313276"/>
      <w:bookmarkEnd w:id="183"/>
      <w:bookmarkStart w:id="184" w:name="_Toc184308054"/>
      <w:bookmarkEnd w:id="184"/>
      <w:bookmarkStart w:id="185" w:name="_Toc184312073"/>
      <w:bookmarkEnd w:id="185"/>
      <w:bookmarkStart w:id="186" w:name="_Toc184308060"/>
      <w:bookmarkEnd w:id="186"/>
      <w:bookmarkStart w:id="187" w:name="_Toc184310283"/>
      <w:bookmarkEnd w:id="187"/>
      <w:bookmarkStart w:id="188" w:name="_Toc184314436"/>
      <w:bookmarkEnd w:id="188"/>
      <w:bookmarkStart w:id="189" w:name="_Toc184308070"/>
      <w:bookmarkEnd w:id="189"/>
      <w:bookmarkStart w:id="190" w:name="_Toc184312128"/>
      <w:bookmarkEnd w:id="190"/>
      <w:bookmarkStart w:id="191" w:name="_Toc184314459"/>
      <w:bookmarkEnd w:id="191"/>
      <w:bookmarkStart w:id="192" w:name="_Toc184312113"/>
      <w:bookmarkEnd w:id="192"/>
      <w:bookmarkStart w:id="193" w:name="_Toc184312087"/>
      <w:bookmarkEnd w:id="193"/>
      <w:bookmarkStart w:id="194" w:name="_Toc184308049"/>
      <w:bookmarkEnd w:id="194"/>
      <w:bookmarkStart w:id="195" w:name="_Toc184313265"/>
      <w:bookmarkEnd w:id="195"/>
      <w:bookmarkStart w:id="196" w:name="_Toc184310305"/>
      <w:bookmarkEnd w:id="196"/>
      <w:bookmarkStart w:id="197" w:name="_Toc184308067"/>
      <w:bookmarkEnd w:id="197"/>
      <w:bookmarkStart w:id="198" w:name="_Toc184313303"/>
      <w:bookmarkEnd w:id="198"/>
      <w:bookmarkStart w:id="199" w:name="_Toc184312127"/>
      <w:bookmarkEnd w:id="199"/>
      <w:bookmarkStart w:id="200" w:name="_Toc184310338"/>
      <w:bookmarkEnd w:id="200"/>
      <w:bookmarkStart w:id="201" w:name="_Toc184313251"/>
      <w:bookmarkEnd w:id="201"/>
      <w:bookmarkStart w:id="202" w:name="_Toc184313300"/>
      <w:bookmarkEnd w:id="202"/>
      <w:bookmarkStart w:id="203" w:name="_Toc184312120"/>
      <w:bookmarkEnd w:id="203"/>
      <w:bookmarkStart w:id="204" w:name="_Toc184313270"/>
      <w:bookmarkEnd w:id="204"/>
      <w:bookmarkStart w:id="205" w:name="_Toc184314421"/>
      <w:bookmarkEnd w:id="205"/>
      <w:bookmarkStart w:id="206" w:name="_Toc184308052"/>
      <w:bookmarkEnd w:id="206"/>
      <w:bookmarkStart w:id="207" w:name="_Toc184312083"/>
      <w:bookmarkEnd w:id="207"/>
      <w:bookmarkStart w:id="208" w:name="_Toc184308055"/>
      <w:bookmarkEnd w:id="208"/>
      <w:bookmarkStart w:id="209" w:name="_Toc184314453"/>
      <w:bookmarkEnd w:id="209"/>
      <w:bookmarkStart w:id="210" w:name="_Toc184310302"/>
      <w:bookmarkEnd w:id="210"/>
      <w:bookmarkStart w:id="211" w:name="_Toc184313277"/>
      <w:bookmarkEnd w:id="211"/>
      <w:bookmarkStart w:id="212" w:name="_Toc184308087"/>
      <w:bookmarkEnd w:id="212"/>
      <w:bookmarkStart w:id="213" w:name="_Toc184314465"/>
      <w:bookmarkEnd w:id="213"/>
      <w:bookmarkStart w:id="214" w:name="_Toc184313244"/>
      <w:bookmarkEnd w:id="214"/>
      <w:bookmarkStart w:id="215" w:name="_Toc184308080"/>
      <w:bookmarkEnd w:id="215"/>
      <w:bookmarkStart w:id="216" w:name="_Toc184308086"/>
      <w:bookmarkEnd w:id="216"/>
      <w:bookmarkStart w:id="217" w:name="_Toc184313283"/>
      <w:bookmarkEnd w:id="217"/>
      <w:bookmarkStart w:id="218" w:name="_Toc184310287"/>
      <w:bookmarkEnd w:id="218"/>
      <w:bookmarkStart w:id="219" w:name="_Toc184314457"/>
      <w:bookmarkEnd w:id="219"/>
      <w:bookmarkStart w:id="220" w:name="_Toc184313306"/>
      <w:bookmarkEnd w:id="220"/>
      <w:bookmarkStart w:id="221" w:name="_Toc184308096"/>
      <w:bookmarkEnd w:id="221"/>
      <w:bookmarkStart w:id="222" w:name="_Toc184310280"/>
      <w:bookmarkEnd w:id="222"/>
      <w:bookmarkStart w:id="223" w:name="_Toc184310327"/>
      <w:bookmarkEnd w:id="223"/>
      <w:bookmarkStart w:id="224" w:name="_Toc184312134"/>
      <w:bookmarkEnd w:id="224"/>
      <w:bookmarkStart w:id="225" w:name="_Toc184314411"/>
      <w:bookmarkEnd w:id="225"/>
      <w:bookmarkStart w:id="226" w:name="_Toc184310328"/>
      <w:bookmarkEnd w:id="226"/>
      <w:bookmarkStart w:id="227" w:name="_Toc184313287"/>
      <w:bookmarkEnd w:id="227"/>
      <w:bookmarkStart w:id="228" w:name="_Toc184308083"/>
      <w:bookmarkEnd w:id="228"/>
      <w:bookmarkStart w:id="229" w:name="_Toc184312099"/>
      <w:bookmarkEnd w:id="229"/>
      <w:bookmarkStart w:id="230" w:name="_Toc184308069"/>
      <w:bookmarkEnd w:id="230"/>
      <w:bookmarkStart w:id="231" w:name="_Toc184314433"/>
      <w:bookmarkEnd w:id="231"/>
      <w:bookmarkStart w:id="232" w:name="_Toc184313256"/>
      <w:bookmarkEnd w:id="232"/>
      <w:bookmarkStart w:id="233" w:name="_Toc184308094"/>
      <w:bookmarkEnd w:id="233"/>
      <w:bookmarkStart w:id="234" w:name="_Toc184310291"/>
      <w:bookmarkEnd w:id="234"/>
      <w:bookmarkStart w:id="235" w:name="_Toc184310292"/>
      <w:bookmarkEnd w:id="235"/>
      <w:bookmarkStart w:id="236" w:name="_Toc184310303"/>
      <w:bookmarkEnd w:id="236"/>
      <w:bookmarkStart w:id="237" w:name="_Toc184313298"/>
      <w:bookmarkEnd w:id="237"/>
      <w:bookmarkStart w:id="238" w:name="_Toc184310324"/>
      <w:bookmarkEnd w:id="238"/>
      <w:bookmarkStart w:id="239" w:name="_Toc184308053"/>
      <w:bookmarkEnd w:id="239"/>
      <w:bookmarkStart w:id="240" w:name="_Toc184313247"/>
      <w:bookmarkEnd w:id="240"/>
      <w:bookmarkStart w:id="241" w:name="_Toc184310295"/>
      <w:bookmarkEnd w:id="241"/>
      <w:bookmarkStart w:id="242" w:name="_Toc184314437"/>
      <w:bookmarkEnd w:id="242"/>
      <w:bookmarkStart w:id="243" w:name="_Toc184310325"/>
      <w:bookmarkEnd w:id="243"/>
      <w:bookmarkStart w:id="244" w:name="_Toc184312133"/>
      <w:bookmarkEnd w:id="244"/>
      <w:bookmarkStart w:id="245" w:name="_Toc184313299"/>
      <w:bookmarkEnd w:id="245"/>
      <w:bookmarkStart w:id="246" w:name="_Toc184312102"/>
      <w:bookmarkEnd w:id="246"/>
      <w:bookmarkStart w:id="247" w:name="_Toc184310278"/>
      <w:bookmarkEnd w:id="247"/>
      <w:bookmarkStart w:id="248" w:name="_Toc184313285"/>
      <w:bookmarkEnd w:id="248"/>
      <w:bookmarkStart w:id="249" w:name="_Toc184312100"/>
      <w:bookmarkEnd w:id="249"/>
      <w:bookmarkStart w:id="250" w:name="_Toc184314478"/>
      <w:bookmarkEnd w:id="250"/>
      <w:bookmarkStart w:id="251" w:name="_Toc184310277"/>
      <w:bookmarkEnd w:id="251"/>
      <w:bookmarkStart w:id="252" w:name="_Toc184312084"/>
      <w:bookmarkEnd w:id="252"/>
      <w:bookmarkStart w:id="253" w:name="_Toc184308091"/>
      <w:bookmarkEnd w:id="253"/>
      <w:bookmarkStart w:id="254" w:name="_Toc184308066"/>
      <w:bookmarkEnd w:id="254"/>
      <w:bookmarkStart w:id="255" w:name="_Toc184314434"/>
      <w:bookmarkEnd w:id="255"/>
      <w:bookmarkStart w:id="256" w:name="_Toc184314475"/>
      <w:bookmarkEnd w:id="256"/>
      <w:bookmarkStart w:id="257" w:name="_Toc184313272"/>
      <w:bookmarkEnd w:id="257"/>
      <w:bookmarkStart w:id="258" w:name="_Toc184310344"/>
      <w:bookmarkEnd w:id="258"/>
      <w:bookmarkStart w:id="259" w:name="_Toc184313290"/>
      <w:bookmarkEnd w:id="259"/>
      <w:bookmarkStart w:id="260" w:name="_Toc184313249"/>
      <w:bookmarkEnd w:id="260"/>
      <w:bookmarkStart w:id="261" w:name="_Toc184312067"/>
      <w:bookmarkEnd w:id="261"/>
      <w:bookmarkStart w:id="262" w:name="_Toc184310304"/>
      <w:bookmarkEnd w:id="262"/>
      <w:bookmarkStart w:id="263" w:name="_Toc184314426"/>
      <w:bookmarkEnd w:id="263"/>
      <w:bookmarkStart w:id="264" w:name="_Toc184312085"/>
      <w:bookmarkEnd w:id="264"/>
      <w:bookmarkStart w:id="265" w:name="_Toc184310341"/>
      <w:bookmarkEnd w:id="265"/>
      <w:bookmarkStart w:id="266" w:name="_Toc184314415"/>
      <w:bookmarkEnd w:id="266"/>
      <w:bookmarkStart w:id="267" w:name="_Toc184310285"/>
      <w:bookmarkEnd w:id="267"/>
      <w:bookmarkStart w:id="268" w:name="_Toc184308064"/>
      <w:bookmarkEnd w:id="268"/>
      <w:bookmarkStart w:id="269" w:name="_Toc184314416"/>
      <w:bookmarkEnd w:id="269"/>
      <w:bookmarkStart w:id="270" w:name="_Toc184314428"/>
      <w:bookmarkEnd w:id="270"/>
      <w:bookmarkStart w:id="271" w:name="_Toc184314479"/>
      <w:bookmarkEnd w:id="271"/>
      <w:bookmarkStart w:id="272" w:name="_Toc184308042"/>
      <w:bookmarkEnd w:id="272"/>
      <w:bookmarkStart w:id="273" w:name="_Toc184308059"/>
      <w:bookmarkEnd w:id="273"/>
      <w:bookmarkStart w:id="274" w:name="_Toc184313252"/>
      <w:bookmarkEnd w:id="274"/>
      <w:bookmarkStart w:id="275" w:name="_Toc184308077"/>
      <w:bookmarkEnd w:id="275"/>
      <w:bookmarkStart w:id="276" w:name="_Toc184313269"/>
      <w:bookmarkEnd w:id="276"/>
      <w:bookmarkStart w:id="277" w:name="_Toc184308047"/>
      <w:bookmarkEnd w:id="277"/>
      <w:bookmarkStart w:id="278" w:name="_Toc184308084"/>
      <w:bookmarkEnd w:id="278"/>
      <w:bookmarkStart w:id="279" w:name="_Toc184314482"/>
      <w:bookmarkEnd w:id="279"/>
      <w:bookmarkStart w:id="280" w:name="_Toc184313262"/>
      <w:bookmarkEnd w:id="280"/>
      <w:bookmarkStart w:id="281" w:name="_Toc184312108"/>
      <w:bookmarkEnd w:id="281"/>
      <w:bookmarkStart w:id="282" w:name="_Toc184308103"/>
      <w:bookmarkEnd w:id="282"/>
      <w:bookmarkStart w:id="283" w:name="_Toc184313293"/>
      <w:bookmarkEnd w:id="283"/>
      <w:bookmarkStart w:id="284" w:name="_Toc184312096"/>
      <w:bookmarkEnd w:id="284"/>
      <w:bookmarkStart w:id="285" w:name="_Toc184313243"/>
      <w:bookmarkEnd w:id="285"/>
      <w:bookmarkStart w:id="286" w:name="_Toc184308061"/>
      <w:bookmarkEnd w:id="286"/>
      <w:bookmarkStart w:id="287" w:name="_Toc184308056"/>
      <w:bookmarkEnd w:id="287"/>
      <w:bookmarkStart w:id="288" w:name="_Toc184312094"/>
      <w:bookmarkEnd w:id="288"/>
      <w:bookmarkStart w:id="289" w:name="_Toc184314442"/>
      <w:bookmarkEnd w:id="289"/>
      <w:bookmarkStart w:id="290" w:name="_Toc184312069"/>
      <w:bookmarkEnd w:id="290"/>
      <w:bookmarkStart w:id="291" w:name="_Toc184314427"/>
      <w:bookmarkEnd w:id="291"/>
      <w:bookmarkStart w:id="292" w:name="_Toc184308036"/>
      <w:bookmarkEnd w:id="292"/>
      <w:bookmarkStart w:id="293" w:name="_Toc184313307"/>
      <w:bookmarkEnd w:id="293"/>
      <w:bookmarkStart w:id="294" w:name="_Toc184312115"/>
      <w:bookmarkEnd w:id="294"/>
      <w:bookmarkStart w:id="295" w:name="_Toc184313240"/>
      <w:bookmarkEnd w:id="295"/>
      <w:bookmarkStart w:id="296" w:name="_Toc184314435"/>
      <w:bookmarkEnd w:id="296"/>
      <w:bookmarkStart w:id="297" w:name="_Toc184313309"/>
      <w:bookmarkEnd w:id="297"/>
      <w:bookmarkStart w:id="298" w:name="_Toc184314462"/>
      <w:bookmarkEnd w:id="298"/>
      <w:bookmarkStart w:id="299" w:name="_Toc184308100"/>
      <w:bookmarkEnd w:id="299"/>
      <w:bookmarkStart w:id="300" w:name="_Toc184312121"/>
      <w:bookmarkEnd w:id="300"/>
      <w:bookmarkStart w:id="301" w:name="_Toc184308105"/>
      <w:bookmarkEnd w:id="301"/>
      <w:bookmarkStart w:id="302" w:name="_Toc184312068"/>
      <w:bookmarkEnd w:id="302"/>
      <w:bookmarkStart w:id="303" w:name="_Toc184314419"/>
      <w:bookmarkEnd w:id="303"/>
      <w:bookmarkStart w:id="304" w:name="_Toc184308104"/>
      <w:bookmarkEnd w:id="304"/>
      <w:bookmarkStart w:id="305" w:name="_Toc184308073"/>
      <w:bookmarkEnd w:id="305"/>
      <w:bookmarkStart w:id="306" w:name="_Toc184314469"/>
      <w:bookmarkEnd w:id="306"/>
      <w:bookmarkStart w:id="307" w:name="_Toc184310342"/>
      <w:bookmarkEnd w:id="307"/>
      <w:bookmarkStart w:id="308" w:name="_Toc184313294"/>
      <w:bookmarkEnd w:id="308"/>
      <w:bookmarkStart w:id="309" w:name="_Toc184314466"/>
      <w:bookmarkEnd w:id="309"/>
      <w:bookmarkStart w:id="310" w:name="_Toc184308092"/>
      <w:bookmarkEnd w:id="310"/>
      <w:bookmarkStart w:id="311" w:name="_Toc184308102"/>
      <w:bookmarkEnd w:id="311"/>
      <w:bookmarkStart w:id="312" w:name="_Toc184310326"/>
      <w:bookmarkEnd w:id="312"/>
      <w:bookmarkStart w:id="313" w:name="_Toc184314445"/>
      <w:bookmarkEnd w:id="313"/>
      <w:bookmarkStart w:id="314" w:name="_Toc184310313"/>
      <w:bookmarkEnd w:id="314"/>
      <w:bookmarkStart w:id="315" w:name="_Toc184308074"/>
      <w:bookmarkEnd w:id="315"/>
      <w:bookmarkStart w:id="316" w:name="_Toc184310318"/>
      <w:bookmarkEnd w:id="316"/>
      <w:bookmarkStart w:id="317" w:name="_Toc184310320"/>
      <w:bookmarkEnd w:id="317"/>
      <w:bookmarkStart w:id="318" w:name="_Toc184313284"/>
      <w:bookmarkEnd w:id="318"/>
      <w:bookmarkStart w:id="319" w:name="_Toc184310310"/>
      <w:bookmarkEnd w:id="319"/>
      <w:bookmarkStart w:id="320" w:name="_Toc184314452"/>
      <w:bookmarkEnd w:id="320"/>
      <w:bookmarkStart w:id="321" w:name="_Toc184310319"/>
      <w:bookmarkEnd w:id="321"/>
      <w:bookmarkStart w:id="322" w:name="_Toc184314454"/>
      <w:bookmarkEnd w:id="322"/>
      <w:bookmarkStart w:id="323" w:name="_Toc184312109"/>
      <w:bookmarkEnd w:id="323"/>
      <w:bookmarkStart w:id="324" w:name="_Toc184313266"/>
      <w:bookmarkEnd w:id="324"/>
      <w:bookmarkStart w:id="325" w:name="_Toc184310275"/>
      <w:bookmarkEnd w:id="325"/>
      <w:bookmarkStart w:id="326" w:name="_Toc184313260"/>
      <w:bookmarkEnd w:id="326"/>
      <w:bookmarkStart w:id="327" w:name="_Toc184313286"/>
      <w:bookmarkEnd w:id="327"/>
      <w:bookmarkStart w:id="328" w:name="_Toc184310321"/>
      <w:bookmarkEnd w:id="328"/>
      <w:bookmarkStart w:id="329" w:name="_Toc184310274"/>
      <w:bookmarkEnd w:id="329"/>
      <w:bookmarkStart w:id="330" w:name="_Toc184314410"/>
      <w:bookmarkEnd w:id="330"/>
      <w:bookmarkStart w:id="331" w:name="_Toc184313238"/>
      <w:bookmarkEnd w:id="331"/>
      <w:bookmarkStart w:id="332" w:name="_Toc184313279"/>
      <w:bookmarkEnd w:id="332"/>
      <w:bookmarkStart w:id="333" w:name="_Toc184313261"/>
      <w:bookmarkEnd w:id="333"/>
      <w:bookmarkStart w:id="334" w:name="_Toc184313289"/>
      <w:bookmarkEnd w:id="334"/>
      <w:bookmarkStart w:id="335" w:name="_Toc184314467"/>
      <w:bookmarkEnd w:id="335"/>
      <w:bookmarkStart w:id="336" w:name="_Toc184313288"/>
      <w:bookmarkEnd w:id="336"/>
      <w:bookmarkStart w:id="337" w:name="_Toc184310333"/>
      <w:bookmarkEnd w:id="337"/>
      <w:bookmarkStart w:id="338" w:name="_Toc184310339"/>
      <w:bookmarkEnd w:id="338"/>
      <w:bookmarkStart w:id="339" w:name="_Toc184313305"/>
      <w:bookmarkEnd w:id="339"/>
      <w:bookmarkStart w:id="340" w:name="_Toc184310301"/>
      <w:bookmarkEnd w:id="340"/>
      <w:bookmarkStart w:id="341" w:name="_Toc184313245"/>
      <w:bookmarkEnd w:id="341"/>
      <w:bookmarkStart w:id="342" w:name="_Toc184313292"/>
      <w:bookmarkEnd w:id="342"/>
      <w:bookmarkStart w:id="343" w:name="_Toc184312111"/>
      <w:bookmarkEnd w:id="343"/>
      <w:bookmarkStart w:id="344" w:name="_Toc184312137"/>
      <w:bookmarkEnd w:id="344"/>
      <w:bookmarkStart w:id="345" w:name="_Toc184312135"/>
      <w:bookmarkEnd w:id="345"/>
      <w:bookmarkStart w:id="346" w:name="_Toc184310334"/>
      <w:bookmarkEnd w:id="346"/>
      <w:bookmarkStart w:id="347" w:name="_Toc184313296"/>
      <w:bookmarkEnd w:id="347"/>
      <w:bookmarkStart w:id="348" w:name="_Toc184310290"/>
      <w:bookmarkEnd w:id="348"/>
      <w:bookmarkStart w:id="349" w:name="_Toc184310306"/>
      <w:bookmarkEnd w:id="349"/>
      <w:bookmarkStart w:id="350" w:name="_Toc184308043"/>
      <w:bookmarkEnd w:id="350"/>
      <w:bookmarkStart w:id="351" w:name="_Toc184310284"/>
      <w:bookmarkEnd w:id="351"/>
      <w:bookmarkStart w:id="352" w:name="_Toc184308057"/>
      <w:bookmarkEnd w:id="352"/>
      <w:bookmarkStart w:id="353" w:name="_Toc184312116"/>
      <w:bookmarkEnd w:id="353"/>
      <w:bookmarkStart w:id="354" w:name="_Toc184313241"/>
      <w:bookmarkEnd w:id="354"/>
      <w:bookmarkStart w:id="355" w:name="_Toc184313291"/>
      <w:bookmarkEnd w:id="355"/>
      <w:bookmarkStart w:id="356" w:name="_Toc184314470"/>
      <w:bookmarkEnd w:id="356"/>
      <w:bookmarkStart w:id="357" w:name="_Toc184312123"/>
      <w:bookmarkEnd w:id="357"/>
      <w:bookmarkStart w:id="358" w:name="_Toc184310337"/>
      <w:bookmarkEnd w:id="358"/>
      <w:bookmarkStart w:id="359" w:name="_Toc184310288"/>
      <w:bookmarkEnd w:id="359"/>
      <w:bookmarkStart w:id="360" w:name="_Toc184312098"/>
      <w:bookmarkEnd w:id="360"/>
      <w:bookmarkStart w:id="361" w:name="_Toc184310286"/>
      <w:bookmarkEnd w:id="361"/>
      <w:bookmarkStart w:id="362" w:name="_Toc184308090"/>
      <w:bookmarkEnd w:id="362"/>
      <w:bookmarkStart w:id="363" w:name="_Toc184312126"/>
      <w:bookmarkEnd w:id="363"/>
      <w:bookmarkStart w:id="364" w:name="_Toc184312117"/>
      <w:bookmarkEnd w:id="364"/>
      <w:bookmarkStart w:id="365" w:name="_Toc184308072"/>
      <w:bookmarkEnd w:id="365"/>
      <w:bookmarkStart w:id="366" w:name="_Toc184312095"/>
      <w:bookmarkEnd w:id="366"/>
      <w:bookmarkStart w:id="367" w:name="_Toc184312093"/>
      <w:bookmarkEnd w:id="367"/>
      <w:bookmarkStart w:id="368" w:name="_Toc184308106"/>
      <w:bookmarkEnd w:id="368"/>
      <w:bookmarkStart w:id="369" w:name="_Toc184310316"/>
      <w:bookmarkEnd w:id="369"/>
      <w:bookmarkStart w:id="370" w:name="_Toc184308093"/>
      <w:bookmarkEnd w:id="370"/>
      <w:bookmarkStart w:id="371" w:name="_Toc184310335"/>
      <w:bookmarkEnd w:id="371"/>
      <w:bookmarkStart w:id="372" w:name="_Toc184310329"/>
      <w:bookmarkEnd w:id="372"/>
      <w:bookmarkStart w:id="373" w:name="_Toc184314420"/>
      <w:bookmarkEnd w:id="373"/>
      <w:bookmarkStart w:id="374" w:name="_Toc184310300"/>
      <w:bookmarkEnd w:id="374"/>
      <w:bookmarkStart w:id="375" w:name="_Toc184312092"/>
      <w:bookmarkEnd w:id="375"/>
      <w:bookmarkStart w:id="376" w:name="_Toc184312091"/>
      <w:bookmarkEnd w:id="376"/>
      <w:bookmarkStart w:id="377" w:name="_Toc184312077"/>
      <w:bookmarkEnd w:id="377"/>
      <w:bookmarkStart w:id="378" w:name="_Toc184308040"/>
      <w:bookmarkEnd w:id="378"/>
      <w:bookmarkStart w:id="379" w:name="_Toc184313257"/>
      <w:bookmarkEnd w:id="379"/>
      <w:bookmarkStart w:id="380" w:name="_Toc184314474"/>
      <w:bookmarkEnd w:id="380"/>
      <w:bookmarkStart w:id="381" w:name="_Toc184313263"/>
      <w:bookmarkEnd w:id="381"/>
      <w:bookmarkStart w:id="382" w:name="_Toc184310312"/>
      <w:bookmarkEnd w:id="382"/>
      <w:bookmarkStart w:id="383" w:name="_Toc184314468"/>
      <w:bookmarkEnd w:id="383"/>
      <w:bookmarkStart w:id="384" w:name="_Toc184312080"/>
      <w:bookmarkEnd w:id="384"/>
      <w:bookmarkStart w:id="385" w:name="_Toc184310336"/>
      <w:bookmarkEnd w:id="385"/>
      <w:bookmarkStart w:id="386" w:name="_Toc184308095"/>
      <w:bookmarkEnd w:id="386"/>
      <w:bookmarkStart w:id="387" w:name="_Toc184310343"/>
      <w:bookmarkEnd w:id="387"/>
      <w:bookmarkStart w:id="388" w:name="_Toc184312139"/>
      <w:bookmarkEnd w:id="388"/>
      <w:bookmarkStart w:id="389" w:name="_Toc184313250"/>
      <w:bookmarkEnd w:id="389"/>
      <w:bookmarkStart w:id="390" w:name="_Toc184310323"/>
      <w:bookmarkEnd w:id="390"/>
      <w:bookmarkStart w:id="391" w:name="_Toc184314417"/>
      <w:bookmarkEnd w:id="391"/>
      <w:bookmarkStart w:id="392" w:name="_Toc184313274"/>
      <w:bookmarkEnd w:id="392"/>
      <w:bookmarkStart w:id="393" w:name="_Toc184312072"/>
      <w:bookmarkEnd w:id="393"/>
      <w:bookmarkStart w:id="394" w:name="_Toc184313254"/>
      <w:bookmarkEnd w:id="394"/>
      <w:bookmarkStart w:id="395" w:name="_Toc184314458"/>
      <w:bookmarkEnd w:id="395"/>
      <w:bookmarkStart w:id="396" w:name="_Toc184314456"/>
      <w:bookmarkEnd w:id="396"/>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单价或者总金额</w:t>
      </w:r>
      <w:r>
        <w:rPr>
          <w:rFonts w:hint="eastAsia" w:ascii="宋体" w:hAnsi="宋体" w:cs="宋体"/>
          <w:color w:val="auto"/>
          <w:kern w:val="0"/>
          <w:sz w:val="24"/>
          <w:lang w:eastAsia="zh-CN"/>
        </w:rPr>
        <w:t>）</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w:t>
      </w:r>
      <w:r>
        <w:rPr>
          <w:rFonts w:hint="eastAsia" w:ascii="宋体" w:hAnsi="宋体"/>
          <w:sz w:val="24"/>
          <w:u w:val="single"/>
        </w:rPr>
        <w:t xml:space="preserve">价 </w:t>
      </w:r>
      <w:r>
        <w:rPr>
          <w:rFonts w:hint="eastAsia" w:ascii="宋体" w:hAnsi="宋体"/>
          <w:sz w:val="24"/>
        </w:rPr>
        <w:t>形式对</w:t>
      </w:r>
      <w:r>
        <w:rPr>
          <w:rFonts w:hint="eastAsia" w:ascii="宋体" w:hAnsi="宋体" w:cs="宋体"/>
          <w:sz w:val="24"/>
          <w:u w:val="single"/>
          <w:lang w:eastAsia="zh-CN"/>
        </w:rPr>
        <w:t xml:space="preserve"> 2024年临江公司机械非标件委外加工服务采购项目（重新询价）</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97" w:name="_Toc20421"/>
      <w:bookmarkStart w:id="398" w:name="_Toc19273"/>
      <w:bookmarkStart w:id="399" w:name="_Toc22967"/>
      <w:bookmarkStart w:id="400" w:name="_Toc28855"/>
      <w:bookmarkStart w:id="401" w:name="_Toc153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7"/>
      <w:bookmarkEnd w:id="398"/>
      <w:bookmarkEnd w:id="399"/>
      <w:bookmarkEnd w:id="400"/>
      <w:bookmarkEnd w:id="401"/>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402" w:name="_Toc6311"/>
      <w:bookmarkStart w:id="403" w:name="_Toc6773"/>
      <w:bookmarkStart w:id="404" w:name="_Toc22185"/>
      <w:bookmarkStart w:id="405" w:name="_Toc18585"/>
      <w:bookmarkStart w:id="406" w:name="_Toc2918"/>
      <w:r>
        <w:rPr>
          <w:rFonts w:hint="eastAsia" w:ascii="宋体" w:hAnsi="宋体"/>
          <w:b/>
          <w:sz w:val="24"/>
        </w:rPr>
        <w:t>二、合同标的</w:t>
      </w:r>
      <w:bookmarkEnd w:id="402"/>
      <w:bookmarkEnd w:id="403"/>
      <w:bookmarkEnd w:id="404"/>
      <w:bookmarkEnd w:id="405"/>
      <w:bookmarkEnd w:id="406"/>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6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sz w:val="24"/>
          <w:u w:val="single"/>
          <w:lang w:val="en-US" w:eastAsia="zh-CN"/>
        </w:rPr>
        <w:t>结算金额=加工服务费（单价*数量）+材料费用（单价*数量）+送货费（单价*数量），</w:t>
      </w:r>
      <w:r>
        <w:rPr>
          <w:rFonts w:hint="eastAsia" w:ascii="宋体" w:hAnsi="宋体"/>
          <w:sz w:val="24"/>
        </w:rPr>
        <w:t>分项清单如下：</w:t>
      </w:r>
      <w:r>
        <w:rPr>
          <w:rFonts w:hint="eastAsia" w:ascii="宋体" w:hAnsi="宋体" w:cs="宋体"/>
          <w:sz w:val="24"/>
        </w:rPr>
        <w:t xml:space="preserve"> </w:t>
      </w:r>
    </w:p>
    <w:tbl>
      <w:tblPr>
        <w:tblStyle w:val="15"/>
        <w:tblW w:w="9012" w:type="dxa"/>
        <w:tblInd w:w="-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994"/>
        <w:gridCol w:w="1193"/>
        <w:gridCol w:w="1191"/>
        <w:gridCol w:w="662"/>
        <w:gridCol w:w="640"/>
        <w:gridCol w:w="640"/>
        <w:gridCol w:w="751"/>
        <w:gridCol w:w="672"/>
        <w:gridCol w:w="720"/>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类别</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加工类别/材料类别</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计费单位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三固需求</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能源需求</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需求合计</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三固金额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能源金额</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镗加工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线切割加工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热处理</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Q345-B</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12Cr1MoV</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不锈钢304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不锈钢316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送货费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（3）其他计价方式：</w:t>
      </w:r>
      <w:r>
        <w:rPr>
          <w:rFonts w:hint="eastAsia" w:ascii="宋体" w:hAnsi="宋体"/>
          <w:sz w:val="24"/>
          <w:u w:val="single"/>
          <w:lang w:val="en-US" w:eastAsia="zh-CN"/>
        </w:rPr>
        <w:t xml:space="preserve">  /。</w:t>
      </w:r>
      <w:r>
        <w:rPr>
          <w:rFonts w:hint="eastAsia" w:ascii="宋体" w:hAnsi="宋体"/>
          <w:sz w:val="24"/>
          <w:lang w:val="en-US" w:eastAsia="zh-CN"/>
        </w:rPr>
        <w:t xml:space="preserve">  </w:t>
      </w:r>
      <w:bookmarkStart w:id="407" w:name="_Toc22618"/>
      <w:bookmarkStart w:id="408" w:name="_Toc1814"/>
      <w:bookmarkStart w:id="409" w:name="_Toc10340"/>
      <w:bookmarkStart w:id="410" w:name="_Toc11108"/>
      <w:bookmarkStart w:id="411" w:name="_Toc8772"/>
      <w:bookmarkStart w:id="412" w:name="_Toc4760"/>
      <w:bookmarkStart w:id="413" w:name="_Toc31421"/>
      <w:bookmarkStart w:id="414" w:name="_Toc3625"/>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三、履行期限、地点、联系方式、交付方式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15" w:name="_Toc6596"/>
      <w:bookmarkStart w:id="416" w:name="_Toc1125"/>
      <w:bookmarkStart w:id="417" w:name="_Toc14563"/>
      <w:r>
        <w:rPr>
          <w:rFonts w:hint="eastAsia" w:ascii="宋体" w:hAnsi="宋体" w:cs="宋体"/>
          <w:b/>
          <w:sz w:val="24"/>
        </w:rPr>
        <w:t>五、检验和验收</w:t>
      </w:r>
      <w:bookmarkEnd w:id="415"/>
      <w:bookmarkEnd w:id="416"/>
      <w:bookmarkEnd w:id="417"/>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满足采购文件中第三章采购需求中的技术要求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747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407"/>
    <w:bookmarkEnd w:id="408"/>
    <w:bookmarkEnd w:id="409"/>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u w:val="single"/>
          <w:lang w:val="en-US" w:eastAsia="zh-CN"/>
        </w:rPr>
        <w:t>发票要求材料费开具货物类增值税专用发票，加工服务费开具服务类增值税专用发票</w:t>
      </w:r>
      <w:r>
        <w:rPr>
          <w:rFonts w:hint="eastAsia"/>
          <w:lang w:val="en-US" w:eastAsia="zh-CN"/>
        </w:rPr>
        <w:t>，</w:t>
      </w:r>
      <w:r>
        <w:rPr>
          <w:rFonts w:hint="eastAsia"/>
        </w:rPr>
        <w:t>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10"/>
      <w:bookmarkEnd w:id="411"/>
      <w:bookmarkEnd w:id="412"/>
      <w:bookmarkEnd w:id="413"/>
      <w:bookmarkEnd w:id="414"/>
      <w:bookmarkStart w:id="418" w:name="_Toc24662"/>
      <w:bookmarkStart w:id="419" w:name="_Toc2375"/>
      <w:bookmarkStart w:id="420" w:name="_Toc3079"/>
      <w:bookmarkStart w:id="421" w:name="_Toc5698"/>
      <w:bookmarkStart w:id="422" w:name="_Toc8586"/>
      <w:r>
        <w:rPr>
          <w:rFonts w:hint="eastAsia" w:ascii="宋体" w:hAnsi="宋体"/>
          <w:b/>
          <w:sz w:val="24"/>
        </w:rPr>
        <w:t>违约责任</w:t>
      </w:r>
      <w:bookmarkEnd w:id="418"/>
      <w:bookmarkEnd w:id="419"/>
      <w:bookmarkEnd w:id="420"/>
      <w:bookmarkEnd w:id="421"/>
      <w:bookmarkEnd w:id="42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23" w:name="_Toc26807"/>
      <w:bookmarkStart w:id="424" w:name="_Toc18683"/>
      <w:bookmarkStart w:id="425" w:name="_Toc30329"/>
      <w:bookmarkStart w:id="426" w:name="_Toc9497"/>
      <w:bookmarkStart w:id="427" w:name="_Toc32454"/>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23"/>
    <w:bookmarkEnd w:id="424"/>
    <w:bookmarkEnd w:id="425"/>
    <w:bookmarkEnd w:id="426"/>
    <w:bookmarkEnd w:id="427"/>
    <w:p>
      <w:pPr>
        <w:spacing w:line="360" w:lineRule="auto"/>
        <w:ind w:firstLine="482" w:firstLineChars="200"/>
        <w:outlineLvl w:val="0"/>
        <w:rPr>
          <w:rFonts w:ascii="宋体" w:hAnsi="宋体" w:cs="宋体"/>
          <w:b/>
          <w:sz w:val="24"/>
        </w:rPr>
      </w:pPr>
      <w:bookmarkStart w:id="428" w:name="_Toc15583"/>
      <w:bookmarkStart w:id="429" w:name="_Toc16021"/>
      <w:bookmarkStart w:id="430" w:name="_Toc28375"/>
      <w:r>
        <w:rPr>
          <w:rFonts w:hint="eastAsia" w:ascii="宋体" w:hAnsi="宋体" w:cs="宋体"/>
          <w:b/>
          <w:sz w:val="24"/>
        </w:rPr>
        <w:t>十一、合同争议的解决</w:t>
      </w:r>
      <w:bookmarkEnd w:id="428"/>
      <w:bookmarkEnd w:id="429"/>
      <w:bookmarkEnd w:id="430"/>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31" w:name="_Toc7245"/>
      <w:bookmarkStart w:id="432" w:name="_Toc11173"/>
      <w:bookmarkStart w:id="433" w:name="_Toc15322"/>
      <w:r>
        <w:rPr>
          <w:rFonts w:hint="eastAsia" w:ascii="宋体" w:hAnsi="宋体" w:cs="宋体"/>
          <w:b/>
          <w:sz w:val="24"/>
        </w:rPr>
        <w:t>十二、合同生效</w:t>
      </w:r>
      <w:bookmarkEnd w:id="431"/>
      <w:bookmarkEnd w:id="432"/>
      <w:bookmarkEnd w:id="433"/>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34" w:name="_Toc5228"/>
      <w:bookmarkStart w:id="435" w:name="_Toc25079"/>
      <w:bookmarkStart w:id="436" w:name="_Toc14021"/>
      <w:bookmarkStart w:id="437" w:name="_Toc31297"/>
      <w:bookmarkStart w:id="438" w:name="_Toc19680"/>
      <w:r>
        <w:rPr>
          <w:rFonts w:hint="eastAsia" w:ascii="宋体" w:hAnsi="宋体"/>
          <w:b/>
          <w:sz w:val="24"/>
        </w:rPr>
        <w:t>一、</w:t>
      </w:r>
      <w:r>
        <w:rPr>
          <w:rFonts w:ascii="宋体" w:hAnsi="宋体"/>
          <w:b/>
          <w:sz w:val="24"/>
        </w:rPr>
        <w:t>定义</w:t>
      </w:r>
      <w:bookmarkEnd w:id="434"/>
      <w:bookmarkEnd w:id="435"/>
      <w:bookmarkEnd w:id="436"/>
      <w:bookmarkEnd w:id="437"/>
      <w:bookmarkEnd w:id="438"/>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9" w:name="_Toc23289"/>
      <w:bookmarkStart w:id="440" w:name="_Toc16752"/>
      <w:bookmarkStart w:id="441" w:name="_Toc31402"/>
      <w:bookmarkStart w:id="442" w:name="_Toc3769"/>
      <w:bookmarkStart w:id="443" w:name="_Toc19539"/>
      <w:r>
        <w:rPr>
          <w:rFonts w:hint="eastAsia" w:ascii="宋体" w:hAnsi="宋体"/>
          <w:b/>
          <w:sz w:val="24"/>
        </w:rPr>
        <w:t>二、</w:t>
      </w:r>
      <w:r>
        <w:rPr>
          <w:rFonts w:ascii="宋体" w:hAnsi="宋体"/>
          <w:b/>
          <w:sz w:val="24"/>
        </w:rPr>
        <w:t xml:space="preserve"> 技术规范</w:t>
      </w:r>
      <w:bookmarkEnd w:id="439"/>
      <w:bookmarkEnd w:id="440"/>
      <w:bookmarkEnd w:id="441"/>
      <w:bookmarkEnd w:id="442"/>
      <w:bookmarkEnd w:id="443"/>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44" w:name="_Toc12412"/>
      <w:bookmarkStart w:id="445" w:name="_Toc27945"/>
      <w:bookmarkStart w:id="446" w:name="_Toc13673"/>
      <w:bookmarkStart w:id="447" w:name="_Toc9161"/>
      <w:bookmarkStart w:id="448" w:name="_Toc4133"/>
      <w:r>
        <w:rPr>
          <w:rFonts w:hint="eastAsia" w:ascii="宋体" w:hAnsi="宋体"/>
          <w:b/>
          <w:sz w:val="24"/>
        </w:rPr>
        <w:t>三、</w:t>
      </w:r>
      <w:r>
        <w:rPr>
          <w:rFonts w:ascii="宋体" w:hAnsi="宋体"/>
          <w:b/>
          <w:sz w:val="24"/>
        </w:rPr>
        <w:t xml:space="preserve"> 知识产权</w:t>
      </w:r>
      <w:bookmarkEnd w:id="444"/>
      <w:bookmarkEnd w:id="445"/>
      <w:bookmarkEnd w:id="446"/>
      <w:bookmarkEnd w:id="447"/>
      <w:bookmarkEnd w:id="44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9" w:name="_Toc26555"/>
      <w:bookmarkStart w:id="450" w:name="_Toc22011"/>
      <w:bookmarkStart w:id="451" w:name="_Toc32670"/>
      <w:bookmarkStart w:id="452" w:name="_Toc31233"/>
      <w:bookmarkStart w:id="453" w:name="_Toc15447"/>
      <w:r>
        <w:rPr>
          <w:rFonts w:hint="eastAsia" w:ascii="宋体" w:hAnsi="宋体"/>
          <w:b/>
          <w:sz w:val="24"/>
        </w:rPr>
        <w:t>五、</w:t>
      </w:r>
      <w:r>
        <w:rPr>
          <w:rFonts w:ascii="宋体" w:hAnsi="宋体"/>
          <w:b/>
          <w:sz w:val="24"/>
        </w:rPr>
        <w:t>结算方式和付款条件</w:t>
      </w:r>
      <w:bookmarkEnd w:id="449"/>
      <w:bookmarkEnd w:id="450"/>
      <w:bookmarkEnd w:id="451"/>
      <w:bookmarkEnd w:id="452"/>
      <w:bookmarkEnd w:id="453"/>
    </w:p>
    <w:p>
      <w:pPr>
        <w:spacing w:line="360" w:lineRule="auto"/>
        <w:ind w:firstLine="480" w:firstLineChars="200"/>
        <w:outlineLvl w:val="0"/>
        <w:rPr>
          <w:rFonts w:hint="eastAsia" w:ascii="宋体" w:hAnsi="宋体"/>
          <w:bCs/>
          <w:sz w:val="24"/>
        </w:rPr>
      </w:pPr>
      <w:bookmarkStart w:id="454" w:name="_Toc16163"/>
      <w:bookmarkStart w:id="455" w:name="_Toc30507"/>
      <w:bookmarkStart w:id="456" w:name="_Toc18990"/>
      <w:bookmarkStart w:id="457" w:name="_Toc13154"/>
      <w:bookmarkStart w:id="458" w:name="_Toc1346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9" w:name="_Toc19069"/>
      <w:r>
        <w:rPr>
          <w:rFonts w:hint="eastAsia" w:ascii="宋体" w:hAnsi="宋体"/>
          <w:b/>
          <w:sz w:val="24"/>
        </w:rPr>
        <w:t>七、质量保证</w:t>
      </w:r>
      <w:bookmarkEnd w:id="459"/>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60"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60"/>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61" w:name="_Toc10611"/>
      <w:r>
        <w:rPr>
          <w:rFonts w:hint="eastAsia" w:ascii="宋体" w:hAnsi="宋体"/>
          <w:b/>
          <w:sz w:val="24"/>
        </w:rPr>
        <w:t>九、合同变更</w:t>
      </w:r>
      <w:bookmarkEnd w:id="461"/>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62" w:name="_Toc42"/>
      <w:bookmarkStart w:id="463" w:name="_Toc10663"/>
      <w:bookmarkStart w:id="464" w:name="_Toc21830"/>
      <w:bookmarkStart w:id="465" w:name="_Toc23368"/>
      <w:bookmarkStart w:id="466"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62"/>
      <w:bookmarkEnd w:id="463"/>
      <w:bookmarkEnd w:id="464"/>
      <w:bookmarkEnd w:id="465"/>
      <w:bookmarkEnd w:id="466"/>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67" w:name="_Toc26633"/>
      <w:bookmarkStart w:id="468" w:name="_Toc32494"/>
      <w:bookmarkStart w:id="469" w:name="_Toc25571"/>
      <w:bookmarkStart w:id="470" w:name="_Toc4720"/>
      <w:bookmarkStart w:id="471" w:name="_Toc14371"/>
      <w:r>
        <w:rPr>
          <w:rFonts w:hint="eastAsia" w:ascii="宋体" w:hAnsi="宋体"/>
          <w:b/>
          <w:sz w:val="24"/>
        </w:rPr>
        <w:t>十一、</w:t>
      </w:r>
      <w:r>
        <w:rPr>
          <w:rFonts w:ascii="宋体" w:hAnsi="宋体"/>
          <w:b/>
          <w:sz w:val="24"/>
        </w:rPr>
        <w:t>不可抗力</w:t>
      </w:r>
      <w:bookmarkEnd w:id="467"/>
      <w:bookmarkEnd w:id="468"/>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72" w:name="_Toc24465"/>
      <w:bookmarkStart w:id="473" w:name="_Toc14115"/>
      <w:bookmarkStart w:id="474" w:name="_Toc3638"/>
      <w:bookmarkStart w:id="475" w:name="_Toc25783"/>
      <w:bookmarkStart w:id="476" w:name="_Toc23854"/>
      <w:r>
        <w:rPr>
          <w:rFonts w:hint="eastAsia" w:ascii="宋体" w:hAnsi="宋体"/>
          <w:b/>
          <w:sz w:val="24"/>
        </w:rPr>
        <w:t>十二、</w:t>
      </w:r>
      <w:r>
        <w:rPr>
          <w:rFonts w:ascii="宋体" w:hAnsi="宋体"/>
          <w:b/>
          <w:sz w:val="24"/>
        </w:rPr>
        <w:t>税费</w:t>
      </w:r>
      <w:bookmarkEnd w:id="472"/>
      <w:bookmarkEnd w:id="473"/>
      <w:bookmarkEnd w:id="474"/>
      <w:bookmarkEnd w:id="475"/>
      <w:bookmarkEnd w:id="476"/>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77" w:name="_Toc26883"/>
      <w:bookmarkStart w:id="478" w:name="_Toc7315"/>
      <w:bookmarkStart w:id="479" w:name="_Toc25525"/>
      <w:bookmarkStart w:id="480" w:name="_Toc14814"/>
      <w:bookmarkStart w:id="481" w:name="_Toc30105"/>
      <w:r>
        <w:rPr>
          <w:rFonts w:hint="eastAsia" w:ascii="宋体" w:hAnsi="宋体"/>
          <w:b/>
          <w:sz w:val="24"/>
        </w:rPr>
        <w:t>十三、</w:t>
      </w:r>
      <w:r>
        <w:rPr>
          <w:rFonts w:ascii="宋体" w:hAnsi="宋体"/>
          <w:b/>
          <w:sz w:val="24"/>
        </w:rPr>
        <w:t>乙方破产</w:t>
      </w:r>
      <w:bookmarkEnd w:id="477"/>
      <w:bookmarkEnd w:id="478"/>
      <w:bookmarkEnd w:id="479"/>
      <w:bookmarkEnd w:id="480"/>
      <w:bookmarkEnd w:id="481"/>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82" w:name="_Toc23323"/>
      <w:bookmarkStart w:id="483" w:name="_Toc2016"/>
      <w:bookmarkStart w:id="484" w:name="_Toc1123"/>
      <w:r>
        <w:rPr>
          <w:rFonts w:hint="eastAsia" w:ascii="宋体" w:hAnsi="宋体"/>
          <w:b/>
          <w:sz w:val="24"/>
        </w:rPr>
        <w:t>十四、</w:t>
      </w:r>
      <w:r>
        <w:rPr>
          <w:rFonts w:ascii="宋体" w:hAnsi="宋体"/>
          <w:b/>
          <w:sz w:val="24"/>
        </w:rPr>
        <w:t>合同中止、终止</w:t>
      </w:r>
      <w:bookmarkEnd w:id="482"/>
      <w:bookmarkEnd w:id="483"/>
      <w:bookmarkEnd w:id="48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85" w:name="_Toc14525"/>
      <w:bookmarkStart w:id="486" w:name="_Toc17363"/>
      <w:bookmarkStart w:id="487" w:name="_Toc1969"/>
      <w:r>
        <w:rPr>
          <w:rFonts w:hint="eastAsia" w:ascii="宋体" w:hAnsi="宋体"/>
          <w:b/>
          <w:sz w:val="24"/>
        </w:rPr>
        <w:t>十五</w:t>
      </w:r>
      <w:bookmarkEnd w:id="485"/>
      <w:bookmarkEnd w:id="486"/>
      <w:bookmarkEnd w:id="487"/>
      <w:bookmarkStart w:id="488" w:name="_Toc25198"/>
      <w:bookmarkStart w:id="489" w:name="_Toc12666"/>
      <w:bookmarkStart w:id="490" w:name="_Toc2308"/>
      <w:bookmarkStart w:id="491" w:name="_Toc9808"/>
      <w:bookmarkStart w:id="492" w:name="_Toc31892"/>
      <w:r>
        <w:rPr>
          <w:rFonts w:hint="eastAsia" w:ascii="宋体" w:hAnsi="宋体"/>
          <w:b/>
          <w:sz w:val="24"/>
        </w:rPr>
        <w:t>、</w:t>
      </w:r>
      <w:r>
        <w:rPr>
          <w:rFonts w:ascii="宋体" w:hAnsi="宋体"/>
          <w:b/>
          <w:sz w:val="24"/>
        </w:rPr>
        <w:t>通知和送达</w:t>
      </w:r>
      <w:bookmarkEnd w:id="488"/>
      <w:bookmarkEnd w:id="489"/>
      <w:bookmarkEnd w:id="490"/>
      <w:bookmarkEnd w:id="491"/>
      <w:bookmarkEnd w:id="492"/>
    </w:p>
    <w:p>
      <w:pPr>
        <w:spacing w:line="360" w:lineRule="auto"/>
        <w:ind w:firstLine="480" w:firstLineChars="200"/>
        <w:rPr>
          <w:rFonts w:ascii="宋体" w:hAnsi="宋体"/>
          <w:sz w:val="24"/>
        </w:rPr>
      </w:pPr>
      <w:bookmarkStart w:id="493" w:name="_Toc27674"/>
      <w:bookmarkStart w:id="494" w:name="_Toc18401"/>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3"/>
      <w:bookmarkEnd w:id="494"/>
    </w:p>
    <w:p>
      <w:pPr>
        <w:spacing w:line="360" w:lineRule="auto"/>
        <w:ind w:firstLine="482" w:firstLineChars="200"/>
        <w:outlineLvl w:val="0"/>
        <w:rPr>
          <w:rFonts w:ascii="宋体" w:hAnsi="宋体" w:cs="宋体"/>
          <w:b/>
          <w:sz w:val="24"/>
        </w:rPr>
      </w:pPr>
      <w:bookmarkStart w:id="495" w:name="_Toc4355"/>
      <w:bookmarkStart w:id="496" w:name="_Toc18540"/>
      <w:bookmarkStart w:id="497" w:name="_Toc30599"/>
      <w:bookmarkStart w:id="498" w:name="_Toc12254"/>
      <w:bookmarkStart w:id="499" w:name="_Toc28906"/>
      <w:bookmarkStart w:id="500" w:name="_Toc5063"/>
      <w:bookmarkStart w:id="501" w:name="_Toc27644"/>
      <w:bookmarkStart w:id="502" w:name="_Toc20808"/>
      <w:r>
        <w:rPr>
          <w:rFonts w:hint="eastAsia" w:ascii="宋体" w:hAnsi="宋体" w:cs="宋体"/>
          <w:b/>
          <w:sz w:val="24"/>
        </w:rPr>
        <w:t>十六、计量单位</w:t>
      </w:r>
      <w:bookmarkEnd w:id="495"/>
      <w:bookmarkEnd w:id="496"/>
      <w:bookmarkEnd w:id="497"/>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8"/>
      <w:bookmarkEnd w:id="499"/>
      <w:bookmarkEnd w:id="500"/>
      <w:bookmarkEnd w:id="501"/>
      <w:bookmarkEnd w:id="50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51018657@qq.com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2024年临江公司机械非标件委外加工服务采购项目（重新询价）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2024年临江公司机械非标件委外加工服务采购项目（重新询价）   </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2024年临江公司机械非标件委外加工服务采购项目（重新询价）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202404017</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ind w:left="0" w:leftChars="0" w:firstLine="0" w:firstLineChars="0"/>
      </w:pPr>
    </w:p>
    <w:p>
      <w:pPr>
        <w:pStyle w:val="7"/>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202404017</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2024年临江公司机械非标件委外加工服务采购项目（重新询价）（项目编号：202404017）</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7"/>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2024年临江公司机械非标件委外加工服务采购项目（重新询价）（项目编号：202404017）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2024年临江公司机械非标件委外加工服务采购项目（重新询价）</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202404017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2024年临江公司机械非标件委外加工服务采购项目（重新询价）</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val="en-US" w:eastAsia="zh-CN"/>
        </w:rPr>
        <w:t>202404017</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01"/>
        <w:gridCol w:w="1753"/>
        <w:gridCol w:w="1938"/>
        <w:gridCol w:w="1631"/>
        <w:gridCol w:w="1236"/>
        <w:gridCol w:w="1555"/>
        <w:gridCol w:w="1436"/>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73"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序号</w:t>
            </w:r>
          </w:p>
        </w:tc>
        <w:tc>
          <w:tcPr>
            <w:tcW w:w="2001"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类别</w:t>
            </w:r>
          </w:p>
        </w:tc>
        <w:tc>
          <w:tcPr>
            <w:tcW w:w="1753"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加工类别/材料类别</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计费单位</w:t>
            </w:r>
          </w:p>
        </w:tc>
        <w:tc>
          <w:tcPr>
            <w:tcW w:w="1631"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单价限价</w:t>
            </w:r>
          </w:p>
        </w:tc>
        <w:tc>
          <w:tcPr>
            <w:tcW w:w="1236"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暂定</w:t>
            </w:r>
            <w:r>
              <w:rPr>
                <w:rFonts w:hint="eastAsia" w:cs="仿宋" w:asciiTheme="minorEastAsia" w:hAnsiTheme="minorEastAsia"/>
                <w:b/>
                <w:color w:val="auto"/>
                <w:sz w:val="24"/>
              </w:rPr>
              <w:t>数量</w:t>
            </w:r>
          </w:p>
        </w:tc>
        <w:tc>
          <w:tcPr>
            <w:tcW w:w="155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436"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37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车加工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铣加工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3</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磨加工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4</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数控加工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5</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冲加工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6</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镗加工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7</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线切割加工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8</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铣加工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9</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刨加工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320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10</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钳加工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11</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热处理</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12</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焊接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13</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组装</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14</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Q235-B</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630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15</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Q345-B</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16</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20g</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17</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18</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12Cr1MoV</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640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19</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铝合金</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20</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铜</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21</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不锈钢304</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22</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不锈钢316</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23</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亚克力</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24</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尼龙</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25</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橡胶</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26</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聚四氟乙烯</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27</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塑料</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28</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送货费</w:t>
            </w:r>
          </w:p>
        </w:tc>
        <w:tc>
          <w:tcPr>
            <w:tcW w:w="1753" w:type="dxa"/>
            <w:vAlign w:val="center"/>
          </w:tcPr>
          <w:p>
            <w:pPr>
              <w:jc w:val="center"/>
              <w:rPr>
                <w:rFonts w:hint="eastAsia" w:cs="仿宋" w:asciiTheme="minorEastAsia" w:hAnsiTheme="minorEastAsia"/>
                <w:color w:val="auto"/>
                <w:sz w:val="24"/>
                <w:lang w:val="en-US" w:eastAsia="zh-CN"/>
              </w:rPr>
            </w:pP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元/次</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601" w:type="dxa"/>
            <w:gridSpan w:val="9"/>
            <w:vAlign w:val="center"/>
          </w:tcPr>
          <w:p>
            <w:pPr>
              <w:spacing w:line="360" w:lineRule="auto"/>
              <w:jc w:val="center"/>
              <w:rPr>
                <w:rFonts w:hint="default" w:cs="仿宋" w:asciiTheme="minorEastAsia" w:hAnsiTheme="minorEastAsia"/>
                <w:color w:val="auto"/>
                <w:sz w:val="24"/>
                <w:lang w:val="en-US"/>
              </w:rPr>
            </w:pPr>
            <w:r>
              <w:rPr>
                <w:rFonts w:hint="eastAsia" w:ascii="宋体" w:hAnsi="宋体"/>
                <w:sz w:val="24"/>
                <w:u w:val="none"/>
                <w:lang w:val="en-US" w:eastAsia="zh-CN"/>
              </w:rPr>
              <w:t>结算金额=加工服务费（单价*数量）+材料费用（单价*数量）+送货费（单价*数量），在合同履行期限内，单价不作调整。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27"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1938" w:type="dxa"/>
            <w:vAlign w:val="center"/>
          </w:tcPr>
          <w:p>
            <w:pPr>
              <w:spacing w:line="360" w:lineRule="auto"/>
              <w:jc w:val="center"/>
              <w:rPr>
                <w:rFonts w:hint="eastAsia" w:cs="仿宋" w:asciiTheme="minorEastAsia" w:hAnsiTheme="minorEastAsia"/>
                <w:b/>
                <w:color w:val="auto"/>
                <w:sz w:val="24"/>
              </w:rPr>
            </w:pPr>
          </w:p>
        </w:tc>
        <w:tc>
          <w:tcPr>
            <w:tcW w:w="7236"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27"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1938" w:type="dxa"/>
            <w:vAlign w:val="center"/>
          </w:tcPr>
          <w:p>
            <w:pPr>
              <w:spacing w:line="360" w:lineRule="auto"/>
              <w:jc w:val="center"/>
              <w:rPr>
                <w:rFonts w:hint="eastAsia" w:cs="仿宋" w:asciiTheme="minorEastAsia" w:hAnsiTheme="minorEastAsia"/>
                <w:b/>
                <w:color w:val="auto"/>
                <w:sz w:val="24"/>
              </w:rPr>
            </w:pPr>
          </w:p>
        </w:tc>
        <w:tc>
          <w:tcPr>
            <w:tcW w:w="7236"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427"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1938" w:type="dxa"/>
            <w:vAlign w:val="center"/>
          </w:tcPr>
          <w:p>
            <w:pPr>
              <w:spacing w:line="360" w:lineRule="auto"/>
              <w:jc w:val="center"/>
              <w:rPr>
                <w:rFonts w:hint="eastAsia" w:cs="仿宋" w:asciiTheme="minorEastAsia" w:hAnsiTheme="minorEastAsia"/>
                <w:b/>
                <w:color w:val="auto"/>
                <w:sz w:val="24"/>
                <w:lang w:eastAsia="zh-CN"/>
              </w:rPr>
            </w:pPr>
          </w:p>
        </w:tc>
        <w:tc>
          <w:tcPr>
            <w:tcW w:w="7236"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03" w:name="_Toc465665161"/>
      <w:r>
        <w:rPr>
          <w:rFonts w:hint="eastAsia" w:cs="宋体" w:asciiTheme="minorEastAsia" w:hAnsiTheme="minorEastAsia"/>
          <w:b/>
          <w:bCs/>
          <w:color w:val="auto"/>
          <w:kern w:val="44"/>
          <w:sz w:val="44"/>
          <w:szCs w:val="44"/>
        </w:rPr>
        <w:t>附件</w:t>
      </w:r>
      <w:bookmarkEnd w:id="503"/>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202404017</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u w:val="single"/>
          <w:lang w:val="en-US" w:eastAsia="zh-CN"/>
        </w:rPr>
        <w:t>2024年临江公司机械非标件委外加工服务采购项目（重新询价）【项目编号：202404017】</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2024年临江公司机械非标件委外加工服务采购项目（重新询价）</w:t>
      </w:r>
      <w:r>
        <w:rPr>
          <w:rFonts w:hint="eastAsia" w:ascii="宋体" w:hAnsi="宋体" w:cs="宋体"/>
          <w:sz w:val="24"/>
          <w:u w:val="single"/>
        </w:rPr>
        <w:t>（项目编号：</w:t>
      </w:r>
      <w:r>
        <w:rPr>
          <w:rFonts w:hint="eastAsia" w:ascii="宋体" w:hAnsi="宋体" w:cs="宋体"/>
          <w:sz w:val="24"/>
          <w:u w:val="single"/>
          <w:lang w:eastAsia="zh-CN"/>
        </w:rPr>
        <w:t>202404017</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3">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23E1286"/>
    <w:rsid w:val="046A1781"/>
    <w:rsid w:val="04E634F4"/>
    <w:rsid w:val="05150472"/>
    <w:rsid w:val="051B17AF"/>
    <w:rsid w:val="06324807"/>
    <w:rsid w:val="06513F99"/>
    <w:rsid w:val="0805754C"/>
    <w:rsid w:val="08670640"/>
    <w:rsid w:val="08E37A2F"/>
    <w:rsid w:val="09EC7123"/>
    <w:rsid w:val="09ED56C9"/>
    <w:rsid w:val="0BD07B44"/>
    <w:rsid w:val="0C492847"/>
    <w:rsid w:val="0DBF68FD"/>
    <w:rsid w:val="0E6C4EE3"/>
    <w:rsid w:val="0F095788"/>
    <w:rsid w:val="0F81598B"/>
    <w:rsid w:val="103E6C8D"/>
    <w:rsid w:val="10BE08E9"/>
    <w:rsid w:val="110A7A5F"/>
    <w:rsid w:val="1157552B"/>
    <w:rsid w:val="14521AA0"/>
    <w:rsid w:val="15BE749A"/>
    <w:rsid w:val="15DB004C"/>
    <w:rsid w:val="166F3635"/>
    <w:rsid w:val="18495740"/>
    <w:rsid w:val="18506B83"/>
    <w:rsid w:val="185A544F"/>
    <w:rsid w:val="18890233"/>
    <w:rsid w:val="198737C7"/>
    <w:rsid w:val="19DC6BDA"/>
    <w:rsid w:val="1AA56FDE"/>
    <w:rsid w:val="1B737891"/>
    <w:rsid w:val="1B7913A6"/>
    <w:rsid w:val="1CDE6781"/>
    <w:rsid w:val="1F457921"/>
    <w:rsid w:val="1F8A4FBC"/>
    <w:rsid w:val="20A63294"/>
    <w:rsid w:val="20B971DB"/>
    <w:rsid w:val="21677697"/>
    <w:rsid w:val="22A244DC"/>
    <w:rsid w:val="23AE001C"/>
    <w:rsid w:val="26296BB1"/>
    <w:rsid w:val="27100E51"/>
    <w:rsid w:val="284A39BF"/>
    <w:rsid w:val="28E0583E"/>
    <w:rsid w:val="29832BE8"/>
    <w:rsid w:val="299F10CE"/>
    <w:rsid w:val="2A6366FF"/>
    <w:rsid w:val="2A6807FA"/>
    <w:rsid w:val="2B32649C"/>
    <w:rsid w:val="2C270527"/>
    <w:rsid w:val="2C4141D8"/>
    <w:rsid w:val="2E352597"/>
    <w:rsid w:val="2F1F33A8"/>
    <w:rsid w:val="2F500E97"/>
    <w:rsid w:val="2F5836E9"/>
    <w:rsid w:val="30123142"/>
    <w:rsid w:val="304A7E50"/>
    <w:rsid w:val="314B6E80"/>
    <w:rsid w:val="32843E96"/>
    <w:rsid w:val="33E764F4"/>
    <w:rsid w:val="349D49F2"/>
    <w:rsid w:val="36162BCB"/>
    <w:rsid w:val="36412810"/>
    <w:rsid w:val="36BD312A"/>
    <w:rsid w:val="37514AF4"/>
    <w:rsid w:val="377C0298"/>
    <w:rsid w:val="3798276C"/>
    <w:rsid w:val="37F61CA1"/>
    <w:rsid w:val="396A50BF"/>
    <w:rsid w:val="39AC16A8"/>
    <w:rsid w:val="39C31C6C"/>
    <w:rsid w:val="39DB6388"/>
    <w:rsid w:val="3A3033AA"/>
    <w:rsid w:val="3B5B1ACD"/>
    <w:rsid w:val="3C283344"/>
    <w:rsid w:val="3C3420E0"/>
    <w:rsid w:val="3C485F9D"/>
    <w:rsid w:val="3C7C70D7"/>
    <w:rsid w:val="3E0C6463"/>
    <w:rsid w:val="3EA97421"/>
    <w:rsid w:val="3FF95641"/>
    <w:rsid w:val="403E57B7"/>
    <w:rsid w:val="40F63E08"/>
    <w:rsid w:val="4179370E"/>
    <w:rsid w:val="42112513"/>
    <w:rsid w:val="43496F4C"/>
    <w:rsid w:val="435518AD"/>
    <w:rsid w:val="437A2DA4"/>
    <w:rsid w:val="44020D16"/>
    <w:rsid w:val="44873A1C"/>
    <w:rsid w:val="468377A8"/>
    <w:rsid w:val="472961BF"/>
    <w:rsid w:val="48A95C04"/>
    <w:rsid w:val="49105C83"/>
    <w:rsid w:val="491A265E"/>
    <w:rsid w:val="49A53D97"/>
    <w:rsid w:val="4AE27CAC"/>
    <w:rsid w:val="4BAC48C9"/>
    <w:rsid w:val="4F251D5C"/>
    <w:rsid w:val="4FD65994"/>
    <w:rsid w:val="4FEB08B0"/>
    <w:rsid w:val="50886E1D"/>
    <w:rsid w:val="513B5867"/>
    <w:rsid w:val="514563A8"/>
    <w:rsid w:val="523875F5"/>
    <w:rsid w:val="52506204"/>
    <w:rsid w:val="52B35FD7"/>
    <w:rsid w:val="533B163F"/>
    <w:rsid w:val="53A771E4"/>
    <w:rsid w:val="53FA1DF3"/>
    <w:rsid w:val="54AB2D04"/>
    <w:rsid w:val="55C0633B"/>
    <w:rsid w:val="571F3A0C"/>
    <w:rsid w:val="57925AB5"/>
    <w:rsid w:val="57F2034A"/>
    <w:rsid w:val="58235318"/>
    <w:rsid w:val="58354DBE"/>
    <w:rsid w:val="59121C77"/>
    <w:rsid w:val="59DE0E09"/>
    <w:rsid w:val="5A283DD0"/>
    <w:rsid w:val="5ACD76EE"/>
    <w:rsid w:val="5B3D7F5F"/>
    <w:rsid w:val="5EFD2476"/>
    <w:rsid w:val="5F0279C4"/>
    <w:rsid w:val="5F1F40D2"/>
    <w:rsid w:val="5F944466"/>
    <w:rsid w:val="6139287F"/>
    <w:rsid w:val="62121B84"/>
    <w:rsid w:val="623E3473"/>
    <w:rsid w:val="63BE65AF"/>
    <w:rsid w:val="63CF15A0"/>
    <w:rsid w:val="64B81251"/>
    <w:rsid w:val="657B7ADB"/>
    <w:rsid w:val="673E5F91"/>
    <w:rsid w:val="67D649B5"/>
    <w:rsid w:val="68C66552"/>
    <w:rsid w:val="6A3C4077"/>
    <w:rsid w:val="6A4E3ABD"/>
    <w:rsid w:val="6AE63D7E"/>
    <w:rsid w:val="6B462C2B"/>
    <w:rsid w:val="6DAE784E"/>
    <w:rsid w:val="6DF2235C"/>
    <w:rsid w:val="6DF37226"/>
    <w:rsid w:val="6E437B98"/>
    <w:rsid w:val="700D088C"/>
    <w:rsid w:val="700E4F44"/>
    <w:rsid w:val="70173239"/>
    <w:rsid w:val="721A5B23"/>
    <w:rsid w:val="72B931C1"/>
    <w:rsid w:val="738D03F5"/>
    <w:rsid w:val="744F272C"/>
    <w:rsid w:val="75355AB1"/>
    <w:rsid w:val="756920F3"/>
    <w:rsid w:val="767E5B01"/>
    <w:rsid w:val="770420D4"/>
    <w:rsid w:val="79AF44B8"/>
    <w:rsid w:val="79EB254B"/>
    <w:rsid w:val="7AF4716D"/>
    <w:rsid w:val="7B152B01"/>
    <w:rsid w:val="7BA82ABD"/>
    <w:rsid w:val="7C662D96"/>
    <w:rsid w:val="7D593D9D"/>
    <w:rsid w:val="7D797C2B"/>
    <w:rsid w:val="7D955BFE"/>
    <w:rsid w:val="7DAC6A56"/>
    <w:rsid w:val="7E600661"/>
    <w:rsid w:val="7ED17DAC"/>
    <w:rsid w:val="7F2C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32</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2024-04-23T02:29:42Z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