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default" w:eastAsiaTheme="minorEastAsia"/>
          <w:lang w:val="en-US" w:eastAsia="zh-CN"/>
        </w:rPr>
      </w:pPr>
      <w:r>
        <w:rPr>
          <w:rFonts w:hint="eastAsia" w:cs="宋体" w:asciiTheme="minorEastAsia" w:hAnsiTheme="minorEastAsia"/>
          <w:sz w:val="48"/>
          <w:szCs w:val="48"/>
          <w:u w:val="single"/>
          <w:lang w:eastAsia="zh-CN"/>
        </w:rPr>
        <w:t>2024年临江公司除臭系统备件</w:t>
      </w:r>
      <w:r>
        <w:rPr>
          <w:rFonts w:hint="eastAsia" w:cs="宋体" w:asciiTheme="minorEastAsia" w:hAnsiTheme="minorEastAsia"/>
          <w:sz w:val="48"/>
          <w:szCs w:val="48"/>
          <w:u w:val="single"/>
          <w:lang w:val="en-US" w:eastAsia="zh-CN"/>
        </w:rPr>
        <w:t>采购项目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cs="宋体" w:asciiTheme="minorEastAsia" w:hAnsiTheme="minorEastAsia"/>
          <w:sz w:val="30"/>
          <w:szCs w:val="30"/>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202404037</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lang w:eastAsia="zh-CN"/>
        </w:rPr>
        <w:t>月</w:t>
      </w:r>
      <w:r>
        <w:rPr>
          <w:rFonts w:hint="eastAsia" w:cs="仿宋" w:asciiTheme="minorEastAsia" w:hAnsiTheme="minorEastAsia"/>
          <w:sz w:val="32"/>
          <w:szCs w:val="32"/>
          <w:lang w:val="en-US" w:eastAsia="zh-CN"/>
        </w:rPr>
        <w:t>28</w:t>
      </w:r>
      <w:r>
        <w:rPr>
          <w:rFonts w:hint="eastAsia" w:cs="仿宋" w:asciiTheme="minorEastAsia" w:hAnsiTheme="minorEastAsia"/>
          <w:sz w:val="32"/>
          <w:szCs w:val="32"/>
          <w:lang w:eastAsia="zh-CN"/>
        </w:rPr>
        <w:t>日</w:t>
      </w: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35393621"/>
      <w:bookmarkStart w:id="3" w:name="_Toc35393790"/>
      <w:bookmarkStart w:id="4" w:name="_Toc28359002"/>
      <w:bookmarkStart w:id="5" w:name="_Toc28359079"/>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2024年临江公司除臭系统备件</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202404037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2024年临江公司除臭系统备件</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26.6</w:t>
      </w:r>
      <w:r>
        <w:rPr>
          <w:rFonts w:hint="eastAsia" w:cs="仿宋" w:asciiTheme="minorEastAsia" w:hAnsiTheme="minorEastAsia"/>
          <w:sz w:val="24"/>
          <w:u w:val="single"/>
          <w:lang w:eastAsia="zh-CN"/>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w:t>
      </w:r>
      <w:r>
        <w:rPr>
          <w:rFonts w:hint="eastAsia" w:hAnsi="宋体" w:cs="宋体"/>
          <w:bCs/>
          <w:sz w:val="24"/>
          <w:u w:val="single"/>
          <w:lang w:eastAsia="zh-CN"/>
        </w:rPr>
        <w:t>采购除臭系统备件</w:t>
      </w:r>
      <w:r>
        <w:rPr>
          <w:rFonts w:hint="eastAsia" w:hAnsi="宋体" w:cs="宋体"/>
          <w:bCs/>
          <w:sz w:val="24"/>
          <w:u w:val="single"/>
        </w:rPr>
        <w:t>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hAnsi="宋体" w:cs="宋体"/>
          <w:bCs/>
          <w:sz w:val="24"/>
          <w:u w:val="single"/>
          <w:lang w:eastAsia="zh-CN"/>
        </w:rPr>
        <w:t>分批供货</w:t>
      </w:r>
      <w:r>
        <w:rPr>
          <w:rFonts w:hint="eastAsia" w:hAnsi="宋体" w:cs="宋体"/>
          <w:bCs/>
          <w:sz w:val="24"/>
          <w:u w:val="single"/>
        </w:rPr>
        <w:t>。在采购人发出送货通知后，成交人</w:t>
      </w:r>
      <w:r>
        <w:rPr>
          <w:rFonts w:hint="eastAsia" w:hAnsi="宋体" w:cs="宋体"/>
          <w:bCs/>
          <w:sz w:val="24"/>
          <w:u w:val="single"/>
          <w:lang w:eastAsia="zh-CN"/>
        </w:rPr>
        <w:t>15个工作日内将货物</w:t>
      </w:r>
      <w:r>
        <w:rPr>
          <w:rFonts w:hint="eastAsia" w:hAnsi="宋体" w:cs="宋体"/>
          <w:bCs/>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35393791"/>
      <w:bookmarkStart w:id="8" w:name="_Toc28359080"/>
      <w:bookmarkStart w:id="9" w:name="_Toc35393622"/>
      <w:bookmarkStart w:id="10" w:name="_Toc28359003"/>
      <w:r>
        <w:rPr>
          <w:rFonts w:hint="eastAsia" w:cs="仿宋" w:asciiTheme="minorEastAsia" w:hAnsiTheme="minorEastAsia"/>
          <w:b/>
          <w:bCs/>
          <w:sz w:val="24"/>
        </w:rPr>
        <w:t>二、供应商的资格要求</w:t>
      </w:r>
      <w:bookmarkEnd w:id="7"/>
      <w:bookmarkEnd w:id="8"/>
      <w:bookmarkEnd w:id="9"/>
      <w:bookmarkEnd w:id="10"/>
      <w:bookmarkStart w:id="11" w:name="_Toc35393623"/>
      <w:bookmarkStart w:id="12" w:name="_Toc28359004"/>
      <w:bookmarkStart w:id="13" w:name="_Toc35393792"/>
      <w:bookmarkStart w:id="14" w:name="_Toc28359081"/>
      <w:bookmarkStart w:id="520" w:name="_GoBack"/>
      <w:bookmarkEnd w:id="520"/>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sz w:val="24"/>
          <w:lang w:val="en-US" w:eastAsia="zh-CN"/>
        </w:rPr>
        <w:t>近三年内，</w:t>
      </w:r>
      <w:r>
        <w:rPr>
          <w:rFonts w:hint="eastAsia" w:cs="仿宋" w:asciiTheme="minorEastAsia" w:hAnsiTheme="minorEastAsia"/>
          <w:bCs/>
          <w:sz w:val="24"/>
        </w:rPr>
        <w:t>供应商</w:t>
      </w:r>
      <w:r>
        <w:rPr>
          <w:rFonts w:hint="eastAsia" w:cs="仿宋" w:asciiTheme="minorEastAsia" w:hAnsiTheme="minorEastAsia"/>
          <w:bCs/>
          <w:sz w:val="24"/>
          <w:lang w:val="en-US" w:eastAsia="zh-CN"/>
        </w:rPr>
        <w:t>未被</w:t>
      </w:r>
      <w:r>
        <w:rPr>
          <w:rFonts w:hint="eastAsia" w:cs="仿宋" w:asciiTheme="minorEastAsia" w:hAnsiTheme="minorEastAsia"/>
          <w:bCs/>
          <w:sz w:val="24"/>
        </w:rPr>
        <w:t>“信用中国”（www.creditchina.gov.cn）、中国政府采购网（www.ccgp.gov.cn）等官方网站列入失信被执行人、重大税收违法失信</w:t>
      </w:r>
      <w:r>
        <w:rPr>
          <w:rFonts w:hint="eastAsia" w:cs="仿宋" w:asciiTheme="minorEastAsia" w:hAnsiTheme="minorEastAsia"/>
          <w:bCs/>
          <w:sz w:val="24"/>
          <w:lang w:val="en-US" w:eastAsia="zh-CN"/>
        </w:rPr>
        <w:t>主体、政府采购严重违法失信行为等不良记录名单且没有行政处罚等不良记录。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35393793"/>
      <w:bookmarkStart w:id="16" w:name="_Toc35393624"/>
      <w:bookmarkStart w:id="17" w:name="_Toc28359005"/>
      <w:bookmarkStart w:id="18" w:name="_Toc28359082"/>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hint="eastAsia" w:cs="仿宋" w:asciiTheme="minorEastAsia" w:hAnsiTheme="minorEastAsia"/>
          <w:sz w:val="24"/>
        </w:rPr>
      </w:pPr>
    </w:p>
    <w:p>
      <w:pPr>
        <w:spacing w:line="360" w:lineRule="auto"/>
        <w:ind w:firstLine="4560" w:firstLineChars="1900"/>
        <w:rPr>
          <w:rFonts w:cs="仿宋" w:asciiTheme="minorEastAsia" w:hAnsiTheme="minorEastAsia"/>
          <w:sz w:val="24"/>
        </w:rPr>
      </w:pPr>
      <w:r>
        <w:rPr>
          <w:rFonts w:hint="eastAsia" w:cs="仿宋" w:asciiTheme="minorEastAsia" w:hAnsiTheme="minorEastAsia"/>
          <w:sz w:val="24"/>
        </w:rPr>
        <w:t>杭州临江环境能源有限公司</w:t>
      </w:r>
    </w:p>
    <w:bookmarkEnd w:id="1"/>
    <w:p>
      <w:pPr>
        <w:spacing w:line="360" w:lineRule="auto"/>
        <w:ind w:firstLine="5520" w:firstLineChars="2300"/>
        <w:rPr>
          <w:rFonts w:hint="eastAsia" w:cs="仿宋" w:asciiTheme="minorEastAsia" w:hAnsiTheme="minorEastAsia"/>
          <w:sz w:val="24"/>
        </w:rPr>
      </w:pPr>
      <w:r>
        <w:rPr>
          <w:rFonts w:hint="eastAsia" w:cs="仿宋" w:asciiTheme="minorEastAsia" w:hAnsiTheme="minorEastAsia"/>
          <w:sz w:val="24"/>
        </w:rPr>
        <w:t>2024年</w:t>
      </w:r>
      <w:r>
        <w:rPr>
          <w:rFonts w:hint="eastAsia" w:cs="仿宋" w:asciiTheme="minorEastAsia" w:hAnsiTheme="minorEastAsia"/>
          <w:sz w:val="24"/>
          <w:lang w:val="en-US" w:eastAsia="zh-CN"/>
        </w:rPr>
        <w:t>4</w:t>
      </w:r>
      <w:r>
        <w:rPr>
          <w:rFonts w:hint="eastAsia" w:cs="仿宋" w:asciiTheme="minorEastAsia" w:hAnsiTheme="minorEastAsia"/>
          <w:sz w:val="24"/>
        </w:rPr>
        <w:t>月</w:t>
      </w:r>
      <w:r>
        <w:rPr>
          <w:rFonts w:hint="eastAsia" w:cs="仿宋" w:asciiTheme="minorEastAsia" w:hAnsiTheme="minorEastAsia"/>
          <w:sz w:val="24"/>
          <w:lang w:val="en-US" w:eastAsia="zh-CN"/>
        </w:rPr>
        <w:t>28</w:t>
      </w:r>
      <w:r>
        <w:rPr>
          <w:rFonts w:hint="eastAsia" w:cs="仿宋" w:asciiTheme="minorEastAsia" w:hAnsiTheme="minorEastAsia"/>
          <w:sz w:val="24"/>
        </w:rPr>
        <w:t>日</w:t>
      </w:r>
    </w:p>
    <w:p>
      <w:pPr>
        <w:spacing w:line="360" w:lineRule="auto"/>
        <w:ind w:firstLine="6505" w:firstLineChars="1800"/>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00A3"/>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5300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spacing w:line="360" w:lineRule="auto"/>
        <w:ind w:firstLine="420" w:firstLineChars="200"/>
        <w:rPr>
          <w:rFonts w:hint="default" w:cs="仿宋" w:asciiTheme="minorEastAsia" w:hAnsiTheme="minorEastAsia"/>
          <w:bCs/>
          <w:sz w:val="24"/>
          <w:lang w:val="en-US"/>
        </w:rPr>
      </w:pPr>
      <w:r>
        <w:rPr>
          <w:rFonts w:hint="eastAsia" w:cs="仿宋" w:asciiTheme="minorEastAsia" w:hAnsiTheme="minorEastAsia"/>
          <w:kern w:val="0"/>
          <w:szCs w:val="24"/>
        </w:rPr>
        <w:t>17.3</w:t>
      </w:r>
      <w:r>
        <w:rPr>
          <w:rFonts w:hint="eastAsia" w:cs="仿宋" w:asciiTheme="minorEastAsia" w:hAnsiTheme="minorEastAsia" w:eastAsiaTheme="minorEastAsia"/>
          <w:kern w:val="0"/>
          <w:sz w:val="24"/>
          <w:szCs w:val="24"/>
          <w:lang w:val="en-US" w:eastAsia="zh-CN" w:bidi="ar-SA"/>
        </w:rPr>
        <w:t>信用信息的使用规则：</w:t>
      </w:r>
      <w:r>
        <w:rPr>
          <w:rFonts w:hint="eastAsia" w:cs="仿宋" w:asciiTheme="minorEastAsia" w:hAnsiTheme="minorEastAsia"/>
          <w:kern w:val="0"/>
          <w:sz w:val="24"/>
          <w:szCs w:val="24"/>
          <w:lang w:val="en-US" w:eastAsia="zh-CN" w:bidi="ar-SA"/>
        </w:rPr>
        <w:t>经查询，</w:t>
      </w:r>
      <w:r>
        <w:rPr>
          <w:rFonts w:hint="eastAsia" w:cs="仿宋" w:asciiTheme="minorEastAsia" w:hAnsiTheme="minorEastAsia" w:eastAsiaTheme="minorEastAsia"/>
          <w:kern w:val="0"/>
          <w:sz w:val="24"/>
          <w:szCs w:val="24"/>
          <w:lang w:val="en-US" w:eastAsia="zh-CN" w:bidi="ar-SA"/>
        </w:rPr>
        <w:t>供应商</w:t>
      </w:r>
      <w:r>
        <w:rPr>
          <w:rFonts w:hint="eastAsia" w:cs="仿宋" w:asciiTheme="minorEastAsia" w:hAnsiTheme="minorEastAsia"/>
          <w:kern w:val="0"/>
          <w:sz w:val="24"/>
          <w:szCs w:val="24"/>
          <w:lang w:val="en-US" w:eastAsia="zh-CN" w:bidi="ar-SA"/>
        </w:rPr>
        <w:t>在近三年</w:t>
      </w:r>
      <w:r>
        <w:rPr>
          <w:rFonts w:hint="eastAsia" w:cs="仿宋" w:asciiTheme="minorEastAsia" w:hAnsiTheme="minorEastAsia" w:eastAsiaTheme="minorEastAsia"/>
          <w:kern w:val="0"/>
          <w:sz w:val="24"/>
          <w:szCs w:val="24"/>
          <w:lang w:val="en-US" w:eastAsia="zh-CN" w:bidi="ar-SA"/>
        </w:rPr>
        <w:t>被“信用中国”（www.creditchina.gov.cn）、中国政府采购网（www.ccgp.gov.cn）等官方网站列入失信被执行人、重大税收违法失信主体、政府采购严重违法失信行为等不良记录名单</w:t>
      </w:r>
      <w:r>
        <w:rPr>
          <w:rFonts w:hint="eastAsia" w:cs="仿宋" w:asciiTheme="minorEastAsia" w:hAnsiTheme="minorEastAsia"/>
          <w:kern w:val="0"/>
          <w:sz w:val="24"/>
          <w:szCs w:val="24"/>
          <w:lang w:val="en-US" w:eastAsia="zh-CN" w:bidi="ar-SA"/>
        </w:rPr>
        <w:t>或</w:t>
      </w:r>
      <w:r>
        <w:rPr>
          <w:rFonts w:hint="eastAsia" w:cs="仿宋" w:asciiTheme="minorEastAsia" w:hAnsiTheme="minorEastAsia" w:eastAsiaTheme="minorEastAsia"/>
          <w:kern w:val="0"/>
          <w:sz w:val="24"/>
          <w:szCs w:val="24"/>
          <w:lang w:val="en-US" w:eastAsia="zh-CN" w:bidi="ar-SA"/>
        </w:rPr>
        <w:t>有行政处罚等不良记录。</w:t>
      </w:r>
      <w:r>
        <w:rPr>
          <w:rFonts w:hint="eastAsia" w:cs="仿宋" w:asciiTheme="minorEastAsia" w:hAnsiTheme="minorEastAsia"/>
          <w:kern w:val="0"/>
          <w:sz w:val="24"/>
          <w:szCs w:val="24"/>
          <w:lang w:val="en-US" w:eastAsia="zh-CN" w:bidi="ar-SA"/>
        </w:rPr>
        <w:t>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w:t>
      </w:r>
      <w:r>
        <w:rPr>
          <w:rFonts w:hint="eastAsia"/>
          <w:lang w:val="en-US" w:eastAsia="zh-CN"/>
        </w:rPr>
        <w:t>采购除臭系统备件</w:t>
      </w:r>
      <w:r>
        <w:rPr>
          <w:rFonts w:hint="eastAsia"/>
          <w:lang w:val="en-US"/>
        </w:rPr>
        <w:t>一批</w:t>
      </w:r>
      <w:r>
        <w:rPr>
          <w:rFonts w:hint="eastAsia"/>
          <w:lang w:val="en-US" w:eastAsia="zh-CN"/>
        </w:rPr>
        <w:t>，</w:t>
      </w:r>
      <w:r>
        <w:rPr>
          <w:rFonts w:hint="eastAsia"/>
          <w:lang w:val="en-US"/>
        </w:rPr>
        <w:t>具体如下：</w:t>
      </w:r>
    </w:p>
    <w:tbl>
      <w:tblPr>
        <w:tblStyle w:val="15"/>
        <w:tblW w:w="933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13"/>
        <w:gridCol w:w="1416"/>
        <w:gridCol w:w="1880"/>
        <w:gridCol w:w="3857"/>
        <w:gridCol w:w="714"/>
        <w:gridCol w:w="7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5" w:hRule="atLeast"/>
        </w:trPr>
        <w:tc>
          <w:tcPr>
            <w:tcW w:w="7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8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38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w:t>
            </w:r>
          </w:p>
        </w:tc>
        <w:tc>
          <w:tcPr>
            <w:tcW w:w="7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atLeast"/>
        </w:trPr>
        <w:tc>
          <w:tcPr>
            <w:tcW w:w="7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UV灯管</w:t>
            </w:r>
          </w:p>
        </w:tc>
        <w:tc>
          <w:tcPr>
            <w:tcW w:w="18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雪莱特、飞利浦、Soluva</w:t>
            </w:r>
          </w:p>
        </w:tc>
        <w:tc>
          <w:tcPr>
            <w:tcW w:w="38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ZW150D15Y-Z1554，长：1555mm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外径：19mm</w:t>
            </w:r>
          </w:p>
        </w:tc>
        <w:tc>
          <w:tcPr>
            <w:tcW w:w="7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atLeast"/>
        </w:trPr>
        <w:tc>
          <w:tcPr>
            <w:tcW w:w="7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电子镇流器</w:t>
            </w:r>
          </w:p>
        </w:tc>
        <w:tc>
          <w:tcPr>
            <w:tcW w:w="18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雪莱特、飞利浦、Soluva</w:t>
            </w:r>
          </w:p>
        </w:tc>
        <w:tc>
          <w:tcPr>
            <w:tcW w:w="38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ZW-800—150S（双干接点）</w:t>
            </w:r>
          </w:p>
        </w:tc>
        <w:tc>
          <w:tcPr>
            <w:tcW w:w="7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3" w:hRule="atLeast"/>
        </w:trPr>
        <w:tc>
          <w:tcPr>
            <w:tcW w:w="7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石英套管</w:t>
            </w:r>
          </w:p>
        </w:tc>
        <w:tc>
          <w:tcPr>
            <w:tcW w:w="18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雪莱特、飞利浦、Soluva</w:t>
            </w:r>
          </w:p>
        </w:tc>
        <w:tc>
          <w:tcPr>
            <w:tcW w:w="38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匹配ZW150D15Y-Z1554灯管，长：1650mm内径：19.5mm，外径：23.4mm</w:t>
            </w:r>
          </w:p>
        </w:tc>
        <w:tc>
          <w:tcPr>
            <w:tcW w:w="7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3" w:hRule="atLeast"/>
        </w:trPr>
        <w:tc>
          <w:tcPr>
            <w:tcW w:w="7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空中对插套装</w:t>
            </w:r>
          </w:p>
        </w:tc>
        <w:tc>
          <w:tcPr>
            <w:tcW w:w="18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品牌：雪莱特、飞利浦、Soluva</w:t>
            </w:r>
          </w:p>
        </w:tc>
        <w:tc>
          <w:tcPr>
            <w:tcW w:w="38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原型号：适用于DHZ800-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120/150</w:t>
            </w:r>
          </w:p>
        </w:tc>
        <w:tc>
          <w:tcPr>
            <w:tcW w:w="7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atLeast"/>
        </w:trPr>
        <w:tc>
          <w:tcPr>
            <w:tcW w:w="7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光催化丝网除雾器</w:t>
            </w:r>
          </w:p>
        </w:tc>
        <w:tc>
          <w:tcPr>
            <w:tcW w:w="18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8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尺寸：420×1000×120mm,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丝网除雾器</w:t>
            </w:r>
          </w:p>
        </w:tc>
        <w:tc>
          <w:tcPr>
            <w:tcW w:w="7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8" w:hRule="atLeast"/>
        </w:trPr>
        <w:tc>
          <w:tcPr>
            <w:tcW w:w="7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光催化丝网除雾器</w:t>
            </w:r>
          </w:p>
        </w:tc>
        <w:tc>
          <w:tcPr>
            <w:tcW w:w="18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8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尺寸：500×1000×120mm,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丝网除雾器</w:t>
            </w:r>
          </w:p>
        </w:tc>
        <w:tc>
          <w:tcPr>
            <w:tcW w:w="7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bl>
    <w:p>
      <w:pPr>
        <w:pStyle w:val="7"/>
        <w:ind w:firstLine="480" w:firstLineChars="200"/>
        <w:rPr>
          <w:rFonts w:hint="eastAsia"/>
          <w:lang w:val="en-US"/>
        </w:rPr>
      </w:pP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1.合同期限：自合同签订后12个月；</w:t>
      </w:r>
    </w:p>
    <w:p>
      <w:pPr>
        <w:pStyle w:val="7"/>
        <w:ind w:firstLine="480" w:firstLineChars="200"/>
        <w:rPr>
          <w:rFonts w:hint="eastAsia"/>
          <w:lang w:val="en-US"/>
        </w:rPr>
      </w:pPr>
      <w:r>
        <w:rPr>
          <w:rFonts w:hint="eastAsia"/>
          <w:lang w:val="en-US"/>
        </w:rPr>
        <w:t>2.履约方式：</w:t>
      </w:r>
      <w:r>
        <w:rPr>
          <w:rFonts w:hint="eastAsia"/>
          <w:lang w:val="en-US" w:eastAsia="zh-CN"/>
        </w:rPr>
        <w:t>分批</w:t>
      </w:r>
      <w:r>
        <w:rPr>
          <w:rFonts w:hint="eastAsia"/>
          <w:lang w:val="en-US"/>
        </w:rPr>
        <w:t>供货。</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1.型号等技术参数满足采购内容中的规格型号/技术要求</w:t>
      </w:r>
      <w:r>
        <w:rPr>
          <w:rFonts w:hint="eastAsia" w:hAnsi="宋体" w:cs="宋体"/>
          <w:color w:val="000000"/>
          <w:kern w:val="0"/>
        </w:rPr>
        <w:t>。</w:t>
      </w:r>
      <w:r>
        <w:rPr>
          <w:rFonts w:hint="eastAsia"/>
          <w:lang w:val="en-US"/>
        </w:rPr>
        <w:t>品牌要求：可从推荐品牌中选择任一个品牌并选择与</w:t>
      </w:r>
      <w:r>
        <w:rPr>
          <w:rFonts w:hint="eastAsia" w:hAnsi="宋体" w:cs="宋体"/>
          <w:color w:val="000000"/>
          <w:kern w:val="0"/>
        </w:rPr>
        <w:t>之匹配的型号参与报价；如</w:t>
      </w:r>
      <w:r>
        <w:rPr>
          <w:rFonts w:hint="eastAsia" w:cs="仿宋" w:asciiTheme="minorEastAsia" w:hAnsiTheme="minorEastAsia"/>
        </w:rPr>
        <w:t>供应商报价</w:t>
      </w:r>
      <w:r>
        <w:rPr>
          <w:rFonts w:hint="eastAsia" w:hAnsi="宋体" w:cs="宋体"/>
          <w:color w:val="000000"/>
          <w:kern w:val="0"/>
        </w:rPr>
        <w:t>时，选择了其他品牌/厂家，则</w:t>
      </w:r>
      <w:r>
        <w:rPr>
          <w:rFonts w:hint="eastAsia" w:cs="仿宋" w:asciiTheme="minorEastAsia" w:hAnsiTheme="minorEastAsia"/>
        </w:rPr>
        <w:t>供应商</w:t>
      </w:r>
      <w:r>
        <w:rPr>
          <w:rFonts w:hint="eastAsia" w:hAnsi="宋体" w:cs="宋体"/>
          <w:color w:val="000000"/>
          <w:kern w:val="0"/>
        </w:rPr>
        <w:t>需提供所投品牌同档次或优于推荐品牌/厂家的相关证明材料。由评审小组判定</w:t>
      </w:r>
      <w:r>
        <w:rPr>
          <w:rFonts w:hint="eastAsia" w:cs="仿宋" w:asciiTheme="minorEastAsia" w:hAnsiTheme="minorEastAsia"/>
        </w:rPr>
        <w:t>供应商</w:t>
      </w:r>
      <w:r>
        <w:rPr>
          <w:rFonts w:hint="eastAsia" w:hAnsi="宋体" w:cs="宋体"/>
          <w:color w:val="000000"/>
          <w:kern w:val="0"/>
        </w:rPr>
        <w:t>提供的其他投标产品是否属于同等档次品牌。</w:t>
      </w:r>
    </w:p>
    <w:p>
      <w:pPr>
        <w:pStyle w:val="7"/>
        <w:ind w:firstLine="480" w:firstLineChars="200"/>
        <w:rPr>
          <w:lang w:val="en-US"/>
        </w:rPr>
      </w:pPr>
      <w:r>
        <w:rPr>
          <w:rFonts w:hint="eastAsia"/>
          <w:lang w:val="en-US"/>
        </w:rPr>
        <w:t>2.</w:t>
      </w:r>
      <w:r>
        <w:rPr>
          <w:rFonts w:hint="eastAsia" w:cs="仿宋" w:asciiTheme="minorEastAsia" w:hAnsiTheme="minorEastAsia"/>
        </w:rPr>
        <w:t>供应商</w:t>
      </w:r>
      <w:r>
        <w:rPr>
          <w:rFonts w:hint="eastAsia"/>
          <w:lang w:val="en-US"/>
        </w:rPr>
        <w:t>提供的</w:t>
      </w:r>
      <w:r>
        <w:rPr>
          <w:rFonts w:hint="eastAsia"/>
          <w:lang w:val="en-US" w:eastAsia="zh-CN"/>
        </w:rPr>
        <w:t>除臭系统备件</w:t>
      </w:r>
      <w:r>
        <w:rPr>
          <w:rFonts w:hint="eastAsia"/>
          <w:lang w:val="en-US"/>
        </w:rPr>
        <w:t>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cs="仿宋" w:asciiTheme="minorEastAsia" w:hAnsiTheme="minorEastAsia"/>
        </w:rPr>
        <w:t>供应商</w:t>
      </w:r>
      <w:r>
        <w:rPr>
          <w:rFonts w:hint="eastAsia"/>
          <w:lang w:val="en-US"/>
        </w:rPr>
        <w:t>须提供该批次货物出厂检验合格报告或合格证或原厂质量证明和送货单，配合采购人做好货物的到货数量验收工作，将货物运达采购人指定交货地点后及时书面通知采购人。</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rPr>
        <w:t>在采购人发出送货通知后，成交人</w:t>
      </w:r>
      <w:r>
        <w:rPr>
          <w:rFonts w:hint="eastAsia"/>
          <w:lang w:val="en-US" w:eastAsia="zh-CN"/>
        </w:rPr>
        <w:t>15个工作日内将货物</w:t>
      </w:r>
      <w:r>
        <w:rPr>
          <w:rFonts w:hint="eastAsia"/>
          <w:lang w:val="en-US"/>
        </w:rPr>
        <w:t>如数送至采购人指定地点。</w:t>
      </w:r>
    </w:p>
    <w:p>
      <w:pPr>
        <w:pStyle w:val="8"/>
        <w:rPr>
          <w:rFonts w:hAnsi="Arial" w:cs="Arial"/>
          <w:snapToGrid w:val="0"/>
          <w:szCs w:val="21"/>
          <w:lang w:val="en-US"/>
        </w:rPr>
      </w:pPr>
      <w:r>
        <w:rPr>
          <w:rFonts w:hint="eastAsia" w:hAnsi="Arial" w:cs="Arial"/>
          <w:snapToGrid w:val="0"/>
          <w:szCs w:val="21"/>
          <w:lang w:val="en-US"/>
        </w:rPr>
        <w:t>2</w:t>
      </w:r>
      <w:r>
        <w:rPr>
          <w:rFonts w:hAnsi="Arial" w:cs="Arial"/>
          <w:snapToGrid w:val="0"/>
          <w:szCs w:val="21"/>
          <w:lang w:val="en-US"/>
        </w:rPr>
        <w:t>.</w:t>
      </w:r>
      <w:r>
        <w:rPr>
          <w:rFonts w:hint="eastAsia" w:hAnsi="Arial" w:cs="Arial"/>
          <w:snapToGrid w:val="0"/>
          <w:szCs w:val="21"/>
          <w:lang w:val="en-US"/>
        </w:rPr>
        <w:t>质保期：验收合格后1年。</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08049"/>
      <w:bookmarkEnd w:id="20"/>
      <w:bookmarkStart w:id="21" w:name="_Toc184308038"/>
      <w:bookmarkEnd w:id="21"/>
      <w:bookmarkStart w:id="22" w:name="_Toc184312128"/>
      <w:bookmarkEnd w:id="22"/>
      <w:bookmarkStart w:id="23" w:name="_Toc184314411"/>
      <w:bookmarkEnd w:id="23"/>
      <w:bookmarkStart w:id="24" w:name="_Toc184314451"/>
      <w:bookmarkEnd w:id="24"/>
      <w:bookmarkStart w:id="25" w:name="_Toc184310332"/>
      <w:bookmarkEnd w:id="25"/>
      <w:bookmarkStart w:id="26" w:name="_Toc184308061"/>
      <w:bookmarkEnd w:id="26"/>
      <w:bookmarkStart w:id="27" w:name="_Toc184310334"/>
      <w:bookmarkEnd w:id="27"/>
      <w:bookmarkStart w:id="28" w:name="_Toc184313249"/>
      <w:bookmarkEnd w:id="28"/>
      <w:bookmarkStart w:id="29" w:name="_Toc184313274"/>
      <w:bookmarkEnd w:id="29"/>
      <w:bookmarkStart w:id="30" w:name="_Toc184312074"/>
      <w:bookmarkEnd w:id="30"/>
      <w:bookmarkStart w:id="31" w:name="_Toc184313292"/>
      <w:bookmarkEnd w:id="31"/>
      <w:bookmarkStart w:id="32" w:name="_Toc184310309"/>
      <w:bookmarkEnd w:id="32"/>
      <w:bookmarkStart w:id="33" w:name="_Toc184312114"/>
      <w:bookmarkEnd w:id="33"/>
      <w:bookmarkStart w:id="34" w:name="_Toc184310329"/>
      <w:bookmarkEnd w:id="34"/>
      <w:bookmarkStart w:id="35" w:name="_Toc184313239"/>
      <w:bookmarkEnd w:id="35"/>
      <w:bookmarkStart w:id="36" w:name="_Toc184314473"/>
      <w:bookmarkEnd w:id="36"/>
      <w:bookmarkStart w:id="37" w:name="_Toc184310291"/>
      <w:bookmarkEnd w:id="37"/>
      <w:bookmarkStart w:id="38" w:name="_Toc184312102"/>
      <w:bookmarkEnd w:id="38"/>
      <w:bookmarkStart w:id="39" w:name="_Toc184314454"/>
      <w:bookmarkEnd w:id="39"/>
      <w:bookmarkStart w:id="40" w:name="_Toc184310296"/>
      <w:bookmarkEnd w:id="40"/>
      <w:bookmarkStart w:id="41" w:name="_Toc184310326"/>
      <w:bookmarkEnd w:id="41"/>
      <w:bookmarkStart w:id="42" w:name="_Toc184310279"/>
      <w:bookmarkEnd w:id="42"/>
      <w:bookmarkStart w:id="43" w:name="_Toc184313303"/>
      <w:bookmarkEnd w:id="43"/>
      <w:bookmarkStart w:id="44" w:name="_Toc184308071"/>
      <w:bookmarkEnd w:id="44"/>
      <w:bookmarkStart w:id="45" w:name="_Toc184314414"/>
      <w:bookmarkEnd w:id="45"/>
      <w:bookmarkStart w:id="46" w:name="_Toc184313263"/>
      <w:bookmarkEnd w:id="46"/>
      <w:bookmarkStart w:id="47" w:name="_Toc184312109"/>
      <w:bookmarkEnd w:id="47"/>
      <w:bookmarkStart w:id="48" w:name="_Toc184308073"/>
      <w:bookmarkEnd w:id="48"/>
      <w:bookmarkStart w:id="49" w:name="_Toc184308084"/>
      <w:bookmarkEnd w:id="49"/>
      <w:bookmarkStart w:id="50" w:name="_Toc184312091"/>
      <w:bookmarkEnd w:id="50"/>
      <w:bookmarkStart w:id="51" w:name="_Toc184314444"/>
      <w:bookmarkEnd w:id="51"/>
      <w:bookmarkStart w:id="52" w:name="_Toc184308088"/>
      <w:bookmarkEnd w:id="52"/>
      <w:bookmarkStart w:id="53" w:name="_Toc184313273"/>
      <w:bookmarkEnd w:id="53"/>
      <w:bookmarkStart w:id="54" w:name="_Toc184308082"/>
      <w:bookmarkEnd w:id="54"/>
      <w:bookmarkStart w:id="55" w:name="_Toc184314448"/>
      <w:bookmarkEnd w:id="55"/>
      <w:bookmarkStart w:id="56" w:name="_Toc184310283"/>
      <w:bookmarkEnd w:id="56"/>
      <w:bookmarkStart w:id="57" w:name="_Toc184308091"/>
      <w:bookmarkEnd w:id="57"/>
      <w:bookmarkStart w:id="58" w:name="_Toc184308059"/>
      <w:bookmarkEnd w:id="58"/>
      <w:bookmarkStart w:id="59" w:name="_Toc184314426"/>
      <w:bookmarkEnd w:id="59"/>
      <w:bookmarkStart w:id="60" w:name="_Toc184314413"/>
      <w:bookmarkEnd w:id="60"/>
      <w:bookmarkStart w:id="61" w:name="_Toc184310282"/>
      <w:bookmarkEnd w:id="61"/>
      <w:bookmarkStart w:id="62" w:name="_Toc184313294"/>
      <w:bookmarkEnd w:id="62"/>
      <w:bookmarkStart w:id="63" w:name="_Toc184313293"/>
      <w:bookmarkEnd w:id="63"/>
      <w:bookmarkStart w:id="64" w:name="_Toc184312087"/>
      <w:bookmarkEnd w:id="64"/>
      <w:bookmarkStart w:id="65" w:name="_Toc184314481"/>
      <w:bookmarkEnd w:id="65"/>
      <w:bookmarkStart w:id="66" w:name="_Toc184308055"/>
      <w:bookmarkEnd w:id="66"/>
      <w:bookmarkStart w:id="67" w:name="_Toc184308108"/>
      <w:bookmarkEnd w:id="67"/>
      <w:bookmarkStart w:id="68" w:name="_Toc184312088"/>
      <w:bookmarkEnd w:id="68"/>
      <w:bookmarkStart w:id="69" w:name="_Toc184313279"/>
      <w:bookmarkEnd w:id="69"/>
      <w:bookmarkStart w:id="70" w:name="_Toc184310335"/>
      <w:bookmarkEnd w:id="70"/>
      <w:bookmarkStart w:id="71" w:name="_Toc184310327"/>
      <w:bookmarkEnd w:id="71"/>
      <w:bookmarkStart w:id="72" w:name="_Toc184312123"/>
      <w:bookmarkEnd w:id="72"/>
      <w:bookmarkStart w:id="73" w:name="_Toc184308079"/>
      <w:bookmarkEnd w:id="73"/>
      <w:bookmarkStart w:id="74" w:name="_Toc184312116"/>
      <w:bookmarkEnd w:id="74"/>
      <w:bookmarkStart w:id="75" w:name="_Toc184310340"/>
      <w:bookmarkEnd w:id="75"/>
      <w:bookmarkStart w:id="76" w:name="_Toc184314455"/>
      <w:bookmarkEnd w:id="76"/>
      <w:bookmarkStart w:id="77" w:name="_Toc184312094"/>
      <w:bookmarkEnd w:id="77"/>
      <w:bookmarkStart w:id="78" w:name="_Toc184313265"/>
      <w:bookmarkEnd w:id="78"/>
      <w:bookmarkStart w:id="79" w:name="_Toc184310300"/>
      <w:bookmarkEnd w:id="79"/>
      <w:bookmarkStart w:id="80" w:name="_Toc184313268"/>
      <w:bookmarkEnd w:id="80"/>
      <w:bookmarkStart w:id="81" w:name="_Toc184312092"/>
      <w:bookmarkEnd w:id="81"/>
      <w:bookmarkStart w:id="82" w:name="_Toc184313291"/>
      <w:bookmarkEnd w:id="82"/>
      <w:bookmarkStart w:id="83" w:name="_Toc184308070"/>
      <w:bookmarkEnd w:id="83"/>
      <w:bookmarkStart w:id="84" w:name="_Toc184308081"/>
      <w:bookmarkEnd w:id="84"/>
      <w:bookmarkStart w:id="85" w:name="_Toc184312077"/>
      <w:bookmarkEnd w:id="85"/>
      <w:bookmarkStart w:id="86" w:name="_Toc184312097"/>
      <w:bookmarkEnd w:id="86"/>
      <w:bookmarkStart w:id="87" w:name="_Toc184312101"/>
      <w:bookmarkEnd w:id="87"/>
      <w:bookmarkStart w:id="88" w:name="_Toc184314447"/>
      <w:bookmarkEnd w:id="88"/>
      <w:bookmarkStart w:id="89" w:name="_Toc184313285"/>
      <w:bookmarkEnd w:id="89"/>
      <w:bookmarkStart w:id="90" w:name="_Toc184308052"/>
      <w:bookmarkEnd w:id="90"/>
      <w:bookmarkStart w:id="91" w:name="_Toc184313289"/>
      <w:bookmarkEnd w:id="91"/>
      <w:bookmarkStart w:id="92" w:name="_Toc184314425"/>
      <w:bookmarkEnd w:id="92"/>
      <w:bookmarkStart w:id="93" w:name="_Toc184312132"/>
      <w:bookmarkEnd w:id="93"/>
      <w:bookmarkStart w:id="94" w:name="_Toc184313260"/>
      <w:bookmarkEnd w:id="94"/>
      <w:bookmarkStart w:id="95" w:name="_Toc184308074"/>
      <w:bookmarkEnd w:id="95"/>
      <w:bookmarkStart w:id="96" w:name="_Toc184314442"/>
      <w:bookmarkEnd w:id="96"/>
      <w:bookmarkStart w:id="97" w:name="_Toc184308068"/>
      <w:bookmarkEnd w:id="97"/>
      <w:bookmarkStart w:id="98" w:name="_Toc184308048"/>
      <w:bookmarkEnd w:id="98"/>
      <w:bookmarkStart w:id="99" w:name="_Toc184308060"/>
      <w:bookmarkEnd w:id="99"/>
      <w:bookmarkStart w:id="100" w:name="_Toc184310312"/>
      <w:bookmarkEnd w:id="100"/>
      <w:bookmarkStart w:id="101" w:name="_Toc184312100"/>
      <w:bookmarkEnd w:id="101"/>
      <w:bookmarkStart w:id="102" w:name="_Toc184312083"/>
      <w:bookmarkEnd w:id="102"/>
      <w:bookmarkStart w:id="103" w:name="_Toc184314421"/>
      <w:bookmarkEnd w:id="103"/>
      <w:bookmarkStart w:id="104" w:name="_Toc184313305"/>
      <w:bookmarkEnd w:id="104"/>
      <w:bookmarkStart w:id="105" w:name="_Toc184314431"/>
      <w:bookmarkEnd w:id="105"/>
      <w:bookmarkStart w:id="106" w:name="_Toc184308095"/>
      <w:bookmarkEnd w:id="106"/>
      <w:bookmarkStart w:id="107" w:name="_Toc184310322"/>
      <w:bookmarkEnd w:id="107"/>
      <w:bookmarkStart w:id="108" w:name="_Toc184314443"/>
      <w:bookmarkEnd w:id="108"/>
      <w:bookmarkStart w:id="109" w:name="_Toc184312111"/>
      <w:bookmarkEnd w:id="109"/>
      <w:bookmarkStart w:id="110" w:name="_Toc184308107"/>
      <w:bookmarkEnd w:id="110"/>
      <w:bookmarkStart w:id="111" w:name="_Toc184310319"/>
      <w:bookmarkEnd w:id="111"/>
      <w:bookmarkStart w:id="112" w:name="_Toc184308104"/>
      <w:bookmarkEnd w:id="112"/>
      <w:bookmarkStart w:id="113" w:name="_Toc184310281"/>
      <w:bookmarkEnd w:id="113"/>
      <w:bookmarkStart w:id="114" w:name="_Toc184314471"/>
      <w:bookmarkEnd w:id="114"/>
      <w:bookmarkStart w:id="115" w:name="_Toc184308076"/>
      <w:bookmarkEnd w:id="115"/>
      <w:bookmarkStart w:id="116" w:name="_Toc184314474"/>
      <w:bookmarkEnd w:id="116"/>
      <w:bookmarkStart w:id="117" w:name="_Toc184314435"/>
      <w:bookmarkEnd w:id="117"/>
      <w:bookmarkStart w:id="118" w:name="_Toc184312072"/>
      <w:bookmarkEnd w:id="118"/>
      <w:bookmarkStart w:id="119" w:name="_Toc184314419"/>
      <w:bookmarkEnd w:id="119"/>
      <w:bookmarkStart w:id="120" w:name="_Toc184313277"/>
      <w:bookmarkEnd w:id="120"/>
      <w:bookmarkStart w:id="121" w:name="_Toc184310274"/>
      <w:bookmarkEnd w:id="121"/>
      <w:bookmarkStart w:id="122" w:name="_Toc184312130"/>
      <w:bookmarkEnd w:id="122"/>
      <w:bookmarkStart w:id="123" w:name="_Toc184308089"/>
      <w:bookmarkEnd w:id="123"/>
      <w:bookmarkStart w:id="124" w:name="_Toc184312067"/>
      <w:bookmarkEnd w:id="124"/>
      <w:bookmarkStart w:id="125" w:name="_Toc184308072"/>
      <w:bookmarkEnd w:id="125"/>
      <w:bookmarkStart w:id="126" w:name="_Toc184310330"/>
      <w:bookmarkEnd w:id="126"/>
      <w:bookmarkStart w:id="127" w:name="_Toc184310317"/>
      <w:bookmarkEnd w:id="127"/>
      <w:bookmarkStart w:id="128" w:name="_Toc184313258"/>
      <w:bookmarkEnd w:id="128"/>
      <w:bookmarkStart w:id="129" w:name="_Toc184308047"/>
      <w:bookmarkEnd w:id="129"/>
      <w:bookmarkStart w:id="130" w:name="_Toc184310275"/>
      <w:bookmarkEnd w:id="130"/>
      <w:bookmarkStart w:id="131" w:name="_Toc184308077"/>
      <w:bookmarkEnd w:id="131"/>
      <w:bookmarkStart w:id="132" w:name="_Toc184308093"/>
      <w:bookmarkEnd w:id="132"/>
      <w:bookmarkStart w:id="133" w:name="_Toc184313307"/>
      <w:bookmarkEnd w:id="133"/>
      <w:bookmarkStart w:id="134" w:name="_Toc184310288"/>
      <w:bookmarkEnd w:id="134"/>
      <w:bookmarkStart w:id="135" w:name="_Toc184313301"/>
      <w:bookmarkEnd w:id="135"/>
      <w:bookmarkStart w:id="136" w:name="_Toc184313245"/>
      <w:bookmarkEnd w:id="136"/>
      <w:bookmarkStart w:id="137" w:name="_Toc184310318"/>
      <w:bookmarkEnd w:id="137"/>
      <w:bookmarkStart w:id="138" w:name="_Toc184308094"/>
      <w:bookmarkEnd w:id="138"/>
      <w:bookmarkStart w:id="139" w:name="_Toc184313275"/>
      <w:bookmarkEnd w:id="139"/>
      <w:bookmarkStart w:id="140" w:name="_Toc184310306"/>
      <w:bookmarkEnd w:id="140"/>
      <w:bookmarkStart w:id="141" w:name="_Toc184313264"/>
      <w:bookmarkEnd w:id="141"/>
      <w:bookmarkStart w:id="142" w:name="_Toc184308069"/>
      <w:bookmarkEnd w:id="142"/>
      <w:bookmarkStart w:id="143" w:name="_Toc184314427"/>
      <w:bookmarkEnd w:id="143"/>
      <w:bookmarkStart w:id="144" w:name="_Toc184308106"/>
      <w:bookmarkEnd w:id="144"/>
      <w:bookmarkStart w:id="145" w:name="_Toc184312104"/>
      <w:bookmarkEnd w:id="145"/>
      <w:bookmarkStart w:id="146" w:name="_Toc184310277"/>
      <w:bookmarkEnd w:id="146"/>
      <w:bookmarkStart w:id="147" w:name="_Toc184312117"/>
      <w:bookmarkEnd w:id="147"/>
      <w:bookmarkStart w:id="148" w:name="_Toc184312131"/>
      <w:bookmarkEnd w:id="148"/>
      <w:bookmarkStart w:id="149" w:name="_Toc184313290"/>
      <w:bookmarkEnd w:id="149"/>
      <w:bookmarkStart w:id="150" w:name="_Toc184314479"/>
      <w:bookmarkEnd w:id="150"/>
      <w:bookmarkStart w:id="151" w:name="_Toc184308039"/>
      <w:bookmarkEnd w:id="151"/>
      <w:bookmarkStart w:id="152" w:name="_Toc184308105"/>
      <w:bookmarkEnd w:id="152"/>
      <w:bookmarkStart w:id="153" w:name="_Toc184308036"/>
      <w:bookmarkEnd w:id="153"/>
      <w:bookmarkStart w:id="154" w:name="_Toc184314470"/>
      <w:bookmarkEnd w:id="154"/>
      <w:bookmarkStart w:id="155" w:name="_Toc184308056"/>
      <w:bookmarkEnd w:id="155"/>
      <w:bookmarkStart w:id="156" w:name="_Toc184312068"/>
      <w:bookmarkEnd w:id="156"/>
      <w:bookmarkStart w:id="157" w:name="_Toc184308090"/>
      <w:bookmarkEnd w:id="157"/>
      <w:bookmarkStart w:id="158" w:name="_Toc184310320"/>
      <w:bookmarkEnd w:id="158"/>
      <w:bookmarkStart w:id="159" w:name="_Toc184310298"/>
      <w:bookmarkEnd w:id="159"/>
      <w:bookmarkStart w:id="160" w:name="_Toc184314420"/>
      <w:bookmarkEnd w:id="160"/>
      <w:bookmarkStart w:id="161" w:name="_Toc184312122"/>
      <w:bookmarkEnd w:id="161"/>
      <w:bookmarkStart w:id="162" w:name="_Toc184312076"/>
      <w:bookmarkEnd w:id="162"/>
      <w:bookmarkStart w:id="163" w:name="_Toc184312070"/>
      <w:bookmarkEnd w:id="163"/>
      <w:bookmarkStart w:id="164" w:name="_Toc184310301"/>
      <w:bookmarkEnd w:id="164"/>
      <w:bookmarkStart w:id="165" w:name="_Toc184314439"/>
      <w:bookmarkEnd w:id="165"/>
      <w:bookmarkStart w:id="166" w:name="_Toc184308058"/>
      <w:bookmarkEnd w:id="166"/>
      <w:bookmarkStart w:id="167" w:name="_Toc184313306"/>
      <w:bookmarkEnd w:id="167"/>
      <w:bookmarkStart w:id="168" w:name="_Toc184312105"/>
      <w:bookmarkEnd w:id="168"/>
      <w:bookmarkStart w:id="169" w:name="_Toc184314417"/>
      <w:bookmarkEnd w:id="169"/>
      <w:bookmarkStart w:id="170" w:name="_Toc184314432"/>
      <w:bookmarkEnd w:id="170"/>
      <w:bookmarkStart w:id="171" w:name="_Toc184310310"/>
      <w:bookmarkEnd w:id="171"/>
      <w:bookmarkStart w:id="172" w:name="_Toc184312115"/>
      <w:bookmarkEnd w:id="172"/>
      <w:bookmarkStart w:id="173" w:name="_Toc184313283"/>
      <w:bookmarkEnd w:id="173"/>
      <w:bookmarkStart w:id="174" w:name="_Toc184312127"/>
      <w:bookmarkEnd w:id="174"/>
      <w:bookmarkStart w:id="175" w:name="_Toc184314456"/>
      <w:bookmarkEnd w:id="175"/>
      <w:bookmarkStart w:id="176" w:name="_Toc184312110"/>
      <w:bookmarkEnd w:id="176"/>
      <w:bookmarkStart w:id="177" w:name="_Toc184312106"/>
      <w:bookmarkEnd w:id="177"/>
      <w:bookmarkStart w:id="178" w:name="_Toc184312084"/>
      <w:bookmarkEnd w:id="178"/>
      <w:bookmarkStart w:id="179" w:name="_Toc184313238"/>
      <w:bookmarkEnd w:id="179"/>
      <w:bookmarkStart w:id="180" w:name="_Toc184308078"/>
      <w:bookmarkEnd w:id="180"/>
      <w:bookmarkStart w:id="181" w:name="_Toc184313261"/>
      <w:bookmarkEnd w:id="181"/>
      <w:bookmarkStart w:id="182" w:name="_Toc184314452"/>
      <w:bookmarkEnd w:id="182"/>
      <w:bookmarkStart w:id="183" w:name="_Toc184313253"/>
      <w:bookmarkEnd w:id="183"/>
      <w:bookmarkStart w:id="184" w:name="_Toc184310325"/>
      <w:bookmarkEnd w:id="184"/>
      <w:bookmarkStart w:id="185" w:name="_Toc184314461"/>
      <w:bookmarkEnd w:id="185"/>
      <w:bookmarkStart w:id="186" w:name="_Toc184314462"/>
      <w:bookmarkEnd w:id="186"/>
      <w:bookmarkStart w:id="187" w:name="_Toc184314449"/>
      <w:bookmarkEnd w:id="187"/>
      <w:bookmarkStart w:id="188" w:name="_Toc184308067"/>
      <w:bookmarkEnd w:id="188"/>
      <w:bookmarkStart w:id="189" w:name="_Toc184313269"/>
      <w:bookmarkEnd w:id="189"/>
      <w:bookmarkStart w:id="190" w:name="_Toc184308042"/>
      <w:bookmarkEnd w:id="190"/>
      <w:bookmarkStart w:id="191" w:name="_Toc184312136"/>
      <w:bookmarkEnd w:id="191"/>
      <w:bookmarkStart w:id="192" w:name="_Toc184313246"/>
      <w:bookmarkEnd w:id="192"/>
      <w:bookmarkStart w:id="193" w:name="_Toc184310343"/>
      <w:bookmarkEnd w:id="193"/>
      <w:bookmarkStart w:id="194" w:name="_Toc184313284"/>
      <w:bookmarkEnd w:id="194"/>
      <w:bookmarkStart w:id="195" w:name="_Toc184308043"/>
      <w:bookmarkEnd w:id="195"/>
      <w:bookmarkStart w:id="196" w:name="_Toc184308040"/>
      <w:bookmarkEnd w:id="196"/>
      <w:bookmarkStart w:id="197" w:name="_Toc184312138"/>
      <w:bookmarkEnd w:id="197"/>
      <w:bookmarkStart w:id="198" w:name="_Toc184312121"/>
      <w:bookmarkEnd w:id="198"/>
      <w:bookmarkStart w:id="199" w:name="_Toc184312126"/>
      <w:bookmarkEnd w:id="199"/>
      <w:bookmarkStart w:id="200" w:name="_Toc184313247"/>
      <w:bookmarkEnd w:id="200"/>
      <w:bookmarkStart w:id="201" w:name="_Toc184310307"/>
      <w:bookmarkEnd w:id="201"/>
      <w:bookmarkStart w:id="202" w:name="_Toc184308045"/>
      <w:bookmarkEnd w:id="202"/>
      <w:bookmarkStart w:id="203" w:name="_Toc184314428"/>
      <w:bookmarkEnd w:id="203"/>
      <w:bookmarkStart w:id="204" w:name="_Toc184313257"/>
      <w:bookmarkEnd w:id="204"/>
      <w:bookmarkStart w:id="205" w:name="_Toc184308066"/>
      <w:bookmarkEnd w:id="205"/>
      <w:bookmarkStart w:id="206" w:name="_Toc184313251"/>
      <w:bookmarkEnd w:id="206"/>
      <w:bookmarkStart w:id="207" w:name="_Toc184310290"/>
      <w:bookmarkEnd w:id="207"/>
      <w:bookmarkStart w:id="208" w:name="_Toc184310285"/>
      <w:bookmarkEnd w:id="208"/>
      <w:bookmarkStart w:id="209" w:name="_Toc184314468"/>
      <w:bookmarkEnd w:id="209"/>
      <w:bookmarkStart w:id="210" w:name="_Toc184312125"/>
      <w:bookmarkEnd w:id="210"/>
      <w:bookmarkStart w:id="211" w:name="_Toc184312129"/>
      <w:bookmarkEnd w:id="211"/>
      <w:bookmarkStart w:id="212" w:name="_Toc184314437"/>
      <w:bookmarkEnd w:id="212"/>
      <w:bookmarkStart w:id="213" w:name="_Toc184312073"/>
      <w:bookmarkEnd w:id="213"/>
      <w:bookmarkStart w:id="214" w:name="_Toc184313241"/>
      <w:bookmarkEnd w:id="214"/>
      <w:bookmarkStart w:id="215" w:name="_Toc184314438"/>
      <w:bookmarkEnd w:id="215"/>
      <w:bookmarkStart w:id="216" w:name="_Toc184314477"/>
      <w:bookmarkEnd w:id="216"/>
      <w:bookmarkStart w:id="217" w:name="_Toc184308080"/>
      <w:bookmarkEnd w:id="217"/>
      <w:bookmarkStart w:id="218" w:name="_Toc184310292"/>
      <w:bookmarkEnd w:id="218"/>
      <w:bookmarkStart w:id="219" w:name="_Toc184312124"/>
      <w:bookmarkEnd w:id="219"/>
      <w:bookmarkStart w:id="220" w:name="_Toc184312120"/>
      <w:bookmarkEnd w:id="220"/>
      <w:bookmarkStart w:id="221" w:name="_Toc184312134"/>
      <w:bookmarkEnd w:id="221"/>
      <w:bookmarkStart w:id="222" w:name="_Toc184314450"/>
      <w:bookmarkEnd w:id="222"/>
      <w:bookmarkStart w:id="223" w:name="_Toc184308087"/>
      <w:bookmarkEnd w:id="223"/>
      <w:bookmarkStart w:id="224" w:name="_Toc184312080"/>
      <w:bookmarkEnd w:id="224"/>
      <w:bookmarkStart w:id="225" w:name="_Toc184312113"/>
      <w:bookmarkEnd w:id="225"/>
      <w:bookmarkStart w:id="226" w:name="_Toc184310339"/>
      <w:bookmarkEnd w:id="226"/>
      <w:bookmarkStart w:id="227" w:name="_Toc184308097"/>
      <w:bookmarkEnd w:id="227"/>
      <w:bookmarkStart w:id="228" w:name="_Toc184310342"/>
      <w:bookmarkEnd w:id="228"/>
      <w:bookmarkStart w:id="229" w:name="_Toc184313259"/>
      <w:bookmarkEnd w:id="229"/>
      <w:bookmarkStart w:id="230" w:name="_Toc184313288"/>
      <w:bookmarkEnd w:id="230"/>
      <w:bookmarkStart w:id="231" w:name="_Toc184312135"/>
      <w:bookmarkEnd w:id="231"/>
      <w:bookmarkStart w:id="232" w:name="_Toc184312093"/>
      <w:bookmarkEnd w:id="232"/>
      <w:bookmarkStart w:id="233" w:name="_Toc184308083"/>
      <w:bookmarkEnd w:id="233"/>
      <w:bookmarkStart w:id="234" w:name="_Toc184314453"/>
      <w:bookmarkEnd w:id="234"/>
      <w:bookmarkStart w:id="235" w:name="_Toc184308099"/>
      <w:bookmarkEnd w:id="235"/>
      <w:bookmarkStart w:id="236" w:name="_Toc184313252"/>
      <w:bookmarkEnd w:id="236"/>
      <w:bookmarkStart w:id="237" w:name="_Toc184314429"/>
      <w:bookmarkEnd w:id="237"/>
      <w:bookmarkStart w:id="238" w:name="_Toc184310295"/>
      <w:bookmarkEnd w:id="238"/>
      <w:bookmarkStart w:id="239" w:name="_Toc184314441"/>
      <w:bookmarkEnd w:id="239"/>
      <w:bookmarkStart w:id="240" w:name="_Toc184310304"/>
      <w:bookmarkEnd w:id="240"/>
      <w:bookmarkStart w:id="241" w:name="_Toc184314482"/>
      <w:bookmarkEnd w:id="241"/>
      <w:bookmarkStart w:id="242" w:name="_Toc184310278"/>
      <w:bookmarkEnd w:id="242"/>
      <w:bookmarkStart w:id="243" w:name="_Toc184310328"/>
      <w:bookmarkEnd w:id="243"/>
      <w:bookmarkStart w:id="244" w:name="_Toc184310287"/>
      <w:bookmarkEnd w:id="244"/>
      <w:bookmarkStart w:id="245" w:name="_Toc184313255"/>
      <w:bookmarkEnd w:id="245"/>
      <w:bookmarkStart w:id="246" w:name="_Toc184313304"/>
      <w:bookmarkEnd w:id="246"/>
      <w:bookmarkStart w:id="247" w:name="_Toc184314467"/>
      <w:bookmarkEnd w:id="247"/>
      <w:bookmarkStart w:id="248" w:name="_Toc184313286"/>
      <w:bookmarkEnd w:id="248"/>
      <w:bookmarkStart w:id="249" w:name="_Toc184313278"/>
      <w:bookmarkEnd w:id="249"/>
      <w:bookmarkStart w:id="250" w:name="_Toc184308092"/>
      <w:bookmarkEnd w:id="250"/>
      <w:bookmarkStart w:id="251" w:name="_Toc184314463"/>
      <w:bookmarkEnd w:id="251"/>
      <w:bookmarkStart w:id="252" w:name="_Toc184312108"/>
      <w:bookmarkEnd w:id="252"/>
      <w:bookmarkStart w:id="253" w:name="_Toc184310315"/>
      <w:bookmarkEnd w:id="253"/>
      <w:bookmarkStart w:id="254" w:name="_Toc184310337"/>
      <w:bookmarkEnd w:id="254"/>
      <w:bookmarkStart w:id="255" w:name="_Toc184314466"/>
      <w:bookmarkEnd w:id="255"/>
      <w:bookmarkStart w:id="256" w:name="_Toc184308044"/>
      <w:bookmarkEnd w:id="256"/>
      <w:bookmarkStart w:id="257" w:name="_Toc184312139"/>
      <w:bookmarkEnd w:id="257"/>
      <w:bookmarkStart w:id="258" w:name="_Toc184312075"/>
      <w:bookmarkEnd w:id="258"/>
      <w:bookmarkStart w:id="259" w:name="_Toc184314460"/>
      <w:bookmarkEnd w:id="259"/>
      <w:bookmarkStart w:id="260" w:name="_Toc184310314"/>
      <w:bookmarkEnd w:id="260"/>
      <w:bookmarkStart w:id="261" w:name="_Toc184312079"/>
      <w:bookmarkEnd w:id="261"/>
      <w:bookmarkStart w:id="262" w:name="_Toc184308057"/>
      <w:bookmarkEnd w:id="262"/>
      <w:bookmarkStart w:id="263" w:name="_Toc184310272"/>
      <w:bookmarkEnd w:id="263"/>
      <w:bookmarkStart w:id="264" w:name="_Toc184313242"/>
      <w:bookmarkEnd w:id="264"/>
      <w:bookmarkStart w:id="265" w:name="_Toc184313256"/>
      <w:bookmarkEnd w:id="265"/>
      <w:bookmarkStart w:id="266" w:name="_Toc184312090"/>
      <w:bookmarkEnd w:id="266"/>
      <w:bookmarkStart w:id="267" w:name="_Toc184310324"/>
      <w:bookmarkEnd w:id="267"/>
      <w:bookmarkStart w:id="268" w:name="_Toc184312085"/>
      <w:bookmarkEnd w:id="268"/>
      <w:bookmarkStart w:id="269" w:name="_Toc184313281"/>
      <w:bookmarkEnd w:id="269"/>
      <w:bookmarkStart w:id="270" w:name="_Toc184314475"/>
      <w:bookmarkEnd w:id="270"/>
      <w:bookmarkStart w:id="271" w:name="_Toc184312078"/>
      <w:bookmarkEnd w:id="271"/>
      <w:bookmarkStart w:id="272" w:name="_Toc184308041"/>
      <w:bookmarkEnd w:id="272"/>
      <w:bookmarkStart w:id="273" w:name="_Toc184313309"/>
      <w:bookmarkEnd w:id="273"/>
      <w:bookmarkStart w:id="274" w:name="_Toc184310338"/>
      <w:bookmarkEnd w:id="274"/>
      <w:bookmarkStart w:id="275" w:name="_Toc184310297"/>
      <w:bookmarkEnd w:id="275"/>
      <w:bookmarkStart w:id="276" w:name="_Toc184310333"/>
      <w:bookmarkEnd w:id="276"/>
      <w:bookmarkStart w:id="277" w:name="_Toc184310302"/>
      <w:bookmarkEnd w:id="277"/>
      <w:bookmarkStart w:id="278" w:name="_Toc184308037"/>
      <w:bookmarkEnd w:id="278"/>
      <w:bookmarkStart w:id="279" w:name="_Toc184314459"/>
      <w:bookmarkEnd w:id="279"/>
      <w:bookmarkStart w:id="280" w:name="_Toc184308103"/>
      <w:bookmarkEnd w:id="280"/>
      <w:bookmarkStart w:id="281" w:name="_Toc184310294"/>
      <w:bookmarkEnd w:id="281"/>
      <w:bookmarkStart w:id="282" w:name="_Toc184310280"/>
      <w:bookmarkEnd w:id="282"/>
      <w:bookmarkStart w:id="283" w:name="_Toc184308101"/>
      <w:bookmarkEnd w:id="283"/>
      <w:bookmarkStart w:id="284" w:name="_Toc184312082"/>
      <w:bookmarkEnd w:id="284"/>
      <w:bookmarkStart w:id="285" w:name="_Toc184310321"/>
      <w:bookmarkEnd w:id="285"/>
      <w:bookmarkStart w:id="286" w:name="_Toc184313276"/>
      <w:bookmarkEnd w:id="286"/>
      <w:bookmarkStart w:id="287" w:name="_Toc184313244"/>
      <w:bookmarkEnd w:id="287"/>
      <w:bookmarkStart w:id="288" w:name="_Toc184310344"/>
      <w:bookmarkEnd w:id="288"/>
      <w:bookmarkStart w:id="289" w:name="_Toc184312137"/>
      <w:bookmarkEnd w:id="289"/>
      <w:bookmarkStart w:id="290" w:name="_Toc184310284"/>
      <w:bookmarkEnd w:id="290"/>
      <w:bookmarkStart w:id="291" w:name="_Toc184314433"/>
      <w:bookmarkEnd w:id="291"/>
      <w:bookmarkStart w:id="292" w:name="_Toc184313250"/>
      <w:bookmarkEnd w:id="292"/>
      <w:bookmarkStart w:id="293" w:name="_Toc184308075"/>
      <w:bookmarkEnd w:id="293"/>
      <w:bookmarkStart w:id="294" w:name="_Toc184308046"/>
      <w:bookmarkEnd w:id="294"/>
      <w:bookmarkStart w:id="295" w:name="_Toc184313302"/>
      <w:bookmarkEnd w:id="295"/>
      <w:bookmarkStart w:id="296" w:name="_Toc184314430"/>
      <w:bookmarkEnd w:id="296"/>
      <w:bookmarkStart w:id="297" w:name="_Toc184308102"/>
      <w:bookmarkEnd w:id="297"/>
      <w:bookmarkStart w:id="298" w:name="_Toc184312096"/>
      <w:bookmarkEnd w:id="298"/>
      <w:bookmarkStart w:id="299" w:name="_Toc184308053"/>
      <w:bookmarkEnd w:id="299"/>
      <w:bookmarkStart w:id="300" w:name="_Toc184308050"/>
      <w:bookmarkEnd w:id="300"/>
      <w:bookmarkStart w:id="301" w:name="_Toc184310331"/>
      <w:bookmarkEnd w:id="301"/>
      <w:bookmarkStart w:id="302" w:name="_Toc184313298"/>
      <w:bookmarkEnd w:id="302"/>
      <w:bookmarkStart w:id="303" w:name="_Toc184308100"/>
      <w:bookmarkEnd w:id="303"/>
      <w:bookmarkStart w:id="304" w:name="_Toc184308063"/>
      <w:bookmarkEnd w:id="304"/>
      <w:bookmarkStart w:id="305" w:name="_Toc184312112"/>
      <w:bookmarkEnd w:id="305"/>
      <w:bookmarkStart w:id="306" w:name="_Toc184312086"/>
      <w:bookmarkEnd w:id="306"/>
      <w:bookmarkStart w:id="307" w:name="_Toc184313282"/>
      <w:bookmarkEnd w:id="307"/>
      <w:bookmarkStart w:id="308" w:name="_Toc184313287"/>
      <w:bookmarkEnd w:id="308"/>
      <w:bookmarkStart w:id="309" w:name="_Toc184310311"/>
      <w:bookmarkEnd w:id="309"/>
      <w:bookmarkStart w:id="310" w:name="_Toc184314478"/>
      <w:bookmarkEnd w:id="310"/>
      <w:bookmarkStart w:id="311" w:name="_Toc184310323"/>
      <w:bookmarkEnd w:id="311"/>
      <w:bookmarkStart w:id="312" w:name="_Toc184313272"/>
      <w:bookmarkEnd w:id="312"/>
      <w:bookmarkStart w:id="313" w:name="_Toc184310305"/>
      <w:bookmarkEnd w:id="313"/>
      <w:bookmarkStart w:id="314" w:name="_Toc184310276"/>
      <w:bookmarkEnd w:id="314"/>
      <w:bookmarkStart w:id="315" w:name="_Toc184313296"/>
      <w:bookmarkEnd w:id="315"/>
      <w:bookmarkStart w:id="316" w:name="_Toc184313271"/>
      <w:bookmarkEnd w:id="316"/>
      <w:bookmarkStart w:id="317" w:name="_Toc184308096"/>
      <w:bookmarkEnd w:id="317"/>
      <w:bookmarkStart w:id="318" w:name="_Toc184312071"/>
      <w:bookmarkEnd w:id="318"/>
      <w:bookmarkStart w:id="319" w:name="_Toc184314457"/>
      <w:bookmarkEnd w:id="319"/>
      <w:bookmarkStart w:id="320" w:name="_Toc184310336"/>
      <w:bookmarkEnd w:id="320"/>
      <w:bookmarkStart w:id="321" w:name="_Toc184312133"/>
      <w:bookmarkEnd w:id="321"/>
      <w:bookmarkStart w:id="322" w:name="_Toc184310289"/>
      <w:bookmarkEnd w:id="322"/>
      <w:bookmarkStart w:id="323" w:name="_Toc184308085"/>
      <w:bookmarkEnd w:id="323"/>
      <w:bookmarkStart w:id="324" w:name="_Toc184313262"/>
      <w:bookmarkEnd w:id="324"/>
      <w:bookmarkStart w:id="325" w:name="_Toc184312119"/>
      <w:bookmarkEnd w:id="325"/>
      <w:bookmarkStart w:id="326" w:name="_Toc184313240"/>
      <w:bookmarkEnd w:id="326"/>
      <w:bookmarkStart w:id="327" w:name="_Toc184312103"/>
      <w:bookmarkEnd w:id="327"/>
      <w:bookmarkStart w:id="328" w:name="_Toc184313310"/>
      <w:bookmarkEnd w:id="328"/>
      <w:bookmarkStart w:id="329" w:name="_Toc184312069"/>
      <w:bookmarkEnd w:id="329"/>
      <w:bookmarkStart w:id="330" w:name="_Toc184313270"/>
      <w:bookmarkEnd w:id="330"/>
      <w:bookmarkStart w:id="331" w:name="_Toc184310313"/>
      <w:bookmarkEnd w:id="331"/>
      <w:bookmarkStart w:id="332" w:name="_Toc184313299"/>
      <w:bookmarkEnd w:id="332"/>
      <w:bookmarkStart w:id="333" w:name="_Toc184313254"/>
      <w:bookmarkEnd w:id="333"/>
      <w:bookmarkStart w:id="334" w:name="_Toc184314416"/>
      <w:bookmarkEnd w:id="334"/>
      <w:bookmarkStart w:id="335" w:name="_Toc184313267"/>
      <w:bookmarkEnd w:id="335"/>
      <w:bookmarkStart w:id="336" w:name="_Toc184313266"/>
      <w:bookmarkEnd w:id="336"/>
      <w:bookmarkStart w:id="337" w:name="_Toc184312118"/>
      <w:bookmarkEnd w:id="337"/>
      <w:bookmarkStart w:id="338" w:name="_Toc184308062"/>
      <w:bookmarkEnd w:id="338"/>
      <w:bookmarkStart w:id="339" w:name="_Toc184310299"/>
      <w:bookmarkEnd w:id="339"/>
      <w:bookmarkStart w:id="340" w:name="_Toc184314469"/>
      <w:bookmarkEnd w:id="340"/>
      <w:bookmarkStart w:id="341" w:name="_Toc184310286"/>
      <w:bookmarkEnd w:id="341"/>
      <w:bookmarkStart w:id="342" w:name="_Toc184314412"/>
      <w:bookmarkEnd w:id="342"/>
      <w:bookmarkStart w:id="343" w:name="_Toc184314445"/>
      <w:bookmarkEnd w:id="343"/>
      <w:bookmarkStart w:id="344" w:name="_Toc184312095"/>
      <w:bookmarkEnd w:id="344"/>
      <w:bookmarkStart w:id="345" w:name="_Toc184313308"/>
      <w:bookmarkEnd w:id="345"/>
      <w:bookmarkStart w:id="346" w:name="_Toc184313297"/>
      <w:bookmarkEnd w:id="346"/>
      <w:bookmarkStart w:id="347" w:name="_Toc184313248"/>
      <w:bookmarkEnd w:id="347"/>
      <w:bookmarkStart w:id="348" w:name="_Toc184310316"/>
      <w:bookmarkEnd w:id="348"/>
      <w:bookmarkStart w:id="349" w:name="_Toc184314423"/>
      <w:bookmarkEnd w:id="349"/>
      <w:bookmarkStart w:id="350" w:name="_Toc184312098"/>
      <w:bookmarkEnd w:id="350"/>
      <w:bookmarkStart w:id="351" w:name="_Toc184308098"/>
      <w:bookmarkEnd w:id="351"/>
      <w:bookmarkStart w:id="352" w:name="_Toc184314446"/>
      <w:bookmarkEnd w:id="352"/>
      <w:bookmarkStart w:id="353" w:name="_Toc184314465"/>
      <w:bookmarkEnd w:id="353"/>
      <w:bookmarkStart w:id="354" w:name="_Toc184314440"/>
      <w:bookmarkEnd w:id="354"/>
      <w:bookmarkStart w:id="355" w:name="_Toc184314415"/>
      <w:bookmarkEnd w:id="355"/>
      <w:bookmarkStart w:id="356" w:name="_Toc184308065"/>
      <w:bookmarkEnd w:id="356"/>
      <w:bookmarkStart w:id="357" w:name="_Toc184314476"/>
      <w:bookmarkEnd w:id="357"/>
      <w:bookmarkStart w:id="358" w:name="_Toc184308054"/>
      <w:bookmarkEnd w:id="358"/>
      <w:bookmarkStart w:id="359" w:name="_Toc184314458"/>
      <w:bookmarkEnd w:id="359"/>
      <w:bookmarkStart w:id="360" w:name="_Toc184314434"/>
      <w:bookmarkEnd w:id="360"/>
      <w:bookmarkStart w:id="361" w:name="_Toc184310303"/>
      <w:bookmarkEnd w:id="361"/>
      <w:bookmarkStart w:id="362" w:name="_Toc184312107"/>
      <w:bookmarkEnd w:id="362"/>
      <w:bookmarkStart w:id="363" w:name="_Toc184313300"/>
      <w:bookmarkEnd w:id="363"/>
      <w:bookmarkStart w:id="364" w:name="_Toc184313280"/>
      <w:bookmarkEnd w:id="364"/>
      <w:bookmarkStart w:id="365" w:name="_Toc184312089"/>
      <w:bookmarkEnd w:id="365"/>
      <w:bookmarkStart w:id="366" w:name="_Toc184314410"/>
      <w:bookmarkEnd w:id="366"/>
      <w:bookmarkStart w:id="367" w:name="_Toc184308086"/>
      <w:bookmarkEnd w:id="367"/>
      <w:bookmarkStart w:id="368" w:name="_Toc184314424"/>
      <w:bookmarkEnd w:id="368"/>
      <w:bookmarkStart w:id="369" w:name="_Toc184314464"/>
      <w:bookmarkEnd w:id="369"/>
      <w:bookmarkStart w:id="370" w:name="_Toc184308064"/>
      <w:bookmarkEnd w:id="370"/>
      <w:bookmarkStart w:id="371" w:name="_Toc184310308"/>
      <w:bookmarkEnd w:id="371"/>
      <w:bookmarkStart w:id="372" w:name="_Toc184312081"/>
      <w:bookmarkEnd w:id="372"/>
      <w:bookmarkStart w:id="373" w:name="_Toc184313243"/>
      <w:bookmarkEnd w:id="373"/>
      <w:bookmarkStart w:id="374" w:name="_Toc184314472"/>
      <w:bookmarkEnd w:id="374"/>
      <w:bookmarkStart w:id="375" w:name="_Toc184314418"/>
      <w:bookmarkEnd w:id="375"/>
      <w:bookmarkStart w:id="376" w:name="_Toc184310273"/>
      <w:bookmarkEnd w:id="376"/>
      <w:bookmarkStart w:id="377" w:name="_Toc184314422"/>
      <w:bookmarkEnd w:id="377"/>
      <w:bookmarkStart w:id="378" w:name="_Toc184310341"/>
      <w:bookmarkEnd w:id="378"/>
      <w:bookmarkStart w:id="379" w:name="_Toc184313295"/>
      <w:bookmarkEnd w:id="379"/>
      <w:bookmarkStart w:id="380" w:name="_Toc184308051"/>
      <w:bookmarkEnd w:id="380"/>
      <w:bookmarkStart w:id="381" w:name="_Toc184312099"/>
      <w:bookmarkEnd w:id="381"/>
      <w:bookmarkStart w:id="382" w:name="_Toc184314480"/>
      <w:bookmarkEnd w:id="382"/>
      <w:bookmarkStart w:id="383" w:name="_Toc184310293"/>
      <w:bookmarkEnd w:id="383"/>
      <w:bookmarkStart w:id="384" w:name="_Toc184314436"/>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2024年临江公司除臭系统备件</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23"/>
        <w:ind w:left="0" w:leftChars="0" w:firstLine="0" w:firstLineChars="0"/>
        <w:rPr>
          <w:rFonts w:hint="eastAsia" w:ascii="宋体" w:hAnsi="宋体" w:eastAsia="宋体" w:cs="宋体"/>
          <w:b/>
          <w:sz w:val="24"/>
          <w:szCs w:val="24"/>
        </w:rPr>
      </w:pPr>
    </w:p>
    <w:sdt>
      <w:sdtPr>
        <w:rPr>
          <w:rFonts w:hint="eastAsia" w:ascii="宋体" w:hAnsi="宋体" w:eastAsia="宋体" w:cs="宋体"/>
          <w:kern w:val="2"/>
          <w:sz w:val="24"/>
          <w:szCs w:val="24"/>
          <w:lang w:val="en-US" w:eastAsia="zh-CN" w:bidi="ar-SA"/>
        </w:rPr>
        <w:id w:val="147467511"/>
        <w15:color w:val="DBDBDB"/>
        <w:docPartObj>
          <w:docPartGallery w:val="Table of Contents"/>
          <w:docPartUnique/>
        </w:docPartObj>
      </w:sdtPr>
      <w:sdtEndPr>
        <w:rPr>
          <w:rFonts w:hint="eastAsia" w:ascii="宋体" w:hAnsi="宋体" w:eastAsia="宋体" w:cs="宋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录</w:t>
          </w:r>
        </w:p>
        <w:p>
          <w:pPr>
            <w:pStyle w:val="13"/>
            <w:tabs>
              <w:tab w:val="right" w:leader="dot" w:pos="8306"/>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_Toc20141 </w:instrText>
          </w:r>
          <w:r>
            <w:rPr>
              <w:rFonts w:hint="eastAsia" w:ascii="宋体" w:hAnsi="宋体" w:eastAsia="宋体" w:cs="宋体"/>
              <w:szCs w:val="24"/>
            </w:rPr>
            <w:fldChar w:fldCharType="separate"/>
          </w:r>
          <w:r>
            <w:rPr>
              <w:rFonts w:hint="eastAsia" w:ascii="宋体" w:hAnsi="宋体" w:eastAsia="宋体" w:cs="宋体"/>
            </w:rPr>
            <w:t>第一章 合同书</w:t>
          </w:r>
          <w:r>
            <w:tab/>
          </w:r>
          <w:r>
            <w:fldChar w:fldCharType="begin"/>
          </w:r>
          <w:r>
            <w:instrText xml:space="preserve"> PAGEREF _Toc20141 \h </w:instrText>
          </w:r>
          <w:r>
            <w:fldChar w:fldCharType="separate"/>
          </w:r>
          <w:r>
            <w:t>3</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_Toc17221 </w:instrText>
          </w:r>
          <w:r>
            <w:rPr>
              <w:rFonts w:hint="eastAsia" w:ascii="宋体" w:hAnsi="宋体" w:eastAsia="宋体" w:cs="宋体"/>
              <w:szCs w:val="24"/>
            </w:rPr>
            <w:fldChar w:fldCharType="separate"/>
          </w:r>
          <w:r>
            <w:rPr>
              <w:rFonts w:hint="eastAsia" w:ascii="宋体" w:hAnsi="宋体" w:cs="宋体"/>
              <w:szCs w:val="24"/>
            </w:rPr>
            <w:t>第二章 合同一般条款</w:t>
          </w:r>
          <w:r>
            <w:tab/>
          </w:r>
          <w:r>
            <w:fldChar w:fldCharType="begin"/>
          </w:r>
          <w:r>
            <w:instrText xml:space="preserve"> PAGEREF _Toc17221 \h </w:instrText>
          </w:r>
          <w:r>
            <w:fldChar w:fldCharType="separate"/>
          </w:r>
          <w:r>
            <w:t>10</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_Toc27135 </w:instrText>
          </w:r>
          <w:r>
            <w:rPr>
              <w:rFonts w:hint="eastAsia" w:ascii="宋体" w:hAnsi="宋体" w:eastAsia="宋体" w:cs="宋体"/>
              <w:szCs w:val="24"/>
            </w:rPr>
            <w:fldChar w:fldCharType="separate"/>
          </w:r>
          <w:r>
            <w:rPr>
              <w:rFonts w:hint="eastAsia" w:ascii="宋体" w:hAnsi="宋体" w:cs="Times New Roman"/>
              <w:szCs w:val="24"/>
            </w:rPr>
            <w:t xml:space="preserve">第三章 </w:t>
          </w:r>
          <w:r>
            <w:rPr>
              <w:rFonts w:hint="eastAsia" w:ascii="宋体" w:hAnsi="宋体"/>
              <w:szCs w:val="24"/>
            </w:rPr>
            <w:t>廉洁协议</w:t>
          </w:r>
          <w:r>
            <w:tab/>
          </w:r>
          <w:r>
            <w:fldChar w:fldCharType="begin"/>
          </w:r>
          <w:r>
            <w:instrText xml:space="preserve"> PAGEREF _Toc27135 \h </w:instrText>
          </w:r>
          <w:r>
            <w:fldChar w:fldCharType="separate"/>
          </w:r>
          <w:r>
            <w:t>15</w:t>
          </w:r>
          <w:r>
            <w:fldChar w:fldCharType="end"/>
          </w:r>
          <w:r>
            <w:rPr>
              <w:rFonts w:hint="eastAsia" w:ascii="宋体" w:hAnsi="宋体" w:eastAsia="宋体" w:cs="宋体"/>
              <w:szCs w:val="24"/>
            </w:rPr>
            <w:fldChar w:fldCharType="end"/>
          </w:r>
        </w:p>
        <w:p>
          <w:pPr>
            <w:pStyle w:val="23"/>
            <w:rPr>
              <w:rFonts w:hint="eastAsia" w:ascii="宋体" w:hAnsi="宋体" w:eastAsia="宋体" w:cs="宋体"/>
              <w:sz w:val="32"/>
              <w:szCs w:val="32"/>
            </w:rPr>
          </w:pPr>
          <w:r>
            <w:rPr>
              <w:rFonts w:hint="eastAsia" w:ascii="宋体" w:hAnsi="宋体" w:eastAsia="宋体" w:cs="宋体"/>
              <w:szCs w:val="24"/>
            </w:rPr>
            <w:fldChar w:fldCharType="end"/>
          </w:r>
        </w:p>
      </w:sdtContent>
    </w:sdt>
    <w:p>
      <w:pPr>
        <w:pStyle w:val="9"/>
        <w:rPr>
          <w:rFonts w:hint="eastAsia" w:ascii="宋体" w:hAnsi="宋体" w:eastAsia="宋体" w:cs="宋体"/>
          <w:sz w:val="32"/>
          <w:szCs w:val="32"/>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rPr>
          <w:rFonts w:hint="eastAsia" w:ascii="宋体" w:hAnsi="宋体" w:eastAsia="宋体" w:cs="宋体"/>
          <w:b/>
          <w:sz w:val="24"/>
        </w:rPr>
      </w:pPr>
      <w:r>
        <w:rPr>
          <w:rFonts w:hint="eastAsia" w:ascii="宋体" w:hAnsi="宋体" w:eastAsia="宋体" w:cs="宋体"/>
          <w:b/>
          <w:sz w:val="24"/>
        </w:rPr>
        <w:br w:type="page"/>
      </w:r>
    </w:p>
    <w:p>
      <w:pPr>
        <w:spacing w:line="360" w:lineRule="auto"/>
        <w:ind w:firstLine="482" w:firstLineChars="200"/>
        <w:jc w:val="center"/>
        <w:outlineLvl w:val="0"/>
        <w:rPr>
          <w:rFonts w:ascii="宋体" w:hAnsi="宋体" w:eastAsia="宋体" w:cs="宋体"/>
          <w:b/>
          <w:sz w:val="24"/>
        </w:rPr>
      </w:pPr>
      <w:bookmarkStart w:id="385" w:name="_Toc20141"/>
      <w:r>
        <w:rPr>
          <w:rFonts w:hint="eastAsia" w:ascii="宋体" w:hAnsi="宋体" w:eastAsia="宋体" w:cs="宋体"/>
          <w:b/>
          <w:sz w:val="24"/>
        </w:rPr>
        <w:t>第一章 合同书</w:t>
      </w:r>
      <w:bookmarkEnd w:id="385"/>
    </w:p>
    <w:p>
      <w:pPr>
        <w:spacing w:line="360" w:lineRule="auto"/>
        <w:ind w:firstLine="480" w:firstLineChars="200"/>
        <w:rPr>
          <w:rFonts w:ascii="宋体" w:hAnsi="宋体" w:cs="宋体"/>
          <w:sz w:val="24"/>
        </w:rPr>
      </w:pPr>
      <w:r>
        <w:rPr>
          <w:rFonts w:hint="eastAsia" w:ascii="宋体" w:hAnsi="宋体" w:cs="宋体"/>
          <w:sz w:val="24"/>
          <w:u w:val="single"/>
        </w:rPr>
        <w:t>2024年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2024年临江公司除臭系统备件采购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评审小组</w:t>
      </w:r>
      <w:r>
        <w:rPr>
          <w:rFonts w:hint="eastAsia" w:ascii="宋体" w:hAnsi="宋体" w:cs="宋体"/>
          <w:sz w:val="24"/>
        </w:rPr>
        <w:t>评定，</w:t>
      </w:r>
      <w:r>
        <w:rPr>
          <w:rFonts w:hint="eastAsia" w:ascii="宋体" w:hAnsi="宋体" w:cs="宋体"/>
          <w:sz w:val="24"/>
          <w:u w:val="single"/>
          <w:lang w:val="en-US" w:eastAsia="zh-CN"/>
        </w:rPr>
        <w:t xml:space="preserve">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w:t>
      </w:r>
      <w:r>
        <w:rPr>
          <w:rFonts w:hint="eastAsia" w:ascii="宋体" w:hAnsi="宋体" w:cs="宋体"/>
          <w:sz w:val="24"/>
        </w:rPr>
        <w:t>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6" w:name="_Toc24059"/>
      <w:bookmarkStart w:id="387" w:name="_Toc2232"/>
      <w:bookmarkStart w:id="388" w:name="_Toc3029"/>
      <w:r>
        <w:rPr>
          <w:rFonts w:hint="eastAsia" w:ascii="宋体" w:hAnsi="宋体" w:cs="宋体"/>
          <w:b/>
          <w:sz w:val="24"/>
        </w:rPr>
        <w:t>一、合同组成部分</w:t>
      </w:r>
      <w:bookmarkEnd w:id="386"/>
      <w:bookmarkEnd w:id="387"/>
      <w:bookmarkEnd w:id="388"/>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9" w:name="_Toc27126"/>
      <w:bookmarkStart w:id="390" w:name="_Toc24300"/>
      <w:bookmarkStart w:id="391" w:name="_Toc21295"/>
      <w:r>
        <w:rPr>
          <w:rFonts w:hint="eastAsia" w:ascii="宋体" w:hAnsi="宋体" w:cs="宋体"/>
          <w:b/>
          <w:sz w:val="24"/>
        </w:rPr>
        <w:t xml:space="preserve">二、 </w:t>
      </w:r>
      <w:bookmarkEnd w:id="389"/>
      <w:bookmarkEnd w:id="390"/>
      <w:bookmarkEnd w:id="391"/>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p>
    <w:p>
      <w:pPr>
        <w:spacing w:line="360" w:lineRule="auto"/>
        <w:ind w:firstLine="480" w:firstLineChars="200"/>
        <w:rPr>
          <w:rFonts w:hint="eastAsia" w:ascii="宋体" w:hAnsi="宋体" w:cs="宋体"/>
          <w:sz w:val="24"/>
        </w:rPr>
      </w:pPr>
    </w:p>
    <w:tbl>
      <w:tblPr>
        <w:tblStyle w:val="15"/>
        <w:tblW w:w="891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233"/>
        <w:gridCol w:w="888"/>
        <w:gridCol w:w="3082"/>
        <w:gridCol w:w="663"/>
        <w:gridCol w:w="650"/>
        <w:gridCol w:w="862"/>
        <w:gridCol w:w="8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88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308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86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8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2"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c>
          <w:tcPr>
            <w:tcW w:w="863"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r>
    </w:tbl>
    <w:p>
      <w:pPr>
        <w:spacing w:line="360" w:lineRule="auto"/>
        <w:ind w:firstLine="480" w:firstLineChars="200"/>
        <w:rPr>
          <w:rFonts w:hint="eastAsia" w:ascii="宋体" w:hAnsi="宋体" w:cs="宋体"/>
          <w:sz w:val="24"/>
        </w:rPr>
      </w:pPr>
    </w:p>
    <w:p>
      <w:pPr>
        <w:spacing w:line="360" w:lineRule="auto"/>
        <w:ind w:firstLine="482" w:firstLineChars="200"/>
        <w:rPr>
          <w:rFonts w:ascii="宋体" w:hAnsi="宋体" w:cs="宋体"/>
          <w:b/>
          <w:sz w:val="24"/>
        </w:rPr>
      </w:pPr>
      <w:bookmarkStart w:id="392" w:name="_Toc10340"/>
      <w:bookmarkStart w:id="393" w:name="_Toc22618"/>
      <w:bookmarkStart w:id="394" w:name="_Toc1814"/>
      <w:r>
        <w:rPr>
          <w:rFonts w:hint="eastAsia" w:ascii="宋体" w:hAnsi="宋体" w:cs="宋体"/>
          <w:b/>
          <w:sz w:val="24"/>
        </w:rPr>
        <w:t>三、合同期限、货物交付期限、地点和联系方式、交付方式</w:t>
      </w:r>
    </w:p>
    <w:p>
      <w:pPr>
        <w:pStyle w:val="7"/>
        <w:ind w:firstLine="480" w:firstLineChars="200"/>
        <w:rPr>
          <w:lang w:val="en-US"/>
        </w:rPr>
      </w:pPr>
      <w:r>
        <w:rPr>
          <w:rFonts w:hint="eastAsia" w:hAnsi="宋体" w:cs="宋体"/>
        </w:rPr>
        <w:t>1.合同期限：</w:t>
      </w:r>
      <w:r>
        <w:rPr>
          <w:rFonts w:hint="eastAsia"/>
          <w:lang w:val="en-US"/>
        </w:rPr>
        <w:t>供货期限一年；</w:t>
      </w:r>
    </w:p>
    <w:p>
      <w:pPr>
        <w:pStyle w:val="7"/>
        <w:ind w:firstLine="480" w:firstLineChars="200"/>
        <w:rPr>
          <w:rFonts w:hint="eastAsia" w:hAnsi="宋体" w:cs="宋体"/>
        </w:rPr>
      </w:pPr>
      <w:r>
        <w:rPr>
          <w:rFonts w:hint="eastAsia" w:hAnsi="宋体" w:cs="宋体"/>
        </w:rPr>
        <w:t>2.</w:t>
      </w:r>
      <w:r>
        <w:rPr>
          <w:rFonts w:hint="eastAsia" w:hAnsi="宋体" w:cs="宋体"/>
          <w:lang w:val="zh-CN" w:eastAsia="zh-CN"/>
        </w:rPr>
        <w:t>履约方式：</w:t>
      </w:r>
      <w:r>
        <w:rPr>
          <w:rFonts w:hint="eastAsia" w:hAnsi="宋体" w:cs="宋体"/>
        </w:rPr>
        <w:t>按需分批次送货。在供货有效期内，单价不变，采购量可根据实际调整，最终按实际供货数量结算。合同清单数量仅为甲方暂定数量，乙方须按照甲方的采购订单数量供货，不得以超过合同暂定数量为由停止供货。在</w:t>
      </w:r>
      <w:r>
        <w:rPr>
          <w:rFonts w:hint="eastAsia" w:hAnsi="宋体" w:cs="宋体"/>
          <w:lang w:eastAsia="zh-CN"/>
        </w:rPr>
        <w:t>甲方</w:t>
      </w:r>
      <w:r>
        <w:rPr>
          <w:rFonts w:hint="eastAsia" w:hAnsi="宋体" w:cs="宋体"/>
        </w:rPr>
        <w:t>发出送货通知后，</w:t>
      </w:r>
      <w:r>
        <w:rPr>
          <w:rFonts w:hint="eastAsia" w:hAnsi="宋体" w:cs="宋体"/>
          <w:lang w:eastAsia="zh-CN"/>
        </w:rPr>
        <w:t>乙方15个工作日</w:t>
      </w:r>
      <w:r>
        <w:rPr>
          <w:rFonts w:hint="eastAsia" w:hAnsi="宋体" w:cs="宋体"/>
        </w:rPr>
        <w:t>内将货物如数送至</w:t>
      </w:r>
      <w:r>
        <w:rPr>
          <w:rFonts w:hint="eastAsia" w:hAnsi="宋体" w:cs="宋体"/>
          <w:lang w:eastAsia="zh-CN"/>
        </w:rPr>
        <w:t>甲方</w:t>
      </w:r>
      <w:r>
        <w:rPr>
          <w:rFonts w:hint="eastAsia" w:hAnsi="宋体" w:cs="宋体"/>
        </w:rPr>
        <w:t>指定地点；</w:t>
      </w:r>
    </w:p>
    <w:p>
      <w:pPr>
        <w:pStyle w:val="7"/>
        <w:ind w:firstLine="480" w:firstLineChars="200"/>
        <w:rPr>
          <w:rFonts w:hAnsi="宋体" w:cs="宋体"/>
        </w:rPr>
      </w:pPr>
      <w:r>
        <w:rPr>
          <w:rFonts w:hint="eastAsia" w:hAnsi="宋体" w:cs="宋体"/>
        </w:rPr>
        <w:t>3.交付地点：浙江省杭州市钱塘区临江街道红十五路10388-123号，杭州临江环境能源有限公司厂区内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pPr>
      <w:r>
        <w:rPr>
          <w:rFonts w:hint="eastAsia" w:ascii="宋体" w:hAnsi="宋体" w:cs="宋体"/>
          <w:sz w:val="24"/>
        </w:rPr>
        <w:t>5.乙方联系人及联系方式：</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spacing w:line="360" w:lineRule="auto"/>
        <w:ind w:firstLine="422" w:firstLineChars="20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 xml:space="preserve">1.品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备件</w:t>
      </w:r>
      <w:r>
        <w:rPr>
          <w:rFonts w:hint="eastAsia"/>
        </w:rPr>
        <w:t>必须为原厂正品，不得为假冒伪劣产品。</w:t>
      </w:r>
    </w:p>
    <w:p>
      <w:pPr>
        <w:pStyle w:val="24"/>
        <w:spacing w:before="0" w:beforeAutospacing="0" w:after="0" w:afterAutospacing="0" w:line="360" w:lineRule="auto"/>
        <w:ind w:firstLine="480" w:firstLineChars="200"/>
        <w:rPr>
          <w:rFonts w:hint="eastAsia"/>
        </w:rPr>
      </w:pPr>
      <w:r>
        <w:rPr>
          <w:rFonts w:hint="eastAsia"/>
          <w:lang w:val="en-US" w:eastAsia="zh-CN"/>
        </w:rPr>
        <w:t>3</w:t>
      </w:r>
      <w:r>
        <w:rPr>
          <w:rFonts w:hint="eastAsia"/>
          <w:lang w:val="en-US"/>
        </w:rPr>
        <w:t>.质保期：验收合格后1年。</w:t>
      </w:r>
    </w:p>
    <w:p>
      <w:pPr>
        <w:spacing w:line="360" w:lineRule="auto"/>
        <w:ind w:firstLine="482" w:firstLineChars="200"/>
        <w:rPr>
          <w:rFonts w:ascii="宋体" w:hAnsi="宋体" w:cs="宋体"/>
          <w:b/>
          <w:sz w:val="24"/>
        </w:rPr>
      </w:pPr>
      <w:bookmarkStart w:id="395" w:name="_Toc6596"/>
      <w:bookmarkStart w:id="396" w:name="_Toc14563"/>
      <w:bookmarkStart w:id="397" w:name="_Toc1125"/>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1</w:t>
      </w:r>
      <w:r>
        <w:rPr>
          <w:rFonts w:hint="eastAsia"/>
          <w:lang w:val="en-US"/>
        </w:rPr>
        <w:t>5个工作日内完成供货。乙方负责卸货，人工费由乙方承担，甲方可免费提供叉车服务。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lang w:val="en-US"/>
        </w:rPr>
        <w:t>4</w:t>
      </w:r>
      <w:r>
        <w:rPr>
          <w:rFonts w:hint="eastAsia"/>
          <w:lang w:val="en-US"/>
        </w:rPr>
        <w:t>.在乙方所供的货物使用过程中，经甲方检测不合格的，乙方应在12小时内更换合格货物，如造成甲方机械设备故障或货物损坏，由乙方承担甲方的一切损失，包括直接和间接损失。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5"/>
      <w:bookmarkEnd w:id="396"/>
      <w:bookmarkEnd w:id="397"/>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tabs>
          <w:tab w:val="left" w:pos="360"/>
          <w:tab w:val="left" w:pos="540"/>
          <w:tab w:val="left" w:pos="1080"/>
        </w:tabs>
        <w:spacing w:line="360" w:lineRule="auto"/>
        <w:ind w:firstLine="480" w:firstLineChars="20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七、验收特别约定条款</w:t>
      </w:r>
    </w:p>
    <w:p>
      <w:pPr>
        <w:spacing w:line="360" w:lineRule="auto"/>
        <w:ind w:firstLine="482" w:firstLineChars="200"/>
        <w:rPr>
          <w:rFonts w:hint="eastAsia" w:ascii="宋体" w:hAnsi="宋体" w:cs="宋体"/>
          <w:b/>
          <w:sz w:val="24"/>
          <w:lang w:val="en-US" w:eastAsia="zh-CN"/>
        </w:rPr>
      </w:pPr>
      <w:r>
        <w:rPr>
          <w:rFonts w:hint="eastAsia" w:ascii="宋体" w:hAnsi="宋体" w:cs="宋体"/>
          <w:b/>
          <w:sz w:val="24"/>
          <w:lang w:val="en-US" w:eastAsia="zh-CN"/>
        </w:rPr>
        <w:t>无。</w:t>
      </w:r>
    </w:p>
    <w:p>
      <w:pPr>
        <w:spacing w:line="360" w:lineRule="auto"/>
        <w:ind w:firstLine="482" w:firstLineChars="200"/>
        <w:rPr>
          <w:rFonts w:ascii="宋体" w:hAnsi="宋体" w:cs="宋体"/>
          <w:b/>
          <w:sz w:val="24"/>
        </w:rPr>
      </w:pPr>
      <w:r>
        <w:rPr>
          <w:rFonts w:hint="eastAsia" w:ascii="宋体" w:hAnsi="宋体" w:cs="宋体"/>
          <w:b/>
          <w:sz w:val="24"/>
        </w:rPr>
        <w:t>八、履约保证金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rPr>
        <w:t xml:space="preserve">  5   </w:t>
      </w:r>
      <w:r>
        <w:rPr>
          <w:rFonts w:hint="eastAsia"/>
          <w:lang w:val="en-US"/>
        </w:rPr>
        <w:t>%，金额为</w:t>
      </w:r>
      <w:r>
        <w:rPr>
          <w:rFonts w:hint="eastAsia"/>
          <w:u w:val="single"/>
          <w:lang w:val="en-US"/>
        </w:rPr>
        <w:t xml:space="preserve">  </w:t>
      </w:r>
      <w:r>
        <w:rPr>
          <w:rFonts w:hint="eastAsia"/>
          <w:u w:val="single"/>
          <w:lang w:val="en-US" w:eastAsia="zh-CN"/>
        </w:rPr>
        <w:t xml:space="preserve">    </w:t>
      </w:r>
      <w:r>
        <w:rPr>
          <w:rFonts w:hint="eastAsia"/>
          <w:u w:val="single"/>
          <w:lang w:val="en-US"/>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2"/>
    <w:bookmarkEnd w:id="393"/>
    <w:bookmarkEnd w:id="394"/>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8" w:name="_Toc2846"/>
      <w:bookmarkStart w:id="399" w:name="_Toc19304"/>
      <w:bookmarkStart w:id="400"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u w:val="single"/>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default" w:eastAsiaTheme="minorEastAsia"/>
          <w:color w:val="auto"/>
          <w:u w:val="single"/>
          <w:lang w:val="en-US" w:eastAsia="zh-CN"/>
        </w:rPr>
      </w:pPr>
      <w:r>
        <w:rPr>
          <w:rFonts w:hint="eastAsia"/>
          <w:u w:val="single"/>
        </w:rPr>
        <w:t>（1） 按月支</w:t>
      </w:r>
      <w:r>
        <w:rPr>
          <w:rFonts w:hint="eastAsia"/>
          <w:color w:val="auto"/>
          <w:u w:val="single"/>
        </w:rPr>
        <w:t>付，本月</w:t>
      </w:r>
      <w:r>
        <w:rPr>
          <w:rFonts w:hint="eastAsia"/>
          <w:color w:val="auto"/>
          <w:u w:val="single"/>
          <w:lang w:val="en-US" w:eastAsia="zh-CN"/>
        </w:rPr>
        <w:t>验收合格的</w:t>
      </w:r>
      <w:r>
        <w:rPr>
          <w:rFonts w:hint="eastAsia"/>
          <w:color w:val="auto"/>
          <w:u w:val="single"/>
        </w:rPr>
        <w:t>货款次月结算，甲方收到乙方提供的增值税专用发票后，甲方在本合同约定时间内完成支付 ；</w:t>
      </w:r>
      <w:r>
        <w:rPr>
          <w:rFonts w:hint="eastAsia"/>
          <w:color w:val="auto"/>
          <w:u w:val="single"/>
          <w:lang w:val="en-US" w:eastAsia="zh-CN"/>
        </w:rPr>
        <w:t>未验收合格的，货款不予支付，乙方按本合同约定承担违约责任；</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u w:val="single"/>
          <w:lang w:val="en-US" w:eastAsia="zh-CN"/>
        </w:rPr>
        <w:t>/</w:t>
      </w:r>
      <w:r>
        <w:rPr>
          <w:rFonts w:hint="eastAsia"/>
          <w:b/>
          <w:kern w:val="2"/>
          <w:u w:val="single"/>
        </w:rPr>
        <w:t xml:space="preserve">   </w:t>
      </w:r>
      <w:r>
        <w:rPr>
          <w:rFonts w:hint="eastAsia"/>
          <w:b/>
          <w:kern w:val="2"/>
        </w:rPr>
        <w:t xml:space="preserve"> 。         </w:t>
      </w:r>
    </w:p>
    <w:bookmarkEnd w:id="398"/>
    <w:bookmarkEnd w:id="399"/>
    <w:bookmarkEnd w:id="400"/>
    <w:p>
      <w:pPr>
        <w:spacing w:line="360" w:lineRule="auto"/>
        <w:ind w:firstLine="482" w:firstLineChars="200"/>
        <w:rPr>
          <w:rFonts w:ascii="宋体" w:hAnsi="宋体" w:cs="宋体"/>
          <w:b/>
          <w:sz w:val="24"/>
        </w:rPr>
      </w:pPr>
      <w:bookmarkStart w:id="401" w:name="_Toc27250"/>
      <w:bookmarkStart w:id="402" w:name="_Toc21423"/>
      <w:bookmarkStart w:id="403" w:name="_Toc19554"/>
      <w:r>
        <w:rPr>
          <w:rFonts w:hint="eastAsia" w:ascii="宋体" w:hAnsi="宋体" w:cs="宋体"/>
          <w:b/>
          <w:sz w:val="24"/>
        </w:rPr>
        <w:t>十一、违约责任</w:t>
      </w:r>
      <w:bookmarkEnd w:id="401"/>
      <w:bookmarkEnd w:id="402"/>
      <w:bookmarkEnd w:id="403"/>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4" w:name="_Toc15583"/>
      <w:bookmarkStart w:id="405" w:name="_Toc16021"/>
      <w:bookmarkStart w:id="406" w:name="_Toc28375"/>
      <w:r>
        <w:rPr>
          <w:rFonts w:hint="eastAsia" w:ascii="宋体" w:hAnsi="宋体" w:cs="宋体"/>
          <w:b/>
          <w:sz w:val="24"/>
        </w:rPr>
        <w:t>十二、合同争议的解决</w:t>
      </w:r>
      <w:bookmarkEnd w:id="404"/>
      <w:bookmarkEnd w:id="405"/>
      <w:bookmarkEnd w:id="406"/>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7" w:name="_Toc11173"/>
      <w:bookmarkStart w:id="408" w:name="_Toc15322"/>
      <w:bookmarkStart w:id="409"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7"/>
    <w:bookmarkEnd w:id="408"/>
    <w:bookmarkEnd w:id="409"/>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rPr>
          <w:rFonts w:hint="eastAsia" w:ascii="宋体" w:hAnsi="宋体" w:cs="宋体"/>
          <w:b/>
          <w:szCs w:val="24"/>
        </w:rPr>
      </w:pPr>
      <w:r>
        <w:rPr>
          <w:rFonts w:hint="eastAsia" w:ascii="宋体" w:hAnsi="宋体" w:cs="宋体"/>
          <w:b/>
          <w:szCs w:val="24"/>
        </w:rPr>
        <w:br w:type="page"/>
      </w:r>
    </w:p>
    <w:p>
      <w:pPr>
        <w:pStyle w:val="23"/>
        <w:ind w:left="0" w:leftChars="0" w:firstLine="0" w:firstLineChars="0"/>
        <w:jc w:val="center"/>
        <w:outlineLvl w:val="0"/>
        <w:rPr>
          <w:rFonts w:ascii="宋体" w:hAnsi="宋体" w:cs="宋体"/>
          <w:b/>
          <w:szCs w:val="24"/>
        </w:rPr>
      </w:pPr>
      <w:bookmarkStart w:id="410" w:name="_Toc17221"/>
      <w:r>
        <w:rPr>
          <w:rFonts w:hint="eastAsia" w:ascii="宋体" w:hAnsi="宋体" w:cs="宋体"/>
          <w:b/>
          <w:szCs w:val="24"/>
        </w:rPr>
        <w:t>第二章 合同一般条款</w:t>
      </w:r>
      <w:bookmarkEnd w:id="410"/>
    </w:p>
    <w:p>
      <w:pPr>
        <w:spacing w:line="360" w:lineRule="auto"/>
        <w:ind w:firstLine="482" w:firstLineChars="200"/>
        <w:rPr>
          <w:rFonts w:ascii="宋体" w:hAnsi="宋体" w:cs="宋体"/>
          <w:b/>
          <w:sz w:val="24"/>
        </w:rPr>
      </w:pPr>
      <w:bookmarkStart w:id="411" w:name="_Ref467379101"/>
      <w:bookmarkStart w:id="412" w:name="_Ref467379195"/>
      <w:bookmarkStart w:id="413" w:name="_Toc279701240"/>
      <w:bookmarkStart w:id="414" w:name="_Toc28763"/>
      <w:bookmarkStart w:id="415" w:name="_Toc259093669"/>
      <w:bookmarkStart w:id="416" w:name="_Ref467378499"/>
      <w:bookmarkStart w:id="417" w:name="_Toc19614"/>
      <w:bookmarkStart w:id="418" w:name="_Ref467379094"/>
      <w:bookmarkStart w:id="419" w:name="_Ref467378404"/>
      <w:bookmarkStart w:id="420" w:name="_Ref467379225"/>
      <w:bookmarkStart w:id="421" w:name="_Ref467379109"/>
      <w:bookmarkStart w:id="422" w:name="_Ref467378463"/>
      <w:bookmarkStart w:id="423" w:name="_Ref467379214"/>
      <w:bookmarkStart w:id="424" w:name="_Toc487900349"/>
      <w:bookmarkStart w:id="425" w:name="_Ref467379205"/>
      <w:bookmarkStart w:id="426" w:name="_Toc16917"/>
      <w:r>
        <w:rPr>
          <w:rFonts w:hint="eastAsia" w:ascii="宋体" w:hAnsi="宋体" w:cs="宋体"/>
          <w:b/>
          <w:sz w:val="24"/>
        </w:rPr>
        <w:t>一、 定义</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7" w:name="_Ref467378840"/>
      <w:r>
        <w:rPr>
          <w:rFonts w:hint="eastAsia" w:ascii="宋体" w:hAnsi="宋体" w:cs="宋体"/>
          <w:sz w:val="24"/>
        </w:rPr>
        <w:t>4.“甲方”系指与中标或成交供应商签署合同的采购人</w:t>
      </w:r>
      <w:bookmarkEnd w:id="427"/>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8" w:name="_Ref467379400"/>
      <w:r>
        <w:rPr>
          <w:rFonts w:hint="eastAsia" w:ascii="宋体" w:hAnsi="宋体" w:cs="宋体"/>
          <w:sz w:val="24"/>
        </w:rPr>
        <w:t>5.“乙方”系指根据合同约定交付货物的中标或成交供应商</w:t>
      </w:r>
      <w:bookmarkEnd w:id="428"/>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9" w:name="_Ref467379436"/>
      <w:r>
        <w:rPr>
          <w:rFonts w:hint="eastAsia" w:ascii="宋体" w:hAnsi="宋体" w:cs="宋体"/>
          <w:sz w:val="24"/>
        </w:rPr>
        <w:t>6.“现场”系指合同约定货物将要运至或者安装的地点。</w:t>
      </w:r>
      <w:bookmarkEnd w:id="429"/>
    </w:p>
    <w:p>
      <w:pPr>
        <w:spacing w:line="360" w:lineRule="auto"/>
        <w:ind w:firstLine="482" w:firstLineChars="200"/>
        <w:rPr>
          <w:rFonts w:ascii="宋体" w:hAnsi="宋体" w:cs="宋体"/>
          <w:b/>
          <w:sz w:val="24"/>
        </w:rPr>
      </w:pPr>
      <w:bookmarkStart w:id="430" w:name="_Toc279701241"/>
      <w:bookmarkStart w:id="431" w:name="_Toc27635"/>
      <w:bookmarkStart w:id="432" w:name="_Toc259093670"/>
      <w:bookmarkStart w:id="433" w:name="_Toc32504"/>
      <w:bookmarkStart w:id="434" w:name="_Toc487900350"/>
      <w:bookmarkStart w:id="435" w:name="_Toc13336"/>
      <w:r>
        <w:rPr>
          <w:rFonts w:hint="eastAsia" w:ascii="宋体" w:hAnsi="宋体" w:cs="宋体"/>
          <w:b/>
          <w:sz w:val="24"/>
        </w:rPr>
        <w:t>二、技术规范</w:t>
      </w:r>
      <w:bookmarkEnd w:id="430"/>
      <w:bookmarkEnd w:id="431"/>
      <w:bookmarkEnd w:id="432"/>
      <w:bookmarkEnd w:id="433"/>
      <w:bookmarkEnd w:id="434"/>
      <w:bookmarkEnd w:id="435"/>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6" w:name="_Toc259093671"/>
      <w:bookmarkStart w:id="437" w:name="_Toc27853"/>
      <w:bookmarkStart w:id="438" w:name="_Toc31634"/>
      <w:bookmarkStart w:id="439" w:name="_Toc279701242"/>
      <w:bookmarkStart w:id="440" w:name="_Toc487900351"/>
      <w:bookmarkStart w:id="441" w:name="_Toc9829"/>
      <w:r>
        <w:rPr>
          <w:rFonts w:hint="eastAsia" w:ascii="宋体" w:hAnsi="宋体" w:cs="宋体"/>
          <w:b/>
          <w:sz w:val="24"/>
        </w:rPr>
        <w:t>三、知识产权</w:t>
      </w:r>
      <w:bookmarkEnd w:id="436"/>
      <w:bookmarkEnd w:id="437"/>
      <w:bookmarkEnd w:id="438"/>
      <w:bookmarkEnd w:id="439"/>
      <w:bookmarkEnd w:id="440"/>
      <w:bookmarkEnd w:id="441"/>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2" w:name="_Toc11932"/>
      <w:bookmarkStart w:id="443" w:name="_Toc4194"/>
      <w:bookmarkStart w:id="444" w:name="_Toc29149"/>
      <w:r>
        <w:rPr>
          <w:rFonts w:hint="eastAsia" w:ascii="宋体" w:hAnsi="宋体" w:cs="宋体"/>
          <w:b/>
          <w:sz w:val="24"/>
        </w:rPr>
        <w:t>四、装运包装</w:t>
      </w:r>
      <w:bookmarkEnd w:id="442"/>
      <w:bookmarkEnd w:id="443"/>
      <w:bookmarkEnd w:id="444"/>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5" w:name="_Toc19074"/>
      <w:bookmarkStart w:id="446" w:name="_Toc26182"/>
      <w:bookmarkStart w:id="447" w:name="_Toc30272"/>
      <w:r>
        <w:rPr>
          <w:rFonts w:hint="eastAsia" w:ascii="宋体" w:hAnsi="宋体" w:cs="宋体"/>
          <w:b/>
          <w:sz w:val="24"/>
        </w:rPr>
        <w:t>五、 履约检查和问题反馈</w:t>
      </w:r>
      <w:bookmarkEnd w:id="445"/>
      <w:bookmarkEnd w:id="446"/>
      <w:bookmarkEnd w:id="447"/>
    </w:p>
    <w:p>
      <w:pPr>
        <w:spacing w:line="360" w:lineRule="auto"/>
        <w:ind w:firstLine="480" w:firstLineChars="200"/>
        <w:rPr>
          <w:rFonts w:ascii="宋体" w:hAnsi="宋体" w:cs="宋体"/>
          <w:sz w:val="24"/>
        </w:rPr>
      </w:pPr>
      <w:bookmarkStart w:id="448" w:name="_Toc186431854"/>
      <w:bookmarkStart w:id="449" w:name="_Ref467379793"/>
      <w:bookmarkStart w:id="450" w:name="_Toc279701247"/>
      <w:bookmarkStart w:id="451" w:name="_Toc259093676"/>
      <w:bookmarkStart w:id="452" w:name="_Ref467379807"/>
      <w:bookmarkStart w:id="453"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8"/>
      <w:bookmarkStart w:id="454" w:name="_Toc186431855"/>
      <w:r>
        <w:rPr>
          <w:rFonts w:hint="eastAsia" w:ascii="宋体" w:hAnsi="宋体" w:cs="宋体"/>
          <w:sz w:val="24"/>
        </w:rPr>
        <w:t>。</w:t>
      </w:r>
    </w:p>
    <w:bookmarkEnd w:id="449"/>
    <w:bookmarkEnd w:id="450"/>
    <w:bookmarkEnd w:id="451"/>
    <w:bookmarkEnd w:id="452"/>
    <w:bookmarkEnd w:id="453"/>
    <w:bookmarkEnd w:id="454"/>
    <w:p>
      <w:pPr>
        <w:spacing w:line="360" w:lineRule="auto"/>
        <w:ind w:firstLine="482" w:firstLineChars="200"/>
        <w:rPr>
          <w:rFonts w:ascii="宋体" w:hAnsi="宋体" w:cs="宋体"/>
          <w:b/>
          <w:sz w:val="24"/>
        </w:rPr>
      </w:pPr>
      <w:bookmarkStart w:id="455" w:name="_Toc487900358"/>
      <w:bookmarkStart w:id="456" w:name="_Toc259093677"/>
      <w:bookmarkStart w:id="457" w:name="_Ref467379852"/>
      <w:bookmarkStart w:id="458" w:name="_Toc279701248"/>
      <w:bookmarkStart w:id="459" w:name="_Ref467379863"/>
      <w:bookmarkStart w:id="460" w:name="_Ref467379923"/>
      <w:bookmarkStart w:id="461" w:name="_Toc774"/>
      <w:bookmarkStart w:id="462" w:name="_Toc16110"/>
      <w:bookmarkStart w:id="463" w:name="_Toc3225"/>
      <w:r>
        <w:rPr>
          <w:rFonts w:hint="eastAsia" w:ascii="宋体" w:hAnsi="宋体" w:cs="宋体"/>
          <w:b/>
          <w:sz w:val="24"/>
        </w:rPr>
        <w:t>六、技术资料</w:t>
      </w:r>
      <w:bookmarkEnd w:id="455"/>
      <w:bookmarkEnd w:id="456"/>
      <w:bookmarkEnd w:id="457"/>
      <w:bookmarkEnd w:id="458"/>
      <w:bookmarkEnd w:id="459"/>
      <w:bookmarkEnd w:id="460"/>
      <w:r>
        <w:rPr>
          <w:rFonts w:hint="eastAsia" w:ascii="宋体" w:hAnsi="宋体" w:cs="宋体"/>
          <w:b/>
          <w:sz w:val="24"/>
        </w:rPr>
        <w:t>和保密义务</w:t>
      </w:r>
      <w:bookmarkEnd w:id="461"/>
      <w:bookmarkEnd w:id="462"/>
      <w:bookmarkEnd w:id="463"/>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4" w:name="_Toc7860"/>
      <w:r>
        <w:rPr>
          <w:rFonts w:hint="eastAsia" w:ascii="宋体" w:hAnsi="宋体" w:cs="宋体"/>
          <w:b/>
          <w:sz w:val="24"/>
        </w:rPr>
        <w:t>七、质量保证</w:t>
      </w:r>
      <w:bookmarkEnd w:id="464"/>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5" w:name="_Toc17244"/>
      <w:bookmarkStart w:id="466" w:name="_Toc279701252"/>
      <w:bookmarkStart w:id="467" w:name="_Toc487900362"/>
      <w:bookmarkStart w:id="468" w:name="_Toc259093681"/>
      <w:r>
        <w:rPr>
          <w:rFonts w:hint="eastAsia" w:ascii="宋体" w:hAnsi="宋体" w:cs="宋体"/>
          <w:b/>
          <w:sz w:val="24"/>
        </w:rPr>
        <w:t>八、货物的风险负担</w:t>
      </w:r>
      <w:bookmarkEnd w:id="465"/>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9" w:name="_Toc14055"/>
      <w:r>
        <w:rPr>
          <w:rFonts w:hint="eastAsia" w:ascii="宋体" w:hAnsi="宋体" w:cs="宋体"/>
          <w:b/>
          <w:sz w:val="24"/>
        </w:rPr>
        <w:t>九、延迟交货</w:t>
      </w:r>
      <w:bookmarkEnd w:id="466"/>
      <w:bookmarkEnd w:id="467"/>
      <w:bookmarkEnd w:id="468"/>
      <w:bookmarkEnd w:id="469"/>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70" w:name="_Toc7502"/>
      <w:bookmarkStart w:id="471" w:name="_Toc487900364"/>
      <w:bookmarkStart w:id="472" w:name="_Toc279701254"/>
      <w:bookmarkStart w:id="473" w:name="_Toc259093683"/>
      <w:bookmarkStart w:id="474" w:name="_Ref467378121"/>
      <w:r>
        <w:rPr>
          <w:rFonts w:hint="eastAsia" w:ascii="宋体" w:hAnsi="宋体" w:cs="宋体"/>
          <w:b/>
          <w:sz w:val="24"/>
        </w:rPr>
        <w:t>十、合同变更</w:t>
      </w:r>
      <w:bookmarkEnd w:id="470"/>
      <w:r>
        <w:rPr>
          <w:rFonts w:hint="eastAsia" w:ascii="宋体" w:hAnsi="宋体" w:cs="宋体"/>
          <w:b/>
          <w:sz w:val="24"/>
        </w:rPr>
        <w:t>或补充</w:t>
      </w:r>
    </w:p>
    <w:p>
      <w:pPr>
        <w:spacing w:line="360" w:lineRule="auto"/>
        <w:ind w:firstLine="480" w:firstLineChars="200"/>
        <w:rPr>
          <w:rFonts w:ascii="宋体" w:hAnsi="宋体"/>
          <w:sz w:val="24"/>
        </w:rPr>
      </w:pPr>
      <w:bookmarkStart w:id="475" w:name="_Toc279701259"/>
      <w:bookmarkStart w:id="476" w:name="_Toc487900369"/>
      <w:bookmarkStart w:id="477" w:name="_Toc259093688"/>
      <w:bookmarkStart w:id="478" w:name="_Toc10366"/>
      <w:bookmarkStart w:id="479" w:name="_Toc15237"/>
      <w:bookmarkStart w:id="480"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5"/>
      <w:bookmarkEnd w:id="476"/>
      <w:bookmarkEnd w:id="477"/>
      <w:r>
        <w:rPr>
          <w:rFonts w:hint="eastAsia" w:ascii="宋体" w:hAnsi="宋体" w:cs="宋体"/>
          <w:b/>
          <w:sz w:val="24"/>
        </w:rPr>
        <w:t>和分包</w:t>
      </w:r>
      <w:bookmarkEnd w:id="478"/>
      <w:bookmarkEnd w:id="479"/>
      <w:bookmarkEnd w:id="480"/>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81" w:name="_Toc13566"/>
      <w:bookmarkStart w:id="482" w:name="_Toc16508"/>
      <w:bookmarkStart w:id="483" w:name="_Toc14066"/>
      <w:r>
        <w:rPr>
          <w:rFonts w:hint="eastAsia" w:ascii="宋体" w:hAnsi="宋体" w:cs="宋体"/>
          <w:b/>
          <w:sz w:val="24"/>
        </w:rPr>
        <w:t>十二、不可抗力</w:t>
      </w:r>
      <w:bookmarkEnd w:id="481"/>
      <w:bookmarkEnd w:id="482"/>
      <w:bookmarkEnd w:id="483"/>
    </w:p>
    <w:p>
      <w:pPr>
        <w:spacing w:line="360" w:lineRule="auto"/>
        <w:ind w:firstLine="480" w:firstLineChars="200"/>
        <w:rPr>
          <w:rFonts w:ascii="宋体" w:hAnsi="宋体"/>
          <w:sz w:val="24"/>
        </w:rPr>
      </w:pPr>
      <w:bookmarkStart w:id="484" w:name="_Toc689"/>
      <w:bookmarkStart w:id="485" w:name="_Toc259093684"/>
      <w:bookmarkStart w:id="486" w:name="_Toc30676"/>
      <w:bookmarkStart w:id="487" w:name="_Toc279701255"/>
      <w:bookmarkStart w:id="488" w:name="_Toc6969"/>
      <w:bookmarkStart w:id="489"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4"/>
      <w:bookmarkEnd w:id="485"/>
      <w:bookmarkEnd w:id="486"/>
      <w:bookmarkEnd w:id="487"/>
      <w:bookmarkEnd w:id="488"/>
      <w:bookmarkEnd w:id="489"/>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90" w:name="_Toc8298"/>
      <w:bookmarkStart w:id="491" w:name="_Toc16959"/>
      <w:bookmarkStart w:id="492" w:name="_Toc7102"/>
      <w:bookmarkStart w:id="493" w:name="_Toc259093687"/>
      <w:bookmarkStart w:id="494" w:name="_Toc279701258"/>
      <w:bookmarkStart w:id="495" w:name="_Toc487900368"/>
      <w:r>
        <w:rPr>
          <w:rFonts w:hint="eastAsia" w:ascii="宋体" w:hAnsi="宋体" w:cs="宋体"/>
          <w:b/>
          <w:sz w:val="24"/>
        </w:rPr>
        <w:t>十四、乙方破产</w:t>
      </w:r>
      <w:bookmarkEnd w:id="490"/>
      <w:bookmarkEnd w:id="491"/>
      <w:bookmarkEnd w:id="492"/>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6" w:name="_Toc15387"/>
      <w:bookmarkStart w:id="497" w:name="_Toc6134"/>
      <w:bookmarkStart w:id="498" w:name="_Toc29333"/>
      <w:r>
        <w:rPr>
          <w:rFonts w:hint="eastAsia" w:ascii="宋体" w:hAnsi="宋体" w:cs="宋体"/>
          <w:b/>
          <w:sz w:val="24"/>
        </w:rPr>
        <w:t>十五、合同中止、终止</w:t>
      </w:r>
      <w:bookmarkEnd w:id="496"/>
      <w:bookmarkEnd w:id="497"/>
      <w:bookmarkEnd w:id="498"/>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1"/>
    <w:bookmarkEnd w:id="472"/>
    <w:bookmarkEnd w:id="473"/>
    <w:bookmarkEnd w:id="474"/>
    <w:p>
      <w:pPr>
        <w:spacing w:line="360" w:lineRule="auto"/>
        <w:ind w:firstLine="482" w:firstLineChars="200"/>
        <w:rPr>
          <w:rFonts w:ascii="宋体" w:hAnsi="宋体" w:cs="宋体"/>
          <w:b/>
          <w:sz w:val="24"/>
        </w:rPr>
      </w:pPr>
      <w:bookmarkStart w:id="499" w:name="_Toc279701261"/>
      <w:bookmarkStart w:id="500" w:name="_Toc259093690"/>
      <w:bookmarkStart w:id="501" w:name="_Toc487900371"/>
      <w:bookmarkStart w:id="502" w:name="_Toc19604"/>
      <w:bookmarkStart w:id="503" w:name="_Toc11284"/>
      <w:bookmarkStart w:id="504" w:name="_Toc25182"/>
      <w:r>
        <w:rPr>
          <w:rFonts w:hint="eastAsia" w:ascii="宋体" w:hAnsi="宋体" w:cs="宋体"/>
          <w:b/>
          <w:sz w:val="24"/>
        </w:rPr>
        <w:t>十六、 通知</w:t>
      </w:r>
      <w:bookmarkEnd w:id="499"/>
      <w:bookmarkEnd w:id="500"/>
      <w:bookmarkEnd w:id="501"/>
      <w:r>
        <w:rPr>
          <w:rFonts w:hint="eastAsia" w:ascii="宋体" w:hAnsi="宋体" w:cs="宋体"/>
          <w:b/>
          <w:sz w:val="24"/>
        </w:rPr>
        <w:t>和送达</w:t>
      </w:r>
      <w:bookmarkEnd w:id="502"/>
      <w:bookmarkEnd w:id="503"/>
      <w:bookmarkEnd w:id="504"/>
    </w:p>
    <w:p>
      <w:pPr>
        <w:spacing w:line="360" w:lineRule="auto"/>
        <w:ind w:firstLine="480" w:firstLineChars="200"/>
        <w:rPr>
          <w:rFonts w:ascii="宋体" w:hAnsi="宋体"/>
          <w:sz w:val="24"/>
        </w:rPr>
      </w:pPr>
      <w:bookmarkStart w:id="505" w:name="_Toc18401"/>
      <w:bookmarkStart w:id="506" w:name="_Toc27674"/>
      <w:bookmarkStart w:id="507" w:name="_Toc30599"/>
      <w:bookmarkStart w:id="508" w:name="_Toc487900372"/>
      <w:bookmarkStart w:id="509" w:name="_Toc18540"/>
      <w:bookmarkStart w:id="510" w:name="_Toc4355"/>
      <w:bookmarkStart w:id="511" w:name="_Toc259093691"/>
      <w:bookmarkStart w:id="512" w:name="_Toc279701262"/>
      <w:r>
        <w:rPr>
          <w:rFonts w:hint="eastAsia" w:ascii="宋体" w:hAnsi="宋体"/>
          <w:sz w:val="24"/>
        </w:rPr>
        <w:t>1.任何一方因履行合同而以合同第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5"/>
      <w:bookmarkEnd w:id="506"/>
    </w:p>
    <w:p>
      <w:pPr>
        <w:spacing w:line="360" w:lineRule="auto"/>
        <w:ind w:firstLine="482" w:firstLineChars="200"/>
        <w:rPr>
          <w:rFonts w:ascii="宋体" w:hAnsi="宋体" w:cs="宋体"/>
          <w:b/>
          <w:sz w:val="24"/>
        </w:rPr>
      </w:pPr>
      <w:r>
        <w:rPr>
          <w:rFonts w:hint="eastAsia" w:ascii="宋体" w:hAnsi="宋体" w:cs="宋体"/>
          <w:b/>
          <w:sz w:val="24"/>
        </w:rPr>
        <w:t>十七、 计量单位</w:t>
      </w:r>
      <w:bookmarkEnd w:id="507"/>
      <w:bookmarkEnd w:id="508"/>
      <w:bookmarkEnd w:id="509"/>
      <w:bookmarkEnd w:id="510"/>
      <w:bookmarkEnd w:id="511"/>
      <w:bookmarkEnd w:id="512"/>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rPr>
          <w:rFonts w:ascii="宋体" w:hAnsi="宋体" w:cs="宋体"/>
          <w:b/>
          <w:sz w:val="24"/>
        </w:rPr>
      </w:pPr>
      <w:bookmarkStart w:id="513" w:name="_Toc18567"/>
      <w:bookmarkStart w:id="514" w:name="_Toc10330"/>
      <w:bookmarkStart w:id="515" w:name="_Toc487900373"/>
      <w:bookmarkStart w:id="516" w:name="_Toc279701263"/>
      <w:bookmarkStart w:id="517" w:name="_Toc12773"/>
      <w:bookmarkStart w:id="518" w:name="_Toc259093692"/>
      <w:r>
        <w:rPr>
          <w:rFonts w:hint="eastAsia" w:ascii="宋体" w:hAnsi="宋体" w:cs="宋体"/>
          <w:b/>
          <w:sz w:val="24"/>
        </w:rPr>
        <w:t>十八、合同使用的文字和适用的法律</w:t>
      </w:r>
      <w:bookmarkEnd w:id="513"/>
      <w:bookmarkEnd w:id="514"/>
      <w:bookmarkEnd w:id="515"/>
      <w:bookmarkEnd w:id="516"/>
      <w:bookmarkEnd w:id="517"/>
      <w:bookmarkEnd w:id="518"/>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hint="eastAsia" w:ascii="宋体" w:hAnsi="宋体" w:cs="宋体"/>
          <w:sz w:val="24"/>
        </w:rPr>
      </w:pPr>
      <w:r>
        <w:rPr>
          <w:rFonts w:hint="eastAsia" w:ascii="宋体" w:hAnsi="宋体" w:cs="宋体"/>
          <w:sz w:val="24"/>
        </w:rPr>
        <w:t>2.合同适用中华人民共和国法律。</w:t>
      </w:r>
    </w:p>
    <w:p>
      <w:pPr>
        <w:spacing w:line="360" w:lineRule="auto"/>
        <w:ind w:firstLine="482" w:firstLineChars="200"/>
        <w:rPr>
          <w:rFonts w:ascii="宋体" w:hAnsi="宋体"/>
          <w:b/>
          <w:sz w:val="24"/>
        </w:rPr>
      </w:pPr>
      <w:r>
        <w:rPr>
          <w:rFonts w:hint="eastAsia" w:ascii="宋体" w:hAnsi="宋体"/>
          <w:b/>
          <w:sz w:val="24"/>
        </w:rPr>
        <w:t>十九、特别提示</w:t>
      </w:r>
    </w:p>
    <w:p>
      <w:pPr>
        <w:spacing w:line="360" w:lineRule="auto"/>
        <w:ind w:firstLine="480" w:firstLineChars="200"/>
        <w:rPr>
          <w:rFonts w:hint="eastAsia" w:ascii="宋体" w:hAnsi="宋体" w:cs="宋体"/>
          <w:sz w:val="24"/>
        </w:rPr>
      </w:pPr>
      <w:r>
        <w:rPr>
          <w:rFonts w:hint="eastAsia" w:ascii="宋体" w:hAnsi="宋体" w:cs="宋体"/>
          <w:sz w:val="24"/>
        </w:rPr>
        <w:t>甲乙双方共同确认：本合同系经双方协商后订立，双方已就本合同（包括但不</w:t>
      </w:r>
      <w:r>
        <w:rPr>
          <w:rFonts w:hint="eastAsia" w:ascii="宋体" w:hAnsi="宋体" w:cs="宋体"/>
          <w:sz w:val="24"/>
          <w:lang w:eastAsia="zh-CN"/>
        </w:rPr>
        <w:t>限</w:t>
      </w:r>
      <w:r>
        <w:rPr>
          <w:rFonts w:hint="eastAsia" w:ascii="宋体" w:hAnsi="宋体" w:cs="宋体"/>
          <w:sz w:val="24"/>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hint="eastAsia" w:ascii="宋体" w:hAnsi="宋体"/>
          <w:sz w:val="24"/>
          <w:u w:val="single"/>
          <w:lang w:val="en-US" w:eastAsia="zh-CN"/>
        </w:rPr>
        <w:t>43536191@qq.com</w:t>
      </w:r>
      <w:r>
        <w:rPr>
          <w:rFonts w:ascii="宋体" w:hAnsi="宋体"/>
          <w:sz w:val="24"/>
          <w:u w:val="single"/>
        </w:rPr>
        <w:t xml:space="preserve"> </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w:t>
      </w:r>
      <w:r>
        <w:rPr>
          <w:rFonts w:hint="eastAsia" w:ascii="宋体" w:hAnsi="宋体"/>
          <w:sz w:val="24"/>
          <w:lang w:val="zh-CN"/>
        </w:rPr>
        <w:t>：</w:t>
      </w:r>
      <w:r>
        <w:rPr>
          <w:rFonts w:ascii="宋体" w:hAnsi="宋体"/>
          <w:sz w:val="24"/>
          <w:lang w:val="zh-CN"/>
        </w:rPr>
        <w:t xml:space="preserve">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rPr>
          <w:rFonts w:hint="eastAsia" w:eastAsiaTheme="minorEastAsia"/>
          <w:lang w:eastAsia="zh-CN"/>
        </w:rPr>
      </w:pPr>
      <w:r>
        <w:rPr>
          <w:rFonts w:hint="eastAsia" w:ascii="宋体" w:hAnsi="宋体" w:eastAsia="宋体" w:cs="宋体"/>
          <w:b/>
          <w:bCs/>
          <w:color w:val="000000"/>
          <w:sz w:val="24"/>
          <w:lang w:val="en-US" w:eastAsia="zh-CN"/>
        </w:rPr>
        <w:t xml:space="preserve"> </w:t>
      </w:r>
    </w:p>
    <w:p/>
    <w:p>
      <w:pPr>
        <w:pStyle w:val="7"/>
      </w:pPr>
    </w:p>
    <w:p/>
    <w:p>
      <w:pPr>
        <w:pStyle w:val="7"/>
      </w:pPr>
    </w:p>
    <w:p/>
    <w:p>
      <w:pPr>
        <w:pStyle w:val="7"/>
      </w:pPr>
    </w:p>
    <w:p>
      <w:pPr>
        <w:pStyle w:val="8"/>
        <w:ind w:firstLine="0"/>
      </w:pPr>
    </w:p>
    <w:p/>
    <w:p/>
    <w:p>
      <w:pPr>
        <w:rPr>
          <w:rFonts w:hint="eastAsia" w:cs="仿宋" w:asciiTheme="minorEastAsia" w:hAnsiTheme="minorEastAsia"/>
          <w:b/>
          <w:sz w:val="36"/>
          <w:szCs w:val="36"/>
        </w:rPr>
      </w:pPr>
      <w:r>
        <w:rPr>
          <w:rFonts w:hint="eastAsia" w:cs="仿宋" w:asciiTheme="minorEastAsia" w:hAnsiTheme="minorEastAsia"/>
          <w:b/>
          <w:sz w:val="36"/>
          <w:szCs w:val="36"/>
        </w:rPr>
        <w:br w:type="page"/>
      </w: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lang w:val="en-US" w:eastAsia="zh-CN"/>
        </w:rPr>
        <w:t xml:space="preserve">     2024</w:t>
      </w:r>
      <w:r>
        <w:rPr>
          <w:rFonts w:hint="eastAsia" w:ascii="宋体" w:hAnsi="宋体" w:eastAsia="宋体" w:cs="宋体"/>
          <w:sz w:val="28"/>
          <w:szCs w:val="22"/>
          <w:u w:val="single"/>
          <w:lang w:eastAsia="zh-CN"/>
        </w:rPr>
        <w:t>年临江公司除臭系统备件</w:t>
      </w:r>
      <w:r>
        <w:rPr>
          <w:rFonts w:hint="eastAsia" w:ascii="宋体" w:hAnsi="宋体" w:eastAsia="宋体" w:cs="宋体"/>
          <w:sz w:val="28"/>
          <w:szCs w:val="22"/>
          <w:u w:val="single"/>
        </w:rPr>
        <w:t>采购</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2024年临江公司除臭系统备件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202404037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pacing w:line="360" w:lineRule="auto"/>
        <w:ind w:firstLine="480" w:firstLineChars="200"/>
        <w:rPr>
          <w:rFonts w:cs="仿宋" w:asciiTheme="minorEastAsia" w:hAnsiTheme="minorEastAsia"/>
          <w:bCs/>
          <w:sz w:val="24"/>
        </w:rPr>
      </w:pPr>
      <w:r>
        <w:rPr>
          <w:rFonts w:hint="eastAsia" w:cs="仿宋" w:asciiTheme="minorEastAsia" w:hAnsiTheme="minorEastAsia"/>
          <w:sz w:val="24"/>
        </w:rPr>
        <w:t>（二）</w:t>
      </w:r>
      <w:r>
        <w:rPr>
          <w:rFonts w:hint="eastAsia" w:cs="仿宋" w:asciiTheme="minorEastAsia" w:hAnsiTheme="minorEastAsia"/>
          <w:bCs/>
          <w:sz w:val="24"/>
          <w:lang w:val="en-US" w:eastAsia="zh-CN"/>
        </w:rPr>
        <w:t>近三年内，</w:t>
      </w:r>
      <w:r>
        <w:rPr>
          <w:rFonts w:hint="eastAsia" w:cs="仿宋" w:asciiTheme="minorEastAsia" w:hAnsiTheme="minorEastAsia"/>
          <w:bCs/>
          <w:sz w:val="24"/>
        </w:rPr>
        <w:t>供应商</w:t>
      </w:r>
      <w:r>
        <w:rPr>
          <w:rFonts w:hint="eastAsia" w:cs="仿宋" w:asciiTheme="minorEastAsia" w:hAnsiTheme="minorEastAsia"/>
          <w:bCs/>
          <w:sz w:val="24"/>
          <w:lang w:val="en-US" w:eastAsia="zh-CN"/>
        </w:rPr>
        <w:t>未被</w:t>
      </w:r>
      <w:r>
        <w:rPr>
          <w:rFonts w:hint="eastAsia" w:cs="仿宋" w:asciiTheme="minorEastAsia" w:hAnsiTheme="minorEastAsia"/>
          <w:bCs/>
          <w:sz w:val="24"/>
        </w:rPr>
        <w:t>“信用中国”（www.creditchina.gov.cn）、中国政府采购网（www.ccgp.gov.cn）等官方网站列入失信被执行人、重大税收违法失信</w:t>
      </w:r>
      <w:r>
        <w:rPr>
          <w:rFonts w:hint="eastAsia" w:cs="仿宋" w:asciiTheme="minorEastAsia" w:hAnsiTheme="minorEastAsia"/>
          <w:bCs/>
          <w:sz w:val="24"/>
          <w:lang w:val="en-US" w:eastAsia="zh-CN"/>
        </w:rPr>
        <w:t>主体、政府采购严重违法失信行为等不良记录名单且没有行政处罚等不良记录。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2024年临江公司除臭系统备件</w:t>
      </w:r>
      <w:r>
        <w:rPr>
          <w:rFonts w:hint="eastAsia" w:cs="仿宋" w:asciiTheme="minorEastAsia" w:hAnsiTheme="minorEastAsia"/>
          <w:sz w:val="24"/>
        </w:rPr>
        <w:t>【项目编号：</w:t>
      </w:r>
      <w:r>
        <w:rPr>
          <w:rFonts w:hint="eastAsia" w:cs="仿宋" w:asciiTheme="minorEastAsia" w:hAnsiTheme="minorEastAsia"/>
          <w:sz w:val="24"/>
          <w:lang w:eastAsia="zh-CN"/>
        </w:rPr>
        <w:t>202404037</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w:t>
      </w:r>
      <w:r>
        <w:rPr>
          <w:rFonts w:hint="eastAsia" w:cs="仿宋" w:asciiTheme="minorEastAsia" w:hAnsiTheme="minorEastAsia"/>
          <w:kern w:val="0"/>
          <w:sz w:val="24"/>
          <w:lang w:eastAsia="zh-CN"/>
        </w:rPr>
        <w:t>、</w:t>
      </w:r>
      <w:r>
        <w:rPr>
          <w:rFonts w:hint="eastAsia" w:cs="仿宋" w:asciiTheme="minorEastAsia" w:hAnsiTheme="minorEastAsia"/>
          <w:kern w:val="0"/>
          <w:sz w:val="24"/>
          <w:lang w:val="en-US" w:eastAsia="zh-CN"/>
        </w:rPr>
        <w:t>合同签订、履行</w:t>
      </w:r>
      <w:r>
        <w:rPr>
          <w:rFonts w:hint="eastAsia" w:cs="仿宋" w:asciiTheme="minorEastAsia" w:hAnsiTheme="minorEastAsia"/>
          <w:kern w:val="0"/>
          <w:sz w:val="24"/>
        </w:rPr>
        <w:t>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关系</w:t>
            </w:r>
            <w:r>
              <w:rPr>
                <w:rFonts w:hint="eastAsia" w:ascii="宋体" w:hAnsi="宋体" w:eastAsia="宋体" w:cs="宋体"/>
                <w:sz w:val="24"/>
              </w:rPr>
              <w:t>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2024年临江公司除臭系统备件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202404037</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2024年临江公司除臭系统备件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202404037</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95"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36"/>
        <w:gridCol w:w="1860"/>
        <w:gridCol w:w="1521"/>
        <w:gridCol w:w="4279"/>
        <w:gridCol w:w="1064"/>
        <w:gridCol w:w="1015"/>
        <w:gridCol w:w="1897"/>
        <w:gridCol w:w="152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71" w:hRule="atLeast"/>
        </w:trPr>
        <w:tc>
          <w:tcPr>
            <w:tcW w:w="93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5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42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8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5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金额（元）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3" w:hRule="atLeast"/>
        </w:trPr>
        <w:tc>
          <w:tcPr>
            <w:tcW w:w="93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UV灯管</w:t>
            </w:r>
          </w:p>
        </w:tc>
        <w:tc>
          <w:tcPr>
            <w:tcW w:w="15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2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ZW150D15Y-Z1554，长：1555mm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外径：19mm</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2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0" w:hRule="atLeast"/>
        </w:trPr>
        <w:tc>
          <w:tcPr>
            <w:tcW w:w="93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电子镇流器</w:t>
            </w:r>
          </w:p>
        </w:tc>
        <w:tc>
          <w:tcPr>
            <w:tcW w:w="15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2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ZW-800—150S（双干接点）</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2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3" w:hRule="atLeast"/>
        </w:trPr>
        <w:tc>
          <w:tcPr>
            <w:tcW w:w="93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石英套管</w:t>
            </w:r>
          </w:p>
        </w:tc>
        <w:tc>
          <w:tcPr>
            <w:tcW w:w="15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2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匹配ZW150D15Y-Z1554灯管，长：1650mm内径：19.5mm，外径：23.4mm</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2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3" w:hRule="atLeast"/>
        </w:trPr>
        <w:tc>
          <w:tcPr>
            <w:tcW w:w="93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空中对插套装</w:t>
            </w:r>
          </w:p>
        </w:tc>
        <w:tc>
          <w:tcPr>
            <w:tcW w:w="15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2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原型号:适用于DHZ800-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120/150</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2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3" w:hRule="atLeast"/>
        </w:trPr>
        <w:tc>
          <w:tcPr>
            <w:tcW w:w="93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光催化丝网除雾器</w:t>
            </w:r>
          </w:p>
        </w:tc>
        <w:tc>
          <w:tcPr>
            <w:tcW w:w="15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2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尺寸：420×1000×120mm,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丝网除雾器</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2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3" w:hRule="atLeast"/>
        </w:trPr>
        <w:tc>
          <w:tcPr>
            <w:tcW w:w="93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光催化丝网除雾器</w:t>
            </w:r>
          </w:p>
        </w:tc>
        <w:tc>
          <w:tcPr>
            <w:tcW w:w="152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27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尺寸：500×1000×120mm,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丝网除雾器</w:t>
            </w:r>
          </w:p>
        </w:tc>
        <w:tc>
          <w:tcPr>
            <w:tcW w:w="10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2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3" w:hRule="atLeast"/>
        </w:trPr>
        <w:tc>
          <w:tcPr>
            <w:tcW w:w="4317"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24"/>
                <w:szCs w:val="24"/>
                <w:u w:val="none"/>
              </w:rPr>
            </w:pPr>
            <w:r>
              <w:rPr>
                <w:rFonts w:hint="eastAsia" w:cs="仿宋" w:asciiTheme="minorEastAsia" w:hAnsiTheme="minorEastAsia"/>
                <w:b/>
                <w:sz w:val="24"/>
              </w:rPr>
              <w:t>响应报价合计（小写）</w:t>
            </w:r>
          </w:p>
        </w:tc>
        <w:tc>
          <w:tcPr>
            <w:tcW w:w="9778"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1" w:hRule="atLeast"/>
        </w:trPr>
        <w:tc>
          <w:tcPr>
            <w:tcW w:w="4317"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24"/>
                <w:szCs w:val="24"/>
                <w:u w:val="none"/>
              </w:rPr>
            </w:pPr>
            <w:r>
              <w:rPr>
                <w:rFonts w:hint="eastAsia" w:cs="仿宋" w:asciiTheme="minorEastAsia" w:hAnsiTheme="minorEastAsia"/>
                <w:b/>
                <w:sz w:val="24"/>
              </w:rPr>
              <w:t>响应报价合计（大写）</w:t>
            </w:r>
          </w:p>
        </w:tc>
        <w:tc>
          <w:tcPr>
            <w:tcW w:w="9778"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14" w:hRule="atLeast"/>
        </w:trPr>
        <w:tc>
          <w:tcPr>
            <w:tcW w:w="4317"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24"/>
                <w:szCs w:val="24"/>
                <w:u w:val="none"/>
              </w:rPr>
            </w:pPr>
            <w:r>
              <w:rPr>
                <w:rFonts w:hint="eastAsia" w:cs="仿宋" w:asciiTheme="minorEastAsia" w:hAnsiTheme="minorEastAsia"/>
                <w:b/>
                <w:sz w:val="24"/>
              </w:rPr>
              <w:t>税率</w:t>
            </w:r>
          </w:p>
        </w:tc>
        <w:tc>
          <w:tcPr>
            <w:tcW w:w="9778"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9" w:name="_Toc465665161"/>
      <w:r>
        <w:rPr>
          <w:rFonts w:hint="eastAsia" w:cs="宋体" w:asciiTheme="minorEastAsia" w:hAnsiTheme="minorEastAsia"/>
          <w:b/>
          <w:bCs/>
          <w:kern w:val="44"/>
          <w:sz w:val="44"/>
          <w:szCs w:val="44"/>
        </w:rPr>
        <w:t>附件</w:t>
      </w:r>
      <w:bookmarkEnd w:id="519"/>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2024年临江公司除臭系统备件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202404037</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rPr>
          <w:rFonts w:hint="eastAsia" w:cs="仿宋" w:asciiTheme="minorEastAsia" w:hAnsiTheme="minorEastAsia"/>
          <w:b/>
          <w:spacing w:val="6"/>
          <w:sz w:val="32"/>
          <w:szCs w:val="32"/>
        </w:rPr>
      </w:pPr>
      <w:r>
        <w:rPr>
          <w:rFonts w:hint="eastAsia" w:cs="仿宋" w:asciiTheme="minorEastAsia" w:hAnsiTheme="minorEastAsia"/>
          <w:b/>
          <w:spacing w:val="6"/>
          <w:sz w:val="32"/>
          <w:szCs w:val="32"/>
        </w:rPr>
        <w:br w:type="page"/>
      </w: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若成为2024年临江公司除臭系统备件采购项目（项目编号：</w:t>
      </w:r>
      <w:r>
        <w:rPr>
          <w:rFonts w:hint="eastAsia" w:cs="仿宋" w:asciiTheme="minorEastAsia" w:hAnsiTheme="minorEastAsia"/>
          <w:kern w:val="0"/>
          <w:sz w:val="24"/>
          <w:lang w:val="zh-CN" w:eastAsia="zh-CN"/>
        </w:rPr>
        <w:t>202404037</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lang w:val="en-US" w:eastAsia="zh-CN"/>
        </w:rPr>
        <w:t xml:space="preserve"> 2024年临江公司除臭系统备件采购项目（项目编号：202404037）的报价</w:t>
      </w:r>
      <w:r>
        <w:rPr>
          <w:rFonts w:hint="eastAsia" w:ascii="宋体" w:hAnsi="宋体" w:cs="宋体"/>
          <w:sz w:val="24"/>
        </w:rPr>
        <w:t>，现申请退还该笔</w:t>
      </w:r>
      <w:r>
        <w:rPr>
          <w:rFonts w:hint="eastAsia" w:ascii="宋体" w:hAnsi="宋体" w:cs="宋体"/>
          <w:sz w:val="24"/>
          <w:lang w:eastAsia="zh-CN"/>
        </w:rPr>
        <w:t>相应</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MTU0YjdlMjNkYWU1NWEyYmZlYTUxN2NmZDgwZTAifQ=="/>
  </w:docVars>
  <w:rsids>
    <w:rsidRoot w:val="004E73AF"/>
    <w:rsid w:val="00035004"/>
    <w:rsid w:val="00074C89"/>
    <w:rsid w:val="000E4DE6"/>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47659"/>
    <w:rsid w:val="032B7E17"/>
    <w:rsid w:val="034B5FC8"/>
    <w:rsid w:val="036F6D1F"/>
    <w:rsid w:val="04E634F4"/>
    <w:rsid w:val="0560423F"/>
    <w:rsid w:val="05B622F4"/>
    <w:rsid w:val="06803F38"/>
    <w:rsid w:val="07013F3A"/>
    <w:rsid w:val="078B333A"/>
    <w:rsid w:val="07C24B12"/>
    <w:rsid w:val="07D15ABF"/>
    <w:rsid w:val="087E795F"/>
    <w:rsid w:val="09360ABE"/>
    <w:rsid w:val="09EC7123"/>
    <w:rsid w:val="09ED56C9"/>
    <w:rsid w:val="0B530D41"/>
    <w:rsid w:val="0BDC28C5"/>
    <w:rsid w:val="0BF7590B"/>
    <w:rsid w:val="0C492847"/>
    <w:rsid w:val="0CF31D21"/>
    <w:rsid w:val="0F111837"/>
    <w:rsid w:val="0F81598B"/>
    <w:rsid w:val="0FAF77EB"/>
    <w:rsid w:val="0FB91E94"/>
    <w:rsid w:val="11C46A46"/>
    <w:rsid w:val="123211CE"/>
    <w:rsid w:val="12AC7BF1"/>
    <w:rsid w:val="12B502CE"/>
    <w:rsid w:val="12E110C3"/>
    <w:rsid w:val="1417290D"/>
    <w:rsid w:val="143E2438"/>
    <w:rsid w:val="15CB2DA0"/>
    <w:rsid w:val="16583B40"/>
    <w:rsid w:val="166F3635"/>
    <w:rsid w:val="16806E74"/>
    <w:rsid w:val="17337317"/>
    <w:rsid w:val="17361246"/>
    <w:rsid w:val="17AF353E"/>
    <w:rsid w:val="183663DB"/>
    <w:rsid w:val="185870FA"/>
    <w:rsid w:val="185A544F"/>
    <w:rsid w:val="18890233"/>
    <w:rsid w:val="190D49C0"/>
    <w:rsid w:val="19141666"/>
    <w:rsid w:val="198737C7"/>
    <w:rsid w:val="19976A31"/>
    <w:rsid w:val="19DC6BDA"/>
    <w:rsid w:val="1A175584"/>
    <w:rsid w:val="1AA56FDE"/>
    <w:rsid w:val="1B1B25BA"/>
    <w:rsid w:val="1B7913A6"/>
    <w:rsid w:val="1D61352C"/>
    <w:rsid w:val="1DFA0457"/>
    <w:rsid w:val="1E3D5AD5"/>
    <w:rsid w:val="1E5F5CBE"/>
    <w:rsid w:val="1E8307F5"/>
    <w:rsid w:val="1ED25627"/>
    <w:rsid w:val="1EEB52A4"/>
    <w:rsid w:val="1F457921"/>
    <w:rsid w:val="20D12777"/>
    <w:rsid w:val="20DA16AF"/>
    <w:rsid w:val="20FB672E"/>
    <w:rsid w:val="213339C4"/>
    <w:rsid w:val="21677697"/>
    <w:rsid w:val="21EA09A9"/>
    <w:rsid w:val="228D26CE"/>
    <w:rsid w:val="22916FA5"/>
    <w:rsid w:val="247C6E9E"/>
    <w:rsid w:val="25650E5F"/>
    <w:rsid w:val="26010880"/>
    <w:rsid w:val="26F15921"/>
    <w:rsid w:val="294E0F60"/>
    <w:rsid w:val="2987716A"/>
    <w:rsid w:val="29AE18A7"/>
    <w:rsid w:val="29E3678C"/>
    <w:rsid w:val="2A6366FF"/>
    <w:rsid w:val="2B3D5BF4"/>
    <w:rsid w:val="2BD1572D"/>
    <w:rsid w:val="2C4141D8"/>
    <w:rsid w:val="2DC84F02"/>
    <w:rsid w:val="2EE04B90"/>
    <w:rsid w:val="2F4D3609"/>
    <w:rsid w:val="2F5836E9"/>
    <w:rsid w:val="30062480"/>
    <w:rsid w:val="30556F21"/>
    <w:rsid w:val="308C5F1F"/>
    <w:rsid w:val="310D0C1F"/>
    <w:rsid w:val="31111553"/>
    <w:rsid w:val="314B6E80"/>
    <w:rsid w:val="321D777A"/>
    <w:rsid w:val="32843E96"/>
    <w:rsid w:val="336049BB"/>
    <w:rsid w:val="34454474"/>
    <w:rsid w:val="34AF40BC"/>
    <w:rsid w:val="36162BCB"/>
    <w:rsid w:val="36A71B58"/>
    <w:rsid w:val="36B41FB6"/>
    <w:rsid w:val="37103BA1"/>
    <w:rsid w:val="37514AF4"/>
    <w:rsid w:val="376E26A2"/>
    <w:rsid w:val="377C0298"/>
    <w:rsid w:val="37B04D36"/>
    <w:rsid w:val="37C62712"/>
    <w:rsid w:val="39C31C6C"/>
    <w:rsid w:val="3A6303AE"/>
    <w:rsid w:val="3A971178"/>
    <w:rsid w:val="3A993EAE"/>
    <w:rsid w:val="3AB61186"/>
    <w:rsid w:val="3B1E2F1E"/>
    <w:rsid w:val="3BE73C23"/>
    <w:rsid w:val="3C283344"/>
    <w:rsid w:val="3C485F9D"/>
    <w:rsid w:val="3C7C70D7"/>
    <w:rsid w:val="3C940DD1"/>
    <w:rsid w:val="3CC56A1B"/>
    <w:rsid w:val="3DB21669"/>
    <w:rsid w:val="3E0C6463"/>
    <w:rsid w:val="3EE43BF5"/>
    <w:rsid w:val="3F4C6552"/>
    <w:rsid w:val="403E57B7"/>
    <w:rsid w:val="40434A7C"/>
    <w:rsid w:val="405C7B03"/>
    <w:rsid w:val="411A0F39"/>
    <w:rsid w:val="414D0673"/>
    <w:rsid w:val="415A5C88"/>
    <w:rsid w:val="41BF77CD"/>
    <w:rsid w:val="41CE08E1"/>
    <w:rsid w:val="42112513"/>
    <w:rsid w:val="42114191"/>
    <w:rsid w:val="42646A77"/>
    <w:rsid w:val="42A8742D"/>
    <w:rsid w:val="433C7ACC"/>
    <w:rsid w:val="434075BC"/>
    <w:rsid w:val="435518AD"/>
    <w:rsid w:val="43C04259"/>
    <w:rsid w:val="43FF7FEC"/>
    <w:rsid w:val="44C67F95"/>
    <w:rsid w:val="4559568A"/>
    <w:rsid w:val="45A47533"/>
    <w:rsid w:val="45FB363F"/>
    <w:rsid w:val="46A51706"/>
    <w:rsid w:val="46BC402D"/>
    <w:rsid w:val="472961BF"/>
    <w:rsid w:val="475528CD"/>
    <w:rsid w:val="476B5921"/>
    <w:rsid w:val="47B265AF"/>
    <w:rsid w:val="487057D4"/>
    <w:rsid w:val="496717C4"/>
    <w:rsid w:val="4A063A4F"/>
    <w:rsid w:val="4A875AD1"/>
    <w:rsid w:val="4AE27CAC"/>
    <w:rsid w:val="4B077E72"/>
    <w:rsid w:val="4B1B2ECF"/>
    <w:rsid w:val="4B6E282F"/>
    <w:rsid w:val="4BAC48C9"/>
    <w:rsid w:val="4BB27DC6"/>
    <w:rsid w:val="4C6530B0"/>
    <w:rsid w:val="4CEA2347"/>
    <w:rsid w:val="4D243428"/>
    <w:rsid w:val="4D2D7FC0"/>
    <w:rsid w:val="4E1E04FA"/>
    <w:rsid w:val="4EFA25EF"/>
    <w:rsid w:val="4F9246A8"/>
    <w:rsid w:val="4FEB08B0"/>
    <w:rsid w:val="50A13664"/>
    <w:rsid w:val="51937E4D"/>
    <w:rsid w:val="51947440"/>
    <w:rsid w:val="51C11B97"/>
    <w:rsid w:val="52383592"/>
    <w:rsid w:val="523875F5"/>
    <w:rsid w:val="52506204"/>
    <w:rsid w:val="53FA1DF3"/>
    <w:rsid w:val="54AB2D04"/>
    <w:rsid w:val="54DA02E3"/>
    <w:rsid w:val="557B35BC"/>
    <w:rsid w:val="565C1CF5"/>
    <w:rsid w:val="56C94DFD"/>
    <w:rsid w:val="571F3A0C"/>
    <w:rsid w:val="573251FB"/>
    <w:rsid w:val="57F2034A"/>
    <w:rsid w:val="58207565"/>
    <w:rsid w:val="58235318"/>
    <w:rsid w:val="59121C77"/>
    <w:rsid w:val="59176EF5"/>
    <w:rsid w:val="59DE0E09"/>
    <w:rsid w:val="59DF6851"/>
    <w:rsid w:val="5A283DD0"/>
    <w:rsid w:val="5ACD76EE"/>
    <w:rsid w:val="5AD36B10"/>
    <w:rsid w:val="5B366E46"/>
    <w:rsid w:val="5B3D7F5F"/>
    <w:rsid w:val="5B460326"/>
    <w:rsid w:val="5E0474EB"/>
    <w:rsid w:val="5F0279C4"/>
    <w:rsid w:val="5F944466"/>
    <w:rsid w:val="6025396A"/>
    <w:rsid w:val="60844C26"/>
    <w:rsid w:val="60992897"/>
    <w:rsid w:val="60A9029A"/>
    <w:rsid w:val="60C279EE"/>
    <w:rsid w:val="60F21DC8"/>
    <w:rsid w:val="60FA16F8"/>
    <w:rsid w:val="6139287F"/>
    <w:rsid w:val="61B02315"/>
    <w:rsid w:val="63CF15A0"/>
    <w:rsid w:val="65A92947"/>
    <w:rsid w:val="661A50B7"/>
    <w:rsid w:val="673E5F91"/>
    <w:rsid w:val="67D6317A"/>
    <w:rsid w:val="67D649B5"/>
    <w:rsid w:val="68ED6365"/>
    <w:rsid w:val="6A4E3ABD"/>
    <w:rsid w:val="6AE63D7E"/>
    <w:rsid w:val="6B462C2B"/>
    <w:rsid w:val="6B8359E9"/>
    <w:rsid w:val="6BD277B9"/>
    <w:rsid w:val="6C321620"/>
    <w:rsid w:val="6DA02882"/>
    <w:rsid w:val="6DA12E69"/>
    <w:rsid w:val="6DBB3B60"/>
    <w:rsid w:val="6F0B4673"/>
    <w:rsid w:val="6F8E6CAC"/>
    <w:rsid w:val="700E4F44"/>
    <w:rsid w:val="70173239"/>
    <w:rsid w:val="711D3FA5"/>
    <w:rsid w:val="71AE7596"/>
    <w:rsid w:val="721A5B23"/>
    <w:rsid w:val="72B931C1"/>
    <w:rsid w:val="734A515C"/>
    <w:rsid w:val="73604AC1"/>
    <w:rsid w:val="737C09CA"/>
    <w:rsid w:val="738D03F5"/>
    <w:rsid w:val="73E442FB"/>
    <w:rsid w:val="75D112A9"/>
    <w:rsid w:val="76632274"/>
    <w:rsid w:val="767E5B01"/>
    <w:rsid w:val="76DE154F"/>
    <w:rsid w:val="778F44F9"/>
    <w:rsid w:val="77F2017E"/>
    <w:rsid w:val="79017606"/>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3</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WPS_1672890454</cp:lastModifiedBy>
  <dcterms:modified xsi:type="dcterms:W3CDTF">2024-04-28T05:22:08Z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