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00" w:lineRule="auto"/>
        <w:jc w:val="center"/>
        <w:rPr>
          <w:rFonts w:hint="eastAsia" w:hAnsi="宋体" w:eastAsia="宋体" w:cs="宋体"/>
          <w:b/>
          <w:color w:val="auto"/>
          <w:sz w:val="36"/>
          <w:highlight w:val="none"/>
          <w:lang w:val="en-US" w:eastAsia="zh-CN"/>
        </w:rPr>
      </w:pPr>
      <w:r>
        <w:rPr>
          <w:rFonts w:hint="eastAsia" w:hAnsi="宋体" w:cs="宋体"/>
          <w:b/>
          <w:color w:val="auto"/>
          <w:sz w:val="36"/>
          <w:highlight w:val="none"/>
          <w:lang w:val="en-US" w:eastAsia="zh-CN"/>
        </w:rPr>
        <w:t xml:space="preserve"> </w:t>
      </w:r>
    </w:p>
    <w:p>
      <w:pPr>
        <w:spacing w:line="300" w:lineRule="auto"/>
        <w:jc w:val="center"/>
        <w:rPr>
          <w:rFonts w:hAnsi="宋体" w:cs="宋体"/>
          <w:b/>
          <w:color w:val="auto"/>
          <w:sz w:val="48"/>
          <w:szCs w:val="48"/>
          <w:highlight w:val="none"/>
        </w:rPr>
      </w:pPr>
    </w:p>
    <w:p>
      <w:pPr>
        <w:tabs>
          <w:tab w:val="left" w:pos="0"/>
        </w:tabs>
        <w:adjustRightInd w:val="0"/>
        <w:snapToGrid w:val="0"/>
        <w:ind w:firstLine="201" w:firstLineChars="20"/>
        <w:jc w:val="center"/>
        <w:rPr>
          <w:rFonts w:ascii="黑体" w:hAnsi="黑体" w:eastAsia="黑体" w:cs="黑体"/>
          <w:b/>
          <w:color w:val="auto"/>
          <w:sz w:val="100"/>
          <w:szCs w:val="100"/>
          <w:highlight w:val="none"/>
        </w:rPr>
      </w:pPr>
      <w:r>
        <w:rPr>
          <w:rFonts w:hint="eastAsia" w:ascii="黑体" w:hAnsi="黑体" w:eastAsia="黑体" w:cs="黑体"/>
          <w:b/>
          <w:color w:val="auto"/>
          <w:sz w:val="100"/>
          <w:szCs w:val="100"/>
          <w:highlight w:val="none"/>
        </w:rPr>
        <w:t>招标文件</w:t>
      </w:r>
    </w:p>
    <w:p>
      <w:pPr>
        <w:jc w:val="center"/>
        <w:rPr>
          <w:rFonts w:hAnsi="宋体" w:cs="宋体"/>
          <w:b/>
          <w:color w:val="auto"/>
          <w:sz w:val="36"/>
          <w:highlight w:val="none"/>
        </w:rPr>
      </w:pPr>
    </w:p>
    <w:p>
      <w:pPr>
        <w:pStyle w:val="59"/>
        <w:rPr>
          <w:rFonts w:hAnsi="宋体" w:cs="宋体"/>
          <w:b/>
          <w:color w:val="auto"/>
          <w:sz w:val="36"/>
          <w:highlight w:val="none"/>
        </w:rPr>
      </w:pPr>
    </w:p>
    <w:p>
      <w:pPr>
        <w:rPr>
          <w:rFonts w:hAnsi="宋体" w:cs="宋体"/>
          <w:b/>
          <w:color w:val="auto"/>
          <w:sz w:val="36"/>
          <w:highlight w:val="none"/>
        </w:rPr>
      </w:pPr>
    </w:p>
    <w:p>
      <w:pPr>
        <w:pStyle w:val="59"/>
        <w:rPr>
          <w:rFonts w:hAnsi="宋体" w:cs="宋体"/>
          <w:b/>
          <w:color w:val="auto"/>
          <w:sz w:val="36"/>
          <w:highlight w:val="none"/>
        </w:rPr>
      </w:pPr>
    </w:p>
    <w:p>
      <w:pPr>
        <w:rPr>
          <w:color w:val="auto"/>
          <w:highlight w:val="none"/>
        </w:rPr>
      </w:pPr>
    </w:p>
    <w:p>
      <w:pPr>
        <w:spacing w:line="480" w:lineRule="auto"/>
        <w:ind w:firstLine="1928" w:firstLineChars="600"/>
        <w:rPr>
          <w:rFonts w:hint="eastAsia" w:hAnsi="宋体" w:eastAsia="宋体" w:cs="宋体"/>
          <w:b/>
          <w:color w:val="auto"/>
          <w:sz w:val="32"/>
          <w:szCs w:val="32"/>
          <w:highlight w:val="none"/>
          <w:lang w:eastAsia="zh-CN"/>
        </w:rPr>
      </w:pPr>
      <w:r>
        <w:rPr>
          <w:rFonts w:hint="eastAsia" w:hAnsi="宋体" w:cs="宋体"/>
          <w:b/>
          <w:color w:val="auto"/>
          <w:sz w:val="32"/>
          <w:szCs w:val="32"/>
          <w:highlight w:val="none"/>
        </w:rPr>
        <w:t>招标编号：</w:t>
      </w:r>
      <w:r>
        <w:rPr>
          <w:rFonts w:hint="eastAsia" w:hAnsi="宋体" w:cs="宋体"/>
          <w:b/>
          <w:snapToGrid w:val="0"/>
          <w:color w:val="auto"/>
          <w:sz w:val="32"/>
          <w:szCs w:val="32"/>
          <w:highlight w:val="none"/>
          <w:lang w:eastAsia="zh-CN"/>
        </w:rPr>
        <w:t>JHJGZ202403021</w:t>
      </w:r>
    </w:p>
    <w:p>
      <w:pPr>
        <w:spacing w:line="480" w:lineRule="auto"/>
        <w:jc w:val="center"/>
        <w:rPr>
          <w:rFonts w:hint="default" w:hAnsi="宋体" w:eastAsia="宋体" w:cs="宋体"/>
          <w:b/>
          <w:color w:val="auto"/>
          <w:sz w:val="32"/>
          <w:szCs w:val="32"/>
          <w:highlight w:val="none"/>
          <w:lang w:val="en-US" w:eastAsia="zh-CN"/>
        </w:rPr>
      </w:pPr>
      <w:r>
        <w:rPr>
          <w:rFonts w:hint="eastAsia" w:hAnsi="宋体" w:cs="宋体"/>
          <w:b/>
          <w:color w:val="auto"/>
          <w:sz w:val="32"/>
          <w:szCs w:val="32"/>
          <w:highlight w:val="none"/>
        </w:rPr>
        <w:t>项目名称</w:t>
      </w:r>
      <w:r>
        <w:rPr>
          <w:rFonts w:hint="eastAsia" w:ascii="Arial" w:hAnsi="Arial" w:cs="Arial"/>
          <w:b/>
          <w:color w:val="auto"/>
          <w:sz w:val="32"/>
          <w:szCs w:val="32"/>
          <w:highlight w:val="none"/>
        </w:rPr>
        <w:t>：炉渣综合处置服务采购项目</w:t>
      </w:r>
      <w:r>
        <w:rPr>
          <w:rFonts w:hint="eastAsia" w:ascii="Arial" w:hAnsi="Arial" w:cs="Arial"/>
          <w:b/>
          <w:color w:val="auto"/>
          <w:sz w:val="32"/>
          <w:szCs w:val="32"/>
          <w:highlight w:val="none"/>
          <w:lang w:eastAsia="zh-CN"/>
        </w:rPr>
        <w:t>（</w:t>
      </w:r>
      <w:r>
        <w:rPr>
          <w:rFonts w:hint="eastAsia" w:ascii="Arial" w:hAnsi="Arial" w:cs="Arial"/>
          <w:b/>
          <w:color w:val="auto"/>
          <w:sz w:val="32"/>
          <w:szCs w:val="32"/>
          <w:highlight w:val="none"/>
          <w:lang w:val="en-US" w:eastAsia="zh-CN"/>
        </w:rPr>
        <w:t>重新招标）</w:t>
      </w:r>
    </w:p>
    <w:p>
      <w:pPr>
        <w:spacing w:line="360" w:lineRule="auto"/>
        <w:ind w:firstLine="361" w:firstLineChars="100"/>
        <w:rPr>
          <w:rFonts w:hAnsi="宋体" w:cs="宋体"/>
          <w:b/>
          <w:color w:val="auto"/>
          <w:sz w:val="36"/>
          <w:szCs w:val="36"/>
          <w:highlight w:val="none"/>
        </w:rPr>
      </w:pPr>
    </w:p>
    <w:p>
      <w:pPr>
        <w:autoSpaceDE w:val="0"/>
        <w:autoSpaceDN w:val="0"/>
        <w:spacing w:line="480" w:lineRule="auto"/>
        <w:textAlignment w:val="bottom"/>
        <w:rPr>
          <w:rFonts w:hAnsi="宋体" w:cs="宋体"/>
          <w:b/>
          <w:color w:val="auto"/>
          <w:sz w:val="32"/>
          <w:highlight w:val="none"/>
        </w:rPr>
      </w:pPr>
    </w:p>
    <w:p>
      <w:pPr>
        <w:pStyle w:val="99"/>
        <w:rPr>
          <w:color w:val="auto"/>
          <w:highlight w:val="none"/>
        </w:rPr>
      </w:pPr>
    </w:p>
    <w:p>
      <w:pPr>
        <w:autoSpaceDE w:val="0"/>
        <w:autoSpaceDN w:val="0"/>
        <w:spacing w:line="480" w:lineRule="auto"/>
        <w:ind w:firstLine="360"/>
        <w:textAlignment w:val="bottom"/>
        <w:rPr>
          <w:rFonts w:hAnsi="宋体" w:cs="宋体"/>
          <w:b/>
          <w:color w:val="auto"/>
          <w:sz w:val="36"/>
          <w:szCs w:val="22"/>
          <w:highlight w:val="none"/>
          <w:u w:val="single"/>
        </w:rPr>
      </w:pPr>
      <w:r>
        <w:rPr>
          <w:rFonts w:hint="eastAsia" w:hAnsi="宋体" w:cs="宋体"/>
          <w:b/>
          <w:color w:val="auto"/>
          <w:sz w:val="36"/>
          <w:szCs w:val="22"/>
          <w:highlight w:val="none"/>
        </w:rPr>
        <w:t>招   标   人：</w:t>
      </w:r>
      <w:r>
        <w:rPr>
          <w:rFonts w:hint="eastAsia" w:hAnsi="宋体" w:cs="宋体"/>
          <w:b/>
          <w:color w:val="auto"/>
          <w:sz w:val="36"/>
          <w:szCs w:val="22"/>
          <w:highlight w:val="none"/>
          <w:u w:val="single"/>
        </w:rPr>
        <w:t>杭州市环境集团有限公司</w:t>
      </w:r>
    </w:p>
    <w:p>
      <w:pPr>
        <w:autoSpaceDE w:val="0"/>
        <w:autoSpaceDN w:val="0"/>
        <w:spacing w:line="480" w:lineRule="auto"/>
        <w:ind w:firstLine="360"/>
        <w:textAlignment w:val="bottom"/>
        <w:rPr>
          <w:rFonts w:hAnsi="宋体" w:cs="宋体"/>
          <w:b/>
          <w:color w:val="auto"/>
          <w:sz w:val="36"/>
          <w:szCs w:val="22"/>
          <w:highlight w:val="none"/>
        </w:rPr>
      </w:pPr>
      <w:r>
        <w:rPr>
          <w:rFonts w:hint="eastAsia" w:hAnsi="宋体" w:cs="宋体"/>
          <w:b/>
          <w:color w:val="auto"/>
          <w:sz w:val="36"/>
          <w:szCs w:val="22"/>
          <w:highlight w:val="none"/>
        </w:rPr>
        <w:t>招标代理机构：</w:t>
      </w:r>
      <w:r>
        <w:rPr>
          <w:rFonts w:hint="eastAsia" w:hAnsi="宋体" w:cs="宋体"/>
          <w:b/>
          <w:color w:val="auto"/>
          <w:sz w:val="36"/>
          <w:szCs w:val="22"/>
          <w:highlight w:val="none"/>
          <w:u w:val="single"/>
        </w:rPr>
        <w:t>浙江省成套招标代理有限公司</w:t>
      </w:r>
    </w:p>
    <w:p>
      <w:pPr>
        <w:autoSpaceDE w:val="0"/>
        <w:autoSpaceDN w:val="0"/>
        <w:spacing w:line="480" w:lineRule="auto"/>
        <w:ind w:firstLine="360"/>
        <w:textAlignment w:val="bottom"/>
        <w:rPr>
          <w:rFonts w:hAnsi="宋体" w:cs="宋体"/>
          <w:b/>
          <w:color w:val="auto"/>
          <w:sz w:val="36"/>
          <w:highlight w:val="none"/>
        </w:rPr>
      </w:pPr>
    </w:p>
    <w:p>
      <w:pPr>
        <w:pStyle w:val="49"/>
        <w:spacing w:line="480" w:lineRule="auto"/>
        <w:jc w:val="center"/>
        <w:rPr>
          <w:rFonts w:ascii="宋体" w:hAnsi="宋体" w:eastAsia="宋体" w:cs="宋体"/>
          <w:b/>
          <w:color w:val="auto"/>
          <w:kern w:val="2"/>
          <w:sz w:val="36"/>
          <w:highlight w:val="none"/>
        </w:rPr>
        <w:sectPr>
          <w:headerReference r:id="rId5" w:type="first"/>
          <w:headerReference r:id="rId3" w:type="default"/>
          <w:footerReference r:id="rId6" w:type="default"/>
          <w:headerReference r:id="rId4" w:type="even"/>
          <w:footerReference r:id="rId7" w:type="even"/>
          <w:pgSz w:w="11906" w:h="16838"/>
          <w:pgMar w:top="1440" w:right="1701" w:bottom="1440" w:left="1701" w:header="1021" w:footer="907" w:gutter="0"/>
          <w:pgBorders>
            <w:top w:val="none" w:sz="0" w:space="0"/>
            <w:left w:val="none" w:sz="0" w:space="0"/>
            <w:bottom w:val="none" w:sz="0" w:space="0"/>
            <w:right w:val="none" w:sz="0" w:space="0"/>
          </w:pgBorders>
          <w:pgNumType w:fmt="decimal" w:start="1"/>
          <w:cols w:space="720" w:num="1"/>
          <w:titlePg/>
          <w:docGrid w:linePitch="286" w:charSpace="0"/>
        </w:sectPr>
      </w:pPr>
      <w:r>
        <w:rPr>
          <w:rFonts w:hint="eastAsia" w:ascii="宋体" w:hAnsi="宋体" w:eastAsia="宋体" w:cs="宋体"/>
          <w:b/>
          <w:color w:val="auto"/>
          <w:kern w:val="2"/>
          <w:sz w:val="36"/>
          <w:highlight w:val="none"/>
        </w:rPr>
        <w:t>二</w:t>
      </w:r>
      <w:r>
        <w:rPr>
          <w:rFonts w:hint="eastAsia" w:ascii="宋体" w:hAnsi="宋体" w:eastAsia="宋体" w:cs="宋体"/>
          <w:b/>
          <w:bCs/>
          <w:color w:val="auto"/>
          <w:sz w:val="36"/>
          <w:szCs w:val="36"/>
          <w:highlight w:val="none"/>
          <w:lang w:val="en-GB"/>
        </w:rPr>
        <w:t>〇</w:t>
      </w:r>
      <w:r>
        <w:rPr>
          <w:rFonts w:hint="eastAsia" w:ascii="宋体" w:hAnsi="宋体" w:eastAsia="宋体" w:cs="宋体"/>
          <w:b/>
          <w:color w:val="auto"/>
          <w:kern w:val="2"/>
          <w:sz w:val="36"/>
          <w:highlight w:val="none"/>
        </w:rPr>
        <w:t>二四年</w:t>
      </w:r>
      <w:r>
        <w:rPr>
          <w:rFonts w:hint="eastAsia" w:ascii="宋体" w:hAnsi="宋体" w:eastAsia="宋体" w:cs="宋体"/>
          <w:b/>
          <w:color w:val="auto"/>
          <w:kern w:val="2"/>
          <w:sz w:val="36"/>
          <w:highlight w:val="none"/>
          <w:lang w:val="en-US" w:eastAsia="zh-CN"/>
        </w:rPr>
        <w:t>四</w:t>
      </w:r>
      <w:r>
        <w:rPr>
          <w:rFonts w:hint="eastAsia" w:ascii="宋体" w:hAnsi="宋体" w:eastAsia="宋体" w:cs="宋体"/>
          <w:b/>
          <w:color w:val="auto"/>
          <w:kern w:val="2"/>
          <w:sz w:val="36"/>
          <w:highlight w:val="none"/>
        </w:rPr>
        <w:t>月</w:t>
      </w:r>
    </w:p>
    <w:p>
      <w:pPr>
        <w:pStyle w:val="49"/>
        <w:spacing w:line="300" w:lineRule="auto"/>
        <w:rPr>
          <w:rFonts w:ascii="宋体" w:hAnsi="宋体" w:eastAsia="宋体" w:cs="宋体"/>
          <w:color w:val="auto"/>
          <w:highlight w:val="none"/>
        </w:rPr>
      </w:pPr>
    </w:p>
    <w:p>
      <w:pPr>
        <w:widowControl/>
        <w:spacing w:line="360" w:lineRule="auto"/>
        <w:jc w:val="center"/>
        <w:rPr>
          <w:rFonts w:hAnsi="宋体" w:cs="宋体"/>
          <w:b/>
          <w:bCs/>
          <w:color w:val="auto"/>
          <w:sz w:val="36"/>
          <w:szCs w:val="36"/>
          <w:highlight w:val="none"/>
        </w:rPr>
      </w:pPr>
      <w:r>
        <w:rPr>
          <w:rFonts w:hint="eastAsia" w:hAnsi="宋体" w:cs="宋体"/>
          <w:b/>
          <w:bCs/>
          <w:color w:val="auto"/>
          <w:sz w:val="36"/>
          <w:szCs w:val="36"/>
          <w:highlight w:val="none"/>
        </w:rPr>
        <w:t>目  录</w:t>
      </w:r>
    </w:p>
    <w:p>
      <w:pPr>
        <w:pStyle w:val="59"/>
        <w:tabs>
          <w:tab w:val="right" w:leader="dot" w:pos="8504"/>
        </w:tabs>
        <w:rPr>
          <w:color w:val="auto"/>
          <w:highlight w:val="none"/>
        </w:rPr>
      </w:pPr>
      <w:r>
        <w:rPr>
          <w:rFonts w:hAnsi="宋体"/>
          <w:color w:val="auto"/>
          <w:sz w:val="24"/>
          <w:szCs w:val="24"/>
          <w:highlight w:val="none"/>
        </w:rPr>
        <w:fldChar w:fldCharType="begin"/>
      </w:r>
      <w:r>
        <w:rPr>
          <w:rFonts w:hAnsi="宋体"/>
          <w:color w:val="auto"/>
          <w:sz w:val="24"/>
          <w:szCs w:val="24"/>
          <w:highlight w:val="none"/>
        </w:rPr>
        <w:instrText xml:space="preserve"> </w:instrText>
      </w:r>
      <w:r>
        <w:rPr>
          <w:rFonts w:hint="eastAsia" w:hAnsi="宋体"/>
          <w:color w:val="auto"/>
          <w:sz w:val="24"/>
          <w:szCs w:val="24"/>
          <w:highlight w:val="none"/>
        </w:rPr>
        <w:instrText xml:space="preserve">TOC \o "1-1" \h \z \u</w:instrText>
      </w:r>
      <w:r>
        <w:rPr>
          <w:rFonts w:hAnsi="宋体"/>
          <w:color w:val="auto"/>
          <w:sz w:val="24"/>
          <w:szCs w:val="24"/>
          <w:highlight w:val="none"/>
        </w:rPr>
        <w:instrText xml:space="preserve"> </w:instrText>
      </w:r>
      <w:r>
        <w:rPr>
          <w:rFonts w:hAnsi="宋体"/>
          <w:color w:val="auto"/>
          <w:sz w:val="24"/>
          <w:szCs w:val="24"/>
          <w:highlight w:val="none"/>
        </w:rPr>
        <w:fldChar w:fldCharType="separate"/>
      </w:r>
      <w:r>
        <w:rPr>
          <w:color w:val="auto"/>
          <w:highlight w:val="none"/>
        </w:rPr>
        <w:fldChar w:fldCharType="begin"/>
      </w:r>
      <w:r>
        <w:rPr>
          <w:color w:val="auto"/>
          <w:highlight w:val="none"/>
        </w:rPr>
        <w:instrText xml:space="preserve"> HYPERLINK \l "_Toc17518" </w:instrText>
      </w:r>
      <w:r>
        <w:rPr>
          <w:color w:val="auto"/>
          <w:highlight w:val="none"/>
        </w:rPr>
        <w:fldChar w:fldCharType="separate"/>
      </w:r>
      <w:r>
        <w:rPr>
          <w:rFonts w:hint="eastAsia" w:hAnsi="宋体" w:cs="宋体"/>
          <w:color w:val="auto"/>
          <w:szCs w:val="24"/>
          <w:highlight w:val="none"/>
        </w:rPr>
        <w:t xml:space="preserve">第一章  </w:t>
      </w:r>
      <w:r>
        <w:rPr>
          <w:rFonts w:hint="eastAsia" w:hAnsi="宋体" w:cs="宋体"/>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_Toc17518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59"/>
        <w:tabs>
          <w:tab w:val="right" w:leader="dot" w:pos="8504"/>
        </w:tabs>
        <w:rPr>
          <w:color w:val="auto"/>
          <w:highlight w:val="none"/>
        </w:rPr>
      </w:pPr>
      <w:r>
        <w:rPr>
          <w:color w:val="auto"/>
          <w:highlight w:val="none"/>
        </w:rPr>
        <w:fldChar w:fldCharType="begin"/>
      </w:r>
      <w:r>
        <w:rPr>
          <w:color w:val="auto"/>
          <w:highlight w:val="none"/>
        </w:rPr>
        <w:instrText xml:space="preserve"> HYPERLINK \l "_Toc4655" </w:instrText>
      </w:r>
      <w:r>
        <w:rPr>
          <w:color w:val="auto"/>
          <w:highlight w:val="none"/>
        </w:rPr>
        <w:fldChar w:fldCharType="separate"/>
      </w:r>
      <w:r>
        <w:rPr>
          <w:rFonts w:hint="eastAsia" w:hAnsi="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_Toc4655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59"/>
        <w:tabs>
          <w:tab w:val="right" w:leader="dot" w:pos="8504"/>
        </w:tabs>
        <w:rPr>
          <w:color w:val="auto"/>
          <w:highlight w:val="none"/>
        </w:rPr>
      </w:pPr>
      <w:r>
        <w:rPr>
          <w:color w:val="auto"/>
          <w:highlight w:val="none"/>
        </w:rPr>
        <w:fldChar w:fldCharType="begin"/>
      </w:r>
      <w:r>
        <w:rPr>
          <w:color w:val="auto"/>
          <w:highlight w:val="none"/>
        </w:rPr>
        <w:instrText xml:space="preserve"> HYPERLINK \l "_Toc6041" </w:instrText>
      </w:r>
      <w:r>
        <w:rPr>
          <w:color w:val="auto"/>
          <w:highlight w:val="none"/>
        </w:rPr>
        <w:fldChar w:fldCharType="separate"/>
      </w:r>
      <w:r>
        <w:rPr>
          <w:rFonts w:hint="eastAsia" w:hAnsi="宋体" w:cs="宋体"/>
          <w:color w:val="auto"/>
          <w:spacing w:val="15"/>
          <w:highlight w:val="none"/>
        </w:rPr>
        <w:t>第三章 用户需求书</w:t>
      </w:r>
      <w:r>
        <w:rPr>
          <w:color w:val="auto"/>
          <w:highlight w:val="none"/>
        </w:rPr>
        <w:tab/>
      </w:r>
      <w:r>
        <w:rPr>
          <w:color w:val="auto"/>
          <w:highlight w:val="none"/>
        </w:rPr>
        <w:fldChar w:fldCharType="begin"/>
      </w:r>
      <w:r>
        <w:rPr>
          <w:color w:val="auto"/>
          <w:highlight w:val="none"/>
        </w:rPr>
        <w:instrText xml:space="preserve"> PAGEREF _Toc6041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59"/>
        <w:tabs>
          <w:tab w:val="right" w:leader="dot" w:pos="8504"/>
        </w:tabs>
        <w:rPr>
          <w:color w:val="auto"/>
          <w:highlight w:val="none"/>
        </w:rPr>
      </w:pPr>
      <w:r>
        <w:rPr>
          <w:color w:val="auto"/>
          <w:highlight w:val="none"/>
        </w:rPr>
        <w:fldChar w:fldCharType="begin"/>
      </w:r>
      <w:r>
        <w:rPr>
          <w:color w:val="auto"/>
          <w:highlight w:val="none"/>
        </w:rPr>
        <w:instrText xml:space="preserve"> HYPERLINK \l "_Toc21674" </w:instrText>
      </w:r>
      <w:r>
        <w:rPr>
          <w:color w:val="auto"/>
          <w:highlight w:val="none"/>
        </w:rPr>
        <w:fldChar w:fldCharType="separate"/>
      </w:r>
      <w:r>
        <w:rPr>
          <w:rFonts w:hint="eastAsia" w:hAnsi="宋体" w:cs="宋体"/>
          <w:color w:val="auto"/>
          <w:spacing w:val="15"/>
          <w:highlight w:val="none"/>
        </w:rPr>
        <w:t>第四章 评标方法及评价标准</w:t>
      </w:r>
      <w:r>
        <w:rPr>
          <w:color w:val="auto"/>
          <w:highlight w:val="none"/>
        </w:rPr>
        <w:tab/>
      </w:r>
      <w:r>
        <w:rPr>
          <w:color w:val="auto"/>
          <w:highlight w:val="none"/>
        </w:rPr>
        <w:fldChar w:fldCharType="begin"/>
      </w:r>
      <w:r>
        <w:rPr>
          <w:color w:val="auto"/>
          <w:highlight w:val="none"/>
        </w:rPr>
        <w:instrText xml:space="preserve"> PAGEREF _Toc21674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59"/>
        <w:tabs>
          <w:tab w:val="right" w:leader="dot" w:pos="8504"/>
        </w:tabs>
        <w:rPr>
          <w:color w:val="auto"/>
          <w:highlight w:val="none"/>
        </w:rPr>
      </w:pPr>
      <w:r>
        <w:rPr>
          <w:color w:val="auto"/>
          <w:highlight w:val="none"/>
        </w:rPr>
        <w:fldChar w:fldCharType="begin"/>
      </w:r>
      <w:r>
        <w:rPr>
          <w:color w:val="auto"/>
          <w:highlight w:val="none"/>
        </w:rPr>
        <w:instrText xml:space="preserve"> HYPERLINK \l "_Toc12969" </w:instrText>
      </w:r>
      <w:r>
        <w:rPr>
          <w:color w:val="auto"/>
          <w:highlight w:val="none"/>
        </w:rPr>
        <w:fldChar w:fldCharType="separate"/>
      </w:r>
      <w:r>
        <w:rPr>
          <w:rFonts w:hint="eastAsia" w:hAnsi="宋体" w:cs="宋体"/>
          <w:color w:val="auto"/>
          <w:spacing w:val="15"/>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_Toc12969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pPr>
        <w:pStyle w:val="59"/>
        <w:tabs>
          <w:tab w:val="right" w:leader="dot" w:pos="8504"/>
        </w:tabs>
        <w:rPr>
          <w:color w:val="auto"/>
          <w:highlight w:val="none"/>
        </w:rPr>
      </w:pPr>
      <w:r>
        <w:rPr>
          <w:color w:val="auto"/>
          <w:highlight w:val="none"/>
        </w:rPr>
        <w:fldChar w:fldCharType="begin"/>
      </w:r>
      <w:r>
        <w:rPr>
          <w:color w:val="auto"/>
          <w:highlight w:val="none"/>
        </w:rPr>
        <w:instrText xml:space="preserve"> HYPERLINK \l "_Toc13290" </w:instrText>
      </w:r>
      <w:r>
        <w:rPr>
          <w:color w:val="auto"/>
          <w:highlight w:val="none"/>
        </w:rPr>
        <w:fldChar w:fldCharType="separate"/>
      </w:r>
      <w:r>
        <w:rPr>
          <w:rFonts w:hint="eastAsia" w:hAnsi="宋体" w:cs="宋体"/>
          <w:bCs/>
          <w:color w:val="auto"/>
          <w:highlight w:val="none"/>
        </w:rPr>
        <w:t>第六章 合同条款及格式</w:t>
      </w:r>
      <w:r>
        <w:rPr>
          <w:color w:val="auto"/>
          <w:highlight w:val="none"/>
        </w:rPr>
        <w:tab/>
      </w:r>
      <w:r>
        <w:rPr>
          <w:color w:val="auto"/>
          <w:highlight w:val="none"/>
        </w:rPr>
        <w:fldChar w:fldCharType="begin"/>
      </w:r>
      <w:r>
        <w:rPr>
          <w:color w:val="auto"/>
          <w:highlight w:val="none"/>
        </w:rPr>
        <w:instrText xml:space="preserve"> PAGEREF _Toc13290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spacing w:line="360" w:lineRule="auto"/>
        <w:rPr>
          <w:rFonts w:hAnsi="宋体"/>
          <w:bCs/>
          <w:color w:val="auto"/>
          <w:highlight w:val="none"/>
        </w:rPr>
      </w:pPr>
      <w:r>
        <w:rPr>
          <w:rFonts w:hAnsi="宋体"/>
          <w:bCs/>
          <w:color w:val="auto"/>
          <w:highlight w:val="none"/>
        </w:rPr>
        <w:fldChar w:fldCharType="end"/>
      </w:r>
      <w:bookmarkStart w:id="137" w:name="_GoBack"/>
      <w:bookmarkEnd w:id="137"/>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left" w:pos="4769"/>
        </w:tabs>
        <w:jc w:val="left"/>
        <w:rPr>
          <w:color w:val="auto"/>
          <w:highlight w:val="none"/>
        </w:rPr>
        <w:sectPr>
          <w:headerReference r:id="rId9" w:type="first"/>
          <w:footerReference r:id="rId11" w:type="first"/>
          <w:headerReference r:id="rId8" w:type="default"/>
          <w:footerReference r:id="rId10" w:type="default"/>
          <w:type w:val="nextColumn"/>
          <w:pgSz w:w="11906" w:h="16838"/>
          <w:pgMar w:top="1440" w:right="1701" w:bottom="1440" w:left="1701" w:header="1021" w:footer="907" w:gutter="0"/>
          <w:pgBorders>
            <w:top w:val="none" w:sz="0" w:space="0"/>
            <w:left w:val="none" w:sz="0" w:space="0"/>
            <w:bottom w:val="none" w:sz="0" w:space="0"/>
            <w:right w:val="none" w:sz="0" w:space="0"/>
          </w:pgBorders>
          <w:pgNumType w:fmt="decimal" w:start="1"/>
          <w:cols w:space="720" w:num="1"/>
          <w:titlePg/>
          <w:docGrid w:linePitch="312" w:charSpace="0"/>
        </w:sectPr>
      </w:pPr>
      <w:r>
        <w:rPr>
          <w:rFonts w:hint="eastAsia"/>
          <w:color w:val="auto"/>
          <w:highlight w:val="none"/>
        </w:rPr>
        <w:tab/>
      </w:r>
    </w:p>
    <w:p>
      <w:pPr>
        <w:keepNext/>
        <w:spacing w:before="120" w:beforeLines="50" w:after="120" w:afterLines="50" w:line="360" w:lineRule="auto"/>
        <w:jc w:val="center"/>
        <w:outlineLvl w:val="0"/>
        <w:rPr>
          <w:rFonts w:hAnsi="宋体" w:cs="宋体"/>
          <w:b/>
          <w:color w:val="auto"/>
          <w:sz w:val="32"/>
          <w:szCs w:val="32"/>
          <w:highlight w:val="none"/>
        </w:rPr>
      </w:pPr>
      <w:bookmarkStart w:id="0" w:name="_Toc30442"/>
      <w:bookmarkStart w:id="1" w:name="_Toc3260"/>
      <w:bookmarkStart w:id="2" w:name="_Toc16963"/>
      <w:bookmarkStart w:id="3" w:name="_Toc15817"/>
      <w:bookmarkStart w:id="4" w:name="_Toc12960"/>
      <w:bookmarkStart w:id="5" w:name="_Toc26271808"/>
      <w:bookmarkStart w:id="6" w:name="_Toc17518"/>
      <w:r>
        <w:rPr>
          <w:rFonts w:hint="eastAsia" w:hAnsi="宋体" w:cs="宋体"/>
          <w:b/>
          <w:color w:val="auto"/>
          <w:sz w:val="36"/>
          <w:szCs w:val="24"/>
          <w:highlight w:val="none"/>
        </w:rPr>
        <w:t xml:space="preserve">第一章  </w:t>
      </w:r>
      <w:bookmarkEnd w:id="0"/>
      <w:bookmarkEnd w:id="1"/>
      <w:bookmarkEnd w:id="2"/>
      <w:bookmarkEnd w:id="3"/>
      <w:bookmarkEnd w:id="4"/>
      <w:bookmarkEnd w:id="5"/>
      <w:bookmarkStart w:id="7" w:name="_Toc18662"/>
      <w:bookmarkStart w:id="8" w:name="_Toc1724"/>
      <w:bookmarkStart w:id="9" w:name="_Toc529913001"/>
      <w:bookmarkStart w:id="10" w:name="_Toc2940"/>
      <w:bookmarkStart w:id="11" w:name="_Toc14326"/>
      <w:bookmarkStart w:id="12" w:name="_Toc26271809"/>
      <w:bookmarkStart w:id="13" w:name="_Toc12041"/>
      <w:r>
        <w:rPr>
          <w:rFonts w:hint="eastAsia" w:hAnsi="宋体" w:cs="宋体"/>
          <w:b/>
          <w:color w:val="auto"/>
          <w:sz w:val="32"/>
          <w:szCs w:val="32"/>
          <w:highlight w:val="none"/>
        </w:rPr>
        <w:t>招标公告</w:t>
      </w:r>
      <w:bookmarkEnd w:id="6"/>
      <w:bookmarkEnd w:id="7"/>
      <w:bookmarkEnd w:id="8"/>
      <w:bookmarkEnd w:id="9"/>
      <w:bookmarkEnd w:id="10"/>
      <w:bookmarkEnd w:id="11"/>
      <w:bookmarkEnd w:id="12"/>
      <w:bookmarkEnd w:id="13"/>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cs="宋体"/>
          <w:color w:val="auto"/>
          <w:szCs w:val="21"/>
          <w:highlight w:val="none"/>
          <w:lang w:val="zh-CN"/>
        </w:rPr>
      </w:pPr>
      <w:bookmarkStart w:id="14" w:name="_Toc26271810"/>
      <w:bookmarkStart w:id="15" w:name="_Toc529913002"/>
      <w:bookmarkStart w:id="16" w:name="_Toc1872"/>
      <w:bookmarkStart w:id="17" w:name="_Toc25500"/>
      <w:bookmarkStart w:id="18" w:name="_Toc15031"/>
      <w:bookmarkStart w:id="19" w:name="_Toc7511"/>
      <w:bookmarkStart w:id="20" w:name="_Toc6675"/>
      <w:r>
        <w:rPr>
          <w:rFonts w:hint="eastAsia" w:cs="宋体"/>
          <w:color w:val="auto"/>
          <w:szCs w:val="21"/>
          <w:highlight w:val="none"/>
          <w:lang w:val="zh-CN"/>
        </w:rPr>
        <w:t>杭州市环境集团有限公司</w:t>
      </w:r>
      <w:r>
        <w:rPr>
          <w:rFonts w:hint="eastAsia" w:cs="宋体"/>
          <w:color w:val="auto"/>
          <w:szCs w:val="21"/>
          <w:highlight w:val="none"/>
        </w:rPr>
        <w:t>炉渣综合处置服务采购项目</w:t>
      </w:r>
      <w:r>
        <w:rPr>
          <w:rFonts w:hint="eastAsia" w:cs="宋体"/>
          <w:color w:val="auto"/>
          <w:szCs w:val="21"/>
          <w:highlight w:val="none"/>
          <w:lang w:eastAsia="zh-CN"/>
        </w:rPr>
        <w:t>（</w:t>
      </w:r>
      <w:r>
        <w:rPr>
          <w:rFonts w:hint="eastAsia" w:cs="宋体"/>
          <w:color w:val="auto"/>
          <w:szCs w:val="21"/>
          <w:highlight w:val="none"/>
          <w:lang w:val="en-US" w:eastAsia="zh-CN"/>
        </w:rPr>
        <w:t>重新招标）</w:t>
      </w:r>
      <w:r>
        <w:rPr>
          <w:rFonts w:hint="eastAsia" w:cs="宋体"/>
          <w:color w:val="auto"/>
          <w:szCs w:val="21"/>
          <w:highlight w:val="none"/>
          <w:lang w:val="zh-CN"/>
        </w:rPr>
        <w:t>已批准实施，招标人为杭州市环境集团有限公司。项目已具备招标条件，现对该项目进行公开招标。本公告通过中国招标投标公共服务平台（http://www.cebpubservice.com/）、浙江政府采购网（http://zfcg.czt.zj.gov.cn/）、</w:t>
      </w:r>
      <w:r>
        <w:rPr>
          <w:rFonts w:hint="eastAsia" w:cs="宋体"/>
          <w:color w:val="auto"/>
          <w:szCs w:val="21"/>
          <w:highlight w:val="none"/>
          <w:lang w:val="en-US" w:eastAsia="zh-CN"/>
        </w:rPr>
        <w:t>采购与招标网（https://www.chinabidding.cn/）、</w:t>
      </w:r>
      <w:r>
        <w:rPr>
          <w:rFonts w:hint="eastAsia" w:cs="宋体"/>
          <w:color w:val="auto"/>
          <w:szCs w:val="21"/>
          <w:highlight w:val="none"/>
          <w:lang w:val="zh-CN"/>
        </w:rPr>
        <w:t>杭州市环境集团有限公司</w:t>
      </w:r>
      <w:r>
        <w:rPr>
          <w:rFonts w:hint="eastAsia" w:cs="宋体"/>
          <w:color w:val="auto"/>
          <w:szCs w:val="21"/>
          <w:highlight w:val="none"/>
          <w:lang w:val="en-US" w:eastAsia="zh-CN"/>
        </w:rPr>
        <w:t>官</w:t>
      </w:r>
      <w:r>
        <w:rPr>
          <w:rFonts w:hint="eastAsia" w:cs="宋体"/>
          <w:color w:val="auto"/>
          <w:szCs w:val="21"/>
          <w:highlight w:val="none"/>
          <w:lang w:val="zh-CN"/>
        </w:rPr>
        <w:t>网（https://www.cnlandfill.net/）、</w:t>
      </w:r>
      <w:r>
        <w:rPr>
          <w:rFonts w:hint="eastAsia" w:cs="宋体"/>
          <w:color w:val="auto"/>
          <w:szCs w:val="21"/>
          <w:highlight w:val="none"/>
        </w:rPr>
        <w:t>杭州临江环境能源有限公司</w:t>
      </w:r>
      <w:r>
        <w:rPr>
          <w:rFonts w:hint="eastAsia" w:cs="宋体"/>
          <w:color w:val="auto"/>
          <w:szCs w:val="21"/>
          <w:highlight w:val="none"/>
          <w:lang w:val="en-US" w:eastAsia="zh-CN"/>
        </w:rPr>
        <w:t>官网（https://www.ljhjny.com/）</w:t>
      </w:r>
      <w:r>
        <w:rPr>
          <w:rFonts w:hint="eastAsia" w:cs="宋体"/>
          <w:color w:val="auto"/>
          <w:szCs w:val="21"/>
          <w:highlight w:val="none"/>
          <w:lang w:val="zh-CN"/>
        </w:rPr>
        <w:t>发布。欢迎对本项目有兴趣并符合投标人资格条件的投标人参加投标。具体如下：</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0"/>
        <w:textAlignment w:val="auto"/>
        <w:rPr>
          <w:rFonts w:hint="eastAsia" w:cs="宋体"/>
          <w:color w:val="auto"/>
          <w:sz w:val="21"/>
          <w:szCs w:val="21"/>
          <w:highlight w:val="none"/>
          <w:lang w:eastAsia="zh-CN"/>
        </w:rPr>
      </w:pPr>
      <w:r>
        <w:rPr>
          <w:rFonts w:hint="eastAsia" w:cs="宋体"/>
          <w:b/>
          <w:bCs/>
          <w:color w:val="auto"/>
          <w:sz w:val="21"/>
          <w:szCs w:val="21"/>
          <w:highlight w:val="none"/>
        </w:rPr>
        <w:t>1、招标编号：</w:t>
      </w:r>
      <w:r>
        <w:rPr>
          <w:rFonts w:hint="eastAsia" w:cs="宋体"/>
          <w:color w:val="auto"/>
          <w:sz w:val="21"/>
          <w:szCs w:val="21"/>
          <w:highlight w:val="none"/>
          <w:lang w:eastAsia="zh-CN"/>
        </w:rPr>
        <w:t>JHJGZ202403021</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0"/>
        <w:textAlignment w:val="auto"/>
        <w:rPr>
          <w:rFonts w:hint="default" w:eastAsia="宋体" w:cs="宋体"/>
          <w:bCs/>
          <w:color w:val="auto"/>
          <w:sz w:val="21"/>
          <w:szCs w:val="21"/>
          <w:highlight w:val="none"/>
          <w:lang w:val="en-US" w:eastAsia="zh-CN"/>
        </w:rPr>
      </w:pPr>
      <w:r>
        <w:rPr>
          <w:rFonts w:hint="eastAsia" w:cs="宋体"/>
          <w:b/>
          <w:bCs/>
          <w:color w:val="auto"/>
          <w:sz w:val="21"/>
          <w:szCs w:val="21"/>
          <w:highlight w:val="none"/>
        </w:rPr>
        <w:t>2、项目名称：</w:t>
      </w:r>
      <w:r>
        <w:rPr>
          <w:rFonts w:hint="eastAsia" w:cs="宋体"/>
          <w:color w:val="auto"/>
          <w:sz w:val="21"/>
          <w:szCs w:val="21"/>
          <w:highlight w:val="none"/>
        </w:rPr>
        <w:t>炉渣综合处置服务采购项目</w:t>
      </w:r>
      <w:r>
        <w:rPr>
          <w:rFonts w:hint="eastAsia" w:cs="宋体"/>
          <w:color w:val="auto"/>
          <w:sz w:val="21"/>
          <w:szCs w:val="21"/>
          <w:highlight w:val="none"/>
          <w:lang w:eastAsia="zh-CN"/>
        </w:rPr>
        <w:t>（</w:t>
      </w:r>
      <w:r>
        <w:rPr>
          <w:rFonts w:hint="eastAsia" w:cs="宋体"/>
          <w:color w:val="auto"/>
          <w:sz w:val="21"/>
          <w:szCs w:val="21"/>
          <w:highlight w:val="none"/>
          <w:lang w:val="en-US" w:eastAsia="zh-CN"/>
        </w:rPr>
        <w:t>重新招标）</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0"/>
        <w:textAlignment w:val="auto"/>
        <w:rPr>
          <w:rFonts w:cs="宋体"/>
          <w:bCs/>
          <w:color w:val="auto"/>
          <w:sz w:val="21"/>
          <w:szCs w:val="21"/>
          <w:highlight w:val="none"/>
        </w:rPr>
      </w:pPr>
      <w:r>
        <w:rPr>
          <w:rFonts w:hint="eastAsia" w:cs="宋体"/>
          <w:b/>
          <w:bCs/>
          <w:color w:val="auto"/>
          <w:sz w:val="21"/>
          <w:szCs w:val="21"/>
          <w:highlight w:val="none"/>
        </w:rPr>
        <w:t>3、项目地点：</w:t>
      </w:r>
      <w:r>
        <w:rPr>
          <w:rFonts w:hint="eastAsia" w:cs="宋体"/>
          <w:color w:val="auto"/>
          <w:sz w:val="21"/>
          <w:szCs w:val="21"/>
          <w:highlight w:val="none"/>
        </w:rPr>
        <w:t>杭州（招标人指定地点）</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0"/>
        <w:textAlignment w:val="auto"/>
        <w:rPr>
          <w:rFonts w:cs="宋体"/>
          <w:bCs/>
          <w:color w:val="auto"/>
          <w:sz w:val="21"/>
          <w:szCs w:val="21"/>
          <w:highlight w:val="none"/>
        </w:rPr>
      </w:pPr>
      <w:r>
        <w:rPr>
          <w:rFonts w:hint="eastAsia" w:cs="宋体"/>
          <w:b/>
          <w:bCs/>
          <w:color w:val="auto"/>
          <w:sz w:val="21"/>
          <w:szCs w:val="21"/>
          <w:highlight w:val="none"/>
        </w:rPr>
        <w:t>4、项目预算：</w:t>
      </w:r>
      <w:r>
        <w:rPr>
          <w:rFonts w:hint="eastAsia" w:cs="宋体"/>
          <w:b/>
          <w:bCs/>
          <w:color w:val="auto"/>
          <w:sz w:val="21"/>
          <w:szCs w:val="21"/>
          <w:highlight w:val="none"/>
          <w:lang w:val="en-US" w:eastAsia="zh-CN"/>
        </w:rPr>
        <w:t>12180</w:t>
      </w:r>
      <w:r>
        <w:rPr>
          <w:rFonts w:hint="eastAsia" w:cs="宋体"/>
          <w:color w:val="auto"/>
          <w:sz w:val="21"/>
          <w:szCs w:val="21"/>
          <w:highlight w:val="none"/>
        </w:rPr>
        <w:t>万元（含</w:t>
      </w:r>
      <w:r>
        <w:rPr>
          <w:rFonts w:hint="eastAsia" w:cs="宋体"/>
          <w:bCs/>
          <w:color w:val="auto"/>
          <w:sz w:val="21"/>
          <w:szCs w:val="21"/>
          <w:highlight w:val="none"/>
        </w:rPr>
        <w:t>税）</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0"/>
        <w:textAlignment w:val="auto"/>
        <w:rPr>
          <w:rFonts w:cs="宋体"/>
          <w:color w:val="auto"/>
          <w:sz w:val="21"/>
          <w:szCs w:val="21"/>
          <w:highlight w:val="none"/>
          <w:lang w:val="zh-CN"/>
        </w:rPr>
      </w:pPr>
      <w:r>
        <w:rPr>
          <w:rFonts w:hint="eastAsia" w:cs="宋体"/>
          <w:b/>
          <w:bCs/>
          <w:color w:val="auto"/>
          <w:sz w:val="21"/>
          <w:szCs w:val="21"/>
          <w:highlight w:val="none"/>
        </w:rPr>
        <w:t>5、招标人：</w:t>
      </w:r>
      <w:r>
        <w:rPr>
          <w:rFonts w:hint="eastAsia" w:cs="宋体"/>
          <w:color w:val="auto"/>
          <w:sz w:val="21"/>
          <w:szCs w:val="21"/>
          <w:highlight w:val="none"/>
          <w:lang w:val="zh-CN"/>
        </w:rPr>
        <w:t>杭州市环境集团有限公司</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0"/>
        <w:textAlignment w:val="auto"/>
        <w:rPr>
          <w:rFonts w:cs="宋体"/>
          <w:b/>
          <w:bCs/>
          <w:color w:val="auto"/>
          <w:sz w:val="21"/>
          <w:szCs w:val="21"/>
          <w:highlight w:val="none"/>
        </w:rPr>
      </w:pPr>
      <w:r>
        <w:rPr>
          <w:rFonts w:hint="eastAsia" w:cs="宋体"/>
          <w:b/>
          <w:bCs/>
          <w:color w:val="auto"/>
          <w:sz w:val="21"/>
          <w:szCs w:val="21"/>
          <w:highlight w:val="none"/>
        </w:rPr>
        <w:t>6、采购人：</w:t>
      </w:r>
      <w:r>
        <w:rPr>
          <w:rFonts w:hint="eastAsia" w:cs="宋体"/>
          <w:color w:val="auto"/>
          <w:sz w:val="21"/>
          <w:szCs w:val="21"/>
          <w:highlight w:val="none"/>
        </w:rPr>
        <w:t>杭州临江环境能源有限公司</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0"/>
        <w:textAlignment w:val="auto"/>
        <w:rPr>
          <w:rFonts w:cs="宋体"/>
          <w:b/>
          <w:bCs/>
          <w:color w:val="auto"/>
          <w:sz w:val="21"/>
          <w:szCs w:val="21"/>
          <w:highlight w:val="none"/>
        </w:rPr>
      </w:pPr>
      <w:r>
        <w:rPr>
          <w:rFonts w:hint="eastAsia" w:cs="宋体"/>
          <w:b/>
          <w:bCs/>
          <w:color w:val="auto"/>
          <w:sz w:val="21"/>
          <w:szCs w:val="21"/>
          <w:highlight w:val="none"/>
        </w:rPr>
        <w:t>7、招标范围及内容：</w:t>
      </w:r>
    </w:p>
    <w:p>
      <w:pPr>
        <w:keepNext w:val="0"/>
        <w:keepLines w:val="0"/>
        <w:pageBreakBefore w:val="0"/>
        <w:kinsoku/>
        <w:wordWrap/>
        <w:overflowPunct/>
        <w:topLinePunct w:val="0"/>
        <w:autoSpaceDE/>
        <w:autoSpaceDN/>
        <w:bidi w:val="0"/>
        <w:spacing w:line="360" w:lineRule="auto"/>
        <w:ind w:firstLine="420" w:firstLineChars="200"/>
        <w:textAlignment w:val="auto"/>
        <w:rPr>
          <w:rFonts w:cs="宋体"/>
          <w:bCs/>
          <w:color w:val="auto"/>
          <w:szCs w:val="21"/>
          <w:highlight w:val="none"/>
        </w:rPr>
      </w:pPr>
      <w:r>
        <w:rPr>
          <w:rFonts w:hint="eastAsia" w:cs="宋体"/>
          <w:color w:val="auto"/>
          <w:szCs w:val="21"/>
          <w:highlight w:val="none"/>
        </w:rPr>
        <w:t>本次采购生活垃圾焚烧发电项目炉渣综合处置服务，服务期限二年。炉渣产量约29万吨/年</w:t>
      </w:r>
      <w:r>
        <w:rPr>
          <w:rFonts w:hint="eastAsia" w:cs="宋体"/>
          <w:color w:val="auto"/>
          <w:szCs w:val="21"/>
          <w:highlight w:val="none"/>
          <w:lang w:eastAsia="zh-CN"/>
        </w:rPr>
        <w:t>（</w:t>
      </w:r>
      <w:r>
        <w:rPr>
          <w:rFonts w:hint="eastAsia" w:cs="宋体"/>
          <w:color w:val="auto"/>
          <w:szCs w:val="21"/>
          <w:highlight w:val="none"/>
          <w:lang w:val="en-US" w:eastAsia="zh-CN"/>
        </w:rPr>
        <w:t>为暂估数量，具体按实结算）</w:t>
      </w:r>
      <w:r>
        <w:rPr>
          <w:rFonts w:hint="eastAsia" w:cs="宋体"/>
          <w:color w:val="auto"/>
          <w:szCs w:val="21"/>
          <w:highlight w:val="none"/>
        </w:rPr>
        <w:t>，炉渣综合销售单价最低限价</w:t>
      </w:r>
      <w:r>
        <w:rPr>
          <w:rFonts w:hint="eastAsia" w:cs="宋体"/>
          <w:color w:val="auto"/>
          <w:szCs w:val="21"/>
          <w:highlight w:val="none"/>
          <w:lang w:val="en-US" w:eastAsia="zh-CN"/>
        </w:rPr>
        <w:t>210</w:t>
      </w:r>
      <w:r>
        <w:rPr>
          <w:rFonts w:hint="eastAsia" w:cs="宋体"/>
          <w:color w:val="auto"/>
          <w:szCs w:val="21"/>
          <w:highlight w:val="none"/>
        </w:rPr>
        <w:t>元/吨（含税）。</w:t>
      </w:r>
      <w:r>
        <w:rPr>
          <w:rFonts w:hint="eastAsia" w:cs="宋体"/>
          <w:color w:val="auto"/>
          <w:szCs w:val="21"/>
          <w:highlight w:val="none"/>
          <w:lang w:val="zh-CN"/>
        </w:rPr>
        <w:t>具体需求详见招标文件第三章“用户需求书”。</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420"/>
        <w:textAlignment w:val="auto"/>
        <w:rPr>
          <w:rFonts w:cs="宋体"/>
          <w:b/>
          <w:bCs/>
          <w:color w:val="auto"/>
          <w:sz w:val="21"/>
          <w:szCs w:val="21"/>
          <w:highlight w:val="none"/>
        </w:rPr>
      </w:pPr>
      <w:r>
        <w:rPr>
          <w:rFonts w:hint="eastAsia" w:cs="宋体"/>
          <w:b/>
          <w:bCs/>
          <w:color w:val="auto"/>
          <w:sz w:val="21"/>
          <w:szCs w:val="21"/>
          <w:highlight w:val="none"/>
        </w:rPr>
        <w:t>8、投标人资格条件</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textAlignment w:val="auto"/>
        <w:rPr>
          <w:rFonts w:cs="宋体"/>
          <w:bCs/>
          <w:color w:val="auto"/>
          <w:sz w:val="21"/>
          <w:szCs w:val="21"/>
          <w:highlight w:val="none"/>
        </w:rPr>
      </w:pPr>
      <w:r>
        <w:rPr>
          <w:rFonts w:hint="eastAsia" w:cs="宋体"/>
          <w:bCs/>
          <w:color w:val="auto"/>
          <w:sz w:val="21"/>
          <w:szCs w:val="21"/>
          <w:highlight w:val="none"/>
        </w:rPr>
        <w:t>（1）在中华人民共和国境内注册，具有独立法人资格/具有独立承担民事责任的能力。提供营业执照（或者事业单位法人证书、社会团体法人登记证书、其他组织登记证明文件）副本复印件（加盖公章）；</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textAlignment w:val="auto"/>
        <w:rPr>
          <w:rFonts w:cs="宋体"/>
          <w:color w:val="auto"/>
          <w:kern w:val="2"/>
          <w:sz w:val="21"/>
          <w:szCs w:val="21"/>
          <w:highlight w:val="none"/>
        </w:rPr>
      </w:pPr>
      <w:r>
        <w:rPr>
          <w:rFonts w:hint="eastAsia" w:cs="宋体"/>
          <w:color w:val="auto"/>
          <w:kern w:val="2"/>
          <w:sz w:val="21"/>
          <w:szCs w:val="21"/>
          <w:highlight w:val="none"/>
        </w:rPr>
        <w:t>（2）与招标人存在利害关系可能影响招标公正性的单位，不得参加本项目投标。单位负责人为同一人或者存在控股、管理关系的不同单位，不得同时参加本招标项目投标；</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105" w:leftChars="50" w:firstLine="315" w:firstLineChars="150"/>
        <w:textAlignment w:val="auto"/>
        <w:rPr>
          <w:rFonts w:cs="宋体"/>
          <w:color w:val="auto"/>
          <w:kern w:val="2"/>
          <w:sz w:val="21"/>
          <w:szCs w:val="21"/>
          <w:highlight w:val="none"/>
        </w:rPr>
      </w:pPr>
      <w:r>
        <w:rPr>
          <w:rFonts w:hint="eastAsia" w:cs="宋体"/>
          <w:color w:val="auto"/>
          <w:kern w:val="2"/>
          <w:sz w:val="21"/>
          <w:szCs w:val="21"/>
          <w:highlight w:val="none"/>
        </w:rPr>
        <w:t>（3）近三年内，未被“信用中国”（www.creditchina.gov.cn）、中国政府采购网（www.ccgp.gov.cn）等官方网站列入失信被执行人、重大税收违法失信主体、政府采购严重违法失信行为等不良记录名单（以代理机构在投标截止时间当天的网站信用记录查询为准）；</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textAlignment w:val="auto"/>
        <w:rPr>
          <w:rFonts w:cs="宋体"/>
          <w:bCs/>
          <w:color w:val="auto"/>
          <w:sz w:val="21"/>
          <w:szCs w:val="21"/>
          <w:highlight w:val="none"/>
        </w:rPr>
      </w:pPr>
      <w:r>
        <w:rPr>
          <w:rFonts w:hint="eastAsia" w:cs="宋体"/>
          <w:bCs/>
          <w:color w:val="auto"/>
          <w:sz w:val="21"/>
          <w:szCs w:val="21"/>
          <w:highlight w:val="none"/>
        </w:rPr>
        <w:t>（4）近两年内未被列入《杭州市环境集团有限公司黑名单供应商名录库》和《杭州市环境集团有限公司不合格供应商名录库》；</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textAlignment w:val="auto"/>
        <w:rPr>
          <w:rFonts w:hint="eastAsia" w:cs="宋体"/>
          <w:bCs/>
          <w:color w:val="auto"/>
          <w:sz w:val="21"/>
          <w:szCs w:val="21"/>
          <w:highlight w:val="none"/>
        </w:rPr>
      </w:pPr>
      <w:r>
        <w:rPr>
          <w:rFonts w:hint="eastAsia" w:cs="宋体"/>
          <w:bCs/>
          <w:color w:val="auto"/>
          <w:sz w:val="21"/>
          <w:szCs w:val="21"/>
          <w:highlight w:val="none"/>
        </w:rPr>
        <w:t>（5）投标人</w:t>
      </w:r>
      <w:r>
        <w:rPr>
          <w:rFonts w:hint="eastAsia" w:cs="宋体"/>
          <w:bCs/>
          <w:color w:val="auto"/>
          <w:sz w:val="21"/>
          <w:szCs w:val="21"/>
          <w:highlight w:val="none"/>
          <w:lang w:val="en-US" w:eastAsia="zh-CN"/>
        </w:rPr>
        <w:t>自2021年1月1日以来至投标文件递交截止之日具有类似炉渣综合处置</w:t>
      </w:r>
      <w:r>
        <w:rPr>
          <w:rFonts w:hint="eastAsia" w:cs="宋体"/>
          <w:bCs/>
          <w:color w:val="auto"/>
          <w:sz w:val="21"/>
          <w:szCs w:val="21"/>
          <w:highlight w:val="none"/>
        </w:rPr>
        <w:t>业绩。</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textAlignment w:val="auto"/>
        <w:rPr>
          <w:rFonts w:cs="宋体"/>
          <w:bCs/>
          <w:color w:val="auto"/>
          <w:sz w:val="21"/>
          <w:szCs w:val="21"/>
          <w:highlight w:val="none"/>
        </w:rPr>
      </w:pPr>
      <w:r>
        <w:rPr>
          <w:rFonts w:hint="eastAsia" w:cs="宋体"/>
          <w:bCs/>
          <w:color w:val="auto"/>
          <w:sz w:val="21"/>
          <w:szCs w:val="21"/>
          <w:highlight w:val="none"/>
        </w:rPr>
        <w:t>业绩证明材料</w:t>
      </w:r>
      <w:r>
        <w:rPr>
          <w:rFonts w:hint="eastAsia" w:cs="宋体"/>
          <w:bCs/>
          <w:color w:val="auto"/>
          <w:sz w:val="21"/>
          <w:szCs w:val="21"/>
          <w:highlight w:val="none"/>
          <w:lang w:val="en-US" w:eastAsia="zh-CN"/>
        </w:rPr>
        <w:t>如下</w:t>
      </w:r>
      <w:r>
        <w:rPr>
          <w:rFonts w:hint="eastAsia" w:cs="宋体"/>
          <w:bCs/>
          <w:color w:val="auto"/>
          <w:sz w:val="21"/>
          <w:szCs w:val="21"/>
          <w:highlight w:val="none"/>
        </w:rPr>
        <w:t>：提供炉渣采购或综合处置服务合同复印件（含合同首页、签订时间、服务范围及规模、双方签章页等）。</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textAlignment w:val="auto"/>
        <w:rPr>
          <w:rFonts w:cs="宋体"/>
          <w:bCs/>
          <w:color w:val="auto"/>
          <w:sz w:val="21"/>
          <w:szCs w:val="21"/>
          <w:highlight w:val="none"/>
        </w:rPr>
      </w:pPr>
      <w:r>
        <w:rPr>
          <w:rFonts w:hint="eastAsia" w:cs="宋体"/>
          <w:bCs/>
          <w:color w:val="auto"/>
          <w:sz w:val="21"/>
          <w:szCs w:val="21"/>
          <w:highlight w:val="none"/>
        </w:rPr>
        <w:t>（6）本项目不接受联合体投标。</w:t>
      </w:r>
    </w:p>
    <w:p>
      <w:pPr>
        <w:pStyle w:val="81"/>
        <w:keepNext w:val="0"/>
        <w:keepLines w:val="0"/>
        <w:pageBreakBefore w:val="0"/>
        <w:kinsoku/>
        <w:wordWrap/>
        <w:overflowPunct/>
        <w:topLinePunct w:val="0"/>
        <w:bidi w:val="0"/>
        <w:adjustRightInd w:val="0"/>
        <w:snapToGrid w:val="0"/>
        <w:spacing w:before="0" w:beforeAutospacing="0" w:after="0" w:afterAutospacing="0" w:line="360" w:lineRule="auto"/>
        <w:ind w:left="141" w:leftChars="67" w:firstLine="279"/>
        <w:textAlignment w:val="auto"/>
        <w:rPr>
          <w:rFonts w:cs="宋体"/>
          <w:b/>
          <w:bCs/>
          <w:color w:val="auto"/>
          <w:sz w:val="18"/>
          <w:szCs w:val="18"/>
          <w:highlight w:val="none"/>
        </w:rPr>
      </w:pPr>
      <w:r>
        <w:rPr>
          <w:rFonts w:hint="eastAsia" w:cs="宋体"/>
          <w:color w:val="auto"/>
          <w:sz w:val="21"/>
          <w:szCs w:val="18"/>
          <w:highlight w:val="none"/>
        </w:rPr>
        <w:t>注：上述证明资料须齐全、有效，复印件应加盖投标人单位公章（</w:t>
      </w:r>
      <w:r>
        <w:rPr>
          <w:rFonts w:hint="eastAsia" w:cs="宋体"/>
          <w:b/>
          <w:bCs/>
          <w:color w:val="auto"/>
          <w:sz w:val="21"/>
          <w:szCs w:val="18"/>
          <w:highlight w:val="none"/>
        </w:rPr>
        <w:t>所盖印章均为物理印章，加盖电子印章的将被视为无效，下同</w:t>
      </w:r>
      <w:r>
        <w:rPr>
          <w:rFonts w:hint="eastAsia" w:cs="宋体"/>
          <w:color w:val="auto"/>
          <w:sz w:val="21"/>
          <w:szCs w:val="18"/>
          <w:highlight w:val="none"/>
        </w:rPr>
        <w:t>）并在投标文件中提供。</w:t>
      </w:r>
    </w:p>
    <w:p>
      <w:pPr>
        <w:pStyle w:val="81"/>
        <w:keepNext w:val="0"/>
        <w:keepLines w:val="0"/>
        <w:pageBreakBefore w:val="0"/>
        <w:kinsoku/>
        <w:wordWrap/>
        <w:overflowPunct/>
        <w:topLinePunct w:val="0"/>
        <w:bidi w:val="0"/>
        <w:adjustRightInd w:val="0"/>
        <w:snapToGrid w:val="0"/>
        <w:spacing w:before="0" w:beforeAutospacing="0" w:after="0" w:afterAutospacing="0" w:line="360" w:lineRule="auto"/>
        <w:ind w:left="420"/>
        <w:textAlignment w:val="auto"/>
        <w:rPr>
          <w:rFonts w:cs="宋体"/>
          <w:color w:val="auto"/>
          <w:szCs w:val="21"/>
          <w:highlight w:val="none"/>
        </w:rPr>
      </w:pPr>
      <w:r>
        <w:rPr>
          <w:rFonts w:hint="eastAsia" w:cs="宋体"/>
          <w:b/>
          <w:bCs/>
          <w:color w:val="auto"/>
          <w:sz w:val="21"/>
          <w:szCs w:val="21"/>
          <w:highlight w:val="none"/>
        </w:rPr>
        <w:t>9、招标文件获取</w:t>
      </w:r>
    </w:p>
    <w:p>
      <w:pPr>
        <w:pStyle w:val="204"/>
        <w:adjustRightInd w:val="0"/>
        <w:snapToGrid w:val="0"/>
        <w:spacing w:before="0" w:beforeAutospacing="0" w:after="0" w:afterAutospacing="0" w:line="360" w:lineRule="auto"/>
        <w:ind w:firstLine="420" w:firstLineChars="200"/>
        <w:jc w:val="both"/>
        <w:rPr>
          <w:snapToGrid w:val="0"/>
          <w:color w:val="auto"/>
          <w:sz w:val="21"/>
          <w:szCs w:val="21"/>
          <w:highlight w:val="none"/>
        </w:rPr>
      </w:pPr>
      <w:r>
        <w:rPr>
          <w:rFonts w:hint="eastAsia"/>
          <w:snapToGrid w:val="0"/>
          <w:color w:val="auto"/>
          <w:sz w:val="21"/>
          <w:szCs w:val="21"/>
          <w:highlight w:val="none"/>
          <w:lang w:eastAsia="zh-CN"/>
        </w:rPr>
        <w:t>（</w:t>
      </w:r>
      <w:r>
        <w:rPr>
          <w:rFonts w:hint="eastAsia"/>
          <w:snapToGrid w:val="0"/>
          <w:color w:val="auto"/>
          <w:sz w:val="21"/>
          <w:szCs w:val="21"/>
          <w:highlight w:val="none"/>
          <w:lang w:val="en-US" w:eastAsia="zh-CN"/>
        </w:rPr>
        <w:t>1</w:t>
      </w:r>
      <w:r>
        <w:rPr>
          <w:rFonts w:hint="eastAsia"/>
          <w:snapToGrid w:val="0"/>
          <w:color w:val="auto"/>
          <w:sz w:val="21"/>
          <w:szCs w:val="21"/>
          <w:highlight w:val="none"/>
          <w:lang w:eastAsia="zh-CN"/>
        </w:rPr>
        <w:t>）获取方式：</w:t>
      </w:r>
      <w:r>
        <w:rPr>
          <w:rFonts w:hint="eastAsia"/>
          <w:snapToGrid w:val="0"/>
          <w:color w:val="auto"/>
          <w:sz w:val="21"/>
          <w:szCs w:val="21"/>
          <w:highlight w:val="none"/>
          <w:lang w:val="zh-CN"/>
        </w:rPr>
        <w:t>本项目招标文件</w:t>
      </w:r>
      <w:r>
        <w:rPr>
          <w:rFonts w:hint="eastAsia"/>
          <w:snapToGrid w:val="0"/>
          <w:color w:val="auto"/>
          <w:sz w:val="21"/>
          <w:szCs w:val="21"/>
          <w:highlight w:val="none"/>
        </w:rPr>
        <w:t>（</w:t>
      </w:r>
      <w:r>
        <w:rPr>
          <w:rFonts w:hint="eastAsia"/>
          <w:snapToGrid w:val="0"/>
          <w:color w:val="auto"/>
          <w:sz w:val="21"/>
          <w:szCs w:val="21"/>
          <w:highlight w:val="none"/>
          <w:lang w:val="zh-CN"/>
        </w:rPr>
        <w:t>含招标补充文件（若有）、相关技术资料和图纸（若有））以网上下载方式获取（</w:t>
      </w:r>
      <w:r>
        <w:rPr>
          <w:rFonts w:hint="eastAsia"/>
          <w:snapToGrid w:val="0"/>
          <w:color w:val="auto"/>
          <w:sz w:val="21"/>
          <w:szCs w:val="21"/>
          <w:highlight w:val="none"/>
          <w:lang w:val="en-US" w:eastAsia="zh-CN"/>
        </w:rPr>
        <w:t>详见公告附件</w:t>
      </w:r>
      <w:r>
        <w:rPr>
          <w:rFonts w:hint="eastAsia"/>
          <w:snapToGrid w:val="0"/>
          <w:color w:val="auto"/>
          <w:sz w:val="21"/>
          <w:szCs w:val="21"/>
          <w:highlight w:val="none"/>
          <w:lang w:val="zh-CN"/>
        </w:rPr>
        <w:t>）；</w:t>
      </w:r>
    </w:p>
    <w:p>
      <w:pPr>
        <w:pStyle w:val="204"/>
        <w:adjustRightInd w:val="0"/>
        <w:snapToGrid w:val="0"/>
        <w:spacing w:before="0" w:beforeAutospacing="0" w:after="0" w:afterAutospacing="0" w:line="360" w:lineRule="auto"/>
        <w:ind w:firstLine="420" w:firstLineChars="200"/>
        <w:jc w:val="both"/>
        <w:rPr>
          <w:snapToGrid w:val="0"/>
          <w:color w:val="auto"/>
          <w:sz w:val="21"/>
          <w:szCs w:val="21"/>
          <w:highlight w:val="none"/>
        </w:rPr>
      </w:pPr>
      <w:r>
        <w:rPr>
          <w:rFonts w:hint="eastAsia"/>
          <w:snapToGrid w:val="0"/>
          <w:color w:val="auto"/>
          <w:sz w:val="21"/>
          <w:szCs w:val="21"/>
          <w:highlight w:val="none"/>
          <w:lang w:eastAsia="zh-CN"/>
        </w:rPr>
        <w:t>（</w:t>
      </w:r>
      <w:r>
        <w:rPr>
          <w:rFonts w:hint="eastAsia"/>
          <w:snapToGrid w:val="0"/>
          <w:color w:val="auto"/>
          <w:sz w:val="21"/>
          <w:szCs w:val="21"/>
          <w:highlight w:val="none"/>
          <w:lang w:val="en-US" w:eastAsia="zh-CN"/>
        </w:rPr>
        <w:t>2</w:t>
      </w:r>
      <w:r>
        <w:rPr>
          <w:rFonts w:hint="eastAsia"/>
          <w:snapToGrid w:val="0"/>
          <w:color w:val="auto"/>
          <w:sz w:val="21"/>
          <w:szCs w:val="21"/>
          <w:highlight w:val="none"/>
          <w:lang w:eastAsia="zh-CN"/>
        </w:rPr>
        <w:t>）下载网址：</w:t>
      </w:r>
      <w:r>
        <w:rPr>
          <w:rFonts w:hint="eastAsia"/>
          <w:snapToGrid w:val="0"/>
          <w:color w:val="auto"/>
          <w:highlight w:val="none"/>
          <w:lang w:val="zh-CN"/>
        </w:rPr>
        <w:t>浙江政府采购网（http://zfcg.czt.zj.gov.cn/）、采购与招标网（https://www.chinabidding.cn/）、杭州市环境集团有限公司官网（https://www.cnlandfill.net/）、杭州临江环境能源有限公司官网（https://www.ljhjny.com/）</w:t>
      </w:r>
      <w:r>
        <w:rPr>
          <w:rFonts w:hint="eastAsia"/>
          <w:snapToGrid w:val="0"/>
          <w:color w:val="auto"/>
          <w:sz w:val="21"/>
          <w:szCs w:val="21"/>
          <w:highlight w:val="none"/>
        </w:rPr>
        <w:t>；</w:t>
      </w:r>
    </w:p>
    <w:p>
      <w:pPr>
        <w:keepNext w:val="0"/>
        <w:keepLines w:val="0"/>
        <w:pageBreakBefore w:val="0"/>
        <w:kinsoku/>
        <w:wordWrap/>
        <w:overflowPunct/>
        <w:topLinePunct w:val="0"/>
        <w:autoSpaceDE w:val="0"/>
        <w:autoSpaceDN w:val="0"/>
        <w:bidi w:val="0"/>
        <w:adjustRightInd w:val="0"/>
        <w:snapToGrid w:val="0"/>
        <w:spacing w:line="360" w:lineRule="auto"/>
        <w:ind w:firstLine="420"/>
        <w:textAlignment w:val="auto"/>
        <w:rPr>
          <w:rFonts w:hAnsi="宋体" w:cs="宋体"/>
          <w:color w:val="auto"/>
          <w:szCs w:val="21"/>
          <w:highlight w:val="none"/>
        </w:rPr>
      </w:pPr>
      <w:r>
        <w:rPr>
          <w:rFonts w:hint="eastAsia"/>
          <w:snapToGrid w:val="0"/>
          <w:color w:val="auto"/>
          <w:sz w:val="21"/>
          <w:szCs w:val="21"/>
          <w:highlight w:val="none"/>
          <w:lang w:eastAsia="zh-CN"/>
        </w:rPr>
        <w:t>（</w:t>
      </w:r>
      <w:r>
        <w:rPr>
          <w:rFonts w:hint="eastAsia"/>
          <w:snapToGrid w:val="0"/>
          <w:color w:val="auto"/>
          <w:sz w:val="21"/>
          <w:szCs w:val="21"/>
          <w:highlight w:val="none"/>
          <w:lang w:val="en-US" w:eastAsia="zh-CN"/>
        </w:rPr>
        <w:t>3</w:t>
      </w:r>
      <w:r>
        <w:rPr>
          <w:rFonts w:hint="eastAsia"/>
          <w:snapToGrid w:val="0"/>
          <w:color w:val="auto"/>
          <w:sz w:val="21"/>
          <w:szCs w:val="21"/>
          <w:highlight w:val="none"/>
          <w:lang w:eastAsia="zh-CN"/>
        </w:rPr>
        <w:t>）</w:t>
      </w:r>
      <w:r>
        <w:rPr>
          <w:rFonts w:hint="eastAsia"/>
          <w:snapToGrid w:val="0"/>
          <w:color w:val="auto"/>
          <w:sz w:val="21"/>
          <w:szCs w:val="21"/>
          <w:highlight w:val="none"/>
        </w:rPr>
        <w:t>下载</w:t>
      </w:r>
      <w:r>
        <w:rPr>
          <w:rFonts w:hint="eastAsia"/>
          <w:snapToGrid w:val="0"/>
          <w:color w:val="auto"/>
          <w:sz w:val="21"/>
          <w:szCs w:val="21"/>
          <w:highlight w:val="none"/>
          <w:lang w:val="zh-CN"/>
        </w:rPr>
        <w:t>时间：</w:t>
      </w:r>
      <w:r>
        <w:rPr>
          <w:rFonts w:hint="eastAsia" w:cs="宋体"/>
          <w:b/>
          <w:bCs/>
          <w:color w:val="auto"/>
          <w:sz w:val="21"/>
          <w:szCs w:val="21"/>
          <w:highlight w:val="none"/>
          <w:lang w:val="en-US" w:eastAsia="zh-CN"/>
        </w:rPr>
        <w:t>自本项目更正公告发布之日起至投标截止时间止</w:t>
      </w:r>
      <w:r>
        <w:rPr>
          <w:rFonts w:hint="eastAsia" w:hAnsi="宋体" w:cs="宋体"/>
          <w:color w:val="auto"/>
          <w:szCs w:val="21"/>
          <w:highlight w:val="none"/>
        </w:rPr>
        <w:t>。</w:t>
      </w:r>
    </w:p>
    <w:p>
      <w:pPr>
        <w:pStyle w:val="81"/>
        <w:keepNext w:val="0"/>
        <w:keepLines w:val="0"/>
        <w:pageBreakBefore w:val="0"/>
        <w:kinsoku/>
        <w:wordWrap/>
        <w:overflowPunct/>
        <w:topLinePunct w:val="0"/>
        <w:bidi w:val="0"/>
        <w:adjustRightInd w:val="0"/>
        <w:snapToGrid w:val="0"/>
        <w:spacing w:before="0" w:beforeAutospacing="0" w:after="0" w:afterAutospacing="0" w:line="360" w:lineRule="auto"/>
        <w:ind w:firstLine="420"/>
        <w:textAlignment w:val="auto"/>
        <w:rPr>
          <w:rFonts w:cs="宋体"/>
          <w:b/>
          <w:bCs/>
          <w:color w:val="auto"/>
          <w:sz w:val="21"/>
          <w:szCs w:val="21"/>
          <w:highlight w:val="none"/>
        </w:rPr>
      </w:pPr>
      <w:r>
        <w:rPr>
          <w:rFonts w:hint="eastAsia" w:cs="宋体"/>
          <w:b/>
          <w:bCs/>
          <w:color w:val="auto"/>
          <w:sz w:val="21"/>
          <w:szCs w:val="21"/>
          <w:highlight w:val="none"/>
        </w:rPr>
        <w:t>10、投标截止时间和投标地点：</w:t>
      </w:r>
      <w:bookmarkStart w:id="21" w:name="B22_谈判响应文件提交截止日期"/>
      <w:bookmarkEnd w:id="21"/>
    </w:p>
    <w:p>
      <w:pPr>
        <w:pStyle w:val="333"/>
        <w:keepNext w:val="0"/>
        <w:keepLines w:val="0"/>
        <w:pageBreakBefore w:val="0"/>
        <w:widowControl/>
        <w:kinsoku/>
        <w:wordWrap/>
        <w:overflowPunct/>
        <w:topLinePunct w:val="0"/>
        <w:bidi w:val="0"/>
        <w:spacing w:line="360" w:lineRule="auto"/>
        <w:ind w:left="420" w:firstLine="0" w:firstLineChars="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截止时间：</w:t>
      </w:r>
      <w:r>
        <w:rPr>
          <w:rFonts w:hint="eastAsia" w:ascii="宋体" w:hAnsi="宋体" w:cs="宋体"/>
          <w:color w:val="auto"/>
          <w:szCs w:val="21"/>
          <w:highlight w:val="none"/>
          <w:u w:val="single"/>
        </w:rPr>
        <w:t>2024年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color w:val="auto"/>
          <w:szCs w:val="21"/>
          <w:highlight w:val="none"/>
          <w:u w:val="single"/>
          <w:lang w:val="en-US" w:eastAsia="zh-CN"/>
        </w:rPr>
        <w:t>00秒</w:t>
      </w:r>
    </w:p>
    <w:p>
      <w:pPr>
        <w:pStyle w:val="333"/>
        <w:keepNext w:val="0"/>
        <w:keepLines w:val="0"/>
        <w:pageBreakBefore w:val="0"/>
        <w:widowControl/>
        <w:kinsoku/>
        <w:wordWrap/>
        <w:overflowPunct/>
        <w:topLinePunct w:val="0"/>
        <w:bidi w:val="0"/>
        <w:spacing w:line="360" w:lineRule="auto"/>
        <w:ind w:firstLineChars="0"/>
        <w:jc w:val="left"/>
        <w:textAlignment w:val="auto"/>
        <w:rPr>
          <w:rFonts w:ascii="宋体" w:hAnsi="宋体" w:cs="宋体"/>
          <w:color w:val="auto"/>
          <w:szCs w:val="21"/>
          <w:highlight w:val="none"/>
        </w:rPr>
      </w:pPr>
      <w:r>
        <w:rPr>
          <w:rFonts w:hint="eastAsia" w:ascii="宋体" w:hAnsi="宋体" w:cs="宋体"/>
          <w:color w:val="auto"/>
          <w:szCs w:val="21"/>
          <w:highlight w:val="none"/>
        </w:rPr>
        <w:t>地点：杭州市环境集团有限公司环境集采中心开标室（杭州市拱墅区临半路90号）</w:t>
      </w:r>
    </w:p>
    <w:p>
      <w:pPr>
        <w:pStyle w:val="81"/>
        <w:adjustRightInd w:val="0"/>
        <w:snapToGrid w:val="0"/>
        <w:spacing w:before="0" w:beforeAutospacing="0" w:after="0" w:afterAutospacing="0" w:line="360" w:lineRule="auto"/>
        <w:ind w:left="420"/>
        <w:rPr>
          <w:rFonts w:cs="宋体"/>
          <w:b/>
          <w:bCs/>
          <w:color w:val="auto"/>
          <w:sz w:val="21"/>
          <w:szCs w:val="21"/>
          <w:highlight w:val="none"/>
        </w:rPr>
      </w:pPr>
      <w:r>
        <w:rPr>
          <w:rFonts w:hint="eastAsia" w:cs="宋体"/>
          <w:b/>
          <w:bCs/>
          <w:color w:val="auto"/>
          <w:sz w:val="21"/>
          <w:szCs w:val="21"/>
          <w:highlight w:val="none"/>
        </w:rPr>
        <w:t>11、开标时间和地点：</w:t>
      </w:r>
    </w:p>
    <w:p>
      <w:pPr>
        <w:pStyle w:val="333"/>
        <w:widowControl/>
        <w:spacing w:line="360" w:lineRule="auto"/>
        <w:ind w:left="420" w:firstLine="0" w:firstLineChars="0"/>
        <w:jc w:val="lef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2024年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color w:val="auto"/>
          <w:szCs w:val="21"/>
          <w:highlight w:val="none"/>
          <w:u w:val="single"/>
          <w:lang w:val="en-US" w:eastAsia="zh-CN"/>
        </w:rPr>
        <w:t>00秒</w:t>
      </w:r>
    </w:p>
    <w:p>
      <w:pPr>
        <w:pStyle w:val="333"/>
        <w:widowControl/>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地点：杭州市环境集团有限公司环境集采中心开标室（杭州市拱墅区临半路90号）</w:t>
      </w:r>
    </w:p>
    <w:p>
      <w:pPr>
        <w:pStyle w:val="333"/>
        <w:widowControl/>
        <w:spacing w:line="360" w:lineRule="auto"/>
        <w:ind w:left="420" w:firstLine="0" w:firstLineChars="0"/>
        <w:jc w:val="left"/>
        <w:rPr>
          <w:rFonts w:cs="宋体"/>
          <w:b/>
          <w:bCs/>
          <w:color w:val="auto"/>
          <w:szCs w:val="21"/>
          <w:highlight w:val="none"/>
        </w:rPr>
      </w:pPr>
      <w:r>
        <w:rPr>
          <w:rFonts w:hint="eastAsia" w:cs="宋体"/>
          <w:b/>
          <w:bCs/>
          <w:color w:val="auto"/>
          <w:szCs w:val="21"/>
          <w:highlight w:val="none"/>
        </w:rPr>
        <w:t>12、投标保证金</w:t>
      </w:r>
    </w:p>
    <w:p>
      <w:pPr>
        <w:pStyle w:val="333"/>
        <w:widowControl/>
        <w:spacing w:line="360" w:lineRule="auto"/>
        <w:ind w:left="420" w:firstLine="0" w:firstLineChars="0"/>
        <w:jc w:val="left"/>
        <w:rPr>
          <w:rFonts w:ascii="宋体" w:hAnsi="宋体" w:cs="宋体"/>
          <w:color w:val="auto"/>
          <w:szCs w:val="21"/>
          <w:highlight w:val="none"/>
        </w:rPr>
      </w:pPr>
      <w:r>
        <w:rPr>
          <w:rFonts w:hint="eastAsia" w:ascii="宋体" w:hAnsi="宋体" w:cs="宋体"/>
          <w:color w:val="auto"/>
          <w:szCs w:val="21"/>
          <w:highlight w:val="none"/>
        </w:rPr>
        <w:t>投标保证金金额：人民币伍拾万元整</w:t>
      </w:r>
    </w:p>
    <w:p>
      <w:pPr>
        <w:pStyle w:val="333"/>
        <w:widowControl/>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支付方式：</w:t>
      </w:r>
      <w:bookmarkStart w:id="22" w:name="OLE_LINK3"/>
      <w:bookmarkStart w:id="23" w:name="OLE_LINK4"/>
      <w:r>
        <w:rPr>
          <w:rFonts w:hint="eastAsia" w:ascii="宋体" w:hAnsi="宋体" w:cs="宋体"/>
          <w:color w:val="auto"/>
          <w:szCs w:val="21"/>
          <w:highlight w:val="none"/>
        </w:rPr>
        <w:t>汇票</w:t>
      </w:r>
      <w:bookmarkEnd w:id="22"/>
      <w:bookmarkEnd w:id="23"/>
      <w:r>
        <w:rPr>
          <w:rFonts w:hint="eastAsia" w:ascii="宋体" w:hAnsi="宋体" w:cs="宋体"/>
          <w:color w:val="auto"/>
          <w:szCs w:val="21"/>
          <w:highlight w:val="none"/>
        </w:rPr>
        <w:t>/支票/电汇/转账（</w:t>
      </w:r>
      <w:r>
        <w:rPr>
          <w:rFonts w:hint="eastAsia" w:ascii="宋体" w:hAnsi="宋体" w:cs="宋体"/>
          <w:b/>
          <w:snapToGrid w:val="0"/>
          <w:color w:val="auto"/>
          <w:szCs w:val="21"/>
          <w:highlight w:val="none"/>
        </w:rPr>
        <w:t>必须为投标企业账户汇出，个人形式递交或现金递交视为未缴纳</w:t>
      </w:r>
      <w:r>
        <w:rPr>
          <w:rFonts w:hint="eastAsia" w:ascii="宋体" w:hAnsi="宋体" w:cs="宋体"/>
          <w:color w:val="auto"/>
          <w:szCs w:val="21"/>
          <w:highlight w:val="none"/>
        </w:rPr>
        <w:t>）</w:t>
      </w:r>
    </w:p>
    <w:p>
      <w:pPr>
        <w:pStyle w:val="333"/>
        <w:widowControl/>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收款单位（户名）：杭州市</w:t>
      </w:r>
      <w:r>
        <w:rPr>
          <w:rFonts w:hint="eastAsia" w:ascii="宋体" w:hAnsi="宋体" w:cs="宋体"/>
          <w:color w:val="auto"/>
          <w:szCs w:val="21"/>
          <w:highlight w:val="none"/>
          <w:lang w:val="en-US" w:eastAsia="zh-CN"/>
        </w:rPr>
        <w:t>能源</w:t>
      </w:r>
      <w:r>
        <w:rPr>
          <w:rFonts w:hint="eastAsia" w:ascii="宋体" w:hAnsi="宋体" w:cs="宋体"/>
          <w:color w:val="auto"/>
          <w:szCs w:val="21"/>
          <w:highlight w:val="none"/>
        </w:rPr>
        <w:t>集团有限公司</w:t>
      </w:r>
    </w:p>
    <w:p>
      <w:pPr>
        <w:pStyle w:val="333"/>
        <w:widowControl/>
        <w:spacing w:line="360" w:lineRule="auto"/>
        <w:ind w:firstLineChars="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86041110000078615</w:t>
      </w:r>
    </w:p>
    <w:p>
      <w:pPr>
        <w:pStyle w:val="333"/>
        <w:widowControl/>
        <w:spacing w:line="360" w:lineRule="auto"/>
        <w:ind w:firstLineChars="0"/>
        <w:jc w:val="left"/>
        <w:rPr>
          <w:rFonts w:hint="default" w:eastAsia="宋体" w:cs="宋体"/>
          <w:b/>
          <w:bCs/>
          <w:color w:val="auto"/>
          <w:szCs w:val="21"/>
          <w:highlight w:val="none"/>
          <w:lang w:val="en-US" w:eastAsia="zh-CN"/>
        </w:rPr>
      </w:pPr>
      <w:r>
        <w:rPr>
          <w:rFonts w:hint="eastAsia" w:ascii="宋体" w:hAnsi="宋体" w:cs="宋体"/>
          <w:color w:val="auto"/>
          <w:szCs w:val="21"/>
          <w:highlight w:val="none"/>
        </w:rPr>
        <w:t>开户行：宁波银行</w:t>
      </w:r>
      <w:r>
        <w:rPr>
          <w:rFonts w:hint="eastAsia" w:ascii="宋体" w:hAnsi="宋体" w:cs="宋体"/>
          <w:color w:val="auto"/>
          <w:szCs w:val="21"/>
          <w:highlight w:val="none"/>
          <w:lang w:val="en-US" w:eastAsia="zh-CN"/>
        </w:rPr>
        <w:t>杭州分行营业部</w:t>
      </w:r>
    </w:p>
    <w:p>
      <w:pPr>
        <w:pStyle w:val="333"/>
        <w:widowControl/>
        <w:spacing w:line="360" w:lineRule="auto"/>
        <w:ind w:firstLineChars="0"/>
        <w:jc w:val="left"/>
        <w:rPr>
          <w:rFonts w:cs="宋体"/>
          <w:b/>
          <w:bCs/>
          <w:color w:val="auto"/>
          <w:szCs w:val="21"/>
          <w:highlight w:val="none"/>
        </w:rPr>
      </w:pPr>
      <w:r>
        <w:rPr>
          <w:rFonts w:hint="eastAsia" w:cs="宋体"/>
          <w:b/>
          <w:bCs/>
          <w:color w:val="auto"/>
          <w:szCs w:val="21"/>
          <w:highlight w:val="none"/>
        </w:rPr>
        <w:t>13、其他事项</w:t>
      </w:r>
    </w:p>
    <w:p>
      <w:pPr>
        <w:pStyle w:val="333"/>
        <w:widowControl/>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本项目相关公告在中国招标投标公共服务平台、浙江政府采购网、</w:t>
      </w:r>
      <w:bookmarkStart w:id="24" w:name="_Hlk101182207"/>
      <w:r>
        <w:rPr>
          <w:rFonts w:hint="eastAsia" w:cs="宋体"/>
          <w:color w:val="auto"/>
          <w:szCs w:val="21"/>
          <w:highlight w:val="none"/>
          <w:lang w:val="en-US" w:eastAsia="zh-CN"/>
        </w:rPr>
        <w:t>采购与招标网、</w:t>
      </w:r>
      <w:r>
        <w:rPr>
          <w:rFonts w:hint="eastAsia" w:ascii="宋体" w:hAnsi="宋体" w:cs="宋体"/>
          <w:color w:val="auto"/>
          <w:szCs w:val="21"/>
          <w:highlight w:val="none"/>
        </w:rPr>
        <w:t>杭州市环境集团有限公司</w:t>
      </w:r>
      <w:bookmarkEnd w:id="24"/>
      <w:r>
        <w:rPr>
          <w:rFonts w:hint="eastAsia" w:ascii="宋体" w:hAnsi="宋体" w:cs="宋体"/>
          <w:color w:val="auto"/>
          <w:szCs w:val="21"/>
          <w:highlight w:val="none"/>
          <w:lang w:val="en-US" w:eastAsia="zh-CN"/>
        </w:rPr>
        <w:t>官</w:t>
      </w:r>
      <w:r>
        <w:rPr>
          <w:rFonts w:hint="eastAsia" w:ascii="宋体" w:hAnsi="宋体" w:cs="宋体"/>
          <w:color w:val="auto"/>
          <w:szCs w:val="21"/>
          <w:highlight w:val="none"/>
        </w:rPr>
        <w:t>网</w:t>
      </w:r>
      <w:r>
        <w:rPr>
          <w:rFonts w:hint="eastAsia" w:ascii="宋体" w:hAnsi="宋体" w:cs="宋体"/>
          <w:color w:val="auto"/>
          <w:szCs w:val="21"/>
          <w:highlight w:val="none"/>
          <w:lang w:eastAsia="zh-CN"/>
        </w:rPr>
        <w:t>、</w:t>
      </w:r>
      <w:r>
        <w:rPr>
          <w:rFonts w:hint="eastAsia" w:cs="宋体"/>
          <w:color w:val="auto"/>
          <w:szCs w:val="21"/>
          <w:highlight w:val="none"/>
        </w:rPr>
        <w:t>杭州临江环境能源有限公司</w:t>
      </w:r>
      <w:r>
        <w:rPr>
          <w:rFonts w:hint="eastAsia" w:cs="宋体"/>
          <w:color w:val="auto"/>
          <w:szCs w:val="21"/>
          <w:highlight w:val="none"/>
          <w:lang w:val="en-US" w:eastAsia="zh-CN"/>
        </w:rPr>
        <w:t>官网发布，</w:t>
      </w:r>
      <w:r>
        <w:rPr>
          <w:rFonts w:hint="eastAsia" w:ascii="宋体" w:hAnsi="宋体" w:cs="宋体"/>
          <w:color w:val="auto"/>
          <w:szCs w:val="21"/>
          <w:highlight w:val="none"/>
        </w:rPr>
        <w:t>如公告内容、时间不一致的以浙江政府采购网发布的信息、时间为准。</w:t>
      </w:r>
    </w:p>
    <w:p>
      <w:pPr>
        <w:pStyle w:val="81"/>
        <w:adjustRightInd w:val="0"/>
        <w:snapToGrid w:val="0"/>
        <w:spacing w:before="0" w:beforeAutospacing="0" w:after="0" w:afterAutospacing="0" w:line="360" w:lineRule="auto"/>
        <w:ind w:firstLine="420"/>
        <w:rPr>
          <w:rFonts w:cs="宋体"/>
          <w:b/>
          <w:bCs/>
          <w:color w:val="auto"/>
          <w:sz w:val="21"/>
          <w:szCs w:val="21"/>
          <w:highlight w:val="none"/>
        </w:rPr>
      </w:pPr>
      <w:r>
        <w:rPr>
          <w:rFonts w:hint="eastAsia" w:cs="宋体"/>
          <w:b/>
          <w:bCs/>
          <w:color w:val="auto"/>
          <w:sz w:val="21"/>
          <w:szCs w:val="21"/>
          <w:highlight w:val="none"/>
        </w:rPr>
        <w:t>14、监督</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监督部门：杭州市环境集团有限公司纪检监察室</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联系人： 郑先生</w:t>
      </w:r>
    </w:p>
    <w:p>
      <w:pPr>
        <w:widowControl/>
        <w:adjustRightInd w:val="0"/>
        <w:snapToGrid w:val="0"/>
        <w:spacing w:line="360" w:lineRule="auto"/>
        <w:ind w:firstLine="420" w:firstLineChars="200"/>
        <w:jc w:val="left"/>
        <w:rPr>
          <w:rFonts w:cs="宋体"/>
          <w:b/>
          <w:bCs/>
          <w:color w:val="auto"/>
          <w:szCs w:val="21"/>
          <w:highlight w:val="none"/>
        </w:rPr>
      </w:pPr>
      <w:r>
        <w:rPr>
          <w:rFonts w:hint="eastAsia" w:hAnsi="宋体" w:cs="宋体"/>
          <w:color w:val="auto"/>
          <w:szCs w:val="21"/>
          <w:highlight w:val="none"/>
        </w:rPr>
        <w:t>联系电话：13336041895</w:t>
      </w:r>
    </w:p>
    <w:p>
      <w:pPr>
        <w:pStyle w:val="81"/>
        <w:adjustRightInd w:val="0"/>
        <w:snapToGrid w:val="0"/>
        <w:spacing w:before="0" w:beforeAutospacing="0" w:after="0" w:afterAutospacing="0" w:line="360" w:lineRule="auto"/>
        <w:ind w:left="420"/>
        <w:rPr>
          <w:rFonts w:cs="宋体"/>
          <w:b/>
          <w:bCs/>
          <w:color w:val="auto"/>
          <w:sz w:val="21"/>
          <w:szCs w:val="21"/>
          <w:highlight w:val="none"/>
        </w:rPr>
      </w:pPr>
      <w:r>
        <w:rPr>
          <w:rFonts w:hint="eastAsia" w:cs="宋体"/>
          <w:b/>
          <w:bCs/>
          <w:color w:val="auto"/>
          <w:sz w:val="21"/>
          <w:szCs w:val="21"/>
          <w:highlight w:val="none"/>
        </w:rPr>
        <w:t>15、联系方式</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 xml:space="preserve">招 标 人：杭州市环境集团有限公司 </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地 址：杭州市拱墅区临半路90号</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联 系 人：陈工</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电 话：0571-88213283</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邮箱：hjcgb2022@163vip.com</w:t>
      </w:r>
    </w:p>
    <w:p>
      <w:pPr>
        <w:widowControl/>
        <w:adjustRightInd w:val="0"/>
        <w:snapToGrid w:val="0"/>
        <w:spacing w:line="360" w:lineRule="auto"/>
        <w:rPr>
          <w:rStyle w:val="96"/>
          <w:rFonts w:hAnsi="宋体" w:cs="宋体"/>
          <w:color w:val="auto"/>
          <w:spacing w:val="10"/>
          <w:highlight w:val="none"/>
          <w:u w:val="none"/>
        </w:rPr>
      </w:pPr>
      <w:r>
        <w:rPr>
          <w:rStyle w:val="96"/>
          <w:rFonts w:hint="eastAsia" w:hAnsi="宋体" w:cs="宋体"/>
          <w:color w:val="auto"/>
          <w:spacing w:val="10"/>
          <w:highlight w:val="none"/>
          <w:u w:val="none"/>
        </w:rPr>
        <w:t xml:space="preserve">                            </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 xml:space="preserve">招标代理：浙江省成套招标代理有限公司 </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 xml:space="preserve">地址：杭州市文晖路42号现代置业大厦西楼1806室 </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联系人：李晓倩、吴乾宝</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电话：0571－85830195、13656681646</w:t>
      </w:r>
    </w:p>
    <w:p>
      <w:pPr>
        <w:widowControl/>
        <w:adjustRightInd w:val="0"/>
        <w:snapToGrid w:val="0"/>
        <w:spacing w:line="360" w:lineRule="auto"/>
        <w:ind w:firstLine="420" w:firstLineChars="200"/>
        <w:jc w:val="left"/>
        <w:rPr>
          <w:color w:val="auto"/>
          <w:highlight w:val="none"/>
        </w:rPr>
      </w:pPr>
      <w:r>
        <w:rPr>
          <w:rFonts w:hint="eastAsia" w:hAnsi="宋体" w:cs="宋体"/>
          <w:color w:val="auto"/>
          <w:szCs w:val="21"/>
          <w:highlight w:val="none"/>
        </w:rPr>
        <w:t>邮箱：wuqb@zjsct.cn</w:t>
      </w:r>
    </w:p>
    <w:p>
      <w:pPr>
        <w:widowControl/>
        <w:adjustRightInd w:val="0"/>
        <w:snapToGrid w:val="0"/>
        <w:spacing w:line="360" w:lineRule="auto"/>
        <w:ind w:firstLine="460" w:firstLineChars="200"/>
        <w:rPr>
          <w:rStyle w:val="96"/>
          <w:rFonts w:hAnsi="宋体" w:cs="宋体"/>
          <w:color w:val="auto"/>
          <w:spacing w:val="10"/>
          <w:highlight w:val="none"/>
          <w:u w:val="none"/>
        </w:rPr>
      </w:pPr>
      <w:r>
        <w:rPr>
          <w:rStyle w:val="96"/>
          <w:rFonts w:hint="eastAsia" w:hAnsi="宋体" w:cs="宋体"/>
          <w:color w:val="auto"/>
          <w:spacing w:val="10"/>
          <w:highlight w:val="none"/>
          <w:u w:val="none"/>
        </w:rPr>
        <w:t xml:space="preserve">                 </w:t>
      </w:r>
    </w:p>
    <w:p>
      <w:pPr>
        <w:widowControl/>
        <w:adjustRightInd w:val="0"/>
        <w:snapToGrid w:val="0"/>
        <w:spacing w:line="360" w:lineRule="auto"/>
        <w:ind w:firstLine="6300" w:firstLineChars="3000"/>
        <w:rPr>
          <w:rFonts w:hAnsi="宋体" w:cs="宋体"/>
          <w:color w:val="auto"/>
          <w:szCs w:val="21"/>
          <w:highlight w:val="none"/>
        </w:rPr>
      </w:pPr>
      <w:r>
        <w:rPr>
          <w:rFonts w:hint="eastAsia" w:hAnsi="宋体" w:cs="宋体"/>
          <w:color w:val="auto"/>
          <w:szCs w:val="21"/>
          <w:highlight w:val="none"/>
        </w:rPr>
        <w:t>杭州市环境集团有限公司</w:t>
      </w:r>
    </w:p>
    <w:p>
      <w:pPr>
        <w:adjustRightInd w:val="0"/>
        <w:snapToGrid w:val="0"/>
        <w:spacing w:line="360" w:lineRule="auto"/>
        <w:jc w:val="center"/>
        <w:rPr>
          <w:rFonts w:hAnsi="宋体" w:cs="宋体"/>
          <w:color w:val="auto"/>
          <w:szCs w:val="21"/>
          <w:highlight w:val="none"/>
        </w:rPr>
      </w:pPr>
      <w:r>
        <w:rPr>
          <w:rFonts w:hint="eastAsia" w:hAnsi="宋体" w:cs="宋体"/>
          <w:color w:val="auto"/>
          <w:szCs w:val="21"/>
          <w:highlight w:val="none"/>
        </w:rPr>
        <w:t xml:space="preserve">                                                    日期：2024年</w:t>
      </w:r>
      <w:r>
        <w:rPr>
          <w:rFonts w:hint="eastAsia" w:hAnsi="宋体" w:cs="宋体"/>
          <w:color w:val="auto"/>
          <w:szCs w:val="21"/>
          <w:highlight w:val="none"/>
          <w:lang w:val="en-US" w:eastAsia="zh-CN"/>
        </w:rPr>
        <w:t>4</w:t>
      </w:r>
      <w:r>
        <w:rPr>
          <w:rFonts w:hint="eastAsia" w:hAnsi="宋体" w:cs="宋体"/>
          <w:color w:val="auto"/>
          <w:szCs w:val="21"/>
          <w:highlight w:val="none"/>
        </w:rPr>
        <w:t>月</w:t>
      </w:r>
      <w:r>
        <w:rPr>
          <w:rFonts w:hint="eastAsia" w:hAnsi="宋体" w:cs="宋体"/>
          <w:color w:val="auto"/>
          <w:szCs w:val="21"/>
          <w:highlight w:val="none"/>
          <w:lang w:val="en-US" w:eastAsia="zh-CN"/>
        </w:rPr>
        <w:t>30</w:t>
      </w:r>
      <w:r>
        <w:rPr>
          <w:rFonts w:hint="eastAsia" w:hAnsi="宋体" w:cs="宋体"/>
          <w:color w:val="auto"/>
          <w:szCs w:val="21"/>
          <w:highlight w:val="none"/>
        </w:rPr>
        <w:t>日</w:t>
      </w:r>
    </w:p>
    <w:p>
      <w:pPr>
        <w:rPr>
          <w:rFonts w:hAnsi="宋体" w:cs="宋体"/>
          <w:b/>
          <w:bCs/>
          <w:color w:val="auto"/>
          <w:sz w:val="32"/>
          <w:szCs w:val="32"/>
          <w:highlight w:val="none"/>
        </w:rPr>
      </w:pPr>
    </w:p>
    <w:p>
      <w:pPr>
        <w:rPr>
          <w:rFonts w:hAnsi="宋体" w:cs="宋体"/>
          <w:b/>
          <w:bCs/>
          <w:color w:val="auto"/>
          <w:sz w:val="32"/>
          <w:szCs w:val="32"/>
          <w:highlight w:val="none"/>
        </w:rPr>
      </w:pPr>
      <w:r>
        <w:rPr>
          <w:rFonts w:hint="eastAsia" w:hAnsi="宋体" w:cs="宋体"/>
          <w:b/>
          <w:bCs/>
          <w:color w:val="auto"/>
          <w:sz w:val="32"/>
          <w:szCs w:val="32"/>
          <w:highlight w:val="none"/>
        </w:rPr>
        <w:br w:type="page"/>
      </w:r>
    </w:p>
    <w:p>
      <w:pPr>
        <w:keepNext/>
        <w:keepLines/>
        <w:spacing w:line="360" w:lineRule="auto"/>
        <w:jc w:val="center"/>
        <w:outlineLvl w:val="0"/>
        <w:rPr>
          <w:rFonts w:hAnsi="宋体" w:cs="宋体"/>
          <w:b/>
          <w:bCs/>
          <w:color w:val="auto"/>
          <w:sz w:val="32"/>
          <w:szCs w:val="32"/>
          <w:highlight w:val="none"/>
        </w:rPr>
      </w:pPr>
      <w:bookmarkStart w:id="25" w:name="_Toc4655"/>
      <w:r>
        <w:rPr>
          <w:rFonts w:hint="eastAsia" w:hAnsi="宋体" w:cs="宋体"/>
          <w:b/>
          <w:color w:val="auto"/>
          <w:sz w:val="36"/>
          <w:highlight w:val="none"/>
        </w:rPr>
        <w:t>第二章  投标人须知</w:t>
      </w:r>
      <w:bookmarkEnd w:id="25"/>
    </w:p>
    <w:p>
      <w:pPr>
        <w:keepNext/>
        <w:keepLines/>
        <w:spacing w:line="360" w:lineRule="auto"/>
        <w:jc w:val="center"/>
        <w:outlineLvl w:val="1"/>
        <w:rPr>
          <w:rFonts w:hAnsi="宋体" w:cs="宋体"/>
          <w:b/>
          <w:bCs/>
          <w:color w:val="auto"/>
          <w:sz w:val="32"/>
          <w:szCs w:val="32"/>
          <w:highlight w:val="none"/>
        </w:rPr>
      </w:pPr>
      <w:r>
        <w:rPr>
          <w:rFonts w:hint="eastAsia" w:hAnsi="宋体" w:cs="宋体"/>
          <w:b/>
          <w:bCs/>
          <w:color w:val="auto"/>
          <w:sz w:val="32"/>
          <w:szCs w:val="32"/>
          <w:highlight w:val="none"/>
        </w:rPr>
        <w:t>投标人须知前附表</w:t>
      </w:r>
    </w:p>
    <w:tbl>
      <w:tblPr>
        <w:tblStyle w:val="88"/>
        <w:tblW w:w="97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930"/>
        <w:gridCol w:w="68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blHeader/>
          <w:jc w:val="center"/>
        </w:trPr>
        <w:tc>
          <w:tcPr>
            <w:tcW w:w="921" w:type="dxa"/>
            <w:tcBorders>
              <w:top w:val="single" w:color="auto" w:sz="12" w:space="0"/>
            </w:tcBorders>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条款号</w:t>
            </w:r>
          </w:p>
        </w:tc>
        <w:tc>
          <w:tcPr>
            <w:tcW w:w="1930" w:type="dxa"/>
            <w:tcBorders>
              <w:top w:val="single" w:color="auto" w:sz="12" w:space="0"/>
            </w:tcBorders>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条款名称</w:t>
            </w:r>
          </w:p>
        </w:tc>
        <w:tc>
          <w:tcPr>
            <w:tcW w:w="6883" w:type="dxa"/>
            <w:tcBorders>
              <w:top w:val="single" w:color="auto" w:sz="12" w:space="0"/>
            </w:tcBorders>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color w:val="auto"/>
                <w:szCs w:val="21"/>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1.1.2</w:t>
            </w:r>
          </w:p>
        </w:tc>
        <w:tc>
          <w:tcPr>
            <w:tcW w:w="1930" w:type="dxa"/>
            <w:vAlign w:val="center"/>
          </w:tcPr>
          <w:p>
            <w:pPr>
              <w:autoSpaceDE w:val="0"/>
              <w:autoSpaceDN w:val="0"/>
              <w:adjustRightInd w:val="0"/>
              <w:snapToGrid w:val="0"/>
              <w:spacing w:line="400" w:lineRule="exact"/>
              <w:jc w:val="center"/>
              <w:rPr>
                <w:rFonts w:hAnsi="宋体" w:cs="宋体"/>
                <w:color w:val="auto"/>
                <w:highlight w:val="none"/>
              </w:rPr>
            </w:pPr>
            <w:r>
              <w:rPr>
                <w:rFonts w:hint="eastAsia" w:hAnsi="宋体" w:cs="宋体"/>
                <w:color w:val="auto"/>
                <w:highlight w:val="none"/>
              </w:rPr>
              <w:t>招标组织形式</w:t>
            </w:r>
          </w:p>
        </w:tc>
        <w:tc>
          <w:tcPr>
            <w:tcW w:w="6883" w:type="dxa"/>
            <w:vAlign w:val="center"/>
          </w:tcPr>
          <w:p>
            <w:pPr>
              <w:autoSpaceDE w:val="0"/>
              <w:autoSpaceDN w:val="0"/>
              <w:adjustRightInd w:val="0"/>
              <w:snapToGrid w:val="0"/>
              <w:spacing w:line="400" w:lineRule="exact"/>
              <w:rPr>
                <w:rFonts w:hAnsi="宋体" w:cs="宋体"/>
                <w:color w:val="auto"/>
                <w:highlight w:val="none"/>
              </w:rPr>
            </w:pPr>
            <w:r>
              <w:rPr>
                <w:rFonts w:hint="eastAsia" w:hAnsi="宋体" w:cs="宋体"/>
                <w:color w:val="auto"/>
                <w:highlight w:val="none"/>
              </w:rPr>
              <w:t>本项目采用委托招标方式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1.1.3</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招标人</w:t>
            </w:r>
          </w:p>
        </w:tc>
        <w:tc>
          <w:tcPr>
            <w:tcW w:w="6883" w:type="dxa"/>
            <w:vAlign w:val="center"/>
          </w:tcPr>
          <w:p>
            <w:pPr>
              <w:autoSpaceDE w:val="0"/>
              <w:autoSpaceDN w:val="0"/>
              <w:adjustRightInd w:val="0"/>
              <w:spacing w:line="400" w:lineRule="exact"/>
              <w:jc w:val="left"/>
              <w:rPr>
                <w:color w:val="auto"/>
                <w:highlight w:val="none"/>
              </w:rPr>
            </w:pPr>
            <w:r>
              <w:rPr>
                <w:rFonts w:hint="eastAsia" w:hAnsi="宋体" w:cs="宋体"/>
                <w:color w:val="auto"/>
                <w:szCs w:val="21"/>
                <w:highlight w:val="none"/>
              </w:rPr>
              <w:t>名 称：</w:t>
            </w:r>
            <w:r>
              <w:rPr>
                <w:rFonts w:hint="eastAsia"/>
                <w:color w:val="auto"/>
                <w:highlight w:val="none"/>
              </w:rPr>
              <w:t xml:space="preserve">杭州市环境集团有限公司 </w:t>
            </w:r>
          </w:p>
          <w:p>
            <w:pPr>
              <w:autoSpaceDE w:val="0"/>
              <w:autoSpaceDN w:val="0"/>
              <w:adjustRightInd w:val="0"/>
              <w:spacing w:line="400" w:lineRule="exact"/>
              <w:jc w:val="left"/>
              <w:rPr>
                <w:color w:val="auto"/>
                <w:highlight w:val="none"/>
              </w:rPr>
            </w:pPr>
            <w:r>
              <w:rPr>
                <w:rFonts w:hint="eastAsia"/>
                <w:color w:val="auto"/>
                <w:highlight w:val="none"/>
              </w:rPr>
              <w:t xml:space="preserve">地 址：杭州市拱墅区临半路90号 </w:t>
            </w:r>
          </w:p>
          <w:p>
            <w:pPr>
              <w:autoSpaceDE w:val="0"/>
              <w:autoSpaceDN w:val="0"/>
              <w:adjustRightInd w:val="0"/>
              <w:spacing w:line="400" w:lineRule="exact"/>
              <w:jc w:val="left"/>
              <w:rPr>
                <w:color w:val="auto"/>
                <w:highlight w:val="none"/>
              </w:rPr>
            </w:pPr>
            <w:r>
              <w:rPr>
                <w:rFonts w:hint="eastAsia"/>
                <w:color w:val="auto"/>
                <w:highlight w:val="none"/>
              </w:rPr>
              <w:t>联 系 人：陈工</w:t>
            </w:r>
          </w:p>
          <w:p>
            <w:pPr>
              <w:autoSpaceDE w:val="0"/>
              <w:autoSpaceDN w:val="0"/>
              <w:adjustRightInd w:val="0"/>
              <w:spacing w:line="400" w:lineRule="exact"/>
              <w:jc w:val="left"/>
              <w:rPr>
                <w:color w:val="auto"/>
                <w:highlight w:val="none"/>
              </w:rPr>
            </w:pPr>
            <w:r>
              <w:rPr>
                <w:rFonts w:hint="eastAsia"/>
                <w:color w:val="auto"/>
                <w:highlight w:val="none"/>
              </w:rPr>
              <w:t>电 话：</w:t>
            </w:r>
            <w:r>
              <w:rPr>
                <w:rFonts w:hint="eastAsia" w:hAnsi="宋体" w:cs="宋体"/>
                <w:color w:val="auto"/>
                <w:szCs w:val="21"/>
                <w:highlight w:val="none"/>
              </w:rPr>
              <w:t>0571-88213283</w:t>
            </w:r>
          </w:p>
          <w:p>
            <w:pPr>
              <w:autoSpaceDE w:val="0"/>
              <w:autoSpaceDN w:val="0"/>
              <w:adjustRightInd w:val="0"/>
              <w:spacing w:line="400" w:lineRule="exact"/>
              <w:jc w:val="left"/>
              <w:rPr>
                <w:color w:val="auto"/>
                <w:highlight w:val="none"/>
              </w:rPr>
            </w:pPr>
            <w:r>
              <w:rPr>
                <w:rFonts w:hint="eastAsia"/>
                <w:color w:val="auto"/>
                <w:highlight w:val="none"/>
              </w:rPr>
              <w:t>邮 箱：</w:t>
            </w:r>
            <w:r>
              <w:rPr>
                <w:rFonts w:hint="eastAsia" w:hAnsi="宋体" w:cs="宋体"/>
                <w:color w:val="auto"/>
                <w:szCs w:val="21"/>
                <w:highlight w:val="none"/>
              </w:rPr>
              <w:t>hjcgb2022@163vip.com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1.1.4</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招标代理机构</w:t>
            </w:r>
          </w:p>
        </w:tc>
        <w:tc>
          <w:tcPr>
            <w:tcW w:w="6883" w:type="dxa"/>
            <w:vAlign w:val="center"/>
          </w:tcPr>
          <w:p>
            <w:pPr>
              <w:autoSpaceDE w:val="0"/>
              <w:autoSpaceDN w:val="0"/>
              <w:adjustRightInd w:val="0"/>
              <w:spacing w:line="400" w:lineRule="exact"/>
              <w:jc w:val="left"/>
              <w:rPr>
                <w:rFonts w:hAnsi="宋体" w:cs="宋体"/>
                <w:color w:val="auto"/>
                <w:szCs w:val="21"/>
                <w:highlight w:val="none"/>
              </w:rPr>
            </w:pPr>
            <w:r>
              <w:rPr>
                <w:rFonts w:hint="eastAsia" w:hAnsi="宋体" w:cs="宋体"/>
                <w:color w:val="auto"/>
                <w:szCs w:val="21"/>
                <w:highlight w:val="none"/>
              </w:rPr>
              <w:t>招标代理：浙江省成套招标代理有限公司</w:t>
            </w:r>
          </w:p>
          <w:p>
            <w:pPr>
              <w:autoSpaceDE w:val="0"/>
              <w:autoSpaceDN w:val="0"/>
              <w:adjustRightInd w:val="0"/>
              <w:spacing w:line="400" w:lineRule="exact"/>
              <w:jc w:val="left"/>
              <w:rPr>
                <w:rFonts w:hAnsi="宋体" w:cs="宋体"/>
                <w:color w:val="auto"/>
                <w:szCs w:val="21"/>
                <w:highlight w:val="none"/>
              </w:rPr>
            </w:pPr>
            <w:r>
              <w:rPr>
                <w:rFonts w:hint="eastAsia" w:hAnsi="宋体" w:cs="宋体"/>
                <w:color w:val="auto"/>
                <w:szCs w:val="21"/>
                <w:highlight w:val="none"/>
              </w:rPr>
              <w:t>地址：杭州市文晖路42号现代置业大厦西楼18楼1806室</w:t>
            </w:r>
          </w:p>
          <w:p>
            <w:pPr>
              <w:autoSpaceDE w:val="0"/>
              <w:autoSpaceDN w:val="0"/>
              <w:adjustRightInd w:val="0"/>
              <w:spacing w:line="400" w:lineRule="exact"/>
              <w:jc w:val="left"/>
              <w:rPr>
                <w:rFonts w:hAnsi="宋体" w:cs="宋体"/>
                <w:color w:val="auto"/>
                <w:szCs w:val="21"/>
                <w:highlight w:val="none"/>
              </w:rPr>
            </w:pPr>
            <w:r>
              <w:rPr>
                <w:rFonts w:hint="eastAsia" w:hAnsi="宋体" w:cs="宋体"/>
                <w:color w:val="auto"/>
                <w:szCs w:val="21"/>
                <w:highlight w:val="none"/>
              </w:rPr>
              <w:t xml:space="preserve">联系人：李晓倩、吴乾宝  </w:t>
            </w:r>
          </w:p>
          <w:p>
            <w:pPr>
              <w:autoSpaceDE w:val="0"/>
              <w:autoSpaceDN w:val="0"/>
              <w:adjustRightInd w:val="0"/>
              <w:spacing w:line="400" w:lineRule="exact"/>
              <w:jc w:val="left"/>
              <w:rPr>
                <w:rFonts w:hAnsi="宋体" w:cs="宋体"/>
                <w:color w:val="auto"/>
                <w:szCs w:val="21"/>
                <w:highlight w:val="none"/>
              </w:rPr>
            </w:pPr>
            <w:r>
              <w:rPr>
                <w:rFonts w:hint="eastAsia" w:hAnsi="宋体" w:cs="宋体"/>
                <w:color w:val="auto"/>
                <w:szCs w:val="21"/>
                <w:highlight w:val="none"/>
              </w:rPr>
              <w:t>电话：13656681646</w:t>
            </w:r>
          </w:p>
          <w:p>
            <w:pPr>
              <w:autoSpaceDE w:val="0"/>
              <w:autoSpaceDN w:val="0"/>
              <w:adjustRightInd w:val="0"/>
              <w:spacing w:line="400" w:lineRule="exact"/>
              <w:jc w:val="left"/>
              <w:rPr>
                <w:rFonts w:hAnsi="宋体" w:cs="宋体"/>
                <w:color w:val="auto"/>
                <w:szCs w:val="21"/>
                <w:highlight w:val="none"/>
              </w:rPr>
            </w:pPr>
            <w:r>
              <w:rPr>
                <w:rFonts w:hint="eastAsia" w:hAnsi="宋体" w:cs="宋体"/>
                <w:color w:val="auto"/>
                <w:szCs w:val="21"/>
                <w:highlight w:val="none"/>
              </w:rPr>
              <w:t xml:space="preserve">传真：0571-85830195 </w:t>
            </w:r>
          </w:p>
          <w:p>
            <w:pPr>
              <w:autoSpaceDE w:val="0"/>
              <w:autoSpaceDN w:val="0"/>
              <w:adjustRightInd w:val="0"/>
              <w:spacing w:line="400" w:lineRule="exact"/>
              <w:jc w:val="left"/>
              <w:rPr>
                <w:rFonts w:hAnsi="宋体" w:cs="宋体"/>
                <w:color w:val="auto"/>
                <w:szCs w:val="21"/>
                <w:highlight w:val="none"/>
              </w:rPr>
            </w:pPr>
            <w:r>
              <w:rPr>
                <w:rFonts w:hint="eastAsia" w:hAnsi="宋体" w:cs="宋体"/>
                <w:color w:val="auto"/>
                <w:szCs w:val="21"/>
                <w:highlight w:val="none"/>
              </w:rPr>
              <w:t>邮箱：</w:t>
            </w:r>
            <w:r>
              <w:rPr>
                <w:color w:val="auto"/>
                <w:highlight w:val="none"/>
              </w:rPr>
              <w:fldChar w:fldCharType="begin"/>
            </w:r>
            <w:r>
              <w:rPr>
                <w:color w:val="auto"/>
                <w:highlight w:val="none"/>
              </w:rPr>
              <w:instrText xml:space="preserve"> HYPERLINK "mailto:lixq@zjsct.cn" </w:instrText>
            </w:r>
            <w:r>
              <w:rPr>
                <w:color w:val="auto"/>
                <w:highlight w:val="none"/>
              </w:rPr>
              <w:fldChar w:fldCharType="separate"/>
            </w:r>
            <w:r>
              <w:rPr>
                <w:rFonts w:hint="eastAsia" w:hAnsi="宋体" w:cs="宋体"/>
                <w:color w:val="auto"/>
                <w:szCs w:val="21"/>
                <w:highlight w:val="none"/>
              </w:rPr>
              <w:t>wuqb@zjsct.cn</w:t>
            </w:r>
            <w:r>
              <w:rPr>
                <w:rFonts w:hint="eastAsia" w:hAnsi="宋体" w:cs="宋体"/>
                <w:color w:val="auto"/>
                <w:szCs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1.1.5</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项目概况</w:t>
            </w:r>
          </w:p>
        </w:tc>
        <w:tc>
          <w:tcPr>
            <w:tcW w:w="6883" w:type="dxa"/>
            <w:vAlign w:val="center"/>
          </w:tcPr>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招标编号：</w:t>
            </w:r>
            <w:r>
              <w:rPr>
                <w:rFonts w:hint="eastAsia"/>
                <w:color w:val="auto"/>
                <w:sz w:val="21"/>
                <w:szCs w:val="21"/>
                <w:highlight w:val="none"/>
                <w:lang w:eastAsia="zh-CN"/>
              </w:rPr>
              <w:t>JHJGZ202403021</w:t>
            </w:r>
          </w:p>
          <w:p>
            <w:pPr>
              <w:pStyle w:val="375"/>
              <w:snapToGrid w:val="0"/>
              <w:spacing w:line="400" w:lineRule="exact"/>
              <w:ind w:right="42" w:rightChars="20"/>
              <w:jc w:val="both"/>
              <w:rPr>
                <w:rFonts w:hint="default"/>
                <w:snapToGrid w:val="0"/>
                <w:color w:val="auto"/>
                <w:sz w:val="21"/>
                <w:szCs w:val="21"/>
                <w:highlight w:val="none"/>
                <w:lang w:val="en-US" w:eastAsia="zh-CN"/>
              </w:rPr>
            </w:pPr>
            <w:r>
              <w:rPr>
                <w:rFonts w:hint="eastAsia"/>
                <w:snapToGrid w:val="0"/>
                <w:color w:val="auto"/>
                <w:sz w:val="21"/>
                <w:szCs w:val="21"/>
                <w:highlight w:val="none"/>
                <w:lang w:eastAsia="zh-CN"/>
              </w:rPr>
              <w:t>项目名称：</w:t>
            </w:r>
            <w:r>
              <w:rPr>
                <w:rFonts w:hint="eastAsia"/>
                <w:color w:val="auto"/>
                <w:sz w:val="21"/>
                <w:szCs w:val="21"/>
                <w:highlight w:val="none"/>
                <w:lang w:eastAsia="zh-CN"/>
              </w:rPr>
              <w:t>炉渣综合处置服务采购项目（</w:t>
            </w:r>
            <w:r>
              <w:rPr>
                <w:rFonts w:hint="eastAsia"/>
                <w:color w:val="auto"/>
                <w:sz w:val="21"/>
                <w:szCs w:val="21"/>
                <w:highlight w:val="none"/>
                <w:lang w:val="en-US" w:eastAsia="zh-CN"/>
              </w:rPr>
              <w:t>重新招标）</w:t>
            </w:r>
          </w:p>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项目地点：招标人指定地点</w:t>
            </w:r>
          </w:p>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项目预算：</w:t>
            </w:r>
            <w:r>
              <w:rPr>
                <w:rFonts w:hint="eastAsia"/>
                <w:color w:val="auto"/>
                <w:sz w:val="21"/>
                <w:szCs w:val="21"/>
                <w:highlight w:val="none"/>
                <w:lang w:val="en-US" w:eastAsia="zh-CN"/>
              </w:rPr>
              <w:t>12180</w:t>
            </w:r>
            <w:r>
              <w:rPr>
                <w:rFonts w:hint="eastAsia"/>
                <w:color w:val="auto"/>
                <w:sz w:val="21"/>
                <w:szCs w:val="21"/>
                <w:highlight w:val="none"/>
                <w:lang w:eastAsia="zh-CN"/>
              </w:rPr>
              <w:t>万元（含</w:t>
            </w:r>
            <w:r>
              <w:rPr>
                <w:rFonts w:hint="eastAsia"/>
                <w:bCs/>
                <w:color w:val="auto"/>
                <w:sz w:val="21"/>
                <w:szCs w:val="21"/>
                <w:highlight w:val="none"/>
                <w:lang w:eastAsia="zh-CN"/>
              </w:rPr>
              <w:t>税）</w:t>
            </w:r>
          </w:p>
          <w:p>
            <w:pPr>
              <w:spacing w:line="400" w:lineRule="exact"/>
              <w:rPr>
                <w:rFonts w:hAnsi="宋体" w:cs="宋体"/>
                <w:color w:val="auto"/>
                <w:szCs w:val="21"/>
                <w:highlight w:val="none"/>
              </w:rPr>
            </w:pPr>
            <w:r>
              <w:rPr>
                <w:rFonts w:hint="eastAsia"/>
                <w:snapToGrid w:val="0"/>
                <w:color w:val="auto"/>
                <w:szCs w:val="21"/>
                <w:highlight w:val="none"/>
              </w:rPr>
              <w:t>招标方式：公开招标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1.2.1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资金来源</w:t>
            </w:r>
          </w:p>
        </w:tc>
        <w:tc>
          <w:tcPr>
            <w:tcW w:w="6883" w:type="dxa"/>
            <w:vAlign w:val="center"/>
          </w:tcPr>
          <w:p>
            <w:pPr>
              <w:autoSpaceDE w:val="0"/>
              <w:autoSpaceDN w:val="0"/>
              <w:adjustRightInd w:val="0"/>
              <w:snapToGrid w:val="0"/>
              <w:spacing w:line="400" w:lineRule="exact"/>
              <w:jc w:val="left"/>
              <w:rPr>
                <w:rFonts w:hint="eastAsia" w:hAnsi="宋体" w:eastAsia="宋体" w:cs="宋体"/>
                <w:snapToGrid w:val="0"/>
                <w:color w:val="auto"/>
                <w:szCs w:val="21"/>
                <w:highlight w:val="none"/>
                <w:lang w:val="en-US" w:eastAsia="zh-CN"/>
              </w:rPr>
            </w:pPr>
            <w:r>
              <w:rPr>
                <w:rFonts w:hint="eastAsia" w:hAnsi="宋体" w:cs="宋体"/>
                <w:snapToGrid w:val="0"/>
                <w:color w:val="auto"/>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1.3.1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招标范围及内容</w:t>
            </w:r>
          </w:p>
        </w:tc>
        <w:tc>
          <w:tcPr>
            <w:tcW w:w="6883" w:type="dxa"/>
            <w:vAlign w:val="center"/>
          </w:tcPr>
          <w:p>
            <w:pPr>
              <w:spacing w:line="360" w:lineRule="auto"/>
              <w:rPr>
                <w:color w:val="auto"/>
                <w:highlight w:val="none"/>
              </w:rPr>
            </w:pPr>
            <w:r>
              <w:rPr>
                <w:rFonts w:hint="eastAsia" w:hAnsi="宋体" w:cs="宋体"/>
                <w:color w:val="auto"/>
                <w:szCs w:val="21"/>
                <w:highlight w:val="none"/>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21" w:type="dxa"/>
            <w:vAlign w:val="center"/>
          </w:tcPr>
          <w:p>
            <w:pPr>
              <w:pStyle w:val="375"/>
              <w:adjustRightInd w:val="0"/>
              <w:snapToGrid w:val="0"/>
              <w:spacing w:line="400" w:lineRule="exact"/>
              <w:jc w:val="center"/>
              <w:rPr>
                <w:snapToGrid w:val="0"/>
                <w:color w:val="auto"/>
                <w:sz w:val="21"/>
                <w:szCs w:val="21"/>
                <w:highlight w:val="none"/>
                <w:lang w:eastAsia="zh-CN"/>
              </w:rPr>
            </w:pPr>
            <w:r>
              <w:rPr>
                <w:rFonts w:hint="eastAsia"/>
                <w:snapToGrid w:val="0"/>
                <w:color w:val="auto"/>
                <w:sz w:val="21"/>
                <w:szCs w:val="21"/>
                <w:highlight w:val="none"/>
              </w:rPr>
              <w:t>1.4.1</w:t>
            </w:r>
          </w:p>
          <w:p>
            <w:pPr>
              <w:pStyle w:val="375"/>
              <w:adjustRightInd w:val="0"/>
              <w:snapToGrid w:val="0"/>
              <w:spacing w:line="400" w:lineRule="exact"/>
              <w:jc w:val="center"/>
              <w:rPr>
                <w:snapToGrid w:val="0"/>
                <w:color w:val="auto"/>
                <w:szCs w:val="21"/>
                <w:highlight w:val="none"/>
              </w:rPr>
            </w:pPr>
            <w:r>
              <w:rPr>
                <w:rFonts w:hint="eastAsia"/>
                <w:snapToGrid w:val="0"/>
                <w:color w:val="auto"/>
                <w:sz w:val="21"/>
                <w:szCs w:val="21"/>
                <w:highlight w:val="none"/>
                <w:lang w:eastAsia="zh-CN"/>
              </w:rPr>
              <w:t>1.4.2</w:t>
            </w:r>
          </w:p>
        </w:tc>
        <w:tc>
          <w:tcPr>
            <w:tcW w:w="1930" w:type="dxa"/>
            <w:vAlign w:val="center"/>
          </w:tcPr>
          <w:p>
            <w:pPr>
              <w:pStyle w:val="375"/>
              <w:adjustRightInd w:val="0"/>
              <w:snapToGrid w:val="0"/>
              <w:spacing w:line="400" w:lineRule="exact"/>
              <w:jc w:val="center"/>
              <w:rPr>
                <w:snapToGrid w:val="0"/>
                <w:color w:val="auto"/>
                <w:szCs w:val="21"/>
                <w:highlight w:val="none"/>
                <w:lang w:eastAsia="zh-CN"/>
              </w:rPr>
            </w:pPr>
            <w:r>
              <w:rPr>
                <w:rFonts w:hint="eastAsia"/>
                <w:snapToGrid w:val="0"/>
                <w:color w:val="auto"/>
                <w:sz w:val="21"/>
                <w:szCs w:val="21"/>
                <w:highlight w:val="none"/>
                <w:lang w:eastAsia="zh-CN"/>
              </w:rPr>
              <w:t>投标人资格审查方式、资格条件</w:t>
            </w:r>
          </w:p>
        </w:tc>
        <w:tc>
          <w:tcPr>
            <w:tcW w:w="6883" w:type="dxa"/>
            <w:vAlign w:val="center"/>
          </w:tcPr>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 xml:space="preserve">投标人资格审查方式：  </w:t>
            </w:r>
            <w:r>
              <w:rPr>
                <w:rFonts w:hint="eastAsia"/>
                <w:snapToGrid w:val="0"/>
                <w:color w:val="auto"/>
                <w:sz w:val="21"/>
                <w:szCs w:val="21"/>
                <w:highlight w:val="none"/>
                <w:lang w:eastAsia="zh-CN"/>
              </w:rPr>
              <w:sym w:font="Wingdings 2" w:char="0052"/>
            </w:r>
            <w:r>
              <w:rPr>
                <w:rFonts w:hint="eastAsia"/>
                <w:snapToGrid w:val="0"/>
                <w:color w:val="auto"/>
                <w:sz w:val="21"/>
                <w:szCs w:val="21"/>
                <w:highlight w:val="none"/>
                <w:lang w:eastAsia="zh-CN"/>
              </w:rPr>
              <w:t>资格后审</w:t>
            </w:r>
          </w:p>
          <w:p>
            <w:pPr>
              <w:pStyle w:val="375"/>
              <w:snapToGrid w:val="0"/>
              <w:spacing w:line="400" w:lineRule="exact"/>
              <w:ind w:right="42" w:rightChars="20"/>
              <w:jc w:val="both"/>
              <w:rPr>
                <w:color w:val="auto"/>
                <w:szCs w:val="21"/>
                <w:highlight w:val="none"/>
                <w:lang w:eastAsia="zh-CN"/>
              </w:rPr>
            </w:pPr>
            <w:r>
              <w:rPr>
                <w:rFonts w:hint="eastAsia"/>
                <w:snapToGrid w:val="0"/>
                <w:color w:val="auto"/>
                <w:sz w:val="21"/>
                <w:szCs w:val="21"/>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21" w:type="dxa"/>
            <w:vAlign w:val="center"/>
          </w:tcPr>
          <w:p>
            <w:pPr>
              <w:pStyle w:val="375"/>
              <w:adjustRightInd w:val="0"/>
              <w:snapToGrid w:val="0"/>
              <w:spacing w:line="400" w:lineRule="exact"/>
              <w:jc w:val="center"/>
              <w:rPr>
                <w:snapToGrid w:val="0"/>
                <w:color w:val="auto"/>
                <w:sz w:val="21"/>
                <w:szCs w:val="21"/>
                <w:highlight w:val="none"/>
                <w:lang w:eastAsia="zh-CN"/>
              </w:rPr>
            </w:pPr>
            <w:r>
              <w:rPr>
                <w:rFonts w:hint="eastAsia"/>
                <w:snapToGrid w:val="0"/>
                <w:color w:val="auto"/>
                <w:sz w:val="21"/>
                <w:szCs w:val="21"/>
                <w:highlight w:val="none"/>
              </w:rPr>
              <w:t>1.</w:t>
            </w:r>
            <w:r>
              <w:rPr>
                <w:rFonts w:hint="eastAsia"/>
                <w:snapToGrid w:val="0"/>
                <w:color w:val="auto"/>
                <w:sz w:val="21"/>
                <w:szCs w:val="21"/>
                <w:highlight w:val="none"/>
                <w:lang w:eastAsia="zh-CN"/>
              </w:rPr>
              <w:t>5</w:t>
            </w:r>
            <w:r>
              <w:rPr>
                <w:rFonts w:hint="eastAsia"/>
                <w:snapToGrid w:val="0"/>
                <w:color w:val="auto"/>
                <w:sz w:val="21"/>
                <w:szCs w:val="21"/>
                <w:highlight w:val="none"/>
              </w:rPr>
              <w:t>.</w:t>
            </w:r>
            <w:r>
              <w:rPr>
                <w:rFonts w:hint="eastAsia"/>
                <w:snapToGrid w:val="0"/>
                <w:color w:val="auto"/>
                <w:sz w:val="21"/>
                <w:szCs w:val="21"/>
                <w:highlight w:val="none"/>
                <w:lang w:eastAsia="zh-CN"/>
              </w:rPr>
              <w:t>1</w:t>
            </w:r>
          </w:p>
        </w:tc>
        <w:tc>
          <w:tcPr>
            <w:tcW w:w="1930" w:type="dxa"/>
            <w:vAlign w:val="center"/>
          </w:tcPr>
          <w:p>
            <w:pPr>
              <w:pStyle w:val="375"/>
              <w:adjustRightInd w:val="0"/>
              <w:snapToGrid w:val="0"/>
              <w:spacing w:line="400" w:lineRule="exact"/>
              <w:jc w:val="center"/>
              <w:rPr>
                <w:snapToGrid w:val="0"/>
                <w:color w:val="auto"/>
                <w:sz w:val="21"/>
                <w:szCs w:val="21"/>
                <w:highlight w:val="none"/>
                <w:lang w:eastAsia="zh-CN"/>
              </w:rPr>
            </w:pPr>
            <w:r>
              <w:rPr>
                <w:rFonts w:hint="eastAsia"/>
                <w:snapToGrid w:val="0"/>
                <w:color w:val="auto"/>
                <w:sz w:val="21"/>
                <w:szCs w:val="21"/>
                <w:highlight w:val="none"/>
              </w:rPr>
              <w:t>联合体投标</w:t>
            </w:r>
            <w:r>
              <w:rPr>
                <w:rFonts w:hint="eastAsia"/>
                <w:snapToGrid w:val="0"/>
                <w:color w:val="auto"/>
                <w:sz w:val="21"/>
                <w:szCs w:val="21"/>
                <w:highlight w:val="none"/>
                <w:lang w:eastAsia="zh-CN"/>
              </w:rPr>
              <w:t>要求</w:t>
            </w:r>
          </w:p>
        </w:tc>
        <w:tc>
          <w:tcPr>
            <w:tcW w:w="6883" w:type="dxa"/>
            <w:vAlign w:val="center"/>
          </w:tcPr>
          <w:p>
            <w:pPr>
              <w:pStyle w:val="375"/>
              <w:snapToGrid w:val="0"/>
              <w:spacing w:line="400" w:lineRule="exact"/>
              <w:ind w:right="42" w:rightChars="20"/>
              <w:jc w:val="both"/>
              <w:rPr>
                <w:rFonts w:cs="宋体"/>
                <w:snapToGrid w:val="0"/>
                <w:color w:val="auto"/>
                <w:sz w:val="21"/>
                <w:szCs w:val="21"/>
                <w:highlight w:val="none"/>
              </w:rPr>
            </w:pPr>
            <w:r>
              <w:rPr>
                <w:rFonts w:hint="eastAsia"/>
                <w:snapToGrid w:val="0"/>
                <w:color w:val="auto"/>
                <w:sz w:val="21"/>
                <w:szCs w:val="21"/>
                <w:highlight w:val="none"/>
                <w:lang w:eastAsia="zh-CN"/>
              </w:rPr>
              <w:sym w:font="Wingdings 2" w:char="0052"/>
            </w:r>
            <w:r>
              <w:rPr>
                <w:rFonts w:hint="eastAsia"/>
                <w:snapToGrid w:val="0"/>
                <w:color w:val="auto"/>
                <w:sz w:val="21"/>
                <w:szCs w:val="21"/>
                <w:highlight w:val="none"/>
                <w:lang w:eastAsia="zh-CN"/>
              </w:rPr>
              <w:t>不接受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21" w:type="dxa"/>
            <w:vAlign w:val="center"/>
          </w:tcPr>
          <w:p>
            <w:pPr>
              <w:pStyle w:val="375"/>
              <w:adjustRightInd w:val="0"/>
              <w:snapToGrid w:val="0"/>
              <w:spacing w:line="400" w:lineRule="exact"/>
              <w:jc w:val="center"/>
              <w:rPr>
                <w:snapToGrid w:val="0"/>
                <w:color w:val="auto"/>
                <w:sz w:val="21"/>
                <w:szCs w:val="21"/>
                <w:highlight w:val="none"/>
                <w:lang w:eastAsia="zh-CN"/>
              </w:rPr>
            </w:pPr>
            <w:r>
              <w:rPr>
                <w:rFonts w:hint="eastAsia"/>
                <w:snapToGrid w:val="0"/>
                <w:color w:val="auto"/>
                <w:sz w:val="21"/>
                <w:szCs w:val="21"/>
                <w:highlight w:val="none"/>
                <w:lang w:eastAsia="zh-CN"/>
              </w:rPr>
              <w:t>1.6.1</w:t>
            </w:r>
          </w:p>
        </w:tc>
        <w:tc>
          <w:tcPr>
            <w:tcW w:w="1930" w:type="dxa"/>
            <w:vAlign w:val="center"/>
          </w:tcPr>
          <w:p>
            <w:pPr>
              <w:pStyle w:val="375"/>
              <w:adjustRightInd w:val="0"/>
              <w:snapToGrid w:val="0"/>
              <w:spacing w:line="400" w:lineRule="exact"/>
              <w:jc w:val="center"/>
              <w:rPr>
                <w:snapToGrid w:val="0"/>
                <w:color w:val="auto"/>
                <w:sz w:val="21"/>
                <w:szCs w:val="21"/>
                <w:highlight w:val="none"/>
                <w:lang w:eastAsia="zh-CN"/>
              </w:rPr>
            </w:pPr>
            <w:r>
              <w:rPr>
                <w:rFonts w:hint="eastAsia"/>
                <w:snapToGrid w:val="0"/>
                <w:color w:val="auto"/>
                <w:sz w:val="21"/>
                <w:szCs w:val="21"/>
                <w:highlight w:val="none"/>
                <w:lang w:eastAsia="zh-CN"/>
              </w:rPr>
              <w:t>关联性投标要求</w:t>
            </w:r>
          </w:p>
        </w:tc>
        <w:tc>
          <w:tcPr>
            <w:tcW w:w="6883" w:type="dxa"/>
            <w:vAlign w:val="center"/>
          </w:tcPr>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1.7.1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分包、转包</w:t>
            </w:r>
          </w:p>
        </w:tc>
        <w:tc>
          <w:tcPr>
            <w:tcW w:w="6883" w:type="dxa"/>
            <w:vAlign w:val="center"/>
          </w:tcPr>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（1）分包：</w:t>
            </w:r>
            <w:r>
              <w:rPr>
                <w:rFonts w:hint="eastAsia"/>
                <w:snapToGrid w:val="0"/>
                <w:color w:val="auto"/>
                <w:sz w:val="21"/>
                <w:szCs w:val="21"/>
                <w:highlight w:val="none"/>
                <w:lang w:eastAsia="zh-CN"/>
              </w:rPr>
              <w:sym w:font="Wingdings 2" w:char="0052"/>
            </w:r>
            <w:r>
              <w:rPr>
                <w:rFonts w:hint="eastAsia"/>
                <w:snapToGrid w:val="0"/>
                <w:color w:val="auto"/>
                <w:sz w:val="21"/>
                <w:szCs w:val="21"/>
                <w:highlight w:val="none"/>
                <w:lang w:eastAsia="zh-CN"/>
              </w:rPr>
              <w:t>不允许</w:t>
            </w:r>
          </w:p>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（2）本项目不得转包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1.8</w:t>
            </w:r>
          </w:p>
        </w:tc>
        <w:tc>
          <w:tcPr>
            <w:tcW w:w="1930" w:type="dxa"/>
            <w:vAlign w:val="center"/>
          </w:tcPr>
          <w:p>
            <w:pPr>
              <w:pStyle w:val="375"/>
              <w:adjustRightInd w:val="0"/>
              <w:snapToGrid w:val="0"/>
              <w:spacing w:line="400" w:lineRule="exact"/>
              <w:jc w:val="center"/>
              <w:rPr>
                <w:snapToGrid w:val="0"/>
                <w:color w:val="auto"/>
                <w:sz w:val="21"/>
                <w:szCs w:val="21"/>
                <w:highlight w:val="none"/>
              </w:rPr>
            </w:pPr>
            <w:r>
              <w:rPr>
                <w:rFonts w:hint="eastAsia"/>
                <w:snapToGrid w:val="0"/>
                <w:color w:val="auto"/>
                <w:sz w:val="21"/>
                <w:szCs w:val="21"/>
                <w:highlight w:val="none"/>
                <w:lang w:eastAsia="zh-CN"/>
              </w:rPr>
              <w:t>响应和</w:t>
            </w:r>
            <w:r>
              <w:rPr>
                <w:rFonts w:hint="eastAsia"/>
                <w:snapToGrid w:val="0"/>
                <w:color w:val="auto"/>
                <w:sz w:val="21"/>
                <w:szCs w:val="21"/>
                <w:highlight w:val="none"/>
              </w:rPr>
              <w:t>偏差</w:t>
            </w:r>
          </w:p>
        </w:tc>
        <w:tc>
          <w:tcPr>
            <w:tcW w:w="6883" w:type="dxa"/>
            <w:vAlign w:val="center"/>
          </w:tcPr>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21" w:type="dxa"/>
            <w:vAlign w:val="center"/>
          </w:tcPr>
          <w:p>
            <w:pPr>
              <w:pStyle w:val="375"/>
              <w:adjustRightInd w:val="0"/>
              <w:snapToGrid w:val="0"/>
              <w:spacing w:line="400" w:lineRule="exact"/>
              <w:jc w:val="center"/>
              <w:rPr>
                <w:snapToGrid w:val="0"/>
                <w:color w:val="auto"/>
                <w:sz w:val="21"/>
                <w:szCs w:val="21"/>
                <w:highlight w:val="none"/>
                <w:lang w:eastAsia="zh-CN"/>
              </w:rPr>
            </w:pPr>
            <w:r>
              <w:rPr>
                <w:rFonts w:hint="eastAsia"/>
                <w:snapToGrid w:val="0"/>
                <w:color w:val="auto"/>
                <w:sz w:val="21"/>
                <w:szCs w:val="21"/>
                <w:highlight w:val="none"/>
                <w:lang w:eastAsia="zh-CN"/>
              </w:rPr>
              <w:t>2</w:t>
            </w:r>
            <w:r>
              <w:rPr>
                <w:rFonts w:hint="eastAsia"/>
                <w:snapToGrid w:val="0"/>
                <w:color w:val="auto"/>
                <w:sz w:val="21"/>
                <w:szCs w:val="21"/>
                <w:highlight w:val="none"/>
              </w:rPr>
              <w:t>.</w:t>
            </w:r>
            <w:r>
              <w:rPr>
                <w:rFonts w:hint="eastAsia"/>
                <w:snapToGrid w:val="0"/>
                <w:color w:val="auto"/>
                <w:sz w:val="21"/>
                <w:szCs w:val="21"/>
                <w:highlight w:val="none"/>
                <w:lang w:eastAsia="zh-CN"/>
              </w:rPr>
              <w:t>2</w:t>
            </w:r>
            <w:r>
              <w:rPr>
                <w:rFonts w:hint="eastAsia"/>
                <w:snapToGrid w:val="0"/>
                <w:color w:val="auto"/>
                <w:sz w:val="21"/>
                <w:szCs w:val="21"/>
                <w:highlight w:val="none"/>
              </w:rPr>
              <w:t>.</w:t>
            </w:r>
            <w:r>
              <w:rPr>
                <w:rFonts w:hint="eastAsia"/>
                <w:snapToGrid w:val="0"/>
                <w:color w:val="auto"/>
                <w:sz w:val="21"/>
                <w:szCs w:val="21"/>
                <w:highlight w:val="none"/>
                <w:lang w:eastAsia="zh-CN"/>
              </w:rPr>
              <w:t>1</w:t>
            </w:r>
          </w:p>
        </w:tc>
        <w:tc>
          <w:tcPr>
            <w:tcW w:w="1930" w:type="dxa"/>
            <w:vAlign w:val="center"/>
          </w:tcPr>
          <w:p>
            <w:pPr>
              <w:pStyle w:val="375"/>
              <w:snapToGrid w:val="0"/>
              <w:spacing w:line="400" w:lineRule="exact"/>
              <w:ind w:right="42" w:rightChars="20"/>
              <w:jc w:val="center"/>
              <w:rPr>
                <w:snapToGrid w:val="0"/>
                <w:color w:val="auto"/>
                <w:sz w:val="21"/>
                <w:szCs w:val="21"/>
                <w:highlight w:val="none"/>
                <w:lang w:eastAsia="zh-CN"/>
              </w:rPr>
            </w:pPr>
            <w:r>
              <w:rPr>
                <w:rFonts w:hint="eastAsia"/>
                <w:snapToGrid w:val="0"/>
                <w:color w:val="auto"/>
                <w:sz w:val="21"/>
                <w:szCs w:val="21"/>
                <w:highlight w:val="none"/>
                <w:lang w:eastAsia="zh-CN"/>
              </w:rPr>
              <w:t>招标文件的获取</w:t>
            </w:r>
          </w:p>
        </w:tc>
        <w:tc>
          <w:tcPr>
            <w:tcW w:w="6883" w:type="dxa"/>
            <w:vAlign w:val="center"/>
          </w:tcPr>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2.3.1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投标人提出问题的截止时间、方式</w:t>
            </w:r>
          </w:p>
        </w:tc>
        <w:tc>
          <w:tcPr>
            <w:tcW w:w="6883" w:type="dxa"/>
            <w:vAlign w:val="center"/>
          </w:tcPr>
          <w:p>
            <w:pPr>
              <w:autoSpaceDE w:val="0"/>
              <w:autoSpaceDN w:val="0"/>
              <w:adjustRightInd w:val="0"/>
              <w:snapToGrid w:val="0"/>
              <w:spacing w:line="400" w:lineRule="exact"/>
              <w:jc w:val="left"/>
              <w:rPr>
                <w:rFonts w:hAnsi="宋体" w:cs="宋体"/>
                <w:b/>
                <w:bCs/>
                <w:color w:val="auto"/>
                <w:szCs w:val="21"/>
                <w:highlight w:val="none"/>
                <w:u w:val="single"/>
              </w:rPr>
            </w:pPr>
            <w:r>
              <w:rPr>
                <w:rFonts w:hint="eastAsia" w:hAnsi="宋体" w:cs="宋体"/>
                <w:color w:val="auto"/>
                <w:szCs w:val="21"/>
                <w:highlight w:val="none"/>
              </w:rPr>
              <w:t>提出问题截止时间：</w:t>
            </w:r>
            <w:r>
              <w:rPr>
                <w:rFonts w:hint="eastAsia" w:hAnsi="宋体" w:cs="宋体"/>
                <w:b/>
                <w:bCs/>
                <w:color w:val="auto"/>
                <w:szCs w:val="21"/>
                <w:highlight w:val="none"/>
                <w:u w:val="single"/>
              </w:rPr>
              <w:t>2024年</w:t>
            </w:r>
            <w:r>
              <w:rPr>
                <w:rFonts w:hint="eastAsia" w:hAnsi="宋体" w:cs="宋体"/>
                <w:b/>
                <w:bCs/>
                <w:color w:val="auto"/>
                <w:szCs w:val="21"/>
                <w:highlight w:val="none"/>
                <w:u w:val="single"/>
                <w:lang w:val="en-US" w:eastAsia="zh-CN"/>
              </w:rPr>
              <w:t>5</w:t>
            </w:r>
            <w:r>
              <w:rPr>
                <w:rFonts w:hint="eastAsia" w:hAnsi="宋体" w:cs="宋体"/>
                <w:b/>
                <w:bCs/>
                <w:color w:val="auto"/>
                <w:szCs w:val="21"/>
                <w:highlight w:val="none"/>
                <w:u w:val="single"/>
              </w:rPr>
              <w:t>月</w:t>
            </w:r>
            <w:r>
              <w:rPr>
                <w:rFonts w:hint="eastAsia" w:hAnsi="宋体" w:cs="宋体"/>
                <w:b/>
                <w:bCs/>
                <w:color w:val="auto"/>
                <w:szCs w:val="21"/>
                <w:highlight w:val="none"/>
                <w:u w:val="single"/>
                <w:lang w:val="en-US" w:eastAsia="zh-CN"/>
              </w:rPr>
              <w:t>10</w:t>
            </w:r>
            <w:r>
              <w:rPr>
                <w:rFonts w:hint="eastAsia" w:hAnsi="宋体" w:cs="宋体"/>
                <w:b/>
                <w:bCs/>
                <w:color w:val="auto"/>
                <w:szCs w:val="21"/>
                <w:highlight w:val="none"/>
                <w:u w:val="single"/>
              </w:rPr>
              <w:t>日1</w:t>
            </w:r>
            <w:r>
              <w:rPr>
                <w:rFonts w:hint="eastAsia" w:hAnsi="宋体" w:cs="宋体"/>
                <w:b/>
                <w:bCs/>
                <w:color w:val="auto"/>
                <w:szCs w:val="21"/>
                <w:highlight w:val="none"/>
                <w:u w:val="single"/>
                <w:lang w:val="en-US" w:eastAsia="zh-CN"/>
              </w:rPr>
              <w:t>7</w:t>
            </w:r>
            <w:r>
              <w:rPr>
                <w:rFonts w:hint="eastAsia" w:hAnsi="宋体" w:cs="宋体"/>
                <w:b/>
                <w:bCs/>
                <w:color w:val="auto"/>
                <w:szCs w:val="21"/>
                <w:highlight w:val="none"/>
                <w:u w:val="single"/>
              </w:rPr>
              <w:t>:00</w:t>
            </w:r>
          </w:p>
          <w:p>
            <w:pPr>
              <w:autoSpaceDE w:val="0"/>
              <w:autoSpaceDN w:val="0"/>
              <w:adjustRightInd w:val="0"/>
              <w:snapToGrid w:val="0"/>
              <w:spacing w:line="400" w:lineRule="exact"/>
              <w:jc w:val="left"/>
              <w:rPr>
                <w:rFonts w:hAnsi="宋体" w:cs="宋体"/>
                <w:snapToGrid w:val="0"/>
                <w:color w:val="auto"/>
                <w:szCs w:val="21"/>
                <w:highlight w:val="none"/>
              </w:rPr>
            </w:pPr>
            <w:r>
              <w:rPr>
                <w:rFonts w:hint="eastAsia" w:hAnsi="宋体" w:cs="宋体"/>
                <w:color w:val="auto"/>
                <w:szCs w:val="21"/>
                <w:highlight w:val="none"/>
              </w:rPr>
              <w:t>提出问题</w:t>
            </w:r>
            <w:r>
              <w:rPr>
                <w:rFonts w:hint="eastAsia" w:hAnsi="宋体" w:cs="宋体"/>
                <w:snapToGrid w:val="0"/>
                <w:color w:val="auto"/>
                <w:szCs w:val="21"/>
                <w:highlight w:val="none"/>
              </w:rPr>
              <w:t>方式：投标人请在上述时间前将所有问题一次性以E-mail形式发送word版和加盖公章的PDF扫描件或图片格式到指定邮箱：</w:t>
            </w:r>
            <w:r>
              <w:rPr>
                <w:rFonts w:hint="eastAsia" w:hAnsi="宋体" w:cs="宋体"/>
                <w:color w:val="auto"/>
                <w:szCs w:val="21"/>
                <w:highlight w:val="none"/>
                <w:u w:val="single"/>
              </w:rPr>
              <w:t>wuqb@zjsct.cn</w:t>
            </w:r>
            <w:r>
              <w:rPr>
                <w:rFonts w:hint="eastAsia" w:hAnsi="宋体" w:cs="宋体"/>
                <w:snapToGrid w:val="0"/>
                <w:color w:val="auto"/>
                <w:szCs w:val="21"/>
                <w:highlight w:val="none"/>
              </w:rPr>
              <w:t>且word版本不低于word2007版本</w:t>
            </w:r>
          </w:p>
          <w:p>
            <w:pPr>
              <w:autoSpaceDE w:val="0"/>
              <w:autoSpaceDN w:val="0"/>
              <w:adjustRightInd w:val="0"/>
              <w:spacing w:line="400" w:lineRule="exact"/>
              <w:jc w:val="left"/>
              <w:rPr>
                <w:rFonts w:hAnsi="宋体" w:cs="宋体"/>
                <w:snapToGrid w:val="0"/>
                <w:color w:val="auto"/>
                <w:szCs w:val="21"/>
                <w:highlight w:val="none"/>
              </w:rPr>
            </w:pPr>
            <w:r>
              <w:rPr>
                <w:rFonts w:hint="eastAsia" w:hAnsi="宋体" w:cs="宋体"/>
                <w:b/>
                <w:color w:val="auto"/>
                <w:szCs w:val="21"/>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2.3.2</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招标文件澄清、修改发出的形式</w:t>
            </w:r>
          </w:p>
        </w:tc>
        <w:tc>
          <w:tcPr>
            <w:tcW w:w="6883" w:type="dxa"/>
            <w:vAlign w:val="center"/>
          </w:tcPr>
          <w:p>
            <w:pPr>
              <w:pStyle w:val="33"/>
              <w:adjustRightInd w:val="0"/>
              <w:snapToGrid w:val="0"/>
              <w:spacing w:after="0" w:line="400" w:lineRule="exact"/>
              <w:jc w:val="left"/>
              <w:rPr>
                <w:rFonts w:hAnsi="宋体" w:cs="宋体"/>
                <w:b/>
                <w:bCs/>
                <w:color w:val="auto"/>
                <w:szCs w:val="21"/>
                <w:highlight w:val="none"/>
                <w:u w:val="single"/>
              </w:rPr>
            </w:pPr>
            <w:r>
              <w:rPr>
                <w:rFonts w:hint="eastAsia" w:hAnsi="宋体" w:cs="宋体"/>
                <w:color w:val="auto"/>
                <w:szCs w:val="21"/>
                <w:highlight w:val="none"/>
              </w:rPr>
              <w:t>澄清问题截止时间：</w:t>
            </w:r>
            <w:r>
              <w:rPr>
                <w:rFonts w:hint="eastAsia" w:hAnsi="宋体" w:cs="宋体"/>
                <w:b/>
                <w:bCs/>
                <w:color w:val="auto"/>
                <w:szCs w:val="21"/>
                <w:highlight w:val="none"/>
                <w:u w:val="single"/>
              </w:rPr>
              <w:t>2024年</w:t>
            </w:r>
            <w:r>
              <w:rPr>
                <w:rFonts w:hint="eastAsia" w:hAnsi="宋体" w:cs="宋体"/>
                <w:b/>
                <w:bCs/>
                <w:color w:val="auto"/>
                <w:szCs w:val="21"/>
                <w:highlight w:val="none"/>
                <w:u w:val="single"/>
                <w:lang w:val="en-US" w:eastAsia="zh-CN"/>
              </w:rPr>
              <w:t>5</w:t>
            </w:r>
            <w:r>
              <w:rPr>
                <w:rFonts w:hint="eastAsia" w:hAnsi="宋体" w:cs="宋体"/>
                <w:b/>
                <w:bCs/>
                <w:color w:val="auto"/>
                <w:szCs w:val="21"/>
                <w:highlight w:val="none"/>
                <w:u w:val="single"/>
              </w:rPr>
              <w:t>月</w:t>
            </w:r>
            <w:r>
              <w:rPr>
                <w:rFonts w:hint="eastAsia" w:hAnsi="宋体" w:cs="宋体"/>
                <w:b/>
                <w:bCs/>
                <w:color w:val="auto"/>
                <w:szCs w:val="21"/>
                <w:highlight w:val="none"/>
                <w:u w:val="single"/>
                <w:lang w:val="en-US" w:eastAsia="zh-CN"/>
              </w:rPr>
              <w:t>13</w:t>
            </w:r>
            <w:r>
              <w:rPr>
                <w:rFonts w:hint="eastAsia" w:hAnsi="宋体" w:cs="宋体"/>
                <w:b/>
                <w:bCs/>
                <w:color w:val="auto"/>
                <w:szCs w:val="21"/>
                <w:highlight w:val="none"/>
                <w:u w:val="single"/>
              </w:rPr>
              <w:t>日1</w:t>
            </w:r>
            <w:r>
              <w:rPr>
                <w:rFonts w:hint="eastAsia" w:hAnsi="宋体" w:cs="宋体"/>
                <w:b/>
                <w:bCs/>
                <w:color w:val="auto"/>
                <w:szCs w:val="21"/>
                <w:highlight w:val="none"/>
                <w:u w:val="single"/>
                <w:lang w:val="en-US" w:eastAsia="zh-CN"/>
              </w:rPr>
              <w:t>7</w:t>
            </w:r>
            <w:r>
              <w:rPr>
                <w:rFonts w:hint="eastAsia" w:hAnsi="宋体" w:cs="宋体"/>
                <w:b/>
                <w:bCs/>
                <w:color w:val="auto"/>
                <w:szCs w:val="21"/>
                <w:highlight w:val="none"/>
                <w:u w:val="single"/>
              </w:rPr>
              <w:t>:00</w:t>
            </w:r>
          </w:p>
          <w:p>
            <w:pPr>
              <w:pStyle w:val="33"/>
              <w:adjustRightInd w:val="0"/>
              <w:snapToGrid w:val="0"/>
              <w:spacing w:after="0" w:line="400" w:lineRule="exact"/>
              <w:jc w:val="left"/>
              <w:rPr>
                <w:rFonts w:hAnsi="宋体" w:cs="宋体"/>
                <w:snapToGrid w:val="0"/>
                <w:color w:val="auto"/>
                <w:szCs w:val="21"/>
                <w:highlight w:val="none"/>
              </w:rPr>
            </w:pPr>
            <w:r>
              <w:rPr>
                <w:rFonts w:hint="eastAsia" w:hAnsi="宋体" w:cs="宋体"/>
                <w:snapToGrid w:val="0"/>
                <w:color w:val="auto"/>
                <w:szCs w:val="21"/>
                <w:highlight w:val="none"/>
              </w:rPr>
              <w:t>在</w:t>
            </w:r>
            <w:r>
              <w:rPr>
                <w:rFonts w:hint="eastAsia" w:hAnsi="宋体" w:cs="宋体"/>
                <w:snapToGrid w:val="0"/>
                <w:color w:val="auto"/>
                <w:szCs w:val="21"/>
                <w:highlight w:val="none"/>
                <w:lang w:val="zh-CN"/>
              </w:rPr>
              <w:t>本项目招标公告发布页面</w:t>
            </w:r>
            <w:r>
              <w:rPr>
                <w:rFonts w:hint="eastAsia" w:hAnsi="宋体" w:cs="宋体"/>
                <w:snapToGrid w:val="0"/>
                <w:color w:val="auto"/>
                <w:szCs w:val="21"/>
                <w:highlight w:val="none"/>
              </w:rPr>
              <w:t>公布（</w:t>
            </w:r>
            <w:r>
              <w:rPr>
                <w:rFonts w:hint="eastAsia" w:hAnsi="宋体" w:cs="宋体"/>
                <w:snapToGrid w:val="0"/>
                <w:color w:val="auto"/>
                <w:szCs w:val="21"/>
                <w:highlight w:val="none"/>
                <w:lang w:val="zh-CN"/>
              </w:rPr>
              <w:t>详见招标公告）</w:t>
            </w:r>
            <w:r>
              <w:rPr>
                <w:rFonts w:hint="eastAsia" w:hAnsi="宋体" w:cs="宋体"/>
                <w:snapToGrid w:val="0"/>
                <w:color w:val="auto"/>
                <w:szCs w:val="21"/>
                <w:highlight w:val="none"/>
              </w:rPr>
              <w:t>，</w:t>
            </w:r>
            <w:r>
              <w:rPr>
                <w:rFonts w:hint="eastAsia" w:hAnsi="宋体" w:cs="宋体"/>
                <w:snapToGrid w:val="0"/>
                <w:color w:val="auto"/>
                <w:szCs w:val="21"/>
                <w:highlight w:val="none"/>
                <w:lang w:val="zh-CN"/>
              </w:rPr>
              <w:t>投标人可自行下载</w:t>
            </w:r>
            <w:r>
              <w:rPr>
                <w:rFonts w:hint="eastAsia" w:hAnsi="宋体" w:cs="宋体"/>
                <w:snapToGrid w:val="0"/>
                <w:color w:val="auto"/>
                <w:szCs w:val="21"/>
                <w:highlight w:val="none"/>
              </w:rPr>
              <w:t>获取澄清或修改文件，或以电子邮件的形式发送于各投标人</w:t>
            </w:r>
          </w:p>
          <w:p>
            <w:pPr>
              <w:autoSpaceDE w:val="0"/>
              <w:autoSpaceDN w:val="0"/>
              <w:adjustRightInd w:val="0"/>
              <w:snapToGrid w:val="0"/>
              <w:spacing w:line="400" w:lineRule="exact"/>
              <w:rPr>
                <w:rFonts w:hAnsi="宋体" w:cs="宋体"/>
                <w:color w:val="auto"/>
                <w:szCs w:val="21"/>
                <w:highlight w:val="none"/>
              </w:rPr>
            </w:pPr>
            <w:r>
              <w:rPr>
                <w:rFonts w:hint="eastAsia" w:hAnsi="宋体" w:cs="宋体"/>
                <w:b/>
                <w:snapToGrid w:val="0"/>
                <w:color w:val="auto"/>
                <w:szCs w:val="21"/>
                <w:highlight w:val="none"/>
              </w:rPr>
              <w:t>注：投标截止时间前，请投标人务必关注补充公告。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3.3.1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Ansi="宋体" w:cs="宋体"/>
                <w:color w:val="auto"/>
                <w:spacing w:val="9"/>
                <w:highlight w:val="none"/>
              </w:rPr>
              <w:t>投标</w:t>
            </w:r>
            <w:r>
              <w:rPr>
                <w:rFonts w:hAnsi="宋体" w:cs="宋体"/>
                <w:color w:val="auto"/>
                <w:spacing w:val="8"/>
                <w:highlight w:val="none"/>
              </w:rPr>
              <w:t>报价的组成</w:t>
            </w:r>
          </w:p>
        </w:tc>
        <w:tc>
          <w:tcPr>
            <w:tcW w:w="6883" w:type="dxa"/>
            <w:vAlign w:val="center"/>
          </w:tcPr>
          <w:p>
            <w:pPr>
              <w:spacing w:line="380" w:lineRule="exact"/>
              <w:rPr>
                <w:color w:val="auto"/>
                <w:highlight w:val="none"/>
              </w:rPr>
            </w:pPr>
            <w:r>
              <w:rPr>
                <w:rFonts w:hint="eastAsia" w:cs="宋体"/>
                <w:color w:val="auto"/>
                <w:szCs w:val="21"/>
                <w:highlight w:val="none"/>
              </w:rPr>
              <w:t>本项目炉渣综合销售单价最低限价</w:t>
            </w:r>
            <w:r>
              <w:rPr>
                <w:rFonts w:hint="eastAsia" w:cs="宋体"/>
                <w:color w:val="auto"/>
                <w:szCs w:val="21"/>
                <w:highlight w:val="none"/>
                <w:lang w:val="en-US" w:eastAsia="zh-CN"/>
              </w:rPr>
              <w:t>210</w:t>
            </w:r>
            <w:r>
              <w:rPr>
                <w:rFonts w:hint="eastAsia" w:cs="宋体"/>
                <w:color w:val="auto"/>
                <w:szCs w:val="21"/>
                <w:highlight w:val="none"/>
              </w:rPr>
              <w:t>元/吨（含税），低于最低限价的投标报价将被否决投标。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3.4.2</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投标文件份数及其他要求</w:t>
            </w:r>
          </w:p>
        </w:tc>
        <w:tc>
          <w:tcPr>
            <w:tcW w:w="6883" w:type="dxa"/>
            <w:vAlign w:val="center"/>
          </w:tcPr>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投标文件份数：1正4副</w:t>
            </w:r>
          </w:p>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rPr>
              <w:t>提交电子版文件：</w:t>
            </w:r>
          </w:p>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rPr>
              <w:sym w:font="Wingdings 2" w:char="0052"/>
            </w:r>
            <w:r>
              <w:rPr>
                <w:rFonts w:hint="eastAsia" w:hAnsi="宋体" w:cs="宋体"/>
                <w:snapToGrid w:val="0"/>
                <w:color w:val="auto"/>
                <w:szCs w:val="21"/>
                <w:highlight w:val="none"/>
              </w:rPr>
              <w:t>是，提交电子版带红章的PDF文件及word版本各1份（U盘形式）。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320" w:lineRule="exact"/>
              <w:jc w:val="center"/>
              <w:rPr>
                <w:rFonts w:hAnsi="宋体" w:cs="宋体"/>
                <w:snapToGrid w:val="0"/>
                <w:color w:val="auto"/>
                <w:szCs w:val="21"/>
                <w:highlight w:val="none"/>
              </w:rPr>
            </w:pPr>
            <w:r>
              <w:rPr>
                <w:rFonts w:hint="eastAsia" w:hAnsi="宋体" w:cs="宋体"/>
                <w:snapToGrid w:val="0"/>
                <w:color w:val="auto"/>
                <w:szCs w:val="21"/>
                <w:highlight w:val="none"/>
              </w:rPr>
              <w:t>3.4.3</w:t>
            </w:r>
          </w:p>
        </w:tc>
        <w:tc>
          <w:tcPr>
            <w:tcW w:w="1930" w:type="dxa"/>
            <w:vAlign w:val="center"/>
          </w:tcPr>
          <w:p>
            <w:pPr>
              <w:autoSpaceDE w:val="0"/>
              <w:autoSpaceDN w:val="0"/>
              <w:adjustRightInd w:val="0"/>
              <w:snapToGrid w:val="0"/>
              <w:spacing w:line="320" w:lineRule="exact"/>
              <w:jc w:val="center"/>
              <w:rPr>
                <w:rFonts w:hAnsi="宋体" w:cs="宋体"/>
                <w:snapToGrid w:val="0"/>
                <w:color w:val="auto"/>
                <w:szCs w:val="21"/>
                <w:highlight w:val="none"/>
              </w:rPr>
            </w:pPr>
            <w:r>
              <w:rPr>
                <w:rFonts w:hint="eastAsia" w:hAnsi="宋体" w:cs="宋体"/>
                <w:snapToGrid w:val="0"/>
                <w:color w:val="auto"/>
                <w:szCs w:val="21"/>
                <w:highlight w:val="none"/>
              </w:rPr>
              <w:t>装订要求</w:t>
            </w:r>
          </w:p>
        </w:tc>
        <w:tc>
          <w:tcPr>
            <w:tcW w:w="6883" w:type="dxa"/>
            <w:vAlign w:val="center"/>
          </w:tcPr>
          <w:p>
            <w:pPr>
              <w:pStyle w:val="375"/>
              <w:snapToGrid w:val="0"/>
              <w:spacing w:line="36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是否分册装订：</w:t>
            </w:r>
          </w:p>
          <w:p>
            <w:pPr>
              <w:pStyle w:val="375"/>
              <w:snapToGrid w:val="0"/>
              <w:spacing w:line="360" w:lineRule="exact"/>
              <w:ind w:right="42" w:rightChars="20"/>
              <w:jc w:val="both"/>
              <w:rPr>
                <w:snapToGrid w:val="0"/>
                <w:color w:val="auto"/>
                <w:sz w:val="21"/>
                <w:szCs w:val="21"/>
                <w:highlight w:val="none"/>
                <w:lang w:eastAsia="zh-CN"/>
              </w:rPr>
            </w:pPr>
            <w:r>
              <w:rPr>
                <w:snapToGrid w:val="0"/>
                <w:color w:val="auto"/>
                <w:sz w:val="21"/>
                <w:szCs w:val="21"/>
                <w:highlight w:val="none"/>
                <w:lang w:eastAsia="zh-CN"/>
              </w:rPr>
              <w:sym w:font="Wingdings 2" w:char="0052"/>
            </w:r>
            <w:r>
              <w:rPr>
                <w:rFonts w:hint="eastAsia"/>
                <w:snapToGrid w:val="0"/>
                <w:color w:val="auto"/>
                <w:sz w:val="21"/>
                <w:szCs w:val="21"/>
                <w:highlight w:val="none"/>
                <w:lang w:eastAsia="zh-CN"/>
              </w:rPr>
              <w:t xml:space="preserve"> </w:t>
            </w:r>
            <w:r>
              <w:rPr>
                <w:snapToGrid w:val="0"/>
                <w:color w:val="auto"/>
                <w:sz w:val="21"/>
                <w:szCs w:val="21"/>
                <w:highlight w:val="none"/>
                <w:lang w:eastAsia="zh-CN"/>
              </w:rPr>
              <w:t>不</w:t>
            </w:r>
            <w:r>
              <w:rPr>
                <w:rFonts w:hint="eastAsia"/>
                <w:snapToGrid w:val="0"/>
                <w:color w:val="auto"/>
                <w:sz w:val="21"/>
                <w:szCs w:val="21"/>
                <w:highlight w:val="none"/>
                <w:lang w:eastAsia="zh-CN"/>
              </w:rPr>
              <w:t>分册装订。</w:t>
            </w:r>
          </w:p>
          <w:p>
            <w:pPr>
              <w:pStyle w:val="375"/>
              <w:snapToGrid w:val="0"/>
              <w:spacing w:line="360" w:lineRule="exact"/>
              <w:ind w:right="42" w:rightChars="20"/>
              <w:jc w:val="both"/>
              <w:rPr>
                <w:snapToGrid w:val="0"/>
                <w:color w:val="auto"/>
                <w:szCs w:val="21"/>
                <w:highlight w:val="none"/>
                <w:lang w:eastAsia="zh-CN"/>
              </w:rPr>
            </w:pPr>
            <w:r>
              <w:rPr>
                <w:rFonts w:hint="eastAsia"/>
                <w:snapToGrid w:val="0"/>
                <w:color w:val="auto"/>
                <w:szCs w:val="21"/>
                <w:highlight w:val="none"/>
                <w:lang w:eastAsia="zh-CN"/>
              </w:rPr>
              <w:t>装订要求：A4幅面，卡纸作封面。每册采用胶装方式装订，装订应牢固、不易拆散和换页，不得采用活页装订。</w:t>
            </w:r>
          </w:p>
          <w:p>
            <w:pPr>
              <w:pStyle w:val="375"/>
              <w:snapToGrid w:val="0"/>
              <w:spacing w:line="360" w:lineRule="exact"/>
              <w:ind w:right="42" w:rightChars="20"/>
              <w:jc w:val="both"/>
              <w:rPr>
                <w:snapToGrid w:val="0"/>
                <w:color w:val="auto"/>
                <w:szCs w:val="21"/>
                <w:highlight w:val="none"/>
                <w:lang w:eastAsia="zh-CN"/>
              </w:rPr>
            </w:pPr>
            <w:r>
              <w:rPr>
                <w:rFonts w:hint="eastAsia"/>
                <w:b/>
                <w:bCs/>
                <w:snapToGrid w:val="0"/>
                <w:color w:val="auto"/>
                <w:sz w:val="21"/>
                <w:szCs w:val="21"/>
                <w:highlight w:val="none"/>
                <w:lang w:eastAsia="zh-CN"/>
              </w:rPr>
              <w:t>注：不采用胶装的投标文件将视作未按招标文件规定的格式编制。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3.4.4</w:t>
            </w:r>
          </w:p>
        </w:tc>
        <w:tc>
          <w:tcPr>
            <w:tcW w:w="1930" w:type="dxa"/>
            <w:vAlign w:val="center"/>
          </w:tcPr>
          <w:p>
            <w:pPr>
              <w:pStyle w:val="375"/>
              <w:adjustRightInd w:val="0"/>
              <w:snapToGrid w:val="0"/>
              <w:spacing w:line="400" w:lineRule="exact"/>
              <w:jc w:val="center"/>
              <w:rPr>
                <w:snapToGrid w:val="0"/>
                <w:color w:val="auto"/>
                <w:sz w:val="21"/>
                <w:szCs w:val="21"/>
                <w:highlight w:val="none"/>
                <w:lang w:eastAsia="zh-CN"/>
              </w:rPr>
            </w:pPr>
            <w:r>
              <w:rPr>
                <w:rFonts w:hint="eastAsia"/>
                <w:snapToGrid w:val="0"/>
                <w:color w:val="auto"/>
                <w:sz w:val="21"/>
                <w:szCs w:val="21"/>
                <w:highlight w:val="none"/>
                <w:lang w:eastAsia="zh-CN"/>
              </w:rPr>
              <w:t>投标文件签署、盖章要求</w:t>
            </w:r>
          </w:p>
        </w:tc>
        <w:tc>
          <w:tcPr>
            <w:tcW w:w="6883" w:type="dxa"/>
            <w:vAlign w:val="center"/>
          </w:tcPr>
          <w:p>
            <w:pPr>
              <w:pStyle w:val="375"/>
              <w:spacing w:line="400" w:lineRule="exact"/>
              <w:jc w:val="both"/>
              <w:rPr>
                <w:snapToGrid w:val="0"/>
                <w:color w:val="auto"/>
                <w:sz w:val="21"/>
                <w:szCs w:val="21"/>
                <w:highlight w:val="none"/>
                <w:lang w:eastAsia="zh-CN"/>
              </w:rPr>
            </w:pPr>
            <w:r>
              <w:rPr>
                <w:rFonts w:hint="eastAsia"/>
                <w:snapToGrid w:val="0"/>
                <w:color w:val="auto"/>
                <w:sz w:val="21"/>
                <w:szCs w:val="21"/>
                <w:highlight w:val="none"/>
                <w:lang w:eastAsia="zh-CN"/>
              </w:rPr>
              <w:t>对投标文件签署、盖章的要求详见投标人须知3.4.4。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4.3.1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踏勘现场</w:t>
            </w:r>
          </w:p>
        </w:tc>
        <w:tc>
          <w:tcPr>
            <w:tcW w:w="6883" w:type="dxa"/>
            <w:vAlign w:val="center"/>
          </w:tcPr>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rPr>
              <w:t>本项目是否组织踏勘现场：</w:t>
            </w:r>
          </w:p>
          <w:p>
            <w:pPr>
              <w:autoSpaceDE w:val="0"/>
              <w:autoSpaceDN w:val="0"/>
              <w:adjustRightInd w:val="0"/>
              <w:snapToGrid w:val="0"/>
              <w:spacing w:line="400" w:lineRule="exact"/>
              <w:rPr>
                <w:snapToGrid w:val="0"/>
                <w:color w:val="auto"/>
                <w:szCs w:val="21"/>
                <w:highlight w:val="none"/>
              </w:rPr>
            </w:pPr>
            <w:r>
              <w:rPr>
                <w:rFonts w:hint="eastAsia" w:hAnsi="宋体" w:cs="宋体"/>
                <w:snapToGrid w:val="0"/>
                <w:color w:val="auto"/>
                <w:szCs w:val="21"/>
                <w:highlight w:val="none"/>
              </w:rPr>
              <w:sym w:font="Wingdings 2" w:char="0052"/>
            </w:r>
            <w:r>
              <w:rPr>
                <w:rFonts w:hint="eastAsia" w:hAnsi="宋体" w:cs="宋体"/>
                <w:snapToGrid w:val="0"/>
                <w:color w:val="auto"/>
                <w:szCs w:val="21"/>
                <w:highlight w:val="none"/>
              </w:rPr>
              <w:t xml:space="preserve">不组织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4.4.1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投标预备会</w:t>
            </w:r>
          </w:p>
        </w:tc>
        <w:tc>
          <w:tcPr>
            <w:tcW w:w="6883" w:type="dxa"/>
            <w:vAlign w:val="center"/>
          </w:tcPr>
          <w:p>
            <w:pPr>
              <w:widowControl/>
              <w:spacing w:line="400" w:lineRule="exact"/>
              <w:jc w:val="left"/>
              <w:rPr>
                <w:rFonts w:hAnsi="宋体" w:cs="宋体"/>
                <w:color w:val="auto"/>
                <w:szCs w:val="21"/>
                <w:highlight w:val="none"/>
                <w:lang w:bidi="ar"/>
              </w:rPr>
            </w:pPr>
            <w:r>
              <w:rPr>
                <w:rFonts w:hint="eastAsia" w:hAnsi="宋体" w:cs="宋体"/>
                <w:color w:val="auto"/>
                <w:szCs w:val="21"/>
                <w:highlight w:val="none"/>
                <w:lang w:bidi="ar"/>
              </w:rPr>
              <w:t>本项目是否召开投标预备会：</w:t>
            </w:r>
          </w:p>
          <w:p>
            <w:pPr>
              <w:widowControl/>
              <w:spacing w:line="400" w:lineRule="exact"/>
              <w:jc w:val="left"/>
              <w:rPr>
                <w:snapToGrid w:val="0"/>
                <w:color w:val="auto"/>
                <w:szCs w:val="21"/>
                <w:highlight w:val="none"/>
              </w:rPr>
            </w:pPr>
            <w:r>
              <w:rPr>
                <w:rFonts w:hint="eastAsia" w:hAnsi="宋体" w:cs="宋体"/>
                <w:color w:val="auto"/>
                <w:szCs w:val="21"/>
                <w:highlight w:val="none"/>
                <w:lang w:bidi="ar"/>
              </w:rPr>
              <w:sym w:font="Wingdings" w:char="00FE"/>
            </w:r>
            <w:r>
              <w:rPr>
                <w:rFonts w:hint="eastAsia" w:hAnsi="宋体" w:cs="宋体"/>
                <w:color w:val="auto"/>
                <w:szCs w:val="21"/>
                <w:highlight w:val="none"/>
                <w:lang w:bidi="ar"/>
              </w:rPr>
              <w:t xml:space="preserve">不召开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4.5.1</w:t>
            </w:r>
          </w:p>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4.5.2</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投标保证金缴纳</w:t>
            </w:r>
          </w:p>
        </w:tc>
        <w:tc>
          <w:tcPr>
            <w:tcW w:w="6883" w:type="dxa"/>
            <w:vAlign w:val="center"/>
          </w:tcPr>
          <w:p>
            <w:pPr>
              <w:adjustRightInd w:val="0"/>
              <w:snapToGrid w:val="0"/>
              <w:spacing w:line="400" w:lineRule="exact"/>
              <w:rPr>
                <w:rFonts w:hAnsi="宋体" w:cs="宋体"/>
                <w:b/>
                <w:snapToGrid w:val="0"/>
                <w:color w:val="auto"/>
                <w:szCs w:val="21"/>
                <w:highlight w:val="none"/>
              </w:rPr>
            </w:pPr>
            <w:r>
              <w:rPr>
                <w:rFonts w:hint="eastAsia" w:hAnsi="宋体" w:cs="宋体"/>
                <w:bCs/>
                <w:color w:val="auto"/>
                <w:szCs w:val="21"/>
                <w:highlight w:val="none"/>
              </w:rPr>
              <w:t>本项目需要缴纳投标保证金。缴纳投标保证金</w:t>
            </w:r>
            <w:r>
              <w:rPr>
                <w:rFonts w:hint="eastAsia" w:hAnsi="宋体" w:cs="宋体"/>
                <w:color w:val="auto"/>
                <w:szCs w:val="21"/>
                <w:highlight w:val="none"/>
              </w:rPr>
              <w:t>的具体要求如下：</w:t>
            </w:r>
          </w:p>
          <w:p>
            <w:pPr>
              <w:adjustRightInd w:val="0"/>
              <w:snapToGrid w:val="0"/>
              <w:spacing w:line="400" w:lineRule="exact"/>
              <w:rPr>
                <w:rFonts w:hAnsi="宋体" w:cs="宋体"/>
                <w:bCs/>
                <w:color w:val="auto"/>
                <w:szCs w:val="21"/>
                <w:highlight w:val="none"/>
              </w:rPr>
            </w:pPr>
            <w:r>
              <w:rPr>
                <w:rFonts w:hint="eastAsia" w:hAnsi="宋体" w:cs="宋体"/>
                <w:bCs/>
                <w:color w:val="auto"/>
                <w:szCs w:val="21"/>
                <w:highlight w:val="none"/>
              </w:rPr>
              <w:t>（1）缴纳金额：</w:t>
            </w:r>
            <w:r>
              <w:rPr>
                <w:rFonts w:hint="eastAsia" w:cs="宋体"/>
                <w:bCs/>
                <w:color w:val="auto"/>
                <w:szCs w:val="21"/>
                <w:highlight w:val="none"/>
              </w:rPr>
              <w:t>具体详</w:t>
            </w:r>
            <w:r>
              <w:rPr>
                <w:rFonts w:hint="eastAsia" w:hAnsi="宋体" w:cs="宋体"/>
                <w:b/>
                <w:snapToGrid w:val="0"/>
                <w:color w:val="auto"/>
                <w:szCs w:val="21"/>
                <w:highlight w:val="none"/>
              </w:rPr>
              <w:t>见招标公告</w:t>
            </w:r>
            <w:r>
              <w:rPr>
                <w:rFonts w:hint="eastAsia" w:cs="宋体"/>
                <w:bCs/>
                <w:color w:val="auto"/>
                <w:szCs w:val="21"/>
                <w:highlight w:val="none"/>
              </w:rPr>
              <w:t>；</w:t>
            </w:r>
          </w:p>
          <w:p>
            <w:pPr>
              <w:adjustRightInd w:val="0"/>
              <w:snapToGrid w:val="0"/>
              <w:spacing w:line="400" w:lineRule="exact"/>
              <w:rPr>
                <w:rFonts w:hAnsi="宋体" w:cs="宋体"/>
                <w:b/>
                <w:snapToGrid w:val="0"/>
                <w:color w:val="auto"/>
                <w:szCs w:val="21"/>
                <w:highlight w:val="none"/>
              </w:rPr>
            </w:pPr>
            <w:r>
              <w:rPr>
                <w:rFonts w:hint="eastAsia" w:hAnsi="宋体" w:cs="宋体"/>
                <w:bCs/>
                <w:color w:val="auto"/>
                <w:szCs w:val="21"/>
                <w:highlight w:val="none"/>
              </w:rPr>
              <w:t>（2）缴纳期限：投标截止时间前。具体详</w:t>
            </w:r>
            <w:r>
              <w:rPr>
                <w:rFonts w:hint="eastAsia" w:hAnsi="宋体" w:cs="宋体"/>
                <w:b/>
                <w:snapToGrid w:val="0"/>
                <w:color w:val="auto"/>
                <w:szCs w:val="21"/>
                <w:highlight w:val="none"/>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400" w:lineRule="exact"/>
              <w:jc w:val="center"/>
              <w:rPr>
                <w:rFonts w:hAnsi="宋体" w:cs="宋体"/>
                <w:color w:val="auto"/>
                <w:szCs w:val="21"/>
                <w:highlight w:val="none"/>
              </w:rPr>
            </w:pPr>
            <w:r>
              <w:rPr>
                <w:rFonts w:hint="eastAsia" w:hAnsi="宋体" w:cs="宋体"/>
                <w:color w:val="auto"/>
                <w:szCs w:val="21"/>
                <w:highlight w:val="none"/>
              </w:rPr>
              <w:t>4.6.1</w:t>
            </w:r>
          </w:p>
        </w:tc>
        <w:tc>
          <w:tcPr>
            <w:tcW w:w="1930" w:type="dxa"/>
            <w:vAlign w:val="center"/>
          </w:tcPr>
          <w:p>
            <w:pPr>
              <w:autoSpaceDE w:val="0"/>
              <w:autoSpaceDN w:val="0"/>
              <w:adjustRightInd w:val="0"/>
              <w:snapToGrid w:val="0"/>
              <w:spacing w:line="400" w:lineRule="exact"/>
              <w:jc w:val="center"/>
              <w:rPr>
                <w:rFonts w:hAnsi="宋体" w:cs="宋体"/>
                <w:color w:val="auto"/>
                <w:szCs w:val="21"/>
                <w:highlight w:val="none"/>
              </w:rPr>
            </w:pPr>
            <w:r>
              <w:rPr>
                <w:rFonts w:hint="eastAsia" w:hAnsi="宋体" w:cs="宋体"/>
                <w:color w:val="auto"/>
                <w:szCs w:val="21"/>
                <w:highlight w:val="none"/>
              </w:rPr>
              <w:t>投标样品</w:t>
            </w:r>
          </w:p>
        </w:tc>
        <w:tc>
          <w:tcPr>
            <w:tcW w:w="6883" w:type="dxa"/>
            <w:vAlign w:val="center"/>
          </w:tcPr>
          <w:p>
            <w:pPr>
              <w:widowControl/>
              <w:spacing w:line="400" w:lineRule="exact"/>
              <w:rPr>
                <w:rFonts w:hAnsi="宋体" w:cs="宋体"/>
                <w:color w:val="auto"/>
                <w:szCs w:val="21"/>
                <w:highlight w:val="none"/>
                <w:lang w:bidi="ar"/>
              </w:rPr>
            </w:pPr>
            <w:r>
              <w:rPr>
                <w:rFonts w:hint="eastAsia" w:hAnsi="宋体" w:cs="宋体"/>
                <w:color w:val="auto"/>
                <w:szCs w:val="21"/>
                <w:highlight w:val="none"/>
                <w:lang w:bidi="ar"/>
              </w:rPr>
              <w:t>本项目有无要求投标人提供样品：</w:t>
            </w:r>
          </w:p>
          <w:p>
            <w:pPr>
              <w:widowControl/>
              <w:spacing w:line="400" w:lineRule="exact"/>
              <w:jc w:val="left"/>
              <w:rPr>
                <w:color w:val="auto"/>
                <w:highlight w:val="none"/>
                <w:lang w:bidi="ar"/>
              </w:rPr>
            </w:pPr>
            <w:r>
              <w:rPr>
                <w:rFonts w:hint="eastAsia" w:hAnsi="宋体" w:cs="宋体"/>
                <w:color w:val="auto"/>
                <w:szCs w:val="21"/>
                <w:highlight w:val="none"/>
                <w:lang w:bidi="ar"/>
              </w:rPr>
              <w:sym w:font="Wingdings 2" w:char="0052"/>
            </w:r>
            <w:r>
              <w:rPr>
                <w:rFonts w:hint="eastAsia" w:hAnsi="宋体" w:cs="宋体"/>
                <w:color w:val="auto"/>
                <w:szCs w:val="21"/>
                <w:highlight w:val="none"/>
                <w:lang w:bidi="ar"/>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4.7.1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投标文件密封包装要求</w:t>
            </w:r>
          </w:p>
        </w:tc>
        <w:tc>
          <w:tcPr>
            <w:tcW w:w="6883" w:type="dxa"/>
            <w:vAlign w:val="center"/>
          </w:tcPr>
          <w:p>
            <w:pPr>
              <w:spacing w:line="400" w:lineRule="exact"/>
              <w:jc w:val="left"/>
              <w:rPr>
                <w:rFonts w:hAnsi="宋体" w:cs="宋体"/>
                <w:snapToGrid w:val="0"/>
                <w:color w:val="auto"/>
                <w:szCs w:val="21"/>
                <w:highlight w:val="none"/>
              </w:rPr>
            </w:pPr>
            <w:r>
              <w:rPr>
                <w:rFonts w:hint="eastAsia" w:hAnsi="宋体" w:cs="宋体"/>
                <w:snapToGrid w:val="0"/>
                <w:color w:val="auto"/>
                <w:szCs w:val="21"/>
                <w:highlight w:val="none"/>
              </w:rPr>
              <w:t>对投标文件密封包装的要求：</w:t>
            </w:r>
          </w:p>
          <w:p>
            <w:pPr>
              <w:pStyle w:val="86"/>
              <w:spacing w:after="0" w:line="400" w:lineRule="exact"/>
              <w:ind w:firstLine="0" w:firstLineChars="0"/>
              <w:rPr>
                <w:color w:val="auto"/>
                <w:highlight w:val="none"/>
              </w:rPr>
            </w:pPr>
            <w:r>
              <w:rPr>
                <w:rFonts w:hint="eastAsia" w:ascii="宋体" w:hAnsi="宋体" w:cs="宋体"/>
                <w:snapToGrid w:val="0"/>
                <w:color w:val="auto"/>
                <w:szCs w:val="21"/>
                <w:highlight w:val="none"/>
              </w:rPr>
              <w:t>投标文件必须密封包装，并在封套的封口处加盖投标人单位公章或由投标人的法定代表人或其授权的代理人签字。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4.7.2</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封套上写明</w:t>
            </w:r>
          </w:p>
        </w:tc>
        <w:tc>
          <w:tcPr>
            <w:tcW w:w="6883" w:type="dxa"/>
            <w:vAlign w:val="center"/>
          </w:tcPr>
          <w:p>
            <w:pPr>
              <w:autoSpaceDE w:val="0"/>
              <w:autoSpaceDN w:val="0"/>
              <w:adjustRightInd w:val="0"/>
              <w:snapToGrid w:val="0"/>
              <w:spacing w:line="400" w:lineRule="exact"/>
              <w:rPr>
                <w:rFonts w:hAnsi="宋体" w:cs="宋体"/>
                <w:snapToGrid w:val="0"/>
                <w:color w:val="auto"/>
                <w:szCs w:val="21"/>
                <w:highlight w:val="none"/>
                <w:u w:val="single"/>
              </w:rPr>
            </w:pPr>
            <w:r>
              <w:rPr>
                <w:rFonts w:hint="eastAsia" w:hAnsi="宋体" w:cs="宋体"/>
                <w:snapToGrid w:val="0"/>
                <w:color w:val="auto"/>
                <w:szCs w:val="21"/>
                <w:highlight w:val="none"/>
              </w:rPr>
              <w:t>招标人地址：</w:t>
            </w:r>
            <w:r>
              <w:rPr>
                <w:rFonts w:hint="eastAsia" w:hAnsi="宋体" w:cs="宋体"/>
                <w:snapToGrid w:val="0"/>
                <w:color w:val="auto"/>
                <w:szCs w:val="21"/>
                <w:highlight w:val="none"/>
                <w:u w:val="single"/>
              </w:rPr>
              <w:t xml:space="preserve">                       </w:t>
            </w:r>
          </w:p>
          <w:p>
            <w:pPr>
              <w:autoSpaceDE w:val="0"/>
              <w:autoSpaceDN w:val="0"/>
              <w:adjustRightInd w:val="0"/>
              <w:snapToGrid w:val="0"/>
              <w:spacing w:line="400" w:lineRule="exact"/>
              <w:rPr>
                <w:rFonts w:hAnsi="宋体" w:cs="宋体"/>
                <w:snapToGrid w:val="0"/>
                <w:color w:val="auto"/>
                <w:szCs w:val="21"/>
                <w:highlight w:val="none"/>
                <w:u w:val="single"/>
              </w:rPr>
            </w:pPr>
            <w:r>
              <w:rPr>
                <w:rFonts w:hint="eastAsia" w:hAnsi="宋体" w:cs="宋体"/>
                <w:snapToGrid w:val="0"/>
                <w:color w:val="auto"/>
                <w:szCs w:val="21"/>
                <w:highlight w:val="none"/>
              </w:rPr>
              <w:t>招标人名称：</w:t>
            </w:r>
            <w:r>
              <w:rPr>
                <w:rFonts w:hint="eastAsia" w:hAnsi="宋体" w:cs="宋体"/>
                <w:snapToGrid w:val="0"/>
                <w:color w:val="auto"/>
                <w:szCs w:val="21"/>
                <w:highlight w:val="none"/>
                <w:u w:val="single"/>
              </w:rPr>
              <w:t xml:space="preserve">                         </w:t>
            </w:r>
          </w:p>
          <w:p>
            <w:pPr>
              <w:autoSpaceDE w:val="0"/>
              <w:autoSpaceDN w:val="0"/>
              <w:adjustRightInd w:val="0"/>
              <w:snapToGrid w:val="0"/>
              <w:spacing w:line="400" w:lineRule="exact"/>
              <w:rPr>
                <w:rFonts w:hAnsi="宋体" w:cs="宋体"/>
                <w:snapToGrid w:val="0"/>
                <w:color w:val="auto"/>
                <w:szCs w:val="21"/>
                <w:highlight w:val="none"/>
                <w:u w:val="single"/>
              </w:rPr>
            </w:pPr>
            <w:r>
              <w:rPr>
                <w:rFonts w:hint="eastAsia" w:hAnsi="宋体" w:cs="宋体"/>
                <w:snapToGrid w:val="0"/>
                <w:color w:val="auto"/>
                <w:szCs w:val="21"/>
                <w:highlight w:val="none"/>
              </w:rPr>
              <w:t>投标人地址：</w:t>
            </w:r>
            <w:r>
              <w:rPr>
                <w:rFonts w:hint="eastAsia" w:hAnsi="宋体" w:cs="宋体"/>
                <w:snapToGrid w:val="0"/>
                <w:color w:val="auto"/>
                <w:szCs w:val="21"/>
                <w:highlight w:val="none"/>
                <w:u w:val="single"/>
              </w:rPr>
              <w:t xml:space="preserve">                         </w:t>
            </w:r>
          </w:p>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rPr>
              <w:t>投标人名称：</w:t>
            </w:r>
            <w:r>
              <w:rPr>
                <w:rFonts w:hint="eastAsia" w:hAnsi="宋体" w:cs="宋体"/>
                <w:snapToGrid w:val="0"/>
                <w:color w:val="auto"/>
                <w:szCs w:val="21"/>
                <w:highlight w:val="none"/>
                <w:u w:val="single"/>
              </w:rPr>
              <w:t xml:space="preserve">                         </w:t>
            </w:r>
          </w:p>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u w:val="single"/>
              </w:rPr>
              <w:t xml:space="preserve">         （项目名称）         </w:t>
            </w:r>
            <w:r>
              <w:rPr>
                <w:rFonts w:hint="eastAsia" w:hAnsi="宋体" w:cs="宋体"/>
                <w:snapToGrid w:val="0"/>
                <w:color w:val="auto"/>
                <w:szCs w:val="21"/>
                <w:highlight w:val="none"/>
              </w:rPr>
              <w:t>投标文件</w:t>
            </w:r>
          </w:p>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rPr>
              <w:t>在</w:t>
            </w:r>
            <w:r>
              <w:rPr>
                <w:rFonts w:hint="eastAsia" w:hAnsi="宋体" w:cs="宋体"/>
                <w:snapToGrid w:val="0"/>
                <w:color w:val="auto"/>
                <w:szCs w:val="21"/>
                <w:highlight w:val="none"/>
                <w:u w:val="single"/>
              </w:rPr>
              <w:t xml:space="preserve">     </w:t>
            </w:r>
            <w:r>
              <w:rPr>
                <w:rFonts w:hint="eastAsia" w:hAnsi="宋体" w:cs="宋体"/>
                <w:snapToGrid w:val="0"/>
                <w:color w:val="auto"/>
                <w:szCs w:val="21"/>
                <w:highlight w:val="none"/>
              </w:rPr>
              <w:t>年</w:t>
            </w:r>
            <w:r>
              <w:rPr>
                <w:rFonts w:hint="eastAsia" w:hAnsi="宋体" w:cs="宋体"/>
                <w:snapToGrid w:val="0"/>
                <w:color w:val="auto"/>
                <w:szCs w:val="21"/>
                <w:highlight w:val="none"/>
                <w:u w:val="single"/>
              </w:rPr>
              <w:t xml:space="preserve">  </w:t>
            </w:r>
            <w:r>
              <w:rPr>
                <w:rFonts w:hint="eastAsia" w:hAnsi="宋体" w:cs="宋体"/>
                <w:snapToGrid w:val="0"/>
                <w:color w:val="auto"/>
                <w:szCs w:val="21"/>
                <w:highlight w:val="none"/>
              </w:rPr>
              <w:t>月</w:t>
            </w:r>
            <w:r>
              <w:rPr>
                <w:rFonts w:hint="eastAsia" w:hAnsi="宋体" w:cs="宋体"/>
                <w:snapToGrid w:val="0"/>
                <w:color w:val="auto"/>
                <w:szCs w:val="21"/>
                <w:highlight w:val="none"/>
                <w:u w:val="single"/>
              </w:rPr>
              <w:t xml:space="preserve">  </w:t>
            </w:r>
            <w:r>
              <w:rPr>
                <w:rFonts w:hint="eastAsia" w:hAnsi="宋体" w:cs="宋体"/>
                <w:snapToGrid w:val="0"/>
                <w:color w:val="auto"/>
                <w:szCs w:val="21"/>
                <w:highlight w:val="none"/>
              </w:rPr>
              <w:t>日</w:t>
            </w:r>
            <w:r>
              <w:rPr>
                <w:rFonts w:hint="eastAsia" w:hAnsi="宋体" w:cs="宋体"/>
                <w:snapToGrid w:val="0"/>
                <w:color w:val="auto"/>
                <w:szCs w:val="21"/>
                <w:highlight w:val="none"/>
                <w:u w:val="single"/>
              </w:rPr>
              <w:t xml:space="preserve">  </w:t>
            </w:r>
            <w:r>
              <w:rPr>
                <w:rFonts w:hint="eastAsia" w:hAnsi="宋体" w:cs="宋体"/>
                <w:snapToGrid w:val="0"/>
                <w:color w:val="auto"/>
                <w:szCs w:val="21"/>
                <w:highlight w:val="none"/>
              </w:rPr>
              <w:t>时</w:t>
            </w:r>
            <w:r>
              <w:rPr>
                <w:rFonts w:hint="eastAsia" w:hAnsi="宋体" w:cs="宋体"/>
                <w:snapToGrid w:val="0"/>
                <w:color w:val="auto"/>
                <w:szCs w:val="21"/>
                <w:highlight w:val="none"/>
                <w:u w:val="single"/>
              </w:rPr>
              <w:t xml:space="preserve">   </w:t>
            </w:r>
            <w:r>
              <w:rPr>
                <w:rFonts w:hint="eastAsia" w:hAnsi="宋体" w:cs="宋体"/>
                <w:snapToGrid w:val="0"/>
                <w:color w:val="auto"/>
                <w:szCs w:val="21"/>
                <w:highlight w:val="none"/>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4.8.1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投标截止时间</w:t>
            </w:r>
          </w:p>
        </w:tc>
        <w:tc>
          <w:tcPr>
            <w:tcW w:w="6883" w:type="dxa"/>
            <w:vAlign w:val="center"/>
          </w:tcPr>
          <w:p>
            <w:pPr>
              <w:autoSpaceDE w:val="0"/>
              <w:autoSpaceDN w:val="0"/>
              <w:adjustRightInd w:val="0"/>
              <w:snapToGrid w:val="0"/>
              <w:spacing w:line="400" w:lineRule="exact"/>
              <w:rPr>
                <w:rFonts w:hAnsi="宋体" w:cs="宋体"/>
                <w:bCs/>
                <w:snapToGrid w:val="0"/>
                <w:color w:val="auto"/>
                <w:szCs w:val="21"/>
                <w:highlight w:val="none"/>
              </w:rPr>
            </w:pPr>
            <w:r>
              <w:rPr>
                <w:rFonts w:hint="eastAsia" w:hAnsi="宋体" w:cs="宋体"/>
                <w:bCs/>
                <w:color w:val="auto"/>
                <w:szCs w:val="21"/>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4.8.1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递交投标文件地点</w:t>
            </w:r>
          </w:p>
        </w:tc>
        <w:tc>
          <w:tcPr>
            <w:tcW w:w="6883" w:type="dxa"/>
            <w:vAlign w:val="center"/>
          </w:tcPr>
          <w:p>
            <w:pPr>
              <w:autoSpaceDE w:val="0"/>
              <w:autoSpaceDN w:val="0"/>
              <w:adjustRightInd w:val="0"/>
              <w:spacing w:line="400" w:lineRule="exact"/>
              <w:jc w:val="left"/>
              <w:rPr>
                <w:rFonts w:hAnsi="宋体" w:cs="宋体"/>
                <w:bCs/>
                <w:color w:val="auto"/>
                <w:szCs w:val="21"/>
                <w:highlight w:val="none"/>
                <w:u w:val="single"/>
              </w:rPr>
            </w:pPr>
            <w:r>
              <w:rPr>
                <w:rFonts w:hint="eastAsia" w:hAnsi="宋体" w:cs="宋体"/>
                <w:bCs/>
                <w:color w:val="auto"/>
                <w:szCs w:val="21"/>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4.10.1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投标有效期</w:t>
            </w:r>
          </w:p>
        </w:tc>
        <w:tc>
          <w:tcPr>
            <w:tcW w:w="6883" w:type="dxa"/>
            <w:vAlign w:val="center"/>
          </w:tcPr>
          <w:p>
            <w:pPr>
              <w:autoSpaceDE w:val="0"/>
              <w:autoSpaceDN w:val="0"/>
              <w:adjustRightInd w:val="0"/>
              <w:snapToGrid w:val="0"/>
              <w:spacing w:line="400" w:lineRule="exact"/>
              <w:rPr>
                <w:rFonts w:hAnsi="宋体" w:cs="宋体"/>
                <w:b/>
                <w:color w:val="auto"/>
                <w:szCs w:val="21"/>
                <w:highlight w:val="none"/>
                <w:u w:val="single"/>
              </w:rPr>
            </w:pPr>
            <w:r>
              <w:rPr>
                <w:rFonts w:hint="eastAsia" w:hAnsi="宋体" w:cs="宋体"/>
                <w:color w:val="auto"/>
                <w:szCs w:val="21"/>
                <w:highlight w:val="none"/>
                <w:u w:val="single"/>
              </w:rPr>
              <w:t>90</w:t>
            </w:r>
            <w:r>
              <w:rPr>
                <w:rFonts w:hint="eastAsia" w:hAnsi="宋体" w:cs="宋体"/>
                <w:snapToGrid w:val="0"/>
                <w:color w:val="auto"/>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5.1.1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开标时间和地点</w:t>
            </w:r>
          </w:p>
        </w:tc>
        <w:tc>
          <w:tcPr>
            <w:tcW w:w="6883" w:type="dxa"/>
            <w:vAlign w:val="center"/>
          </w:tcPr>
          <w:p>
            <w:pPr>
              <w:autoSpaceDE w:val="0"/>
              <w:autoSpaceDN w:val="0"/>
              <w:adjustRightInd w:val="0"/>
              <w:snapToGrid w:val="0"/>
              <w:spacing w:line="400" w:lineRule="exact"/>
              <w:rPr>
                <w:rFonts w:hAnsi="宋体" w:cs="宋体"/>
                <w:bCs/>
                <w:snapToGrid w:val="0"/>
                <w:color w:val="auto"/>
                <w:szCs w:val="21"/>
                <w:highlight w:val="none"/>
                <w:u w:val="single"/>
              </w:rPr>
            </w:pPr>
            <w:r>
              <w:rPr>
                <w:rFonts w:hint="eastAsia" w:hAnsi="宋体" w:cs="宋体"/>
                <w:bCs/>
                <w:snapToGrid w:val="0"/>
                <w:color w:val="auto"/>
                <w:szCs w:val="21"/>
                <w:highlight w:val="none"/>
              </w:rPr>
              <w:t>开标时间：同投标截止时间。</w:t>
            </w:r>
          </w:p>
          <w:p>
            <w:pPr>
              <w:snapToGrid w:val="0"/>
              <w:spacing w:line="400" w:lineRule="exact"/>
              <w:ind w:right="-21" w:rightChars="-10" w:firstLine="2"/>
              <w:rPr>
                <w:rFonts w:hAnsi="宋体" w:cs="宋体"/>
                <w:snapToGrid w:val="0"/>
                <w:color w:val="auto"/>
                <w:szCs w:val="21"/>
                <w:highlight w:val="none"/>
              </w:rPr>
            </w:pPr>
            <w:r>
              <w:rPr>
                <w:rFonts w:hint="eastAsia" w:hAnsi="宋体" w:cs="宋体"/>
                <w:bCs/>
                <w:snapToGrid w:val="0"/>
                <w:color w:val="auto"/>
                <w:szCs w:val="21"/>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5.2.1</w:t>
            </w:r>
          </w:p>
        </w:tc>
        <w:tc>
          <w:tcPr>
            <w:tcW w:w="1930" w:type="dxa"/>
            <w:vAlign w:val="center"/>
          </w:tcPr>
          <w:p>
            <w:pPr>
              <w:autoSpaceDE w:val="0"/>
              <w:autoSpaceDN w:val="0"/>
              <w:adjustRightInd w:val="0"/>
              <w:snapToGrid w:val="0"/>
              <w:spacing w:line="400" w:lineRule="exact"/>
              <w:jc w:val="center"/>
              <w:rPr>
                <w:rFonts w:hAnsi="宋体" w:cs="宋体"/>
                <w:color w:val="auto"/>
                <w:szCs w:val="21"/>
                <w:highlight w:val="none"/>
              </w:rPr>
            </w:pPr>
            <w:r>
              <w:rPr>
                <w:rFonts w:hint="eastAsia" w:hAnsi="宋体" w:cs="宋体"/>
                <w:color w:val="auto"/>
                <w:szCs w:val="21"/>
                <w:highlight w:val="none"/>
              </w:rPr>
              <w:t>开标时应携带的资料</w:t>
            </w:r>
          </w:p>
        </w:tc>
        <w:tc>
          <w:tcPr>
            <w:tcW w:w="6883" w:type="dxa"/>
            <w:vAlign w:val="center"/>
          </w:tcPr>
          <w:p>
            <w:pPr>
              <w:pStyle w:val="375"/>
              <w:snapToGrid w:val="0"/>
              <w:spacing w:line="36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pPr>
              <w:pStyle w:val="375"/>
              <w:snapToGrid w:val="0"/>
              <w:spacing w:line="360" w:lineRule="exact"/>
              <w:ind w:right="42" w:rightChars="20"/>
              <w:jc w:val="both"/>
              <w:rPr>
                <w:color w:val="auto"/>
                <w:highlight w:val="none"/>
                <w:lang w:eastAsia="zh-CN"/>
              </w:rPr>
            </w:pPr>
            <w:r>
              <w:rPr>
                <w:rFonts w:hint="eastAsia"/>
                <w:snapToGrid w:val="0"/>
                <w:color w:val="auto"/>
                <w:sz w:val="21"/>
                <w:szCs w:val="21"/>
                <w:highlight w:val="none"/>
                <w:lang w:eastAsia="zh-CN"/>
              </w:rPr>
              <w:t>注：投标文件递交有效（投标文件递交有效性以纸质投标文件递交时间为准，下同），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320" w:lineRule="exact"/>
              <w:jc w:val="center"/>
              <w:rPr>
                <w:rFonts w:hAnsi="宋体" w:cs="宋体"/>
                <w:snapToGrid w:val="0"/>
                <w:color w:val="auto"/>
                <w:szCs w:val="21"/>
                <w:highlight w:val="none"/>
              </w:rPr>
            </w:pPr>
            <w:r>
              <w:rPr>
                <w:rFonts w:hint="eastAsia" w:hAnsi="宋体" w:cs="宋体"/>
                <w:snapToGrid w:val="0"/>
                <w:color w:val="auto"/>
                <w:szCs w:val="21"/>
                <w:highlight w:val="none"/>
              </w:rPr>
              <w:t>5.3.1</w:t>
            </w:r>
          </w:p>
        </w:tc>
        <w:tc>
          <w:tcPr>
            <w:tcW w:w="1930" w:type="dxa"/>
            <w:vAlign w:val="center"/>
          </w:tcPr>
          <w:p>
            <w:pPr>
              <w:autoSpaceDE w:val="0"/>
              <w:autoSpaceDN w:val="0"/>
              <w:adjustRightInd w:val="0"/>
              <w:snapToGrid w:val="0"/>
              <w:spacing w:line="320" w:lineRule="exact"/>
              <w:jc w:val="center"/>
              <w:rPr>
                <w:rFonts w:hAnsi="宋体" w:cs="宋体"/>
                <w:snapToGrid w:val="0"/>
                <w:color w:val="auto"/>
                <w:szCs w:val="21"/>
                <w:highlight w:val="none"/>
              </w:rPr>
            </w:pPr>
            <w:r>
              <w:rPr>
                <w:rFonts w:hint="eastAsia" w:hAnsi="宋体" w:cs="宋体"/>
                <w:snapToGrid w:val="0"/>
                <w:color w:val="auto"/>
                <w:szCs w:val="21"/>
                <w:highlight w:val="none"/>
              </w:rPr>
              <w:t>开标顺序</w:t>
            </w:r>
          </w:p>
        </w:tc>
        <w:tc>
          <w:tcPr>
            <w:tcW w:w="6883" w:type="dxa"/>
            <w:vAlign w:val="center"/>
          </w:tcPr>
          <w:p>
            <w:pPr>
              <w:autoSpaceDE w:val="0"/>
              <w:autoSpaceDN w:val="0"/>
              <w:adjustRightInd w:val="0"/>
              <w:snapToGrid w:val="0"/>
              <w:spacing w:line="320" w:lineRule="exact"/>
              <w:jc w:val="left"/>
              <w:rPr>
                <w:rFonts w:hAnsi="宋体"/>
                <w:color w:val="auto"/>
                <w:szCs w:val="21"/>
                <w:highlight w:val="none"/>
              </w:rPr>
            </w:pPr>
            <w:r>
              <w:rPr>
                <w:rFonts w:hint="eastAsia" w:hAnsi="宋体"/>
                <w:color w:val="auto"/>
                <w:szCs w:val="21"/>
                <w:highlight w:val="none"/>
              </w:rPr>
              <w:t>按照投标文件后递交先启封的顺序确定。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ascii="Arial" w:hAnsi="Arial" w:cs="Arial"/>
                <w:snapToGrid w:val="0"/>
                <w:color w:val="auto"/>
                <w:szCs w:val="21"/>
                <w:highlight w:val="none"/>
              </w:rPr>
            </w:pPr>
            <w:r>
              <w:rPr>
                <w:rFonts w:hint="eastAsia" w:hAnsi="宋体" w:cs="宋体"/>
                <w:snapToGrid w:val="0"/>
                <w:color w:val="auto"/>
                <w:szCs w:val="21"/>
                <w:highlight w:val="none"/>
              </w:rPr>
              <w:t>6.1.1</w:t>
            </w:r>
          </w:p>
        </w:tc>
        <w:tc>
          <w:tcPr>
            <w:tcW w:w="1930" w:type="dxa"/>
            <w:vAlign w:val="center"/>
          </w:tcPr>
          <w:p>
            <w:pPr>
              <w:autoSpaceDE w:val="0"/>
              <w:autoSpaceDN w:val="0"/>
              <w:adjustRightInd w:val="0"/>
              <w:snapToGrid w:val="0"/>
              <w:spacing w:line="400" w:lineRule="exact"/>
              <w:jc w:val="center"/>
              <w:rPr>
                <w:rFonts w:ascii="Arial" w:hAnsi="Arial" w:cs="Arial"/>
                <w:snapToGrid w:val="0"/>
                <w:color w:val="auto"/>
                <w:szCs w:val="21"/>
                <w:highlight w:val="none"/>
              </w:rPr>
            </w:pPr>
            <w:r>
              <w:rPr>
                <w:rFonts w:ascii="Arial" w:hAnsi="Arial" w:cs="Arial"/>
                <w:snapToGrid w:val="0"/>
                <w:color w:val="auto"/>
                <w:szCs w:val="21"/>
                <w:highlight w:val="none"/>
              </w:rPr>
              <w:t>评标委员会的组建</w:t>
            </w:r>
          </w:p>
        </w:tc>
        <w:tc>
          <w:tcPr>
            <w:tcW w:w="6883" w:type="dxa"/>
            <w:vAlign w:val="center"/>
          </w:tcPr>
          <w:p>
            <w:pPr>
              <w:autoSpaceDE w:val="0"/>
              <w:autoSpaceDN w:val="0"/>
              <w:adjustRightInd w:val="0"/>
              <w:snapToGrid w:val="0"/>
              <w:spacing w:line="400" w:lineRule="exact"/>
              <w:rPr>
                <w:color w:val="auto"/>
                <w:highlight w:val="none"/>
              </w:rPr>
            </w:pPr>
            <w:r>
              <w:rPr>
                <w:rFonts w:hint="eastAsia"/>
                <w:color w:val="auto"/>
                <w:highlight w:val="none"/>
              </w:rPr>
              <w:t>评标委员</w:t>
            </w:r>
            <w:r>
              <w:rPr>
                <w:rFonts w:hint="eastAsia" w:hAnsi="宋体" w:cs="宋体"/>
                <w:snapToGrid w:val="0"/>
                <w:color w:val="auto"/>
                <w:szCs w:val="21"/>
                <w:highlight w:val="none"/>
              </w:rPr>
              <w:t>会人数：5人及以上单</w:t>
            </w:r>
            <w:r>
              <w:rPr>
                <w:rFonts w:hint="eastAsia"/>
                <w:color w:val="auto"/>
                <w:highlight w:val="none"/>
              </w:rPr>
              <w:t>数，其中招标人代表不超过三分之一，有关技术、经济方面的专家人数不少于三分之二。</w:t>
            </w:r>
          </w:p>
          <w:p>
            <w:pPr>
              <w:autoSpaceDE w:val="0"/>
              <w:autoSpaceDN w:val="0"/>
              <w:adjustRightInd w:val="0"/>
              <w:snapToGrid w:val="0"/>
              <w:spacing w:line="400" w:lineRule="exact"/>
              <w:rPr>
                <w:rFonts w:ascii="Arial" w:hAnsi="Arial" w:cs="Arial"/>
                <w:snapToGrid w:val="0"/>
                <w:color w:val="auto"/>
                <w:szCs w:val="21"/>
                <w:highlight w:val="none"/>
              </w:rPr>
            </w:pPr>
            <w:r>
              <w:rPr>
                <w:rFonts w:hint="eastAsia"/>
                <w:color w:val="auto"/>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6.3.2</w:t>
            </w:r>
          </w:p>
        </w:tc>
        <w:tc>
          <w:tcPr>
            <w:tcW w:w="1930" w:type="dxa"/>
            <w:vAlign w:val="center"/>
          </w:tcPr>
          <w:p>
            <w:pPr>
              <w:autoSpaceDE w:val="0"/>
              <w:autoSpaceDN w:val="0"/>
              <w:adjustRightInd w:val="0"/>
              <w:snapToGrid w:val="0"/>
              <w:spacing w:line="320" w:lineRule="exact"/>
              <w:jc w:val="center"/>
              <w:rPr>
                <w:rFonts w:hAnsi="宋体" w:cs="宋体"/>
                <w:snapToGrid w:val="0"/>
                <w:color w:val="auto"/>
                <w:szCs w:val="21"/>
                <w:highlight w:val="none"/>
              </w:rPr>
            </w:pPr>
            <w:r>
              <w:rPr>
                <w:rFonts w:hint="eastAsia" w:hAnsi="宋体" w:cs="宋体"/>
                <w:snapToGrid w:val="0"/>
                <w:color w:val="auto"/>
                <w:szCs w:val="21"/>
                <w:highlight w:val="none"/>
              </w:rPr>
              <w:t>评标办法</w:t>
            </w:r>
          </w:p>
          <w:p>
            <w:pPr>
              <w:autoSpaceDE w:val="0"/>
              <w:autoSpaceDN w:val="0"/>
              <w:adjustRightInd w:val="0"/>
              <w:snapToGrid w:val="0"/>
              <w:spacing w:line="320" w:lineRule="exact"/>
              <w:jc w:val="center"/>
              <w:rPr>
                <w:rFonts w:hAnsi="宋体" w:cs="宋体"/>
                <w:color w:val="auto"/>
                <w:szCs w:val="21"/>
                <w:highlight w:val="none"/>
              </w:rPr>
            </w:pPr>
            <w:r>
              <w:rPr>
                <w:rFonts w:hint="eastAsia" w:hAnsi="宋体" w:cs="宋体"/>
                <w:snapToGrid w:val="0"/>
                <w:color w:val="auto"/>
                <w:szCs w:val="21"/>
                <w:highlight w:val="none"/>
              </w:rPr>
              <w:t>及否决投标条款</w:t>
            </w:r>
          </w:p>
        </w:tc>
        <w:tc>
          <w:tcPr>
            <w:tcW w:w="6883" w:type="dxa"/>
            <w:vAlign w:val="center"/>
          </w:tcPr>
          <w:p>
            <w:pPr>
              <w:autoSpaceDE w:val="0"/>
              <w:autoSpaceDN w:val="0"/>
              <w:adjustRightInd w:val="0"/>
              <w:snapToGrid w:val="0"/>
              <w:spacing w:line="320" w:lineRule="exact"/>
              <w:rPr>
                <w:color w:val="auto"/>
                <w:highlight w:val="none"/>
              </w:rPr>
            </w:pPr>
            <w:r>
              <w:rPr>
                <w:rFonts w:hint="eastAsia" w:hAnsi="宋体" w:cs="宋体"/>
                <w:color w:val="auto"/>
                <w:highlight w:val="none"/>
              </w:rPr>
              <w:sym w:font="Wingdings 2" w:char="0052"/>
            </w:r>
            <w:r>
              <w:rPr>
                <w:rFonts w:hint="eastAsia" w:hAnsi="宋体" w:cs="宋体"/>
                <w:color w:val="auto"/>
                <w:highlight w:val="none"/>
              </w:rPr>
              <w:t>综合评估法</w:t>
            </w:r>
          </w:p>
          <w:p>
            <w:pPr>
              <w:autoSpaceDE w:val="0"/>
              <w:autoSpaceDN w:val="0"/>
              <w:adjustRightInd w:val="0"/>
              <w:snapToGrid w:val="0"/>
              <w:spacing w:line="320" w:lineRule="exact"/>
              <w:rPr>
                <w:rFonts w:hAnsi="宋体" w:cs="宋体"/>
                <w:b/>
                <w:color w:val="auto"/>
                <w:szCs w:val="21"/>
                <w:highlight w:val="none"/>
              </w:rPr>
            </w:pPr>
            <w:r>
              <w:rPr>
                <w:rFonts w:hint="eastAsia"/>
                <w:snapToGrid w:val="0"/>
                <w:color w:val="auto"/>
                <w:szCs w:val="21"/>
                <w:highlight w:val="none"/>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320" w:lineRule="exact"/>
              <w:jc w:val="center"/>
              <w:rPr>
                <w:rFonts w:hAnsi="宋体" w:cs="宋体"/>
                <w:snapToGrid w:val="0"/>
                <w:color w:val="auto"/>
                <w:szCs w:val="21"/>
                <w:highlight w:val="none"/>
              </w:rPr>
            </w:pPr>
            <w:r>
              <w:rPr>
                <w:rFonts w:hint="eastAsia" w:hAnsi="宋体" w:cs="宋体"/>
                <w:snapToGrid w:val="0"/>
                <w:color w:val="auto"/>
                <w:szCs w:val="21"/>
                <w:highlight w:val="none"/>
              </w:rPr>
              <w:t>6.3.3</w:t>
            </w:r>
          </w:p>
        </w:tc>
        <w:tc>
          <w:tcPr>
            <w:tcW w:w="1930" w:type="dxa"/>
            <w:vAlign w:val="center"/>
          </w:tcPr>
          <w:p>
            <w:pPr>
              <w:pStyle w:val="375"/>
              <w:adjustRightInd w:val="0"/>
              <w:snapToGrid w:val="0"/>
              <w:spacing w:line="320" w:lineRule="exact"/>
              <w:jc w:val="center"/>
              <w:rPr>
                <w:snapToGrid w:val="0"/>
                <w:color w:val="auto"/>
                <w:sz w:val="21"/>
                <w:szCs w:val="21"/>
                <w:highlight w:val="none"/>
                <w:lang w:eastAsia="zh-CN"/>
              </w:rPr>
            </w:pPr>
            <w:r>
              <w:rPr>
                <w:snapToGrid w:val="0"/>
                <w:color w:val="auto"/>
                <w:sz w:val="21"/>
                <w:szCs w:val="21"/>
                <w:highlight w:val="none"/>
                <w:lang w:eastAsia="zh-CN"/>
              </w:rPr>
              <w:t>评标委员会推荐中标候选人的人数</w:t>
            </w:r>
          </w:p>
        </w:tc>
        <w:tc>
          <w:tcPr>
            <w:tcW w:w="6883" w:type="dxa"/>
            <w:vAlign w:val="center"/>
          </w:tcPr>
          <w:p>
            <w:pPr>
              <w:pStyle w:val="375"/>
              <w:snapToGrid w:val="0"/>
              <w:spacing w:line="320" w:lineRule="exact"/>
              <w:ind w:left="103" w:right="42" w:rightChars="20"/>
              <w:jc w:val="both"/>
              <w:rPr>
                <w:i/>
                <w:snapToGrid w:val="0"/>
                <w:color w:val="auto"/>
                <w:szCs w:val="21"/>
                <w:highlight w:val="none"/>
                <w:lang w:eastAsia="zh-CN"/>
              </w:rPr>
            </w:pPr>
            <w:r>
              <w:rPr>
                <w:rFonts w:hint="eastAsia"/>
                <w:snapToGrid w:val="0"/>
                <w:color w:val="auto"/>
                <w:szCs w:val="21"/>
                <w:highlight w:val="none"/>
                <w:u w:val="single"/>
                <w:lang w:eastAsia="zh-CN"/>
              </w:rPr>
              <w:t xml:space="preserve"> 1</w:t>
            </w:r>
            <w:r>
              <w:rPr>
                <w:rFonts w:hint="eastAsia"/>
                <w:snapToGrid w:val="0"/>
                <w:color w:val="auto"/>
                <w:szCs w:val="21"/>
                <w:highlight w:val="none"/>
                <w:u w:val="single"/>
              </w:rPr>
              <w:t xml:space="preserve"> </w:t>
            </w:r>
            <w:r>
              <w:rPr>
                <w:rFonts w:hint="eastAsia"/>
                <w:snapToGrid w:val="0"/>
                <w:color w:val="auto"/>
                <w:szCs w:val="21"/>
                <w:highlight w:val="none"/>
              </w:rPr>
              <w:t>人</w:t>
            </w:r>
            <w:r>
              <w:rPr>
                <w:rFonts w:hint="eastAsia"/>
                <w:snapToGrid w:val="0"/>
                <w:color w:val="auto"/>
                <w:szCs w:val="21"/>
                <w:highlight w:val="none"/>
                <w:lang w:eastAsia="zh-CN"/>
              </w:rPr>
              <w:t>（一般为1～3人）。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8.2.1</w:t>
            </w:r>
          </w:p>
        </w:tc>
        <w:tc>
          <w:tcPr>
            <w:tcW w:w="1930" w:type="dxa"/>
            <w:vAlign w:val="center"/>
          </w:tcPr>
          <w:p>
            <w:pPr>
              <w:autoSpaceDE w:val="0"/>
              <w:autoSpaceDN w:val="0"/>
              <w:adjustRightInd w:val="0"/>
              <w:snapToGrid w:val="0"/>
              <w:spacing w:line="400" w:lineRule="exact"/>
              <w:jc w:val="center"/>
              <w:rPr>
                <w:rFonts w:hAnsi="宋体" w:cs="宋体"/>
                <w:b/>
                <w:snapToGrid w:val="0"/>
                <w:color w:val="auto"/>
                <w:szCs w:val="21"/>
                <w:highlight w:val="none"/>
              </w:rPr>
            </w:pPr>
            <w:r>
              <w:rPr>
                <w:rFonts w:hint="eastAsia" w:hAnsi="宋体" w:cs="宋体"/>
                <w:snapToGrid w:val="0"/>
                <w:color w:val="auto"/>
                <w:szCs w:val="21"/>
                <w:highlight w:val="none"/>
              </w:rPr>
              <w:t>履约保证金</w:t>
            </w:r>
          </w:p>
        </w:tc>
        <w:tc>
          <w:tcPr>
            <w:tcW w:w="6883" w:type="dxa"/>
            <w:vAlign w:val="center"/>
          </w:tcPr>
          <w:p>
            <w:pPr>
              <w:autoSpaceDE w:val="0"/>
              <w:autoSpaceDN w:val="0"/>
              <w:adjustRightInd w:val="0"/>
              <w:snapToGrid w:val="0"/>
              <w:spacing w:line="400" w:lineRule="exact"/>
              <w:rPr>
                <w:color w:val="auto"/>
                <w:highlight w:val="none"/>
              </w:rPr>
            </w:pPr>
            <w:r>
              <w:rPr>
                <w:rFonts w:hint="eastAsia"/>
                <w:color w:val="auto"/>
                <w:highlight w:val="none"/>
              </w:rPr>
              <w:t>1、履约保证金缴纳信息：</w:t>
            </w:r>
          </w:p>
          <w:p>
            <w:pPr>
              <w:autoSpaceDE w:val="0"/>
              <w:autoSpaceDN w:val="0"/>
              <w:adjustRightInd w:val="0"/>
              <w:snapToGrid w:val="0"/>
              <w:spacing w:line="400" w:lineRule="exact"/>
              <w:jc w:val="left"/>
              <w:rPr>
                <w:color w:val="auto"/>
                <w:highlight w:val="none"/>
              </w:rPr>
            </w:pPr>
            <w:r>
              <w:rPr>
                <w:rFonts w:hint="eastAsia"/>
                <w:color w:val="auto"/>
                <w:highlight w:val="none"/>
              </w:rPr>
              <w:t>履约保证金金额：合同价的10%</w:t>
            </w:r>
          </w:p>
          <w:p>
            <w:pPr>
              <w:autoSpaceDE w:val="0"/>
              <w:autoSpaceDN w:val="0"/>
              <w:adjustRightInd w:val="0"/>
              <w:snapToGrid w:val="0"/>
              <w:spacing w:line="400" w:lineRule="exact"/>
              <w:jc w:val="left"/>
              <w:rPr>
                <w:color w:val="auto"/>
                <w:highlight w:val="none"/>
              </w:rPr>
            </w:pPr>
            <w:r>
              <w:rPr>
                <w:rFonts w:hint="eastAsia"/>
                <w:color w:val="auto"/>
                <w:highlight w:val="none"/>
              </w:rPr>
              <w:t>履约保证金缴纳形式：支票/汇票/电汇/转账</w:t>
            </w:r>
          </w:p>
          <w:p>
            <w:pPr>
              <w:autoSpaceDE w:val="0"/>
              <w:autoSpaceDN w:val="0"/>
              <w:adjustRightInd w:val="0"/>
              <w:snapToGrid w:val="0"/>
              <w:spacing w:line="400" w:lineRule="exact"/>
              <w:jc w:val="left"/>
              <w:rPr>
                <w:color w:val="auto"/>
                <w:highlight w:val="none"/>
              </w:rPr>
            </w:pPr>
            <w:r>
              <w:rPr>
                <w:rFonts w:hint="eastAsia"/>
                <w:color w:val="auto"/>
                <w:highlight w:val="none"/>
              </w:rPr>
              <w:t>履约保证金缴纳时间：中标通知书领取之后，合同签订之前</w:t>
            </w:r>
          </w:p>
          <w:p>
            <w:pPr>
              <w:autoSpaceDE w:val="0"/>
              <w:autoSpaceDN w:val="0"/>
              <w:adjustRightInd w:val="0"/>
              <w:snapToGrid w:val="0"/>
              <w:spacing w:line="400" w:lineRule="exact"/>
              <w:jc w:val="left"/>
              <w:rPr>
                <w:color w:val="auto"/>
                <w:highlight w:val="none"/>
              </w:rPr>
            </w:pPr>
            <w:r>
              <w:rPr>
                <w:rFonts w:hint="eastAsia"/>
                <w:color w:val="auto"/>
                <w:highlight w:val="none"/>
              </w:rPr>
              <w:t>履约保证金接收人：</w:t>
            </w:r>
            <w:r>
              <w:rPr>
                <w:rFonts w:hint="eastAsia" w:hAnsi="宋体"/>
                <w:color w:val="auto"/>
                <w:szCs w:val="21"/>
                <w:highlight w:val="none"/>
              </w:rPr>
              <w:t>杭州</w:t>
            </w:r>
            <w:r>
              <w:rPr>
                <w:rFonts w:hint="eastAsia"/>
                <w:color w:val="auto"/>
                <w:szCs w:val="21"/>
                <w:highlight w:val="none"/>
              </w:rPr>
              <w:t>临江</w:t>
            </w:r>
            <w:r>
              <w:rPr>
                <w:rFonts w:hint="eastAsia" w:hAnsi="宋体"/>
                <w:color w:val="auto"/>
                <w:szCs w:val="21"/>
                <w:highlight w:val="none"/>
              </w:rPr>
              <w:t>环境</w:t>
            </w:r>
            <w:r>
              <w:rPr>
                <w:rFonts w:hint="eastAsia"/>
                <w:color w:val="auto"/>
                <w:szCs w:val="21"/>
                <w:highlight w:val="none"/>
              </w:rPr>
              <w:t>能源</w:t>
            </w:r>
            <w:r>
              <w:rPr>
                <w:rFonts w:hint="eastAsia" w:hAnsi="宋体"/>
                <w:color w:val="auto"/>
                <w:szCs w:val="21"/>
                <w:highlight w:val="none"/>
              </w:rPr>
              <w:t>有限公司</w:t>
            </w:r>
          </w:p>
          <w:p>
            <w:pPr>
              <w:autoSpaceDE w:val="0"/>
              <w:autoSpaceDN w:val="0"/>
              <w:adjustRightInd w:val="0"/>
              <w:snapToGrid w:val="0"/>
              <w:spacing w:line="400" w:lineRule="exact"/>
              <w:jc w:val="left"/>
              <w:rPr>
                <w:color w:val="auto"/>
                <w:highlight w:val="none"/>
              </w:rPr>
            </w:pPr>
            <w:r>
              <w:rPr>
                <w:rFonts w:hint="eastAsia"/>
                <w:color w:val="auto"/>
                <w:highlight w:val="none"/>
              </w:rPr>
              <w:t>履约保证金退还：在本项目合同到期或终止后30日内，双方不存在争议，在扣除需支付的违约金后，余额退还（无息）。</w:t>
            </w:r>
          </w:p>
          <w:p>
            <w:pPr>
              <w:autoSpaceDE w:val="0"/>
              <w:autoSpaceDN w:val="0"/>
              <w:adjustRightInd w:val="0"/>
              <w:snapToGrid w:val="0"/>
              <w:spacing w:line="400" w:lineRule="exact"/>
              <w:rPr>
                <w:color w:val="auto"/>
                <w:highlight w:val="none"/>
              </w:rPr>
            </w:pPr>
            <w:r>
              <w:rPr>
                <w:rFonts w:hint="eastAsia"/>
                <w:color w:val="auto"/>
                <w:highlight w:val="none"/>
              </w:rPr>
              <w:t>2、履约保证金的打款账户信息如下：</w:t>
            </w:r>
          </w:p>
          <w:p>
            <w:pPr>
              <w:autoSpaceDE w:val="0"/>
              <w:autoSpaceDN w:val="0"/>
              <w:adjustRightInd w:val="0"/>
              <w:snapToGrid w:val="0"/>
              <w:spacing w:line="400" w:lineRule="exact"/>
              <w:rPr>
                <w:color w:val="auto"/>
                <w:highlight w:val="none"/>
              </w:rPr>
            </w:pPr>
            <w:r>
              <w:rPr>
                <w:rFonts w:hint="eastAsia"/>
                <w:color w:val="auto"/>
                <w:highlight w:val="none"/>
              </w:rPr>
              <w:t>收款单位（户名）：</w:t>
            </w:r>
            <w:r>
              <w:rPr>
                <w:rFonts w:hint="eastAsia" w:hAnsi="宋体"/>
                <w:color w:val="auto"/>
                <w:szCs w:val="21"/>
                <w:highlight w:val="none"/>
              </w:rPr>
              <w:t>杭州</w:t>
            </w:r>
            <w:r>
              <w:rPr>
                <w:rFonts w:hint="eastAsia"/>
                <w:color w:val="auto"/>
                <w:szCs w:val="21"/>
                <w:highlight w:val="none"/>
              </w:rPr>
              <w:t>临江</w:t>
            </w:r>
            <w:r>
              <w:rPr>
                <w:rFonts w:hint="eastAsia" w:hAnsi="宋体"/>
                <w:color w:val="auto"/>
                <w:szCs w:val="21"/>
                <w:highlight w:val="none"/>
              </w:rPr>
              <w:t>环境</w:t>
            </w:r>
            <w:r>
              <w:rPr>
                <w:rFonts w:hint="eastAsia"/>
                <w:color w:val="auto"/>
                <w:szCs w:val="21"/>
                <w:highlight w:val="none"/>
              </w:rPr>
              <w:t>能源</w:t>
            </w:r>
            <w:r>
              <w:rPr>
                <w:rFonts w:hint="eastAsia" w:hAnsi="宋体"/>
                <w:color w:val="auto"/>
                <w:szCs w:val="21"/>
                <w:highlight w:val="none"/>
              </w:rPr>
              <w:t>有限公司</w:t>
            </w:r>
          </w:p>
          <w:p>
            <w:pPr>
              <w:autoSpaceDE w:val="0"/>
              <w:autoSpaceDN w:val="0"/>
              <w:adjustRightInd w:val="0"/>
              <w:snapToGrid w:val="0"/>
              <w:spacing w:line="400" w:lineRule="exact"/>
              <w:rPr>
                <w:color w:val="auto"/>
                <w:highlight w:val="none"/>
              </w:rPr>
            </w:pPr>
            <w:r>
              <w:rPr>
                <w:rFonts w:hint="eastAsia"/>
                <w:color w:val="auto"/>
                <w:highlight w:val="none"/>
              </w:rPr>
              <w:t>账号：</w:t>
            </w:r>
            <w:r>
              <w:rPr>
                <w:rFonts w:hint="eastAsia" w:hAnsi="宋体" w:cs="宋体"/>
                <w:color w:val="auto"/>
                <w:highlight w:val="none"/>
              </w:rPr>
              <w:t>3301040160008775754</w:t>
            </w:r>
          </w:p>
          <w:p>
            <w:pPr>
              <w:autoSpaceDE w:val="0"/>
              <w:autoSpaceDN w:val="0"/>
              <w:adjustRightInd w:val="0"/>
              <w:snapToGrid w:val="0"/>
              <w:spacing w:line="400" w:lineRule="exact"/>
              <w:rPr>
                <w:color w:val="auto"/>
                <w:highlight w:val="none"/>
              </w:rPr>
            </w:pPr>
            <w:r>
              <w:rPr>
                <w:rFonts w:hint="eastAsia"/>
                <w:color w:val="auto"/>
                <w:highlight w:val="none"/>
              </w:rPr>
              <w:t>开户行：</w:t>
            </w:r>
            <w:r>
              <w:rPr>
                <w:rFonts w:hint="eastAsia"/>
                <w:color w:val="auto"/>
                <w:szCs w:val="21"/>
                <w:highlight w:val="none"/>
              </w:rPr>
              <w:t>杭州银行大江东支行</w:t>
            </w:r>
          </w:p>
          <w:p>
            <w:pPr>
              <w:pStyle w:val="259"/>
              <w:spacing w:after="0" w:line="400" w:lineRule="exact"/>
              <w:jc w:val="left"/>
              <w:rPr>
                <w:rFonts w:hAnsi="宋体" w:cs="宋体"/>
                <w:color w:val="auto"/>
                <w:kern w:val="2"/>
                <w:sz w:val="21"/>
                <w:szCs w:val="24"/>
                <w:highlight w:val="none"/>
              </w:rPr>
            </w:pPr>
            <w:r>
              <w:rPr>
                <w:rFonts w:hint="eastAsia" w:hAnsi="宋体" w:cs="宋体"/>
                <w:color w:val="auto"/>
                <w:kern w:val="2"/>
                <w:sz w:val="21"/>
                <w:szCs w:val="24"/>
                <w:highlight w:val="none"/>
              </w:rPr>
              <w:t>3、其他说明：</w:t>
            </w:r>
          </w:p>
          <w:p>
            <w:pPr>
              <w:pStyle w:val="259"/>
              <w:spacing w:after="0" w:line="400" w:lineRule="exact"/>
              <w:jc w:val="left"/>
              <w:rPr>
                <w:rFonts w:hAnsi="宋体" w:cs="宋体"/>
                <w:color w:val="auto"/>
                <w:highlight w:val="none"/>
              </w:rPr>
            </w:pPr>
            <w:r>
              <w:rPr>
                <w:rFonts w:hint="eastAsia"/>
                <w:color w:val="auto"/>
                <w:spacing w:val="0"/>
                <w:sz w:val="21"/>
                <w:highlight w:val="none"/>
              </w:rPr>
              <w:t>投标人在履约保证金缴纳时必须注明项目名称和招标编号。投标人应将履约保证金的汇款或转账凭证在收到中标通知书后，合同签订前提交招标人。如超出期限未缴纳的，招标人将视其拒绝履行投标承诺，招标人有权单方取消其中标资格，并罚没其投标保证金。招标人还有权将其列入供应商不良行为记录名单（即黑名单），取消其被列入名单后二年内在招标人及其下属全资、控股企业的任何招标或采购中的供应商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11.1</w:t>
            </w:r>
          </w:p>
        </w:tc>
        <w:tc>
          <w:tcPr>
            <w:tcW w:w="8813" w:type="dxa"/>
            <w:gridSpan w:val="2"/>
            <w:vAlign w:val="center"/>
          </w:tcPr>
          <w:p>
            <w:pPr>
              <w:autoSpaceDE w:val="0"/>
              <w:autoSpaceDN w:val="0"/>
              <w:adjustRightInd w:val="0"/>
              <w:snapToGrid w:val="0"/>
              <w:spacing w:line="400" w:lineRule="exact"/>
              <w:jc w:val="center"/>
              <w:rPr>
                <w:rFonts w:hAnsi="宋体" w:cs="宋体"/>
                <w:b/>
                <w:snapToGrid w:val="0"/>
                <w:color w:val="auto"/>
                <w:szCs w:val="21"/>
                <w:highlight w:val="none"/>
              </w:rPr>
            </w:pPr>
            <w:r>
              <w:rPr>
                <w:rFonts w:hint="eastAsia" w:hAnsi="宋体" w:cs="宋体"/>
                <w:snapToGrid w:val="0"/>
                <w:color w:val="auto"/>
                <w:szCs w:val="21"/>
                <w:highlight w:val="none"/>
              </w:rPr>
              <w:t>需要补充</w:t>
            </w:r>
            <w:r>
              <w:rPr>
                <w:rFonts w:hint="eastAsia" w:hAnsi="宋体" w:cs="宋体"/>
                <w:snapToGrid w:val="0"/>
                <w:color w:val="auto"/>
                <w:szCs w:val="21"/>
                <w:highlight w:val="none"/>
                <w:lang w:eastAsia="zh-CN"/>
              </w:rPr>
              <w:t>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11.1.1</w:t>
            </w:r>
          </w:p>
        </w:tc>
        <w:tc>
          <w:tcPr>
            <w:tcW w:w="1930" w:type="dxa"/>
            <w:vAlign w:val="center"/>
          </w:tcPr>
          <w:p>
            <w:pPr>
              <w:autoSpaceDE w:val="0"/>
              <w:autoSpaceDN w:val="0"/>
              <w:adjustRightInd w:val="0"/>
              <w:snapToGrid w:val="0"/>
              <w:spacing w:line="400" w:lineRule="exact"/>
              <w:jc w:val="center"/>
              <w:rPr>
                <w:rFonts w:hAnsi="宋体" w:cs="宋体"/>
                <w:b/>
                <w:snapToGrid w:val="0"/>
                <w:color w:val="auto"/>
                <w:szCs w:val="21"/>
                <w:highlight w:val="none"/>
              </w:rPr>
            </w:pPr>
            <w:r>
              <w:rPr>
                <w:rFonts w:hint="eastAsia" w:hAnsi="宋体" w:cs="宋体"/>
                <w:b/>
                <w:snapToGrid w:val="0"/>
                <w:color w:val="auto"/>
                <w:szCs w:val="21"/>
                <w:highlight w:val="none"/>
              </w:rPr>
              <w:t>备注</w:t>
            </w:r>
          </w:p>
        </w:tc>
        <w:tc>
          <w:tcPr>
            <w:tcW w:w="6883" w:type="dxa"/>
            <w:vAlign w:val="center"/>
          </w:tcPr>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rPr>
              <w:t>（1）投标人须知内容和本前附表内容不一致的，以本前附表中所载内容为准。</w:t>
            </w:r>
          </w:p>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rPr>
              <w:t>（2）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adjustRightInd w:val="0"/>
              <w:snapToGrid w:val="0"/>
              <w:spacing w:line="400" w:lineRule="exact"/>
              <w:rPr>
                <w:rFonts w:hAnsi="宋体" w:cs="宋体"/>
                <w:color w:val="auto"/>
                <w:szCs w:val="21"/>
                <w:highlight w:val="none"/>
              </w:rPr>
            </w:pPr>
            <w:r>
              <w:rPr>
                <w:rFonts w:hint="eastAsia" w:hAnsi="宋体" w:cs="宋体"/>
                <w:snapToGrid w:val="0"/>
                <w:color w:val="auto"/>
                <w:szCs w:val="21"/>
                <w:highlight w:val="none"/>
              </w:rPr>
              <w:t xml:space="preserve">（3）招标人认为需要补充的其他内容：/  </w:t>
            </w:r>
          </w:p>
        </w:tc>
      </w:tr>
      <w:bookmarkEnd w:id="14"/>
      <w:bookmarkEnd w:id="15"/>
      <w:bookmarkEnd w:id="16"/>
      <w:bookmarkEnd w:id="17"/>
      <w:bookmarkEnd w:id="18"/>
      <w:bookmarkEnd w:id="19"/>
      <w:bookmarkEnd w:id="20"/>
    </w:tbl>
    <w:p>
      <w:pPr>
        <w:snapToGrid w:val="0"/>
        <w:spacing w:line="360" w:lineRule="auto"/>
        <w:jc w:val="center"/>
        <w:outlineLvl w:val="1"/>
        <w:rPr>
          <w:rFonts w:hAnsi="宋体"/>
          <w:b/>
          <w:snapToGrid w:val="0"/>
          <w:color w:val="auto"/>
          <w:sz w:val="24"/>
          <w:highlight w:val="none"/>
        </w:rPr>
      </w:pPr>
      <w:bookmarkStart w:id="26" w:name="_Toc14514"/>
      <w:bookmarkStart w:id="27" w:name="_Toc31796"/>
      <w:bookmarkStart w:id="28" w:name="_Toc11633"/>
      <w:bookmarkStart w:id="29" w:name="_Toc9027"/>
      <w:bookmarkStart w:id="30" w:name="_Toc529913004"/>
      <w:bookmarkStart w:id="31" w:name="_Toc364155371"/>
      <w:bookmarkStart w:id="32" w:name="_Toc26271812"/>
      <w:bookmarkStart w:id="33" w:name="_Toc5874"/>
    </w:p>
    <w:p>
      <w:pPr>
        <w:snapToGrid w:val="0"/>
        <w:spacing w:line="360" w:lineRule="auto"/>
        <w:jc w:val="center"/>
        <w:outlineLvl w:val="1"/>
        <w:rPr>
          <w:rFonts w:hAnsi="宋体"/>
          <w:b/>
          <w:snapToGrid w:val="0"/>
          <w:color w:val="auto"/>
          <w:sz w:val="24"/>
          <w:highlight w:val="none"/>
        </w:rPr>
      </w:pPr>
    </w:p>
    <w:p>
      <w:pPr>
        <w:snapToGrid w:val="0"/>
        <w:spacing w:line="360" w:lineRule="auto"/>
        <w:jc w:val="center"/>
        <w:outlineLvl w:val="1"/>
        <w:rPr>
          <w:rFonts w:hAnsi="宋体"/>
          <w:b/>
          <w:snapToGrid w:val="0"/>
          <w:color w:val="auto"/>
          <w:sz w:val="24"/>
          <w:highlight w:val="none"/>
        </w:rPr>
      </w:pPr>
    </w:p>
    <w:p>
      <w:pPr>
        <w:snapToGrid w:val="0"/>
        <w:spacing w:line="360" w:lineRule="auto"/>
        <w:jc w:val="center"/>
        <w:outlineLvl w:val="1"/>
        <w:rPr>
          <w:rFonts w:hAnsi="宋体"/>
          <w:b/>
          <w:snapToGrid w:val="0"/>
          <w:color w:val="auto"/>
          <w:sz w:val="24"/>
          <w:highlight w:val="none"/>
        </w:rPr>
      </w:pPr>
    </w:p>
    <w:p>
      <w:pPr>
        <w:snapToGrid w:val="0"/>
        <w:spacing w:line="360" w:lineRule="auto"/>
        <w:jc w:val="center"/>
        <w:outlineLvl w:val="1"/>
        <w:rPr>
          <w:rFonts w:hAnsi="宋体"/>
          <w:b/>
          <w:snapToGrid w:val="0"/>
          <w:color w:val="auto"/>
          <w:sz w:val="24"/>
          <w:highlight w:val="none"/>
        </w:rPr>
      </w:pPr>
      <w:r>
        <w:rPr>
          <w:rFonts w:hAnsi="宋体"/>
          <w:b/>
          <w:snapToGrid w:val="0"/>
          <w:color w:val="auto"/>
          <w:sz w:val="24"/>
          <w:highlight w:val="none"/>
        </w:rPr>
        <w:t>1</w:t>
      </w:r>
      <w:r>
        <w:rPr>
          <w:rFonts w:hint="eastAsia" w:hAnsi="宋体"/>
          <w:b/>
          <w:snapToGrid w:val="0"/>
          <w:color w:val="auto"/>
          <w:sz w:val="24"/>
          <w:highlight w:val="none"/>
        </w:rPr>
        <w:t>、</w:t>
      </w:r>
      <w:r>
        <w:rPr>
          <w:rFonts w:hAnsi="宋体"/>
          <w:b/>
          <w:snapToGrid w:val="0"/>
          <w:color w:val="auto"/>
          <w:sz w:val="24"/>
          <w:highlight w:val="none"/>
        </w:rPr>
        <w:t>总则</w:t>
      </w:r>
    </w:p>
    <w:p>
      <w:pPr>
        <w:keepNext/>
        <w:keepLines/>
        <w:adjustRightInd w:val="0"/>
        <w:snapToGrid w:val="0"/>
        <w:spacing w:line="360" w:lineRule="auto"/>
        <w:jc w:val="left"/>
        <w:outlineLvl w:val="2"/>
        <w:rPr>
          <w:rFonts w:hAnsi="宋体"/>
          <w:b/>
          <w:bCs/>
          <w:snapToGrid w:val="0"/>
          <w:color w:val="auto"/>
          <w:szCs w:val="21"/>
          <w:highlight w:val="none"/>
        </w:rPr>
      </w:pPr>
      <w:bookmarkStart w:id="34" w:name="_Toc26216"/>
      <w:r>
        <w:rPr>
          <w:rFonts w:hAnsi="宋体"/>
          <w:b/>
          <w:bCs/>
          <w:snapToGrid w:val="0"/>
          <w:color w:val="auto"/>
          <w:szCs w:val="21"/>
          <w:highlight w:val="none"/>
        </w:rPr>
        <w:t>1.1项目</w:t>
      </w:r>
      <w:bookmarkEnd w:id="34"/>
      <w:r>
        <w:rPr>
          <w:rFonts w:hint="eastAsia" w:hAnsi="宋体"/>
          <w:b/>
          <w:bCs/>
          <w:snapToGrid w:val="0"/>
          <w:color w:val="auto"/>
          <w:szCs w:val="21"/>
          <w:highlight w:val="none"/>
        </w:rPr>
        <w:t>说明</w:t>
      </w:r>
    </w:p>
    <w:p>
      <w:pPr>
        <w:pStyle w:val="33"/>
        <w:adjustRightInd w:val="0"/>
        <w:snapToGrid w:val="0"/>
        <w:spacing w:after="0" w:line="360" w:lineRule="auto"/>
        <w:ind w:left="420" w:leftChars="200"/>
        <w:jc w:val="left"/>
        <w:rPr>
          <w:rFonts w:hAnsi="宋体"/>
          <w:snapToGrid w:val="0"/>
          <w:color w:val="auto"/>
          <w:szCs w:val="21"/>
          <w:highlight w:val="none"/>
        </w:rPr>
      </w:pPr>
      <w:r>
        <w:rPr>
          <w:rFonts w:hAnsi="宋体"/>
          <w:snapToGrid w:val="0"/>
          <w:color w:val="auto"/>
          <w:szCs w:val="21"/>
          <w:highlight w:val="none"/>
        </w:rPr>
        <w:t>1.1.1</w:t>
      </w:r>
      <w:r>
        <w:rPr>
          <w:rFonts w:hint="eastAsia" w:hAnsi="宋体"/>
          <w:snapToGrid w:val="0"/>
          <w:color w:val="auto"/>
          <w:szCs w:val="21"/>
          <w:highlight w:val="none"/>
        </w:rPr>
        <w:t>本项目招标</w:t>
      </w:r>
      <w:r>
        <w:rPr>
          <w:rFonts w:hint="eastAsia" w:hAnsi="宋体"/>
          <w:snapToGrid w:val="0"/>
          <w:color w:val="auto"/>
          <w:szCs w:val="21"/>
          <w:highlight w:val="none"/>
          <w:lang w:eastAsia="zh-CN"/>
        </w:rPr>
        <w:t>适用</w:t>
      </w:r>
      <w:r>
        <w:rPr>
          <w:rFonts w:hint="eastAsia" w:hAnsi="宋体"/>
          <w:snapToGrid w:val="0"/>
          <w:color w:val="auto"/>
          <w:szCs w:val="21"/>
          <w:highlight w:val="none"/>
        </w:rPr>
        <w:t>以下规定：</w:t>
      </w:r>
      <w:r>
        <w:rPr>
          <w:rFonts w:hAnsi="宋体"/>
          <w:snapToGrid w:val="0"/>
          <w:color w:val="auto"/>
          <w:szCs w:val="21"/>
          <w:highlight w:val="none"/>
        </w:rPr>
        <w:t>《中华人民共和国招标投标法</w:t>
      </w:r>
      <w:r>
        <w:rPr>
          <w:rFonts w:hint="eastAsia" w:hAnsi="宋体"/>
          <w:snapToGrid w:val="0"/>
          <w:color w:val="auto"/>
          <w:szCs w:val="21"/>
          <w:highlight w:val="none"/>
          <w:lang w:eastAsia="zh-CN"/>
        </w:rPr>
        <w:t>》《</w:t>
      </w:r>
      <w:r>
        <w:rPr>
          <w:rFonts w:hAnsi="宋体"/>
          <w:snapToGrid w:val="0"/>
          <w:color w:val="auto"/>
          <w:szCs w:val="21"/>
          <w:highlight w:val="none"/>
        </w:rPr>
        <w:t>中华人民共和国招标投标法实施条例》</w:t>
      </w:r>
      <w:r>
        <w:rPr>
          <w:rFonts w:hint="eastAsia" w:hAnsi="宋体"/>
          <w:snapToGrid w:val="0"/>
          <w:color w:val="auto"/>
          <w:szCs w:val="21"/>
          <w:highlight w:val="none"/>
        </w:rPr>
        <w:t>。</w:t>
      </w:r>
    </w:p>
    <w:p>
      <w:pPr>
        <w:pStyle w:val="33"/>
        <w:adjustRightInd w:val="0"/>
        <w:snapToGrid w:val="0"/>
        <w:spacing w:after="0" w:line="360" w:lineRule="auto"/>
        <w:ind w:left="420" w:leftChars="200"/>
        <w:jc w:val="left"/>
        <w:rPr>
          <w:rFonts w:hAnsi="宋体"/>
          <w:snapToGrid w:val="0"/>
          <w:color w:val="auto"/>
          <w:szCs w:val="21"/>
          <w:highlight w:val="none"/>
          <w:u w:val="single"/>
        </w:rPr>
      </w:pPr>
      <w:r>
        <w:rPr>
          <w:rFonts w:hint="eastAsia" w:hAnsi="宋体"/>
          <w:snapToGrid w:val="0"/>
          <w:color w:val="auto"/>
          <w:szCs w:val="21"/>
          <w:highlight w:val="none"/>
        </w:rPr>
        <w:t>1.1.2招标组织形式：</w:t>
      </w:r>
      <w:r>
        <w:rPr>
          <w:rFonts w:hAnsi="宋体"/>
          <w:snapToGrid w:val="0"/>
          <w:color w:val="auto"/>
          <w:szCs w:val="21"/>
          <w:highlight w:val="none"/>
        </w:rPr>
        <w:t>见投标人须知前附表。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1.1.</w:t>
      </w:r>
      <w:r>
        <w:rPr>
          <w:rFonts w:hint="eastAsia" w:hAnsi="宋体"/>
          <w:snapToGrid w:val="0"/>
          <w:color w:val="auto"/>
          <w:szCs w:val="21"/>
          <w:highlight w:val="none"/>
        </w:rPr>
        <w:t>3</w:t>
      </w:r>
      <w:r>
        <w:rPr>
          <w:rFonts w:hAnsi="宋体"/>
          <w:snapToGrid w:val="0"/>
          <w:color w:val="auto"/>
          <w:szCs w:val="21"/>
          <w:highlight w:val="none"/>
        </w:rPr>
        <w:t>招标人：见投标人须知前附表。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1.1.</w:t>
      </w:r>
      <w:r>
        <w:rPr>
          <w:rFonts w:hint="eastAsia" w:hAnsi="宋体"/>
          <w:snapToGrid w:val="0"/>
          <w:color w:val="auto"/>
          <w:szCs w:val="21"/>
          <w:highlight w:val="none"/>
        </w:rPr>
        <w:t>4招标</w:t>
      </w:r>
      <w:r>
        <w:rPr>
          <w:rFonts w:hAnsi="宋体"/>
          <w:snapToGrid w:val="0"/>
          <w:color w:val="auto"/>
          <w:szCs w:val="21"/>
          <w:highlight w:val="none"/>
        </w:rPr>
        <w:t>代理</w:t>
      </w:r>
      <w:r>
        <w:rPr>
          <w:rFonts w:hint="eastAsia" w:hAnsi="宋体"/>
          <w:snapToGrid w:val="0"/>
          <w:color w:val="auto"/>
          <w:szCs w:val="21"/>
          <w:highlight w:val="none"/>
        </w:rPr>
        <w:t>机构</w:t>
      </w:r>
      <w:r>
        <w:rPr>
          <w:rFonts w:hAnsi="宋体"/>
          <w:snapToGrid w:val="0"/>
          <w:color w:val="auto"/>
          <w:szCs w:val="21"/>
          <w:highlight w:val="none"/>
        </w:rPr>
        <w:t>：见投标人须知前附表。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1.1.</w:t>
      </w:r>
      <w:r>
        <w:rPr>
          <w:rFonts w:hint="eastAsia" w:hAnsi="宋体"/>
          <w:snapToGrid w:val="0"/>
          <w:color w:val="auto"/>
          <w:szCs w:val="21"/>
          <w:highlight w:val="none"/>
        </w:rPr>
        <w:t>5项目概况</w:t>
      </w:r>
      <w:r>
        <w:rPr>
          <w:rFonts w:hAnsi="宋体"/>
          <w:snapToGrid w:val="0"/>
          <w:color w:val="auto"/>
          <w:szCs w:val="21"/>
          <w:highlight w:val="none"/>
        </w:rPr>
        <w:t>：见投标人须知前附表。</w:t>
      </w:r>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1.</w:t>
      </w:r>
      <w:r>
        <w:rPr>
          <w:rFonts w:hint="eastAsia" w:hAnsi="宋体"/>
          <w:b/>
          <w:bCs/>
          <w:snapToGrid w:val="0"/>
          <w:color w:val="auto"/>
          <w:szCs w:val="21"/>
          <w:highlight w:val="none"/>
        </w:rPr>
        <w:t>2</w:t>
      </w:r>
      <w:r>
        <w:rPr>
          <w:rFonts w:hAnsi="宋体"/>
          <w:b/>
          <w:bCs/>
          <w:snapToGrid w:val="0"/>
          <w:color w:val="auto"/>
          <w:szCs w:val="21"/>
          <w:highlight w:val="none"/>
        </w:rPr>
        <w:t>资金来源</w:t>
      </w:r>
      <w:r>
        <w:rPr>
          <w:rFonts w:hint="eastAsia" w:hAnsi="宋体"/>
          <w:b/>
          <w:bCs/>
          <w:snapToGrid w:val="0"/>
          <w:color w:val="auto"/>
          <w:szCs w:val="21"/>
          <w:highlight w:val="none"/>
        </w:rPr>
        <w:t>和落实情况</w:t>
      </w:r>
    </w:p>
    <w:p>
      <w:pPr>
        <w:pStyle w:val="33"/>
        <w:adjustRightInd w:val="0"/>
        <w:snapToGrid w:val="0"/>
        <w:spacing w:after="0" w:line="360" w:lineRule="auto"/>
        <w:ind w:firstLine="420" w:firstLineChars="200"/>
        <w:jc w:val="left"/>
        <w:rPr>
          <w:rFonts w:hAnsi="宋体"/>
          <w:snapToGrid w:val="0"/>
          <w:color w:val="auto"/>
          <w:szCs w:val="21"/>
          <w:highlight w:val="none"/>
        </w:rPr>
      </w:pPr>
      <w:bookmarkStart w:id="35" w:name="_Toc10673"/>
      <w:r>
        <w:rPr>
          <w:rFonts w:hAnsi="宋体"/>
          <w:snapToGrid w:val="0"/>
          <w:color w:val="auto"/>
          <w:szCs w:val="21"/>
          <w:highlight w:val="none"/>
        </w:rPr>
        <w:t>1.2.1资金来源及</w:t>
      </w:r>
      <w:r>
        <w:rPr>
          <w:rFonts w:hint="eastAsia" w:hAnsi="宋体"/>
          <w:snapToGrid w:val="0"/>
          <w:color w:val="auto"/>
          <w:szCs w:val="21"/>
          <w:highlight w:val="none"/>
        </w:rPr>
        <w:t>落实情况</w:t>
      </w:r>
      <w:r>
        <w:rPr>
          <w:rFonts w:hAnsi="宋体"/>
          <w:snapToGrid w:val="0"/>
          <w:color w:val="auto"/>
          <w:szCs w:val="21"/>
          <w:highlight w:val="none"/>
        </w:rPr>
        <w:t>：见投标人须知前附表。</w:t>
      </w:r>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1.3招标范围</w:t>
      </w:r>
      <w:r>
        <w:rPr>
          <w:rFonts w:hint="eastAsia" w:hAnsi="宋体"/>
          <w:b/>
          <w:bCs/>
          <w:snapToGrid w:val="0"/>
          <w:color w:val="auto"/>
          <w:szCs w:val="21"/>
          <w:highlight w:val="none"/>
        </w:rPr>
        <w:t>及内容</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1.3.1招标范围</w:t>
      </w:r>
      <w:r>
        <w:rPr>
          <w:rFonts w:hint="eastAsia" w:hAnsi="宋体"/>
          <w:snapToGrid w:val="0"/>
          <w:color w:val="auto"/>
          <w:szCs w:val="21"/>
          <w:highlight w:val="none"/>
        </w:rPr>
        <w:t>及内容</w:t>
      </w:r>
      <w:r>
        <w:rPr>
          <w:rFonts w:hAnsi="宋体"/>
          <w:snapToGrid w:val="0"/>
          <w:color w:val="auto"/>
          <w:szCs w:val="21"/>
          <w:highlight w:val="none"/>
        </w:rPr>
        <w:t>：见投标人须知前附表。</w:t>
      </w:r>
    </w:p>
    <w:bookmarkEnd w:id="35"/>
    <w:p>
      <w:pPr>
        <w:keepNext/>
        <w:keepLines/>
        <w:adjustRightInd w:val="0"/>
        <w:snapToGrid w:val="0"/>
        <w:spacing w:line="360" w:lineRule="auto"/>
        <w:jc w:val="left"/>
        <w:outlineLvl w:val="2"/>
        <w:rPr>
          <w:rFonts w:hAnsi="宋体"/>
          <w:b/>
          <w:bCs/>
          <w:snapToGrid w:val="0"/>
          <w:color w:val="auto"/>
          <w:szCs w:val="21"/>
          <w:highlight w:val="none"/>
        </w:rPr>
      </w:pPr>
      <w:bookmarkStart w:id="36" w:name="_Toc13012"/>
      <w:r>
        <w:rPr>
          <w:rFonts w:hAnsi="宋体"/>
          <w:b/>
          <w:bCs/>
          <w:snapToGrid w:val="0"/>
          <w:color w:val="auto"/>
          <w:szCs w:val="21"/>
          <w:highlight w:val="none"/>
        </w:rPr>
        <w:t>1.</w:t>
      </w:r>
      <w:r>
        <w:rPr>
          <w:rFonts w:hint="eastAsia" w:hAnsi="宋体"/>
          <w:b/>
          <w:bCs/>
          <w:snapToGrid w:val="0"/>
          <w:color w:val="auto"/>
          <w:szCs w:val="21"/>
          <w:highlight w:val="none"/>
        </w:rPr>
        <w:t>4</w:t>
      </w:r>
      <w:r>
        <w:rPr>
          <w:rFonts w:hAnsi="宋体"/>
          <w:b/>
          <w:bCs/>
          <w:snapToGrid w:val="0"/>
          <w:color w:val="auto"/>
          <w:szCs w:val="21"/>
          <w:highlight w:val="none"/>
        </w:rPr>
        <w:t>投标人</w:t>
      </w:r>
      <w:bookmarkEnd w:id="36"/>
      <w:r>
        <w:rPr>
          <w:rFonts w:hint="eastAsia" w:hAnsi="宋体"/>
          <w:b/>
          <w:bCs/>
          <w:snapToGrid w:val="0"/>
          <w:color w:val="auto"/>
          <w:szCs w:val="21"/>
          <w:highlight w:val="none"/>
        </w:rPr>
        <w:t>资格审查方式、资格条件</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1.4.1投标人资格审查方式：</w:t>
      </w:r>
      <w:r>
        <w:rPr>
          <w:rFonts w:hAnsi="宋体"/>
          <w:snapToGrid w:val="0"/>
          <w:color w:val="auto"/>
          <w:szCs w:val="21"/>
          <w:highlight w:val="none"/>
        </w:rPr>
        <w:t>见投标人须知前附表。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1.4.2投标人资格条件：</w:t>
      </w:r>
      <w:r>
        <w:rPr>
          <w:rFonts w:hAnsi="宋体"/>
          <w:snapToGrid w:val="0"/>
          <w:color w:val="auto"/>
          <w:szCs w:val="21"/>
          <w:highlight w:val="none"/>
        </w:rPr>
        <w:t>见投标人须知前附表。</w:t>
      </w:r>
    </w:p>
    <w:p>
      <w:pPr>
        <w:adjustRightInd w:val="0"/>
        <w:snapToGrid w:val="0"/>
        <w:spacing w:line="360" w:lineRule="auto"/>
        <w:rPr>
          <w:rFonts w:hAnsi="宋体"/>
          <w:b/>
          <w:bCs/>
          <w:snapToGrid w:val="0"/>
          <w:color w:val="auto"/>
          <w:szCs w:val="21"/>
          <w:highlight w:val="none"/>
        </w:rPr>
      </w:pPr>
      <w:r>
        <w:rPr>
          <w:rFonts w:hint="eastAsia" w:hAnsi="宋体"/>
          <w:b/>
          <w:bCs/>
          <w:snapToGrid w:val="0"/>
          <w:color w:val="auto"/>
          <w:szCs w:val="21"/>
          <w:highlight w:val="none"/>
        </w:rPr>
        <w:t>1.5联合体投标</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w:t>
      </w:r>
      <w:r>
        <w:rPr>
          <w:rFonts w:hint="eastAsia" w:hAnsi="宋体"/>
          <w:snapToGrid w:val="0"/>
          <w:color w:val="auto"/>
          <w:szCs w:val="21"/>
          <w:highlight w:val="none"/>
        </w:rPr>
        <w:t>5</w:t>
      </w:r>
      <w:r>
        <w:rPr>
          <w:rFonts w:hAnsi="宋体"/>
          <w:snapToGrid w:val="0"/>
          <w:color w:val="auto"/>
          <w:szCs w:val="21"/>
          <w:highlight w:val="none"/>
        </w:rPr>
        <w:t>.</w:t>
      </w:r>
      <w:r>
        <w:rPr>
          <w:rFonts w:hint="eastAsia" w:hAnsi="宋体"/>
          <w:snapToGrid w:val="0"/>
          <w:color w:val="auto"/>
          <w:szCs w:val="21"/>
          <w:highlight w:val="none"/>
        </w:rPr>
        <w:t>1本项目是否接受联合体投标：见投标人须知前附表。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1.5.2</w:t>
      </w:r>
      <w:r>
        <w:rPr>
          <w:rFonts w:hAnsi="宋体"/>
          <w:snapToGrid w:val="0"/>
          <w:color w:val="auto"/>
          <w:szCs w:val="21"/>
          <w:highlight w:val="none"/>
        </w:rPr>
        <w:t>投标人须知前附表规定接受联合体投标的，联合体应</w:t>
      </w:r>
      <w:r>
        <w:rPr>
          <w:rFonts w:hint="eastAsia" w:hAnsi="宋体"/>
          <w:snapToGrid w:val="0"/>
          <w:color w:val="auto"/>
          <w:szCs w:val="21"/>
          <w:highlight w:val="none"/>
        </w:rPr>
        <w:t>满足以下要求</w:t>
      </w:r>
      <w:r>
        <w:rPr>
          <w:rFonts w:hAnsi="宋体"/>
          <w:snapToGrid w:val="0"/>
          <w:color w:val="auto"/>
          <w:szCs w:val="21"/>
          <w:highlight w:val="none"/>
        </w:rPr>
        <w:t>：</w:t>
      </w:r>
    </w:p>
    <w:p>
      <w:pPr>
        <w:pStyle w:val="81"/>
        <w:adjustRightInd w:val="0"/>
        <w:snapToGrid w:val="0"/>
        <w:spacing w:before="0" w:beforeAutospacing="0" w:after="0" w:afterAutospacing="0" w:line="360" w:lineRule="auto"/>
        <w:ind w:left="105" w:leftChars="50" w:firstLine="315" w:firstLineChars="150"/>
        <w:rPr>
          <w:rFonts w:cs="宋体"/>
          <w:color w:val="auto"/>
          <w:kern w:val="2"/>
          <w:sz w:val="21"/>
          <w:szCs w:val="21"/>
          <w:highlight w:val="none"/>
        </w:rPr>
      </w:pPr>
      <w:r>
        <w:rPr>
          <w:rFonts w:hint="eastAsia" w:cs="宋体"/>
          <w:color w:val="auto"/>
          <w:kern w:val="2"/>
          <w:sz w:val="21"/>
          <w:szCs w:val="21"/>
          <w:highlight w:val="none"/>
        </w:rPr>
        <w:t>1）符合《中华人民共和国招标投标法</w:t>
      </w:r>
      <w:r>
        <w:rPr>
          <w:rFonts w:hint="eastAsia" w:cs="宋体"/>
          <w:color w:val="auto"/>
          <w:kern w:val="2"/>
          <w:sz w:val="21"/>
          <w:szCs w:val="21"/>
          <w:highlight w:val="none"/>
          <w:lang w:eastAsia="zh-CN"/>
        </w:rPr>
        <w:t>》《</w:t>
      </w:r>
      <w:r>
        <w:rPr>
          <w:rFonts w:hint="eastAsia" w:cs="宋体"/>
          <w:color w:val="auto"/>
          <w:kern w:val="2"/>
          <w:sz w:val="21"/>
          <w:szCs w:val="21"/>
          <w:highlight w:val="none"/>
        </w:rPr>
        <w:t>中华人民共和国招标投标法实施条例》的规定；</w:t>
      </w:r>
    </w:p>
    <w:p>
      <w:pPr>
        <w:pStyle w:val="81"/>
        <w:adjustRightInd w:val="0"/>
        <w:snapToGrid w:val="0"/>
        <w:spacing w:before="0" w:beforeAutospacing="0" w:after="0" w:afterAutospacing="0" w:line="360" w:lineRule="auto"/>
        <w:ind w:left="105" w:leftChars="50" w:firstLine="315" w:firstLineChars="150"/>
        <w:rPr>
          <w:rFonts w:cs="宋体"/>
          <w:color w:val="auto"/>
          <w:kern w:val="2"/>
          <w:sz w:val="21"/>
          <w:szCs w:val="21"/>
          <w:highlight w:val="none"/>
        </w:rPr>
      </w:pPr>
      <w:r>
        <w:rPr>
          <w:rFonts w:hint="eastAsia" w:cs="宋体"/>
          <w:color w:val="auto"/>
          <w:kern w:val="2"/>
          <w:sz w:val="21"/>
          <w:szCs w:val="21"/>
          <w:highlight w:val="none"/>
        </w:rPr>
        <w:t>2）以联合体形式参加投标的，应当提交联合体协议，指定牵头人并出具由联合体成员各方共同签署的投标授权书；</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3）除非另有规定或说明，本招标文件中“投标人”一词亦指联合体各成员。</w:t>
      </w:r>
    </w:p>
    <w:p>
      <w:pPr>
        <w:adjustRightInd w:val="0"/>
        <w:snapToGrid w:val="0"/>
        <w:spacing w:line="360" w:lineRule="auto"/>
        <w:rPr>
          <w:rFonts w:hAnsi="宋体"/>
          <w:b/>
          <w:bCs/>
          <w:snapToGrid w:val="0"/>
          <w:color w:val="auto"/>
          <w:szCs w:val="21"/>
          <w:highlight w:val="none"/>
        </w:rPr>
      </w:pPr>
      <w:r>
        <w:rPr>
          <w:rFonts w:hint="eastAsia" w:hAnsi="宋体"/>
          <w:b/>
          <w:bCs/>
          <w:snapToGrid w:val="0"/>
          <w:color w:val="auto"/>
          <w:szCs w:val="21"/>
          <w:highlight w:val="none"/>
        </w:rPr>
        <w:t>1.6关联性投标</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w:t>
      </w:r>
      <w:r>
        <w:rPr>
          <w:rFonts w:hint="eastAsia" w:hAnsi="宋体"/>
          <w:snapToGrid w:val="0"/>
          <w:color w:val="auto"/>
          <w:szCs w:val="21"/>
          <w:highlight w:val="none"/>
        </w:rPr>
        <w:t>6</w:t>
      </w:r>
      <w:r>
        <w:rPr>
          <w:rFonts w:hAnsi="宋体"/>
          <w:snapToGrid w:val="0"/>
          <w:color w:val="auto"/>
          <w:szCs w:val="21"/>
          <w:highlight w:val="none"/>
        </w:rPr>
        <w:t>.</w:t>
      </w:r>
      <w:r>
        <w:rPr>
          <w:rFonts w:hint="eastAsia" w:hAnsi="宋体"/>
          <w:snapToGrid w:val="0"/>
          <w:color w:val="auto"/>
          <w:szCs w:val="21"/>
          <w:highlight w:val="none"/>
        </w:rPr>
        <w:t>1项目关联性投标要求</w:t>
      </w:r>
      <w:r>
        <w:rPr>
          <w:rFonts w:hAnsi="宋体"/>
          <w:snapToGrid w:val="0"/>
          <w:color w:val="auto"/>
          <w:szCs w:val="21"/>
          <w:highlight w:val="none"/>
        </w:rPr>
        <w:t>：见投标人须</w:t>
      </w:r>
      <w:r>
        <w:rPr>
          <w:rFonts w:hint="eastAsia" w:hAnsi="宋体"/>
          <w:snapToGrid w:val="0"/>
          <w:color w:val="auto"/>
          <w:szCs w:val="21"/>
          <w:highlight w:val="none"/>
        </w:rPr>
        <w:t>知</w:t>
      </w:r>
      <w:r>
        <w:rPr>
          <w:rFonts w:hAnsi="宋体"/>
          <w:snapToGrid w:val="0"/>
          <w:color w:val="auto"/>
          <w:szCs w:val="21"/>
          <w:highlight w:val="none"/>
        </w:rPr>
        <w:t>前附表。</w:t>
      </w:r>
    </w:p>
    <w:p>
      <w:pPr>
        <w:adjustRightInd w:val="0"/>
        <w:snapToGrid w:val="0"/>
        <w:spacing w:line="360" w:lineRule="auto"/>
        <w:rPr>
          <w:rFonts w:hAnsi="宋体"/>
          <w:b/>
          <w:bCs/>
          <w:snapToGrid w:val="0"/>
          <w:color w:val="auto"/>
          <w:szCs w:val="21"/>
          <w:highlight w:val="none"/>
        </w:rPr>
      </w:pPr>
      <w:r>
        <w:rPr>
          <w:rFonts w:hint="eastAsia" w:hAnsi="宋体"/>
          <w:b/>
          <w:bCs/>
          <w:snapToGrid w:val="0"/>
          <w:color w:val="auto"/>
          <w:szCs w:val="21"/>
          <w:highlight w:val="none"/>
        </w:rPr>
        <w:t>1.7分包、转包</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w:t>
      </w:r>
      <w:r>
        <w:rPr>
          <w:rFonts w:hint="eastAsia" w:hAnsi="宋体"/>
          <w:snapToGrid w:val="0"/>
          <w:color w:val="auto"/>
          <w:szCs w:val="21"/>
          <w:highlight w:val="none"/>
        </w:rPr>
        <w:t>7</w:t>
      </w:r>
      <w:r>
        <w:rPr>
          <w:rFonts w:hAnsi="宋体"/>
          <w:snapToGrid w:val="0"/>
          <w:color w:val="auto"/>
          <w:szCs w:val="21"/>
          <w:highlight w:val="none"/>
        </w:rPr>
        <w:t>.</w:t>
      </w:r>
      <w:r>
        <w:rPr>
          <w:rFonts w:hint="eastAsia" w:hAnsi="宋体"/>
          <w:snapToGrid w:val="0"/>
          <w:color w:val="auto"/>
          <w:szCs w:val="21"/>
          <w:highlight w:val="none"/>
        </w:rPr>
        <w:t>1本项目是否允许分包、转包：</w:t>
      </w:r>
      <w:r>
        <w:rPr>
          <w:rFonts w:hAnsi="宋体"/>
          <w:snapToGrid w:val="0"/>
          <w:color w:val="auto"/>
          <w:szCs w:val="21"/>
          <w:highlight w:val="none"/>
        </w:rPr>
        <w:t>见投标人须</w:t>
      </w:r>
      <w:r>
        <w:rPr>
          <w:rFonts w:hint="eastAsia" w:hAnsi="宋体"/>
          <w:snapToGrid w:val="0"/>
          <w:color w:val="auto"/>
          <w:szCs w:val="21"/>
          <w:highlight w:val="none"/>
        </w:rPr>
        <w:t>知</w:t>
      </w:r>
      <w:r>
        <w:rPr>
          <w:rFonts w:hAnsi="宋体"/>
          <w:snapToGrid w:val="0"/>
          <w:color w:val="auto"/>
          <w:szCs w:val="21"/>
          <w:highlight w:val="none"/>
        </w:rPr>
        <w:t>前附表。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w:t>
      </w:r>
      <w:r>
        <w:rPr>
          <w:rFonts w:hint="eastAsia" w:hAnsi="宋体"/>
          <w:snapToGrid w:val="0"/>
          <w:color w:val="auto"/>
          <w:szCs w:val="21"/>
          <w:highlight w:val="none"/>
        </w:rPr>
        <w:t>7</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投标人拟在中标后将中标项目的非主体</w:t>
      </w:r>
      <w:r>
        <w:rPr>
          <w:rFonts w:hint="eastAsia" w:hAnsi="宋体"/>
          <w:snapToGrid w:val="0"/>
          <w:color w:val="auto"/>
          <w:szCs w:val="21"/>
          <w:highlight w:val="none"/>
        </w:rPr>
        <w:t>、非关键部分工作</w:t>
      </w:r>
      <w:r>
        <w:rPr>
          <w:rFonts w:hAnsi="宋体"/>
          <w:snapToGrid w:val="0"/>
          <w:color w:val="auto"/>
          <w:szCs w:val="21"/>
          <w:highlight w:val="none"/>
        </w:rPr>
        <w:t>进行分包的，应</w:t>
      </w:r>
      <w:r>
        <w:rPr>
          <w:rFonts w:hint="eastAsia" w:hAnsi="宋体"/>
          <w:snapToGrid w:val="0"/>
          <w:color w:val="auto"/>
          <w:szCs w:val="21"/>
          <w:highlight w:val="none"/>
        </w:rPr>
        <w:t>满足以下要求：</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w:t>
      </w:r>
      <w:r>
        <w:rPr>
          <w:rFonts w:hAnsi="宋体"/>
          <w:snapToGrid w:val="0"/>
          <w:color w:val="auto"/>
          <w:szCs w:val="21"/>
          <w:highlight w:val="none"/>
        </w:rPr>
        <w:t>符合投标人须知前附表规定的分包内容、分包金额</w:t>
      </w:r>
      <w:r>
        <w:rPr>
          <w:rFonts w:hint="eastAsia" w:hAnsi="宋体"/>
          <w:snapToGrid w:val="0"/>
          <w:color w:val="auto"/>
          <w:szCs w:val="21"/>
          <w:highlight w:val="none"/>
        </w:rPr>
        <w:t>要求</w:t>
      </w:r>
      <w:r>
        <w:rPr>
          <w:rFonts w:hAnsi="宋体"/>
          <w:snapToGrid w:val="0"/>
          <w:color w:val="auto"/>
          <w:szCs w:val="21"/>
          <w:highlight w:val="none"/>
        </w:rPr>
        <w:t>，除投标人须知前附表规定的非主体</w:t>
      </w:r>
      <w:r>
        <w:rPr>
          <w:rFonts w:hint="eastAsia" w:hAnsi="宋体"/>
          <w:snapToGrid w:val="0"/>
          <w:color w:val="auto"/>
          <w:szCs w:val="21"/>
          <w:highlight w:val="none"/>
        </w:rPr>
        <w:t>、非关键部分工作</w:t>
      </w:r>
      <w:r>
        <w:rPr>
          <w:rFonts w:hAnsi="宋体"/>
          <w:snapToGrid w:val="0"/>
          <w:color w:val="auto"/>
          <w:szCs w:val="21"/>
          <w:highlight w:val="none"/>
        </w:rPr>
        <w:t>外，其他工作不得分包。</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2）接受分包一方应当具备相应的资格条件，并</w:t>
      </w:r>
      <w:r>
        <w:rPr>
          <w:rFonts w:hAnsi="宋体"/>
          <w:snapToGrid w:val="0"/>
          <w:color w:val="auto"/>
          <w:szCs w:val="21"/>
          <w:highlight w:val="none"/>
        </w:rPr>
        <w:t>不得再次分包。中标人应当就分包</w:t>
      </w:r>
      <w:r>
        <w:rPr>
          <w:rFonts w:hint="eastAsia" w:hAnsi="宋体"/>
          <w:snapToGrid w:val="0"/>
          <w:color w:val="auto"/>
          <w:szCs w:val="21"/>
          <w:highlight w:val="none"/>
        </w:rPr>
        <w:t>内容</w:t>
      </w:r>
      <w:r>
        <w:rPr>
          <w:rFonts w:hAnsi="宋体"/>
          <w:snapToGrid w:val="0"/>
          <w:color w:val="auto"/>
          <w:szCs w:val="21"/>
          <w:highlight w:val="none"/>
        </w:rPr>
        <w:t>向招标人负责，接受分包</w:t>
      </w:r>
      <w:r>
        <w:rPr>
          <w:rFonts w:hint="eastAsia" w:hAnsi="宋体"/>
          <w:snapToGrid w:val="0"/>
          <w:color w:val="auto"/>
          <w:szCs w:val="21"/>
          <w:highlight w:val="none"/>
        </w:rPr>
        <w:t>一方</w:t>
      </w:r>
      <w:r>
        <w:rPr>
          <w:rFonts w:hAnsi="宋体"/>
          <w:snapToGrid w:val="0"/>
          <w:color w:val="auto"/>
          <w:szCs w:val="21"/>
          <w:highlight w:val="none"/>
        </w:rPr>
        <w:t>就分包</w:t>
      </w:r>
      <w:r>
        <w:rPr>
          <w:rFonts w:hint="eastAsia" w:hAnsi="宋体"/>
          <w:snapToGrid w:val="0"/>
          <w:color w:val="auto"/>
          <w:szCs w:val="21"/>
          <w:highlight w:val="none"/>
        </w:rPr>
        <w:t>内容</w:t>
      </w:r>
      <w:r>
        <w:rPr>
          <w:rFonts w:hAnsi="宋体"/>
          <w:snapToGrid w:val="0"/>
          <w:color w:val="auto"/>
          <w:szCs w:val="21"/>
          <w:highlight w:val="none"/>
        </w:rPr>
        <w:t>承担连带责任。</w:t>
      </w:r>
    </w:p>
    <w:p>
      <w:pPr>
        <w:adjustRightInd w:val="0"/>
        <w:snapToGrid w:val="0"/>
        <w:spacing w:line="360" w:lineRule="auto"/>
        <w:rPr>
          <w:rFonts w:hAnsi="宋体"/>
          <w:b/>
          <w:bCs/>
          <w:snapToGrid w:val="0"/>
          <w:color w:val="auto"/>
          <w:szCs w:val="21"/>
          <w:highlight w:val="none"/>
        </w:rPr>
      </w:pPr>
      <w:r>
        <w:rPr>
          <w:rFonts w:hint="eastAsia" w:hAnsi="宋体"/>
          <w:b/>
          <w:bCs/>
          <w:snapToGrid w:val="0"/>
          <w:color w:val="auto"/>
          <w:szCs w:val="21"/>
          <w:highlight w:val="none"/>
        </w:rPr>
        <w:t>1.8响应和偏差</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1.8.1投标文件应当对招标文件中的实质性要求和条件（属于实质性要求条款的，是指在第三章“用户需求书”中用符号“★”标注或列入第四章“评标方法及评价标准”中否决投标的全部条款，否则属于非实质性要求条款，下同。）作出满足性或更有利于招标人的明确响应。</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1.8.2投标文件对招标文件的全部偏差，均应在投标文件的商务和技术偏离表中列明，除列明的内容外，视为投标人响应招标文件的全部要求。</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1.8.3评标委员会根据招标文件第四章“评标方法及评价标准”全面衡量投标人技术、商务或其他存在不满足、不符合招标要求的偏差及对招标文件的响应情况，以确定其是否满足招标文件的实质性要求。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hAnsi="宋体"/>
          <w:b/>
          <w:bCs/>
          <w:snapToGrid w:val="0"/>
          <w:color w:val="auto"/>
          <w:szCs w:val="21"/>
          <w:highlight w:val="none"/>
        </w:rPr>
      </w:pPr>
      <w:bookmarkStart w:id="37" w:name="_Toc3996"/>
      <w:r>
        <w:rPr>
          <w:rFonts w:hAnsi="宋体"/>
          <w:b/>
          <w:bCs/>
          <w:snapToGrid w:val="0"/>
          <w:color w:val="auto"/>
          <w:szCs w:val="21"/>
          <w:highlight w:val="none"/>
        </w:rPr>
        <w:t>1.</w:t>
      </w:r>
      <w:bookmarkEnd w:id="37"/>
      <w:r>
        <w:rPr>
          <w:rFonts w:hint="eastAsia" w:hAnsi="宋体"/>
          <w:b/>
          <w:bCs/>
          <w:snapToGrid w:val="0"/>
          <w:color w:val="auto"/>
          <w:szCs w:val="21"/>
          <w:highlight w:val="none"/>
        </w:rPr>
        <w:t>9投标费用</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1.9.1投标人在投标过程中的一切费用，不论中标与否，均由投标人自理。</w:t>
      </w:r>
    </w:p>
    <w:p>
      <w:pPr>
        <w:pStyle w:val="5"/>
        <w:numPr>
          <w:ilvl w:val="2"/>
          <w:numId w:val="0"/>
        </w:numPr>
        <w:spacing w:line="360" w:lineRule="auto"/>
        <w:rPr>
          <w:rFonts w:ascii="宋体" w:hAnsi="宋体" w:eastAsia="宋体" w:cs="宋体"/>
          <w:snapToGrid w:val="0"/>
          <w:color w:val="auto"/>
          <w:sz w:val="21"/>
          <w:highlight w:val="none"/>
        </w:rPr>
      </w:pPr>
      <w:bookmarkStart w:id="38" w:name="_Toc152042312"/>
      <w:bookmarkStart w:id="39" w:name="_Toc296602426"/>
      <w:bookmarkStart w:id="40" w:name="_Toc144974504"/>
      <w:bookmarkStart w:id="41" w:name="_Toc152045536"/>
      <w:bookmarkStart w:id="42" w:name="_Toc179632553"/>
      <w:bookmarkStart w:id="43" w:name="_Toc247085695"/>
      <w:bookmarkStart w:id="44" w:name="_Toc246996924"/>
      <w:bookmarkStart w:id="45" w:name="_Toc246996181"/>
      <w:r>
        <w:rPr>
          <w:rFonts w:hint="eastAsia" w:ascii="宋体" w:hAnsi="宋体" w:eastAsia="宋体" w:cs="宋体"/>
          <w:snapToGrid w:val="0"/>
          <w:color w:val="auto"/>
          <w:sz w:val="21"/>
          <w:highlight w:val="none"/>
        </w:rPr>
        <w:t>1.10保密</w:t>
      </w:r>
      <w:bookmarkEnd w:id="38"/>
      <w:bookmarkEnd w:id="39"/>
      <w:bookmarkEnd w:id="40"/>
      <w:bookmarkEnd w:id="41"/>
      <w:bookmarkEnd w:id="42"/>
      <w:bookmarkEnd w:id="43"/>
      <w:bookmarkEnd w:id="44"/>
      <w:bookmarkEnd w:id="45"/>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1.10.1参加</w:t>
      </w:r>
      <w:r>
        <w:rPr>
          <w:rFonts w:hAnsi="宋体"/>
          <w:snapToGrid w:val="0"/>
          <w:color w:val="auto"/>
          <w:szCs w:val="21"/>
          <w:highlight w:val="none"/>
        </w:rPr>
        <w:t>招标投标活动的各方应对</w:t>
      </w:r>
      <w:r>
        <w:rPr>
          <w:rFonts w:hint="eastAsia" w:hAnsi="宋体"/>
          <w:snapToGrid w:val="0"/>
          <w:color w:val="auto"/>
          <w:szCs w:val="21"/>
          <w:highlight w:val="none"/>
        </w:rPr>
        <w:t>招投标过程中应当保密的信息资料及</w:t>
      </w:r>
      <w:r>
        <w:rPr>
          <w:rFonts w:hAnsi="宋体"/>
          <w:snapToGrid w:val="0"/>
          <w:color w:val="auto"/>
          <w:szCs w:val="21"/>
          <w:highlight w:val="none"/>
        </w:rPr>
        <w:t>招标文件</w:t>
      </w:r>
      <w:r>
        <w:rPr>
          <w:rFonts w:hint="eastAsia" w:hAnsi="宋体"/>
          <w:snapToGrid w:val="0"/>
          <w:color w:val="auto"/>
          <w:szCs w:val="21"/>
          <w:highlight w:val="none"/>
        </w:rPr>
        <w:t>、</w:t>
      </w:r>
      <w:r>
        <w:rPr>
          <w:rFonts w:hAnsi="宋体"/>
          <w:snapToGrid w:val="0"/>
          <w:color w:val="auto"/>
          <w:szCs w:val="21"/>
          <w:highlight w:val="none"/>
        </w:rPr>
        <w:t>投标文件中的商业和技术秘密保密，否则应承担相应的法律责任。</w:t>
      </w:r>
    </w:p>
    <w:p>
      <w:pPr>
        <w:pStyle w:val="5"/>
        <w:numPr>
          <w:ilvl w:val="2"/>
          <w:numId w:val="0"/>
        </w:numPr>
        <w:spacing w:line="360" w:lineRule="auto"/>
        <w:rPr>
          <w:rFonts w:asciiTheme="minorEastAsia" w:hAnsiTheme="minorEastAsia" w:eastAsiaTheme="minorEastAsia" w:cstheme="minorEastAsia"/>
          <w:snapToGrid w:val="0"/>
          <w:color w:val="auto"/>
          <w:sz w:val="21"/>
          <w:highlight w:val="none"/>
        </w:rPr>
      </w:pPr>
      <w:r>
        <w:rPr>
          <w:rFonts w:hint="eastAsia" w:asciiTheme="minorEastAsia" w:hAnsiTheme="minorEastAsia" w:eastAsiaTheme="minorEastAsia" w:cstheme="minorEastAsia"/>
          <w:snapToGrid w:val="0"/>
          <w:color w:val="auto"/>
          <w:sz w:val="21"/>
          <w:highlight w:val="none"/>
        </w:rPr>
        <w:t>1.11语言文字</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1.11.1</w:t>
      </w:r>
      <w:r>
        <w:rPr>
          <w:rFonts w:hAnsi="宋体"/>
          <w:snapToGrid w:val="0"/>
          <w:color w:val="auto"/>
          <w:szCs w:val="21"/>
          <w:highlight w:val="none"/>
        </w:rPr>
        <w:t>招标投标文件使用的语言文字为中文。专用术语使用外文的，应附有中文注释。</w:t>
      </w:r>
    </w:p>
    <w:p>
      <w:pPr>
        <w:pStyle w:val="5"/>
        <w:numPr>
          <w:ilvl w:val="2"/>
          <w:numId w:val="0"/>
        </w:numPr>
        <w:spacing w:line="360" w:lineRule="auto"/>
        <w:rPr>
          <w:rFonts w:ascii="宋体" w:hAnsi="宋体" w:eastAsia="宋体" w:cs="宋体"/>
          <w:snapToGrid w:val="0"/>
          <w:color w:val="auto"/>
          <w:sz w:val="21"/>
          <w:highlight w:val="none"/>
        </w:rPr>
      </w:pPr>
      <w:bookmarkStart w:id="46" w:name="_bookmark28"/>
      <w:bookmarkEnd w:id="46"/>
      <w:r>
        <w:rPr>
          <w:rFonts w:hint="eastAsia" w:ascii="宋体" w:hAnsi="宋体" w:eastAsia="宋体" w:cs="宋体"/>
          <w:snapToGrid w:val="0"/>
          <w:color w:val="auto"/>
          <w:sz w:val="21"/>
          <w:highlight w:val="none"/>
        </w:rPr>
        <w:t>1.12计量单位</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1.12.1</w:t>
      </w:r>
      <w:r>
        <w:rPr>
          <w:rFonts w:hAnsi="宋体"/>
          <w:snapToGrid w:val="0"/>
          <w:color w:val="auto"/>
          <w:szCs w:val="21"/>
          <w:highlight w:val="none"/>
        </w:rPr>
        <w:t>所有计量均采用中华人民共和国法定计量单位。</w:t>
      </w:r>
    </w:p>
    <w:p>
      <w:pPr>
        <w:pStyle w:val="5"/>
        <w:numPr>
          <w:ilvl w:val="2"/>
          <w:numId w:val="0"/>
        </w:numPr>
        <w:spacing w:line="360" w:lineRule="auto"/>
        <w:rPr>
          <w:rFonts w:asciiTheme="minorEastAsia" w:hAnsiTheme="minorEastAsia" w:eastAsiaTheme="minorEastAsia" w:cstheme="minorEastAsia"/>
          <w:snapToGrid w:val="0"/>
          <w:color w:val="auto"/>
          <w:sz w:val="21"/>
          <w:highlight w:val="none"/>
        </w:rPr>
      </w:pPr>
      <w:r>
        <w:rPr>
          <w:rFonts w:hint="eastAsia" w:asciiTheme="minorEastAsia" w:hAnsiTheme="minorEastAsia" w:eastAsiaTheme="minorEastAsia" w:cstheme="minorEastAsia"/>
          <w:snapToGrid w:val="0"/>
          <w:color w:val="auto"/>
          <w:sz w:val="21"/>
          <w:highlight w:val="none"/>
        </w:rPr>
        <w:t>1.13标准时间</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1.13.1</w:t>
      </w:r>
      <w:r>
        <w:rPr>
          <w:rFonts w:hint="eastAsia" w:hAnsi="宋体" w:cs="宋体"/>
          <w:snapToGrid w:val="0"/>
          <w:color w:val="auto"/>
          <w:szCs w:val="21"/>
          <w:highlight w:val="none"/>
        </w:rPr>
        <w:t>本招标文件中出现的时间均指北京时间。</w:t>
      </w:r>
    </w:p>
    <w:p>
      <w:pPr>
        <w:snapToGrid w:val="0"/>
        <w:spacing w:line="360" w:lineRule="auto"/>
        <w:jc w:val="center"/>
        <w:outlineLvl w:val="1"/>
        <w:rPr>
          <w:rFonts w:hAnsi="宋体"/>
          <w:b/>
          <w:snapToGrid w:val="0"/>
          <w:color w:val="auto"/>
          <w:sz w:val="24"/>
          <w:highlight w:val="none"/>
        </w:rPr>
      </w:pPr>
      <w:bookmarkStart w:id="47" w:name="_Toc15241"/>
      <w:bookmarkStart w:id="48" w:name="_Toc143421657"/>
      <w:r>
        <w:rPr>
          <w:rFonts w:hAnsi="宋体"/>
          <w:b/>
          <w:snapToGrid w:val="0"/>
          <w:color w:val="auto"/>
          <w:sz w:val="24"/>
          <w:highlight w:val="none"/>
        </w:rPr>
        <w:t>2</w:t>
      </w:r>
      <w:r>
        <w:rPr>
          <w:rFonts w:hint="eastAsia" w:hAnsi="宋体"/>
          <w:b/>
          <w:snapToGrid w:val="0"/>
          <w:color w:val="auto"/>
          <w:sz w:val="24"/>
          <w:highlight w:val="none"/>
        </w:rPr>
        <w:t>、</w:t>
      </w:r>
      <w:r>
        <w:rPr>
          <w:rFonts w:hAnsi="宋体"/>
          <w:b/>
          <w:snapToGrid w:val="0"/>
          <w:color w:val="auto"/>
          <w:sz w:val="24"/>
          <w:highlight w:val="none"/>
        </w:rPr>
        <w:t>招标文件</w:t>
      </w:r>
      <w:bookmarkEnd w:id="47"/>
      <w:bookmarkEnd w:id="48"/>
    </w:p>
    <w:p>
      <w:pPr>
        <w:keepNext/>
        <w:keepLines/>
        <w:adjustRightInd w:val="0"/>
        <w:snapToGrid w:val="0"/>
        <w:spacing w:line="360" w:lineRule="auto"/>
        <w:jc w:val="left"/>
        <w:outlineLvl w:val="2"/>
        <w:rPr>
          <w:rFonts w:hAnsi="宋体"/>
          <w:b/>
          <w:bCs/>
          <w:snapToGrid w:val="0"/>
          <w:color w:val="auto"/>
          <w:szCs w:val="21"/>
          <w:highlight w:val="none"/>
        </w:rPr>
      </w:pPr>
      <w:bookmarkStart w:id="49" w:name="_Toc1426"/>
      <w:r>
        <w:rPr>
          <w:rFonts w:hAnsi="宋体"/>
          <w:b/>
          <w:bCs/>
          <w:snapToGrid w:val="0"/>
          <w:color w:val="auto"/>
          <w:szCs w:val="21"/>
          <w:highlight w:val="none"/>
        </w:rPr>
        <w:t>2.1招标文件的组成</w:t>
      </w:r>
      <w:bookmarkEnd w:id="49"/>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本招标文件包括：</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（1）招标公告</w:t>
      </w:r>
      <w:r>
        <w:rPr>
          <w:rFonts w:hint="eastAsia"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（2）投标人须知</w:t>
      </w:r>
      <w:r>
        <w:rPr>
          <w:rFonts w:hint="eastAsia"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用户需求书；</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（4）评标方法及评价标准；</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5</w:t>
      </w:r>
      <w:r>
        <w:rPr>
          <w:rFonts w:hAnsi="宋体"/>
          <w:snapToGrid w:val="0"/>
          <w:color w:val="auto"/>
          <w:szCs w:val="21"/>
          <w:highlight w:val="none"/>
        </w:rPr>
        <w:t>）投标文件格式</w:t>
      </w:r>
      <w:r>
        <w:rPr>
          <w:rFonts w:hint="eastAsia"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6</w:t>
      </w:r>
      <w:r>
        <w:rPr>
          <w:rFonts w:hAnsi="宋体"/>
          <w:snapToGrid w:val="0"/>
          <w:color w:val="auto"/>
          <w:szCs w:val="21"/>
          <w:highlight w:val="none"/>
        </w:rPr>
        <w:t>）</w:t>
      </w:r>
      <w:r>
        <w:rPr>
          <w:rFonts w:hint="eastAsia" w:hAnsi="宋体"/>
          <w:snapToGrid w:val="0"/>
          <w:color w:val="auto"/>
          <w:szCs w:val="21"/>
          <w:highlight w:val="none"/>
        </w:rPr>
        <w:t>合同条款及格式；</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（7）投标人须知前附表规定的其他材料。</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根据本须知第2.</w:t>
      </w:r>
      <w:r>
        <w:rPr>
          <w:rFonts w:hint="eastAsia" w:hAnsi="宋体"/>
          <w:snapToGrid w:val="0"/>
          <w:color w:val="auto"/>
          <w:szCs w:val="21"/>
          <w:highlight w:val="none"/>
        </w:rPr>
        <w:t>3</w:t>
      </w:r>
      <w:r>
        <w:rPr>
          <w:rFonts w:hAnsi="宋体"/>
          <w:snapToGrid w:val="0"/>
          <w:color w:val="auto"/>
          <w:szCs w:val="21"/>
          <w:highlight w:val="none"/>
        </w:rPr>
        <w:t>款对招标文件做出的澄清、修改</w:t>
      </w:r>
      <w:r>
        <w:rPr>
          <w:rFonts w:hint="eastAsia" w:hAnsi="宋体"/>
          <w:snapToGrid w:val="0"/>
          <w:color w:val="auto"/>
          <w:szCs w:val="21"/>
          <w:highlight w:val="none"/>
        </w:rPr>
        <w:t>、答复内容</w:t>
      </w:r>
      <w:r>
        <w:rPr>
          <w:rFonts w:hAnsi="宋体"/>
          <w:snapToGrid w:val="0"/>
          <w:color w:val="auto"/>
          <w:szCs w:val="21"/>
          <w:highlight w:val="none"/>
        </w:rPr>
        <w:t>，</w:t>
      </w:r>
      <w:r>
        <w:rPr>
          <w:rFonts w:hint="eastAsia" w:hAnsi="宋体"/>
          <w:snapToGrid w:val="0"/>
          <w:color w:val="auto"/>
          <w:szCs w:val="21"/>
          <w:highlight w:val="none"/>
        </w:rPr>
        <w:t>共同</w:t>
      </w:r>
      <w:r>
        <w:rPr>
          <w:rFonts w:hAnsi="宋体"/>
          <w:snapToGrid w:val="0"/>
          <w:color w:val="auto"/>
          <w:szCs w:val="21"/>
          <w:highlight w:val="none"/>
        </w:rPr>
        <w:t>构成招标文件的组成部分。</w:t>
      </w:r>
    </w:p>
    <w:p>
      <w:pPr>
        <w:spacing w:line="360" w:lineRule="auto"/>
        <w:ind w:firstLine="420" w:firstLineChars="200"/>
        <w:rPr>
          <w:rFonts w:hAnsi="宋体" w:cs="宋体"/>
          <w:snapToGrid w:val="0"/>
          <w:color w:val="auto"/>
          <w:szCs w:val="21"/>
          <w:highlight w:val="none"/>
          <w:lang w:val="zh-CN"/>
        </w:rPr>
      </w:pPr>
      <w:r>
        <w:rPr>
          <w:rFonts w:hint="eastAsia" w:hAnsi="宋体" w:cs="宋体"/>
          <w:snapToGrid w:val="0"/>
          <w:color w:val="auto"/>
          <w:szCs w:val="21"/>
          <w:highlight w:val="none"/>
          <w:lang w:val="zh-CN"/>
        </w:rPr>
        <w:t>除上述所列内容外，招标人的任何工作人员对投标人所作的任何口头解释、介绍、答复，只能供投标人参考，对招标人和投标人无任何约束力。</w:t>
      </w:r>
    </w:p>
    <w:p>
      <w:pPr>
        <w:pStyle w:val="33"/>
        <w:adjustRightInd w:val="0"/>
        <w:snapToGrid w:val="0"/>
        <w:spacing w:after="0" w:line="360" w:lineRule="auto"/>
        <w:jc w:val="left"/>
        <w:rPr>
          <w:rFonts w:hAnsi="宋体"/>
          <w:b/>
          <w:bCs/>
          <w:snapToGrid w:val="0"/>
          <w:color w:val="auto"/>
          <w:szCs w:val="21"/>
          <w:highlight w:val="none"/>
        </w:rPr>
      </w:pPr>
      <w:r>
        <w:rPr>
          <w:rFonts w:hint="eastAsia" w:hAnsi="宋体"/>
          <w:b/>
          <w:bCs/>
          <w:snapToGrid w:val="0"/>
          <w:color w:val="auto"/>
          <w:szCs w:val="21"/>
          <w:highlight w:val="none"/>
        </w:rPr>
        <w:t>2.2招标文件的获取</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2</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w:t>
      </w:r>
      <w:r>
        <w:rPr>
          <w:rFonts w:hint="eastAsia" w:hAnsi="宋体"/>
          <w:snapToGrid w:val="0"/>
          <w:color w:val="auto"/>
          <w:szCs w:val="21"/>
          <w:highlight w:val="none"/>
        </w:rPr>
        <w:t>1招标文件的获取方式、要求</w:t>
      </w:r>
      <w:r>
        <w:rPr>
          <w:rFonts w:hAnsi="宋体"/>
          <w:snapToGrid w:val="0"/>
          <w:color w:val="auto"/>
          <w:szCs w:val="21"/>
          <w:highlight w:val="none"/>
        </w:rPr>
        <w:t>：见投标人须</w:t>
      </w:r>
      <w:r>
        <w:rPr>
          <w:rFonts w:hint="eastAsia" w:hAnsi="宋体"/>
          <w:snapToGrid w:val="0"/>
          <w:color w:val="auto"/>
          <w:szCs w:val="21"/>
          <w:highlight w:val="none"/>
        </w:rPr>
        <w:t>知</w:t>
      </w:r>
      <w:r>
        <w:rPr>
          <w:rFonts w:hAnsi="宋体"/>
          <w:snapToGrid w:val="0"/>
          <w:color w:val="auto"/>
          <w:szCs w:val="21"/>
          <w:highlight w:val="none"/>
        </w:rPr>
        <w:t>前附表。</w:t>
      </w:r>
    </w:p>
    <w:p>
      <w:pPr>
        <w:keepNext/>
        <w:keepLines/>
        <w:adjustRightInd w:val="0"/>
        <w:snapToGrid w:val="0"/>
        <w:spacing w:line="360" w:lineRule="auto"/>
        <w:jc w:val="left"/>
        <w:outlineLvl w:val="2"/>
        <w:rPr>
          <w:rFonts w:hAnsi="宋体"/>
          <w:b/>
          <w:bCs/>
          <w:snapToGrid w:val="0"/>
          <w:color w:val="auto"/>
          <w:szCs w:val="21"/>
          <w:highlight w:val="none"/>
        </w:rPr>
      </w:pPr>
      <w:bookmarkStart w:id="50" w:name="_Toc18230"/>
      <w:r>
        <w:rPr>
          <w:rFonts w:hAnsi="宋体"/>
          <w:b/>
          <w:bCs/>
          <w:snapToGrid w:val="0"/>
          <w:color w:val="auto"/>
          <w:szCs w:val="21"/>
          <w:highlight w:val="none"/>
        </w:rPr>
        <w:t>2.</w:t>
      </w:r>
      <w:r>
        <w:rPr>
          <w:rFonts w:hint="eastAsia" w:hAnsi="宋体"/>
          <w:b/>
          <w:bCs/>
          <w:snapToGrid w:val="0"/>
          <w:color w:val="auto"/>
          <w:szCs w:val="21"/>
          <w:highlight w:val="none"/>
        </w:rPr>
        <w:t>3</w:t>
      </w:r>
      <w:r>
        <w:rPr>
          <w:rFonts w:hAnsi="宋体"/>
          <w:b/>
          <w:bCs/>
          <w:snapToGrid w:val="0"/>
          <w:color w:val="auto"/>
          <w:szCs w:val="21"/>
          <w:highlight w:val="none"/>
        </w:rPr>
        <w:t>招标文件的澄清</w:t>
      </w:r>
      <w:bookmarkEnd w:id="50"/>
      <w:r>
        <w:rPr>
          <w:rFonts w:hint="eastAsia" w:hAnsi="宋体"/>
          <w:b/>
          <w:bCs/>
          <w:snapToGrid w:val="0"/>
          <w:color w:val="auto"/>
          <w:szCs w:val="21"/>
          <w:highlight w:val="none"/>
        </w:rPr>
        <w:t>和修改</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2.</w:t>
      </w:r>
      <w:r>
        <w:rPr>
          <w:rFonts w:hint="eastAsia" w:hAnsi="宋体"/>
          <w:snapToGrid w:val="0"/>
          <w:color w:val="auto"/>
          <w:szCs w:val="21"/>
          <w:highlight w:val="none"/>
        </w:rPr>
        <w:t>3</w:t>
      </w:r>
      <w:r>
        <w:rPr>
          <w:rFonts w:hAnsi="宋体"/>
          <w:snapToGrid w:val="0"/>
          <w:color w:val="auto"/>
          <w:szCs w:val="21"/>
          <w:highlight w:val="none"/>
        </w:rPr>
        <w:t>.1</w:t>
      </w:r>
      <w:r>
        <w:rPr>
          <w:rFonts w:hint="eastAsia" w:hAnsi="宋体"/>
          <w:snapToGrid w:val="0"/>
          <w:color w:val="auto"/>
          <w:szCs w:val="21"/>
          <w:highlight w:val="none"/>
        </w:rPr>
        <w:t>投标人在获取招标文件后，对招标文件任何部分若有任何疑问，</w:t>
      </w:r>
      <w:r>
        <w:rPr>
          <w:rFonts w:hAnsi="宋体"/>
          <w:snapToGrid w:val="0"/>
          <w:color w:val="auto"/>
          <w:szCs w:val="21"/>
          <w:highlight w:val="none"/>
        </w:rPr>
        <w:t>应</w:t>
      </w:r>
      <w:r>
        <w:rPr>
          <w:rFonts w:hint="eastAsia" w:hAnsi="宋体"/>
          <w:snapToGrid w:val="0"/>
          <w:color w:val="auto"/>
          <w:szCs w:val="21"/>
          <w:highlight w:val="none"/>
        </w:rPr>
        <w:t>按</w:t>
      </w:r>
      <w:r>
        <w:rPr>
          <w:rFonts w:hAnsi="宋体"/>
          <w:snapToGrid w:val="0"/>
          <w:color w:val="auto"/>
          <w:szCs w:val="21"/>
          <w:highlight w:val="none"/>
        </w:rPr>
        <w:t>投标人须</w:t>
      </w:r>
      <w:r>
        <w:rPr>
          <w:rFonts w:hint="eastAsia" w:hAnsi="宋体"/>
          <w:snapToGrid w:val="0"/>
          <w:color w:val="auto"/>
          <w:szCs w:val="21"/>
          <w:highlight w:val="none"/>
        </w:rPr>
        <w:t>知</w:t>
      </w:r>
      <w:r>
        <w:rPr>
          <w:rFonts w:hAnsi="宋体"/>
          <w:snapToGrid w:val="0"/>
          <w:color w:val="auto"/>
          <w:szCs w:val="21"/>
          <w:highlight w:val="none"/>
        </w:rPr>
        <w:t>前附表</w:t>
      </w:r>
      <w:r>
        <w:rPr>
          <w:rFonts w:hint="eastAsia" w:hAnsi="宋体"/>
          <w:snapToGrid w:val="0"/>
          <w:color w:val="auto"/>
          <w:szCs w:val="21"/>
          <w:highlight w:val="none"/>
        </w:rPr>
        <w:t>规定的“对招标文件提出问题截止时间、方式”，</w:t>
      </w:r>
      <w:r>
        <w:rPr>
          <w:rFonts w:hAnsi="宋体"/>
          <w:snapToGrid w:val="0"/>
          <w:color w:val="auto"/>
          <w:szCs w:val="21"/>
          <w:highlight w:val="none"/>
        </w:rPr>
        <w:t>要求招标人对招标文件予以澄清。</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2.</w:t>
      </w:r>
      <w:r>
        <w:rPr>
          <w:rFonts w:hint="eastAsia" w:hAnsi="宋体"/>
          <w:snapToGrid w:val="0"/>
          <w:color w:val="auto"/>
          <w:szCs w:val="21"/>
          <w:highlight w:val="none"/>
        </w:rPr>
        <w:t>3</w:t>
      </w:r>
      <w:r>
        <w:rPr>
          <w:rFonts w:hAnsi="宋体"/>
          <w:snapToGrid w:val="0"/>
          <w:color w:val="auto"/>
          <w:szCs w:val="21"/>
          <w:highlight w:val="none"/>
        </w:rPr>
        <w:t>.2</w:t>
      </w:r>
      <w:r>
        <w:rPr>
          <w:rFonts w:hint="eastAsia" w:hAnsi="宋体"/>
          <w:snapToGrid w:val="0"/>
          <w:color w:val="auto"/>
          <w:szCs w:val="21"/>
          <w:highlight w:val="none"/>
        </w:rPr>
        <w:t>招标人因投标人的澄清、异议要求而对招标文件做出澄清或修改的，</w:t>
      </w:r>
      <w:r>
        <w:rPr>
          <w:rFonts w:hAnsi="宋体"/>
          <w:snapToGrid w:val="0"/>
          <w:color w:val="auto"/>
          <w:szCs w:val="21"/>
          <w:highlight w:val="none"/>
        </w:rPr>
        <w:t>以</w:t>
      </w:r>
      <w:r>
        <w:rPr>
          <w:rFonts w:hint="eastAsia" w:hAnsi="宋体"/>
          <w:snapToGrid w:val="0"/>
          <w:color w:val="auto"/>
          <w:szCs w:val="21"/>
          <w:highlight w:val="none"/>
        </w:rPr>
        <w:t>投标人须知前附表规定</w:t>
      </w:r>
      <w:r>
        <w:rPr>
          <w:rFonts w:hAnsi="宋体"/>
          <w:snapToGrid w:val="0"/>
          <w:color w:val="auto"/>
          <w:szCs w:val="21"/>
          <w:highlight w:val="none"/>
        </w:rPr>
        <w:t>的</w:t>
      </w:r>
      <w:r>
        <w:rPr>
          <w:rFonts w:hint="eastAsia" w:hAnsi="宋体"/>
          <w:snapToGrid w:val="0"/>
          <w:color w:val="auto"/>
          <w:szCs w:val="21"/>
          <w:highlight w:val="none"/>
        </w:rPr>
        <w:t>“招标文件澄清、修改发出的形式”</w:t>
      </w:r>
      <w:r>
        <w:rPr>
          <w:rFonts w:hAnsi="宋体"/>
          <w:snapToGrid w:val="0"/>
          <w:color w:val="auto"/>
          <w:szCs w:val="21"/>
          <w:highlight w:val="none"/>
        </w:rPr>
        <w:t>发给所有获取招标文件的投标人，但不指明澄清问题的来源。</w:t>
      </w:r>
      <w:r>
        <w:rPr>
          <w:rFonts w:hint="eastAsia" w:hAnsi="宋体"/>
          <w:snapToGrid w:val="0"/>
          <w:color w:val="auto"/>
          <w:szCs w:val="21"/>
          <w:highlight w:val="none"/>
        </w:rPr>
        <w:t>该澄清或修改文件作为招标文件的组成部分，具有约束作用。如果澄清或修改发出的时间距投标截止时间不足15天，且澄清或者修改的内容可能影响投标文件编制的，将顺延提交投标文件的截止时间</w:t>
      </w:r>
      <w:r>
        <w:rPr>
          <w:rFonts w:hAnsi="宋体"/>
          <w:snapToGrid w:val="0"/>
          <w:color w:val="auto"/>
          <w:szCs w:val="21"/>
          <w:highlight w:val="none"/>
        </w:rPr>
        <w:t>。</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2.</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3</w:t>
      </w:r>
      <w:r>
        <w:rPr>
          <w:rFonts w:hAnsi="宋体"/>
          <w:snapToGrid w:val="0"/>
          <w:color w:val="auto"/>
          <w:szCs w:val="21"/>
          <w:highlight w:val="none"/>
        </w:rPr>
        <w:t>除非招标人认为确有必要答复，否则，招标人有权拒绝回复投标人在本章第2.</w:t>
      </w:r>
      <w:r>
        <w:rPr>
          <w:rFonts w:hint="eastAsia" w:hAnsi="宋体"/>
          <w:snapToGrid w:val="0"/>
          <w:color w:val="auto"/>
          <w:szCs w:val="21"/>
          <w:highlight w:val="none"/>
        </w:rPr>
        <w:t>3</w:t>
      </w:r>
      <w:r>
        <w:rPr>
          <w:rFonts w:hAnsi="宋体"/>
          <w:snapToGrid w:val="0"/>
          <w:color w:val="auto"/>
          <w:szCs w:val="21"/>
          <w:highlight w:val="none"/>
        </w:rPr>
        <w:t>.1项规定的时间后的任何澄清要求。</w:t>
      </w:r>
    </w:p>
    <w:p>
      <w:pPr>
        <w:snapToGrid w:val="0"/>
        <w:spacing w:line="360" w:lineRule="auto"/>
        <w:jc w:val="center"/>
        <w:outlineLvl w:val="1"/>
        <w:rPr>
          <w:rFonts w:hAnsi="宋体"/>
          <w:b/>
          <w:snapToGrid w:val="0"/>
          <w:color w:val="auto"/>
          <w:sz w:val="24"/>
          <w:highlight w:val="none"/>
        </w:rPr>
      </w:pPr>
      <w:bookmarkStart w:id="51" w:name="_Toc18870"/>
      <w:bookmarkStart w:id="52" w:name="_Toc143421658"/>
      <w:r>
        <w:rPr>
          <w:rFonts w:hAnsi="宋体"/>
          <w:b/>
          <w:snapToGrid w:val="0"/>
          <w:color w:val="auto"/>
          <w:sz w:val="24"/>
          <w:highlight w:val="none"/>
        </w:rPr>
        <w:t>3</w:t>
      </w:r>
      <w:r>
        <w:rPr>
          <w:rFonts w:hint="eastAsia" w:hAnsi="宋体"/>
          <w:b/>
          <w:snapToGrid w:val="0"/>
          <w:color w:val="auto"/>
          <w:sz w:val="24"/>
          <w:highlight w:val="none"/>
        </w:rPr>
        <w:t>、</w:t>
      </w:r>
      <w:r>
        <w:rPr>
          <w:rFonts w:hAnsi="宋体"/>
          <w:b/>
          <w:snapToGrid w:val="0"/>
          <w:color w:val="auto"/>
          <w:sz w:val="24"/>
          <w:highlight w:val="none"/>
        </w:rPr>
        <w:t>投标文件</w:t>
      </w:r>
      <w:bookmarkEnd w:id="51"/>
      <w:bookmarkEnd w:id="52"/>
    </w:p>
    <w:p>
      <w:pPr>
        <w:keepNext/>
        <w:keepLines/>
        <w:adjustRightInd w:val="0"/>
        <w:snapToGrid w:val="0"/>
        <w:spacing w:line="360" w:lineRule="auto"/>
        <w:jc w:val="left"/>
        <w:outlineLvl w:val="2"/>
        <w:rPr>
          <w:rFonts w:hAnsi="宋体"/>
          <w:b/>
          <w:bCs/>
          <w:snapToGrid w:val="0"/>
          <w:color w:val="auto"/>
          <w:szCs w:val="21"/>
          <w:highlight w:val="none"/>
        </w:rPr>
      </w:pPr>
      <w:bookmarkStart w:id="53" w:name="_Toc1411"/>
      <w:bookmarkStart w:id="54" w:name="_Toc143421659"/>
      <w:bookmarkStart w:id="55" w:name="_Toc32652"/>
      <w:r>
        <w:rPr>
          <w:rFonts w:hAnsi="宋体"/>
          <w:b/>
          <w:bCs/>
          <w:snapToGrid w:val="0"/>
          <w:color w:val="auto"/>
          <w:szCs w:val="21"/>
          <w:highlight w:val="none"/>
        </w:rPr>
        <w:t>3.</w:t>
      </w:r>
      <w:r>
        <w:rPr>
          <w:rFonts w:hint="eastAsia" w:hAnsi="宋体"/>
          <w:b/>
          <w:bCs/>
          <w:snapToGrid w:val="0"/>
          <w:color w:val="auto"/>
          <w:szCs w:val="21"/>
          <w:highlight w:val="none"/>
        </w:rPr>
        <w:t>1</w:t>
      </w:r>
      <w:r>
        <w:rPr>
          <w:rFonts w:hAnsi="宋体"/>
          <w:b/>
          <w:bCs/>
          <w:snapToGrid w:val="0"/>
          <w:color w:val="auto"/>
          <w:szCs w:val="21"/>
          <w:highlight w:val="none"/>
        </w:rPr>
        <w:t>投标文件的组成</w:t>
      </w:r>
      <w:bookmarkEnd w:id="53"/>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1</w:t>
      </w:r>
      <w:r>
        <w:rPr>
          <w:rFonts w:hAnsi="宋体"/>
          <w:snapToGrid w:val="0"/>
          <w:color w:val="auto"/>
          <w:szCs w:val="21"/>
          <w:highlight w:val="none"/>
        </w:rPr>
        <w:t>.1 投标文件应包括下列内容：</w:t>
      </w:r>
    </w:p>
    <w:p>
      <w:pPr>
        <w:adjustRightInd w:val="0"/>
        <w:snapToGrid w:val="0"/>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（1）资格文件（营业执照、事业单位法人证书、社会团体法人登记证书或其他组织登记证明文件副本复印件，业绩证明资料，其他资格条件证明材料）；</w:t>
      </w:r>
    </w:p>
    <w:p>
      <w:pPr>
        <w:adjustRightInd w:val="0"/>
        <w:snapToGrid w:val="0"/>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（2）商务文件（投标函，开标一览表，法定代表人身份证明或附有法定代表人和授权代表身份证明的授权委托书，投标保证金缴存证明，商务偏离表，商务优惠条件及特殊承诺）；</w:t>
      </w:r>
    </w:p>
    <w:p>
      <w:pPr>
        <w:pStyle w:val="33"/>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（3）资信文件（投标人基本情况表、股东信息及出资比例信息表</w:t>
      </w:r>
      <w:r>
        <w:rPr>
          <w:rFonts w:hint="eastAsia" w:hAnsi="宋体" w:cs="宋体"/>
          <w:snapToGrid w:val="0"/>
          <w:color w:val="auto"/>
          <w:szCs w:val="21"/>
          <w:highlight w:val="none"/>
          <w:lang w:eastAsia="zh-CN"/>
        </w:rPr>
        <w:t>、</w:t>
      </w:r>
      <w:r>
        <w:rPr>
          <w:rFonts w:hint="eastAsia" w:hAnsi="宋体" w:cs="宋体"/>
          <w:snapToGrid w:val="0"/>
          <w:color w:val="auto"/>
          <w:szCs w:val="21"/>
          <w:highlight w:val="none"/>
          <w:lang w:val="en-US" w:eastAsia="zh-CN"/>
        </w:rPr>
        <w:t>业绩证明材料、其他招标文件要求的资信材料（如有）、投标人认为有必要的其他内容（如有）</w:t>
      </w:r>
      <w:r>
        <w:rPr>
          <w:rFonts w:hint="eastAsia" w:hAnsi="宋体" w:cs="宋体"/>
          <w:snapToGrid w:val="0"/>
          <w:color w:val="auto"/>
          <w:szCs w:val="21"/>
          <w:highlight w:val="none"/>
        </w:rPr>
        <w:t>）；</w:t>
      </w:r>
    </w:p>
    <w:p>
      <w:pPr>
        <w:pStyle w:val="33"/>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（4）</w:t>
      </w:r>
      <w:r>
        <w:rPr>
          <w:rFonts w:hint="eastAsia" w:hAnsi="宋体"/>
          <w:snapToGrid w:val="0"/>
          <w:color w:val="auto"/>
          <w:szCs w:val="21"/>
          <w:highlight w:val="none"/>
        </w:rPr>
        <w:t>技术文件（技术与服务解决方案，技术偏离表，</w:t>
      </w:r>
      <w:r>
        <w:rPr>
          <w:rFonts w:hint="eastAsia" w:hAnsi="宋体"/>
          <w:snapToGrid w:val="0"/>
          <w:color w:val="auto"/>
          <w:szCs w:val="21"/>
          <w:highlight w:val="none"/>
          <w:lang w:val="en-US" w:eastAsia="zh-CN"/>
        </w:rPr>
        <w:t>承诺函</w:t>
      </w:r>
      <w:r>
        <w:rPr>
          <w:rFonts w:hint="eastAsia" w:hAnsi="宋体"/>
          <w:snapToGrid w:val="0"/>
          <w:color w:val="auto"/>
          <w:szCs w:val="21"/>
          <w:highlight w:val="none"/>
        </w:rPr>
        <w:t>，</w:t>
      </w:r>
      <w:r>
        <w:rPr>
          <w:rFonts w:hint="eastAsia" w:hAnsi="宋体" w:cs="宋体"/>
          <w:snapToGrid w:val="0"/>
          <w:color w:val="auto"/>
          <w:szCs w:val="21"/>
          <w:highlight w:val="none"/>
        </w:rPr>
        <w:t>诚信廉洁承诺函</w:t>
      </w:r>
      <w:r>
        <w:rPr>
          <w:rFonts w:hint="eastAsia" w:hAnsi="宋体"/>
          <w:snapToGrid w:val="0"/>
          <w:color w:val="auto"/>
          <w:szCs w:val="21"/>
          <w:highlight w:val="none"/>
        </w:rPr>
        <w:t>）</w:t>
      </w:r>
      <w:r>
        <w:rPr>
          <w:rFonts w:hint="eastAsia" w:hAnsi="宋体" w:cs="宋体"/>
          <w:snapToGrid w:val="0"/>
          <w:color w:val="auto"/>
          <w:szCs w:val="21"/>
          <w:highlight w:val="none"/>
        </w:rPr>
        <w:t>；</w:t>
      </w:r>
    </w:p>
    <w:p>
      <w:pPr>
        <w:adjustRightInd w:val="0"/>
        <w:snapToGrid w:val="0"/>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（5）投标人认为有必要的其他内容。</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投标人在评标过程中作出的符合法律法规和招标文件规定的澄清确认，构成投标文件的组成部分。</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3.1.2投标人须知前附表规定不接受联合体投标的，或投标人没有组成联合体的，投标文件不包括本章第3.1.1目所指的联合体协议书。</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3.1.3投标人须知前附表未要求提交投标保证金的，投标文件不包括本章第3.1.1目所指的投标保证金</w:t>
      </w:r>
      <w:r>
        <w:rPr>
          <w:rFonts w:hint="eastAsia" w:hAnsi="宋体" w:cs="宋体"/>
          <w:snapToGrid w:val="0"/>
          <w:color w:val="auto"/>
          <w:szCs w:val="21"/>
          <w:highlight w:val="none"/>
        </w:rPr>
        <w:t>缴存证明</w:t>
      </w:r>
      <w:r>
        <w:rPr>
          <w:rFonts w:hAnsi="宋体"/>
          <w:snapToGrid w:val="0"/>
          <w:color w:val="auto"/>
          <w:szCs w:val="21"/>
          <w:highlight w:val="none"/>
        </w:rPr>
        <w:t>。</w:t>
      </w:r>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3.</w:t>
      </w:r>
      <w:r>
        <w:rPr>
          <w:rFonts w:hint="eastAsia" w:hAnsi="宋体"/>
          <w:b/>
          <w:bCs/>
          <w:snapToGrid w:val="0"/>
          <w:color w:val="auto"/>
          <w:szCs w:val="21"/>
          <w:highlight w:val="none"/>
        </w:rPr>
        <w:t>2</w:t>
      </w:r>
      <w:r>
        <w:rPr>
          <w:rFonts w:hAnsi="宋体"/>
          <w:b/>
          <w:bCs/>
          <w:snapToGrid w:val="0"/>
          <w:color w:val="auto"/>
          <w:szCs w:val="21"/>
          <w:highlight w:val="none"/>
        </w:rPr>
        <w:t>资格审查资料</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3.2.1</w:t>
      </w:r>
      <w:r>
        <w:rPr>
          <w:rFonts w:hAnsi="宋体"/>
          <w:snapToGrid w:val="0"/>
          <w:color w:val="auto"/>
          <w:szCs w:val="21"/>
          <w:highlight w:val="none"/>
        </w:rPr>
        <w:t>投标人应按本章第1.</w:t>
      </w:r>
      <w:r>
        <w:rPr>
          <w:rFonts w:hint="eastAsia" w:hAnsi="宋体"/>
          <w:snapToGrid w:val="0"/>
          <w:color w:val="auto"/>
          <w:szCs w:val="21"/>
          <w:highlight w:val="none"/>
        </w:rPr>
        <w:t>4</w:t>
      </w:r>
      <w:r>
        <w:rPr>
          <w:rFonts w:hAnsi="宋体"/>
          <w:snapToGrid w:val="0"/>
          <w:color w:val="auto"/>
          <w:szCs w:val="21"/>
          <w:highlight w:val="none"/>
        </w:rPr>
        <w:t>款</w:t>
      </w:r>
      <w:r>
        <w:rPr>
          <w:rFonts w:hint="eastAsia" w:hAnsi="宋体"/>
          <w:snapToGrid w:val="0"/>
          <w:color w:val="auto"/>
          <w:szCs w:val="21"/>
          <w:highlight w:val="none"/>
        </w:rPr>
        <w:t>要求</w:t>
      </w:r>
      <w:r>
        <w:rPr>
          <w:rFonts w:hAnsi="宋体"/>
          <w:snapToGrid w:val="0"/>
          <w:color w:val="auto"/>
          <w:szCs w:val="21"/>
          <w:highlight w:val="none"/>
        </w:rPr>
        <w:t>提供</w:t>
      </w:r>
      <w:r>
        <w:rPr>
          <w:rFonts w:hint="eastAsia" w:hAnsi="宋体"/>
          <w:snapToGrid w:val="0"/>
          <w:color w:val="auto"/>
          <w:szCs w:val="21"/>
          <w:highlight w:val="none"/>
        </w:rPr>
        <w:t>相关</w:t>
      </w:r>
      <w:r>
        <w:rPr>
          <w:rFonts w:hAnsi="宋体"/>
          <w:snapToGrid w:val="0"/>
          <w:color w:val="auto"/>
          <w:szCs w:val="21"/>
          <w:highlight w:val="none"/>
        </w:rPr>
        <w:t>资格审查资料。</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2</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w:t>
      </w:r>
      <w:r>
        <w:rPr>
          <w:rFonts w:hint="eastAsia" w:hAnsi="宋体"/>
          <w:snapToGrid w:val="0"/>
          <w:color w:val="auto"/>
          <w:szCs w:val="21"/>
          <w:highlight w:val="none"/>
        </w:rPr>
        <w:t>资格文件</w:t>
      </w:r>
      <w:r>
        <w:rPr>
          <w:rFonts w:hAnsi="宋体"/>
          <w:snapToGrid w:val="0"/>
          <w:color w:val="auto"/>
          <w:szCs w:val="21"/>
          <w:highlight w:val="none"/>
        </w:rPr>
        <w:t>”</w:t>
      </w:r>
      <w:r>
        <w:rPr>
          <w:rFonts w:hint="eastAsia" w:hAnsi="宋体"/>
          <w:snapToGrid w:val="0"/>
          <w:color w:val="auto"/>
          <w:szCs w:val="21"/>
          <w:highlight w:val="none"/>
        </w:rPr>
        <w:t>中的“</w:t>
      </w:r>
      <w:r>
        <w:rPr>
          <w:rFonts w:hint="eastAsia" w:hAnsi="宋体" w:cs="宋体"/>
          <w:snapToGrid w:val="0"/>
          <w:color w:val="auto"/>
          <w:szCs w:val="21"/>
          <w:highlight w:val="none"/>
        </w:rPr>
        <w:t>营业执照”等复印件</w:t>
      </w:r>
      <w:r>
        <w:rPr>
          <w:rFonts w:hint="eastAsia" w:hAnsi="宋体"/>
          <w:snapToGrid w:val="0"/>
          <w:color w:val="auto"/>
          <w:szCs w:val="21"/>
          <w:highlight w:val="none"/>
        </w:rPr>
        <w:t>是指</w:t>
      </w:r>
      <w:r>
        <w:rPr>
          <w:rFonts w:hAnsi="宋体"/>
          <w:snapToGrid w:val="0"/>
          <w:color w:val="auto"/>
          <w:szCs w:val="21"/>
          <w:highlight w:val="none"/>
        </w:rPr>
        <w:t>：</w:t>
      </w:r>
    </w:p>
    <w:p>
      <w:pPr>
        <w:pStyle w:val="33"/>
        <w:numPr>
          <w:ilvl w:val="0"/>
          <w:numId w:val="12"/>
        </w:numPr>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投标人</w:t>
      </w:r>
      <w:r>
        <w:rPr>
          <w:rFonts w:hint="eastAsia" w:hAnsi="宋体"/>
          <w:snapToGrid w:val="0"/>
          <w:color w:val="auto"/>
          <w:szCs w:val="21"/>
          <w:highlight w:val="none"/>
        </w:rPr>
        <w:t>根据</w:t>
      </w:r>
      <w:r>
        <w:rPr>
          <w:rFonts w:hAnsi="宋体"/>
          <w:snapToGrid w:val="0"/>
          <w:color w:val="auto"/>
          <w:szCs w:val="21"/>
          <w:highlight w:val="none"/>
        </w:rPr>
        <w:t>企业</w:t>
      </w:r>
      <w:r>
        <w:rPr>
          <w:rFonts w:hint="eastAsia" w:hAnsi="宋体"/>
          <w:snapToGrid w:val="0"/>
          <w:color w:val="auto"/>
          <w:szCs w:val="21"/>
          <w:highlight w:val="none"/>
        </w:rPr>
        <w:t>、非企业性质不同</w:t>
      </w:r>
      <w:r>
        <w:rPr>
          <w:rFonts w:hAnsi="宋体"/>
          <w:snapToGrid w:val="0"/>
          <w:color w:val="auto"/>
          <w:szCs w:val="21"/>
          <w:highlight w:val="none"/>
        </w:rPr>
        <w:t>，</w:t>
      </w:r>
      <w:r>
        <w:rPr>
          <w:rFonts w:hint="eastAsia" w:hAnsi="宋体"/>
          <w:snapToGrid w:val="0"/>
          <w:color w:val="auto"/>
          <w:szCs w:val="21"/>
          <w:highlight w:val="none"/>
        </w:rPr>
        <w:t>可分别提供</w:t>
      </w:r>
      <w:r>
        <w:rPr>
          <w:rFonts w:hAnsi="宋体"/>
          <w:snapToGrid w:val="0"/>
          <w:color w:val="auto"/>
          <w:szCs w:val="21"/>
          <w:highlight w:val="none"/>
        </w:rPr>
        <w:t>营业执照</w:t>
      </w:r>
      <w:r>
        <w:rPr>
          <w:rFonts w:hint="eastAsia" w:hAnsi="宋体"/>
          <w:snapToGrid w:val="0"/>
          <w:color w:val="auto"/>
          <w:szCs w:val="21"/>
          <w:highlight w:val="none"/>
        </w:rPr>
        <w:t>、</w:t>
      </w:r>
      <w:r>
        <w:rPr>
          <w:rFonts w:hAnsi="宋体"/>
          <w:snapToGrid w:val="0"/>
          <w:color w:val="auto"/>
          <w:szCs w:val="21"/>
          <w:highlight w:val="none"/>
        </w:rPr>
        <w:t>事业单位法人证书</w:t>
      </w:r>
      <w:r>
        <w:rPr>
          <w:rFonts w:hint="eastAsia" w:hAnsi="宋体"/>
          <w:snapToGrid w:val="0"/>
          <w:color w:val="auto"/>
          <w:szCs w:val="21"/>
          <w:highlight w:val="none"/>
        </w:rPr>
        <w:t>、社会团体法人登记证书或其他组织登记证明文件的复印件；</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（2）</w:t>
      </w:r>
      <w:r>
        <w:rPr>
          <w:rFonts w:hint="eastAsia" w:cs="宋体"/>
          <w:color w:val="auto"/>
          <w:szCs w:val="21"/>
          <w:highlight w:val="none"/>
        </w:rPr>
        <w:t>保险、金融、电信、通信特殊行业可视行业实际情况提供非独立法人的分公司登记证书及上级总公司唯一授权相关证明材料的复印件。</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2</w:t>
      </w:r>
      <w:r>
        <w:rPr>
          <w:rFonts w:hAnsi="宋体"/>
          <w:snapToGrid w:val="0"/>
          <w:color w:val="auto"/>
          <w:szCs w:val="21"/>
          <w:highlight w:val="none"/>
        </w:rPr>
        <w:t>.</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资格文件</w:t>
      </w:r>
      <w:r>
        <w:rPr>
          <w:rFonts w:hAnsi="宋体"/>
          <w:snapToGrid w:val="0"/>
          <w:color w:val="auto"/>
          <w:szCs w:val="21"/>
          <w:highlight w:val="none"/>
        </w:rPr>
        <w:t>”</w:t>
      </w:r>
      <w:r>
        <w:rPr>
          <w:rFonts w:hint="eastAsia" w:hAnsi="宋体"/>
          <w:snapToGrid w:val="0"/>
          <w:color w:val="auto"/>
          <w:szCs w:val="21"/>
          <w:highlight w:val="none"/>
        </w:rPr>
        <w:t>中的“其他资格条件证明材料”</w:t>
      </w:r>
      <w:r>
        <w:rPr>
          <w:rFonts w:hAnsi="宋体"/>
          <w:snapToGrid w:val="0"/>
          <w:color w:val="auto"/>
          <w:szCs w:val="21"/>
          <w:highlight w:val="none"/>
        </w:rPr>
        <w:t>应</w:t>
      </w:r>
      <w:r>
        <w:rPr>
          <w:rFonts w:hint="eastAsia" w:hAnsi="宋体"/>
          <w:snapToGrid w:val="0"/>
          <w:color w:val="auto"/>
          <w:szCs w:val="21"/>
          <w:highlight w:val="none"/>
        </w:rPr>
        <w:t>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hAnsi="宋体"/>
          <w:b/>
          <w:bCs/>
          <w:snapToGrid w:val="0"/>
          <w:color w:val="auto"/>
          <w:szCs w:val="21"/>
          <w:highlight w:val="none"/>
        </w:rPr>
      </w:pPr>
      <w:bookmarkStart w:id="56" w:name="_Toc32225"/>
      <w:r>
        <w:rPr>
          <w:rFonts w:hAnsi="宋体"/>
          <w:b/>
          <w:bCs/>
          <w:snapToGrid w:val="0"/>
          <w:color w:val="auto"/>
          <w:szCs w:val="21"/>
          <w:highlight w:val="none"/>
        </w:rPr>
        <w:t>3.</w:t>
      </w:r>
      <w:r>
        <w:rPr>
          <w:rFonts w:hint="eastAsia" w:hAnsi="宋体"/>
          <w:b/>
          <w:bCs/>
          <w:snapToGrid w:val="0"/>
          <w:color w:val="auto"/>
          <w:szCs w:val="21"/>
          <w:highlight w:val="none"/>
        </w:rPr>
        <w:t>3</w:t>
      </w:r>
      <w:r>
        <w:rPr>
          <w:rFonts w:hAnsi="宋体"/>
          <w:b/>
          <w:bCs/>
          <w:snapToGrid w:val="0"/>
          <w:color w:val="auto"/>
          <w:szCs w:val="21"/>
          <w:highlight w:val="none"/>
        </w:rPr>
        <w:t>投标报价</w:t>
      </w:r>
      <w:bookmarkEnd w:id="56"/>
    </w:p>
    <w:p>
      <w:pPr>
        <w:pStyle w:val="33"/>
        <w:adjustRightInd w:val="0"/>
        <w:snapToGrid w:val="0"/>
        <w:spacing w:after="0" w:line="360" w:lineRule="auto"/>
        <w:ind w:firstLine="420" w:firstLineChars="200"/>
        <w:jc w:val="left"/>
        <w:rPr>
          <w:rFonts w:hAnsi="宋体"/>
          <w:snapToGrid w:val="0"/>
          <w:color w:val="auto"/>
          <w:szCs w:val="21"/>
          <w:highlight w:val="none"/>
        </w:rPr>
      </w:pPr>
      <w:bookmarkStart w:id="57" w:name="_Toc13307"/>
      <w:r>
        <w:rPr>
          <w:rFonts w:hAnsi="宋体"/>
          <w:snapToGrid w:val="0"/>
          <w:color w:val="auto"/>
          <w:szCs w:val="21"/>
          <w:highlight w:val="none"/>
        </w:rPr>
        <w:t>3.</w:t>
      </w:r>
      <w:r>
        <w:rPr>
          <w:rFonts w:hint="eastAsia" w:hAnsi="宋体"/>
          <w:snapToGrid w:val="0"/>
          <w:color w:val="auto"/>
          <w:szCs w:val="21"/>
          <w:highlight w:val="none"/>
        </w:rPr>
        <w:t>3</w:t>
      </w:r>
      <w:r>
        <w:rPr>
          <w:rFonts w:hAnsi="宋体"/>
          <w:snapToGrid w:val="0"/>
          <w:color w:val="auto"/>
          <w:szCs w:val="21"/>
          <w:highlight w:val="none"/>
        </w:rPr>
        <w:t>.1投标人应按第</w:t>
      </w:r>
      <w:r>
        <w:rPr>
          <w:rFonts w:hint="eastAsia" w:hAnsi="宋体"/>
          <w:snapToGrid w:val="0"/>
          <w:color w:val="auto"/>
          <w:szCs w:val="21"/>
          <w:highlight w:val="none"/>
        </w:rPr>
        <w:t>五</w:t>
      </w:r>
      <w:r>
        <w:rPr>
          <w:rFonts w:hAnsi="宋体"/>
          <w:snapToGrid w:val="0"/>
          <w:color w:val="auto"/>
          <w:szCs w:val="21"/>
          <w:highlight w:val="none"/>
        </w:rPr>
        <w:t>章“投标文件格式”的要求在</w:t>
      </w:r>
      <w:r>
        <w:rPr>
          <w:rFonts w:hint="eastAsia" w:hAnsi="宋体"/>
          <w:snapToGrid w:val="0"/>
          <w:color w:val="auto"/>
          <w:szCs w:val="21"/>
          <w:highlight w:val="none"/>
        </w:rPr>
        <w:t>“</w:t>
      </w:r>
      <w:r>
        <w:rPr>
          <w:rFonts w:hAnsi="宋体"/>
          <w:snapToGrid w:val="0"/>
          <w:color w:val="auto"/>
          <w:szCs w:val="21"/>
          <w:highlight w:val="none"/>
        </w:rPr>
        <w:t>投标函</w:t>
      </w:r>
      <w:r>
        <w:rPr>
          <w:rFonts w:hint="eastAsia" w:hAnsi="宋体"/>
          <w:snapToGrid w:val="0"/>
          <w:color w:val="auto"/>
          <w:szCs w:val="21"/>
          <w:highlight w:val="none"/>
        </w:rPr>
        <w:t>”</w:t>
      </w:r>
      <w:r>
        <w:rPr>
          <w:rFonts w:hAnsi="宋体"/>
          <w:snapToGrid w:val="0"/>
          <w:color w:val="auto"/>
          <w:szCs w:val="21"/>
          <w:highlight w:val="none"/>
        </w:rPr>
        <w:t>中进行报价</w:t>
      </w:r>
      <w:r>
        <w:rPr>
          <w:rFonts w:hint="eastAsia" w:hAnsi="宋体"/>
          <w:snapToGrid w:val="0"/>
          <w:color w:val="auto"/>
          <w:szCs w:val="21"/>
          <w:highlight w:val="none"/>
        </w:rPr>
        <w:t>。有关本项目建设或采购所需的所有费用均计入报价。《投标函》是报价的唯一载体。投标文件中价格全部采用人民币报价。</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3</w:t>
      </w:r>
      <w:r>
        <w:rPr>
          <w:rFonts w:hAnsi="宋体"/>
          <w:snapToGrid w:val="0"/>
          <w:color w:val="auto"/>
          <w:szCs w:val="21"/>
          <w:highlight w:val="none"/>
        </w:rPr>
        <w:t>.2投标人应充分了解该项目的总体情况以及影响投标报价的其他要素。</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3</w:t>
      </w:r>
      <w:r>
        <w:rPr>
          <w:rFonts w:hAnsi="宋体"/>
          <w:snapToGrid w:val="0"/>
          <w:color w:val="auto"/>
          <w:szCs w:val="21"/>
          <w:highlight w:val="none"/>
        </w:rPr>
        <w:t>招标人设有最</w:t>
      </w:r>
      <w:r>
        <w:rPr>
          <w:rFonts w:hint="eastAsia" w:hAnsi="宋体"/>
          <w:snapToGrid w:val="0"/>
          <w:color w:val="auto"/>
          <w:szCs w:val="21"/>
          <w:highlight w:val="none"/>
          <w:lang w:val="en-US" w:eastAsia="zh-CN"/>
        </w:rPr>
        <w:t>低</w:t>
      </w:r>
      <w:r>
        <w:rPr>
          <w:rFonts w:hAnsi="宋体"/>
          <w:snapToGrid w:val="0"/>
          <w:color w:val="auto"/>
          <w:szCs w:val="21"/>
          <w:highlight w:val="none"/>
        </w:rPr>
        <w:t>投标限价的，投标人的投标报价不得</w:t>
      </w:r>
      <w:r>
        <w:rPr>
          <w:rFonts w:hint="eastAsia" w:hAnsi="宋体"/>
          <w:snapToGrid w:val="0"/>
          <w:color w:val="auto"/>
          <w:szCs w:val="21"/>
          <w:highlight w:val="none"/>
          <w:lang w:val="en-US" w:eastAsia="zh-CN"/>
        </w:rPr>
        <w:t>低于</w:t>
      </w:r>
      <w:r>
        <w:rPr>
          <w:rFonts w:hAnsi="宋体"/>
          <w:snapToGrid w:val="0"/>
          <w:color w:val="auto"/>
          <w:szCs w:val="21"/>
          <w:highlight w:val="none"/>
        </w:rPr>
        <w:t>最</w:t>
      </w:r>
      <w:r>
        <w:rPr>
          <w:rFonts w:hint="eastAsia" w:hAnsi="宋体"/>
          <w:snapToGrid w:val="0"/>
          <w:color w:val="auto"/>
          <w:szCs w:val="21"/>
          <w:highlight w:val="none"/>
          <w:lang w:val="en-US" w:eastAsia="zh-CN"/>
        </w:rPr>
        <w:t>低</w:t>
      </w:r>
      <w:r>
        <w:rPr>
          <w:rFonts w:hAnsi="宋体"/>
          <w:snapToGrid w:val="0"/>
          <w:color w:val="auto"/>
          <w:szCs w:val="21"/>
          <w:highlight w:val="none"/>
        </w:rPr>
        <w:t>投标限价，最</w:t>
      </w:r>
      <w:r>
        <w:rPr>
          <w:rFonts w:hint="eastAsia" w:hAnsi="宋体"/>
          <w:snapToGrid w:val="0"/>
          <w:color w:val="auto"/>
          <w:szCs w:val="21"/>
          <w:highlight w:val="none"/>
          <w:lang w:val="en-US" w:eastAsia="zh-CN"/>
        </w:rPr>
        <w:t>低</w:t>
      </w:r>
      <w:r>
        <w:rPr>
          <w:rFonts w:hAnsi="宋体"/>
          <w:snapToGrid w:val="0"/>
          <w:color w:val="auto"/>
          <w:szCs w:val="21"/>
          <w:highlight w:val="none"/>
        </w:rPr>
        <w:t>投标限价在投标人须知前附表中载明。</w:t>
      </w:r>
    </w:p>
    <w:p>
      <w:pPr>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4</w:t>
      </w:r>
      <w:r>
        <w:rPr>
          <w:rFonts w:hAnsi="宋体"/>
          <w:snapToGrid w:val="0"/>
          <w:color w:val="auto"/>
          <w:szCs w:val="21"/>
          <w:highlight w:val="none"/>
        </w:rPr>
        <w:t>投标报价的</w:t>
      </w:r>
      <w:r>
        <w:rPr>
          <w:rFonts w:hint="eastAsia" w:hAnsi="宋体"/>
          <w:snapToGrid w:val="0"/>
          <w:color w:val="auto"/>
          <w:szCs w:val="21"/>
          <w:highlight w:val="none"/>
        </w:rPr>
        <w:t>具体</w:t>
      </w:r>
      <w:r>
        <w:rPr>
          <w:rFonts w:hAnsi="宋体"/>
          <w:snapToGrid w:val="0"/>
          <w:color w:val="auto"/>
          <w:szCs w:val="21"/>
          <w:highlight w:val="none"/>
        </w:rPr>
        <w:t>要求</w:t>
      </w:r>
      <w:r>
        <w:rPr>
          <w:rFonts w:hint="eastAsia" w:hAnsi="宋体"/>
          <w:snapToGrid w:val="0"/>
          <w:color w:val="auto"/>
          <w:szCs w:val="21"/>
          <w:highlight w:val="none"/>
        </w:rPr>
        <w:t>详</w:t>
      </w:r>
      <w:r>
        <w:rPr>
          <w:rFonts w:hAnsi="宋体"/>
          <w:snapToGrid w:val="0"/>
          <w:color w:val="auto"/>
          <w:szCs w:val="21"/>
          <w:highlight w:val="none"/>
        </w:rPr>
        <w:t>见</w:t>
      </w:r>
      <w:r>
        <w:rPr>
          <w:rFonts w:hint="eastAsia" w:hAnsi="宋体"/>
          <w:snapToGrid w:val="0"/>
          <w:color w:val="auto"/>
          <w:szCs w:val="21"/>
          <w:highlight w:val="none"/>
        </w:rPr>
        <w:t>第三章“用户需求书”</w:t>
      </w:r>
      <w:r>
        <w:rPr>
          <w:rFonts w:hAnsi="宋体"/>
          <w:snapToGrid w:val="0"/>
          <w:color w:val="auto"/>
          <w:szCs w:val="21"/>
          <w:highlight w:val="none"/>
        </w:rPr>
        <w:t>。</w:t>
      </w:r>
    </w:p>
    <w:bookmarkEnd w:id="57"/>
    <w:p>
      <w:pPr>
        <w:keepNext/>
        <w:keepLines/>
        <w:adjustRightInd w:val="0"/>
        <w:snapToGrid w:val="0"/>
        <w:spacing w:line="360" w:lineRule="auto"/>
        <w:jc w:val="left"/>
        <w:outlineLvl w:val="2"/>
        <w:rPr>
          <w:rFonts w:hAnsi="宋体"/>
          <w:b/>
          <w:bCs/>
          <w:snapToGrid w:val="0"/>
          <w:color w:val="auto"/>
          <w:szCs w:val="21"/>
          <w:highlight w:val="none"/>
        </w:rPr>
      </w:pPr>
      <w:bookmarkStart w:id="58" w:name="_Toc29989"/>
      <w:r>
        <w:rPr>
          <w:rFonts w:hAnsi="宋体"/>
          <w:b/>
          <w:bCs/>
          <w:snapToGrid w:val="0"/>
          <w:color w:val="auto"/>
          <w:szCs w:val="21"/>
          <w:highlight w:val="none"/>
        </w:rPr>
        <w:t>3.</w:t>
      </w:r>
      <w:r>
        <w:rPr>
          <w:rFonts w:hint="eastAsia" w:hAnsi="宋体"/>
          <w:b/>
          <w:bCs/>
          <w:snapToGrid w:val="0"/>
          <w:color w:val="auto"/>
          <w:szCs w:val="21"/>
          <w:highlight w:val="none"/>
        </w:rPr>
        <w:t>4</w:t>
      </w:r>
      <w:r>
        <w:rPr>
          <w:rFonts w:hAnsi="宋体"/>
          <w:b/>
          <w:bCs/>
          <w:snapToGrid w:val="0"/>
          <w:color w:val="auto"/>
          <w:szCs w:val="21"/>
          <w:highlight w:val="none"/>
        </w:rPr>
        <w:t>投标文件的编制</w:t>
      </w:r>
      <w:bookmarkEnd w:id="58"/>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4</w:t>
      </w:r>
      <w:r>
        <w:rPr>
          <w:rFonts w:hAnsi="宋体"/>
          <w:snapToGrid w:val="0"/>
          <w:color w:val="auto"/>
          <w:szCs w:val="21"/>
          <w:highlight w:val="none"/>
        </w:rPr>
        <w:t>.1投标文件</w:t>
      </w:r>
      <w:r>
        <w:rPr>
          <w:rFonts w:hint="eastAsia" w:hAnsi="宋体"/>
          <w:snapToGrid w:val="0"/>
          <w:color w:val="auto"/>
          <w:szCs w:val="21"/>
          <w:highlight w:val="none"/>
        </w:rPr>
        <w:t>分资格文件、商务文件、资信文件、技术文件四部分，</w:t>
      </w:r>
      <w:r>
        <w:rPr>
          <w:rFonts w:hAnsi="宋体"/>
          <w:snapToGrid w:val="0"/>
          <w:color w:val="auto"/>
          <w:szCs w:val="21"/>
          <w:highlight w:val="none"/>
        </w:rPr>
        <w:t>应按本须知第3.</w:t>
      </w:r>
      <w:r>
        <w:rPr>
          <w:rFonts w:hint="eastAsia" w:hAnsi="宋体"/>
          <w:snapToGrid w:val="0"/>
          <w:color w:val="auto"/>
          <w:szCs w:val="21"/>
          <w:highlight w:val="none"/>
        </w:rPr>
        <w:t>1</w:t>
      </w:r>
      <w:r>
        <w:rPr>
          <w:rFonts w:hAnsi="宋体"/>
          <w:snapToGrid w:val="0"/>
          <w:color w:val="auto"/>
          <w:szCs w:val="21"/>
          <w:highlight w:val="none"/>
        </w:rPr>
        <w:t>款规定</w:t>
      </w:r>
      <w:r>
        <w:rPr>
          <w:rFonts w:hint="eastAsia" w:hAnsi="宋体"/>
          <w:snapToGrid w:val="0"/>
          <w:color w:val="auto"/>
          <w:szCs w:val="21"/>
          <w:highlight w:val="none"/>
        </w:rPr>
        <w:t>的</w:t>
      </w:r>
      <w:r>
        <w:rPr>
          <w:rFonts w:hAnsi="宋体"/>
          <w:snapToGrid w:val="0"/>
          <w:color w:val="auto"/>
          <w:szCs w:val="21"/>
          <w:highlight w:val="none"/>
        </w:rPr>
        <w:t>内容和第</w:t>
      </w:r>
      <w:r>
        <w:rPr>
          <w:rFonts w:hint="eastAsia" w:hAnsi="宋体"/>
          <w:snapToGrid w:val="0"/>
          <w:color w:val="auto"/>
          <w:szCs w:val="21"/>
          <w:highlight w:val="none"/>
        </w:rPr>
        <w:t>五</w:t>
      </w:r>
      <w:r>
        <w:rPr>
          <w:rFonts w:hAnsi="宋体"/>
          <w:snapToGrid w:val="0"/>
          <w:color w:val="auto"/>
          <w:szCs w:val="21"/>
          <w:highlight w:val="none"/>
        </w:rPr>
        <w:t>章“投标文件格式”进行编写，如有必要，可以增加附页，作为投标文件的组成部分，“投标文件格式”中没有规定的可自行编制格式。</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4</w:t>
      </w:r>
      <w:r>
        <w:rPr>
          <w:rFonts w:hAnsi="宋体"/>
          <w:snapToGrid w:val="0"/>
          <w:color w:val="auto"/>
          <w:szCs w:val="21"/>
          <w:highlight w:val="none"/>
        </w:rPr>
        <w:t>.</w:t>
      </w:r>
      <w:r>
        <w:rPr>
          <w:rFonts w:hint="eastAsia" w:hAnsi="宋体"/>
          <w:snapToGrid w:val="0"/>
          <w:color w:val="auto"/>
          <w:szCs w:val="21"/>
          <w:highlight w:val="none"/>
        </w:rPr>
        <w:t>2投标人按</w:t>
      </w:r>
      <w:r>
        <w:rPr>
          <w:rFonts w:hAnsi="宋体"/>
          <w:snapToGrid w:val="0"/>
          <w:color w:val="auto"/>
          <w:szCs w:val="21"/>
          <w:highlight w:val="none"/>
        </w:rPr>
        <w:t>投标人须知</w:t>
      </w:r>
      <w:r>
        <w:rPr>
          <w:rFonts w:hint="eastAsia" w:hAnsi="宋体"/>
          <w:snapToGrid w:val="0"/>
          <w:color w:val="auto"/>
          <w:szCs w:val="21"/>
          <w:highlight w:val="none"/>
        </w:rPr>
        <w:t>前附表规定的份数编制投标文件</w:t>
      </w:r>
      <w:r>
        <w:rPr>
          <w:rFonts w:hAnsi="宋体"/>
          <w:snapToGrid w:val="0"/>
          <w:color w:val="auto"/>
          <w:szCs w:val="21"/>
          <w:highlight w:val="none"/>
        </w:rPr>
        <w:t>。</w:t>
      </w:r>
      <w:r>
        <w:rPr>
          <w:rFonts w:hint="eastAsia" w:hAnsi="宋体"/>
          <w:snapToGrid w:val="0"/>
          <w:color w:val="auto"/>
          <w:szCs w:val="21"/>
          <w:highlight w:val="none"/>
        </w:rPr>
        <w:t>投标文件的正本和副本均需打印或使用不褪色的墨水笔书写，字迹应清晰易于辨认。</w:t>
      </w:r>
      <w:r>
        <w:rPr>
          <w:rFonts w:hAnsi="宋体"/>
          <w:snapToGrid w:val="0"/>
          <w:color w:val="auto"/>
          <w:szCs w:val="21"/>
          <w:highlight w:val="none"/>
        </w:rPr>
        <w:t>正本和副本的封面</w:t>
      </w:r>
      <w:r>
        <w:rPr>
          <w:rFonts w:hint="eastAsia" w:hAnsi="宋体"/>
          <w:snapToGrid w:val="0"/>
          <w:color w:val="auto"/>
          <w:szCs w:val="21"/>
          <w:highlight w:val="none"/>
          <w:lang w:eastAsia="zh-CN"/>
        </w:rPr>
        <w:t>右上角</w:t>
      </w:r>
      <w:r>
        <w:rPr>
          <w:rFonts w:hAnsi="宋体"/>
          <w:snapToGrid w:val="0"/>
          <w:color w:val="auto"/>
          <w:szCs w:val="21"/>
          <w:highlight w:val="none"/>
        </w:rPr>
        <w:t>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3.4.3投标文件装订要求见投标人须知前附表。</w:t>
      </w:r>
      <w:r>
        <w:rPr>
          <w:rFonts w:hAnsi="宋体"/>
          <w:snapToGrid w:val="0"/>
          <w:color w:val="auto"/>
          <w:szCs w:val="21"/>
          <w:highlight w:val="none"/>
        </w:rPr>
        <w:t>投标文件的正本与副本</w:t>
      </w:r>
      <w:r>
        <w:rPr>
          <w:rFonts w:hint="eastAsia" w:hAnsi="宋体"/>
          <w:snapToGrid w:val="0"/>
          <w:color w:val="auto"/>
          <w:szCs w:val="21"/>
          <w:highlight w:val="none"/>
        </w:rPr>
        <w:t>应</w:t>
      </w:r>
      <w:r>
        <w:rPr>
          <w:rFonts w:hAnsi="宋体"/>
          <w:snapToGrid w:val="0"/>
          <w:color w:val="auto"/>
          <w:szCs w:val="21"/>
          <w:highlight w:val="none"/>
        </w:rPr>
        <w:t>分别装订成册</w:t>
      </w:r>
      <w:r>
        <w:rPr>
          <w:rFonts w:hint="eastAsia" w:hAnsi="宋体"/>
          <w:snapToGrid w:val="0"/>
          <w:color w:val="auto"/>
          <w:szCs w:val="21"/>
          <w:highlight w:val="none"/>
        </w:rPr>
        <w:t>，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4</w:t>
      </w:r>
      <w:r>
        <w:rPr>
          <w:rFonts w:hAnsi="宋体"/>
          <w:snapToGrid w:val="0"/>
          <w:color w:val="auto"/>
          <w:szCs w:val="21"/>
          <w:highlight w:val="none"/>
        </w:rPr>
        <w:t>.</w:t>
      </w:r>
      <w:r>
        <w:rPr>
          <w:rFonts w:hint="eastAsia" w:hAnsi="宋体"/>
          <w:snapToGrid w:val="0"/>
          <w:color w:val="auto"/>
          <w:szCs w:val="21"/>
          <w:highlight w:val="none"/>
        </w:rPr>
        <w:t>4 投标文件按照招标文件第五章格式要求进行签署、盖章。投标文件封面、投标函均应加盖投标人印章并经法定代表人或其委托代理人签字或盖章。由委托代理人签字或盖章的在投标文件中必须同时提交法定代表人签署授权委托书。</w:t>
      </w:r>
      <w:r>
        <w:rPr>
          <w:rFonts w:hAnsi="宋体"/>
          <w:snapToGrid w:val="0"/>
          <w:color w:val="auto"/>
          <w:szCs w:val="21"/>
          <w:highlight w:val="none"/>
        </w:rPr>
        <w:t>投标文件应尽量避免涂改、行间插字或删除。如果出现上述情况，改动之处应由投标人的法定代表人或其</w:t>
      </w:r>
      <w:r>
        <w:rPr>
          <w:rFonts w:hint="eastAsia" w:hAnsi="宋体"/>
          <w:snapToGrid w:val="0"/>
          <w:color w:val="auto"/>
          <w:szCs w:val="21"/>
          <w:highlight w:val="none"/>
        </w:rPr>
        <w:t>委托代理人</w:t>
      </w:r>
      <w:r>
        <w:rPr>
          <w:rFonts w:hAnsi="宋体"/>
          <w:snapToGrid w:val="0"/>
          <w:color w:val="auto"/>
          <w:szCs w:val="21"/>
          <w:highlight w:val="none"/>
        </w:rPr>
        <w:t>签字</w:t>
      </w:r>
      <w:r>
        <w:rPr>
          <w:rFonts w:hint="eastAsia" w:hAnsi="宋体"/>
          <w:snapToGrid w:val="0"/>
          <w:color w:val="auto"/>
          <w:szCs w:val="21"/>
          <w:highlight w:val="none"/>
        </w:rPr>
        <w:t>或盖章、注明日期予以确认</w:t>
      </w:r>
      <w:r>
        <w:rPr>
          <w:rFonts w:hAnsi="宋体"/>
          <w:snapToGrid w:val="0"/>
          <w:color w:val="auto"/>
          <w:szCs w:val="21"/>
          <w:highlight w:val="none"/>
        </w:rPr>
        <w:t>。</w:t>
      </w:r>
    </w:p>
    <w:p>
      <w:pPr>
        <w:adjustRightInd w:val="0"/>
        <w:snapToGrid w:val="0"/>
        <w:spacing w:line="360" w:lineRule="auto"/>
        <w:ind w:firstLine="482" w:firstLineChars="200"/>
        <w:jc w:val="center"/>
        <w:rPr>
          <w:rFonts w:hAnsi="宋体"/>
          <w:b/>
          <w:snapToGrid w:val="0"/>
          <w:color w:val="auto"/>
          <w:sz w:val="24"/>
          <w:highlight w:val="none"/>
        </w:rPr>
      </w:pPr>
      <w:r>
        <w:rPr>
          <w:rFonts w:hAnsi="宋体"/>
          <w:b/>
          <w:snapToGrid w:val="0"/>
          <w:color w:val="auto"/>
          <w:sz w:val="24"/>
          <w:highlight w:val="none"/>
        </w:rPr>
        <w:t>4</w:t>
      </w:r>
      <w:r>
        <w:rPr>
          <w:rFonts w:hint="eastAsia" w:hAnsi="宋体"/>
          <w:b/>
          <w:snapToGrid w:val="0"/>
          <w:color w:val="auto"/>
          <w:sz w:val="24"/>
          <w:highlight w:val="none"/>
        </w:rPr>
        <w:t>、</w:t>
      </w:r>
      <w:r>
        <w:rPr>
          <w:rFonts w:hAnsi="宋体"/>
          <w:b/>
          <w:snapToGrid w:val="0"/>
          <w:color w:val="auto"/>
          <w:sz w:val="24"/>
          <w:highlight w:val="none"/>
        </w:rPr>
        <w:t>投标</w:t>
      </w:r>
    </w:p>
    <w:bookmarkEnd w:id="54"/>
    <w:bookmarkEnd w:id="55"/>
    <w:p>
      <w:pPr>
        <w:pStyle w:val="33"/>
        <w:adjustRightInd w:val="0"/>
        <w:snapToGrid w:val="0"/>
        <w:spacing w:after="0" w:line="360" w:lineRule="auto"/>
        <w:jc w:val="left"/>
        <w:rPr>
          <w:rFonts w:hAnsi="宋体"/>
          <w:b/>
          <w:bCs/>
          <w:snapToGrid w:val="0"/>
          <w:color w:val="auto"/>
          <w:szCs w:val="21"/>
          <w:highlight w:val="none"/>
        </w:rPr>
      </w:pPr>
      <w:bookmarkStart w:id="59" w:name="_Toc649"/>
      <w:r>
        <w:rPr>
          <w:rFonts w:hint="eastAsia" w:hAnsi="宋体"/>
          <w:b/>
          <w:bCs/>
          <w:snapToGrid w:val="0"/>
          <w:color w:val="auto"/>
          <w:szCs w:val="21"/>
          <w:highlight w:val="none"/>
        </w:rPr>
        <w:t>4.1投标人登记入库</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w:t>
      </w:r>
      <w:r>
        <w:rPr>
          <w:rFonts w:hAnsi="宋体"/>
          <w:snapToGrid w:val="0"/>
          <w:color w:val="auto"/>
          <w:szCs w:val="21"/>
          <w:highlight w:val="none"/>
        </w:rPr>
        <w:t>.</w:t>
      </w:r>
      <w:r>
        <w:rPr>
          <w:rFonts w:hint="eastAsia" w:hAnsi="宋体"/>
          <w:snapToGrid w:val="0"/>
          <w:color w:val="auto"/>
          <w:szCs w:val="21"/>
          <w:highlight w:val="none"/>
        </w:rPr>
        <w:t>1</w:t>
      </w:r>
      <w:r>
        <w:rPr>
          <w:rFonts w:hAnsi="宋体"/>
          <w:snapToGrid w:val="0"/>
          <w:color w:val="auto"/>
          <w:szCs w:val="21"/>
          <w:highlight w:val="none"/>
        </w:rPr>
        <w:t>.</w:t>
      </w:r>
      <w:r>
        <w:rPr>
          <w:rFonts w:hint="eastAsia" w:hAnsi="宋体"/>
          <w:snapToGrid w:val="0"/>
          <w:color w:val="auto"/>
          <w:szCs w:val="21"/>
          <w:highlight w:val="none"/>
        </w:rPr>
        <w:t>1投标人登记入库要求</w:t>
      </w:r>
      <w:r>
        <w:rPr>
          <w:rFonts w:hAnsi="宋体"/>
          <w:snapToGrid w:val="0"/>
          <w:color w:val="auto"/>
          <w:szCs w:val="21"/>
          <w:highlight w:val="none"/>
        </w:rPr>
        <w:t>：</w:t>
      </w:r>
      <w:r>
        <w:rPr>
          <w:rFonts w:hint="eastAsia" w:hAnsi="宋体"/>
          <w:snapToGrid w:val="0"/>
          <w:color w:val="auto"/>
          <w:szCs w:val="21"/>
          <w:highlight w:val="none"/>
        </w:rPr>
        <w:t>无</w:t>
      </w:r>
      <w:r>
        <w:rPr>
          <w:rFonts w:hAnsi="宋体"/>
          <w:snapToGrid w:val="0"/>
          <w:color w:val="auto"/>
          <w:szCs w:val="21"/>
          <w:highlight w:val="none"/>
        </w:rPr>
        <w:t>。</w:t>
      </w:r>
    </w:p>
    <w:p>
      <w:pPr>
        <w:pStyle w:val="33"/>
        <w:adjustRightInd w:val="0"/>
        <w:snapToGrid w:val="0"/>
        <w:spacing w:after="0" w:line="360" w:lineRule="auto"/>
        <w:jc w:val="left"/>
        <w:rPr>
          <w:rFonts w:hAnsi="宋体"/>
          <w:b/>
          <w:bCs/>
          <w:snapToGrid w:val="0"/>
          <w:color w:val="auto"/>
          <w:szCs w:val="21"/>
          <w:highlight w:val="none"/>
        </w:rPr>
      </w:pPr>
      <w:r>
        <w:rPr>
          <w:rFonts w:hint="eastAsia" w:hAnsi="宋体"/>
          <w:b/>
          <w:bCs/>
          <w:snapToGrid w:val="0"/>
          <w:color w:val="auto"/>
          <w:szCs w:val="21"/>
          <w:highlight w:val="none"/>
        </w:rPr>
        <w:t>4.2投标报名</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w:t>
      </w:r>
      <w:r>
        <w:rPr>
          <w:rFonts w:hint="eastAsia" w:hAnsi="宋体"/>
          <w:snapToGrid w:val="0"/>
          <w:color w:val="auto"/>
          <w:szCs w:val="21"/>
          <w:highlight w:val="none"/>
        </w:rPr>
        <w:t>1投标报名方式、要求</w:t>
      </w:r>
      <w:r>
        <w:rPr>
          <w:rFonts w:hAnsi="宋体"/>
          <w:snapToGrid w:val="0"/>
          <w:color w:val="auto"/>
          <w:szCs w:val="21"/>
          <w:highlight w:val="none"/>
        </w:rPr>
        <w:t>：见投标人须</w:t>
      </w:r>
      <w:r>
        <w:rPr>
          <w:rFonts w:hint="eastAsia" w:hAnsi="宋体"/>
          <w:snapToGrid w:val="0"/>
          <w:color w:val="auto"/>
          <w:szCs w:val="21"/>
          <w:highlight w:val="none"/>
        </w:rPr>
        <w:t>知</w:t>
      </w:r>
      <w:r>
        <w:rPr>
          <w:rFonts w:hAnsi="宋体"/>
          <w:snapToGrid w:val="0"/>
          <w:color w:val="auto"/>
          <w:szCs w:val="21"/>
          <w:highlight w:val="none"/>
        </w:rPr>
        <w:t>前附表。</w:t>
      </w:r>
    </w:p>
    <w:p>
      <w:pPr>
        <w:pStyle w:val="33"/>
        <w:adjustRightInd w:val="0"/>
        <w:snapToGrid w:val="0"/>
        <w:spacing w:after="0" w:line="360" w:lineRule="auto"/>
        <w:jc w:val="left"/>
        <w:rPr>
          <w:rFonts w:hAnsi="宋体"/>
          <w:b/>
          <w:bCs/>
          <w:snapToGrid w:val="0"/>
          <w:color w:val="auto"/>
          <w:szCs w:val="21"/>
          <w:highlight w:val="none"/>
        </w:rPr>
      </w:pPr>
      <w:r>
        <w:rPr>
          <w:rFonts w:hint="eastAsia" w:hAnsi="宋体"/>
          <w:b/>
          <w:bCs/>
          <w:snapToGrid w:val="0"/>
          <w:color w:val="auto"/>
          <w:szCs w:val="21"/>
          <w:highlight w:val="none"/>
        </w:rPr>
        <w:t>4.3踏勘现场</w:t>
      </w:r>
      <w:r>
        <w:rPr>
          <w:rFonts w:hint="eastAsia" w:hAnsi="宋体" w:cs="宋体"/>
          <w:b/>
          <w:bCs/>
          <w:snapToGrid w:val="0"/>
          <w:color w:val="auto"/>
          <w:szCs w:val="21"/>
          <w:highlight w:val="none"/>
        </w:rPr>
        <w:t>（本项目不适用）</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4.3.1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4.3.2 投标人踏勘现场发生的费用自理。 除招标人的原因外，投标人自行负责在踏勘现场中所发生的人员伤亡和财产损失。</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4.3.3 招标人在踏勘现场中介绍的项目情况和提供的资料，仅供投标人在编制投标文件时参考，招标人不对投标人据此作出的判断和决策负责。</w:t>
      </w:r>
    </w:p>
    <w:p>
      <w:pPr>
        <w:pStyle w:val="33"/>
        <w:adjustRightInd w:val="0"/>
        <w:snapToGrid w:val="0"/>
        <w:spacing w:after="0" w:line="360" w:lineRule="auto"/>
        <w:jc w:val="left"/>
        <w:rPr>
          <w:rFonts w:hAnsi="宋体"/>
          <w:b/>
          <w:bCs/>
          <w:snapToGrid w:val="0"/>
          <w:color w:val="auto"/>
          <w:szCs w:val="21"/>
          <w:highlight w:val="none"/>
        </w:rPr>
      </w:pPr>
      <w:r>
        <w:rPr>
          <w:rFonts w:hint="eastAsia" w:hAnsi="宋体"/>
          <w:b/>
          <w:bCs/>
          <w:snapToGrid w:val="0"/>
          <w:color w:val="auto"/>
          <w:szCs w:val="21"/>
          <w:highlight w:val="none"/>
        </w:rPr>
        <w:t>4.4投标预备会</w:t>
      </w:r>
      <w:r>
        <w:rPr>
          <w:rFonts w:hint="eastAsia" w:hAnsi="宋体" w:cs="宋体"/>
          <w:b/>
          <w:bCs/>
          <w:snapToGrid w:val="0"/>
          <w:color w:val="auto"/>
          <w:szCs w:val="21"/>
          <w:highlight w:val="none"/>
        </w:rPr>
        <w:t>（本项目不适用）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4.4.1 如招标人认为有必要召开投标预备会，潜在投标人按投标人须知前附表规定的时间、地点自行派出代表参加招标人组织的投标预备会。未出席投标预备会不作为否定投标人资格的理由。</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4.4.2投标预备会的目的是澄清、解答投标人在查阅招标文件后和现场踏勘中可能提出的任何方面的问题，如有必要，招标人将就投标人提出的问题以答疑的形式在投标预备会上进行解释。</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4.4.3招标人在投标预备会上所做出的澄清和解答，以书面答复为准，该答疑纪要文件构成招标文件的一部分，具有约束作用，并按本须知第2．3．2项要求予以公布并通知。</w:t>
      </w:r>
    </w:p>
    <w:p>
      <w:pPr>
        <w:keepNext/>
        <w:keepLines/>
        <w:adjustRightInd w:val="0"/>
        <w:snapToGrid w:val="0"/>
        <w:spacing w:line="360" w:lineRule="auto"/>
        <w:jc w:val="left"/>
        <w:outlineLvl w:val="2"/>
        <w:rPr>
          <w:rFonts w:hAnsi="宋体"/>
          <w:b/>
          <w:bCs/>
          <w:snapToGrid w:val="0"/>
          <w:color w:val="auto"/>
          <w:szCs w:val="21"/>
          <w:highlight w:val="none"/>
        </w:rPr>
      </w:pPr>
      <w:bookmarkStart w:id="60" w:name="_Toc360398511"/>
      <w:bookmarkStart w:id="61" w:name="_Toc30464"/>
      <w:r>
        <w:rPr>
          <w:rFonts w:hint="eastAsia" w:hAnsi="宋体"/>
          <w:b/>
          <w:bCs/>
          <w:snapToGrid w:val="0"/>
          <w:color w:val="auto"/>
          <w:szCs w:val="21"/>
          <w:highlight w:val="none"/>
        </w:rPr>
        <w:t>4.5</w:t>
      </w:r>
      <w:r>
        <w:rPr>
          <w:rFonts w:hAnsi="宋体"/>
          <w:b/>
          <w:bCs/>
          <w:snapToGrid w:val="0"/>
          <w:color w:val="auto"/>
          <w:szCs w:val="21"/>
          <w:highlight w:val="none"/>
        </w:rPr>
        <w:t>投标保证金</w:t>
      </w:r>
      <w:bookmarkEnd w:id="60"/>
      <w:bookmarkEnd w:id="61"/>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4.5.1投标人应在递交投标文件时或之前提交一笔不少于投标人须知前附表所规定数额的投标保证金，作为其投标的一部分。招标人可根据招标文件规定的条件予以没收投标保证金。</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4.5.2对于未能按要求提交投标保证金的投标，招标人将视为不响应招标文件而予以拒绝。</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4.5.3未中标的投标人的投标保证金将在中标公示期满后予以无息退还。</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4.5.4中标人的投标保证金，在中标人按要求递交履约</w:t>
      </w:r>
      <w:r>
        <w:rPr>
          <w:rFonts w:hint="eastAsia" w:hAnsi="宋体" w:cs="宋体"/>
          <w:snapToGrid w:val="0"/>
          <w:color w:val="auto"/>
          <w:szCs w:val="21"/>
          <w:highlight w:val="none"/>
          <w:lang w:val="en-US" w:eastAsia="zh-CN"/>
        </w:rPr>
        <w:t>保证金</w:t>
      </w:r>
      <w:r>
        <w:rPr>
          <w:rFonts w:hint="eastAsia" w:hAnsi="宋体" w:cs="宋体"/>
          <w:snapToGrid w:val="0"/>
          <w:color w:val="auto"/>
          <w:szCs w:val="21"/>
          <w:highlight w:val="none"/>
        </w:rPr>
        <w:t>并签订合同后予以无息退还。</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4.5.5如投标人有下列任何情况发生时，投标保证金将被没收：</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（1）在投标有效期内撤回投标文件的；</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（2）拒绝接受投标文件中已确认的承诺或条款；</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（3）中标人未能在规定期限内提交履约保证金或签署合同协议的；</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cs="宋体"/>
          <w:snapToGrid w:val="0"/>
          <w:color w:val="auto"/>
          <w:szCs w:val="21"/>
          <w:highlight w:val="none"/>
        </w:rPr>
        <w:t>（4）投标人在招标投标过程中有违法违规等行为及其他违反招标文件规定的行为。</w:t>
      </w:r>
    </w:p>
    <w:p>
      <w:pPr>
        <w:keepNext/>
        <w:keepLines/>
        <w:adjustRightInd w:val="0"/>
        <w:snapToGrid w:val="0"/>
        <w:spacing w:line="360" w:lineRule="auto"/>
        <w:jc w:val="left"/>
        <w:outlineLvl w:val="2"/>
        <w:rPr>
          <w:rFonts w:hAnsi="宋体"/>
          <w:snapToGrid w:val="0"/>
          <w:color w:val="auto"/>
          <w:szCs w:val="21"/>
          <w:highlight w:val="none"/>
        </w:rPr>
      </w:pPr>
      <w:r>
        <w:rPr>
          <w:rFonts w:hint="eastAsia" w:hAnsi="宋体"/>
          <w:b/>
          <w:bCs/>
          <w:snapToGrid w:val="0"/>
          <w:color w:val="auto"/>
          <w:szCs w:val="21"/>
          <w:highlight w:val="none"/>
        </w:rPr>
        <w:t>4.6样品提供</w:t>
      </w:r>
      <w:r>
        <w:rPr>
          <w:rFonts w:hint="eastAsia" w:hAnsi="宋体" w:cs="宋体"/>
          <w:b/>
          <w:bCs/>
          <w:snapToGrid w:val="0"/>
          <w:color w:val="auto"/>
          <w:szCs w:val="21"/>
          <w:highlight w:val="none"/>
        </w:rPr>
        <w:t>（本项目不适用）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4.6</w:t>
      </w:r>
      <w:r>
        <w:rPr>
          <w:rFonts w:hAnsi="宋体"/>
          <w:snapToGrid w:val="0"/>
          <w:color w:val="auto"/>
          <w:szCs w:val="21"/>
          <w:highlight w:val="none"/>
        </w:rPr>
        <w:t>.</w:t>
      </w:r>
      <w:r>
        <w:rPr>
          <w:rFonts w:hint="eastAsia" w:hAnsi="宋体"/>
          <w:snapToGrid w:val="0"/>
          <w:color w:val="auto"/>
          <w:szCs w:val="21"/>
          <w:highlight w:val="none"/>
        </w:rPr>
        <w:t>1本项目投标样品提供的要求</w:t>
      </w:r>
      <w:r>
        <w:rPr>
          <w:rFonts w:hAnsi="宋体"/>
          <w:snapToGrid w:val="0"/>
          <w:color w:val="auto"/>
          <w:szCs w:val="21"/>
          <w:highlight w:val="none"/>
        </w:rPr>
        <w:t>：见投标人须</w:t>
      </w:r>
      <w:r>
        <w:rPr>
          <w:rFonts w:hint="eastAsia" w:hAnsi="宋体"/>
          <w:snapToGrid w:val="0"/>
          <w:color w:val="auto"/>
          <w:szCs w:val="21"/>
          <w:highlight w:val="none"/>
        </w:rPr>
        <w:t>知</w:t>
      </w:r>
      <w:r>
        <w:rPr>
          <w:rFonts w:hAnsi="宋体"/>
          <w:snapToGrid w:val="0"/>
          <w:color w:val="auto"/>
          <w:szCs w:val="21"/>
          <w:highlight w:val="none"/>
        </w:rPr>
        <w:t>前附表。</w:t>
      </w: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4.7</w:t>
      </w:r>
      <w:r>
        <w:rPr>
          <w:rFonts w:hAnsi="宋体"/>
          <w:b/>
          <w:bCs/>
          <w:snapToGrid w:val="0"/>
          <w:color w:val="auto"/>
          <w:szCs w:val="21"/>
          <w:highlight w:val="none"/>
        </w:rPr>
        <w:t>投标文件的密封和标识</w:t>
      </w:r>
      <w:bookmarkEnd w:id="59"/>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4.7</w:t>
      </w:r>
      <w:r>
        <w:rPr>
          <w:rFonts w:hAnsi="宋体"/>
          <w:snapToGrid w:val="0"/>
          <w:color w:val="auto"/>
          <w:szCs w:val="21"/>
          <w:highlight w:val="none"/>
        </w:rPr>
        <w:t>.1投标文件</w:t>
      </w:r>
      <w:r>
        <w:rPr>
          <w:rFonts w:hint="eastAsia" w:hAnsi="宋体"/>
          <w:snapToGrid w:val="0"/>
          <w:color w:val="auto"/>
          <w:szCs w:val="21"/>
          <w:highlight w:val="none"/>
        </w:rPr>
        <w:t>必须</w:t>
      </w:r>
      <w:r>
        <w:rPr>
          <w:rFonts w:hAnsi="宋体"/>
          <w:snapToGrid w:val="0"/>
          <w:color w:val="auto"/>
          <w:szCs w:val="21"/>
          <w:highlight w:val="none"/>
        </w:rPr>
        <w:t>密封包装，并在封套的封口处加盖投标人单位章</w:t>
      </w:r>
      <w:r>
        <w:rPr>
          <w:rFonts w:hint="eastAsia" w:hAnsi="宋体"/>
          <w:snapToGrid w:val="0"/>
          <w:color w:val="auto"/>
          <w:szCs w:val="21"/>
          <w:highlight w:val="none"/>
        </w:rPr>
        <w:t>或</w:t>
      </w:r>
      <w:r>
        <w:rPr>
          <w:rFonts w:hAnsi="宋体"/>
          <w:snapToGrid w:val="0"/>
          <w:color w:val="auto"/>
          <w:szCs w:val="21"/>
          <w:highlight w:val="none"/>
        </w:rPr>
        <w:t>由投标人的法定代表人或其授权的代理人签字。</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4.7.2投标文件封套上应写明的内容见投标人须知前附表。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4.7.3未按本章第4.7.2项要求填写内容的投标文件，招标人将不承担投标文件错放或提前开封导致投标被拒绝的责任。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hAnsi="宋体"/>
          <w:b/>
          <w:bCs/>
          <w:snapToGrid w:val="0"/>
          <w:color w:val="auto"/>
          <w:szCs w:val="21"/>
          <w:highlight w:val="none"/>
        </w:rPr>
      </w:pPr>
      <w:bookmarkStart w:id="62" w:name="_Toc16616"/>
      <w:r>
        <w:rPr>
          <w:rFonts w:hint="eastAsia" w:hAnsi="宋体"/>
          <w:b/>
          <w:bCs/>
          <w:snapToGrid w:val="0"/>
          <w:color w:val="auto"/>
          <w:szCs w:val="21"/>
          <w:highlight w:val="none"/>
        </w:rPr>
        <w:t>4.8</w:t>
      </w:r>
      <w:r>
        <w:rPr>
          <w:rFonts w:hAnsi="宋体"/>
          <w:b/>
          <w:bCs/>
          <w:snapToGrid w:val="0"/>
          <w:color w:val="auto"/>
          <w:szCs w:val="21"/>
          <w:highlight w:val="none"/>
        </w:rPr>
        <w:t>投标文件的递交</w:t>
      </w:r>
      <w:bookmarkEnd w:id="62"/>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4.8</w:t>
      </w:r>
      <w:r>
        <w:rPr>
          <w:rFonts w:hAnsi="宋体"/>
          <w:snapToGrid w:val="0"/>
          <w:color w:val="auto"/>
          <w:szCs w:val="21"/>
          <w:highlight w:val="none"/>
        </w:rPr>
        <w:t>.1投标人应在本须知前附表规定的投标截止时间前</w:t>
      </w:r>
      <w:r>
        <w:rPr>
          <w:rFonts w:hint="eastAsia" w:hAnsi="宋体"/>
          <w:snapToGrid w:val="0"/>
          <w:color w:val="auto"/>
          <w:szCs w:val="21"/>
          <w:highlight w:val="none"/>
        </w:rPr>
        <w:t>、规定的投标文件递交地点</w:t>
      </w:r>
      <w:r>
        <w:rPr>
          <w:rFonts w:hAnsi="宋体"/>
          <w:snapToGrid w:val="0"/>
          <w:color w:val="auto"/>
          <w:szCs w:val="21"/>
          <w:highlight w:val="none"/>
        </w:rPr>
        <w:t>递交投标文件。</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4.8</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除投标人须知前附表另有规定外，投标人</w:t>
      </w:r>
      <w:r>
        <w:rPr>
          <w:rFonts w:hint="eastAsia" w:hAnsi="宋体"/>
          <w:snapToGrid w:val="0"/>
          <w:color w:val="auto"/>
          <w:szCs w:val="21"/>
          <w:highlight w:val="none"/>
        </w:rPr>
        <w:t>有效</w:t>
      </w:r>
      <w:r>
        <w:rPr>
          <w:rFonts w:hAnsi="宋体"/>
          <w:snapToGrid w:val="0"/>
          <w:color w:val="auto"/>
          <w:szCs w:val="21"/>
          <w:highlight w:val="none"/>
        </w:rPr>
        <w:t>递交的投标文件不予退还。</w:t>
      </w:r>
    </w:p>
    <w:p>
      <w:pPr>
        <w:keepNext/>
        <w:keepLines/>
        <w:adjustRightInd w:val="0"/>
        <w:snapToGrid w:val="0"/>
        <w:spacing w:line="360" w:lineRule="auto"/>
        <w:jc w:val="left"/>
        <w:outlineLvl w:val="2"/>
        <w:rPr>
          <w:rFonts w:hAnsi="宋体"/>
          <w:b/>
          <w:bCs/>
          <w:snapToGrid w:val="0"/>
          <w:color w:val="auto"/>
          <w:szCs w:val="21"/>
          <w:highlight w:val="none"/>
        </w:rPr>
      </w:pPr>
      <w:bookmarkStart w:id="63" w:name="_Toc26099"/>
      <w:r>
        <w:rPr>
          <w:rFonts w:hint="eastAsia" w:hAnsi="宋体"/>
          <w:b/>
          <w:bCs/>
          <w:snapToGrid w:val="0"/>
          <w:color w:val="auto"/>
          <w:szCs w:val="21"/>
          <w:highlight w:val="none"/>
        </w:rPr>
        <w:t>4.9</w:t>
      </w:r>
      <w:r>
        <w:rPr>
          <w:rFonts w:hAnsi="宋体"/>
          <w:b/>
          <w:bCs/>
          <w:snapToGrid w:val="0"/>
          <w:color w:val="auto"/>
          <w:szCs w:val="21"/>
          <w:highlight w:val="none"/>
        </w:rPr>
        <w:t>投标文件的</w:t>
      </w:r>
      <w:r>
        <w:rPr>
          <w:rFonts w:hint="eastAsia" w:hAnsi="宋体"/>
          <w:b/>
          <w:bCs/>
          <w:snapToGrid w:val="0"/>
          <w:color w:val="auto"/>
          <w:szCs w:val="21"/>
          <w:highlight w:val="none"/>
        </w:rPr>
        <w:t>补充、</w:t>
      </w:r>
      <w:r>
        <w:rPr>
          <w:rFonts w:hAnsi="宋体"/>
          <w:b/>
          <w:bCs/>
          <w:snapToGrid w:val="0"/>
          <w:color w:val="auto"/>
          <w:szCs w:val="21"/>
          <w:highlight w:val="none"/>
        </w:rPr>
        <w:t>修改</w:t>
      </w:r>
      <w:r>
        <w:rPr>
          <w:rFonts w:hint="eastAsia" w:hAnsi="宋体"/>
          <w:b/>
          <w:bCs/>
          <w:snapToGrid w:val="0"/>
          <w:color w:val="auto"/>
          <w:szCs w:val="21"/>
          <w:highlight w:val="none"/>
        </w:rPr>
        <w:t>、</w:t>
      </w:r>
      <w:r>
        <w:rPr>
          <w:rFonts w:hAnsi="宋体"/>
          <w:b/>
          <w:bCs/>
          <w:snapToGrid w:val="0"/>
          <w:color w:val="auto"/>
          <w:szCs w:val="21"/>
          <w:highlight w:val="none"/>
        </w:rPr>
        <w:t>撤回</w:t>
      </w:r>
      <w:bookmarkEnd w:id="63"/>
      <w:r>
        <w:rPr>
          <w:rFonts w:hint="eastAsia" w:hAnsi="宋体"/>
          <w:b/>
          <w:bCs/>
          <w:snapToGrid w:val="0"/>
          <w:color w:val="auto"/>
          <w:szCs w:val="21"/>
          <w:highlight w:val="none"/>
        </w:rPr>
        <w:t>和撤销</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4.9</w:t>
      </w:r>
      <w:r>
        <w:rPr>
          <w:rFonts w:hAnsi="宋体"/>
          <w:snapToGrid w:val="0"/>
          <w:color w:val="auto"/>
          <w:szCs w:val="21"/>
          <w:highlight w:val="none"/>
        </w:rPr>
        <w:t>.1</w:t>
      </w:r>
      <w:r>
        <w:rPr>
          <w:rFonts w:hint="eastAsia" w:hAnsi="宋体"/>
          <w:snapToGrid w:val="0"/>
          <w:color w:val="auto"/>
          <w:szCs w:val="21"/>
          <w:highlight w:val="none"/>
        </w:rPr>
        <w:t>投标人递交投标文件以后，</w:t>
      </w:r>
      <w:r>
        <w:rPr>
          <w:rFonts w:hAnsi="宋体"/>
          <w:snapToGrid w:val="0"/>
          <w:color w:val="auto"/>
          <w:szCs w:val="21"/>
          <w:highlight w:val="none"/>
        </w:rPr>
        <w:t>在</w:t>
      </w:r>
      <w:r>
        <w:rPr>
          <w:rFonts w:hint="eastAsia" w:hAnsi="宋体"/>
          <w:snapToGrid w:val="0"/>
          <w:color w:val="auto"/>
          <w:szCs w:val="21"/>
          <w:highlight w:val="none"/>
        </w:rPr>
        <w:t>规定的</w:t>
      </w:r>
      <w:r>
        <w:rPr>
          <w:rFonts w:hAnsi="宋体"/>
          <w:snapToGrid w:val="0"/>
          <w:color w:val="auto"/>
          <w:szCs w:val="21"/>
          <w:highlight w:val="none"/>
        </w:rPr>
        <w:t>投标截止时间</w:t>
      </w:r>
      <w:r>
        <w:rPr>
          <w:rFonts w:hint="eastAsia" w:hAnsi="宋体"/>
          <w:snapToGrid w:val="0"/>
          <w:color w:val="auto"/>
          <w:szCs w:val="21"/>
          <w:highlight w:val="none"/>
        </w:rPr>
        <w:t>之</w:t>
      </w:r>
      <w:r>
        <w:rPr>
          <w:rFonts w:hAnsi="宋体"/>
          <w:snapToGrid w:val="0"/>
          <w:color w:val="auto"/>
          <w:szCs w:val="21"/>
          <w:highlight w:val="none"/>
        </w:rPr>
        <w:t>前，投标人可以</w:t>
      </w:r>
      <w:r>
        <w:rPr>
          <w:rFonts w:hint="eastAsia" w:hAnsi="宋体"/>
          <w:snapToGrid w:val="0"/>
          <w:color w:val="auto"/>
          <w:szCs w:val="21"/>
          <w:highlight w:val="none"/>
        </w:rPr>
        <w:t>补充、</w:t>
      </w:r>
      <w:r>
        <w:rPr>
          <w:rFonts w:hAnsi="宋体"/>
          <w:snapToGrid w:val="0"/>
          <w:color w:val="auto"/>
          <w:szCs w:val="21"/>
          <w:highlight w:val="none"/>
        </w:rPr>
        <w:t>修改或撤回已递交的投标文件，但应以书面形式通知招标人。</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4.9</w:t>
      </w:r>
      <w:r>
        <w:rPr>
          <w:rFonts w:hAnsi="宋体"/>
          <w:snapToGrid w:val="0"/>
          <w:color w:val="auto"/>
          <w:szCs w:val="21"/>
          <w:highlight w:val="none"/>
        </w:rPr>
        <w:t>.2投标人</w:t>
      </w:r>
      <w:r>
        <w:rPr>
          <w:rFonts w:hint="eastAsia" w:hAnsi="宋体"/>
          <w:snapToGrid w:val="0"/>
          <w:color w:val="auto"/>
          <w:szCs w:val="21"/>
          <w:highlight w:val="none"/>
        </w:rPr>
        <w:t>补充、</w:t>
      </w:r>
      <w:r>
        <w:rPr>
          <w:rFonts w:hAnsi="宋体"/>
          <w:snapToGrid w:val="0"/>
          <w:color w:val="auto"/>
          <w:szCs w:val="21"/>
          <w:highlight w:val="none"/>
        </w:rPr>
        <w:t>修改或撤回已递交投标文件的书面通知应按照本</w:t>
      </w:r>
      <w:r>
        <w:rPr>
          <w:rFonts w:hint="eastAsia" w:hAnsi="宋体"/>
          <w:snapToGrid w:val="0"/>
          <w:color w:val="auto"/>
          <w:szCs w:val="21"/>
          <w:highlight w:val="none"/>
        </w:rPr>
        <w:t>须知第3条</w:t>
      </w:r>
      <w:r>
        <w:rPr>
          <w:rFonts w:hAnsi="宋体"/>
          <w:snapToGrid w:val="0"/>
          <w:color w:val="auto"/>
          <w:szCs w:val="21"/>
          <w:highlight w:val="none"/>
        </w:rPr>
        <w:t>、</w:t>
      </w:r>
      <w:r>
        <w:rPr>
          <w:rFonts w:hint="eastAsia" w:hAnsi="宋体"/>
          <w:snapToGrid w:val="0"/>
          <w:color w:val="auto"/>
          <w:szCs w:val="21"/>
          <w:highlight w:val="none"/>
        </w:rPr>
        <w:t>第4条的有关</w:t>
      </w:r>
      <w:r>
        <w:rPr>
          <w:rFonts w:hAnsi="宋体"/>
          <w:snapToGrid w:val="0"/>
          <w:color w:val="auto"/>
          <w:szCs w:val="21"/>
          <w:highlight w:val="none"/>
        </w:rPr>
        <w:t>规定进行编制、密封、标识和递交，并标明</w:t>
      </w:r>
      <w:r>
        <w:rPr>
          <w:rFonts w:hint="eastAsia" w:hAnsi="宋体"/>
          <w:snapToGrid w:val="0"/>
          <w:color w:val="auto"/>
          <w:szCs w:val="21"/>
          <w:highlight w:val="none"/>
        </w:rPr>
        <w:t>“补充修改”或“撤回”字样</w:t>
      </w:r>
      <w:r>
        <w:rPr>
          <w:rFonts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4.9</w:t>
      </w:r>
      <w:r>
        <w:rPr>
          <w:rFonts w:hAnsi="宋体"/>
          <w:snapToGrid w:val="0"/>
          <w:color w:val="auto"/>
          <w:szCs w:val="21"/>
          <w:highlight w:val="none"/>
        </w:rPr>
        <w:t>.</w:t>
      </w:r>
      <w:r>
        <w:rPr>
          <w:rFonts w:hint="eastAsia" w:hAnsi="宋体"/>
          <w:snapToGrid w:val="0"/>
          <w:color w:val="auto"/>
          <w:szCs w:val="21"/>
          <w:highlight w:val="none"/>
        </w:rPr>
        <w:t>3补充、修改的内容为投标文件的组成部分。补充、修改的内容与投标文件不一致的，以补充、修改的内容为准。</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4.9.4在投标截止时间以后，不能补充、修改投标文件。投标截止时间以后至招标文件规定的投标有效期内，投标人不能撤销投标文件。</w:t>
      </w: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4.10</w:t>
      </w:r>
      <w:r>
        <w:rPr>
          <w:rFonts w:hAnsi="宋体"/>
          <w:b/>
          <w:bCs/>
          <w:snapToGrid w:val="0"/>
          <w:color w:val="auto"/>
          <w:szCs w:val="21"/>
          <w:highlight w:val="none"/>
        </w:rPr>
        <w:t>投标有效期</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4.10</w:t>
      </w:r>
      <w:r>
        <w:rPr>
          <w:rFonts w:hAnsi="宋体"/>
          <w:snapToGrid w:val="0"/>
          <w:color w:val="auto"/>
          <w:szCs w:val="21"/>
          <w:highlight w:val="none"/>
        </w:rPr>
        <w:t>.1除投标人须知前附表另有规定外，投标有效期为90天。</w:t>
      </w:r>
      <w:r>
        <w:rPr>
          <w:rFonts w:hint="eastAsia" w:hAnsi="宋体"/>
          <w:snapToGrid w:val="0"/>
          <w:color w:val="auto"/>
          <w:szCs w:val="21"/>
          <w:highlight w:val="none"/>
        </w:rPr>
        <w:t>投标人的投标文件中承诺的投标有效期不得少于招标文件中载明的投标有效期。</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4.10</w:t>
      </w:r>
      <w:r>
        <w:rPr>
          <w:rFonts w:hAnsi="宋体"/>
          <w:snapToGrid w:val="0"/>
          <w:color w:val="auto"/>
          <w:szCs w:val="21"/>
          <w:highlight w:val="none"/>
        </w:rPr>
        <w:t>.2在投标有效期内，投标人撤销投标文件的，应承担招标文件和法律规定的责任。</w:t>
      </w:r>
    </w:p>
    <w:p>
      <w:pPr>
        <w:adjustRightInd w:val="0"/>
        <w:snapToGrid w:val="0"/>
        <w:spacing w:line="360" w:lineRule="auto"/>
        <w:ind w:firstLine="420" w:firstLineChars="200"/>
        <w:rPr>
          <w:rFonts w:hAnsi="宋体" w:cs="宋体"/>
          <w:snapToGrid w:val="0"/>
          <w:color w:val="auto"/>
          <w:szCs w:val="21"/>
          <w:highlight w:val="none"/>
        </w:rPr>
      </w:pPr>
      <w:r>
        <w:rPr>
          <w:rFonts w:hint="eastAsia" w:hAnsi="宋体"/>
          <w:snapToGrid w:val="0"/>
          <w:color w:val="auto"/>
          <w:szCs w:val="21"/>
          <w:highlight w:val="none"/>
        </w:rPr>
        <w:t>4.10</w:t>
      </w:r>
      <w:r>
        <w:rPr>
          <w:rFonts w:hAnsi="宋体"/>
          <w:snapToGrid w:val="0"/>
          <w:color w:val="auto"/>
          <w:szCs w:val="21"/>
          <w:highlight w:val="none"/>
        </w:rPr>
        <w:t>.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w:t>
      </w:r>
      <w:r>
        <w:rPr>
          <w:rFonts w:hint="eastAsia" w:hAnsi="宋体" w:cs="宋体"/>
          <w:snapToGrid w:val="0"/>
          <w:color w:val="auto"/>
          <w:szCs w:val="21"/>
          <w:highlight w:val="none"/>
        </w:rPr>
        <w:t>但投标人有权收回其投标保证金（不计利息）。在延长的投标有效期内第 4.5款关于投标保证金的退还与不予退还的规定仍然适用。</w:t>
      </w:r>
    </w:p>
    <w:p>
      <w:pPr>
        <w:adjustRightInd w:val="0"/>
        <w:snapToGrid w:val="0"/>
        <w:spacing w:line="360" w:lineRule="auto"/>
        <w:ind w:firstLine="420" w:firstLineChars="200"/>
        <w:rPr>
          <w:rFonts w:hAnsi="宋体"/>
          <w:snapToGrid w:val="0"/>
          <w:color w:val="auto"/>
          <w:szCs w:val="21"/>
          <w:highlight w:val="none"/>
        </w:rPr>
      </w:pPr>
    </w:p>
    <w:p>
      <w:pPr>
        <w:snapToGrid w:val="0"/>
        <w:spacing w:line="360" w:lineRule="auto"/>
        <w:jc w:val="center"/>
        <w:outlineLvl w:val="1"/>
        <w:rPr>
          <w:rFonts w:hAnsi="宋体"/>
          <w:b/>
          <w:snapToGrid w:val="0"/>
          <w:color w:val="auto"/>
          <w:sz w:val="24"/>
          <w:highlight w:val="none"/>
        </w:rPr>
      </w:pPr>
      <w:bookmarkStart w:id="64" w:name="_Toc29641"/>
      <w:r>
        <w:rPr>
          <w:rFonts w:hAnsi="宋体"/>
          <w:b/>
          <w:snapToGrid w:val="0"/>
          <w:color w:val="auto"/>
          <w:sz w:val="24"/>
          <w:highlight w:val="none"/>
        </w:rPr>
        <w:t>5</w:t>
      </w:r>
      <w:r>
        <w:rPr>
          <w:rFonts w:hint="eastAsia" w:hAnsi="宋体"/>
          <w:b/>
          <w:snapToGrid w:val="0"/>
          <w:color w:val="auto"/>
          <w:sz w:val="24"/>
          <w:highlight w:val="none"/>
        </w:rPr>
        <w:t>、</w:t>
      </w:r>
      <w:r>
        <w:rPr>
          <w:rFonts w:hAnsi="宋体"/>
          <w:b/>
          <w:snapToGrid w:val="0"/>
          <w:color w:val="auto"/>
          <w:sz w:val="24"/>
          <w:highlight w:val="none"/>
        </w:rPr>
        <w:t>开标</w:t>
      </w:r>
      <w:bookmarkEnd w:id="64"/>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5.1开标时间和地点</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5.1.1</w:t>
      </w:r>
      <w:r>
        <w:rPr>
          <w:rFonts w:hint="eastAsia" w:hAnsi="宋体"/>
          <w:snapToGrid w:val="0"/>
          <w:color w:val="auto"/>
          <w:szCs w:val="21"/>
          <w:highlight w:val="none"/>
        </w:rPr>
        <w:t>详见招标公告。</w:t>
      </w:r>
    </w:p>
    <w:p>
      <w:pPr>
        <w:keepNext/>
        <w:keepLines/>
        <w:adjustRightInd w:val="0"/>
        <w:snapToGrid w:val="0"/>
        <w:spacing w:line="360" w:lineRule="auto"/>
        <w:jc w:val="left"/>
        <w:outlineLvl w:val="2"/>
        <w:rPr>
          <w:rFonts w:hAnsi="宋体" w:cs="宋体"/>
          <w:b/>
          <w:bCs/>
          <w:snapToGrid w:val="0"/>
          <w:color w:val="auto"/>
          <w:szCs w:val="21"/>
          <w:highlight w:val="none"/>
        </w:rPr>
      </w:pPr>
      <w:r>
        <w:rPr>
          <w:rFonts w:hint="eastAsia" w:hAnsi="宋体" w:cs="宋体"/>
          <w:b/>
          <w:bCs/>
          <w:snapToGrid w:val="0"/>
          <w:color w:val="auto"/>
          <w:szCs w:val="21"/>
          <w:highlight w:val="none"/>
        </w:rPr>
        <w:t>5.2开标应携带的资料</w:t>
      </w:r>
    </w:p>
    <w:p>
      <w:pPr>
        <w:adjustRightInd w:val="0"/>
        <w:snapToGrid w:val="0"/>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5.2.1投标人代表参加开标时，应携带投标人须知前附表规定的资料。</w:t>
      </w:r>
    </w:p>
    <w:p>
      <w:pPr>
        <w:adjustRightInd w:val="0"/>
        <w:snapToGrid w:val="0"/>
        <w:spacing w:line="360" w:lineRule="auto"/>
        <w:rPr>
          <w:rFonts w:hAnsi="宋体" w:cs="宋体"/>
          <w:b/>
          <w:bCs/>
          <w:snapToGrid w:val="0"/>
          <w:color w:val="auto"/>
          <w:szCs w:val="21"/>
          <w:highlight w:val="none"/>
        </w:rPr>
      </w:pPr>
      <w:r>
        <w:rPr>
          <w:rFonts w:hint="eastAsia" w:hAnsi="宋体" w:cs="宋体"/>
          <w:b/>
          <w:bCs/>
          <w:snapToGrid w:val="0"/>
          <w:color w:val="auto"/>
          <w:szCs w:val="21"/>
          <w:highlight w:val="none"/>
        </w:rPr>
        <w:t>5.3开标顺序</w:t>
      </w:r>
    </w:p>
    <w:p>
      <w:pPr>
        <w:adjustRightInd w:val="0"/>
        <w:snapToGrid w:val="0"/>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5.3.1</w:t>
      </w:r>
      <w:r>
        <w:rPr>
          <w:rFonts w:hint="eastAsia" w:hAnsi="宋体" w:cs="宋体"/>
          <w:color w:val="auto"/>
          <w:szCs w:val="21"/>
          <w:highlight w:val="none"/>
        </w:rPr>
        <w:t>开标顺序依据</w:t>
      </w:r>
      <w:r>
        <w:rPr>
          <w:rFonts w:hint="eastAsia" w:hAnsi="宋体" w:cs="宋体"/>
          <w:snapToGrid w:val="0"/>
          <w:color w:val="auto"/>
          <w:szCs w:val="21"/>
          <w:highlight w:val="none"/>
        </w:rPr>
        <w:t>投标人须知前附表的规定</w:t>
      </w:r>
      <w:r>
        <w:rPr>
          <w:rFonts w:hint="eastAsia" w:hAnsi="宋体" w:cs="宋体"/>
          <w:color w:val="auto"/>
          <w:szCs w:val="21"/>
          <w:highlight w:val="none"/>
        </w:rPr>
        <w:t>。</w:t>
      </w:r>
    </w:p>
    <w:p>
      <w:pPr>
        <w:adjustRightInd w:val="0"/>
        <w:snapToGrid w:val="0"/>
        <w:spacing w:line="360" w:lineRule="auto"/>
        <w:rPr>
          <w:rFonts w:hAnsi="宋体"/>
          <w:b/>
          <w:bCs/>
          <w:snapToGrid w:val="0"/>
          <w:color w:val="auto"/>
          <w:szCs w:val="21"/>
          <w:highlight w:val="none"/>
        </w:rPr>
      </w:pPr>
      <w:r>
        <w:rPr>
          <w:rFonts w:hint="eastAsia" w:hAnsi="宋体"/>
          <w:b/>
          <w:bCs/>
          <w:snapToGrid w:val="0"/>
          <w:color w:val="auto"/>
          <w:szCs w:val="21"/>
          <w:highlight w:val="none"/>
        </w:rPr>
        <w:t>5.4开标程序</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5.4.1开标由招标人（或招标代理机构）</w:t>
      </w:r>
      <w:r>
        <w:rPr>
          <w:rFonts w:hAnsi="宋体"/>
          <w:snapToGrid w:val="0"/>
          <w:color w:val="auto"/>
          <w:szCs w:val="21"/>
          <w:highlight w:val="none"/>
        </w:rPr>
        <w:t>主持</w:t>
      </w:r>
      <w:r>
        <w:rPr>
          <w:rFonts w:hint="eastAsia" w:hAnsi="宋体"/>
          <w:snapToGrid w:val="0"/>
          <w:color w:val="auto"/>
          <w:szCs w:val="21"/>
          <w:highlight w:val="none"/>
        </w:rPr>
        <w:t>，</w:t>
      </w:r>
      <w:r>
        <w:rPr>
          <w:rFonts w:hAnsi="宋体"/>
          <w:snapToGrid w:val="0"/>
          <w:color w:val="auto"/>
          <w:szCs w:val="21"/>
          <w:highlight w:val="none"/>
        </w:rPr>
        <w:t>按下列程序进行开标：</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（1）宣布开标纪律；</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（2）公布在投标截止时间前递交投标文件的投标人</w:t>
      </w:r>
      <w:r>
        <w:rPr>
          <w:rFonts w:hint="eastAsia" w:hAnsi="宋体"/>
          <w:snapToGrid w:val="0"/>
          <w:color w:val="auto"/>
          <w:szCs w:val="21"/>
          <w:highlight w:val="none"/>
        </w:rPr>
        <w:t>家数及名称</w:t>
      </w:r>
      <w:r>
        <w:rPr>
          <w:rFonts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（3）宣布</w:t>
      </w:r>
      <w:r>
        <w:rPr>
          <w:rFonts w:hint="eastAsia" w:hAnsi="宋体"/>
          <w:snapToGrid w:val="0"/>
          <w:color w:val="auto"/>
          <w:szCs w:val="21"/>
          <w:highlight w:val="none"/>
        </w:rPr>
        <w:t>：</w:t>
      </w:r>
      <w:r>
        <w:rPr>
          <w:rFonts w:hAnsi="宋体"/>
          <w:snapToGrid w:val="0"/>
          <w:color w:val="auto"/>
          <w:szCs w:val="21"/>
          <w:highlight w:val="none"/>
        </w:rPr>
        <w:t>开标人、唱标人、记录人、监标人</w:t>
      </w:r>
      <w:r>
        <w:rPr>
          <w:rFonts w:hint="eastAsia" w:hAnsi="宋体"/>
          <w:snapToGrid w:val="0"/>
          <w:color w:val="auto"/>
          <w:szCs w:val="21"/>
          <w:highlight w:val="none"/>
        </w:rPr>
        <w:t>等</w:t>
      </w:r>
      <w:r>
        <w:rPr>
          <w:rFonts w:hAnsi="宋体"/>
          <w:snapToGrid w:val="0"/>
          <w:color w:val="auto"/>
          <w:szCs w:val="21"/>
          <w:highlight w:val="none"/>
        </w:rPr>
        <w:t>有关</w:t>
      </w:r>
      <w:r>
        <w:rPr>
          <w:rFonts w:hint="eastAsia" w:hAnsi="宋体"/>
          <w:snapToGrid w:val="0"/>
          <w:color w:val="auto"/>
          <w:szCs w:val="21"/>
          <w:highlight w:val="none"/>
        </w:rPr>
        <w:t>工作人员</w:t>
      </w:r>
      <w:r>
        <w:rPr>
          <w:rFonts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（4）监标人</w:t>
      </w:r>
      <w:r>
        <w:rPr>
          <w:rFonts w:hint="eastAsia" w:hAnsi="宋体"/>
          <w:color w:val="auto"/>
          <w:szCs w:val="21"/>
          <w:highlight w:val="none"/>
        </w:rPr>
        <w:t>负责查验投标文件密封性情况，</w:t>
      </w:r>
      <w:r>
        <w:rPr>
          <w:rFonts w:hint="eastAsia" w:hAnsi="宋体"/>
          <w:snapToGrid w:val="0"/>
          <w:color w:val="auto"/>
          <w:szCs w:val="21"/>
          <w:highlight w:val="none"/>
        </w:rPr>
        <w:t>投标人代表对</w:t>
      </w:r>
      <w:r>
        <w:rPr>
          <w:rFonts w:hAnsi="宋体"/>
          <w:snapToGrid w:val="0"/>
          <w:color w:val="auto"/>
          <w:szCs w:val="21"/>
          <w:highlight w:val="none"/>
        </w:rPr>
        <w:t>投标文件密封情况</w:t>
      </w:r>
      <w:r>
        <w:rPr>
          <w:rFonts w:hint="eastAsia" w:hAnsi="宋体"/>
          <w:snapToGrid w:val="0"/>
          <w:color w:val="auto"/>
          <w:szCs w:val="21"/>
          <w:highlight w:val="none"/>
        </w:rPr>
        <w:t>在线进行确认</w:t>
      </w:r>
      <w:r>
        <w:rPr>
          <w:rFonts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5</w:t>
      </w:r>
      <w:r>
        <w:rPr>
          <w:rFonts w:hAnsi="宋体"/>
          <w:snapToGrid w:val="0"/>
          <w:color w:val="auto"/>
          <w:szCs w:val="21"/>
          <w:highlight w:val="none"/>
        </w:rPr>
        <w:t>）按照投标人须知</w:t>
      </w:r>
      <w:r>
        <w:rPr>
          <w:rFonts w:hint="eastAsia" w:hAnsi="宋体"/>
          <w:snapToGrid w:val="0"/>
          <w:color w:val="auto"/>
          <w:szCs w:val="21"/>
          <w:highlight w:val="none"/>
        </w:rPr>
        <w:t>第5.3.1</w:t>
      </w:r>
      <w:r>
        <w:rPr>
          <w:rFonts w:hAnsi="宋体"/>
          <w:snapToGrid w:val="0"/>
          <w:color w:val="auto"/>
          <w:szCs w:val="21"/>
          <w:highlight w:val="none"/>
        </w:rPr>
        <w:t>规定</w:t>
      </w:r>
      <w:r>
        <w:rPr>
          <w:rFonts w:hint="eastAsia" w:hAnsi="宋体"/>
          <w:snapToGrid w:val="0"/>
          <w:color w:val="auto"/>
          <w:szCs w:val="21"/>
          <w:highlight w:val="none"/>
        </w:rPr>
        <w:t>的开标顺序</w:t>
      </w:r>
      <w:r>
        <w:rPr>
          <w:rFonts w:hAnsi="宋体"/>
          <w:snapToGrid w:val="0"/>
          <w:color w:val="auto"/>
          <w:szCs w:val="21"/>
          <w:highlight w:val="none"/>
        </w:rPr>
        <w:t>当众</w:t>
      </w:r>
      <w:r>
        <w:rPr>
          <w:rFonts w:hint="eastAsia" w:hAnsi="宋体"/>
          <w:snapToGrid w:val="0"/>
          <w:color w:val="auto"/>
          <w:szCs w:val="21"/>
          <w:highlight w:val="none"/>
        </w:rPr>
        <w:t>开启投标文件</w:t>
      </w:r>
      <w:r>
        <w:rPr>
          <w:rFonts w:hAnsi="宋体"/>
          <w:snapToGrid w:val="0"/>
          <w:color w:val="auto"/>
          <w:szCs w:val="21"/>
          <w:highlight w:val="none"/>
        </w:rPr>
        <w:t>，清点投标文件正、副本数量</w:t>
      </w:r>
      <w:r>
        <w:rPr>
          <w:rFonts w:hint="eastAsia" w:hAnsi="宋体"/>
          <w:snapToGrid w:val="0"/>
          <w:color w:val="auto"/>
          <w:szCs w:val="21"/>
          <w:highlight w:val="none"/>
        </w:rPr>
        <w:t>，</w:t>
      </w:r>
      <w:r>
        <w:rPr>
          <w:rFonts w:hAnsi="宋体"/>
          <w:snapToGrid w:val="0"/>
          <w:color w:val="auto"/>
          <w:szCs w:val="21"/>
          <w:highlight w:val="none"/>
        </w:rPr>
        <w:t>公布投标</w:t>
      </w:r>
      <w:r>
        <w:rPr>
          <w:rFonts w:hint="eastAsia" w:hAnsi="宋体"/>
          <w:snapToGrid w:val="0"/>
          <w:color w:val="auto"/>
          <w:szCs w:val="21"/>
          <w:highlight w:val="none"/>
        </w:rPr>
        <w:t>函</w:t>
      </w:r>
      <w:r>
        <w:rPr>
          <w:rFonts w:hAnsi="宋体"/>
          <w:snapToGrid w:val="0"/>
          <w:color w:val="auto"/>
          <w:szCs w:val="21"/>
          <w:highlight w:val="none"/>
        </w:rPr>
        <w:t>内容</w:t>
      </w:r>
      <w:r>
        <w:rPr>
          <w:rFonts w:hint="eastAsia" w:hAnsi="宋体"/>
          <w:snapToGrid w:val="0"/>
          <w:color w:val="auto"/>
          <w:szCs w:val="21"/>
          <w:highlight w:val="none"/>
        </w:rPr>
        <w:t>（投标人全称、报价、服务期、质量标准、项目负责人等）</w:t>
      </w:r>
      <w:r>
        <w:rPr>
          <w:rFonts w:hAnsi="宋体"/>
          <w:snapToGrid w:val="0"/>
          <w:color w:val="auto"/>
          <w:szCs w:val="21"/>
          <w:highlight w:val="none"/>
        </w:rPr>
        <w:t>，并记录在案；</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6</w:t>
      </w:r>
      <w:r>
        <w:rPr>
          <w:rFonts w:hAnsi="宋体"/>
          <w:snapToGrid w:val="0"/>
          <w:color w:val="auto"/>
          <w:szCs w:val="21"/>
          <w:highlight w:val="none"/>
        </w:rPr>
        <w:t>）投标人代表</w:t>
      </w:r>
      <w:r>
        <w:rPr>
          <w:rFonts w:hint="eastAsia" w:hAnsi="宋体"/>
          <w:snapToGrid w:val="0"/>
          <w:color w:val="auto"/>
          <w:szCs w:val="21"/>
          <w:highlight w:val="none"/>
        </w:rPr>
        <w:t>对开标记录在线进行确认，唱标人</w:t>
      </w:r>
      <w:r>
        <w:rPr>
          <w:rFonts w:hAnsi="宋体"/>
          <w:snapToGrid w:val="0"/>
          <w:color w:val="auto"/>
          <w:szCs w:val="21"/>
          <w:highlight w:val="none"/>
        </w:rPr>
        <w:t>、监标人、记录人</w:t>
      </w:r>
      <w:r>
        <w:rPr>
          <w:rFonts w:hint="eastAsia" w:hAnsi="宋体"/>
          <w:snapToGrid w:val="0"/>
          <w:color w:val="auto"/>
          <w:szCs w:val="21"/>
          <w:highlight w:val="none"/>
        </w:rPr>
        <w:t>等</w:t>
      </w:r>
      <w:r>
        <w:rPr>
          <w:rFonts w:hAnsi="宋体"/>
          <w:snapToGrid w:val="0"/>
          <w:color w:val="auto"/>
          <w:szCs w:val="21"/>
          <w:highlight w:val="none"/>
        </w:rPr>
        <w:t>有关人员在开标记录上签字确认</w:t>
      </w:r>
      <w:r>
        <w:rPr>
          <w:rFonts w:hint="eastAsia"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7</w:t>
      </w:r>
      <w:r>
        <w:rPr>
          <w:rFonts w:hAnsi="宋体"/>
          <w:snapToGrid w:val="0"/>
          <w:color w:val="auto"/>
          <w:szCs w:val="21"/>
          <w:highlight w:val="none"/>
        </w:rPr>
        <w:t>）开标结束</w:t>
      </w:r>
      <w:r>
        <w:rPr>
          <w:rFonts w:hint="eastAsia" w:hAnsi="宋体"/>
          <w:snapToGrid w:val="0"/>
          <w:color w:val="auto"/>
          <w:szCs w:val="21"/>
          <w:highlight w:val="none"/>
        </w:rPr>
        <w:t>，招标人（或招标代理机构）负责导出录像以存档备查</w:t>
      </w:r>
      <w:r>
        <w:rPr>
          <w:rFonts w:hAnsi="宋体"/>
          <w:snapToGrid w:val="0"/>
          <w:color w:val="auto"/>
          <w:szCs w:val="21"/>
          <w:highlight w:val="none"/>
        </w:rPr>
        <w:t>。</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5.4.2投标人代表如发现唱标内容或记录结果与投标文件不一致的，应在开标现场提出予以纠正。</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5.4.3投标人未参加开标或参加开标但</w:t>
      </w:r>
      <w:r>
        <w:rPr>
          <w:rFonts w:hAnsi="宋体"/>
          <w:snapToGrid w:val="0"/>
          <w:color w:val="auto"/>
          <w:szCs w:val="21"/>
          <w:highlight w:val="none"/>
          <w:lang w:val="zh-CN"/>
        </w:rPr>
        <w:t>未在开标记录</w:t>
      </w:r>
      <w:r>
        <w:rPr>
          <w:rFonts w:hint="eastAsia" w:hAnsi="宋体"/>
          <w:snapToGrid w:val="0"/>
          <w:color w:val="auto"/>
          <w:szCs w:val="21"/>
          <w:highlight w:val="none"/>
          <w:lang w:val="zh-CN"/>
        </w:rPr>
        <w:t>进行确认</w:t>
      </w:r>
      <w:r>
        <w:rPr>
          <w:rFonts w:hAnsi="宋体"/>
          <w:snapToGrid w:val="0"/>
          <w:color w:val="auto"/>
          <w:szCs w:val="21"/>
          <w:highlight w:val="none"/>
          <w:lang w:val="zh-CN"/>
        </w:rPr>
        <w:t>的，</w:t>
      </w:r>
      <w:r>
        <w:rPr>
          <w:rFonts w:hint="eastAsia" w:hAnsi="宋体"/>
          <w:snapToGrid w:val="0"/>
          <w:color w:val="auto"/>
          <w:szCs w:val="21"/>
          <w:highlight w:val="none"/>
        </w:rPr>
        <w:t>均视同认可开标结果。</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5.4.4投标人在投标截止时间前提交投标文件撤回函的，招标人应在开标时宣读撤回函，并将其投标文件及其投标保证金及时退还投标人。</w:t>
      </w:r>
    </w:p>
    <w:p>
      <w:pPr>
        <w:pStyle w:val="33"/>
        <w:adjustRightInd w:val="0"/>
        <w:snapToGrid w:val="0"/>
        <w:spacing w:after="0" w:line="360" w:lineRule="auto"/>
        <w:ind w:firstLine="420" w:firstLineChars="200"/>
        <w:jc w:val="left"/>
        <w:rPr>
          <w:color w:val="auto"/>
          <w:highlight w:val="none"/>
        </w:rPr>
      </w:pPr>
      <w:r>
        <w:rPr>
          <w:rFonts w:hint="eastAsia" w:hAnsi="宋体"/>
          <w:snapToGrid w:val="0"/>
          <w:color w:val="auto"/>
          <w:szCs w:val="21"/>
          <w:highlight w:val="none"/>
        </w:rPr>
        <w:t>5.4.5开标结束后，如发现开标结果与投标文件不一致者，除评标委员会认定的特殊情况应另行处理外，其开标结果不予纠正。</w:t>
      </w:r>
    </w:p>
    <w:p>
      <w:pPr>
        <w:adjustRightInd w:val="0"/>
        <w:snapToGrid w:val="0"/>
        <w:spacing w:line="360" w:lineRule="auto"/>
        <w:rPr>
          <w:rFonts w:hAnsi="宋体"/>
          <w:b/>
          <w:bCs/>
          <w:snapToGrid w:val="0"/>
          <w:color w:val="auto"/>
          <w:szCs w:val="21"/>
          <w:highlight w:val="none"/>
        </w:rPr>
      </w:pPr>
      <w:r>
        <w:rPr>
          <w:rFonts w:hint="eastAsia" w:hAnsi="宋体"/>
          <w:b/>
          <w:bCs/>
          <w:snapToGrid w:val="0"/>
          <w:color w:val="auto"/>
          <w:szCs w:val="21"/>
          <w:highlight w:val="none"/>
        </w:rPr>
        <w:t>5.5投标文件拒收、退还</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5.5.1 出现以下情形之一的，投标文件将被拒绝接收或予以退还：</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w:t>
      </w:r>
      <w:r>
        <w:rPr>
          <w:rFonts w:hint="eastAsia" w:hAnsi="宋体"/>
          <w:snapToGrid w:val="0"/>
          <w:color w:val="auto"/>
          <w:szCs w:val="21"/>
          <w:highlight w:val="none"/>
          <w:lang w:val="zh-CN"/>
        </w:rPr>
        <w:t>投标文件逾期送达</w:t>
      </w:r>
      <w:r>
        <w:rPr>
          <w:rFonts w:hint="eastAsia" w:hAnsi="宋体"/>
          <w:snapToGrid w:val="0"/>
          <w:color w:val="auto"/>
          <w:szCs w:val="21"/>
          <w:highlight w:val="none"/>
        </w:rPr>
        <w:t>或</w:t>
      </w:r>
      <w:r>
        <w:rPr>
          <w:rFonts w:hint="eastAsia" w:hAnsi="宋体"/>
          <w:snapToGrid w:val="0"/>
          <w:color w:val="auto"/>
          <w:szCs w:val="21"/>
          <w:highlight w:val="none"/>
          <w:lang w:val="zh-CN"/>
        </w:rPr>
        <w:t>未送达指定地点</w:t>
      </w:r>
      <w:r>
        <w:rPr>
          <w:rFonts w:hint="eastAsia" w:hAnsi="宋体"/>
          <w:snapToGrid w:val="0"/>
          <w:color w:val="auto"/>
          <w:szCs w:val="21"/>
          <w:highlight w:val="none"/>
        </w:rPr>
        <w:t>的，招标人将拒绝接收；</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（2）投标人在投标截止时间前提交撤回函的投标文件不予启封，并退还给投标人；</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lang w:val="zh-CN"/>
        </w:rPr>
        <w:t>（</w:t>
      </w:r>
      <w:r>
        <w:rPr>
          <w:rFonts w:hint="eastAsia" w:hAnsi="宋体"/>
          <w:snapToGrid w:val="0"/>
          <w:color w:val="auto"/>
          <w:szCs w:val="21"/>
          <w:highlight w:val="none"/>
        </w:rPr>
        <w:t>3</w:t>
      </w:r>
      <w:r>
        <w:rPr>
          <w:rFonts w:hint="eastAsia" w:hAnsi="宋体"/>
          <w:snapToGrid w:val="0"/>
          <w:color w:val="auto"/>
          <w:szCs w:val="21"/>
          <w:highlight w:val="none"/>
          <w:lang w:val="zh-CN"/>
        </w:rPr>
        <w:t>）投标文件</w:t>
      </w:r>
      <w:r>
        <w:rPr>
          <w:rFonts w:hint="eastAsia" w:hAnsi="宋体"/>
          <w:snapToGrid w:val="0"/>
          <w:color w:val="auto"/>
          <w:szCs w:val="21"/>
          <w:highlight w:val="none"/>
        </w:rPr>
        <w:t>未</w:t>
      </w:r>
      <w:r>
        <w:rPr>
          <w:rFonts w:hint="eastAsia" w:hAnsi="宋体"/>
          <w:snapToGrid w:val="0"/>
          <w:color w:val="auto"/>
          <w:szCs w:val="21"/>
          <w:highlight w:val="none"/>
          <w:lang w:val="zh-CN"/>
        </w:rPr>
        <w:t>按照本须知第4.7款要求密封和标识的，其投标文件</w:t>
      </w:r>
      <w:r>
        <w:rPr>
          <w:rFonts w:hint="eastAsia" w:hAnsi="宋体"/>
          <w:snapToGrid w:val="0"/>
          <w:color w:val="auto"/>
          <w:szCs w:val="21"/>
          <w:highlight w:val="none"/>
        </w:rPr>
        <w:t>不予启封，并退还给投标人；</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（4）至投标截止时间，投标人数不足3家的不得开标，招标人将投标文件退还投标人。</w:t>
      </w:r>
    </w:p>
    <w:p>
      <w:pPr>
        <w:snapToGrid w:val="0"/>
        <w:spacing w:line="360" w:lineRule="auto"/>
        <w:jc w:val="center"/>
        <w:outlineLvl w:val="1"/>
        <w:rPr>
          <w:rFonts w:hAnsi="宋体"/>
          <w:b/>
          <w:snapToGrid w:val="0"/>
          <w:color w:val="auto"/>
          <w:sz w:val="24"/>
          <w:highlight w:val="none"/>
        </w:rPr>
      </w:pPr>
      <w:bookmarkStart w:id="65" w:name="_Toc31578"/>
      <w:r>
        <w:rPr>
          <w:rFonts w:hAnsi="宋体"/>
          <w:b/>
          <w:snapToGrid w:val="0"/>
          <w:color w:val="auto"/>
          <w:sz w:val="24"/>
          <w:highlight w:val="none"/>
        </w:rPr>
        <w:t>6</w:t>
      </w:r>
      <w:r>
        <w:rPr>
          <w:rFonts w:hint="eastAsia" w:hAnsi="宋体"/>
          <w:b/>
          <w:snapToGrid w:val="0"/>
          <w:color w:val="auto"/>
          <w:sz w:val="24"/>
          <w:highlight w:val="none"/>
        </w:rPr>
        <w:t>、</w:t>
      </w:r>
      <w:r>
        <w:rPr>
          <w:rFonts w:hAnsi="宋体"/>
          <w:b/>
          <w:snapToGrid w:val="0"/>
          <w:color w:val="auto"/>
          <w:sz w:val="24"/>
          <w:highlight w:val="none"/>
        </w:rPr>
        <w:t>评标</w:t>
      </w:r>
      <w:bookmarkEnd w:id="65"/>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6.1评标委员会</w:t>
      </w:r>
      <w:r>
        <w:rPr>
          <w:rFonts w:hint="eastAsia" w:hAnsi="宋体"/>
          <w:b/>
          <w:bCs/>
          <w:snapToGrid w:val="0"/>
          <w:color w:val="auto"/>
          <w:szCs w:val="21"/>
          <w:highlight w:val="none"/>
        </w:rPr>
        <w:t>的组建</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6.1.1评标</w:t>
      </w:r>
      <w:r>
        <w:rPr>
          <w:rFonts w:hint="eastAsia" w:hAnsi="宋体"/>
          <w:snapToGrid w:val="0"/>
          <w:color w:val="auto"/>
          <w:szCs w:val="21"/>
          <w:highlight w:val="none"/>
        </w:rPr>
        <w:t>工作</w:t>
      </w:r>
      <w:r>
        <w:rPr>
          <w:rFonts w:hAnsi="宋体"/>
          <w:snapToGrid w:val="0"/>
          <w:color w:val="auto"/>
          <w:szCs w:val="21"/>
          <w:highlight w:val="none"/>
        </w:rPr>
        <w:t>由招标人依法组建的评标委员会负责。评标委员会由招标人的代表</w:t>
      </w:r>
      <w:r>
        <w:rPr>
          <w:rFonts w:hint="eastAsia" w:hAnsi="宋体"/>
          <w:snapToGrid w:val="0"/>
          <w:color w:val="auto"/>
          <w:szCs w:val="21"/>
          <w:highlight w:val="none"/>
        </w:rPr>
        <w:t>和</w:t>
      </w:r>
      <w:r>
        <w:rPr>
          <w:rFonts w:hAnsi="宋体"/>
          <w:snapToGrid w:val="0"/>
          <w:color w:val="auto"/>
          <w:szCs w:val="21"/>
          <w:highlight w:val="none"/>
        </w:rPr>
        <w:t>有关技术、经济方面的专家组成。评标委员会成员人数以及技术、经济方面专家的</w:t>
      </w:r>
      <w:r>
        <w:rPr>
          <w:rFonts w:hint="eastAsia" w:hAnsi="宋体"/>
          <w:snapToGrid w:val="0"/>
          <w:color w:val="auto"/>
          <w:szCs w:val="21"/>
          <w:highlight w:val="none"/>
        </w:rPr>
        <w:t>组成</w:t>
      </w:r>
      <w:r>
        <w:rPr>
          <w:rFonts w:hAnsi="宋体"/>
          <w:snapToGrid w:val="0"/>
          <w:color w:val="auto"/>
          <w:szCs w:val="21"/>
          <w:highlight w:val="none"/>
        </w:rPr>
        <w:t>方式</w:t>
      </w:r>
      <w:r>
        <w:rPr>
          <w:rFonts w:hint="eastAsia" w:hAnsi="宋体"/>
          <w:snapToGrid w:val="0"/>
          <w:color w:val="auto"/>
          <w:szCs w:val="21"/>
          <w:highlight w:val="none"/>
        </w:rPr>
        <w:t>、产生程序</w:t>
      </w:r>
      <w:r>
        <w:rPr>
          <w:rFonts w:hAnsi="宋体"/>
          <w:snapToGrid w:val="0"/>
          <w:color w:val="auto"/>
          <w:szCs w:val="21"/>
          <w:highlight w:val="none"/>
        </w:rPr>
        <w:t>见投标人须知前附表。</w:t>
      </w:r>
      <w:r>
        <w:rPr>
          <w:rFonts w:hint="eastAsia" w:hAnsi="宋体"/>
          <w:snapToGrid w:val="0"/>
          <w:color w:val="auto"/>
          <w:szCs w:val="21"/>
          <w:highlight w:val="none"/>
        </w:rPr>
        <w:t xml:space="preserve"> 评标委员会根据招标文件和有关规定，履行评标工作职责。</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6.1.2评标委员会</w:t>
      </w:r>
      <w:r>
        <w:rPr>
          <w:rFonts w:hint="eastAsia" w:hAnsi="宋体"/>
          <w:snapToGrid w:val="0"/>
          <w:color w:val="auto"/>
          <w:szCs w:val="21"/>
          <w:highlight w:val="none"/>
        </w:rPr>
        <w:t>组成</w:t>
      </w:r>
      <w:r>
        <w:rPr>
          <w:rFonts w:hAnsi="宋体"/>
          <w:snapToGrid w:val="0"/>
          <w:color w:val="auto"/>
          <w:szCs w:val="21"/>
          <w:highlight w:val="none"/>
        </w:rPr>
        <w:t>成员</w:t>
      </w:r>
      <w:r>
        <w:rPr>
          <w:rFonts w:hint="eastAsia" w:hAnsi="宋体"/>
          <w:snapToGrid w:val="0"/>
          <w:color w:val="auto"/>
          <w:szCs w:val="21"/>
          <w:highlight w:val="none"/>
        </w:rPr>
        <w:t>与投标人</w:t>
      </w:r>
      <w:r>
        <w:rPr>
          <w:rFonts w:hAnsi="宋体"/>
          <w:snapToGrid w:val="0"/>
          <w:color w:val="auto"/>
          <w:szCs w:val="21"/>
          <w:highlight w:val="none"/>
        </w:rPr>
        <w:t>有下列</w:t>
      </w:r>
      <w:r>
        <w:rPr>
          <w:rFonts w:hint="eastAsia" w:hAnsi="宋体"/>
          <w:snapToGrid w:val="0"/>
          <w:color w:val="auto"/>
          <w:szCs w:val="21"/>
          <w:highlight w:val="none"/>
        </w:rPr>
        <w:t>利害关系</w:t>
      </w:r>
      <w:r>
        <w:rPr>
          <w:rFonts w:hAnsi="宋体"/>
          <w:snapToGrid w:val="0"/>
          <w:color w:val="auto"/>
          <w:szCs w:val="21"/>
          <w:highlight w:val="none"/>
        </w:rPr>
        <w:t>之一的，应当回避：</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w:t>
      </w:r>
      <w:r>
        <w:rPr>
          <w:rFonts w:hint="eastAsia" w:hAnsi="宋体"/>
          <w:snapToGrid w:val="0"/>
          <w:color w:val="auto"/>
          <w:szCs w:val="21"/>
          <w:highlight w:val="none"/>
        </w:rPr>
        <w:t>参加项目评标前3年内与投标人存在劳动关系；</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（2）</w:t>
      </w:r>
      <w:r>
        <w:rPr>
          <w:rFonts w:hint="eastAsia" w:hAnsi="宋体"/>
          <w:snapToGrid w:val="0"/>
          <w:color w:val="auto"/>
          <w:szCs w:val="21"/>
          <w:highlight w:val="none"/>
        </w:rPr>
        <w:t>参加项目评标前3年内担任投标人的董事、监事；</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（3）参加项目评标前3年内是投标人的控股股东或者实际控制人；</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（4）参加项目论证、</w:t>
      </w:r>
      <w:r>
        <w:rPr>
          <w:rFonts w:hAnsi="宋体"/>
          <w:snapToGrid w:val="0"/>
          <w:color w:val="auto"/>
          <w:szCs w:val="21"/>
          <w:highlight w:val="none"/>
        </w:rPr>
        <w:t>项目主管部门或者行政监督部门的人员；</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5</w:t>
      </w:r>
      <w:r>
        <w:rPr>
          <w:rFonts w:hAnsi="宋体"/>
          <w:snapToGrid w:val="0"/>
          <w:color w:val="auto"/>
          <w:szCs w:val="21"/>
          <w:highlight w:val="none"/>
        </w:rPr>
        <w:t>）</w:t>
      </w:r>
      <w:r>
        <w:rPr>
          <w:rFonts w:hint="eastAsia" w:hAnsi="宋体"/>
          <w:snapToGrid w:val="0"/>
          <w:color w:val="auto"/>
          <w:szCs w:val="21"/>
          <w:highlight w:val="none"/>
        </w:rPr>
        <w:t>与投标人的法定代表人或者负责人有夫妻、直系血亲、三代以内旁系血亲或者近姻亲关系；</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6</w:t>
      </w:r>
      <w:r>
        <w:rPr>
          <w:rFonts w:hAnsi="宋体"/>
          <w:snapToGrid w:val="0"/>
          <w:color w:val="auto"/>
          <w:szCs w:val="21"/>
          <w:highlight w:val="none"/>
        </w:rPr>
        <w:t>）</w:t>
      </w:r>
      <w:r>
        <w:rPr>
          <w:rFonts w:hint="eastAsia" w:hAnsi="宋体"/>
          <w:snapToGrid w:val="0"/>
          <w:color w:val="auto"/>
          <w:szCs w:val="21"/>
          <w:highlight w:val="none"/>
        </w:rPr>
        <w:t>与投标人有其他可能影响招标活动公平、公正进行的关系。</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6.1.3评标过程中，评标委员会成员有回避事由、擅离职守或者因健康原因不能继续评标的，</w:t>
      </w:r>
      <w:r>
        <w:rPr>
          <w:rFonts w:hint="eastAsia" w:hAnsi="宋体"/>
          <w:snapToGrid w:val="0"/>
          <w:color w:val="auto"/>
          <w:szCs w:val="21"/>
          <w:highlight w:val="none"/>
        </w:rPr>
        <w:t>应当及时更换</w:t>
      </w:r>
      <w:r>
        <w:rPr>
          <w:rFonts w:hAnsi="宋体"/>
          <w:snapToGrid w:val="0"/>
          <w:color w:val="auto"/>
          <w:szCs w:val="21"/>
          <w:highlight w:val="none"/>
        </w:rPr>
        <w:t>。被更换的评标委员会成员作出的评审结论无效，由更换后的评标委员会成员重新进行评审。</w:t>
      </w:r>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6.</w:t>
      </w:r>
      <w:r>
        <w:rPr>
          <w:rFonts w:hint="eastAsia" w:hAnsi="宋体"/>
          <w:b/>
          <w:bCs/>
          <w:snapToGrid w:val="0"/>
          <w:color w:val="auto"/>
          <w:szCs w:val="21"/>
          <w:highlight w:val="none"/>
        </w:rPr>
        <w:t>2</w:t>
      </w:r>
      <w:r>
        <w:rPr>
          <w:rFonts w:hAnsi="宋体"/>
          <w:b/>
          <w:bCs/>
          <w:snapToGrid w:val="0"/>
          <w:color w:val="auto"/>
          <w:szCs w:val="21"/>
          <w:highlight w:val="none"/>
        </w:rPr>
        <w:t>评标</w:t>
      </w:r>
      <w:r>
        <w:rPr>
          <w:rFonts w:hint="eastAsia" w:hAnsi="宋体"/>
          <w:b/>
          <w:bCs/>
          <w:snapToGrid w:val="0"/>
          <w:color w:val="auto"/>
          <w:szCs w:val="21"/>
          <w:highlight w:val="none"/>
        </w:rPr>
        <w:t>原则</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w:t>
      </w:r>
      <w:r>
        <w:rPr>
          <w:rFonts w:hint="eastAsia" w:hAnsi="宋体"/>
          <w:snapToGrid w:val="0"/>
          <w:color w:val="auto"/>
          <w:szCs w:val="21"/>
          <w:highlight w:val="none"/>
        </w:rPr>
        <w:t>2</w:t>
      </w:r>
      <w:r>
        <w:rPr>
          <w:rFonts w:hAnsi="宋体"/>
          <w:snapToGrid w:val="0"/>
          <w:color w:val="auto"/>
          <w:szCs w:val="21"/>
          <w:highlight w:val="none"/>
        </w:rPr>
        <w:t>.</w:t>
      </w:r>
      <w:r>
        <w:rPr>
          <w:rFonts w:hint="eastAsia" w:hAnsi="宋体"/>
          <w:snapToGrid w:val="0"/>
          <w:color w:val="auto"/>
          <w:szCs w:val="21"/>
          <w:highlight w:val="none"/>
        </w:rPr>
        <w:t>1</w:t>
      </w:r>
      <w:r>
        <w:rPr>
          <w:rFonts w:hAnsi="宋体"/>
          <w:snapToGrid w:val="0"/>
          <w:color w:val="auto"/>
          <w:szCs w:val="21"/>
          <w:highlight w:val="none"/>
        </w:rPr>
        <w:t>评标活动遵循公平、公正、科学和择优的原则。</w:t>
      </w:r>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6.</w:t>
      </w:r>
      <w:r>
        <w:rPr>
          <w:rFonts w:hint="eastAsia" w:hAnsi="宋体"/>
          <w:b/>
          <w:bCs/>
          <w:snapToGrid w:val="0"/>
          <w:color w:val="auto"/>
          <w:szCs w:val="21"/>
          <w:highlight w:val="none"/>
        </w:rPr>
        <w:t>3</w:t>
      </w:r>
      <w:r>
        <w:rPr>
          <w:rFonts w:hAnsi="宋体"/>
          <w:b/>
          <w:bCs/>
          <w:snapToGrid w:val="0"/>
          <w:color w:val="auto"/>
          <w:szCs w:val="21"/>
          <w:highlight w:val="none"/>
        </w:rPr>
        <w:t>评标</w:t>
      </w:r>
      <w:r>
        <w:rPr>
          <w:rFonts w:hint="eastAsia" w:hAnsi="宋体"/>
          <w:b/>
          <w:bCs/>
          <w:snapToGrid w:val="0"/>
          <w:color w:val="auto"/>
          <w:szCs w:val="21"/>
          <w:highlight w:val="none"/>
        </w:rPr>
        <w:t>会议</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1评标委员会原则上要推选一位组长（招标人代表不得担任评标委员会组长），评标委员会组长负责组织评标工作。</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2本项目采用的评标办法及否决投标条款见投标人须知前附表。评标委员会按照第四章“评标方法及评价标准”规定的方法、评审因素、标准和程序对投标文件进行客观、公正</w:t>
      </w:r>
      <w:r>
        <w:rPr>
          <w:rFonts w:hint="eastAsia" w:hAnsi="宋体"/>
          <w:snapToGrid w:val="0"/>
          <w:color w:val="auto"/>
          <w:szCs w:val="21"/>
          <w:highlight w:val="none"/>
          <w:lang w:eastAsia="zh-CN"/>
        </w:rPr>
        <w:t>的</w:t>
      </w:r>
      <w:r>
        <w:rPr>
          <w:rFonts w:hint="eastAsia" w:hAnsi="宋体"/>
          <w:snapToGrid w:val="0"/>
          <w:color w:val="auto"/>
          <w:szCs w:val="21"/>
          <w:highlight w:val="none"/>
        </w:rPr>
        <w:t>评审和比较。第四章“评标方法及评价标准”没有规定的方法、评审因素和标准，不作为评标依据。</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4评标委员会对投标文件作出的评审结论，应当符合有关</w:t>
      </w:r>
      <w:r>
        <w:rPr>
          <w:rFonts w:hint="eastAsia" w:hAnsi="宋体"/>
          <w:snapToGrid w:val="0"/>
          <w:color w:val="auto"/>
          <w:szCs w:val="21"/>
          <w:highlight w:val="none"/>
          <w:lang w:eastAsia="zh-CN"/>
        </w:rPr>
        <w:t>法律法规</w:t>
      </w:r>
      <w:r>
        <w:rPr>
          <w:rFonts w:hint="eastAsia" w:hAnsi="宋体"/>
          <w:snapToGrid w:val="0"/>
          <w:color w:val="auto"/>
          <w:szCs w:val="21"/>
          <w:highlight w:val="none"/>
        </w:rPr>
        <w:t>和招标文件的规定。评标委员会成员对所提出的评审意见承担个人责任。</w:t>
      </w:r>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6.</w:t>
      </w:r>
      <w:r>
        <w:rPr>
          <w:rFonts w:hint="eastAsia" w:hAnsi="宋体"/>
          <w:b/>
          <w:bCs/>
          <w:snapToGrid w:val="0"/>
          <w:color w:val="auto"/>
          <w:szCs w:val="21"/>
          <w:highlight w:val="none"/>
        </w:rPr>
        <w:t>4</w:t>
      </w:r>
      <w:r>
        <w:rPr>
          <w:rFonts w:hAnsi="宋体"/>
          <w:b/>
          <w:bCs/>
          <w:snapToGrid w:val="0"/>
          <w:color w:val="auto"/>
          <w:szCs w:val="21"/>
          <w:highlight w:val="none"/>
        </w:rPr>
        <w:t>评标</w:t>
      </w:r>
      <w:r>
        <w:rPr>
          <w:rFonts w:hint="eastAsia" w:hAnsi="宋体"/>
          <w:b/>
          <w:bCs/>
          <w:snapToGrid w:val="0"/>
          <w:color w:val="auto"/>
          <w:szCs w:val="21"/>
          <w:highlight w:val="none"/>
        </w:rPr>
        <w:t>过程的保密</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w:t>
      </w:r>
      <w:r>
        <w:rPr>
          <w:rFonts w:hint="eastAsia" w:hAnsi="宋体"/>
          <w:snapToGrid w:val="0"/>
          <w:color w:val="auto"/>
          <w:szCs w:val="21"/>
          <w:highlight w:val="none"/>
        </w:rPr>
        <w:t>4</w:t>
      </w:r>
      <w:r>
        <w:rPr>
          <w:rFonts w:hAnsi="宋体"/>
          <w:snapToGrid w:val="0"/>
          <w:color w:val="auto"/>
          <w:szCs w:val="21"/>
          <w:highlight w:val="none"/>
        </w:rPr>
        <w:t>.</w:t>
      </w:r>
      <w:r>
        <w:rPr>
          <w:rFonts w:hint="eastAsia" w:hAnsi="宋体"/>
          <w:snapToGrid w:val="0"/>
          <w:color w:val="auto"/>
          <w:szCs w:val="21"/>
          <w:highlight w:val="none"/>
        </w:rPr>
        <w:t>1评标会议采用保密方式进行</w:t>
      </w:r>
      <w:r>
        <w:rPr>
          <w:rFonts w:hAnsi="宋体"/>
          <w:snapToGrid w:val="0"/>
          <w:color w:val="auto"/>
          <w:szCs w:val="21"/>
          <w:highlight w:val="none"/>
        </w:rPr>
        <w:t>。</w:t>
      </w:r>
      <w:r>
        <w:rPr>
          <w:rFonts w:hint="eastAsia" w:hAnsi="宋体"/>
          <w:snapToGrid w:val="0"/>
          <w:color w:val="auto"/>
          <w:szCs w:val="21"/>
          <w:highlight w:val="none"/>
        </w:rPr>
        <w:t>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snapToGrid w:val="0"/>
        <w:spacing w:line="360" w:lineRule="auto"/>
        <w:jc w:val="center"/>
        <w:outlineLvl w:val="1"/>
        <w:rPr>
          <w:rFonts w:hAnsi="宋体"/>
          <w:bCs/>
          <w:snapToGrid w:val="0"/>
          <w:color w:val="auto"/>
          <w:sz w:val="24"/>
          <w:highlight w:val="none"/>
        </w:rPr>
      </w:pPr>
      <w:bookmarkStart w:id="66" w:name="_Toc24237"/>
      <w:r>
        <w:rPr>
          <w:rFonts w:hAnsi="宋体"/>
          <w:b/>
          <w:snapToGrid w:val="0"/>
          <w:color w:val="auto"/>
          <w:sz w:val="24"/>
          <w:highlight w:val="none"/>
        </w:rPr>
        <w:t>7</w:t>
      </w:r>
      <w:r>
        <w:rPr>
          <w:rFonts w:hint="eastAsia" w:hAnsi="宋体"/>
          <w:b/>
          <w:snapToGrid w:val="0"/>
          <w:color w:val="auto"/>
          <w:sz w:val="24"/>
          <w:highlight w:val="none"/>
        </w:rPr>
        <w:t>、</w:t>
      </w:r>
      <w:bookmarkEnd w:id="66"/>
      <w:r>
        <w:rPr>
          <w:rFonts w:hint="eastAsia" w:hAnsi="宋体"/>
          <w:b/>
          <w:snapToGrid w:val="0"/>
          <w:color w:val="auto"/>
          <w:sz w:val="24"/>
          <w:highlight w:val="none"/>
        </w:rPr>
        <w:t>定标</w:t>
      </w:r>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7.1中标候选人公示</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7</w:t>
      </w:r>
      <w:r>
        <w:rPr>
          <w:rFonts w:hAnsi="宋体"/>
          <w:snapToGrid w:val="0"/>
          <w:color w:val="auto"/>
          <w:szCs w:val="21"/>
          <w:highlight w:val="none"/>
        </w:rPr>
        <w:t>.</w:t>
      </w:r>
      <w:r>
        <w:rPr>
          <w:rFonts w:hint="eastAsia" w:hAnsi="宋体"/>
          <w:snapToGrid w:val="0"/>
          <w:color w:val="auto"/>
          <w:szCs w:val="21"/>
          <w:highlight w:val="none"/>
        </w:rPr>
        <w:t>1</w:t>
      </w:r>
      <w:r>
        <w:rPr>
          <w:rFonts w:hAnsi="宋体"/>
          <w:snapToGrid w:val="0"/>
          <w:color w:val="auto"/>
          <w:szCs w:val="21"/>
          <w:highlight w:val="none"/>
        </w:rPr>
        <w:t>.</w:t>
      </w:r>
      <w:r>
        <w:rPr>
          <w:rFonts w:hint="eastAsia" w:hAnsi="宋体"/>
          <w:snapToGrid w:val="0"/>
          <w:color w:val="auto"/>
          <w:szCs w:val="21"/>
          <w:highlight w:val="none"/>
        </w:rPr>
        <w:t>1</w:t>
      </w:r>
      <w:r>
        <w:rPr>
          <w:rFonts w:hAnsi="宋体"/>
          <w:snapToGrid w:val="0"/>
          <w:color w:val="auto"/>
          <w:szCs w:val="21"/>
          <w:highlight w:val="none"/>
        </w:rPr>
        <w:t>招标人</w:t>
      </w:r>
      <w:r>
        <w:rPr>
          <w:rFonts w:hint="eastAsia" w:hAnsi="宋体"/>
          <w:snapToGrid w:val="0"/>
          <w:color w:val="auto"/>
          <w:szCs w:val="21"/>
          <w:highlight w:val="none"/>
        </w:rPr>
        <w:t>自收到评标报告之日起3日</w:t>
      </w:r>
      <w:r>
        <w:rPr>
          <w:rFonts w:hAnsi="宋体"/>
          <w:snapToGrid w:val="0"/>
          <w:color w:val="auto"/>
          <w:szCs w:val="21"/>
          <w:highlight w:val="none"/>
        </w:rPr>
        <w:t>内</w:t>
      </w:r>
      <w:r>
        <w:rPr>
          <w:rFonts w:hint="eastAsia" w:hAnsi="宋体"/>
          <w:snapToGrid w:val="0"/>
          <w:color w:val="auto"/>
          <w:szCs w:val="21"/>
          <w:highlight w:val="none"/>
        </w:rPr>
        <w:t>按评标报告推荐的中标候选人名单</w:t>
      </w:r>
      <w:r>
        <w:rPr>
          <w:rFonts w:hAnsi="宋体"/>
          <w:snapToGrid w:val="0"/>
          <w:color w:val="auto"/>
          <w:szCs w:val="21"/>
          <w:highlight w:val="none"/>
        </w:rPr>
        <w:t>公示中标候选人，公示期不得少于3天</w:t>
      </w:r>
      <w:r>
        <w:rPr>
          <w:rFonts w:hint="eastAsia" w:hAnsi="宋体"/>
          <w:snapToGrid w:val="0"/>
          <w:color w:val="auto"/>
          <w:szCs w:val="21"/>
          <w:highlight w:val="none"/>
        </w:rPr>
        <w:t>（公示期间的最后1天应当为工作日，否则应当将公示期的最后1天顺延至下一个工作日）</w:t>
      </w:r>
      <w:r>
        <w:rPr>
          <w:rFonts w:hAnsi="宋体"/>
          <w:snapToGrid w:val="0"/>
          <w:color w:val="auto"/>
          <w:szCs w:val="21"/>
          <w:highlight w:val="none"/>
        </w:rPr>
        <w:t>。</w:t>
      </w:r>
    </w:p>
    <w:p>
      <w:pPr>
        <w:keepNext/>
        <w:keepLines/>
        <w:adjustRightInd w:val="0"/>
        <w:snapToGrid w:val="0"/>
        <w:spacing w:line="360" w:lineRule="auto"/>
        <w:jc w:val="left"/>
        <w:outlineLvl w:val="2"/>
        <w:rPr>
          <w:rFonts w:hAnsi="宋体"/>
          <w:b/>
          <w:bCs/>
          <w:snapToGrid w:val="0"/>
          <w:color w:val="auto"/>
          <w:szCs w:val="21"/>
          <w:highlight w:val="none"/>
        </w:rPr>
      </w:pPr>
      <w:bookmarkStart w:id="67" w:name="_bookmark61"/>
      <w:bookmarkEnd w:id="67"/>
      <w:r>
        <w:rPr>
          <w:rFonts w:hAnsi="宋体"/>
          <w:b/>
          <w:bCs/>
          <w:snapToGrid w:val="0"/>
          <w:color w:val="auto"/>
          <w:szCs w:val="21"/>
          <w:highlight w:val="none"/>
        </w:rPr>
        <w:t>7.</w:t>
      </w:r>
      <w:r>
        <w:rPr>
          <w:rFonts w:hint="eastAsia" w:hAnsi="宋体"/>
          <w:b/>
          <w:bCs/>
          <w:snapToGrid w:val="0"/>
          <w:color w:val="auto"/>
          <w:szCs w:val="21"/>
          <w:highlight w:val="none"/>
        </w:rPr>
        <w:t>2定标方式</w:t>
      </w:r>
    </w:p>
    <w:p>
      <w:pPr>
        <w:pStyle w:val="33"/>
        <w:adjustRightInd w:val="0"/>
        <w:snapToGrid w:val="0"/>
        <w:spacing w:after="0" w:line="360" w:lineRule="auto"/>
        <w:ind w:firstLine="420" w:firstLineChars="200"/>
        <w:jc w:val="left"/>
        <w:rPr>
          <w:rFonts w:cs="宋体"/>
          <w:color w:val="auto"/>
          <w:highlight w:val="none"/>
          <w:lang w:val="zh-CN"/>
        </w:rPr>
      </w:pPr>
      <w:r>
        <w:rPr>
          <w:rFonts w:hint="eastAsia" w:hAnsi="宋体"/>
          <w:snapToGrid w:val="0"/>
          <w:color w:val="auto"/>
          <w:szCs w:val="21"/>
          <w:highlight w:val="none"/>
        </w:rPr>
        <w:t>7</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w:t>
      </w:r>
      <w:r>
        <w:rPr>
          <w:rFonts w:hint="eastAsia" w:hAnsi="宋体"/>
          <w:snapToGrid w:val="0"/>
          <w:color w:val="auto"/>
          <w:szCs w:val="21"/>
          <w:highlight w:val="none"/>
        </w:rPr>
        <w:t>1</w:t>
      </w:r>
      <w:r>
        <w:rPr>
          <w:rFonts w:hint="eastAsia" w:cs="宋体"/>
          <w:color w:val="auto"/>
          <w:highlight w:val="none"/>
          <w:lang w:val="zh-CN"/>
        </w:rPr>
        <w:t>招标人应当确定排名第一的中标候选人为中标人。排名第一的中标候选人放弃中标、因不可抗力不能履行合同、不按照招标文件要求提交履约保证金，或者被查实存在影响中标结果的违法行为情形，不符合中标条件的，招标人可以按照评标委员会提出的中标候选人名单排序依次确定其他中标候选人为中标人，也可以重新招标。</w:t>
      </w:r>
    </w:p>
    <w:p>
      <w:pPr>
        <w:pStyle w:val="33"/>
        <w:ind w:firstLine="422" w:firstLineChars="200"/>
        <w:rPr>
          <w:rFonts w:hAnsi="宋体"/>
          <w:b/>
          <w:bCs/>
          <w:snapToGrid w:val="0"/>
          <w:color w:val="auto"/>
          <w:szCs w:val="21"/>
          <w:highlight w:val="none"/>
        </w:rPr>
      </w:pPr>
      <w:bookmarkStart w:id="68" w:name="_bookmark64"/>
      <w:bookmarkEnd w:id="68"/>
      <w:bookmarkStart w:id="69" w:name="_bookmark63"/>
      <w:bookmarkEnd w:id="69"/>
      <w:r>
        <w:rPr>
          <w:rFonts w:hAnsi="宋体"/>
          <w:b/>
          <w:bCs/>
          <w:snapToGrid w:val="0"/>
          <w:color w:val="auto"/>
          <w:szCs w:val="21"/>
          <w:highlight w:val="none"/>
        </w:rPr>
        <w:t>7.</w:t>
      </w:r>
      <w:r>
        <w:rPr>
          <w:rFonts w:hint="eastAsia" w:hAnsi="宋体"/>
          <w:b/>
          <w:bCs/>
          <w:snapToGrid w:val="0"/>
          <w:color w:val="auto"/>
          <w:szCs w:val="21"/>
          <w:highlight w:val="none"/>
        </w:rPr>
        <w:t>3</w:t>
      </w:r>
      <w:r>
        <w:rPr>
          <w:rFonts w:hAnsi="宋体"/>
          <w:b/>
          <w:bCs/>
          <w:snapToGrid w:val="0"/>
          <w:color w:val="auto"/>
          <w:szCs w:val="21"/>
          <w:highlight w:val="none"/>
        </w:rPr>
        <w:t>中标通知</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7</w:t>
      </w:r>
      <w:r>
        <w:rPr>
          <w:rFonts w:hAnsi="宋体"/>
          <w:snapToGrid w:val="0"/>
          <w:color w:val="auto"/>
          <w:szCs w:val="21"/>
          <w:highlight w:val="none"/>
        </w:rPr>
        <w:t>.</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1中标候选人公示期满，在本章第4.10.1项规定的投标有效期内，</w:t>
      </w:r>
      <w:r>
        <w:rPr>
          <w:rFonts w:hint="eastAsia" w:hAnsi="宋体" w:cs="宋体"/>
          <w:snapToGrid w:val="0"/>
          <w:color w:val="auto"/>
          <w:szCs w:val="21"/>
          <w:highlight w:val="none"/>
        </w:rPr>
        <w:t>招标人以书面形式向中标人发出中标通知书。</w:t>
      </w:r>
    </w:p>
    <w:p>
      <w:pPr>
        <w:snapToGrid w:val="0"/>
        <w:spacing w:line="360" w:lineRule="auto"/>
        <w:jc w:val="center"/>
        <w:outlineLvl w:val="1"/>
        <w:rPr>
          <w:rFonts w:hAnsi="宋体"/>
          <w:bCs/>
          <w:snapToGrid w:val="0"/>
          <w:color w:val="auto"/>
          <w:sz w:val="24"/>
          <w:highlight w:val="none"/>
        </w:rPr>
      </w:pPr>
      <w:bookmarkStart w:id="70" w:name="_bookmark66"/>
      <w:bookmarkEnd w:id="70"/>
      <w:r>
        <w:rPr>
          <w:rFonts w:hint="eastAsia" w:hAnsi="宋体"/>
          <w:b/>
          <w:snapToGrid w:val="0"/>
          <w:color w:val="auto"/>
          <w:sz w:val="24"/>
          <w:highlight w:val="none"/>
        </w:rPr>
        <w:t>8、合同的授予</w:t>
      </w: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8</w:t>
      </w:r>
      <w:r>
        <w:rPr>
          <w:rFonts w:hAnsi="宋体"/>
          <w:b/>
          <w:bCs/>
          <w:snapToGrid w:val="0"/>
          <w:color w:val="auto"/>
          <w:szCs w:val="21"/>
          <w:highlight w:val="none"/>
        </w:rPr>
        <w:t>.</w:t>
      </w:r>
      <w:r>
        <w:rPr>
          <w:rFonts w:hint="eastAsia" w:hAnsi="宋体"/>
          <w:b/>
          <w:bCs/>
          <w:snapToGrid w:val="0"/>
          <w:color w:val="auto"/>
          <w:szCs w:val="21"/>
          <w:highlight w:val="none"/>
        </w:rPr>
        <w:t>1</w:t>
      </w:r>
      <w:r>
        <w:rPr>
          <w:rFonts w:hAnsi="宋体"/>
          <w:b/>
          <w:bCs/>
          <w:snapToGrid w:val="0"/>
          <w:color w:val="auto"/>
          <w:szCs w:val="21"/>
          <w:highlight w:val="none"/>
        </w:rPr>
        <w:t>签订合同</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8.1.1采购人和中标人应当在中标通知书发出之日起30日内，根据招标文件和中标人的投标文件订立书面合同。中标人无正当理由拒签合同，在签订合同时向招标人/采购人提出附加条件，或者不按照招标文件要求提交履约保证金的，以违约处理，招标人/采购人有权取消其中标资格，其投标保证金不予退回，已交履约保证金的，履约保证金不予退还，并赔偿招标人、采购人由此造成的直接经济损失，同时招标人有权将其列入供应商不良行为记录名单（即黑名单），并在二年内拒绝该投标人参与招标人、采购人及其下属全资、控股企业组织开展的任何招标或采购活动。招标人将向其监管部门进行汇报。</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8</w:t>
      </w:r>
      <w:r>
        <w:rPr>
          <w:rFonts w:hAnsi="宋体"/>
          <w:snapToGrid w:val="0"/>
          <w:color w:val="auto"/>
          <w:szCs w:val="21"/>
          <w:highlight w:val="none"/>
        </w:rPr>
        <w:t>.</w:t>
      </w:r>
      <w:r>
        <w:rPr>
          <w:rFonts w:hint="eastAsia" w:hAnsi="宋体"/>
          <w:snapToGrid w:val="0"/>
          <w:color w:val="auto"/>
          <w:szCs w:val="21"/>
          <w:highlight w:val="none"/>
        </w:rPr>
        <w:t>1</w:t>
      </w:r>
      <w:r>
        <w:rPr>
          <w:rFonts w:hAnsi="宋体"/>
          <w:snapToGrid w:val="0"/>
          <w:color w:val="auto"/>
          <w:szCs w:val="21"/>
          <w:highlight w:val="none"/>
        </w:rPr>
        <w:t>.2发出中标通知书后，</w:t>
      </w:r>
      <w:r>
        <w:rPr>
          <w:rFonts w:hint="eastAsia" w:hAnsi="宋体" w:cs="宋体"/>
          <w:snapToGrid w:val="0"/>
          <w:color w:val="auto"/>
          <w:szCs w:val="21"/>
          <w:highlight w:val="none"/>
        </w:rPr>
        <w:t>招标人/采购人</w:t>
      </w:r>
      <w:r>
        <w:rPr>
          <w:rFonts w:hAnsi="宋体"/>
          <w:snapToGrid w:val="0"/>
          <w:color w:val="auto"/>
          <w:szCs w:val="21"/>
          <w:highlight w:val="none"/>
        </w:rPr>
        <w:t>无正当理由拒签合同，或者在签订合同时向中标人提出附加条件的，</w:t>
      </w:r>
      <w:r>
        <w:rPr>
          <w:rFonts w:hint="eastAsia" w:hAnsi="宋体" w:cs="宋体"/>
          <w:snapToGrid w:val="0"/>
          <w:color w:val="auto"/>
          <w:szCs w:val="21"/>
          <w:highlight w:val="none"/>
        </w:rPr>
        <w:t>招标人/采购人</w:t>
      </w:r>
      <w:r>
        <w:rPr>
          <w:rFonts w:hAnsi="宋体"/>
          <w:snapToGrid w:val="0"/>
          <w:color w:val="auto"/>
          <w:szCs w:val="21"/>
          <w:highlight w:val="none"/>
        </w:rPr>
        <w:t>向中标人退还投标保证金；给中标人造成损失的，还应当赔偿损失。</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8</w:t>
      </w:r>
      <w:r>
        <w:rPr>
          <w:rFonts w:hAnsi="宋体"/>
          <w:snapToGrid w:val="0"/>
          <w:color w:val="auto"/>
          <w:szCs w:val="21"/>
          <w:highlight w:val="none"/>
        </w:rPr>
        <w:t>.</w:t>
      </w:r>
      <w:r>
        <w:rPr>
          <w:rFonts w:hint="eastAsia" w:hAnsi="宋体"/>
          <w:snapToGrid w:val="0"/>
          <w:color w:val="auto"/>
          <w:szCs w:val="21"/>
          <w:highlight w:val="none"/>
        </w:rPr>
        <w:t>1</w:t>
      </w:r>
      <w:r>
        <w:rPr>
          <w:rFonts w:hAnsi="宋体"/>
          <w:snapToGrid w:val="0"/>
          <w:color w:val="auto"/>
          <w:szCs w:val="21"/>
          <w:highlight w:val="none"/>
        </w:rPr>
        <w:t>.3联合体中标的，联合体各方应当共同与招标人签订合同，就中标项目向招标人承担连带责任。</w:t>
      </w: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8</w:t>
      </w:r>
      <w:r>
        <w:rPr>
          <w:rFonts w:hAnsi="宋体"/>
          <w:b/>
          <w:bCs/>
          <w:snapToGrid w:val="0"/>
          <w:color w:val="auto"/>
          <w:szCs w:val="21"/>
          <w:highlight w:val="none"/>
        </w:rPr>
        <w:t>.</w:t>
      </w:r>
      <w:r>
        <w:rPr>
          <w:rFonts w:hint="eastAsia" w:hAnsi="宋体"/>
          <w:b/>
          <w:bCs/>
          <w:snapToGrid w:val="0"/>
          <w:color w:val="auto"/>
          <w:szCs w:val="21"/>
          <w:highlight w:val="none"/>
        </w:rPr>
        <w:t>2</w:t>
      </w:r>
      <w:r>
        <w:rPr>
          <w:rFonts w:hAnsi="宋体"/>
          <w:b/>
          <w:bCs/>
          <w:snapToGrid w:val="0"/>
          <w:color w:val="auto"/>
          <w:szCs w:val="21"/>
          <w:highlight w:val="none"/>
        </w:rPr>
        <w:t>履约保证金</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8</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.1在签订合同前，中标人应按投标人须知前附表规定的形式、金额和招标文件第</w:t>
      </w:r>
      <w:r>
        <w:rPr>
          <w:rFonts w:hint="eastAsia" w:hAnsi="宋体"/>
          <w:snapToGrid w:val="0"/>
          <w:color w:val="auto"/>
          <w:szCs w:val="21"/>
          <w:highlight w:val="none"/>
        </w:rPr>
        <w:t>六</w:t>
      </w:r>
      <w:r>
        <w:rPr>
          <w:rFonts w:hAnsi="宋体"/>
          <w:snapToGrid w:val="0"/>
          <w:color w:val="auto"/>
          <w:szCs w:val="21"/>
          <w:highlight w:val="none"/>
        </w:rPr>
        <w:t>章“合同条款及格式”规定的或者事先经过招标人书面认可的履约保证金格式向</w:t>
      </w:r>
      <w:r>
        <w:rPr>
          <w:rFonts w:hint="eastAsia" w:hAnsi="宋体" w:cs="宋体"/>
          <w:snapToGrid w:val="0"/>
          <w:color w:val="auto"/>
          <w:szCs w:val="21"/>
          <w:highlight w:val="none"/>
        </w:rPr>
        <w:t>采购人</w:t>
      </w:r>
      <w:r>
        <w:rPr>
          <w:rFonts w:hAnsi="宋体"/>
          <w:snapToGrid w:val="0"/>
          <w:color w:val="auto"/>
          <w:szCs w:val="21"/>
          <w:highlight w:val="none"/>
        </w:rPr>
        <w:t>提交履约保证金。除投标人须知前附表另有规定外，履约保证金</w:t>
      </w:r>
      <w:r>
        <w:rPr>
          <w:rFonts w:hint="eastAsia" w:hAnsi="宋体"/>
          <w:snapToGrid w:val="0"/>
          <w:color w:val="auto"/>
          <w:szCs w:val="21"/>
          <w:highlight w:val="none"/>
        </w:rPr>
        <w:t>不超过</w:t>
      </w:r>
      <w:r>
        <w:rPr>
          <w:rFonts w:hAnsi="宋体"/>
          <w:snapToGrid w:val="0"/>
          <w:color w:val="auto"/>
          <w:szCs w:val="21"/>
          <w:highlight w:val="none"/>
        </w:rPr>
        <w:t>合同金额的</w:t>
      </w:r>
      <w:r>
        <w:rPr>
          <w:rFonts w:hint="eastAsia" w:hAnsi="宋体"/>
          <w:snapToGrid w:val="0"/>
          <w:color w:val="auto"/>
          <w:szCs w:val="21"/>
          <w:highlight w:val="none"/>
        </w:rPr>
        <w:t>10</w:t>
      </w:r>
      <w:r>
        <w:rPr>
          <w:rFonts w:hAnsi="宋体"/>
          <w:snapToGrid w:val="0"/>
          <w:color w:val="auto"/>
          <w:szCs w:val="21"/>
          <w:highlight w:val="none"/>
        </w:rPr>
        <w:t>%。联合体中标的，其履约保证金以</w:t>
      </w:r>
      <w:r>
        <w:rPr>
          <w:rFonts w:hint="eastAsia" w:hAnsi="宋体"/>
          <w:snapToGrid w:val="0"/>
          <w:color w:val="auto"/>
          <w:szCs w:val="21"/>
          <w:highlight w:val="none"/>
          <w:lang w:eastAsia="zh-CN"/>
        </w:rPr>
        <w:t>联合体</w:t>
      </w:r>
      <w:r>
        <w:rPr>
          <w:rFonts w:hAnsi="宋体"/>
          <w:snapToGrid w:val="0"/>
          <w:color w:val="auto"/>
          <w:szCs w:val="21"/>
          <w:highlight w:val="none"/>
        </w:rPr>
        <w:t>牵头人的名义提交。</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8</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.2中标人不能按本章第</w:t>
      </w:r>
      <w:r>
        <w:rPr>
          <w:rFonts w:hint="eastAsia" w:hAnsi="宋体"/>
          <w:snapToGrid w:val="0"/>
          <w:color w:val="auto"/>
          <w:szCs w:val="21"/>
          <w:highlight w:val="none"/>
        </w:rPr>
        <w:t>8</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.1项要求提交履约保证金的，视为放弃中标，其投标保证金不予退还，给招标人</w:t>
      </w:r>
      <w:r>
        <w:rPr>
          <w:rFonts w:hint="eastAsia" w:hAnsi="宋体"/>
          <w:snapToGrid w:val="0"/>
          <w:color w:val="auto"/>
          <w:szCs w:val="21"/>
          <w:highlight w:val="none"/>
        </w:rPr>
        <w:t>、</w:t>
      </w:r>
      <w:r>
        <w:rPr>
          <w:rFonts w:hint="eastAsia" w:hAnsi="宋体" w:cs="宋体"/>
          <w:snapToGrid w:val="0"/>
          <w:color w:val="auto"/>
          <w:szCs w:val="21"/>
          <w:highlight w:val="none"/>
        </w:rPr>
        <w:t>采购人</w:t>
      </w:r>
      <w:r>
        <w:rPr>
          <w:rFonts w:hAnsi="宋体"/>
          <w:snapToGrid w:val="0"/>
          <w:color w:val="auto"/>
          <w:szCs w:val="21"/>
          <w:highlight w:val="none"/>
        </w:rPr>
        <w:t>造成的损失超过投标保证金数额的，中标人还应当对超过部分予以赔偿。</w:t>
      </w:r>
    </w:p>
    <w:p>
      <w:pPr>
        <w:snapToGrid w:val="0"/>
        <w:spacing w:line="360" w:lineRule="auto"/>
        <w:jc w:val="center"/>
        <w:outlineLvl w:val="1"/>
        <w:rPr>
          <w:rFonts w:hAnsi="宋体"/>
          <w:b/>
          <w:snapToGrid w:val="0"/>
          <w:color w:val="auto"/>
          <w:sz w:val="24"/>
          <w:highlight w:val="none"/>
        </w:rPr>
      </w:pPr>
      <w:r>
        <w:rPr>
          <w:rFonts w:hint="eastAsia" w:hAnsi="宋体"/>
          <w:b/>
          <w:snapToGrid w:val="0"/>
          <w:color w:val="auto"/>
          <w:sz w:val="24"/>
          <w:highlight w:val="none"/>
        </w:rPr>
        <w:t>9、招标失败</w:t>
      </w:r>
      <w:bookmarkStart w:id="71" w:name="_Toc220123242"/>
      <w:bookmarkStart w:id="72" w:name="_Toc219809802"/>
      <w:bookmarkStart w:id="73" w:name="_Toc15553"/>
    </w:p>
    <w:p>
      <w:pPr>
        <w:snapToGrid w:val="0"/>
        <w:spacing w:line="360" w:lineRule="auto"/>
        <w:outlineLvl w:val="1"/>
        <w:rPr>
          <w:rFonts w:hAnsi="宋体"/>
          <w:b/>
          <w:bCs/>
          <w:snapToGrid w:val="0"/>
          <w:color w:val="auto"/>
          <w:szCs w:val="21"/>
          <w:highlight w:val="none"/>
        </w:rPr>
      </w:pPr>
      <w:r>
        <w:rPr>
          <w:rFonts w:hint="eastAsia" w:hAnsi="宋体"/>
          <w:b/>
          <w:bCs/>
          <w:snapToGrid w:val="0"/>
          <w:color w:val="auto"/>
          <w:szCs w:val="21"/>
          <w:highlight w:val="none"/>
        </w:rPr>
        <w:t>9</w:t>
      </w:r>
      <w:r>
        <w:rPr>
          <w:rFonts w:hAnsi="宋体"/>
          <w:b/>
          <w:bCs/>
          <w:snapToGrid w:val="0"/>
          <w:color w:val="auto"/>
          <w:szCs w:val="21"/>
          <w:highlight w:val="none"/>
        </w:rPr>
        <w:t xml:space="preserve">.1 </w:t>
      </w:r>
      <w:r>
        <w:rPr>
          <w:rFonts w:hint="eastAsia" w:hAnsi="宋体"/>
          <w:b/>
          <w:bCs/>
          <w:snapToGrid w:val="0"/>
          <w:color w:val="auto"/>
          <w:szCs w:val="21"/>
          <w:highlight w:val="none"/>
        </w:rPr>
        <w:t>招标</w:t>
      </w:r>
      <w:bookmarkEnd w:id="71"/>
      <w:bookmarkEnd w:id="72"/>
      <w:bookmarkEnd w:id="73"/>
      <w:r>
        <w:rPr>
          <w:rFonts w:hint="eastAsia" w:hAnsi="宋体"/>
          <w:b/>
          <w:bCs/>
          <w:snapToGrid w:val="0"/>
          <w:color w:val="auto"/>
          <w:szCs w:val="21"/>
          <w:highlight w:val="none"/>
        </w:rPr>
        <w:t>失败</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9</w:t>
      </w:r>
      <w:r>
        <w:rPr>
          <w:rFonts w:hAnsi="宋体"/>
          <w:snapToGrid w:val="0"/>
          <w:color w:val="auto"/>
          <w:szCs w:val="21"/>
          <w:highlight w:val="none"/>
        </w:rPr>
        <w:t>.</w:t>
      </w:r>
      <w:r>
        <w:rPr>
          <w:rFonts w:hint="eastAsia" w:hAnsi="宋体"/>
          <w:snapToGrid w:val="0"/>
          <w:color w:val="auto"/>
          <w:szCs w:val="21"/>
          <w:highlight w:val="none"/>
        </w:rPr>
        <w:t>1</w:t>
      </w:r>
      <w:r>
        <w:rPr>
          <w:rFonts w:hAnsi="宋体"/>
          <w:snapToGrid w:val="0"/>
          <w:color w:val="auto"/>
          <w:szCs w:val="21"/>
          <w:highlight w:val="none"/>
        </w:rPr>
        <w:t>.</w:t>
      </w:r>
      <w:r>
        <w:rPr>
          <w:rFonts w:hint="eastAsia" w:hAnsi="宋体"/>
          <w:snapToGrid w:val="0"/>
          <w:color w:val="auto"/>
          <w:szCs w:val="21"/>
          <w:highlight w:val="none"/>
        </w:rPr>
        <w:t>1</w:t>
      </w:r>
      <w:r>
        <w:rPr>
          <w:rFonts w:hAnsi="宋体"/>
          <w:snapToGrid w:val="0"/>
          <w:color w:val="auto"/>
          <w:szCs w:val="21"/>
          <w:highlight w:val="none"/>
        </w:rPr>
        <w:t>有下列情形之一的，</w:t>
      </w:r>
      <w:r>
        <w:rPr>
          <w:rFonts w:hint="eastAsia" w:hAnsi="宋体"/>
          <w:snapToGrid w:val="0"/>
          <w:color w:val="auto"/>
          <w:szCs w:val="21"/>
          <w:highlight w:val="none"/>
        </w:rPr>
        <w:t>本次项目招标失败：</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（1）</w:t>
      </w:r>
      <w:r>
        <w:rPr>
          <w:rFonts w:hint="eastAsia" w:hAnsi="宋体"/>
          <w:snapToGrid w:val="0"/>
          <w:color w:val="auto"/>
          <w:szCs w:val="21"/>
          <w:highlight w:val="none"/>
        </w:rPr>
        <w:t>招标文件的内容不符合法律法规的规定或存在重大缺陷影响潜在投标人投标的；</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（2）至</w:t>
      </w:r>
      <w:r>
        <w:rPr>
          <w:rFonts w:hAnsi="宋体"/>
          <w:snapToGrid w:val="0"/>
          <w:color w:val="auto"/>
          <w:szCs w:val="21"/>
          <w:highlight w:val="none"/>
        </w:rPr>
        <w:t>投标截止时间，投标人</w:t>
      </w:r>
      <w:r>
        <w:rPr>
          <w:rFonts w:hint="eastAsia" w:hAnsi="宋体"/>
          <w:snapToGrid w:val="0"/>
          <w:color w:val="auto"/>
          <w:szCs w:val="21"/>
          <w:highlight w:val="none"/>
        </w:rPr>
        <w:t>数不足</w:t>
      </w:r>
      <w:r>
        <w:rPr>
          <w:rFonts w:hAnsi="宋体"/>
          <w:snapToGrid w:val="0"/>
          <w:color w:val="auto"/>
          <w:szCs w:val="21"/>
          <w:highlight w:val="none"/>
        </w:rPr>
        <w:t>3</w:t>
      </w:r>
      <w:r>
        <w:rPr>
          <w:rFonts w:hint="eastAsia" w:hAnsi="宋体"/>
          <w:snapToGrid w:val="0"/>
          <w:color w:val="auto"/>
          <w:szCs w:val="21"/>
          <w:highlight w:val="none"/>
        </w:rPr>
        <w:t>家</w:t>
      </w:r>
      <w:r>
        <w:rPr>
          <w:rFonts w:hAnsi="宋体"/>
          <w:snapToGrid w:val="0"/>
          <w:color w:val="auto"/>
          <w:szCs w:val="21"/>
          <w:highlight w:val="none"/>
        </w:rPr>
        <w:t>的；</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3</w:t>
      </w:r>
      <w:r>
        <w:rPr>
          <w:rFonts w:hAnsi="宋体"/>
          <w:snapToGrid w:val="0"/>
          <w:color w:val="auto"/>
          <w:szCs w:val="21"/>
          <w:highlight w:val="none"/>
        </w:rPr>
        <w:t>）经评标委员会评审后</w:t>
      </w:r>
      <w:r>
        <w:rPr>
          <w:rFonts w:hint="eastAsia" w:hAnsi="宋体"/>
          <w:snapToGrid w:val="0"/>
          <w:color w:val="auto"/>
          <w:szCs w:val="21"/>
          <w:highlight w:val="none"/>
        </w:rPr>
        <w:t>否决所有投标</w:t>
      </w:r>
      <w:r>
        <w:rPr>
          <w:rFonts w:hAnsi="宋体"/>
          <w:snapToGrid w:val="0"/>
          <w:color w:val="auto"/>
          <w:szCs w:val="21"/>
          <w:highlight w:val="none"/>
        </w:rPr>
        <w:t>的</w:t>
      </w:r>
      <w:r>
        <w:rPr>
          <w:rFonts w:hint="eastAsia"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（4）中标候选人放弃中标或不符合中标条件，招标人未选择其余中标候选人的。</w:t>
      </w:r>
    </w:p>
    <w:p>
      <w:pPr>
        <w:snapToGrid w:val="0"/>
        <w:spacing w:line="360" w:lineRule="auto"/>
        <w:jc w:val="center"/>
        <w:outlineLvl w:val="1"/>
        <w:rPr>
          <w:rFonts w:hAnsi="宋体"/>
          <w:b/>
          <w:snapToGrid w:val="0"/>
          <w:color w:val="auto"/>
          <w:sz w:val="24"/>
          <w:highlight w:val="none"/>
        </w:rPr>
      </w:pPr>
      <w:bookmarkStart w:id="74" w:name="_bookmark62"/>
      <w:bookmarkEnd w:id="74"/>
      <w:bookmarkStart w:id="75" w:name="_bookmark65"/>
      <w:bookmarkEnd w:id="75"/>
      <w:bookmarkStart w:id="76" w:name="_Toc220123244"/>
      <w:bookmarkStart w:id="77" w:name="_Toc2986"/>
      <w:bookmarkStart w:id="78" w:name="_Toc215941254"/>
      <w:bookmarkStart w:id="79" w:name="_Toc219809804"/>
      <w:r>
        <w:rPr>
          <w:rFonts w:hint="eastAsia" w:hAnsi="宋体"/>
          <w:b/>
          <w:snapToGrid w:val="0"/>
          <w:color w:val="auto"/>
          <w:sz w:val="24"/>
          <w:highlight w:val="none"/>
        </w:rPr>
        <w:t>10、异议、投</w:t>
      </w:r>
      <w:bookmarkEnd w:id="76"/>
      <w:bookmarkEnd w:id="77"/>
      <w:bookmarkEnd w:id="78"/>
      <w:bookmarkEnd w:id="79"/>
      <w:r>
        <w:rPr>
          <w:rFonts w:hint="eastAsia" w:hAnsi="宋体"/>
          <w:b/>
          <w:snapToGrid w:val="0"/>
          <w:color w:val="auto"/>
          <w:sz w:val="24"/>
          <w:highlight w:val="none"/>
        </w:rPr>
        <w:t>诉、监督</w:t>
      </w: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10</w:t>
      </w:r>
      <w:r>
        <w:rPr>
          <w:rFonts w:hAnsi="宋体"/>
          <w:b/>
          <w:bCs/>
          <w:snapToGrid w:val="0"/>
          <w:color w:val="auto"/>
          <w:szCs w:val="21"/>
          <w:highlight w:val="none"/>
        </w:rPr>
        <w:t>.</w:t>
      </w:r>
      <w:r>
        <w:rPr>
          <w:rFonts w:hint="eastAsia" w:hAnsi="宋体"/>
          <w:b/>
          <w:bCs/>
          <w:snapToGrid w:val="0"/>
          <w:color w:val="auto"/>
          <w:szCs w:val="21"/>
          <w:highlight w:val="none"/>
        </w:rPr>
        <w:t>1异议</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10.1.1投标人或者其他利害关系人对招标文件有异议的，应当在投标截止时间10日前以书面形式提出。招标人将在收到异议之日起3日内作出答复；作出答复前，将暂停招标投标活动。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10.1.2投标人对开标有异议的，应当在开标会议结束前在线提出，招标人当场作出答复，并制作记录。</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10.1.3投标人或者其他利害关系人对评标结果有异议的，应当在中标候选人公示期间提出。招标人将在收到异议之日起3日内作出答复；作出答复前，将暂停招标投标活动。</w:t>
      </w:r>
    </w:p>
    <w:p>
      <w:pPr>
        <w:pStyle w:val="314"/>
        <w:spacing w:line="360" w:lineRule="auto"/>
        <w:ind w:left="0" w:firstLine="420" w:firstLineChars="200"/>
        <w:rPr>
          <w:rFonts w:ascii="宋体" w:hAnsi="宋体"/>
          <w:snapToGrid w:val="0"/>
          <w:color w:val="auto"/>
          <w:sz w:val="21"/>
          <w:szCs w:val="21"/>
          <w:highlight w:val="none"/>
        </w:rPr>
      </w:pPr>
      <w:r>
        <w:rPr>
          <w:rFonts w:hint="eastAsia" w:ascii="宋体" w:hAnsi="宋体"/>
          <w:snapToGrid w:val="0"/>
          <w:color w:val="auto"/>
          <w:sz w:val="21"/>
          <w:szCs w:val="21"/>
          <w:highlight w:val="none"/>
        </w:rPr>
        <w:t>10.1.4异议书须包括以下内容（加盖单位公章）：</w:t>
      </w:r>
    </w:p>
    <w:p>
      <w:pPr>
        <w:pStyle w:val="314"/>
        <w:spacing w:line="360" w:lineRule="auto"/>
        <w:ind w:left="0" w:firstLine="420" w:firstLineChars="200"/>
        <w:rPr>
          <w:rFonts w:ascii="宋体" w:hAnsi="宋体"/>
          <w:snapToGrid w:val="0"/>
          <w:color w:val="auto"/>
          <w:sz w:val="21"/>
          <w:szCs w:val="21"/>
          <w:highlight w:val="none"/>
        </w:rPr>
      </w:pPr>
      <w:r>
        <w:rPr>
          <w:rFonts w:hint="eastAsia" w:ascii="宋体" w:hAnsi="宋体"/>
          <w:snapToGrid w:val="0"/>
          <w:color w:val="auto"/>
          <w:sz w:val="21"/>
          <w:szCs w:val="21"/>
          <w:highlight w:val="none"/>
        </w:rPr>
        <w:t>（1）异议人的名称、地址、邮政编码、联系人、联系电话，以及被异议人名称及联系方式；</w:t>
      </w:r>
    </w:p>
    <w:p>
      <w:pPr>
        <w:pStyle w:val="314"/>
        <w:spacing w:line="360" w:lineRule="auto"/>
        <w:ind w:left="0" w:firstLine="420" w:firstLineChars="200"/>
        <w:rPr>
          <w:rFonts w:ascii="宋体" w:hAnsi="宋体"/>
          <w:snapToGrid w:val="0"/>
          <w:color w:val="auto"/>
          <w:sz w:val="21"/>
          <w:szCs w:val="21"/>
          <w:highlight w:val="none"/>
        </w:rPr>
      </w:pPr>
      <w:r>
        <w:rPr>
          <w:rFonts w:hint="eastAsia" w:ascii="宋体" w:hAnsi="宋体"/>
          <w:snapToGrid w:val="0"/>
          <w:color w:val="auto"/>
          <w:sz w:val="21"/>
          <w:szCs w:val="21"/>
          <w:highlight w:val="none"/>
        </w:rPr>
        <w:t>（2）被异议采购项目名称、编号及采购内容；</w:t>
      </w:r>
    </w:p>
    <w:p>
      <w:pPr>
        <w:pStyle w:val="314"/>
        <w:spacing w:line="360" w:lineRule="auto"/>
        <w:ind w:left="0" w:firstLine="420" w:firstLineChars="200"/>
        <w:rPr>
          <w:rFonts w:ascii="宋体" w:hAnsi="宋体"/>
          <w:snapToGrid w:val="0"/>
          <w:color w:val="auto"/>
          <w:sz w:val="21"/>
          <w:szCs w:val="21"/>
          <w:highlight w:val="none"/>
        </w:rPr>
      </w:pPr>
      <w:r>
        <w:rPr>
          <w:rFonts w:hint="eastAsia" w:ascii="宋体" w:hAnsi="宋体"/>
          <w:snapToGrid w:val="0"/>
          <w:color w:val="auto"/>
          <w:sz w:val="21"/>
          <w:szCs w:val="21"/>
          <w:highlight w:val="none"/>
        </w:rPr>
        <w:t>（3）具体的异议事项及事实依据；</w:t>
      </w:r>
    </w:p>
    <w:p>
      <w:pPr>
        <w:pStyle w:val="314"/>
        <w:spacing w:line="360" w:lineRule="auto"/>
        <w:ind w:left="0" w:firstLine="420" w:firstLineChars="200"/>
        <w:rPr>
          <w:rFonts w:ascii="宋体" w:hAnsi="宋体"/>
          <w:snapToGrid w:val="0"/>
          <w:color w:val="auto"/>
          <w:sz w:val="21"/>
          <w:szCs w:val="21"/>
          <w:highlight w:val="none"/>
        </w:rPr>
      </w:pPr>
      <w:r>
        <w:rPr>
          <w:rFonts w:hint="eastAsia" w:ascii="宋体" w:hAnsi="宋体"/>
          <w:snapToGrid w:val="0"/>
          <w:color w:val="auto"/>
          <w:sz w:val="21"/>
          <w:szCs w:val="21"/>
          <w:highlight w:val="none"/>
        </w:rPr>
        <w:t>（4）认为自己合法权益受到损害或可能受到损害的相关证据材料；</w:t>
      </w:r>
    </w:p>
    <w:p>
      <w:pPr>
        <w:pStyle w:val="314"/>
        <w:spacing w:line="360" w:lineRule="auto"/>
        <w:ind w:left="0" w:firstLine="420" w:firstLineChars="200"/>
        <w:rPr>
          <w:color w:val="auto"/>
          <w:highlight w:val="none"/>
        </w:rPr>
      </w:pPr>
      <w:r>
        <w:rPr>
          <w:rFonts w:hint="eastAsia" w:ascii="宋体" w:hAnsi="宋体"/>
          <w:snapToGrid w:val="0"/>
          <w:color w:val="auto"/>
          <w:sz w:val="21"/>
          <w:szCs w:val="21"/>
          <w:highlight w:val="none"/>
        </w:rPr>
        <w:t>（5）提出异议的日期。</w:t>
      </w:r>
    </w:p>
    <w:p>
      <w:pPr>
        <w:keepNext/>
        <w:keepLines/>
        <w:adjustRightInd w:val="0"/>
        <w:snapToGrid w:val="0"/>
        <w:jc w:val="left"/>
        <w:outlineLvl w:val="2"/>
        <w:rPr>
          <w:rFonts w:hAnsi="宋体"/>
          <w:b/>
          <w:bCs/>
          <w:snapToGrid w:val="0"/>
          <w:color w:val="auto"/>
          <w:szCs w:val="21"/>
          <w:highlight w:val="none"/>
        </w:rPr>
      </w:pP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10.2投诉</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10.2.1投标人或者其他利害关系人认为招标投标活动不符合法律、行政法规规定的，可以自知道或者应当知道之日起10日内向有关行政监督部门投诉。投诉应当有明确的请求和必要的证明材料。</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10.2.2投标人或者其他利害关系人对招标文件、开标和评标结果提出投诉的，应当按照投标人须知第10.1款的规定先向招标人提出异议。异议答复期间不计算在第10.2.1项规定的期限内。</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10.2.3</w:t>
      </w:r>
      <w:r>
        <w:rPr>
          <w:rFonts w:hint="eastAsia" w:hAnsi="宋体" w:cs="宋体"/>
          <w:snapToGrid w:val="0"/>
          <w:color w:val="auto"/>
          <w:szCs w:val="21"/>
          <w:highlight w:val="none"/>
        </w:rPr>
        <w:t>投标人对招标人的异议答复不满意或者招标人未在规定时间内作出答复的，可以在答复期满后十五个工作日内向监管部门投诉。</w:t>
      </w: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10.3纪律和监督</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20" w:firstLineChars="200"/>
        <w:rPr>
          <w:rFonts w:hAnsi="宋体"/>
          <w:snapToGrid w:val="0"/>
          <w:color w:val="auto"/>
          <w:szCs w:val="21"/>
          <w:highlight w:val="none"/>
        </w:rPr>
      </w:pPr>
      <w:bookmarkStart w:id="80" w:name="_bookmark69"/>
      <w:bookmarkEnd w:id="80"/>
      <w:r>
        <w:rPr>
          <w:rFonts w:hint="eastAsia" w:hAnsi="宋体"/>
          <w:snapToGrid w:val="0"/>
          <w:color w:val="auto"/>
          <w:szCs w:val="21"/>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81" w:name="_bookmark70"/>
      <w:bookmarkEnd w:id="81"/>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20" w:firstLineChars="200"/>
        <w:rPr>
          <w:rFonts w:hAnsi="宋体"/>
          <w:snapToGrid w:val="0"/>
          <w:color w:val="auto"/>
          <w:szCs w:val="21"/>
          <w:highlight w:val="none"/>
        </w:rPr>
      </w:pPr>
      <w:bookmarkStart w:id="82" w:name="_bookmark71"/>
      <w:bookmarkEnd w:id="82"/>
      <w:r>
        <w:rPr>
          <w:rFonts w:hint="eastAsia" w:hAnsi="宋体"/>
          <w:snapToGrid w:val="0"/>
          <w:color w:val="auto"/>
          <w:szCs w:val="21"/>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jc w:val="center"/>
        <w:outlineLvl w:val="1"/>
        <w:rPr>
          <w:rFonts w:hAnsi="宋体"/>
          <w:b/>
          <w:snapToGrid w:val="0"/>
          <w:color w:val="auto"/>
          <w:sz w:val="24"/>
          <w:highlight w:val="none"/>
        </w:rPr>
      </w:pPr>
      <w:bookmarkStart w:id="83" w:name="_bookmark73"/>
      <w:bookmarkEnd w:id="83"/>
      <w:bookmarkStart w:id="84" w:name="_bookmark72"/>
      <w:bookmarkEnd w:id="84"/>
      <w:bookmarkStart w:id="85" w:name="_bookmark74"/>
      <w:bookmarkEnd w:id="85"/>
      <w:r>
        <w:rPr>
          <w:rFonts w:hint="eastAsia" w:hAnsi="宋体"/>
          <w:b/>
          <w:snapToGrid w:val="0"/>
          <w:color w:val="auto"/>
          <w:sz w:val="24"/>
          <w:highlight w:val="none"/>
        </w:rPr>
        <w:t>11、</w:t>
      </w:r>
      <w:r>
        <w:rPr>
          <w:rFonts w:hAnsi="宋体"/>
          <w:b/>
          <w:snapToGrid w:val="0"/>
          <w:color w:val="auto"/>
          <w:sz w:val="24"/>
          <w:highlight w:val="none"/>
        </w:rPr>
        <w:t>需要补充的其他内容</w:t>
      </w: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11.1需要补充的其他内容</w:t>
      </w:r>
    </w:p>
    <w:p>
      <w:pPr>
        <w:adjustRightInd w:val="0"/>
        <w:snapToGrid w:val="0"/>
        <w:spacing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11.1.1需要补充的其他内容：见投标人须知前附表。</w:t>
      </w:r>
    </w:p>
    <w:p>
      <w:pPr>
        <w:spacing w:line="440" w:lineRule="exact"/>
        <w:jc w:val="center"/>
        <w:rPr>
          <w:rFonts w:hAnsi="宋体" w:cs="宋体"/>
          <w:b/>
          <w:color w:val="auto"/>
          <w:sz w:val="28"/>
          <w:szCs w:val="28"/>
          <w:highlight w:val="none"/>
        </w:rPr>
      </w:pPr>
    </w:p>
    <w:bookmarkEnd w:id="26"/>
    <w:bookmarkEnd w:id="27"/>
    <w:bookmarkEnd w:id="28"/>
    <w:bookmarkEnd w:id="29"/>
    <w:bookmarkEnd w:id="30"/>
    <w:bookmarkEnd w:id="31"/>
    <w:bookmarkEnd w:id="32"/>
    <w:bookmarkEnd w:id="33"/>
    <w:p>
      <w:pPr>
        <w:jc w:val="center"/>
        <w:outlineLvl w:val="0"/>
        <w:rPr>
          <w:rFonts w:hint="eastAsia" w:hAnsi="宋体" w:cs="宋体"/>
          <w:b/>
          <w:color w:val="auto"/>
          <w:spacing w:val="15"/>
          <w:sz w:val="36"/>
          <w:highlight w:val="none"/>
        </w:rPr>
        <w:sectPr>
          <w:headerReference r:id="rId12" w:type="default"/>
          <w:footerReference r:id="rId13" w:type="default"/>
          <w:pgSz w:w="12189" w:h="16441"/>
          <w:pgMar w:top="1417" w:right="1417" w:bottom="1417" w:left="1417" w:header="850" w:footer="959" w:gutter="0"/>
          <w:pgBorders>
            <w:top w:val="none" w:sz="0" w:space="0"/>
            <w:left w:val="none" w:sz="0" w:space="0"/>
            <w:bottom w:val="none" w:sz="0" w:space="0"/>
            <w:right w:val="none" w:sz="0" w:space="0"/>
          </w:pgBorders>
          <w:pgNumType w:fmt="decimal"/>
          <w:cols w:space="720" w:num="1"/>
        </w:sectPr>
      </w:pPr>
      <w:bookmarkStart w:id="86" w:name="_Toc6041"/>
      <w:bookmarkStart w:id="87" w:name="_Toc26271822"/>
      <w:bookmarkStart w:id="88" w:name="_Toc13113"/>
    </w:p>
    <w:p>
      <w:pPr>
        <w:jc w:val="center"/>
        <w:outlineLvl w:val="0"/>
        <w:rPr>
          <w:rFonts w:hAnsi="宋体" w:cs="宋体"/>
          <w:b/>
          <w:color w:val="auto"/>
          <w:spacing w:val="15"/>
          <w:sz w:val="36"/>
          <w:highlight w:val="none"/>
        </w:rPr>
      </w:pPr>
      <w:r>
        <w:rPr>
          <w:rFonts w:hint="eastAsia" w:hAnsi="宋体" w:cs="宋体"/>
          <w:b/>
          <w:color w:val="auto"/>
          <w:spacing w:val="15"/>
          <w:sz w:val="36"/>
          <w:highlight w:val="none"/>
        </w:rPr>
        <w:t xml:space="preserve">第三章 </w:t>
      </w:r>
      <w:bookmarkStart w:id="89" w:name="_Toc8233183"/>
      <w:bookmarkStart w:id="90" w:name="_Toc187203415"/>
      <w:r>
        <w:rPr>
          <w:rFonts w:hint="eastAsia" w:hAnsi="宋体" w:cs="宋体"/>
          <w:b/>
          <w:color w:val="auto"/>
          <w:spacing w:val="15"/>
          <w:sz w:val="36"/>
          <w:highlight w:val="none"/>
        </w:rPr>
        <w:t>用户需求书</w:t>
      </w:r>
      <w:bookmarkEnd w:id="86"/>
    </w:p>
    <w:bookmarkEnd w:id="89"/>
    <w:bookmarkEnd w:id="90"/>
    <w:p>
      <w:pPr>
        <w:adjustRightInd w:val="0"/>
        <w:snapToGrid w:val="0"/>
        <w:spacing w:line="360" w:lineRule="auto"/>
        <w:ind w:firstLine="422" w:firstLineChars="200"/>
        <w:rPr>
          <w:rFonts w:ascii="新宋体" w:hAnsi="新宋体" w:eastAsia="新宋体" w:cs="新宋体"/>
          <w:b/>
          <w:bCs/>
          <w:color w:val="auto"/>
          <w:sz w:val="22"/>
          <w:szCs w:val="22"/>
          <w:highlight w:val="none"/>
          <w:lang w:bidi="ar"/>
        </w:rPr>
      </w:pPr>
      <w:r>
        <w:rPr>
          <w:rFonts w:hint="eastAsia" w:hAnsi="宋体" w:cs="宋体"/>
          <w:b/>
          <w:bCs/>
          <w:snapToGrid w:val="0"/>
          <w:color w:val="auto"/>
          <w:szCs w:val="21"/>
          <w:highlight w:val="none"/>
        </w:rPr>
        <w:t>一、招标采购内容</w:t>
      </w:r>
    </w:p>
    <w:p>
      <w:pPr>
        <w:pStyle w:val="86"/>
        <w:spacing w:after="0" w:line="360" w:lineRule="auto"/>
        <w:ind w:firstLineChars="200"/>
        <w:rPr>
          <w:rFonts w:ascii="宋体" w:cs="宋体"/>
          <w:color w:val="auto"/>
          <w:sz w:val="21"/>
          <w:szCs w:val="21"/>
          <w:highlight w:val="none"/>
        </w:rPr>
      </w:pPr>
      <w:r>
        <w:rPr>
          <w:rFonts w:hint="eastAsia" w:ascii="宋体" w:cs="宋体"/>
          <w:color w:val="auto"/>
          <w:sz w:val="21"/>
          <w:szCs w:val="21"/>
          <w:highlight w:val="none"/>
        </w:rPr>
        <w:t>本次采购生活垃圾焚烧发电项目炉渣综合处置服务，炉渣产量约29万吨/年</w:t>
      </w:r>
      <w:r>
        <w:rPr>
          <w:rFonts w:hint="eastAsia" w:cs="宋体"/>
          <w:color w:val="auto"/>
          <w:szCs w:val="21"/>
          <w:highlight w:val="none"/>
          <w:lang w:eastAsia="zh-CN"/>
        </w:rPr>
        <w:t>（</w:t>
      </w:r>
      <w:r>
        <w:rPr>
          <w:rFonts w:hint="eastAsia" w:cs="宋体"/>
          <w:color w:val="auto"/>
          <w:szCs w:val="21"/>
          <w:highlight w:val="none"/>
          <w:lang w:val="en-US" w:eastAsia="zh-CN"/>
        </w:rPr>
        <w:t>为暂估数量，具体按实结算）</w:t>
      </w:r>
      <w:r>
        <w:rPr>
          <w:rFonts w:hint="eastAsia" w:ascii="宋体" w:cs="宋体"/>
          <w:color w:val="auto"/>
          <w:sz w:val="21"/>
          <w:szCs w:val="21"/>
          <w:highlight w:val="none"/>
        </w:rPr>
        <w:t>。服务期限：本项目服务期限为二年，合同一年一签。每一年合同期满前，采购人进行考核，考核不合格的，采购人有权不签署下一年合同。</w:t>
      </w:r>
    </w:p>
    <w:p>
      <w:pPr>
        <w:adjustRightInd w:val="0"/>
        <w:snapToGrid w:val="0"/>
        <w:spacing w:line="360" w:lineRule="auto"/>
        <w:ind w:firstLine="422" w:firstLineChars="200"/>
        <w:rPr>
          <w:rFonts w:hAnsi="宋体" w:cs="宋体"/>
          <w:b/>
          <w:bCs/>
          <w:snapToGrid w:val="0"/>
          <w:color w:val="auto"/>
          <w:szCs w:val="21"/>
          <w:highlight w:val="none"/>
        </w:rPr>
      </w:pPr>
      <w:r>
        <w:rPr>
          <w:rFonts w:hint="eastAsia" w:hAnsi="宋体" w:cs="宋体"/>
          <w:b/>
          <w:bCs/>
          <w:snapToGrid w:val="0"/>
          <w:color w:val="auto"/>
          <w:szCs w:val="21"/>
          <w:highlight w:val="none"/>
        </w:rPr>
        <w:t>二、炉渣资源化项目情况概述</w:t>
      </w:r>
    </w:p>
    <w:p>
      <w:pPr>
        <w:spacing w:line="360" w:lineRule="auto"/>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1.项目地址：浙江省杭州市钱塘区临江街道红十五线与观十五线交叉口。</w:t>
      </w:r>
    </w:p>
    <w:p>
      <w:pPr>
        <w:adjustRightInd w:val="0"/>
        <w:snapToGrid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项目规模：炉渣资源化项目（炉渣厂）位于杭州临江循环经济（静脉）产业园内，建筑面积15776平方米，建筑高度19.1米，于2021年12月20日开工建设，2022年9月17日投产运行。建设规模：日处理生活垃圾焚烧炉渣1600吨，设置两套相同规模炉渣处理系统（单套800</w:t>
      </w:r>
      <w:r>
        <w:rPr>
          <w:rFonts w:hint="eastAsia" w:asciiTheme="minorEastAsia" w:hAnsiTheme="minorEastAsia" w:eastAsiaTheme="minorEastAsia" w:cstheme="minorEastAsia"/>
          <w:bCs/>
          <w:color w:val="auto"/>
          <w:szCs w:val="21"/>
          <w:highlight w:val="none"/>
          <w:lang w:val="en-US" w:eastAsia="zh-CN"/>
        </w:rPr>
        <w:t>吨</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Cs/>
          <w:color w:val="auto"/>
          <w:szCs w:val="21"/>
          <w:highlight w:val="none"/>
          <w:lang w:val="en-US" w:eastAsia="zh-CN"/>
        </w:rPr>
        <w:t>天</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。炉渣综合处理车间分为办公管理区、原料炉渣存放区、炉渣分选处理区、水处理区、金属收集区及成品环保</w:t>
      </w:r>
      <w:r>
        <w:rPr>
          <w:rFonts w:hint="eastAsia" w:asciiTheme="minorEastAsia" w:hAnsiTheme="minorEastAsia" w:eastAsiaTheme="minorEastAsia" w:cstheme="minorEastAsia"/>
          <w:bCs/>
          <w:color w:val="auto"/>
          <w:szCs w:val="21"/>
          <w:highlight w:val="none"/>
          <w:lang w:val="en-US" w:eastAsia="zh-CN"/>
        </w:rPr>
        <w:t>砂</w:t>
      </w:r>
      <w:r>
        <w:rPr>
          <w:rFonts w:hint="eastAsia" w:asciiTheme="minorEastAsia" w:hAnsiTheme="minorEastAsia" w:eastAsiaTheme="minorEastAsia" w:cstheme="minorEastAsia"/>
          <w:bCs/>
          <w:color w:val="auto"/>
          <w:szCs w:val="21"/>
          <w:highlight w:val="none"/>
        </w:rPr>
        <w:t>料区等区域。办公管理区一层设置门厅、展示陈列区、办公室、会议室、中控室、高低压配电间、休闲活动区、备品备件间等：二层设置多媒体展厅和陈列展厅，通过展厅落地窗可以参观炉渣分选处理车间。中控室可控制整个生产线设备，具有安全可靠、智能诊断、智能控制、数据追溯、数据管理，另外系统还具有远程诊断和维护等功能。</w:t>
      </w:r>
    </w:p>
    <w:p>
      <w:pPr>
        <w:keepNext/>
        <w:keepLines/>
        <w:numPr>
          <w:ilvl w:val="1"/>
          <w:numId w:val="0"/>
        </w:numPr>
        <w:spacing w:line="360" w:lineRule="auto"/>
        <w:ind w:firstLine="420" w:firstLineChars="200"/>
        <w:outlineLvl w:val="1"/>
        <w:rPr>
          <w:rFonts w:asciiTheme="minorEastAsia" w:hAnsiTheme="minorEastAsia" w:eastAsiaTheme="minorEastAsia" w:cstheme="minorEastAsia"/>
          <w:b/>
          <w:bCs/>
          <w:color w:val="auto"/>
          <w:szCs w:val="21"/>
          <w:highlight w:val="none"/>
          <w:lang w:bidi="ar"/>
        </w:rPr>
      </w:pPr>
      <w:r>
        <w:rPr>
          <w:rFonts w:hint="eastAsia" w:asciiTheme="minorEastAsia" w:hAnsiTheme="minorEastAsia" w:eastAsiaTheme="minorEastAsia" w:cstheme="minorEastAsia"/>
          <w:bCs/>
          <w:color w:val="auto"/>
          <w:szCs w:val="21"/>
          <w:highlight w:val="none"/>
        </w:rPr>
        <w:t>3.项目工艺：</w:t>
      </w:r>
      <w:r>
        <w:rPr>
          <w:rFonts w:hint="eastAsia" w:asciiTheme="minorEastAsia" w:hAnsiTheme="minorEastAsia" w:eastAsiaTheme="minorEastAsia" w:cstheme="minorEastAsia"/>
          <w:color w:val="auto"/>
          <w:szCs w:val="21"/>
          <w:highlight w:val="none"/>
        </w:rPr>
        <w:t>炉渣综合处理</w:t>
      </w:r>
      <w:r>
        <w:rPr>
          <w:rFonts w:hint="eastAsia" w:asciiTheme="minorEastAsia" w:hAnsiTheme="minorEastAsia" w:eastAsiaTheme="minorEastAsia" w:cstheme="minorEastAsia"/>
          <w:bCs/>
          <w:color w:val="auto"/>
          <w:szCs w:val="21"/>
          <w:highlight w:val="none"/>
        </w:rPr>
        <w:t>炉渣初选阶段：通过滚笼筛把直径比较大的块状物、未燃尽的垃圾从原渣分离，未燃尽的垃圾收集后运至电厂回炉焚烧。块状物通过一次电磁除铁器将大块的废铁分离后通过输送带进入破碎机破碎，结块的炉渣、石头、废砖头通过输送带进入破碎机破碎后再次上料分选。金属分选阶段：初选后的炉渣和大块的废铁分别通过破碎后进入永磁磁选器进行二次除铁，粉碎时注入适量水以抑制扬尘；分离的铁经过滚笼筛滚洗收集储存。经过磁选后的原渣随后依次通过多道跳汰机（铜沙）、滚笼筛（铁料）、螺旋分级机（杂质分离）、涡电流分选机（铝）、分选摇床（贵金属金）、磁选机（铁粉）等分选设备把</w:t>
      </w:r>
      <w:r>
        <w:rPr>
          <w:rFonts w:hint="eastAsia" w:asciiTheme="minorEastAsia" w:hAnsiTheme="minorEastAsia" w:eastAsiaTheme="minorEastAsia" w:cstheme="minorEastAsia"/>
          <w:bCs/>
          <w:color w:val="auto"/>
          <w:szCs w:val="21"/>
          <w:highlight w:val="none"/>
          <w:lang w:eastAsia="zh-CN"/>
        </w:rPr>
        <w:t>其他金属</w:t>
      </w:r>
      <w:r>
        <w:rPr>
          <w:rFonts w:hint="eastAsia" w:asciiTheme="minorEastAsia" w:hAnsiTheme="minorEastAsia" w:eastAsiaTheme="minorEastAsia" w:cstheme="minorEastAsia"/>
          <w:bCs/>
          <w:color w:val="auto"/>
          <w:szCs w:val="21"/>
          <w:highlight w:val="none"/>
        </w:rPr>
        <w:t>和杂质分离；砂料分选阶段：细沙浓缩罐、螺旋分级机、沉沙斗、脱水筛提取环保</w:t>
      </w:r>
      <w:r>
        <w:rPr>
          <w:rFonts w:hint="eastAsia" w:asciiTheme="minorEastAsia" w:hAnsiTheme="minorEastAsia" w:eastAsiaTheme="minorEastAsia" w:cstheme="minorEastAsia"/>
          <w:bCs/>
          <w:color w:val="auto"/>
          <w:szCs w:val="21"/>
          <w:highlight w:val="none"/>
          <w:lang w:val="en-US" w:eastAsia="zh-CN"/>
        </w:rPr>
        <w:t>砂</w:t>
      </w:r>
      <w:r>
        <w:rPr>
          <w:rFonts w:hint="eastAsia" w:asciiTheme="minorEastAsia" w:hAnsiTheme="minorEastAsia" w:eastAsiaTheme="minorEastAsia" w:cstheme="minorEastAsia"/>
          <w:bCs/>
          <w:color w:val="auto"/>
          <w:szCs w:val="21"/>
          <w:highlight w:val="none"/>
        </w:rPr>
        <w:t>，工艺用水进入水循环系统，少量随水进入水循环系统的细小泥沙及渣泥经过沉淀池沉淀，再通过压滤机脱水分离。</w:t>
      </w:r>
    </w:p>
    <w:p>
      <w:pPr>
        <w:keepNext/>
        <w:keepLines/>
        <w:numPr>
          <w:ilvl w:val="1"/>
          <w:numId w:val="0"/>
        </w:numPr>
        <w:spacing w:line="360" w:lineRule="auto"/>
        <w:ind w:firstLine="420" w:firstLineChars="200"/>
        <w:outlineLvl w:val="1"/>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4.炉渣厂设备清单详见附件一</w:t>
      </w:r>
    </w:p>
    <w:p>
      <w:pPr>
        <w:adjustRightInd w:val="0"/>
        <w:snapToGrid w:val="0"/>
        <w:spacing w:line="360" w:lineRule="auto"/>
        <w:ind w:firstLine="422" w:firstLineChars="200"/>
        <w:rPr>
          <w:rFonts w:hAnsi="宋体" w:cs="宋体"/>
          <w:b/>
          <w:bCs/>
          <w:color w:val="auto"/>
          <w:szCs w:val="21"/>
          <w:highlight w:val="none"/>
          <w:lang w:bidi="ar"/>
        </w:rPr>
      </w:pPr>
      <w:r>
        <w:rPr>
          <w:rFonts w:hint="eastAsia" w:hAnsi="宋体" w:cs="宋体"/>
          <w:b/>
          <w:bCs/>
          <w:color w:val="auto"/>
          <w:szCs w:val="21"/>
          <w:highlight w:val="none"/>
          <w:lang w:bidi="ar"/>
        </w:rPr>
        <w:t>三、总体服务内容及要求</w:t>
      </w:r>
    </w:p>
    <w:p>
      <w:pPr>
        <w:tabs>
          <w:tab w:val="left" w:pos="540"/>
        </w:tabs>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用户需求书”提出的是最低限度的技术要求，并未对一切技术细节作出规定，也未充分引述有关标准和规范的条文。投标人应提供符合本需求书的服务，同时还应满足相应的国家行业标准的要求。投标人应按照“用户需求书”的相关内容做出全面响应，内容应包括技术需求上所有条款，并最大限度</w:t>
      </w:r>
      <w:r>
        <w:rPr>
          <w:rFonts w:hint="eastAsia" w:asciiTheme="minorEastAsia" w:hAnsiTheme="minorEastAsia" w:eastAsiaTheme="minorEastAsia" w:cstheme="minorEastAsia"/>
          <w:color w:val="auto"/>
          <w:szCs w:val="21"/>
          <w:highlight w:val="none"/>
          <w:lang w:eastAsia="zh-CN"/>
        </w:rPr>
        <w:t>地</w:t>
      </w:r>
      <w:r>
        <w:rPr>
          <w:rFonts w:hint="eastAsia" w:asciiTheme="minorEastAsia" w:hAnsiTheme="minorEastAsia" w:eastAsiaTheme="minorEastAsia" w:cstheme="minorEastAsia"/>
          <w:color w:val="auto"/>
          <w:szCs w:val="21"/>
          <w:highlight w:val="none"/>
        </w:rPr>
        <w:t>满足或优于本技术需求条款的要求。</w:t>
      </w:r>
    </w:p>
    <w:p>
      <w:pPr>
        <w:adjustRightInd w:val="0"/>
        <w:snapToGrid w:val="0"/>
        <w:spacing w:line="360" w:lineRule="auto"/>
        <w:ind w:firstLine="420" w:firstLineChars="200"/>
        <w:rPr>
          <w:rFonts w:hint="default" w:hAnsi="宋体" w:eastAsia="宋体" w:cs="宋体"/>
          <w:b/>
          <w:bCs/>
          <w:color w:val="auto"/>
          <w:szCs w:val="21"/>
          <w:highlight w:val="none"/>
          <w:lang w:val="en-US" w:eastAsia="zh-CN" w:bidi="ar"/>
        </w:rPr>
      </w:pPr>
      <w:r>
        <w:rPr>
          <w:rFonts w:hint="eastAsia" w:asciiTheme="minorEastAsia" w:hAnsiTheme="minorEastAsia" w:eastAsiaTheme="minorEastAsia" w:cstheme="minorEastAsia"/>
          <w:color w:val="auto"/>
          <w:kern w:val="2"/>
          <w:szCs w:val="21"/>
          <w:highlight w:val="none"/>
        </w:rPr>
        <w:t>★</w:t>
      </w:r>
      <w:r>
        <w:rPr>
          <w:rFonts w:hint="eastAsia" w:hAnsi="宋体" w:cs="宋体"/>
          <w:b/>
          <w:bCs/>
          <w:color w:val="auto"/>
          <w:szCs w:val="21"/>
          <w:highlight w:val="none"/>
          <w:lang w:val="en-US" w:eastAsia="zh-CN" w:bidi="ar"/>
        </w:rPr>
        <w:t>2.炉渣分选出的金属、细沙（底泥）等的处置按照法律法规和当地政府政策要求执行，投标人报价时需综合考虑上述因素。</w:t>
      </w:r>
    </w:p>
    <w:p>
      <w:pPr>
        <w:tabs>
          <w:tab w:val="left" w:pos="540"/>
        </w:tabs>
        <w:adjustRightInd w:val="0"/>
        <w:snapToGrid w:val="0"/>
        <w:spacing w:line="360" w:lineRule="auto"/>
        <w:rPr>
          <w:rFonts w:hint="eastAsia" w:asciiTheme="minorEastAsia" w:hAnsiTheme="minorEastAsia" w:eastAsiaTheme="minorEastAsia" w:cstheme="minorEastAsia"/>
          <w:color w:val="auto"/>
          <w:szCs w:val="21"/>
          <w:highlight w:val="none"/>
        </w:rPr>
      </w:pPr>
    </w:p>
    <w:p>
      <w:pPr>
        <w:tabs>
          <w:tab w:val="left" w:pos="540"/>
        </w:tabs>
        <w:adjustRightInd w:val="0"/>
        <w:snapToGrid w:val="0"/>
        <w:spacing w:line="360" w:lineRule="auto"/>
        <w:ind w:firstLine="420" w:firstLineChars="200"/>
        <w:rPr>
          <w:rFonts w:ascii="Times New Roman" w:hAnsi="Times New Roman"/>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.中标人应建立良好销售渠道或临时储存中转仓库，保证采购人全部炉渣综合处置产品可以及时清运出厂，且沙料、干化淤泥</w:t>
      </w:r>
      <w:r>
        <w:rPr>
          <w:rFonts w:hint="eastAsia" w:asciiTheme="minorEastAsia" w:hAnsiTheme="minorEastAsia" w:eastAsiaTheme="minorEastAsia" w:cstheme="minorEastAsia"/>
          <w:color w:val="auto"/>
          <w:szCs w:val="21"/>
          <w:highlight w:val="none"/>
          <w:lang w:eastAsia="zh-CN"/>
        </w:rPr>
        <w:t>清运</w:t>
      </w:r>
      <w:r>
        <w:rPr>
          <w:rFonts w:hint="eastAsia" w:asciiTheme="minorEastAsia" w:hAnsiTheme="minorEastAsia" w:eastAsiaTheme="minorEastAsia" w:cstheme="minorEastAsia"/>
          <w:color w:val="auto"/>
          <w:szCs w:val="21"/>
          <w:highlight w:val="none"/>
        </w:rPr>
        <w:t>需符合环保要求。因中标人原因造成环保处罚、行政处罚、停产等事件对采购人造成的所有损失均应由中标人承担。</w:t>
      </w:r>
    </w:p>
    <w:p>
      <w:pPr>
        <w:tabs>
          <w:tab w:val="left" w:pos="540"/>
        </w:tabs>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.中标人负责从垃圾发电厂渣坑至炉渣处置车间的运输（含生渣返回垃圾仓运输）及垃圾发电厂的渣吊运行操作及渣坑区域卫生清理、运输过程中的卫生清理。</w:t>
      </w:r>
    </w:p>
    <w:p>
      <w:pPr>
        <w:tabs>
          <w:tab w:val="left" w:pos="540"/>
        </w:tabs>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中标人负责炉渣厂全部运行操作、文明生产和炉渣综合处理设备，包含高低压配电室运维、办公区设备设施、中控室控制系统、消防设施、除尘除臭设施等机务部分的检修及保养，负责炉渣厂内运行期间因运行导致的建筑结构损坏（包括油漆脱落、地面墙体裂缝、门窗设施损坏、厂区内管道、</w:t>
      </w:r>
      <w:r>
        <w:rPr>
          <w:rFonts w:hint="eastAsia" w:asciiTheme="minorEastAsia" w:hAnsiTheme="minorEastAsia" w:eastAsiaTheme="minorEastAsia" w:cstheme="minorEastAsia"/>
          <w:color w:val="auto"/>
          <w:szCs w:val="21"/>
          <w:highlight w:val="none"/>
          <w:lang w:eastAsia="zh-CN"/>
        </w:rPr>
        <w:t>路</w:t>
      </w:r>
      <w:r>
        <w:rPr>
          <w:rFonts w:hint="eastAsia" w:asciiTheme="minorEastAsia" w:hAnsiTheme="minorEastAsia" w:eastAsiaTheme="minorEastAsia" w:cstheme="minorEastAsia"/>
          <w:color w:val="auto"/>
          <w:szCs w:val="21"/>
          <w:highlight w:val="none"/>
        </w:rPr>
        <w:t>面损坏等）完善修复。</w:t>
      </w:r>
    </w:p>
    <w:p>
      <w:pPr>
        <w:tabs>
          <w:tab w:val="left" w:pos="540"/>
        </w:tabs>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.炉渣综合处理之后的货物全部销售收入归中标人所有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全部销售成本由中标人承担</w:t>
      </w:r>
      <w:r>
        <w:rPr>
          <w:rFonts w:hint="eastAsia" w:asciiTheme="minorEastAsia" w:hAnsiTheme="minorEastAsia" w:eastAsiaTheme="minorEastAsia" w:cstheme="minorEastAsia"/>
          <w:color w:val="auto"/>
          <w:szCs w:val="21"/>
          <w:highlight w:val="none"/>
        </w:rPr>
        <w:t>。</w:t>
      </w:r>
    </w:p>
    <w:p>
      <w:pPr>
        <w:tabs>
          <w:tab w:val="left" w:pos="540"/>
        </w:tabs>
        <w:adjustRightInd w:val="0"/>
        <w:snapToGrid w:val="0"/>
        <w:spacing w:line="360" w:lineRule="auto"/>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中标人负责炉渣厂综合处置产品分拣，中标人负责提供所有设备设施的全部备品备件和生产耗材。备品备件有品牌要求的，采购更换应为原设备品牌方，若采购其他品牌需经采购人同意，采购的备品备件不得低于原厂家标准。</w:t>
      </w:r>
      <w:r>
        <w:rPr>
          <w:rFonts w:hint="eastAsia" w:asciiTheme="minorEastAsia" w:hAnsiTheme="minorEastAsia" w:eastAsiaTheme="minorEastAsia" w:cstheme="minorEastAsia"/>
          <w:color w:val="auto"/>
          <w:szCs w:val="21"/>
          <w:highlight w:val="none"/>
          <w:lang w:val="en-US" w:eastAsia="zh-CN"/>
        </w:rPr>
        <w:t>炉渣综合处置主设备检修周期及备品备件清单详见附件二。（清单仅供参考，具体品类以实际需求为准）</w:t>
      </w:r>
    </w:p>
    <w:p>
      <w:pPr>
        <w:keepNext/>
        <w:keepLines/>
        <w:numPr>
          <w:ilvl w:val="1"/>
          <w:numId w:val="0"/>
        </w:numPr>
        <w:spacing w:line="360" w:lineRule="auto"/>
        <w:ind w:firstLine="420" w:firstLineChars="200"/>
        <w:outlineLvl w:val="1"/>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.由于中标人操作不当导致的设备、设施损失和生产损失全部由中标人承担，运营过程中设备损坏由中标单位负责更换同品牌型号或高于原设备标准的品牌。</w:t>
      </w:r>
    </w:p>
    <w:p>
      <w:pPr>
        <w:tabs>
          <w:tab w:val="left" w:pos="540"/>
        </w:tabs>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.中标人处理采购人之外的炉渣需要取得采购人同意，也不得将采购人的炉渣调运至其他地方处理。</w:t>
      </w:r>
    </w:p>
    <w:p>
      <w:pPr>
        <w:tabs>
          <w:tab w:val="left" w:pos="540"/>
        </w:tabs>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投标人应充分考虑采购人生活垃圾焚烧发电厂掺烧一般工业固废和陈腐垃圾、炉渣含水率变化、废金属和环保砂价值变动、现场和周围环境、交通道路、环境条件、服务范围、材料和人工的市场价格变化、可能的国家政策性调整等，自行确定风险计入报价。</w:t>
      </w:r>
    </w:p>
    <w:p>
      <w:pPr>
        <w:tabs>
          <w:tab w:val="left" w:pos="540"/>
        </w:tabs>
        <w:adjustRightInd w:val="0"/>
        <w:snapToGrid w:val="0"/>
        <w:spacing w:line="360" w:lineRule="auto"/>
        <w:ind w:firstLine="420" w:firstLineChars="200"/>
        <w:rPr>
          <w:rFonts w:hint="default" w:asciiTheme="minorEastAsia" w:hAnsiTheme="minorEastAsia" w:eastAsiaTheme="minorEastAsia" w:cstheme="minorEastAsia"/>
          <w:color w:val="auto"/>
          <w:kern w:val="2"/>
          <w:szCs w:val="21"/>
          <w:highlight w:val="none"/>
          <w:lang w:val="en-US" w:eastAsia="zh-CN"/>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.中标人服务工作过程中的用工、用水、用电、废水处理由中标人自行承担</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水费约2.63元/吨、电费约1.1元/千瓦时，具体按实结算。水费、电费由采购人按实代收代付，其中上级电源点电损由中标人与园区内其他项目共同按用电比例承担、发票税点税金差部分由中标人承担。</w:t>
      </w:r>
      <w:r>
        <w:rPr>
          <w:rFonts w:hint="eastAsia" w:asciiTheme="minorEastAsia" w:hAnsiTheme="minorEastAsia" w:eastAsiaTheme="minorEastAsia" w:cstheme="minorEastAsia"/>
          <w:b/>
          <w:bCs/>
          <w:color w:val="auto"/>
          <w:szCs w:val="21"/>
          <w:highlight w:val="none"/>
          <w:lang w:val="en-US" w:eastAsia="zh-CN"/>
        </w:rPr>
        <w:t>水、电费及其他水电相关费用根据采购人属地电力公司和自来水公司收费政策实时调整。</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.中标人生产出的干化淤泥外运应由中标人负责监管，处置费用由中标人承担，不得随意处置，委外处置单位必须具备相应处置资格，处置单位应报采购人备案。</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.中标人须配置1辆储水量不小于4吨的扫地车。</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.需持证作业岗位的人员必须持证上岗，不得无证作业。</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.中标人对外的任何纠纷均与采购人无关，包括但不限于经济、用工、安全等各个方面，由此造成的经济赔偿和法律责任均由中标人承担。</w:t>
      </w:r>
    </w:p>
    <w:p>
      <w:pPr>
        <w:tabs>
          <w:tab w:val="left" w:pos="540"/>
        </w:tabs>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.中标人的现场负责人不满足现场要求的，经采购人提出更换后，中标人须在5日内完成更换工作。</w:t>
      </w:r>
    </w:p>
    <w:p>
      <w:pPr>
        <w:tabs>
          <w:tab w:val="left" w:pos="540"/>
        </w:tabs>
        <w:adjustRightInd w:val="0"/>
        <w:snapToGrid w:val="0"/>
        <w:spacing w:line="360" w:lineRule="auto"/>
        <w:ind w:firstLine="420" w:firstLineChars="200"/>
        <w:rPr>
          <w:rFonts w:hAnsi="宋体" w:cs="宋体"/>
          <w:b/>
          <w:bCs/>
          <w:color w:val="auto"/>
          <w:szCs w:val="21"/>
          <w:highlight w:val="none"/>
          <w:lang w:bidi="ar"/>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.非招标人/采购人原因导致中标人弃标或者合同订立后被解除的，该中标人将被招标人/采购人列入黑名单。</w:t>
      </w:r>
    </w:p>
    <w:p>
      <w:pPr>
        <w:adjustRightInd w:val="0"/>
        <w:snapToGrid w:val="0"/>
        <w:spacing w:line="360" w:lineRule="auto"/>
        <w:ind w:firstLine="422" w:firstLineChars="200"/>
        <w:rPr>
          <w:rFonts w:cs="宋体"/>
          <w:b/>
          <w:bCs/>
          <w:color w:val="auto"/>
          <w:szCs w:val="21"/>
          <w:highlight w:val="none"/>
        </w:rPr>
      </w:pPr>
      <w:r>
        <w:rPr>
          <w:rFonts w:hint="eastAsia" w:hAnsi="宋体" w:cs="宋体"/>
          <w:b/>
          <w:bCs/>
          <w:color w:val="auto"/>
          <w:szCs w:val="21"/>
          <w:highlight w:val="none"/>
          <w:lang w:bidi="ar"/>
        </w:rPr>
        <w:t>四、投标</w:t>
      </w:r>
      <w:r>
        <w:rPr>
          <w:rFonts w:hint="eastAsia" w:cs="宋体"/>
          <w:b/>
          <w:bCs/>
          <w:color w:val="auto"/>
          <w:szCs w:val="21"/>
          <w:highlight w:val="none"/>
        </w:rPr>
        <w:t>人</w:t>
      </w:r>
      <w:r>
        <w:rPr>
          <w:rFonts w:hint="eastAsia" w:hAnsi="宋体" w:cs="宋体"/>
          <w:b/>
          <w:bCs/>
          <w:color w:val="auto"/>
          <w:szCs w:val="21"/>
          <w:highlight w:val="none"/>
          <w:lang w:bidi="ar"/>
        </w:rPr>
        <w:t>服务范围及服务要求</w:t>
      </w:r>
      <w:r>
        <w:rPr>
          <w:rFonts w:hint="eastAsia" w:cs="宋体"/>
          <w:b/>
          <w:bCs/>
          <w:color w:val="auto"/>
          <w:szCs w:val="21"/>
          <w:highlight w:val="none"/>
        </w:rPr>
        <w:t>（包括但不限于以下内容</w:t>
      </w:r>
      <w:r>
        <w:rPr>
          <w:rFonts w:hint="eastAsia" w:cs="宋体"/>
          <w:b/>
          <w:bCs/>
          <w:color w:val="auto"/>
          <w:szCs w:val="21"/>
          <w:highlight w:val="none"/>
          <w:lang w:eastAsia="zh-CN"/>
        </w:rPr>
        <w:t>）</w:t>
      </w:r>
    </w:p>
    <w:p>
      <w:pPr>
        <w:adjustRightInd w:val="0"/>
        <w:snapToGrid w:val="0"/>
        <w:spacing w:line="360" w:lineRule="auto"/>
        <w:ind w:firstLine="420" w:firstLineChars="200"/>
        <w:rPr>
          <w:rFonts w:hint="eastAsia" w:hAnsi="宋体" w:eastAsia="宋体" w:cs="宋体"/>
          <w:color w:val="auto"/>
          <w:kern w:val="2"/>
          <w:szCs w:val="21"/>
          <w:highlight w:val="none"/>
          <w:lang w:eastAsia="zh-CN"/>
        </w:rPr>
      </w:pPr>
      <w:r>
        <w:rPr>
          <w:rFonts w:hint="eastAsia" w:cs="宋体"/>
          <w:color w:val="auto"/>
          <w:szCs w:val="21"/>
          <w:highlight w:val="none"/>
        </w:rPr>
        <w:t>投标人详细服务范围及要求详见附件</w:t>
      </w:r>
      <w:r>
        <w:rPr>
          <w:rFonts w:hint="eastAsia" w:cs="宋体"/>
          <w:color w:val="auto"/>
          <w:szCs w:val="21"/>
          <w:highlight w:val="none"/>
          <w:lang w:val="en-US" w:eastAsia="zh-CN"/>
        </w:rPr>
        <w:t>三</w:t>
      </w:r>
    </w:p>
    <w:p>
      <w:pPr>
        <w:widowControl/>
        <w:spacing w:line="360" w:lineRule="auto"/>
        <w:ind w:firstLine="422" w:firstLineChars="200"/>
        <w:jc w:val="left"/>
        <w:rPr>
          <w:rFonts w:hAnsi="宋体"/>
          <w:b/>
          <w:bCs/>
          <w:snapToGrid w:val="0"/>
          <w:color w:val="auto"/>
          <w:szCs w:val="21"/>
          <w:highlight w:val="none"/>
        </w:rPr>
      </w:pPr>
      <w:r>
        <w:rPr>
          <w:rFonts w:hint="eastAsia" w:hAnsi="宋体"/>
          <w:b/>
          <w:bCs/>
          <w:snapToGrid w:val="0"/>
          <w:color w:val="auto"/>
          <w:szCs w:val="21"/>
          <w:highlight w:val="none"/>
        </w:rPr>
        <w:t>五、人员要求</w:t>
      </w:r>
    </w:p>
    <w:p>
      <w:pPr>
        <w:tabs>
          <w:tab w:val="left" w:pos="540"/>
        </w:tabs>
        <w:adjustRightInd w:val="0"/>
        <w:snapToGrid w:val="0"/>
        <w:spacing w:line="360" w:lineRule="auto"/>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1.为确保炉渣综合处置服务工作的正常、有效开展，中标人需组建满足采购人服务需求的工作队伍。驻场人员基本要求：男性年龄18-</w:t>
      </w:r>
      <w:r>
        <w:rPr>
          <w:rFonts w:hint="eastAsia" w:asciiTheme="minorEastAsia" w:hAnsiTheme="minorEastAsia" w:eastAsiaTheme="minorEastAsia" w:cstheme="minorEastAsia"/>
          <w:color w:val="auto"/>
          <w:szCs w:val="21"/>
          <w:highlight w:val="none"/>
          <w:lang w:val="en-US" w:eastAsia="zh-CN"/>
        </w:rPr>
        <w:t>60</w:t>
      </w:r>
      <w:r>
        <w:rPr>
          <w:rFonts w:hint="eastAsia" w:asciiTheme="minorEastAsia" w:hAnsiTheme="minorEastAsia" w:eastAsiaTheme="minorEastAsia" w:cstheme="minorEastAsia"/>
          <w:color w:val="auto"/>
          <w:szCs w:val="21"/>
          <w:highlight w:val="none"/>
        </w:rPr>
        <w:t>周岁，女性年龄18-50周岁，具有健康状况体检报告。</w:t>
      </w:r>
    </w:p>
    <w:p>
      <w:pPr>
        <w:spacing w:line="360" w:lineRule="auto"/>
        <w:ind w:firstLine="420" w:firstLineChars="200"/>
        <w:rPr>
          <w:rFonts w:cs="宋体"/>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hAnsi="宋体" w:cs="宋体"/>
          <w:snapToGrid w:val="0"/>
          <w:color w:val="auto"/>
          <w:szCs w:val="21"/>
          <w:highlight w:val="none"/>
        </w:rPr>
        <w:t>2.</w:t>
      </w:r>
      <w:r>
        <w:rPr>
          <w:rFonts w:hint="eastAsia" w:asciiTheme="minorEastAsia" w:hAnsiTheme="minorEastAsia" w:eastAsiaTheme="minorEastAsia" w:cstheme="minorEastAsia"/>
          <w:color w:val="auto"/>
          <w:szCs w:val="21"/>
          <w:highlight w:val="none"/>
          <w:lang w:val="en-US" w:eastAsia="zh-CN"/>
        </w:rPr>
        <w:t>驻场人数要求：人员不少于52人。</w:t>
      </w:r>
      <w:r>
        <w:rPr>
          <w:rFonts w:hint="eastAsia" w:hAnsi="宋体" w:cs="宋体"/>
          <w:color w:val="auto"/>
          <w:szCs w:val="21"/>
          <w:highlight w:val="none"/>
        </w:rPr>
        <w:t>团队人员须至少配备一名持证专职安全员和一名项目负责人。</w:t>
      </w:r>
    </w:p>
    <w:p>
      <w:pPr>
        <w:adjustRightInd w:val="0"/>
        <w:snapToGrid w:val="0"/>
        <w:spacing w:line="360" w:lineRule="auto"/>
        <w:ind w:firstLine="422" w:firstLineChars="200"/>
        <w:jc w:val="center"/>
        <w:rPr>
          <w:rFonts w:hint="default" w:hAnsi="宋体" w:eastAsia="宋体" w:cs="宋体"/>
          <w:b/>
          <w:bCs/>
          <w:snapToGrid w:val="0"/>
          <w:color w:val="auto"/>
          <w:szCs w:val="21"/>
          <w:highlight w:val="none"/>
          <w:lang w:val="en-US" w:eastAsia="zh-CN"/>
        </w:rPr>
      </w:pPr>
      <w:r>
        <w:rPr>
          <w:rFonts w:hint="eastAsia" w:hAnsi="宋体" w:cs="宋体"/>
          <w:b/>
          <w:bCs/>
          <w:snapToGrid w:val="0"/>
          <w:color w:val="auto"/>
          <w:szCs w:val="21"/>
          <w:highlight w:val="none"/>
          <w:lang w:val="en-US" w:eastAsia="zh-CN"/>
        </w:rPr>
        <w:t>人员配置最低要求详见下表</w:t>
      </w:r>
    </w:p>
    <w:tbl>
      <w:tblPr>
        <w:tblStyle w:val="88"/>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1"/>
        <w:gridCol w:w="1651"/>
        <w:gridCol w:w="1601"/>
        <w:gridCol w:w="3359"/>
        <w:gridCol w:w="1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8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部门</w:t>
            </w:r>
          </w:p>
        </w:tc>
        <w:tc>
          <w:tcPr>
            <w:tcW w:w="8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总人数</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岗位</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6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管理人员</w:t>
            </w:r>
          </w:p>
        </w:tc>
        <w:tc>
          <w:tcPr>
            <w:tcW w:w="8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项目经理</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专职安全员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86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技术</w:t>
            </w:r>
          </w:p>
        </w:tc>
        <w:tc>
          <w:tcPr>
            <w:tcW w:w="83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不少于5人</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中控</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电工</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机修班长</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机修工</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86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生产</w:t>
            </w:r>
          </w:p>
        </w:tc>
        <w:tc>
          <w:tcPr>
            <w:tcW w:w="83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不少于45人</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车间主任</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铲车司机</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抓吊司机</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料斗筛检员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大铁筛检员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不锈钢筛检员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砂机操作员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拣大铁生铁筛检员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跳汰机操作员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摇床操作员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压滤机操作员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拉大小铝铝料运输员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铜砂房负责人</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铜砂管理房</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仓库管理员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地磅员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沉沙斗操作员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洒水车</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保洁</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机动人员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31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合计</w:t>
            </w:r>
          </w:p>
        </w:tc>
        <w:tc>
          <w:tcPr>
            <w:tcW w:w="2686"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不少于52人</w:t>
            </w:r>
          </w:p>
        </w:tc>
      </w:tr>
    </w:tbl>
    <w:p>
      <w:pPr>
        <w:adjustRightInd w:val="0"/>
        <w:snapToGrid w:val="0"/>
        <w:spacing w:line="360" w:lineRule="auto"/>
        <w:rPr>
          <w:rFonts w:hint="eastAsia" w:hAnsi="宋体" w:cs="宋体"/>
          <w:b/>
          <w:bCs/>
          <w:snapToGrid w:val="0"/>
          <w:color w:val="auto"/>
          <w:szCs w:val="21"/>
          <w:highlight w:val="none"/>
        </w:rPr>
      </w:pPr>
    </w:p>
    <w:p>
      <w:pPr>
        <w:adjustRightInd w:val="0"/>
        <w:snapToGrid w:val="0"/>
        <w:spacing w:line="360" w:lineRule="auto"/>
        <w:ind w:firstLine="422" w:firstLineChars="200"/>
        <w:rPr>
          <w:rFonts w:hAnsi="宋体" w:cs="宋体"/>
          <w:b/>
          <w:bCs/>
          <w:snapToGrid w:val="0"/>
          <w:color w:val="auto"/>
          <w:szCs w:val="21"/>
          <w:highlight w:val="none"/>
        </w:rPr>
      </w:pPr>
      <w:r>
        <w:rPr>
          <w:rFonts w:hint="eastAsia" w:hAnsi="宋体" w:cs="宋体"/>
          <w:b/>
          <w:bCs/>
          <w:snapToGrid w:val="0"/>
          <w:color w:val="auto"/>
          <w:szCs w:val="21"/>
          <w:highlight w:val="none"/>
        </w:rPr>
        <w:t>六、其他要求</w:t>
      </w:r>
    </w:p>
    <w:p>
      <w:pPr>
        <w:spacing w:line="360" w:lineRule="auto"/>
        <w:ind w:firstLine="420" w:firstLineChars="200"/>
        <w:rPr>
          <w:rFonts w:cs="宋体"/>
          <w:color w:val="auto"/>
          <w:szCs w:val="21"/>
          <w:highlight w:val="none"/>
        </w:rPr>
      </w:pPr>
      <w:r>
        <w:rPr>
          <w:rFonts w:hint="eastAsia" w:cs="宋体"/>
          <w:color w:val="auto"/>
          <w:szCs w:val="21"/>
          <w:highlight w:val="none"/>
        </w:rPr>
        <w:t>1.</w:t>
      </w:r>
      <w:r>
        <w:rPr>
          <w:rFonts w:hint="eastAsia" w:cs="宋体"/>
          <w:color w:val="auto"/>
          <w:szCs w:val="21"/>
          <w:highlight w:val="none"/>
          <w:lang w:val="zh-CN"/>
        </w:rPr>
        <w:t>招标人对投标</w:t>
      </w:r>
      <w:r>
        <w:rPr>
          <w:rFonts w:hint="eastAsia" w:cs="宋体"/>
          <w:color w:val="auto"/>
          <w:szCs w:val="21"/>
          <w:highlight w:val="none"/>
        </w:rPr>
        <w:t>人</w:t>
      </w:r>
      <w:r>
        <w:rPr>
          <w:rFonts w:hint="eastAsia" w:cs="宋体"/>
          <w:color w:val="auto"/>
          <w:szCs w:val="21"/>
          <w:highlight w:val="none"/>
          <w:lang w:val="zh-CN"/>
        </w:rPr>
        <w:t>的要求视同采购人对投标</w:t>
      </w:r>
      <w:r>
        <w:rPr>
          <w:rFonts w:hint="eastAsia" w:cs="宋体"/>
          <w:color w:val="auto"/>
          <w:szCs w:val="21"/>
          <w:highlight w:val="none"/>
        </w:rPr>
        <w:t>人</w:t>
      </w:r>
      <w:r>
        <w:rPr>
          <w:rFonts w:hint="eastAsia" w:cs="宋体"/>
          <w:color w:val="auto"/>
          <w:szCs w:val="21"/>
          <w:highlight w:val="none"/>
          <w:lang w:val="zh-CN"/>
        </w:rPr>
        <w:t>的要求，投标</w:t>
      </w:r>
      <w:r>
        <w:rPr>
          <w:rFonts w:hint="eastAsia" w:cs="宋体"/>
          <w:color w:val="auto"/>
          <w:szCs w:val="21"/>
          <w:highlight w:val="none"/>
        </w:rPr>
        <w:t>人</w:t>
      </w:r>
      <w:r>
        <w:rPr>
          <w:rFonts w:hint="eastAsia" w:cs="宋体"/>
          <w:color w:val="auto"/>
          <w:szCs w:val="21"/>
          <w:highlight w:val="none"/>
          <w:lang w:val="zh-CN"/>
        </w:rPr>
        <w:t>均需满足；投标</w:t>
      </w:r>
      <w:r>
        <w:rPr>
          <w:rFonts w:hint="eastAsia" w:cs="宋体"/>
          <w:color w:val="auto"/>
          <w:szCs w:val="21"/>
          <w:highlight w:val="none"/>
        </w:rPr>
        <w:t>人</w:t>
      </w:r>
      <w:r>
        <w:rPr>
          <w:rFonts w:hint="eastAsia" w:cs="宋体"/>
          <w:color w:val="auto"/>
          <w:szCs w:val="21"/>
          <w:highlight w:val="none"/>
          <w:lang w:val="zh-CN"/>
        </w:rPr>
        <w:t>对招标人的承诺、响应视同投标</w:t>
      </w:r>
      <w:r>
        <w:rPr>
          <w:rFonts w:hint="eastAsia" w:cs="宋体"/>
          <w:color w:val="auto"/>
          <w:szCs w:val="21"/>
          <w:highlight w:val="none"/>
        </w:rPr>
        <w:t>人</w:t>
      </w:r>
      <w:r>
        <w:rPr>
          <w:rFonts w:hint="eastAsia" w:cs="宋体"/>
          <w:color w:val="auto"/>
          <w:szCs w:val="21"/>
          <w:highlight w:val="none"/>
          <w:lang w:val="zh-CN"/>
        </w:rPr>
        <w:t>对采购人的承诺、响应，投标</w:t>
      </w:r>
      <w:r>
        <w:rPr>
          <w:rFonts w:hint="eastAsia" w:cs="宋体"/>
          <w:color w:val="auto"/>
          <w:szCs w:val="21"/>
          <w:highlight w:val="none"/>
        </w:rPr>
        <w:t>人</w:t>
      </w:r>
      <w:r>
        <w:rPr>
          <w:rFonts w:hint="eastAsia" w:cs="宋体"/>
          <w:color w:val="auto"/>
          <w:szCs w:val="21"/>
          <w:highlight w:val="none"/>
          <w:lang w:val="zh-CN"/>
        </w:rPr>
        <w:t>均需履行。</w:t>
      </w:r>
    </w:p>
    <w:p>
      <w:pPr>
        <w:spacing w:line="360" w:lineRule="auto"/>
        <w:ind w:firstLine="420" w:firstLineChars="200"/>
        <w:jc w:val="both"/>
        <w:rPr>
          <w:rFonts w:hint="eastAsia"/>
          <w:b/>
          <w:bCs/>
          <w:color w:val="auto"/>
          <w:sz w:val="21"/>
          <w:szCs w:val="21"/>
          <w:highlight w:val="none"/>
          <w:lang w:val="en-US" w:eastAsia="zh-CN"/>
        </w:rPr>
      </w:pPr>
      <w:r>
        <w:rPr>
          <w:rFonts w:hint="eastAsia" w:cs="宋体"/>
          <w:color w:val="auto"/>
          <w:szCs w:val="21"/>
          <w:highlight w:val="none"/>
        </w:rPr>
        <w:t>2.结算方式与监督考核办法根据“第六章 合同条款</w:t>
      </w:r>
      <w:r>
        <w:rPr>
          <w:rFonts w:hint="eastAsia" w:cs="宋体"/>
          <w:color w:val="auto"/>
          <w:szCs w:val="21"/>
          <w:highlight w:val="none"/>
          <w:lang w:val="en-US" w:eastAsia="zh-CN"/>
        </w:rPr>
        <w:t>及格式</w:t>
      </w:r>
      <w:r>
        <w:rPr>
          <w:rFonts w:hint="eastAsia" w:cs="宋体"/>
          <w:color w:val="auto"/>
          <w:szCs w:val="21"/>
          <w:highlight w:val="none"/>
        </w:rPr>
        <w:t>”执行</w:t>
      </w:r>
      <w:r>
        <w:rPr>
          <w:rFonts w:hint="eastAsia" w:cs="宋体"/>
          <w:color w:val="auto"/>
          <w:szCs w:val="21"/>
          <w:highlight w:val="none"/>
        </w:rPr>
        <w:br w:type="page"/>
      </w:r>
      <w:r>
        <w:rPr>
          <w:rFonts w:hint="eastAsia"/>
          <w:b/>
          <w:bCs/>
          <w:color w:val="auto"/>
          <w:sz w:val="21"/>
          <w:szCs w:val="21"/>
          <w:highlight w:val="none"/>
          <w:lang w:val="en-US" w:eastAsia="zh-CN"/>
        </w:rPr>
        <w:t>附件一：</w:t>
      </w:r>
    </w:p>
    <w:p>
      <w:pPr>
        <w:pStyle w:val="380"/>
        <w:spacing w:after="320" w:line="240" w:lineRule="auto"/>
        <w:ind w:firstLine="0"/>
        <w:jc w:val="center"/>
        <w:rPr>
          <w:b/>
          <w:bCs/>
          <w:color w:val="auto"/>
          <w:sz w:val="21"/>
          <w:szCs w:val="21"/>
          <w:highlight w:val="none"/>
          <w:lang w:val="en-US" w:eastAsia="zh-CN"/>
        </w:rPr>
      </w:pPr>
      <w:r>
        <w:rPr>
          <w:rFonts w:hint="eastAsia"/>
          <w:b/>
          <w:bCs/>
          <w:color w:val="auto"/>
          <w:sz w:val="21"/>
          <w:szCs w:val="21"/>
          <w:highlight w:val="none"/>
          <w:lang w:val="en-US" w:eastAsia="zh-CN"/>
        </w:rPr>
        <w:t>炉渣厂设备清单</w:t>
      </w:r>
    </w:p>
    <w:tbl>
      <w:tblPr>
        <w:tblStyle w:val="88"/>
        <w:tblW w:w="4998" w:type="pct"/>
        <w:tblInd w:w="0" w:type="dxa"/>
        <w:tblLayout w:type="autofit"/>
        <w:tblCellMar>
          <w:top w:w="0" w:type="dxa"/>
          <w:left w:w="108" w:type="dxa"/>
          <w:bottom w:w="0" w:type="dxa"/>
          <w:right w:w="108" w:type="dxa"/>
        </w:tblCellMar>
      </w:tblPr>
      <w:tblGrid>
        <w:gridCol w:w="474"/>
        <w:gridCol w:w="473"/>
        <w:gridCol w:w="1504"/>
        <w:gridCol w:w="5656"/>
        <w:gridCol w:w="475"/>
        <w:gridCol w:w="989"/>
      </w:tblGrid>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bidi="ar"/>
              </w:rPr>
              <w:t>序号</w:t>
            </w:r>
          </w:p>
        </w:tc>
        <w:tc>
          <w:tcPr>
            <w:tcW w:w="985"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bidi="ar"/>
              </w:rPr>
              <w:t>类别</w:t>
            </w:r>
          </w:p>
        </w:tc>
        <w:tc>
          <w:tcPr>
            <w:tcW w:w="25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bidi="ar"/>
              </w:rPr>
              <w:t>设备规格参数</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bidi="ar"/>
              </w:rPr>
              <w:t>数量</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bidi="ar"/>
              </w:rPr>
              <w:t>品牌</w:t>
            </w:r>
          </w:p>
        </w:tc>
      </w:tr>
      <w:tr>
        <w:tblPrEx>
          <w:tblCellMar>
            <w:top w:w="0" w:type="dxa"/>
            <w:left w:w="108" w:type="dxa"/>
            <w:bottom w:w="0" w:type="dxa"/>
            <w:right w:w="108" w:type="dxa"/>
          </w:tblCellMar>
        </w:tblPrEx>
        <w:trPr>
          <w:trHeight w:val="1559"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2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eastAsia="zh-CN" w:bidi="ar"/>
              </w:rPr>
              <w:t>混凝土</w:t>
            </w:r>
            <w:r>
              <w:rPr>
                <w:rFonts w:hint="eastAsia" w:asciiTheme="minorEastAsia" w:hAnsiTheme="minorEastAsia" w:eastAsiaTheme="minorEastAsia" w:cstheme="minorEastAsia"/>
                <w:color w:val="auto"/>
                <w:sz w:val="20"/>
                <w:highlight w:val="none"/>
                <w:lang w:bidi="ar"/>
              </w:rPr>
              <w:t>平台设备</w:t>
            </w: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炉渣破碎机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1、设备名称：PS1200破碎机（有筛条13mm）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2、外形尺寸：3030长X2335宽X1860高</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3、电机功率：YKP-315L-6级-132kw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4、底座：500工字钢</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5、出料方向：前方</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6、电机方向：一左一右</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洛阳环卓</w:t>
            </w:r>
          </w:p>
        </w:tc>
      </w:tr>
      <w:tr>
        <w:tblPrEx>
          <w:tblCellMar>
            <w:top w:w="0" w:type="dxa"/>
            <w:left w:w="108" w:type="dxa"/>
            <w:bottom w:w="0" w:type="dxa"/>
            <w:right w:w="108" w:type="dxa"/>
          </w:tblCellMar>
        </w:tblPrEx>
        <w:trPr>
          <w:trHeight w:val="1495"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铁料破碎机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1、设备名称：DT1000/重型打铁机（60mm）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2、外形尺寸：长2970X宽1950X高1750</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2、电机功率：YKP-315S-6级-75kw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3、底座：500工字钢</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4、出料方向：前方</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5、电机方向：一左一右</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217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上吸式磁选永磁</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1、设备名称：CTN60100/逆转磁选机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2、滚筒参数：直径600mm，长度1000mm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3、其他参数：4000磁场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4、电机方向：一左一右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5、电机功率：YE2-100-4-3KW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6、设备密封、外壳盖到笼体面不能低于250mm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7、电机安装平面离地需保证1米，脚需要加高</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8、吸程：180</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200mm</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辽宁环卓</w:t>
            </w:r>
          </w:p>
        </w:tc>
      </w:tr>
      <w:tr>
        <w:tblPrEx>
          <w:tblCellMar>
            <w:top w:w="0" w:type="dxa"/>
            <w:left w:w="108" w:type="dxa"/>
            <w:bottom w:w="0" w:type="dxa"/>
            <w:right w:w="108" w:type="dxa"/>
          </w:tblCellMar>
        </w:tblPrEx>
        <w:trPr>
          <w:trHeight w:val="2009"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1、设备名称：CTN60120/逆转磁选机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2、滚筒参数：直径600mm，长度1200mm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3、其他参数：4000磁场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4、电机方向：一左一右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5、电机功率：YE2-100-4-4KW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6、设备密封、外壳盖到笼体面不能低于250mm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7、电机安装平面离地需保证1米，脚需要加高</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8、吸程：180</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200mm</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1615"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湿式筒式磁选机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1、设备名称：CTS40100/湿式磁选机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2、滚筒参数：直径400mm，长度1000mm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3、电机方向：三左三右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4、电机功率：YE2-100-4-3KW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5、设备密封</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6、电机安装平面离地需保证1米，脚需要加高</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158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永磁湿式筒式磁选机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1、设备名称：CTS50/90湿式磁选机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2、滚筒参数：直径400mm，长度900mm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3、电机方向：一左一右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4、电机功率：JZQ200-40.17-2.2KW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5、设备密封</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6、电机安装平面离地需保证1米，脚需要加高</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tcBorders>
              <w:top w:val="nil"/>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潍坊桓日</w:t>
            </w:r>
          </w:p>
        </w:tc>
      </w:tr>
      <w:tr>
        <w:tblPrEx>
          <w:tblCellMar>
            <w:top w:w="0" w:type="dxa"/>
            <w:left w:w="108" w:type="dxa"/>
            <w:bottom w:w="0" w:type="dxa"/>
            <w:right w:w="108" w:type="dxa"/>
          </w:tblCellMar>
        </w:tblPrEx>
        <w:trPr>
          <w:trHeight w:val="1735"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7</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洗铁滚笼分选筛</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1.设备名称：GL4012/滚笼筛</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2.外形尺寸：长4620X宽1900X高1645</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3.电机功率：YKP132-4级-5.5kw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4.减速机型号：JZQ250-23.34齿轮减速机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5.筛网规格  ①筛孔：4mm 筛孔内边距5mm ②板厚：2mm  ③材质：201不锈钢 </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6.电机方向入料口一左一右</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洛阳环卓</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8</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跳汰机</w:t>
            </w:r>
          </w:p>
        </w:tc>
        <w:tc>
          <w:tcPr>
            <w:tcW w:w="258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1.设备名称：JT6-3A；     2.单台电机5.5kw ,3台总16.5mw</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转速1440r/min，防护等级IP44</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平桂</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9</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258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1.设备名称：JT4-2A；     2.单台电机5.5kw ,2台总11mw</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转速1440r/min，防护等级IP44</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47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10</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摇床</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60 槽</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1.5kw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11</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摇床集水泵（腋下1.5m</w:t>
            </w:r>
            <w:r>
              <w:rPr>
                <w:rFonts w:hint="eastAsia" w:asciiTheme="minorEastAsia" w:hAnsiTheme="minorEastAsia" w:eastAsiaTheme="minorEastAsia" w:cstheme="minorEastAsia"/>
                <w:color w:val="auto"/>
                <w:sz w:val="20"/>
                <w:highlight w:val="none"/>
                <w:lang w:eastAsia="zh-CN" w:bidi="ar"/>
              </w:rPr>
              <w:t>）</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规格型号：立式KZJL100-34；流量：180m³/h；扬程：10m；功率：15kw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上海凯泉泵业</w:t>
            </w:r>
          </w:p>
        </w:tc>
      </w:tr>
      <w:tr>
        <w:tblPrEx>
          <w:tblCellMar>
            <w:top w:w="0" w:type="dxa"/>
            <w:left w:w="108" w:type="dxa"/>
            <w:bottom w:w="0" w:type="dxa"/>
            <w:right w:w="108" w:type="dxa"/>
          </w:tblCellMar>
        </w:tblPrEx>
        <w:trPr>
          <w:trHeight w:val="2187"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12</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洗铁螺旋机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1.设备名称：LXXS2504/螺旋洗砂机</w:t>
            </w:r>
            <w:r>
              <w:rPr>
                <w:rStyle w:val="386"/>
                <w:rFonts w:hint="default" w:asciiTheme="minorEastAsia" w:hAnsiTheme="minorEastAsia" w:eastAsiaTheme="minorEastAsia" w:cstheme="minorEastAsia"/>
                <w:color w:val="auto"/>
                <w:sz w:val="20"/>
                <w:szCs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2.外形尺寸：长3935X宽1040X高1213</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3.电机功率：YKP132-4级-5.5kw电机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4.减速机型号：JZQ250-48.57齿轮减速机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5.有效螺旋距离2.5米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6.螺旋叶片直径400mm，厚度：6mm</w:t>
            </w:r>
            <w:r>
              <w:rPr>
                <w:rStyle w:val="386"/>
                <w:rFonts w:hint="default" w:asciiTheme="minorEastAsia" w:hAnsiTheme="minorEastAsia" w:eastAsiaTheme="minorEastAsia" w:cstheme="minorEastAsia"/>
                <w:color w:val="auto"/>
                <w:sz w:val="20"/>
                <w:szCs w:val="20"/>
                <w:highlight w:val="none"/>
                <w:lang w:bidi="ar"/>
              </w:rPr>
              <w:br w:type="textWrapping"/>
            </w:r>
            <w:r>
              <w:rPr>
                <w:rFonts w:hint="eastAsia" w:asciiTheme="minorEastAsia" w:hAnsiTheme="minorEastAsia" w:eastAsiaTheme="minorEastAsia" w:cstheme="minorEastAsia"/>
                <w:color w:val="auto"/>
                <w:sz w:val="20"/>
                <w:highlight w:val="none"/>
                <w:lang w:bidi="ar"/>
              </w:rPr>
              <w:t>7.设备摆放角度：15度</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洛阳环卓</w:t>
            </w:r>
          </w:p>
        </w:tc>
      </w:tr>
      <w:tr>
        <w:tblPrEx>
          <w:tblCellMar>
            <w:top w:w="0" w:type="dxa"/>
            <w:left w:w="108" w:type="dxa"/>
            <w:bottom w:w="0" w:type="dxa"/>
            <w:right w:w="108" w:type="dxa"/>
          </w:tblCellMar>
        </w:tblPrEx>
        <w:trPr>
          <w:trHeight w:val="2187"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13</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三级滚笼分选筛</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1.设备名称：GL10515/滚笼筛</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2.外形尺寸：11130长X2280宽X2250高</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3.电机功率：YKP160M-4级-11kw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4.减速机型号：JZQ400-23.34齿轮减速机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5.筛网规格：</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1、前端筛网总长：4.5米 筛孔：3X20mm 笼厚：2mm</w:t>
            </w:r>
          </w:p>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2、中端筛网总长：2米   筛孔：6.5X30mm 笼厚：3mm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3、后端筛网总长：2米   筛孔：13X20mm 笼厚：3mm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4、材质：201不锈钢</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5.电机方向入料口一左一右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6.筛网最后处加30mm高挡水圈</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2187"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14</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高堰式单螺旋分级机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1.设备名称：LXXS7408/螺旋洗砂机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2.外形尺寸：长9120X宽1395X高1610</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3.电机功率：YKP132-4级-7.5kw电机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4.减速机型号：JZQ400-48.57齿轮减速机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5.有效螺旋距离7.5米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6.螺旋叶片直径800mm，厚度：8mm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7.设备摆放角度：15.5度</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2498"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15</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生料滚笼分选筛</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1.设备名称：GL4012/滚笼筛</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2.外形尺寸：长4930X宽1900X高1645</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3.电机功率：YKP132-4级-5.5kw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4.减速机型号：JZQ250-23.34齿轮减速机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5.筛网规格 </w:t>
            </w:r>
            <w:r>
              <w:rPr>
                <w:rStyle w:val="386"/>
                <w:rFonts w:hint="default" w:asciiTheme="minorEastAsia" w:hAnsiTheme="minorEastAsia" w:eastAsiaTheme="minorEastAsia" w:cstheme="minorEastAsia"/>
                <w:color w:val="auto"/>
                <w:sz w:val="20"/>
                <w:szCs w:val="20"/>
                <w:highlight w:val="none"/>
                <w:lang w:bidi="ar"/>
              </w:rPr>
              <w:t xml:space="preserve"> </w:t>
            </w:r>
            <w:r>
              <w:rPr>
                <w:rFonts w:hint="eastAsia" w:asciiTheme="minorEastAsia" w:hAnsiTheme="minorEastAsia" w:eastAsiaTheme="minorEastAsia" w:cstheme="minorEastAsia"/>
                <w:color w:val="auto"/>
                <w:sz w:val="20"/>
                <w:highlight w:val="none"/>
                <w:lang w:bidi="ar"/>
              </w:rPr>
              <w:t>①筛孔：5mm 筛孔内边距5mm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②板厚：3mm </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③材质：201不锈钢 </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6.电机方向入料口一左一右</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943"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16</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涡电流分选机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1.设备名称：SES-100；</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2.皮带表面磁场（可测） 5000 Gs；  </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3.皮带电机功率 2.2 kW， 转子电机功率 4.0 kW，振动电机功率 2×0.75 kW，总功率：14kw；   </w:t>
            </w:r>
          </w:p>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 xml:space="preserve">4.磁辊最大转速 3500 r/min；   </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5.设备尺寸（长×宽×高） 3615mm×2236mm×1515mm； </w:t>
            </w:r>
          </w:p>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6.分选机重量 3370 kg</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w:t>
            </w:r>
          </w:p>
        </w:tc>
        <w:tc>
          <w:tcPr>
            <w:tcW w:w="644" w:type="pct"/>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辽宁环卓</w:t>
            </w:r>
          </w:p>
        </w:tc>
      </w:tr>
      <w:tr>
        <w:tblPrEx>
          <w:tblCellMar>
            <w:top w:w="0" w:type="dxa"/>
            <w:left w:w="108" w:type="dxa"/>
            <w:bottom w:w="0" w:type="dxa"/>
            <w:right w:w="108" w:type="dxa"/>
          </w:tblCellMar>
        </w:tblPrEx>
        <w:trPr>
          <w:trHeight w:val="943"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17</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1.设备名称：SESS-150；  </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2.皮带表面磁场（可测） 5000 Gs；  </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3.皮带电机功率 2×3.0 kW， 转子电机功率2×5.5 kW，振动电机功率 4×1.5 </w:t>
            </w:r>
            <w:r>
              <w:rPr>
                <w:rFonts w:hint="eastAsia" w:asciiTheme="minorEastAsia" w:hAnsiTheme="minorEastAsia" w:eastAsiaTheme="minorEastAsia" w:cstheme="minorEastAsia"/>
                <w:color w:val="auto"/>
                <w:sz w:val="20"/>
                <w:highlight w:val="none"/>
                <w:lang w:eastAsia="zh-CN" w:bidi="ar"/>
              </w:rPr>
              <w:t>kW</w:t>
            </w:r>
            <w:r>
              <w:rPr>
                <w:rFonts w:hint="eastAsia" w:asciiTheme="minorEastAsia" w:hAnsiTheme="minorEastAsia" w:eastAsiaTheme="minorEastAsia" w:cstheme="minorEastAsia"/>
                <w:color w:val="auto"/>
                <w:sz w:val="20"/>
                <w:highlight w:val="none"/>
                <w:lang w:bidi="ar"/>
              </w:rPr>
              <w:t xml:space="preserve">，总功率：25kw；  </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4.磁辊最大转速 3500 r/min；   </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5.设备尺寸（长×宽×高）4115mm×2808mm×2495mm；  </w:t>
            </w:r>
          </w:p>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6.分选机重量 8489 kg</w:t>
            </w: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18</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渣头皮带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洛阳环卓</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19</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粗砂皮带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20</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21</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细沙皮带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22</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铁料皮带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23</w:t>
            </w:r>
          </w:p>
        </w:tc>
        <w:tc>
          <w:tcPr>
            <w:tcW w:w="244" w:type="pct"/>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上料钢平台设备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上料斗（带格栅）</w:t>
            </w:r>
          </w:p>
        </w:tc>
        <w:tc>
          <w:tcPr>
            <w:tcW w:w="25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1.设备名称：LD4040/料斗（</w:t>
            </w:r>
            <w:r>
              <w:rPr>
                <w:rFonts w:hint="eastAsia" w:asciiTheme="minorEastAsia" w:hAnsiTheme="minorEastAsia" w:eastAsiaTheme="minorEastAsia" w:cstheme="minorEastAsia"/>
                <w:color w:val="auto"/>
                <w:sz w:val="20"/>
                <w:highlight w:val="none"/>
                <w:lang w:val="en-US" w:eastAsia="zh-CN" w:bidi="ar"/>
              </w:rPr>
              <w:t>振</w:t>
            </w:r>
            <w:r>
              <w:rPr>
                <w:rFonts w:hint="eastAsia" w:asciiTheme="minorEastAsia" w:hAnsiTheme="minorEastAsia" w:eastAsiaTheme="minorEastAsia" w:cstheme="minorEastAsia"/>
                <w:color w:val="auto"/>
                <w:sz w:val="20"/>
                <w:highlight w:val="none"/>
                <w:lang w:bidi="ar"/>
              </w:rPr>
              <w:t>动筛出料） 2.外形尺寸：长4280X宽4610X高2500 3.电机功率：VB-20114-W</w:t>
            </w:r>
            <w:r>
              <w:rPr>
                <w:rFonts w:hint="eastAsia" w:asciiTheme="minorEastAsia" w:hAnsiTheme="minorEastAsia" w:eastAsiaTheme="minorEastAsia" w:cstheme="minorEastAsia"/>
                <w:color w:val="auto"/>
                <w:sz w:val="20"/>
                <w:highlight w:val="none"/>
                <w:lang w:val="en-US" w:eastAsia="zh-CN" w:bidi="ar"/>
              </w:rPr>
              <w:t>振</w:t>
            </w:r>
            <w:r>
              <w:rPr>
                <w:rFonts w:hint="eastAsia" w:asciiTheme="minorEastAsia" w:hAnsiTheme="minorEastAsia" w:eastAsiaTheme="minorEastAsia" w:cstheme="minorEastAsia"/>
                <w:color w:val="auto"/>
                <w:sz w:val="20"/>
                <w:highlight w:val="none"/>
                <w:lang w:bidi="ar"/>
              </w:rPr>
              <w:t>动电机1.1KWx1 4.栅格方向一左一右 5.料斗出料口方向一左一右</w:t>
            </w: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24</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上料斗给料机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1.设备名称：ZDGL2314/</w:t>
            </w:r>
            <w:r>
              <w:rPr>
                <w:rFonts w:hint="eastAsia" w:asciiTheme="minorEastAsia" w:hAnsiTheme="minorEastAsia" w:eastAsiaTheme="minorEastAsia" w:cstheme="minorEastAsia"/>
                <w:color w:val="auto"/>
                <w:sz w:val="20"/>
                <w:highlight w:val="none"/>
                <w:lang w:val="en-US" w:eastAsia="zh-CN" w:bidi="ar"/>
              </w:rPr>
              <w:t>振</w:t>
            </w:r>
            <w:r>
              <w:rPr>
                <w:rFonts w:hint="eastAsia" w:asciiTheme="minorEastAsia" w:hAnsiTheme="minorEastAsia" w:eastAsiaTheme="minorEastAsia" w:cstheme="minorEastAsia"/>
                <w:color w:val="auto"/>
                <w:sz w:val="20"/>
                <w:highlight w:val="none"/>
                <w:lang w:bidi="ar"/>
              </w:rPr>
              <w:t>动给料机 2.外形尺寸：长2324X宽1410X高1756 3.电机功率：VB-20114-W</w:t>
            </w:r>
            <w:r>
              <w:rPr>
                <w:rFonts w:hint="eastAsia" w:asciiTheme="minorEastAsia" w:hAnsiTheme="minorEastAsia" w:eastAsiaTheme="minorEastAsia" w:cstheme="minorEastAsia"/>
                <w:color w:val="auto"/>
                <w:sz w:val="20"/>
                <w:highlight w:val="none"/>
                <w:lang w:val="en-US" w:eastAsia="zh-CN" w:bidi="ar"/>
              </w:rPr>
              <w:t>振</w:t>
            </w:r>
            <w:r>
              <w:rPr>
                <w:rFonts w:hint="eastAsia" w:asciiTheme="minorEastAsia" w:hAnsiTheme="minorEastAsia" w:eastAsiaTheme="minorEastAsia" w:cstheme="minorEastAsia"/>
                <w:color w:val="auto"/>
                <w:sz w:val="20"/>
                <w:highlight w:val="none"/>
                <w:lang w:bidi="ar"/>
              </w:rPr>
              <w:t>动电机1.1KWx2 4.料斗出料口方向一左一右</w:t>
            </w: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943"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25</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上料滚笼分选筛</w:t>
            </w:r>
          </w:p>
        </w:tc>
        <w:tc>
          <w:tcPr>
            <w:tcW w:w="2585" w:type="pct"/>
            <w:tcBorders>
              <w:top w:val="single" w:color="000000" w:sz="4" w:space="0"/>
              <w:left w:val="single" w:color="000000" w:sz="4" w:space="0"/>
              <w:bottom w:val="nil"/>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1.设备名称：GL4015/滚笼筛 2.外形尺寸：4700长X2340宽X1930高 3.电机功率：YKP132-4级-7.5kw 4.减速机型号：JZQ350-23.34齿轮减速机 5.筛网规格：筛孔：60mm 筛孔内边距：50mm 板厚：10mm 材质：Q235碳钢 6.电机方向入料口一左一右</w:t>
            </w: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26</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上料滚笼底给料机</w:t>
            </w:r>
          </w:p>
        </w:tc>
        <w:tc>
          <w:tcPr>
            <w:tcW w:w="2585" w:type="pct"/>
            <w:tcBorders>
              <w:top w:val="single" w:color="000000" w:sz="4" w:space="0"/>
              <w:left w:val="single" w:color="000000" w:sz="4" w:space="0"/>
              <w:bottom w:val="nil"/>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1.设备名称：ZDGL148/吊装式给料机 2.外形尺寸：长1450X宽865X高870 3.电机功率：VB-20114-W</w:t>
            </w:r>
            <w:r>
              <w:rPr>
                <w:rFonts w:hint="eastAsia" w:asciiTheme="minorEastAsia" w:hAnsiTheme="minorEastAsia" w:eastAsiaTheme="minorEastAsia" w:cstheme="minorEastAsia"/>
                <w:color w:val="auto"/>
                <w:sz w:val="20"/>
                <w:highlight w:val="none"/>
                <w:lang w:val="en-US" w:eastAsia="zh-CN" w:bidi="ar"/>
              </w:rPr>
              <w:t>振</w:t>
            </w:r>
            <w:r>
              <w:rPr>
                <w:rFonts w:hint="eastAsia" w:asciiTheme="minorEastAsia" w:hAnsiTheme="minorEastAsia" w:eastAsiaTheme="minorEastAsia" w:cstheme="minorEastAsia"/>
                <w:color w:val="auto"/>
                <w:sz w:val="20"/>
                <w:highlight w:val="none"/>
                <w:lang w:bidi="ar"/>
              </w:rPr>
              <w:t>动电机1.1KWx1</w:t>
            </w: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27</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渣头破碎机</w:t>
            </w:r>
          </w:p>
        </w:tc>
        <w:tc>
          <w:tcPr>
            <w:tcW w:w="2585" w:type="pct"/>
            <w:tcBorders>
              <w:top w:val="single" w:color="000000" w:sz="4" w:space="0"/>
              <w:left w:val="single" w:color="000000" w:sz="4" w:space="0"/>
              <w:bottom w:val="nil"/>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1.设备名称：PS800/破碎机（无筛条） 2.外形尺寸：2700长X1775宽X1135高 3.电机功率：YKP-280S-6级-45kw  4.底座：200工字钢 5.出料方向：下方 6.电机方向：一左一右</w:t>
            </w: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28</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自卸带式电磁除铁器</w:t>
            </w:r>
          </w:p>
        </w:tc>
        <w:tc>
          <w:tcPr>
            <w:tcW w:w="2585" w:type="pct"/>
            <w:tcBorders>
              <w:top w:val="single" w:color="000000" w:sz="4" w:space="0"/>
              <w:left w:val="single" w:color="000000" w:sz="4" w:space="0"/>
              <w:bottom w:val="nil"/>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1.设备名称：RCDD-10/电磁磁选机 2.皮带宽度：带宽1m  3.电机功率：YE2-100-4-4KW  4.电机方向：一左一右  5.上面密封</w:t>
            </w: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辽宁环卓</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29</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上滚笼皮带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洛阳环卓</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30</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滚笼底磁滚筒吸铁皮带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31</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笼尾吊选底输铁皮带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32</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上料笼尾皮带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33</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上沙机皮带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34</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上打铁机皮带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943"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35</w:t>
            </w:r>
          </w:p>
        </w:tc>
        <w:tc>
          <w:tcPr>
            <w:tcW w:w="2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沉沙斗钢</w:t>
            </w:r>
            <w:r>
              <w:rPr>
                <w:rFonts w:hint="eastAsia" w:asciiTheme="minorEastAsia" w:hAnsiTheme="minorEastAsia" w:eastAsiaTheme="minorEastAsia" w:cstheme="minorEastAsia"/>
                <w:color w:val="auto"/>
                <w:sz w:val="20"/>
                <w:highlight w:val="none"/>
                <w:lang w:eastAsia="zh-CN" w:bidi="ar"/>
              </w:rPr>
              <w:t>平台</w:t>
            </w:r>
            <w:r>
              <w:rPr>
                <w:rFonts w:hint="eastAsia" w:asciiTheme="minorEastAsia" w:hAnsiTheme="minorEastAsia" w:eastAsiaTheme="minorEastAsia" w:cstheme="minorEastAsia"/>
                <w:color w:val="auto"/>
                <w:sz w:val="20"/>
                <w:highlight w:val="none"/>
                <w:lang w:bidi="ar"/>
              </w:rPr>
              <w:t>设备</w:t>
            </w: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沉沙斗</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1.设备名称：CSD12774/沉沙斗</w:t>
            </w:r>
            <w:r>
              <w:rPr>
                <w:rStyle w:val="386"/>
                <w:rFonts w:hint="default" w:asciiTheme="minorEastAsia" w:hAnsiTheme="minorEastAsia" w:eastAsiaTheme="minorEastAsia" w:cstheme="minorEastAsia"/>
                <w:color w:val="auto"/>
                <w:sz w:val="20"/>
                <w:szCs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2.外形尺寸：长12755宽7445X高3000</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3.排水方向：一左一右</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8</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2498"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36</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螺旋洗砂机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1.设备名称：LXXS5508/螺旋洗砂机</w:t>
            </w:r>
            <w:r>
              <w:rPr>
                <w:rStyle w:val="386"/>
                <w:rFonts w:hint="default" w:asciiTheme="minorEastAsia" w:hAnsiTheme="minorEastAsia" w:eastAsiaTheme="minorEastAsia" w:cstheme="minorEastAsia"/>
                <w:color w:val="auto"/>
                <w:sz w:val="20"/>
                <w:szCs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2.外形尺寸：长7290X宽1390X高2850</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3.电机功率：YKP132-4级-7.5kw电机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4.减速机型号：JZQ400-48.57齿轮减速机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5.有效螺旋距离5.5米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6.螺旋叶片直径800mm，厚度：8mm</w:t>
            </w:r>
            <w:r>
              <w:rPr>
                <w:rStyle w:val="386"/>
                <w:rFonts w:hint="default" w:asciiTheme="minorEastAsia" w:hAnsiTheme="minorEastAsia" w:eastAsiaTheme="minorEastAsia" w:cstheme="minorEastAsia"/>
                <w:color w:val="auto"/>
                <w:sz w:val="20"/>
                <w:szCs w:val="20"/>
                <w:highlight w:val="none"/>
                <w:lang w:bidi="ar"/>
              </w:rPr>
              <w:br w:type="textWrapping"/>
            </w:r>
            <w:r>
              <w:rPr>
                <w:rFonts w:hint="eastAsia" w:asciiTheme="minorEastAsia" w:hAnsiTheme="minorEastAsia" w:eastAsiaTheme="minorEastAsia" w:cstheme="minorEastAsia"/>
                <w:color w:val="auto"/>
                <w:sz w:val="20"/>
                <w:highlight w:val="none"/>
                <w:lang w:bidi="ar"/>
              </w:rPr>
              <w:t>7.设备摆放角度：18度</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8.排水方向：一左一右</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2187"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37</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脱水筛</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1.设备名称：ZS6024/重型</w:t>
            </w:r>
            <w:r>
              <w:rPr>
                <w:rFonts w:hint="eastAsia" w:asciiTheme="minorEastAsia" w:hAnsiTheme="minorEastAsia" w:eastAsiaTheme="minorEastAsia" w:cstheme="minorEastAsia"/>
                <w:color w:val="auto"/>
                <w:sz w:val="20"/>
                <w:highlight w:val="none"/>
                <w:lang w:val="en-US" w:eastAsia="zh-CN" w:bidi="ar"/>
              </w:rPr>
              <w:t>振</w:t>
            </w:r>
            <w:r>
              <w:rPr>
                <w:rFonts w:hint="eastAsia" w:asciiTheme="minorEastAsia" w:hAnsiTheme="minorEastAsia" w:eastAsiaTheme="minorEastAsia" w:cstheme="minorEastAsia"/>
                <w:color w:val="auto"/>
                <w:sz w:val="20"/>
                <w:highlight w:val="none"/>
                <w:lang w:bidi="ar"/>
              </w:rPr>
              <w:t>筛（单层—胶板）</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2.外形尺寸：长6980X宽3140X高3250</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3.电机功率：VBCB-75606-6KW侧板振动电机X4套</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4.聚氨酯胶板筛缝：底面：0.2mm</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75目）侧面：0.3mm</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48目）</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5.排水方向：进料口方向左边2台、剩余1台右边</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6.预留排水管：底架预留排水管在进料口2台左边、剩余1台右边、位置在进料口下方，排水管直径160mm</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38</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细沙振筛底渣浆泵</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规格型号：渣浆泵KZJ80-36；流量：110m³/h；扬程：10m；功率：11kw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上海凯泉泵业</w:t>
            </w: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39</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集水池水泵（腋下1.5m</w:t>
            </w:r>
            <w:r>
              <w:rPr>
                <w:rFonts w:hint="eastAsia" w:asciiTheme="minorEastAsia" w:hAnsiTheme="minorEastAsia" w:eastAsiaTheme="minorEastAsia" w:cstheme="minorEastAsia"/>
                <w:color w:val="auto"/>
                <w:sz w:val="20"/>
                <w:highlight w:val="none"/>
                <w:lang w:eastAsia="zh-CN" w:bidi="ar"/>
              </w:rPr>
              <w:t>）</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规格型号：立式KZJL100-34；流量：130</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150m³/h；扬程：10</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15m；功率：15kw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40</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细沙浓缩罐</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GT-5M-45，两个气阀</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现场做</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41</w:t>
            </w:r>
          </w:p>
        </w:tc>
        <w:tc>
          <w:tcPr>
            <w:tcW w:w="2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压滤机、水罐区设备</w:t>
            </w: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隔膜压滤机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500平方</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14.3kw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42</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水罐</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GT-10M-71</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43</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刮泥机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JBC-10M   1.5kw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w:t>
            </w:r>
          </w:p>
        </w:tc>
        <w:tc>
          <w:tcPr>
            <w:tcW w:w="644"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44</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压滤机渣浆泵</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规格型号：渣浆泵KZJG100-B42；流量：200m³/h；扬程：60m；功率：75kw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上海凯泉泵业</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45</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大跳汰机清水泵</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规格型号：卧式清水泵200KQW280-16-18.5/4；流量：280m³/h；扬程：14m；功率：18.5kw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46</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小跳汰机清水泵</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规格型号：卧式清水泵125KQW160-12.5-11/2；流量：150m³/h；扬程：12m；功率：11kw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47</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铜沙摇床清水泵</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规格型号：卧式清水泵100KQW89-10-4/2；流量：80m³/h；扬程：8m；功率：4kw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48</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喷淋清洗水泵</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规格型号：喷淋清洗泵100KQL95-20-7.5/2；流量：100m³/h；扬程：18m；功率：7.5kw</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1876"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49</w:t>
            </w:r>
          </w:p>
        </w:tc>
        <w:tc>
          <w:tcPr>
            <w:tcW w:w="2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铜砂房设备</w:t>
            </w:r>
          </w:p>
        </w:tc>
        <w:tc>
          <w:tcPr>
            <w:tcW w:w="7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铜头破碎机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1.设备名称：PS650/破碎机（筛条密封）</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2.外形尺寸：2700长X1610宽X1135高</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3.电机功率：YKP-250M-6级-37kw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4.底座：200工字钢</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5.出料方向：下方</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6.电机方向：一左一右</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洛阳环卓</w:t>
            </w:r>
          </w:p>
        </w:tc>
      </w:tr>
      <w:tr>
        <w:tblPrEx>
          <w:tblCellMar>
            <w:top w:w="0" w:type="dxa"/>
            <w:left w:w="108" w:type="dxa"/>
            <w:bottom w:w="0" w:type="dxa"/>
            <w:right w:w="108" w:type="dxa"/>
          </w:tblCellMar>
        </w:tblPrEx>
        <w:trPr>
          <w:trHeight w:val="1254"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50</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储料斗电磁振动给料机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1.设备名称：CLD2525/储料斗电磁振动给料机</w:t>
            </w:r>
            <w:r>
              <w:rPr>
                <w:rStyle w:val="386"/>
                <w:rFonts w:hint="default" w:asciiTheme="minorEastAsia" w:hAnsiTheme="minorEastAsia" w:eastAsiaTheme="minorEastAsia" w:cstheme="minorEastAsia"/>
                <w:color w:val="auto"/>
                <w:sz w:val="20"/>
                <w:szCs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2.外形尺寸：长2520X宽2520X高2000</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3.出料方向：两左两右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4.电机型号：电磁振动给料机GZ-1</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w:t>
            </w:r>
          </w:p>
        </w:tc>
        <w:tc>
          <w:tcPr>
            <w:tcW w:w="64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2498"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51</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铜砂滚笼筛</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1.设备名称：GL1205/滚笼筛</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2.电机功率：YS803-4-1.1KW电机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3.减速机型号：BWD0-23-0.75KW减速机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4.筛网规格  ①圆孔：16mm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②筛孔内边距：10mm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③板厚：3mm  </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④材质：201不锈钢</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5.电机方向：一左一右</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2150"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52</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color w:val="auto"/>
                <w:sz w:val="20"/>
                <w:highlight w:val="none"/>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1.设备名称：GL1205/滚笼筛</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2.电机功率：YS803-4-1.1KW电机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3.减速机型号：BWD0-23-0.75KW减速机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4.筛网规格  ①圆孔：30mm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②筛孔内边距：25mm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③板厚：3mm  </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④材质：201不锈钢</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5.电机方向：一左一右</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1254"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53</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铜砂房吸铁</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1.设备名称：CTN4040/逆转磁选机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2.滚筒参数：直径400mm，长度400mm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3.电机方向：两左两右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4.电机功率：YE2-100-4-1.5KW</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w:t>
            </w:r>
          </w:p>
        </w:tc>
        <w:tc>
          <w:tcPr>
            <w:tcW w:w="64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54</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铜砂房摇床</w:t>
            </w:r>
          </w:p>
        </w:tc>
        <w:tc>
          <w:tcPr>
            <w:tcW w:w="2585" w:type="pct"/>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平桂</w:t>
            </w:r>
          </w:p>
        </w:tc>
      </w:tr>
      <w:tr>
        <w:tblPrEx>
          <w:tblCellMar>
            <w:top w:w="0" w:type="dxa"/>
            <w:left w:w="108" w:type="dxa"/>
            <w:bottom w:w="0" w:type="dxa"/>
            <w:right w:w="108" w:type="dxa"/>
          </w:tblCellMar>
        </w:tblPrEx>
        <w:trPr>
          <w:trHeight w:val="1876"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55</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铜砂摇床吸铁</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1.设备名称：摇床挂选悬挂式永磁磁选机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2.皮带参数：带宽350mm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3.其他参数：3000磁场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4.电机功率：YE2-100-4-1.1KW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5.电机方向：一左一右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6.磁铁要超过摇床面，单面超过300mm水槽方向</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辽宁环卓</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56</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球磨机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37kw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江西</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57</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铜砂螺旋分选机</w:t>
            </w:r>
          </w:p>
        </w:tc>
        <w:tc>
          <w:tcPr>
            <w:tcW w:w="2585" w:type="pct"/>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w:t>
            </w:r>
          </w:p>
        </w:tc>
        <w:tc>
          <w:tcPr>
            <w:tcW w:w="64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58</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集水池水泵（腋下1.5m</w:t>
            </w:r>
            <w:r>
              <w:rPr>
                <w:rFonts w:hint="eastAsia" w:asciiTheme="minorEastAsia" w:hAnsiTheme="minorEastAsia" w:eastAsiaTheme="minorEastAsia" w:cstheme="minorEastAsia"/>
                <w:color w:val="auto"/>
                <w:sz w:val="20"/>
                <w:highlight w:val="none"/>
                <w:lang w:eastAsia="zh-CN" w:bidi="ar"/>
              </w:rPr>
              <w:t>）</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规格型号：立式KZJL100-34；流量：130</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150m³/h；扬程：10</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15m；功率：15kw</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上海凯泉泵业</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59</w:t>
            </w:r>
          </w:p>
        </w:tc>
        <w:tc>
          <w:tcPr>
            <w:tcW w:w="244"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装载机</w:t>
            </w:r>
          </w:p>
        </w:tc>
        <w:tc>
          <w:tcPr>
            <w:tcW w:w="2585"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CLG855N</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柳工</w:t>
            </w:r>
          </w:p>
        </w:tc>
      </w:tr>
      <w:tr>
        <w:tblPrEx>
          <w:tblCellMar>
            <w:top w:w="0" w:type="dxa"/>
            <w:left w:w="108" w:type="dxa"/>
            <w:bottom w:w="0" w:type="dxa"/>
            <w:right w:w="108" w:type="dxa"/>
          </w:tblCellMar>
        </w:tblPrEx>
        <w:trPr>
          <w:trHeight w:val="353"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60</w:t>
            </w:r>
          </w:p>
        </w:tc>
        <w:tc>
          <w:tcPr>
            <w:tcW w:w="244"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叉车</w:t>
            </w:r>
          </w:p>
        </w:tc>
        <w:tc>
          <w:tcPr>
            <w:tcW w:w="2585"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CPCD30-Q19K</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合力</w:t>
            </w:r>
          </w:p>
        </w:tc>
      </w:tr>
    </w:tbl>
    <w:p>
      <w:pPr>
        <w:rPr>
          <w:rFonts w:hint="eastAsia" w:ascii="宋体" w:hAnsi="宋体" w:eastAsia="宋体" w:cs="宋体"/>
          <w:color w:val="auto"/>
          <w:sz w:val="32"/>
          <w:szCs w:val="32"/>
          <w:highlight w:val="none"/>
          <w:lang w:val="en-US" w:eastAsia="zh-CN" w:bidi="zh-TW"/>
        </w:rPr>
        <w:sectPr>
          <w:pgSz w:w="12189" w:h="16441"/>
          <w:pgMar w:top="1417" w:right="1417" w:bottom="1417" w:left="1417" w:header="850" w:footer="959" w:gutter="0"/>
          <w:pgBorders>
            <w:top w:val="none" w:sz="0" w:space="0"/>
            <w:left w:val="none" w:sz="0" w:space="0"/>
            <w:bottom w:val="none" w:sz="0" w:space="0"/>
            <w:right w:val="none" w:sz="0" w:space="0"/>
          </w:pgBorders>
          <w:pgNumType w:fmt="decimal"/>
          <w:cols w:space="720" w:num="1"/>
        </w:sectPr>
      </w:pPr>
    </w:p>
    <w:p>
      <w:pPr>
        <w:rPr>
          <w:rFonts w:hint="default" w:ascii="宋体" w:hAnsi="宋体" w:eastAsia="宋体" w:cs="宋体"/>
          <w:b/>
          <w:bCs/>
          <w:color w:val="auto"/>
          <w:sz w:val="21"/>
          <w:szCs w:val="21"/>
          <w:highlight w:val="none"/>
          <w:lang w:val="en-US" w:eastAsia="zh-CN" w:bidi="zh-TW"/>
        </w:rPr>
      </w:pPr>
      <w:r>
        <w:rPr>
          <w:rFonts w:hint="eastAsia" w:ascii="宋体" w:hAnsi="宋体" w:eastAsia="宋体" w:cs="宋体"/>
          <w:b/>
          <w:bCs/>
          <w:color w:val="auto"/>
          <w:sz w:val="21"/>
          <w:szCs w:val="21"/>
          <w:highlight w:val="none"/>
          <w:lang w:val="en-US" w:eastAsia="zh-CN" w:bidi="zh-TW"/>
        </w:rPr>
        <w:t>附件</w:t>
      </w:r>
      <w:r>
        <w:rPr>
          <w:rFonts w:hint="eastAsia" w:hAnsi="宋体" w:cs="宋体"/>
          <w:b/>
          <w:bCs/>
          <w:color w:val="auto"/>
          <w:sz w:val="21"/>
          <w:szCs w:val="21"/>
          <w:highlight w:val="none"/>
          <w:lang w:val="en-US" w:eastAsia="zh-CN" w:bidi="zh-TW"/>
        </w:rPr>
        <w:t>二</w:t>
      </w:r>
    </w:p>
    <w:p>
      <w:pPr>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炉渣综合处置主设备检修周期及备品备件清单</w:t>
      </w:r>
    </w:p>
    <w:tbl>
      <w:tblPr>
        <w:tblStyle w:val="8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1126"/>
        <w:gridCol w:w="1491"/>
        <w:gridCol w:w="3129"/>
        <w:gridCol w:w="1126"/>
        <w:gridCol w:w="1491"/>
        <w:gridCol w:w="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设备名称</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检修项目</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检查内容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周期</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更换备件</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抓斗起重机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钢丝绳</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二年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钢丝绳</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斗齿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二年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斗齿</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线路</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检查、清洁</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线路</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传送机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皮带</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视磨损情况</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皮带</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油脂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视磨损情况</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滚笼筛</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筛网</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筛网</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托轮</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托轮</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齿轮</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齿轮</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破碎机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油脂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寸板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寸板</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筛条</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筛条</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三角皮带</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三角皮带</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锤头</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十天</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锤头</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串肖</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串肖</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跳汰机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弹簧</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断裂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弹簧</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橡胶</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老化裂痕</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橡胶</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波箱</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检查齿轮磨损加齿轮油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波箱</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连轴器</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连接胶粒磨损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连轴器</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筛网</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筛网</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湿选</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磁铁</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受损、失磁</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磁铁</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外壳筒体</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外壳筒体</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加油脂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密封圈</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损坏</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密封圈</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减速机</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增加齿轮油、开盖查看磨损情况</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减速机</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吊选</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皮带</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受损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皮带</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加油脂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减速机</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增加齿轮油、开盖查看齿轮磨损情况</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减速机</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摇床</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凸轮波箱</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增加齿轮油、开盖查看瓦板磨损情况</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凸轮波箱</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摇床面板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磨损情况</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摇床面板</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支撑摇板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支撑摇板</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连接杆</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磨损、断裂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连接杆</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抛铝机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皮带</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磨损表面</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皮带</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分铝板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分铝板</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清扫器</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二个月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清扫器</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橡胶弹簧</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老化弹簧</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橡胶弹簧</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振动电机</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散光壳清洁、加油脂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振动电机</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脱水筛</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筛板</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振动电机</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散热壳、油脂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振动电机</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橡胶弹簧</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弹簧老化</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橡胶弹簧</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41</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压滤机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液压系统</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油管路、油脂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液压系统</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滤板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变形、把手</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滤板</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滤布</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受损、穿洞</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滤布</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44</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拉板电机减速机</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链条、齿轮油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拉板电机减速机</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活塞杆密封</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密封胶圈</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活塞杆密封</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bl>
    <w:p>
      <w:pPr>
        <w:pStyle w:val="380"/>
        <w:spacing w:line="360" w:lineRule="auto"/>
        <w:ind w:firstLine="0"/>
        <w:jc w:val="both"/>
        <w:rPr>
          <w:rFonts w:hint="eastAsia"/>
          <w:color w:val="auto"/>
          <w:sz w:val="32"/>
          <w:szCs w:val="32"/>
          <w:highlight w:val="none"/>
          <w:lang w:val="en-US" w:eastAsia="zh-CN"/>
        </w:rPr>
      </w:pPr>
      <w:r>
        <w:rPr>
          <w:rFonts w:hint="eastAsia" w:hAnsi="宋体" w:cs="宋体"/>
          <w:b w:val="0"/>
          <w:bCs/>
          <w:color w:val="auto"/>
          <w:spacing w:val="0"/>
          <w:sz w:val="21"/>
          <w:szCs w:val="21"/>
          <w:highlight w:val="none"/>
          <w:lang w:val="en-US" w:eastAsia="zh-CN"/>
        </w:rPr>
        <w:t>注：清单内容仅供参考，具体以实际需求为准</w:t>
      </w:r>
    </w:p>
    <w:p>
      <w:pPr>
        <w:pStyle w:val="380"/>
        <w:spacing w:line="360" w:lineRule="auto"/>
        <w:ind w:firstLine="0"/>
        <w:jc w:val="center"/>
        <w:rPr>
          <w:rFonts w:hint="eastAsia"/>
          <w:color w:val="auto"/>
          <w:sz w:val="32"/>
          <w:szCs w:val="32"/>
          <w:highlight w:val="none"/>
          <w:lang w:val="en-US" w:eastAsia="zh-CN"/>
        </w:rPr>
      </w:pPr>
    </w:p>
    <w:p>
      <w:pPr>
        <w:pStyle w:val="380"/>
        <w:spacing w:line="360" w:lineRule="auto"/>
        <w:ind w:firstLine="0"/>
        <w:jc w:val="both"/>
        <w:rPr>
          <w:b/>
          <w:bCs/>
          <w:color w:val="auto"/>
          <w:sz w:val="21"/>
          <w:szCs w:val="21"/>
          <w:highlight w:val="none"/>
          <w:lang w:val="en-US" w:eastAsia="zh-CN"/>
        </w:rPr>
      </w:pPr>
      <w:r>
        <w:rPr>
          <w:rFonts w:hint="eastAsia"/>
          <w:b/>
          <w:bCs/>
          <w:color w:val="auto"/>
          <w:sz w:val="21"/>
          <w:szCs w:val="21"/>
          <w:highlight w:val="none"/>
          <w:lang w:val="en-US" w:eastAsia="zh-CN"/>
        </w:rPr>
        <w:t>附件三：投标人服务范围及服务要求</w:t>
      </w:r>
    </w:p>
    <w:p>
      <w:pPr>
        <w:adjustRightInd w:val="0"/>
        <w:snapToGrid w:val="0"/>
        <w:spacing w:line="360" w:lineRule="auto"/>
        <w:ind w:firstLine="422" w:firstLineChars="200"/>
        <w:rPr>
          <w:rFonts w:cs="宋体"/>
          <w:b/>
          <w:bCs/>
          <w:color w:val="auto"/>
          <w:sz w:val="21"/>
          <w:szCs w:val="21"/>
          <w:highlight w:val="none"/>
        </w:rPr>
      </w:pPr>
      <w:r>
        <w:rPr>
          <w:rFonts w:hint="eastAsia" w:cs="宋体"/>
          <w:b/>
          <w:bCs/>
          <w:color w:val="auto"/>
          <w:sz w:val="21"/>
          <w:szCs w:val="21"/>
          <w:highlight w:val="none"/>
        </w:rPr>
        <w:t>一、炉渣综合处置服务范围</w:t>
      </w:r>
    </w:p>
    <w:p>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（一）炉渣厂运行操作</w:t>
      </w:r>
    </w:p>
    <w:p>
      <w:pPr>
        <w:keepNext/>
        <w:keepLines/>
        <w:tabs>
          <w:tab w:val="left" w:pos="0"/>
        </w:tabs>
        <w:adjustRightInd w:val="0"/>
        <w:snapToGrid w:val="0"/>
        <w:spacing w:line="360" w:lineRule="auto"/>
        <w:ind w:firstLine="420" w:firstLineChars="200"/>
        <w:outlineLvl w:val="1"/>
        <w:rPr>
          <w:rFonts w:hAnsi="宋体"/>
          <w:color w:val="auto"/>
          <w:szCs w:val="21"/>
          <w:highlight w:val="none"/>
        </w:rPr>
      </w:pPr>
      <w:r>
        <w:rPr>
          <w:rFonts w:hint="eastAsia" w:cs="宋体"/>
          <w:color w:val="auto"/>
          <w:szCs w:val="21"/>
          <w:highlight w:val="none"/>
        </w:rPr>
        <w:t>1</w:t>
      </w:r>
      <w:r>
        <w:rPr>
          <w:rFonts w:hint="eastAsia" w:hAnsi="宋体"/>
          <w:color w:val="auto"/>
          <w:szCs w:val="21"/>
          <w:highlight w:val="none"/>
        </w:rPr>
        <w:t>负责抓吊及行车日常操作。炉渣上料、转堆，分拣产品转运及装车。</w:t>
      </w:r>
    </w:p>
    <w:p>
      <w:pPr>
        <w:keepNext/>
        <w:keepLines/>
        <w:tabs>
          <w:tab w:val="left" w:pos="0"/>
        </w:tabs>
        <w:adjustRightInd w:val="0"/>
        <w:snapToGrid w:val="0"/>
        <w:spacing w:line="360" w:lineRule="auto"/>
        <w:ind w:firstLine="420" w:firstLineChars="200"/>
        <w:outlineLvl w:val="1"/>
        <w:rPr>
          <w:rFonts w:hAnsi="宋体"/>
          <w:color w:val="auto"/>
          <w:szCs w:val="21"/>
          <w:highlight w:val="none"/>
        </w:rPr>
      </w:pPr>
      <w:r>
        <w:rPr>
          <w:rFonts w:hint="eastAsia" w:hAnsi="宋体"/>
          <w:color w:val="auto"/>
          <w:szCs w:val="21"/>
          <w:highlight w:val="none"/>
        </w:rPr>
        <w:t>2负责炉渣内大块杂物、生料、不锈钢等人工分拣。</w:t>
      </w:r>
    </w:p>
    <w:p>
      <w:pPr>
        <w:keepNext/>
        <w:keepLines/>
        <w:tabs>
          <w:tab w:val="left" w:pos="0"/>
        </w:tabs>
        <w:adjustRightInd w:val="0"/>
        <w:snapToGrid w:val="0"/>
        <w:spacing w:line="360" w:lineRule="auto"/>
        <w:ind w:firstLine="420" w:firstLineChars="200"/>
        <w:outlineLvl w:val="1"/>
        <w:rPr>
          <w:rFonts w:hAnsi="宋体"/>
          <w:color w:val="auto"/>
          <w:szCs w:val="21"/>
          <w:highlight w:val="none"/>
        </w:rPr>
      </w:pPr>
      <w:r>
        <w:rPr>
          <w:rFonts w:hint="eastAsia" w:hAnsi="宋体"/>
          <w:color w:val="auto"/>
          <w:szCs w:val="21"/>
          <w:highlight w:val="none"/>
        </w:rPr>
        <w:t>3负责清理各滚龙筛的筛孔、进料斗、落料槽等。</w:t>
      </w:r>
    </w:p>
    <w:p>
      <w:pPr>
        <w:keepNext/>
        <w:keepLines/>
        <w:tabs>
          <w:tab w:val="left" w:pos="0"/>
        </w:tabs>
        <w:adjustRightInd w:val="0"/>
        <w:snapToGrid w:val="0"/>
        <w:spacing w:line="360" w:lineRule="auto"/>
        <w:ind w:firstLine="420" w:firstLineChars="200"/>
        <w:outlineLvl w:val="1"/>
        <w:rPr>
          <w:rFonts w:hAnsi="宋体"/>
          <w:color w:val="auto"/>
          <w:szCs w:val="21"/>
          <w:highlight w:val="none"/>
        </w:rPr>
      </w:pPr>
      <w:r>
        <w:rPr>
          <w:rFonts w:hint="eastAsia" w:hAnsi="宋体"/>
          <w:color w:val="auto"/>
          <w:szCs w:val="21"/>
          <w:highlight w:val="none"/>
        </w:rPr>
        <w:t>4负责清理皮带机的刮板、进料斗、落料槽、滚筒、支架等。</w:t>
      </w:r>
    </w:p>
    <w:p>
      <w:pPr>
        <w:spacing w:line="360" w:lineRule="auto"/>
        <w:ind w:firstLine="420" w:firstLineChars="200"/>
        <w:rPr>
          <w:rFonts w:hAnsi="宋体"/>
          <w:color w:val="auto"/>
          <w:szCs w:val="21"/>
          <w:highlight w:val="none"/>
        </w:rPr>
      </w:pPr>
      <w:r>
        <w:rPr>
          <w:rFonts w:hint="eastAsia" w:hAnsi="宋体"/>
          <w:color w:val="auto"/>
          <w:szCs w:val="21"/>
          <w:highlight w:val="none"/>
        </w:rPr>
        <w:t>5负责清理刮板机的进料斗、落料槽等。</w:t>
      </w:r>
    </w:p>
    <w:p>
      <w:pPr>
        <w:spacing w:line="360" w:lineRule="auto"/>
        <w:ind w:firstLine="420" w:firstLineChars="200"/>
        <w:rPr>
          <w:rFonts w:ascii="Times New Roman" w:hAnsi="Times New Roman"/>
          <w:color w:val="auto"/>
          <w:szCs w:val="21"/>
          <w:highlight w:val="none"/>
        </w:rPr>
      </w:pPr>
      <w:r>
        <w:rPr>
          <w:rFonts w:hint="eastAsia" w:hAnsi="宋体"/>
          <w:color w:val="auto"/>
          <w:szCs w:val="21"/>
          <w:highlight w:val="none"/>
        </w:rPr>
        <w:t>6负责振筛、捞沙机的筛网及机体的清理。</w:t>
      </w:r>
    </w:p>
    <w:p>
      <w:pPr>
        <w:spacing w:line="360" w:lineRule="auto"/>
        <w:ind w:firstLine="420" w:firstLineChars="200"/>
        <w:rPr>
          <w:rFonts w:ascii="Times New Roman" w:hAnsi="Times New Roman"/>
          <w:color w:val="auto"/>
          <w:szCs w:val="21"/>
          <w:highlight w:val="none"/>
        </w:rPr>
      </w:pPr>
      <w:r>
        <w:rPr>
          <w:rFonts w:hint="eastAsia" w:hAnsi="宋体"/>
          <w:color w:val="auto"/>
          <w:szCs w:val="21"/>
          <w:highlight w:val="none"/>
        </w:rPr>
        <w:t>7负责沉沙机及跳汰机出水阀门的调整。</w:t>
      </w:r>
    </w:p>
    <w:p>
      <w:pPr>
        <w:spacing w:line="360" w:lineRule="auto"/>
        <w:ind w:firstLine="420" w:firstLineChars="200"/>
        <w:rPr>
          <w:rFonts w:hAnsi="宋体"/>
          <w:color w:val="auto"/>
          <w:szCs w:val="21"/>
          <w:highlight w:val="none"/>
        </w:rPr>
      </w:pPr>
      <w:r>
        <w:rPr>
          <w:rFonts w:hint="eastAsia" w:hAnsi="宋体"/>
          <w:color w:val="auto"/>
          <w:szCs w:val="21"/>
          <w:highlight w:val="none"/>
        </w:rPr>
        <w:t>8负责废铝、铁粉、不锈钢的转运。</w:t>
      </w:r>
    </w:p>
    <w:p>
      <w:pPr>
        <w:spacing w:line="360" w:lineRule="auto"/>
        <w:ind w:firstLine="420" w:firstLineChars="200"/>
        <w:rPr>
          <w:rFonts w:hAnsi="宋体"/>
          <w:color w:val="auto"/>
          <w:szCs w:val="21"/>
          <w:highlight w:val="none"/>
        </w:rPr>
      </w:pPr>
      <w:r>
        <w:rPr>
          <w:rFonts w:hint="eastAsia" w:hAnsi="宋体"/>
          <w:color w:val="auto"/>
          <w:szCs w:val="21"/>
          <w:highlight w:val="none"/>
        </w:rPr>
        <w:t>9负责压滤机的操作，系统实现泥、水分离。</w:t>
      </w:r>
    </w:p>
    <w:p>
      <w:pPr>
        <w:spacing w:line="360" w:lineRule="auto"/>
        <w:ind w:firstLine="420" w:firstLineChars="200"/>
        <w:rPr>
          <w:rFonts w:hAnsi="宋体"/>
          <w:color w:val="auto"/>
          <w:szCs w:val="21"/>
          <w:highlight w:val="none"/>
        </w:rPr>
      </w:pPr>
      <w:r>
        <w:rPr>
          <w:rFonts w:hint="eastAsia" w:hAnsi="宋体"/>
          <w:color w:val="auto"/>
          <w:szCs w:val="21"/>
          <w:highlight w:val="none"/>
        </w:rPr>
        <w:t>10负责除尘除臭系统就地操作及药品添加更换。</w:t>
      </w:r>
    </w:p>
    <w:p>
      <w:pPr>
        <w:spacing w:line="360" w:lineRule="auto"/>
        <w:ind w:firstLine="420" w:firstLineChars="200"/>
        <w:rPr>
          <w:rFonts w:hAnsi="宋体"/>
          <w:color w:val="auto"/>
          <w:szCs w:val="21"/>
          <w:highlight w:val="none"/>
        </w:rPr>
      </w:pPr>
      <w:r>
        <w:rPr>
          <w:rFonts w:hint="eastAsia" w:hAnsi="宋体"/>
          <w:color w:val="auto"/>
          <w:szCs w:val="21"/>
          <w:highlight w:val="none"/>
        </w:rPr>
        <w:t>11负责铲车操作，上料、协助转运炉渣，环保</w:t>
      </w:r>
      <w:r>
        <w:rPr>
          <w:rFonts w:hint="eastAsia" w:hAnsi="宋体"/>
          <w:color w:val="auto"/>
          <w:szCs w:val="21"/>
          <w:highlight w:val="none"/>
          <w:lang w:val="en-US" w:eastAsia="zh-CN"/>
        </w:rPr>
        <w:t>砂</w:t>
      </w:r>
      <w:r>
        <w:rPr>
          <w:rFonts w:hint="eastAsia" w:hAnsi="宋体"/>
          <w:color w:val="auto"/>
          <w:szCs w:val="21"/>
          <w:highlight w:val="none"/>
        </w:rPr>
        <w:t>、碎铁、铁粉装车等。</w:t>
      </w:r>
    </w:p>
    <w:p>
      <w:pPr>
        <w:spacing w:line="360" w:lineRule="auto"/>
        <w:ind w:firstLine="420" w:firstLineChars="200"/>
        <w:rPr>
          <w:rFonts w:hAnsi="宋体"/>
          <w:color w:val="auto"/>
          <w:szCs w:val="21"/>
          <w:highlight w:val="none"/>
        </w:rPr>
      </w:pPr>
      <w:r>
        <w:rPr>
          <w:rFonts w:hint="eastAsia" w:hAnsi="宋体"/>
          <w:color w:val="auto"/>
          <w:szCs w:val="21"/>
          <w:highlight w:val="none"/>
        </w:rPr>
        <w:t>12负责操作炉渣厂集控DCS系统，远程操作系统控制设备及监视现场工作状况。</w:t>
      </w:r>
    </w:p>
    <w:p>
      <w:pPr>
        <w:spacing w:line="360" w:lineRule="auto"/>
        <w:ind w:firstLine="420" w:firstLineChars="200"/>
        <w:rPr>
          <w:rFonts w:hAnsi="宋体"/>
          <w:color w:val="auto"/>
          <w:szCs w:val="21"/>
          <w:highlight w:val="none"/>
        </w:rPr>
      </w:pPr>
      <w:r>
        <w:rPr>
          <w:rFonts w:hint="eastAsia" w:hAnsi="宋体"/>
          <w:color w:val="auto"/>
          <w:szCs w:val="21"/>
          <w:highlight w:val="none"/>
        </w:rPr>
        <w:t>13负责对炉渣处置系统现场设备（包含桥吊、滚笼筛、破碎机、磁选机、跳汰机、抛铝机、皮带机、刮板机、</w:t>
      </w:r>
      <w:r>
        <w:rPr>
          <w:rFonts w:hint="eastAsia" w:hAnsi="宋体"/>
          <w:color w:val="auto"/>
          <w:szCs w:val="21"/>
          <w:highlight w:val="none"/>
          <w:lang w:val="en-US" w:eastAsia="zh-CN"/>
        </w:rPr>
        <w:t>振</w:t>
      </w:r>
      <w:r>
        <w:rPr>
          <w:rFonts w:hint="eastAsia" w:hAnsi="宋体"/>
          <w:color w:val="auto"/>
          <w:szCs w:val="21"/>
          <w:highlight w:val="none"/>
        </w:rPr>
        <w:t>筛、压滤机、沙水分离机、给料机、各类泵、除尘除臭系统等）的日常巡检。</w:t>
      </w:r>
    </w:p>
    <w:p>
      <w:pPr>
        <w:keepNext/>
        <w:keepLines/>
        <w:numPr>
          <w:ilvl w:val="1"/>
          <w:numId w:val="0"/>
        </w:numPr>
        <w:spacing w:line="360" w:lineRule="auto"/>
        <w:ind w:firstLine="420" w:firstLineChars="200"/>
        <w:outlineLvl w:val="1"/>
        <w:rPr>
          <w:rFonts w:hAnsi="宋体"/>
          <w:color w:val="auto"/>
          <w:szCs w:val="21"/>
          <w:highlight w:val="none"/>
        </w:rPr>
      </w:pPr>
      <w:r>
        <w:rPr>
          <w:rFonts w:hint="eastAsia" w:hAnsi="宋体"/>
          <w:color w:val="auto"/>
          <w:szCs w:val="21"/>
          <w:highlight w:val="none"/>
        </w:rPr>
        <w:t>14负责系统消泡剂的添加及调整。</w:t>
      </w:r>
    </w:p>
    <w:p>
      <w:pPr>
        <w:keepNext/>
        <w:keepLines/>
        <w:numPr>
          <w:ilvl w:val="1"/>
          <w:numId w:val="0"/>
        </w:numPr>
        <w:spacing w:line="360" w:lineRule="auto"/>
        <w:ind w:firstLine="420" w:firstLineChars="200"/>
        <w:outlineLvl w:val="1"/>
        <w:rPr>
          <w:rFonts w:hAnsi="宋体"/>
          <w:color w:val="auto"/>
          <w:szCs w:val="21"/>
          <w:highlight w:val="none"/>
        </w:rPr>
      </w:pPr>
      <w:r>
        <w:rPr>
          <w:rFonts w:hint="eastAsia" w:hAnsi="宋体"/>
          <w:color w:val="auto"/>
          <w:szCs w:val="21"/>
          <w:highlight w:val="none"/>
        </w:rPr>
        <w:t>15负责炉渣厂范围内设备的停送、电操作（400V及以下）。</w:t>
      </w:r>
    </w:p>
    <w:p>
      <w:pPr>
        <w:keepNext/>
        <w:keepLines/>
        <w:numPr>
          <w:ilvl w:val="1"/>
          <w:numId w:val="0"/>
        </w:numPr>
        <w:spacing w:line="360" w:lineRule="auto"/>
        <w:ind w:firstLine="420" w:firstLineChars="200"/>
        <w:outlineLvl w:val="1"/>
        <w:rPr>
          <w:rFonts w:ascii="Times New Roman" w:hAnsi="Times New Roman"/>
          <w:b/>
          <w:bCs/>
          <w:color w:val="auto"/>
          <w:szCs w:val="21"/>
          <w:highlight w:val="none"/>
        </w:rPr>
      </w:pPr>
      <w:r>
        <w:rPr>
          <w:rFonts w:hint="eastAsia" w:hAnsi="宋体"/>
          <w:color w:val="auto"/>
          <w:szCs w:val="21"/>
          <w:highlight w:val="none"/>
        </w:rPr>
        <w:t>16负责做好各种台账及数据记录，准确向招标人提供各种运行数据及设备运行状况。</w:t>
      </w:r>
    </w:p>
    <w:p>
      <w:pPr>
        <w:spacing w:line="360" w:lineRule="auto"/>
        <w:ind w:firstLine="420" w:firstLineChars="200"/>
        <w:rPr>
          <w:rFonts w:hAnsi="宋体"/>
          <w:color w:val="auto"/>
          <w:szCs w:val="21"/>
          <w:highlight w:val="none"/>
        </w:rPr>
      </w:pPr>
      <w:r>
        <w:rPr>
          <w:rFonts w:hint="eastAsia" w:hAnsi="宋体"/>
          <w:color w:val="auto"/>
          <w:szCs w:val="21"/>
          <w:highlight w:val="none"/>
        </w:rPr>
        <w:t>17负责设备的运行调整及故障处理，能对设备运行情况作出判断，针对各种异常及故障，迅速采取正确处理措施。</w:t>
      </w:r>
    </w:p>
    <w:p>
      <w:pPr>
        <w:spacing w:line="360" w:lineRule="auto"/>
        <w:ind w:firstLine="420" w:firstLineChars="200"/>
        <w:rPr>
          <w:rFonts w:ascii="Times New Roman" w:hAnsi="Times New Roman"/>
          <w:color w:val="auto"/>
          <w:szCs w:val="21"/>
          <w:highlight w:val="none"/>
        </w:rPr>
      </w:pPr>
      <w:r>
        <w:rPr>
          <w:rFonts w:hint="eastAsia" w:hAnsi="宋体"/>
          <w:color w:val="auto"/>
          <w:szCs w:val="21"/>
          <w:highlight w:val="none"/>
        </w:rPr>
        <w:t>18负责设备检修的安全、技术措施及检修后的验收试机工作。</w:t>
      </w:r>
    </w:p>
    <w:p>
      <w:pPr>
        <w:adjustRightInd w:val="0"/>
        <w:snapToGrid w:val="0"/>
        <w:spacing w:line="360" w:lineRule="auto"/>
        <w:ind w:firstLine="420" w:firstLineChars="200"/>
        <w:rPr>
          <w:rFonts w:hint="default" w:eastAsia="宋体" w:cs="宋体"/>
          <w:color w:val="auto"/>
          <w:sz w:val="21"/>
          <w:szCs w:val="21"/>
          <w:highlight w:val="none"/>
          <w:lang w:val="en-US" w:eastAsia="zh-CN"/>
        </w:rPr>
      </w:pPr>
      <w:r>
        <w:rPr>
          <w:rFonts w:hint="eastAsia" w:cs="宋体"/>
          <w:color w:val="auto"/>
          <w:sz w:val="21"/>
          <w:szCs w:val="21"/>
          <w:highlight w:val="none"/>
        </w:rPr>
        <w:t>（二）炉渣厂设备检修及保养（包括但不限于以下内容）</w:t>
      </w:r>
      <w:r>
        <w:rPr>
          <w:rFonts w:hint="eastAsia" w:cs="宋体"/>
          <w:color w:val="auto"/>
          <w:sz w:val="21"/>
          <w:szCs w:val="21"/>
          <w:highlight w:val="none"/>
          <w:lang w:val="en-US" w:eastAsia="zh-CN"/>
        </w:rPr>
        <w:t>设备检修详见附件四《检维修手册》。如采购人管理需要需对《检维修手册》进行更新，中标人需无条件按最新手册执行。</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1负责给料斗皮带检修及维护。包括皮带调整及更换、托辊更换、张紧装置及尾部滚筒检修、壳体侧板检修、头部滚筒轴承座检修、清扫器及刮胶检修、两侧挡板调整、格栅修复等。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2负责刮板机检修及维护。包括调整、驳接链条（含传动链条），链条更换及箱体检修，张紧装置及尾部轴承检修及更换等。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3负责磁选机检修及维护。包括更换修复托辊，不锈钢滚筒更换修补，三角皮带更换等。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4负责所有皮带机检修及维护。包括皮带调整、驳接，托辊维修及更换，张进装置及尾部滚筒检修，头部滚筒轴承座加注润滑油及检修，清扫器及刮胶检修，两侧挡板调整及更换等。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5负责滚笼筛检修及维护。包括托辊维修及更换、筒体修复等。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6负责破碎机检修及维护</w:t>
      </w:r>
      <w:r>
        <w:rPr>
          <w:rFonts w:hint="eastAsia" w:hAnsi="宋体" w:cs="宋体"/>
          <w:color w:val="auto"/>
          <w:szCs w:val="21"/>
          <w:highlight w:val="none"/>
          <w:lang w:eastAsia="zh-CN"/>
        </w:rPr>
        <w:t>，</w:t>
      </w:r>
      <w:r>
        <w:rPr>
          <w:rFonts w:hint="eastAsia" w:hAnsi="宋体" w:cs="宋体"/>
          <w:color w:val="auto"/>
          <w:szCs w:val="21"/>
          <w:highlight w:val="none"/>
        </w:rPr>
        <w:t>包括锤头换面，锤头轴更换、调档及更换，筛条更换，轴承更换，闸门、衬板检修及更换，主轴修复、组装及更换等。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7负责二次分拣系统检修及维护</w:t>
      </w:r>
      <w:r>
        <w:rPr>
          <w:rFonts w:hint="eastAsia" w:hAnsi="宋体" w:cs="宋体"/>
          <w:color w:val="auto"/>
          <w:szCs w:val="21"/>
          <w:highlight w:val="none"/>
          <w:lang w:eastAsia="zh-CN"/>
        </w:rPr>
        <w:t>，</w:t>
      </w:r>
      <w:r>
        <w:rPr>
          <w:rFonts w:hint="eastAsia" w:hAnsi="宋体" w:cs="宋体"/>
          <w:color w:val="auto"/>
          <w:szCs w:val="21"/>
          <w:highlight w:val="none"/>
        </w:rPr>
        <w:t>包括分拣破碎机锤头更换，筛条更换、轴承更换，闸门、衬板检修及更换，主轴组装及更换，下料斗、分拣滚笼筛检修，冲洗水管修复维护等。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8负责压滤机及其附属设施检修及维护，包括清洗及换滤布，驳接及更换拉绳，压榨系统、液压系统修复和加油等。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9负责炉渣厂所有水泵检修及维护</w:t>
      </w:r>
      <w:r>
        <w:rPr>
          <w:rFonts w:hint="eastAsia" w:hAnsi="宋体" w:cs="宋体"/>
          <w:color w:val="auto"/>
          <w:szCs w:val="21"/>
          <w:highlight w:val="none"/>
          <w:lang w:eastAsia="zh-CN"/>
        </w:rPr>
        <w:t>，</w:t>
      </w:r>
      <w:r>
        <w:rPr>
          <w:rFonts w:hint="eastAsia" w:hAnsi="宋体" w:cs="宋体"/>
          <w:color w:val="auto"/>
          <w:szCs w:val="21"/>
          <w:highlight w:val="none"/>
        </w:rPr>
        <w:t>包括水泵故障修复及维护，工业水系统维护，水管、阀门更换及修复等。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10负责</w:t>
      </w:r>
      <w:r>
        <w:rPr>
          <w:rFonts w:hint="eastAsia" w:hAnsi="宋体" w:cs="宋体"/>
          <w:color w:val="auto"/>
          <w:szCs w:val="21"/>
          <w:highlight w:val="none"/>
          <w:lang w:eastAsia="zh-CN"/>
        </w:rPr>
        <w:t>振</w:t>
      </w:r>
      <w:r>
        <w:rPr>
          <w:rFonts w:hint="eastAsia" w:hAnsi="宋体" w:cs="宋体"/>
          <w:color w:val="auto"/>
          <w:szCs w:val="21"/>
          <w:highlight w:val="none"/>
        </w:rPr>
        <w:t>筛检修及维护</w:t>
      </w:r>
      <w:r>
        <w:rPr>
          <w:rFonts w:hint="eastAsia" w:hAnsi="宋体" w:cs="宋体"/>
          <w:color w:val="auto"/>
          <w:szCs w:val="21"/>
          <w:highlight w:val="none"/>
          <w:lang w:eastAsia="zh-CN"/>
        </w:rPr>
        <w:t>，</w:t>
      </w:r>
      <w:r>
        <w:rPr>
          <w:rFonts w:hint="eastAsia" w:hAnsi="宋体" w:cs="宋体"/>
          <w:color w:val="auto"/>
          <w:szCs w:val="21"/>
          <w:highlight w:val="none"/>
        </w:rPr>
        <w:t>包括更换筛网、支撑梁、振打电机修复及更换，含振筛壳体检修，阀门更换修复，防振胶更换等。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11负责沉砂机检修及维护</w:t>
      </w:r>
      <w:r>
        <w:rPr>
          <w:rFonts w:hint="eastAsia" w:hAnsi="宋体" w:cs="宋体"/>
          <w:color w:val="auto"/>
          <w:szCs w:val="21"/>
          <w:highlight w:val="none"/>
          <w:lang w:eastAsia="zh-CN"/>
        </w:rPr>
        <w:t>，</w:t>
      </w:r>
      <w:r>
        <w:rPr>
          <w:rFonts w:hint="eastAsia" w:hAnsi="宋体" w:cs="宋体"/>
          <w:color w:val="auto"/>
          <w:szCs w:val="21"/>
          <w:highlight w:val="none"/>
        </w:rPr>
        <w:t>包括阀门、沉沙斗修复及更换等。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12负责炉渣厂各类水槽、下料斗漏点修复及更换等。</w:t>
      </w:r>
    </w:p>
    <w:p>
      <w:pPr>
        <w:spacing w:line="360" w:lineRule="auto"/>
        <w:ind w:firstLine="420" w:firstLineChars="200"/>
        <w:rPr>
          <w:rFonts w:hAnsi="宋体" w:cs="宋体"/>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hAnsi="宋体" w:cs="宋体"/>
          <w:b/>
          <w:bCs/>
          <w:color w:val="auto"/>
          <w:szCs w:val="21"/>
          <w:highlight w:val="none"/>
        </w:rPr>
        <w:t>13负责铲车及叉车所有检修及定期维护工作内容（含维修备品备件、保养耗材、油脂），定维内容按车辆说明书执行，维修含补胎等。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14负责完成</w:t>
      </w:r>
      <w:r>
        <w:rPr>
          <w:rFonts w:hint="eastAsia" w:hAnsi="宋体"/>
          <w:color w:val="auto"/>
          <w:szCs w:val="21"/>
          <w:highlight w:val="none"/>
        </w:rPr>
        <w:t>在本技术要求工作范围内的</w:t>
      </w:r>
      <w:r>
        <w:rPr>
          <w:rFonts w:hint="eastAsia" w:hAnsi="宋体" w:cs="宋体"/>
          <w:color w:val="auto"/>
          <w:szCs w:val="21"/>
          <w:highlight w:val="none"/>
        </w:rPr>
        <w:t>棚架及平台搭设（包工包料）。</w:t>
      </w:r>
    </w:p>
    <w:p>
      <w:pPr>
        <w:pStyle w:val="380"/>
        <w:spacing w:line="360" w:lineRule="auto"/>
        <w:ind w:firstLine="440" w:firstLineChars="200"/>
        <w:rPr>
          <w:color w:val="auto"/>
          <w:sz w:val="24"/>
          <w:szCs w:val="24"/>
          <w:highlight w:val="none"/>
          <w:lang w:val="en-US" w:eastAsia="zh-CN"/>
        </w:rPr>
      </w:pPr>
      <w:r>
        <w:rPr>
          <w:rFonts w:hint="eastAsia"/>
          <w:color w:val="auto"/>
          <w:szCs w:val="21"/>
          <w:highlight w:val="none"/>
        </w:rPr>
        <w:t>1</w:t>
      </w:r>
      <w:r>
        <w:rPr>
          <w:rFonts w:hint="eastAsia"/>
          <w:color w:val="auto"/>
          <w:szCs w:val="21"/>
          <w:highlight w:val="none"/>
          <w:lang w:val="en-US" w:eastAsia="zh-CN"/>
        </w:rPr>
        <w:t>5</w:t>
      </w:r>
      <w:r>
        <w:rPr>
          <w:rFonts w:hint="eastAsia"/>
          <w:color w:val="auto"/>
          <w:szCs w:val="21"/>
          <w:highlight w:val="none"/>
        </w:rPr>
        <w:t>负责完成</w:t>
      </w:r>
      <w:r>
        <w:rPr>
          <w:rFonts w:hint="eastAsia" w:cs="Times New Roman"/>
          <w:color w:val="auto"/>
          <w:szCs w:val="21"/>
          <w:highlight w:val="none"/>
        </w:rPr>
        <w:t>在本技术要求工作范围内</w:t>
      </w:r>
      <w:r>
        <w:rPr>
          <w:rFonts w:hint="eastAsia"/>
          <w:color w:val="auto"/>
          <w:szCs w:val="21"/>
          <w:highlight w:val="none"/>
        </w:rPr>
        <w:t>炉渣厂所有设备定期工作，包括破碎机、皮带机、滚笼筛、沙水分离机、破碎机、抛铝机、刮板机、跳汰机、集水池、压滤机等。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16每日定期内容</w:t>
      </w:r>
      <w:r>
        <w:rPr>
          <w:rFonts w:hint="eastAsia" w:hAnsi="宋体" w:cs="宋体"/>
          <w:color w:val="auto"/>
          <w:szCs w:val="21"/>
          <w:highlight w:val="none"/>
          <w:lang w:eastAsia="zh-CN"/>
        </w:rPr>
        <w:t>：</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（1）皮带机检查及清理：检查皮带上无杂物、皮带无损毁。检查、清理皮带内嵌物。</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（2）各落料槽、导料槽清理：下班前检查清理干净各落料槽（管）、导料槽口等；如有堵塞随时清理干净。</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（3）原渣滚笼筛底部清理：下班前检查清理干净滚笼筛底部、筛网；如有堵塞随时清理干净。</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（4）各破碎机轴承加注黄油：加注黄油并做好记录/黄油加注标准为有新黄油溢出。</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（5）沙水分离机筛网清理：如有堵塞随时清理干净。</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（6）检查原渣库吊机、环保吊机、分选吊机上升限位：缓速上升抓斗、吊钩至上限位，上升停止。越过上升限位不能跳停时，立即停止操作，通知检修调整限位。</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（7）各压滤机：进料泵及轴承座地脚螺栓应牢固、无松动。</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（8）各减速机：检查减速机油位应在油尺（油镜）上下限之间，不足时及时补充。</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（9）各抛铝机检查：检查清理给料板孔无堵塞。检查皮带面干净、皮带无损毁。</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（10）皮带清扫器：检查皮带清扫器正常。</w:t>
      </w:r>
    </w:p>
    <w:p>
      <w:pPr>
        <w:pStyle w:val="380"/>
        <w:spacing w:line="360" w:lineRule="auto"/>
        <w:ind w:firstLine="440" w:firstLineChars="200"/>
        <w:rPr>
          <w:color w:val="auto"/>
          <w:sz w:val="24"/>
          <w:szCs w:val="24"/>
          <w:highlight w:val="none"/>
          <w:lang w:val="en-US" w:eastAsia="zh-CN"/>
        </w:rPr>
      </w:pPr>
      <w:r>
        <w:rPr>
          <w:rFonts w:hint="eastAsia"/>
          <w:color w:val="auto"/>
          <w:szCs w:val="21"/>
          <w:highlight w:val="none"/>
          <w:lang w:val="en-US" w:eastAsia="zh-CN"/>
        </w:rPr>
        <w:t>（11）</w:t>
      </w:r>
      <w:r>
        <w:rPr>
          <w:rFonts w:hint="eastAsia"/>
          <w:color w:val="auto"/>
          <w:szCs w:val="21"/>
          <w:highlight w:val="none"/>
        </w:rPr>
        <w:t>产品质量检查：检查碎铁、废铝、铜砂等产品符合要求。</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17每周定期内容</w:t>
      </w:r>
      <w:r>
        <w:rPr>
          <w:rFonts w:hint="eastAsia" w:hAnsi="宋体" w:cs="宋体"/>
          <w:color w:val="auto"/>
          <w:szCs w:val="21"/>
          <w:highlight w:val="none"/>
          <w:lang w:eastAsia="zh-CN"/>
        </w:rPr>
        <w:t>：</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（1）各滚笼筛底部及筛孔清理、加黄油：如有堵塞随时清理干净；滚笼筛滚轮、传动齿涂抹润滑脂；皮带磨损及时更换。</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（2）皮带机滚筒轴承加注黄油：滚筒轴承加注黄油，标准为滚筒轴承有黄油更新。</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（3）各破碎机锤头、筛条、销轴、轮盘检查：根据磨损情况进行锤头换面或更换、筛条及销轴更换、轮盘修复等。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（4）磁选机加注黄油：要求进行加注并做好记录/黄油加注黄油时新黄油全部覆盖转动所有面为准。</w:t>
      </w:r>
    </w:p>
    <w:p>
      <w:pPr>
        <w:pStyle w:val="380"/>
        <w:spacing w:line="360" w:lineRule="auto"/>
        <w:ind w:firstLine="440" w:firstLineChars="200"/>
        <w:rPr>
          <w:color w:val="auto"/>
          <w:sz w:val="24"/>
          <w:szCs w:val="24"/>
          <w:highlight w:val="none"/>
          <w:lang w:val="en-US" w:eastAsia="zh-CN"/>
        </w:rPr>
      </w:pPr>
      <w:r>
        <w:rPr>
          <w:rFonts w:hint="eastAsia"/>
          <w:color w:val="auto"/>
          <w:szCs w:val="21"/>
          <w:highlight w:val="none"/>
        </w:rPr>
        <w:t>（5）刮板机：传动链条涂抹润滑脂。</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18每月15号定期内容</w:t>
      </w:r>
      <w:r>
        <w:rPr>
          <w:rFonts w:hint="eastAsia" w:hAnsi="宋体" w:cs="宋体"/>
          <w:color w:val="auto"/>
          <w:szCs w:val="21"/>
          <w:highlight w:val="none"/>
          <w:lang w:eastAsia="zh-CN"/>
        </w:rPr>
        <w:t>：</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（1）各</w:t>
      </w:r>
      <w:r>
        <w:rPr>
          <w:rFonts w:hint="eastAsia" w:hAnsi="宋体" w:cs="宋体"/>
          <w:color w:val="auto"/>
          <w:szCs w:val="21"/>
          <w:highlight w:val="none"/>
          <w:lang w:val="en-US" w:eastAsia="zh-CN"/>
        </w:rPr>
        <w:t>振</w:t>
      </w:r>
      <w:r>
        <w:rPr>
          <w:rFonts w:hint="eastAsia" w:hAnsi="宋体" w:cs="宋体"/>
          <w:color w:val="auto"/>
          <w:szCs w:val="21"/>
          <w:highlight w:val="none"/>
        </w:rPr>
        <w:t>筛清理：</w:t>
      </w:r>
      <w:r>
        <w:rPr>
          <w:rFonts w:hint="eastAsia" w:hAnsi="宋体" w:cs="宋体"/>
          <w:color w:val="auto"/>
          <w:szCs w:val="21"/>
          <w:highlight w:val="none"/>
          <w:lang w:val="en-US" w:eastAsia="zh-CN"/>
        </w:rPr>
        <w:t>振</w:t>
      </w:r>
      <w:r>
        <w:rPr>
          <w:rFonts w:hint="eastAsia" w:hAnsi="宋体" w:cs="宋体"/>
          <w:color w:val="auto"/>
          <w:szCs w:val="21"/>
          <w:highlight w:val="none"/>
        </w:rPr>
        <w:t>筛筛面、底部及时清理；筛面出砂不均匀及时调整振打器偏心轴。</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（2）水泵定期检查：电机轴承加油、测振、测温并做好记录。</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（3）清水罐、污</w:t>
      </w:r>
      <w:r>
        <w:rPr>
          <w:rFonts w:hint="eastAsia" w:hAnsi="宋体" w:cs="宋体"/>
          <w:color w:val="auto"/>
          <w:szCs w:val="21"/>
          <w:highlight w:val="none"/>
          <w:lang w:eastAsia="zh-CN"/>
        </w:rPr>
        <w:t>水罐</w:t>
      </w:r>
      <w:r>
        <w:rPr>
          <w:rFonts w:hint="eastAsia" w:hAnsi="宋体" w:cs="宋体"/>
          <w:color w:val="auto"/>
          <w:szCs w:val="21"/>
          <w:highlight w:val="none"/>
        </w:rPr>
        <w:t>及沉沙斗：根据实际情况开展。要求开密闭空间工作票；检测气体、通风、安措合格后方可进行清理。</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19每月月末最后一天定期内容：</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（1）压滤机系统：压滤机皮带机清理、滤布清理、压力表检查、油箱油位检查。</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（2）沙水分离机底部及沙水分离泵池：如有堵塞或堆积及时清理干净。</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（3）跳汰机筛网检查、气囊清理：检查筛网完好、如有堵塞及时清理；跳汰机气囊如有堵塞及时清理。</w:t>
      </w:r>
    </w:p>
    <w:p>
      <w:pPr>
        <w:spacing w:line="360" w:lineRule="auto"/>
        <w:ind w:firstLine="420" w:firstLineChars="200"/>
        <w:rPr>
          <w:rFonts w:ascii="Times New Roman" w:hAnsi="Times New Roman"/>
          <w:color w:val="auto"/>
          <w:szCs w:val="21"/>
          <w:highlight w:val="none"/>
        </w:rPr>
      </w:pPr>
      <w:r>
        <w:rPr>
          <w:rFonts w:hint="eastAsia" w:hAnsi="宋体" w:cs="宋体"/>
          <w:color w:val="auto"/>
          <w:szCs w:val="21"/>
          <w:highlight w:val="none"/>
        </w:rPr>
        <w:t>（4）沉沙斗、旋流器、清污水罐清理检查：要求开密闭空间工作票，做好相应安措。</w:t>
      </w:r>
    </w:p>
    <w:p>
      <w:pPr>
        <w:pStyle w:val="38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（三）其他</w:t>
      </w:r>
    </w:p>
    <w:p>
      <w:pPr>
        <w:spacing w:line="360" w:lineRule="auto"/>
        <w:ind w:firstLine="420"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b/>
          <w:bCs/>
          <w:color w:val="auto"/>
          <w:szCs w:val="21"/>
          <w:highlight w:val="none"/>
        </w:rPr>
        <w:t>1负责炉渣厂范围内设备（含楼梯、栏杆等）防腐油漆。炉渣厂范围内设备日常修补后，及时涂刷设备原油漆色。每季度至少对炉渣厂范围内设备进行一次彻底除锈翻新油漆，时间由双方协商确定。</w:t>
      </w:r>
    </w:p>
    <w:p>
      <w:pPr>
        <w:spacing w:line="360" w:lineRule="auto"/>
        <w:ind w:firstLine="420"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b/>
          <w:bCs/>
          <w:color w:val="auto"/>
          <w:szCs w:val="21"/>
          <w:highlight w:val="none"/>
        </w:rPr>
        <w:t>2安排相对固定的人员参加本项目要求工作范围内的运行操作及设备检修维护工作，保证设备处于良好健康水平。项目履行期间，每条生产线炉渣处置能力不低于100吨/小时。在中标人退场前十天内开始交接，双方按照中标人进场时交接清单进行清点验收，中标人须保障采购人炉渣厂范围内的所有设备（设施）完好，在采购人连续三天测试单条生产线炉渣处置能力不低于800吨/天（有效处置工作时数不超过8小时）的情况下通过验收。如出现设备设施损坏或缺失的情况，由中标人负责赔偿，</w:t>
      </w:r>
      <w:r>
        <w:rPr>
          <w:rFonts w:hint="eastAsia" w:asciiTheme="minorEastAsia" w:hAnsiTheme="minorEastAsia" w:eastAsiaTheme="minorEastAsia" w:cstheme="minorEastAsia"/>
          <w:b/>
          <w:bCs/>
          <w:color w:val="auto"/>
          <w:szCs w:val="21"/>
          <w:highlight w:val="none"/>
          <w:lang w:val="en-US" w:eastAsia="zh-CN"/>
        </w:rPr>
        <w:t>否则</w:t>
      </w:r>
      <w:r>
        <w:rPr>
          <w:rFonts w:hint="eastAsia" w:asciiTheme="minorEastAsia" w:hAnsiTheme="minorEastAsia" w:eastAsiaTheme="minorEastAsia" w:cstheme="minorEastAsia"/>
          <w:b/>
          <w:bCs/>
          <w:color w:val="auto"/>
          <w:szCs w:val="21"/>
          <w:highlight w:val="none"/>
        </w:rPr>
        <w:t>采购人有权按照相应的损失金额扣除履约保证金。</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b/>
          <w:bCs/>
          <w:color w:val="auto"/>
          <w:szCs w:val="21"/>
          <w:highlight w:val="none"/>
        </w:rPr>
        <w:t>3负责</w:t>
      </w:r>
      <w:r>
        <w:rPr>
          <w:rFonts w:hint="eastAsia" w:asciiTheme="minorEastAsia" w:hAnsiTheme="minorEastAsia" w:eastAsiaTheme="minorEastAsia" w:cstheme="minorEastAsia"/>
          <w:b/>
          <w:bCs/>
          <w:color w:val="auto"/>
          <w:szCs w:val="21"/>
          <w:highlight w:val="none"/>
          <w:lang w:val="en-US" w:eastAsia="zh-CN"/>
        </w:rPr>
        <w:t>采购/租赁</w:t>
      </w:r>
      <w:r>
        <w:rPr>
          <w:rFonts w:hint="eastAsia" w:asciiTheme="minorEastAsia" w:hAnsiTheme="minorEastAsia" w:eastAsiaTheme="minorEastAsia" w:cstheme="minorEastAsia"/>
          <w:b/>
          <w:bCs/>
          <w:color w:val="auto"/>
          <w:szCs w:val="21"/>
          <w:highlight w:val="none"/>
        </w:rPr>
        <w:t>本技术要求工作范围内一切工器具及辅助机具；</w:t>
      </w:r>
    </w:p>
    <w:p>
      <w:pPr>
        <w:spacing w:line="360" w:lineRule="auto"/>
        <w:ind w:firstLine="420"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kern w:val="2"/>
          <w:szCs w:val="21"/>
          <w:highlight w:val="none"/>
        </w:rPr>
        <w:t>★4</w:t>
      </w:r>
      <w:r>
        <w:rPr>
          <w:rFonts w:hint="eastAsia" w:asciiTheme="minorEastAsia" w:hAnsiTheme="minorEastAsia" w:eastAsiaTheme="minorEastAsia" w:cstheme="minorEastAsia"/>
          <w:b/>
          <w:bCs/>
          <w:color w:val="auto"/>
          <w:szCs w:val="21"/>
          <w:highlight w:val="none"/>
        </w:rPr>
        <w:t>提供铲车及叉车用油。</w:t>
      </w:r>
    </w:p>
    <w:p>
      <w:pPr>
        <w:spacing w:line="360" w:lineRule="auto"/>
        <w:ind w:firstLine="420" w:firstLineChars="200"/>
        <w:rPr>
          <w:rFonts w:hAnsi="宋体"/>
          <w:color w:val="auto"/>
          <w:szCs w:val="21"/>
          <w:highlight w:val="none"/>
        </w:rPr>
      </w:pPr>
      <w:r>
        <w:rPr>
          <w:rFonts w:hint="eastAsia" w:asciiTheme="minorEastAsia" w:hAnsiTheme="minorEastAsia" w:eastAsiaTheme="minorEastAsia" w:cstheme="minorEastAsia"/>
          <w:color w:val="auto"/>
          <w:szCs w:val="21"/>
          <w:highlight w:val="none"/>
        </w:rPr>
        <w:t>5由于中标人违反操作规程及操作失误造成的一切损失由中标人负责全部赔偿。</w:t>
      </w:r>
    </w:p>
    <w:p>
      <w:pPr>
        <w:pStyle w:val="380"/>
        <w:spacing w:line="360" w:lineRule="auto"/>
        <w:ind w:firstLine="420" w:firstLineChars="200"/>
        <w:rPr>
          <w:color w:val="auto"/>
          <w:sz w:val="21"/>
          <w:szCs w:val="21"/>
          <w:highlight w:val="none"/>
          <w:lang w:val="en-US" w:eastAsia="zh-CN"/>
        </w:rPr>
      </w:pPr>
      <w:r>
        <w:rPr>
          <w:rFonts w:hint="eastAsia"/>
          <w:color w:val="auto"/>
          <w:sz w:val="21"/>
          <w:szCs w:val="21"/>
          <w:highlight w:val="none"/>
          <w:lang w:val="en-US" w:eastAsia="zh-CN"/>
        </w:rPr>
        <w:t>（四）服务要求</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1操作炉渣厂设备（系统），完成采购人制定的炉渣厂生产任务。</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2及时发现和及时消除设备缺陷，确保设备不因设备缺陷扩大成设备损坏、炉渣厂停运等事故，对影响安全或产能的暂不能消除缺陷要有书面的缺陷分析报告</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预防措施、整治计划和方案等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3负责本技术要求工作范围内设备日常巡检和</w:t>
      </w:r>
      <w:r>
        <w:rPr>
          <w:rFonts w:hint="eastAsia" w:asciiTheme="minorEastAsia" w:hAnsiTheme="minorEastAsia" w:eastAsiaTheme="minorEastAsia" w:cstheme="minorEastAsia"/>
          <w:color w:val="auto"/>
          <w:szCs w:val="21"/>
          <w:highlight w:val="none"/>
          <w:lang w:eastAsia="zh-CN"/>
        </w:rPr>
        <w:t>设备台账</w:t>
      </w:r>
      <w:r>
        <w:rPr>
          <w:rFonts w:hint="eastAsia" w:asciiTheme="minorEastAsia" w:hAnsiTheme="minorEastAsia" w:eastAsiaTheme="minorEastAsia" w:cstheme="minorEastAsia"/>
          <w:color w:val="auto"/>
          <w:szCs w:val="21"/>
          <w:highlight w:val="none"/>
        </w:rPr>
        <w:t>管理，每月向采购人提交设备管理分析报告。根据采购人缺陷处理标准处理缺陷。</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4负责本技术要求工作范围内炉渣厂运行记录（按采购人要求格式及内容等）。</w:t>
      </w:r>
    </w:p>
    <w:p>
      <w:pPr>
        <w:pStyle w:val="380"/>
        <w:spacing w:line="360" w:lineRule="auto"/>
        <w:ind w:firstLine="420" w:firstLineChars="200"/>
        <w:jc w:val="left"/>
        <w:rPr>
          <w:color w:val="auto"/>
          <w:sz w:val="24"/>
          <w:szCs w:val="24"/>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5按要求每月向采购人提交全面反映其经营情况各个方面的下列财务报表和其他报表（每月成本表和水、电及备品备件等材料消耗量、销售方及月度销售量及销售价格）。</w:t>
      </w:r>
    </w:p>
    <w:p>
      <w:pPr>
        <w:pStyle w:val="38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（五）现场文明生产要求</w:t>
      </w:r>
    </w:p>
    <w:p>
      <w:pPr>
        <w:adjustRightInd w:val="0"/>
        <w:snapToGrid w:val="0"/>
        <w:spacing w:line="360" w:lineRule="auto"/>
        <w:ind w:firstLine="420" w:firstLineChars="200"/>
        <w:rPr>
          <w:rFonts w:cs="宋体"/>
          <w:color w:val="auto"/>
          <w:sz w:val="28"/>
          <w:szCs w:val="28"/>
          <w:highlight w:val="none"/>
        </w:rPr>
      </w:pPr>
      <w:r>
        <w:rPr>
          <w:rFonts w:ascii="Times New Roman" w:hAnsi="Times New Roman"/>
          <w:color w:val="auto"/>
          <w:szCs w:val="21"/>
          <w:highlight w:val="none"/>
        </w:rPr>
        <w:t>包括但不限于</w:t>
      </w:r>
      <w:r>
        <w:rPr>
          <w:rFonts w:hint="eastAsia" w:ascii="Times New Roman" w:hAnsi="Times New Roman"/>
          <w:color w:val="auto"/>
          <w:szCs w:val="21"/>
          <w:highlight w:val="none"/>
        </w:rPr>
        <w:t>办公室、</w:t>
      </w:r>
      <w:r>
        <w:rPr>
          <w:rFonts w:ascii="Times New Roman" w:hAnsi="Times New Roman"/>
          <w:color w:val="auto"/>
          <w:szCs w:val="21"/>
          <w:highlight w:val="none"/>
        </w:rPr>
        <w:t>参观通道</w:t>
      </w:r>
      <w:r>
        <w:rPr>
          <w:rFonts w:hint="eastAsia" w:ascii="Times New Roman" w:hAnsi="Times New Roman"/>
          <w:color w:val="auto"/>
          <w:szCs w:val="21"/>
          <w:highlight w:val="none"/>
        </w:rPr>
        <w:t>、</w:t>
      </w:r>
      <w:r>
        <w:rPr>
          <w:rFonts w:ascii="Times New Roman" w:hAnsi="Times New Roman"/>
          <w:color w:val="auto"/>
          <w:szCs w:val="21"/>
          <w:highlight w:val="none"/>
        </w:rPr>
        <w:t>门窗玻璃</w:t>
      </w:r>
      <w:r>
        <w:rPr>
          <w:rFonts w:hint="eastAsia" w:ascii="Times New Roman" w:hAnsi="Times New Roman"/>
          <w:color w:val="auto"/>
          <w:szCs w:val="21"/>
          <w:highlight w:val="none"/>
        </w:rPr>
        <w:t>、</w:t>
      </w:r>
      <w:r>
        <w:rPr>
          <w:rFonts w:ascii="Times New Roman" w:hAnsi="Times New Roman"/>
          <w:color w:val="auto"/>
          <w:szCs w:val="21"/>
          <w:highlight w:val="none"/>
        </w:rPr>
        <w:t>设备本体及钢结构等需高空作业的清洁工作；厂区</w:t>
      </w:r>
      <w:r>
        <w:rPr>
          <w:rFonts w:hint="eastAsia" w:ascii="Times New Roman" w:hAnsi="Times New Roman"/>
          <w:color w:val="auto"/>
          <w:szCs w:val="21"/>
          <w:highlight w:val="none"/>
        </w:rPr>
        <w:t>、</w:t>
      </w:r>
      <w:r>
        <w:rPr>
          <w:rFonts w:ascii="Times New Roman" w:hAnsi="Times New Roman"/>
          <w:color w:val="auto"/>
          <w:szCs w:val="21"/>
          <w:highlight w:val="none"/>
        </w:rPr>
        <w:t>进厂通道</w:t>
      </w:r>
      <w:r>
        <w:rPr>
          <w:rFonts w:hint="eastAsia" w:ascii="Times New Roman" w:hAnsi="Times New Roman"/>
          <w:color w:val="auto"/>
          <w:szCs w:val="21"/>
          <w:highlight w:val="none"/>
        </w:rPr>
        <w:t>、</w:t>
      </w:r>
      <w:r>
        <w:rPr>
          <w:rFonts w:ascii="Times New Roman" w:hAnsi="Times New Roman"/>
          <w:color w:val="auto"/>
          <w:szCs w:val="21"/>
          <w:highlight w:val="none"/>
        </w:rPr>
        <w:t>车间</w:t>
      </w:r>
      <w:r>
        <w:rPr>
          <w:rFonts w:hint="eastAsia" w:ascii="Times New Roman" w:hAnsi="Times New Roman"/>
          <w:color w:val="auto"/>
          <w:szCs w:val="21"/>
          <w:highlight w:val="none"/>
        </w:rPr>
        <w:t>、</w:t>
      </w:r>
      <w:r>
        <w:rPr>
          <w:rFonts w:ascii="Times New Roman" w:hAnsi="Times New Roman"/>
          <w:color w:val="auto"/>
          <w:szCs w:val="21"/>
          <w:highlight w:val="none"/>
        </w:rPr>
        <w:t>电子间</w:t>
      </w:r>
      <w:r>
        <w:rPr>
          <w:rFonts w:hint="eastAsia" w:ascii="Times New Roman" w:hAnsi="Times New Roman"/>
          <w:color w:val="auto"/>
          <w:szCs w:val="21"/>
          <w:highlight w:val="none"/>
        </w:rPr>
        <w:t>、高低压配电室、</w:t>
      </w:r>
      <w:r>
        <w:rPr>
          <w:rFonts w:ascii="Times New Roman" w:hAnsi="Times New Roman"/>
          <w:color w:val="auto"/>
          <w:szCs w:val="21"/>
          <w:highlight w:val="none"/>
        </w:rPr>
        <w:t>仓库</w:t>
      </w:r>
      <w:r>
        <w:rPr>
          <w:rFonts w:hint="eastAsia" w:ascii="Times New Roman" w:hAnsi="Times New Roman"/>
          <w:color w:val="auto"/>
          <w:szCs w:val="21"/>
          <w:highlight w:val="none"/>
        </w:rPr>
        <w:t>、</w:t>
      </w:r>
      <w:r>
        <w:rPr>
          <w:rFonts w:ascii="Times New Roman" w:hAnsi="Times New Roman"/>
          <w:color w:val="auto"/>
          <w:szCs w:val="21"/>
          <w:highlight w:val="none"/>
        </w:rPr>
        <w:t>生产公共区域</w:t>
      </w:r>
      <w:r>
        <w:rPr>
          <w:rFonts w:hint="eastAsia" w:ascii="Times New Roman" w:hAnsi="Times New Roman"/>
          <w:color w:val="auto"/>
          <w:szCs w:val="21"/>
          <w:highlight w:val="none"/>
        </w:rPr>
        <w:t>、洗手间、</w:t>
      </w:r>
      <w:r>
        <w:rPr>
          <w:rFonts w:ascii="Times New Roman" w:hAnsi="Times New Roman"/>
          <w:color w:val="auto"/>
          <w:szCs w:val="21"/>
          <w:highlight w:val="none"/>
        </w:rPr>
        <w:t>消杀区</w:t>
      </w:r>
      <w:r>
        <w:rPr>
          <w:rFonts w:hint="eastAsia" w:ascii="Times New Roman" w:hAnsi="Times New Roman"/>
          <w:color w:val="auto"/>
          <w:szCs w:val="21"/>
          <w:highlight w:val="none"/>
        </w:rPr>
        <w:t>、</w:t>
      </w:r>
      <w:r>
        <w:rPr>
          <w:rFonts w:ascii="Times New Roman" w:hAnsi="Times New Roman"/>
          <w:color w:val="auto"/>
          <w:szCs w:val="21"/>
          <w:highlight w:val="none"/>
        </w:rPr>
        <w:t>池罐等所有建筑物的清洁卫生（含设备</w:t>
      </w:r>
      <w:r>
        <w:rPr>
          <w:rFonts w:hint="eastAsia" w:ascii="Times New Roman" w:hAnsi="Times New Roman"/>
          <w:color w:val="auto"/>
          <w:szCs w:val="21"/>
          <w:highlight w:val="none"/>
        </w:rPr>
        <w:t>、</w:t>
      </w:r>
      <w:r>
        <w:rPr>
          <w:rFonts w:ascii="Times New Roman" w:hAnsi="Times New Roman"/>
          <w:color w:val="auto"/>
          <w:szCs w:val="21"/>
          <w:highlight w:val="none"/>
        </w:rPr>
        <w:t>地面</w:t>
      </w:r>
      <w:r>
        <w:rPr>
          <w:rFonts w:hint="eastAsia" w:ascii="Times New Roman" w:hAnsi="Times New Roman"/>
          <w:color w:val="auto"/>
          <w:szCs w:val="21"/>
          <w:highlight w:val="none"/>
        </w:rPr>
        <w:t>、</w:t>
      </w:r>
      <w:r>
        <w:rPr>
          <w:rFonts w:ascii="Times New Roman" w:hAnsi="Times New Roman"/>
          <w:color w:val="auto"/>
          <w:szCs w:val="21"/>
          <w:highlight w:val="none"/>
        </w:rPr>
        <w:t>沟道</w:t>
      </w:r>
      <w:r>
        <w:rPr>
          <w:rFonts w:hint="eastAsia" w:ascii="Times New Roman" w:hAnsi="Times New Roman"/>
          <w:color w:val="auto"/>
          <w:szCs w:val="21"/>
          <w:highlight w:val="none"/>
        </w:rPr>
        <w:t>、</w:t>
      </w:r>
      <w:r>
        <w:rPr>
          <w:rFonts w:ascii="Times New Roman" w:hAnsi="Times New Roman"/>
          <w:color w:val="auto"/>
          <w:szCs w:val="21"/>
          <w:highlight w:val="none"/>
        </w:rPr>
        <w:t>平台</w:t>
      </w:r>
      <w:r>
        <w:rPr>
          <w:rFonts w:hint="eastAsia" w:ascii="Times New Roman" w:hAnsi="Times New Roman"/>
          <w:color w:val="auto"/>
          <w:szCs w:val="21"/>
          <w:highlight w:val="none"/>
        </w:rPr>
        <w:t>、</w:t>
      </w:r>
      <w:r>
        <w:rPr>
          <w:rFonts w:ascii="Times New Roman" w:hAnsi="Times New Roman"/>
          <w:color w:val="auto"/>
          <w:szCs w:val="21"/>
          <w:highlight w:val="none"/>
        </w:rPr>
        <w:t>扶手</w:t>
      </w:r>
      <w:r>
        <w:rPr>
          <w:rFonts w:hint="eastAsia" w:ascii="Times New Roman" w:hAnsi="Times New Roman"/>
          <w:color w:val="auto"/>
          <w:szCs w:val="21"/>
          <w:highlight w:val="none"/>
        </w:rPr>
        <w:t>、</w:t>
      </w:r>
      <w:r>
        <w:rPr>
          <w:rFonts w:ascii="Times New Roman" w:hAnsi="Times New Roman"/>
          <w:color w:val="auto"/>
          <w:szCs w:val="21"/>
          <w:highlight w:val="none"/>
        </w:rPr>
        <w:t>楼梯</w:t>
      </w:r>
      <w:r>
        <w:rPr>
          <w:rFonts w:hint="eastAsia" w:ascii="Times New Roman" w:hAnsi="Times New Roman"/>
          <w:color w:val="auto"/>
          <w:szCs w:val="21"/>
          <w:highlight w:val="none"/>
        </w:rPr>
        <w:t>、</w:t>
      </w:r>
      <w:r>
        <w:rPr>
          <w:rFonts w:ascii="Times New Roman" w:hAnsi="Times New Roman"/>
          <w:color w:val="auto"/>
          <w:szCs w:val="21"/>
          <w:highlight w:val="none"/>
        </w:rPr>
        <w:t>门窗以及管道</w:t>
      </w:r>
      <w:r>
        <w:rPr>
          <w:rFonts w:hint="eastAsia" w:ascii="Times New Roman" w:hAnsi="Times New Roman"/>
          <w:color w:val="auto"/>
          <w:szCs w:val="21"/>
          <w:highlight w:val="none"/>
        </w:rPr>
        <w:t>、</w:t>
      </w:r>
      <w:r>
        <w:rPr>
          <w:rFonts w:ascii="Times New Roman" w:hAnsi="Times New Roman"/>
          <w:color w:val="auto"/>
          <w:szCs w:val="21"/>
          <w:highlight w:val="none"/>
        </w:rPr>
        <w:t>仪器仪表</w:t>
      </w:r>
      <w:r>
        <w:rPr>
          <w:rFonts w:hint="eastAsia" w:ascii="Times New Roman" w:hAnsi="Times New Roman"/>
          <w:color w:val="auto"/>
          <w:szCs w:val="21"/>
          <w:highlight w:val="none"/>
        </w:rPr>
        <w:t>、</w:t>
      </w:r>
      <w:r>
        <w:rPr>
          <w:rFonts w:ascii="Times New Roman" w:hAnsi="Times New Roman"/>
          <w:color w:val="auto"/>
          <w:szCs w:val="21"/>
          <w:highlight w:val="none"/>
        </w:rPr>
        <w:t>设备基座和表面等部位的清洁卫生）</w:t>
      </w:r>
      <w:r>
        <w:rPr>
          <w:rFonts w:hint="eastAsia" w:ascii="Times New Roman" w:hAnsi="Times New Roman"/>
          <w:color w:val="auto"/>
          <w:szCs w:val="21"/>
          <w:highlight w:val="none"/>
        </w:rPr>
        <w:t>；集水罐、清水罐、沟渠及化粪池的定期清理及抽排工作等。正常生产期间，生产区域每天进行清扫、清理，做到地面无明显积料、积水，设备每天进行清抹，做到设备见本色。办公室、参观区域每天进行清扫，做到地面干净无杂物，玻璃明亮无积尘。日常保持办公室、参观通道密封良好，保障参观通道、办公室空气清新。日常车间门窗应密闭，除尘除臭设施正常运营，厂区无明显异味。其他区域根据需要进行处理。重要接待时，按接待标准或要求执行。</w:t>
      </w:r>
    </w:p>
    <w:p>
      <w:pPr>
        <w:adjustRightInd w:val="0"/>
        <w:snapToGrid w:val="0"/>
        <w:spacing w:line="360" w:lineRule="auto"/>
        <w:ind w:firstLine="422" w:firstLineChars="200"/>
        <w:rPr>
          <w:rFonts w:cs="宋体"/>
          <w:b/>
          <w:bCs/>
          <w:color w:val="auto"/>
          <w:sz w:val="21"/>
          <w:szCs w:val="21"/>
          <w:highlight w:val="none"/>
        </w:rPr>
      </w:pPr>
      <w:r>
        <w:rPr>
          <w:rFonts w:hint="eastAsia" w:cs="宋体"/>
          <w:b/>
          <w:bCs/>
          <w:color w:val="auto"/>
          <w:sz w:val="21"/>
          <w:szCs w:val="21"/>
          <w:highlight w:val="none"/>
        </w:rPr>
        <w:t>二、炉渣综合处置产品收集、分拣、销售工作范围</w:t>
      </w:r>
    </w:p>
    <w:p>
      <w:pPr>
        <w:pStyle w:val="380"/>
        <w:spacing w:line="360" w:lineRule="auto"/>
        <w:ind w:firstLine="420" w:firstLineChars="200"/>
        <w:rPr>
          <w:color w:val="auto"/>
          <w:sz w:val="21"/>
          <w:szCs w:val="21"/>
          <w:highlight w:val="none"/>
          <w:lang w:val="en-US" w:eastAsia="zh-CN"/>
        </w:rPr>
      </w:pPr>
      <w:r>
        <w:rPr>
          <w:rFonts w:hint="eastAsia"/>
          <w:color w:val="auto"/>
          <w:sz w:val="21"/>
          <w:szCs w:val="21"/>
          <w:highlight w:val="none"/>
          <w:lang w:val="en-US" w:eastAsia="zh-CN"/>
        </w:rPr>
        <w:t>（一）炉渣综合处置产品销售</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1负责销售炉渣厂运营期间所产生的废金属、环保砂等全部炉渣综合处置产品，</w:t>
      </w:r>
      <w:r>
        <w:rPr>
          <w:rFonts w:hint="eastAsia" w:asciiTheme="minorEastAsia" w:hAnsiTheme="minorEastAsia" w:eastAsiaTheme="minorEastAsia" w:cstheme="minorEastAsia"/>
          <w:color w:val="auto"/>
          <w:szCs w:val="21"/>
          <w:highlight w:val="none"/>
          <w:lang w:val="en-US" w:eastAsia="zh-CN"/>
        </w:rPr>
        <w:t>销售成本由中标人承担，</w:t>
      </w:r>
      <w:r>
        <w:rPr>
          <w:rFonts w:hint="eastAsia" w:asciiTheme="minorEastAsia" w:hAnsiTheme="minorEastAsia" w:eastAsiaTheme="minorEastAsia" w:cstheme="minorEastAsia"/>
          <w:color w:val="auto"/>
          <w:szCs w:val="21"/>
          <w:highlight w:val="none"/>
        </w:rPr>
        <w:t>销售收入归中标人所有。</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2负责安排人员到炉渣厂接管废金属产品、环保砂并保管。</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3负责安排车辆到炉渣厂内运走废金属、环保砂，并承担相应的运输费用，保证所产废金属、环保砂及时清运。</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4负责清扫撒落在进入园区或厂区道路上的炉渣、环保砂及其他金属产品。</w:t>
      </w:r>
    </w:p>
    <w:p>
      <w:pPr>
        <w:pStyle w:val="380"/>
        <w:spacing w:line="360" w:lineRule="auto"/>
        <w:ind w:firstLine="420" w:firstLineChars="200"/>
        <w:rPr>
          <w:color w:val="auto"/>
          <w:sz w:val="21"/>
          <w:szCs w:val="21"/>
          <w:highlight w:val="none"/>
          <w:lang w:val="en-US" w:eastAsia="zh-CN"/>
        </w:rPr>
      </w:pPr>
      <w:r>
        <w:rPr>
          <w:rFonts w:hint="eastAsia"/>
          <w:color w:val="auto"/>
          <w:sz w:val="21"/>
          <w:szCs w:val="21"/>
          <w:highlight w:val="none"/>
          <w:lang w:val="en-US" w:eastAsia="zh-CN"/>
        </w:rPr>
        <w:t>（二）炉渣综合处置产品收集、分拣</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1跳汰机起槽、内腔清理及筛网清理及更换（含筛网耗品），跳汰机机务类的维修和保养，包括弹簧维护和更换，胶棒更换等（含备件及耗材）。</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2跳汰机起槽物分拣（二次分选系统操作、调整）及转运。二次分选系统包含：料斗、滚笼筛、摇床、破碎机等。</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3摇床铜砂收集、转运、烘干。</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4摇床坡度、水量、冲程调整，摇床机务类的维修和保养。</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5抛铝机分料板、磁滚筒转向和转速、皮带机转速等调整，抛铝机机务类的维修，包括振动给料机（含筛网更换）检修，清扫器及接料板调整及检修，皮带更换，抛铝滚筒和各轴承加油和修复更换等。</w:t>
      </w:r>
    </w:p>
    <w:p>
      <w:pPr>
        <w:widowControl/>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b/>
          <w:bCs/>
          <w:color w:val="auto"/>
          <w:szCs w:val="21"/>
          <w:highlight w:val="none"/>
        </w:rPr>
        <w:t>负责提供抛铝机、跳汰机、摇床等设备全部备品备件及耗材。</w:t>
      </w:r>
    </w:p>
    <w:p>
      <w:pPr>
        <w:pStyle w:val="380"/>
        <w:spacing w:line="360" w:lineRule="auto"/>
        <w:ind w:firstLine="420" w:firstLineChars="200"/>
        <w:rPr>
          <w:color w:val="auto"/>
          <w:sz w:val="21"/>
          <w:szCs w:val="21"/>
          <w:highlight w:val="none"/>
          <w:lang w:val="en-US" w:eastAsia="zh-CN"/>
        </w:rPr>
      </w:pPr>
      <w:r>
        <w:rPr>
          <w:rFonts w:hint="eastAsia"/>
          <w:color w:val="auto"/>
          <w:sz w:val="21"/>
          <w:szCs w:val="21"/>
          <w:highlight w:val="none"/>
          <w:lang w:val="en-US" w:eastAsia="zh-CN"/>
        </w:rPr>
        <w:t>（三）炉渣厂所属地磅操作</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1 炉渣厂进出物料计量及操作。</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2炉渣厂地磅数据统计及汇总。</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3炉渣厂地磅日常巡检，缺陷登记及缺陷处理跟进。</w:t>
      </w:r>
    </w:p>
    <w:p>
      <w:pPr>
        <w:pStyle w:val="59"/>
        <w:tabs>
          <w:tab w:val="left" w:pos="426"/>
          <w:tab w:val="right" w:leader="dot" w:pos="9540"/>
        </w:tabs>
        <w:ind w:firstLine="420" w:firstLineChars="200"/>
        <w:rPr>
          <w:rFonts w:hAnsi="宋体" w:cs="宋体"/>
          <w:color w:val="auto"/>
          <w:szCs w:val="21"/>
          <w:highlight w:val="none"/>
        </w:rPr>
      </w:pPr>
      <w:r>
        <w:rPr>
          <w:rFonts w:hint="eastAsia" w:hAnsi="宋体" w:cs="宋体"/>
          <w:color w:val="auto"/>
          <w:szCs w:val="21"/>
          <w:highlight w:val="none"/>
        </w:rPr>
        <w:t>4地磅的维修保养。</w:t>
      </w:r>
    </w:p>
    <w:p>
      <w:pPr>
        <w:pStyle w:val="380"/>
        <w:spacing w:line="360" w:lineRule="auto"/>
        <w:ind w:firstLine="420" w:firstLineChars="200"/>
        <w:rPr>
          <w:color w:val="auto"/>
          <w:sz w:val="21"/>
          <w:szCs w:val="21"/>
          <w:highlight w:val="none"/>
          <w:lang w:val="en-US" w:eastAsia="zh-CN"/>
        </w:rPr>
      </w:pPr>
      <w:r>
        <w:rPr>
          <w:rFonts w:hint="eastAsia"/>
          <w:color w:val="auto"/>
          <w:sz w:val="21"/>
          <w:szCs w:val="21"/>
          <w:highlight w:val="none"/>
          <w:lang w:val="en-US" w:eastAsia="zh-CN"/>
        </w:rPr>
        <w:t>（四）综合处置、分拣装备清单详见附件一设备清单</w:t>
      </w:r>
    </w:p>
    <w:p>
      <w:pPr>
        <w:pStyle w:val="380"/>
        <w:spacing w:line="360" w:lineRule="auto"/>
        <w:ind w:firstLine="420" w:firstLineChars="200"/>
        <w:rPr>
          <w:color w:val="auto"/>
          <w:sz w:val="21"/>
          <w:szCs w:val="21"/>
          <w:highlight w:val="none"/>
          <w:lang w:val="en-US" w:eastAsia="zh-CN"/>
        </w:rPr>
      </w:pPr>
      <w:r>
        <w:rPr>
          <w:rFonts w:hint="eastAsia"/>
          <w:color w:val="auto"/>
          <w:sz w:val="21"/>
          <w:szCs w:val="21"/>
          <w:highlight w:val="none"/>
          <w:lang w:val="en-US" w:eastAsia="zh-CN"/>
        </w:rPr>
        <w:t>（五）其他</w:t>
      </w:r>
    </w:p>
    <w:p>
      <w:pPr>
        <w:widowControl/>
        <w:spacing w:line="360" w:lineRule="auto"/>
        <w:ind w:firstLine="420" w:firstLineChars="200"/>
        <w:jc w:val="left"/>
        <w:rPr>
          <w:rFonts w:hAnsi="宋体"/>
          <w:color w:val="auto"/>
          <w:szCs w:val="21"/>
          <w:highlight w:val="none"/>
        </w:rPr>
      </w:pPr>
      <w:r>
        <w:rPr>
          <w:rFonts w:hint="eastAsia" w:hAnsi="宋体" w:cs="宋体"/>
          <w:color w:val="auto"/>
          <w:szCs w:val="21"/>
          <w:highlight w:val="none"/>
        </w:rPr>
        <w:t>1</w:t>
      </w:r>
      <w:r>
        <w:rPr>
          <w:rFonts w:hint="eastAsia" w:hAnsi="宋体"/>
          <w:color w:val="auto"/>
          <w:szCs w:val="21"/>
          <w:highlight w:val="none"/>
        </w:rPr>
        <w:t>按照安全、环保等国家相关部门的要求保证废金属产品、环保砂处置的安全和环保义务。</w:t>
      </w:r>
    </w:p>
    <w:p>
      <w:pPr>
        <w:widowControl/>
        <w:spacing w:line="360" w:lineRule="auto"/>
        <w:ind w:firstLine="420" w:firstLineChars="200"/>
        <w:jc w:val="left"/>
        <w:rPr>
          <w:rFonts w:cs="宋体"/>
          <w:color w:val="auto"/>
          <w:sz w:val="21"/>
          <w:szCs w:val="21"/>
          <w:highlight w:val="none"/>
        </w:rPr>
      </w:pPr>
      <w:r>
        <w:rPr>
          <w:rFonts w:hint="eastAsia" w:hAnsi="宋体"/>
          <w:color w:val="auto"/>
          <w:szCs w:val="21"/>
          <w:highlight w:val="none"/>
        </w:rPr>
        <w:t>2采购人炉渣厂的生产工艺及分拣能力，投标人在投标前应有充分了解，应在生产过程中，把控回收废金属、环保砂的品质。</w:t>
      </w:r>
    </w:p>
    <w:p>
      <w:pPr>
        <w:adjustRightInd w:val="0"/>
        <w:snapToGrid w:val="0"/>
        <w:spacing w:line="360" w:lineRule="auto"/>
        <w:ind w:firstLine="422" w:firstLineChars="200"/>
        <w:rPr>
          <w:rFonts w:cs="宋体"/>
          <w:b/>
          <w:bCs/>
          <w:color w:val="auto"/>
          <w:sz w:val="21"/>
          <w:szCs w:val="21"/>
          <w:highlight w:val="none"/>
        </w:rPr>
      </w:pPr>
      <w:r>
        <w:rPr>
          <w:rFonts w:hint="eastAsia" w:cs="宋体"/>
          <w:b/>
          <w:bCs/>
          <w:color w:val="auto"/>
          <w:sz w:val="21"/>
          <w:szCs w:val="21"/>
          <w:highlight w:val="none"/>
        </w:rPr>
        <w:t>三、采购人的权利及义务</w:t>
      </w:r>
    </w:p>
    <w:p>
      <w:pPr>
        <w:spacing w:after="120" w:line="360" w:lineRule="auto"/>
        <w:ind w:firstLine="420" w:firstLineChars="200"/>
        <w:outlineLvl w:val="0"/>
        <w:rPr>
          <w:rFonts w:hAnsi="宋体" w:cs="宋体"/>
          <w:color w:val="auto"/>
          <w:szCs w:val="21"/>
          <w:highlight w:val="none"/>
        </w:rPr>
      </w:pPr>
      <w:bookmarkStart w:id="91" w:name="_Toc12104"/>
      <w:r>
        <w:rPr>
          <w:rFonts w:hint="eastAsia" w:hAnsi="宋体" w:cs="宋体"/>
          <w:color w:val="auto"/>
          <w:szCs w:val="21"/>
          <w:highlight w:val="none"/>
        </w:rPr>
        <w:t>1采购人有权派出监督员或指定任何代表在任何时候进入项目现场，以监察项目设施的运营和维护，但监督员或采购人代表的进入和监察行为应合理，以不影响正常运营为原则。</w:t>
      </w:r>
      <w:bookmarkEnd w:id="91"/>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2采购人的监督员或指定代表发现问题时有提问和要求回答的权利，并有权检查生产记录、设备检修和检测记录，有权对生产过程中做出合理的安全管理要求、环境环保要求、设备管理缺陷整改等，中标人需按要求进行整改整顿。</w:t>
      </w:r>
    </w:p>
    <w:p>
      <w:pPr>
        <w:widowControl/>
        <w:spacing w:line="360" w:lineRule="auto"/>
        <w:ind w:firstLine="420" w:firstLineChars="200"/>
        <w:jc w:val="left"/>
        <w:rPr>
          <w:rFonts w:hint="default" w:hAnsi="宋体" w:eastAsia="宋体" w:cs="宋体"/>
          <w:color w:val="auto"/>
          <w:szCs w:val="21"/>
          <w:highlight w:val="none"/>
          <w:lang w:val="en-US" w:eastAsia="zh-CN"/>
        </w:rPr>
      </w:pPr>
      <w:r>
        <w:rPr>
          <w:rFonts w:hint="eastAsia" w:hAnsi="宋体" w:cs="宋体"/>
          <w:color w:val="auto"/>
          <w:szCs w:val="21"/>
          <w:highlight w:val="none"/>
        </w:rPr>
        <w:t>3采购人认为中标人确有必要停工整顿时，将以书面形式要求中标人暂停生产，并提出书面意见。当中标人实施处理意见并以书面形式提出复工要求后，采购人应检查是否合格，给予答复。采购人有权以口头通知形式要求中标人暂停区域性生产。</w:t>
      </w:r>
      <w:r>
        <w:rPr>
          <w:rFonts w:hint="eastAsia" w:hAnsi="宋体" w:cs="宋体"/>
          <w:color w:val="auto"/>
          <w:szCs w:val="21"/>
          <w:highlight w:val="none"/>
          <w:lang w:val="en-US" w:eastAsia="zh-CN"/>
        </w:rPr>
        <w:t>停工停产期间，中标人仍应按原标准提供</w:t>
      </w:r>
      <w:r>
        <w:rPr>
          <w:rFonts w:hint="eastAsia" w:hAnsi="宋体"/>
          <w:color w:val="auto"/>
          <w:szCs w:val="21"/>
          <w:highlight w:val="none"/>
        </w:rPr>
        <w:t>炉渣厂</w:t>
      </w:r>
      <w:r>
        <w:rPr>
          <w:rFonts w:hint="eastAsia" w:hAnsi="宋体"/>
          <w:color w:val="auto"/>
          <w:szCs w:val="21"/>
          <w:highlight w:val="none"/>
          <w:lang w:val="en-US" w:eastAsia="zh-CN"/>
        </w:rPr>
        <w:t>的其他服务，且运行期间不予顺延或延长。</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4采购人应按约定及时向中标人提供电厂全量的炉渣原料。</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5对于筛分后的纤维、塑料等</w:t>
      </w:r>
      <w:r>
        <w:rPr>
          <w:rFonts w:hint="eastAsia" w:hAnsi="宋体" w:cs="宋体"/>
          <w:color w:val="auto"/>
          <w:szCs w:val="21"/>
          <w:highlight w:val="none"/>
          <w:lang w:eastAsia="zh-CN"/>
        </w:rPr>
        <w:t>未燃尽</w:t>
      </w:r>
      <w:r>
        <w:rPr>
          <w:rFonts w:hint="eastAsia" w:hAnsi="宋体" w:cs="宋体"/>
          <w:color w:val="auto"/>
          <w:szCs w:val="21"/>
          <w:highlight w:val="none"/>
        </w:rPr>
        <w:t>物，中标人送至垃圾焚烧发电厂后，采购人</w:t>
      </w:r>
      <w:r>
        <w:rPr>
          <w:rFonts w:hint="eastAsia" w:hAnsi="宋体" w:cs="宋体"/>
          <w:color w:val="auto"/>
          <w:szCs w:val="21"/>
          <w:highlight w:val="none"/>
          <w:lang w:val="en-US" w:eastAsia="zh-CN"/>
        </w:rPr>
        <w:t>按照垃圾焚烧发电厂进场地磅数据</w:t>
      </w:r>
      <w:r>
        <w:rPr>
          <w:rFonts w:hint="eastAsia" w:hAnsi="宋体" w:cs="宋体"/>
          <w:color w:val="auto"/>
          <w:szCs w:val="21"/>
          <w:highlight w:val="none"/>
        </w:rPr>
        <w:t>确认重量，并在当月炉渣重量中予以扣除。</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6对于中标人销售炉渣的单位或个人信息，中标人应无条件</w:t>
      </w:r>
      <w:r>
        <w:rPr>
          <w:rFonts w:hint="eastAsia" w:hAnsi="宋体" w:cs="宋体"/>
          <w:color w:val="auto"/>
          <w:szCs w:val="21"/>
          <w:highlight w:val="none"/>
          <w:lang w:val="en-US" w:eastAsia="zh-CN"/>
        </w:rPr>
        <w:t>定期</w:t>
      </w:r>
      <w:r>
        <w:rPr>
          <w:rFonts w:hint="eastAsia" w:hAnsi="宋体" w:cs="宋体"/>
          <w:color w:val="auto"/>
          <w:szCs w:val="21"/>
          <w:highlight w:val="none"/>
        </w:rPr>
        <w:t>告知采购人，并提供销售方</w:t>
      </w:r>
      <w:r>
        <w:rPr>
          <w:rFonts w:hint="eastAsia" w:hAnsi="宋体" w:cs="宋体"/>
          <w:color w:val="auto"/>
          <w:szCs w:val="21"/>
          <w:highlight w:val="none"/>
          <w:lang w:val="en-US" w:eastAsia="zh-CN"/>
        </w:rPr>
        <w:t>相关</w:t>
      </w:r>
      <w:r>
        <w:rPr>
          <w:rFonts w:hint="eastAsia" w:hAnsi="宋体" w:cs="宋体"/>
          <w:color w:val="auto"/>
          <w:szCs w:val="21"/>
          <w:highlight w:val="none"/>
        </w:rPr>
        <w:t>信息（如销售人员联系方式、销售地、销售合同签订周期等），采购人有权要求前往销售地考察。</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7对于中标人外售的沙料及干化淤泥，采购人有权向中标人要求去往处置地考察，中标人应无条件配合。若采购人发现处置场地不符合环保要求的，中标人必须按照要求停止处置，并重新寻找合格的处置场地</w:t>
      </w:r>
      <w:r>
        <w:rPr>
          <w:rFonts w:hint="eastAsia" w:hAnsi="宋体" w:cs="宋体"/>
          <w:color w:val="auto"/>
          <w:szCs w:val="21"/>
          <w:highlight w:val="none"/>
          <w:lang w:eastAsia="zh-CN"/>
        </w:rPr>
        <w:t>，</w:t>
      </w:r>
      <w:r>
        <w:rPr>
          <w:rFonts w:hint="eastAsia" w:hAnsi="宋体" w:cs="宋体"/>
          <w:color w:val="auto"/>
          <w:szCs w:val="21"/>
          <w:highlight w:val="none"/>
          <w:lang w:val="en-US" w:eastAsia="zh-CN"/>
        </w:rPr>
        <w:t>由此产生的一切不利后果均由中标人自行承担（包括但不限于处置场地主张的违约或损失赔偿等责任）</w:t>
      </w:r>
      <w:r>
        <w:rPr>
          <w:rFonts w:hint="eastAsia" w:hAnsi="宋体" w:cs="宋体"/>
          <w:color w:val="auto"/>
          <w:szCs w:val="21"/>
          <w:highlight w:val="none"/>
        </w:rPr>
        <w:t>。</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8发生以下情况</w:t>
      </w:r>
      <w:r>
        <w:rPr>
          <w:rFonts w:hint="eastAsia" w:hAnsi="宋体" w:cs="宋体"/>
          <w:color w:val="auto"/>
          <w:szCs w:val="21"/>
          <w:highlight w:val="none"/>
          <w:lang w:val="en-US" w:eastAsia="zh-CN"/>
        </w:rPr>
        <w:t>的，中标人</w:t>
      </w:r>
      <w:r>
        <w:rPr>
          <w:rFonts w:hint="eastAsia" w:hAnsi="宋体" w:cs="宋体"/>
          <w:color w:val="auto"/>
          <w:szCs w:val="21"/>
          <w:highlight w:val="none"/>
        </w:rPr>
        <w:t>应停工</w:t>
      </w:r>
      <w:r>
        <w:rPr>
          <w:rFonts w:hint="eastAsia" w:hAnsi="宋体" w:cs="宋体"/>
          <w:color w:val="auto"/>
          <w:szCs w:val="21"/>
          <w:highlight w:val="none"/>
          <w:lang w:val="en-US" w:eastAsia="zh-CN"/>
        </w:rPr>
        <w:t>停产</w:t>
      </w:r>
      <w:r>
        <w:rPr>
          <w:rFonts w:hint="eastAsia" w:hAnsi="宋体" w:cs="宋体"/>
          <w:color w:val="auto"/>
          <w:szCs w:val="21"/>
          <w:highlight w:val="none"/>
        </w:rPr>
        <w:t>整顿：</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（1）发生人身伤害事故；</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（2）发生机械、生产设备严重损坏事故；</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（3）发生厂区火灾事故；</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（4）发生环境污染事故；</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（5）重复发生相同性质恶劣的事故；</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（6）多次不听从劝告的。生产现场脏、乱、差，不能满足安全和文明生产要求；</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（7）违反采购人发布的规章制度，应责令停产消除隐患方可复产；</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（8）发生以上事故运行时限不予延长。</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9采购人提供厂房、炉渣资源化设备及场地。</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10采购人有权对中标人的情况进行监管但并不能免除或减少中标人的义务。生产中发生的环保、安全生产等事故时，中标人应当自行承担全部责任。</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11因中标人原因无法及时处置采购人炉渣，采购人有权将炉渣运送至第三方处理场所进行处理。对采购人产生损失的，采购人有权从履约保证金中扣除，如履约保证金不足抵扣采购人有权额外追偿。</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12若出现采购人生产经营情况调整导致需求变更或市场环境变动或采购人认为本合同不宜继续履行等情况，采购人有权提前</w:t>
      </w:r>
      <w:r>
        <w:rPr>
          <w:rFonts w:hint="eastAsia" w:hAnsi="宋体" w:cs="宋体"/>
          <w:color w:val="auto"/>
          <w:szCs w:val="21"/>
          <w:highlight w:val="none"/>
          <w:lang w:val="en-US" w:eastAsia="zh-CN"/>
        </w:rPr>
        <w:t>45</w:t>
      </w:r>
      <w:r>
        <w:rPr>
          <w:rFonts w:hint="eastAsia" w:hAnsi="宋体" w:cs="宋体"/>
          <w:color w:val="auto"/>
          <w:szCs w:val="21"/>
          <w:highlight w:val="none"/>
        </w:rPr>
        <w:t>日书面通知中标人后终止本合同，采购人无须因合同终止承担任何责任（包括违约责任及支付任何损失赔偿或补偿等）。</w:t>
      </w:r>
    </w:p>
    <w:p>
      <w:pPr>
        <w:widowControl/>
        <w:spacing w:line="360" w:lineRule="auto"/>
        <w:ind w:firstLine="420" w:firstLineChars="200"/>
        <w:jc w:val="left"/>
        <w:rPr>
          <w:color w:val="auto"/>
          <w:szCs w:val="21"/>
          <w:highlight w:val="none"/>
        </w:rPr>
      </w:pPr>
      <w:r>
        <w:rPr>
          <w:rFonts w:hint="eastAsia" w:hAnsi="宋体" w:cs="宋体"/>
          <w:color w:val="auto"/>
          <w:szCs w:val="21"/>
          <w:highlight w:val="none"/>
        </w:rPr>
        <w:t xml:space="preserve">13在项目开始运行日之前，中标人应根据适用法律和谨慎运营惯例编制项目设施的运行维护手册 </w:t>
      </w:r>
      <w:r>
        <w:rPr>
          <w:rFonts w:hint="eastAsia" w:hAnsi="宋体" w:cs="宋体"/>
          <w:color w:val="auto"/>
          <w:szCs w:val="21"/>
          <w:highlight w:val="none"/>
          <w:lang w:eastAsia="zh-CN"/>
        </w:rPr>
        <w:t>（</w:t>
      </w:r>
      <w:r>
        <w:rPr>
          <w:rFonts w:hint="eastAsia" w:hAnsi="宋体" w:cs="宋体"/>
          <w:color w:val="auto"/>
          <w:szCs w:val="21"/>
          <w:highlight w:val="none"/>
        </w:rPr>
        <w:t>下称“手册”</w:t>
      </w:r>
      <w:r>
        <w:rPr>
          <w:rFonts w:hint="eastAsia" w:hAnsi="宋体" w:cs="宋体"/>
          <w:color w:val="auto"/>
          <w:szCs w:val="21"/>
          <w:highlight w:val="none"/>
          <w:lang w:eastAsia="zh-CN"/>
        </w:rPr>
        <w:t>）</w:t>
      </w:r>
      <w:r>
        <w:rPr>
          <w:rFonts w:hint="eastAsia" w:hAnsi="宋体" w:cs="宋体"/>
          <w:color w:val="auto"/>
          <w:szCs w:val="21"/>
          <w:highlight w:val="none"/>
        </w:rPr>
        <w:t>，该手册在项目运营期间应根据项目运行的实际情况随时进行修改和完善。中标人应将编制完成或实时修订的手册及时提交采购人备案，采购人有权要求中标人对手册的内容进行完善。手册应包括进行定期和年度检查、日常运行维护、大修维护和年度维护的程序和计划，以及调整和改进检验及维护安排的程序和计划。手册应列明炉渣车间正常运营所需的消耗性备品备件和事故抢修的备品备件。</w:t>
      </w:r>
    </w:p>
    <w:p>
      <w:pPr>
        <w:adjustRightInd w:val="0"/>
        <w:snapToGrid w:val="0"/>
        <w:spacing w:line="360" w:lineRule="auto"/>
        <w:ind w:firstLine="422" w:firstLineChars="200"/>
        <w:rPr>
          <w:rFonts w:cs="宋体"/>
          <w:b/>
          <w:bCs/>
          <w:color w:val="auto"/>
          <w:sz w:val="21"/>
          <w:szCs w:val="21"/>
          <w:highlight w:val="none"/>
        </w:rPr>
      </w:pPr>
      <w:r>
        <w:rPr>
          <w:rFonts w:hint="eastAsia" w:cs="宋体"/>
          <w:b/>
          <w:bCs/>
          <w:color w:val="auto"/>
          <w:sz w:val="21"/>
          <w:szCs w:val="21"/>
          <w:highlight w:val="none"/>
        </w:rPr>
        <w:t>★四、安全与文明生产管理</w:t>
      </w:r>
    </w:p>
    <w:p>
      <w:pPr>
        <w:adjustRightInd w:val="0"/>
        <w:snapToGrid w:val="0"/>
        <w:spacing w:line="360" w:lineRule="auto"/>
        <w:ind w:firstLine="420" w:firstLineChars="200"/>
        <w:rPr>
          <w:rFonts w:hAnsi="宋体" w:cs="Arial"/>
          <w:color w:val="auto"/>
          <w:szCs w:val="21"/>
          <w:highlight w:val="none"/>
        </w:rPr>
      </w:pPr>
      <w:r>
        <w:rPr>
          <w:rFonts w:hint="eastAsia" w:hAnsi="宋体" w:cs="Arial"/>
          <w:color w:val="auto"/>
          <w:szCs w:val="21"/>
          <w:highlight w:val="none"/>
        </w:rPr>
        <w:t>中标人的管理纳入采购人的管理范畴，所有的炉渣处置及产品销售业务必须按照采购人的要求进行，接受采购人相关部门的监督、指导、考核和评价，建立一套适应采购人实际情况的管理制度，确保炉渣厂安全、环保、稳定运行。</w:t>
      </w:r>
    </w:p>
    <w:p>
      <w:pPr>
        <w:pStyle w:val="380"/>
        <w:spacing w:line="360" w:lineRule="auto"/>
        <w:ind w:firstLine="420" w:firstLineChars="200"/>
        <w:rPr>
          <w:color w:val="auto"/>
          <w:sz w:val="21"/>
          <w:szCs w:val="21"/>
          <w:highlight w:val="none"/>
          <w:lang w:val="en-US" w:eastAsia="zh-CN"/>
        </w:rPr>
      </w:pPr>
      <w:r>
        <w:rPr>
          <w:rFonts w:hint="eastAsia"/>
          <w:color w:val="auto"/>
          <w:sz w:val="21"/>
          <w:szCs w:val="21"/>
          <w:highlight w:val="none"/>
          <w:lang w:val="en-US" w:eastAsia="zh-CN"/>
        </w:rPr>
        <w:t>（一）安全管理</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1中标人必须坚决执行国家、电力行业以及所在政府关于安全的方针、政策、法规、条例和规定。必须采取一切必要措施和手段确保安全。建立完善的安全管理制度保证人员安全与健康。</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2中标人必须贯彻执行“安全</w:t>
      </w:r>
      <w:r>
        <w:rPr>
          <w:rFonts w:hint="eastAsia" w:asciiTheme="minorEastAsia" w:hAnsiTheme="minorEastAsia" w:eastAsiaTheme="minorEastAsia" w:cstheme="minorEastAsia"/>
          <w:color w:val="auto"/>
          <w:szCs w:val="21"/>
          <w:highlight w:val="none"/>
          <w:lang w:eastAsia="zh-CN"/>
        </w:rPr>
        <w:t>第一，</w:t>
      </w:r>
      <w:r>
        <w:rPr>
          <w:rFonts w:hint="eastAsia" w:asciiTheme="minorEastAsia" w:hAnsiTheme="minorEastAsia" w:eastAsiaTheme="minorEastAsia" w:cstheme="minorEastAsia"/>
          <w:color w:val="auto"/>
          <w:szCs w:val="21"/>
          <w:highlight w:val="none"/>
        </w:rPr>
        <w:t>预防为主”的方针，严格执行国家电行业标准《电业安全工作规程（火力发电厂部分）》和采购人的有关安全规定及各行业安全工作规程。</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中标人必须服从采购人的安全管理，因中标人的原因给采购人或第三方造成人身伤亡，均由中标人按国家有关规程承担相应责任；因中标人的原因给采购人或第三方造成设备事故或经济损失，均由中标人负责并赔偿造成的一切经济损失。</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4中标人在从事生产工作期间必须遵守采购人的安健环管理、考核制度。</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5中标人全面负责生产工作人员的安全，并使工作现场保持良好的秩序，以避免发生人身事故，保证建筑物和设备的安全。</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6中标人应采取一切合理措施，保护工作现场周围的环境，避免污染、噪音或由于其工作方法的不当造成的对公共人员和财产等的危害或干扰。</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7中标人必须向采购人提供安全操作规程，采购人有权监督安全规程的执行情况。</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（二）安全管理目标</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不发生轻伤及以上人身伤害事件（事故）。</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2不发生恶性未遂事故，不发生生产作业设备损坏事故。</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3不发生合同范围内人为责任一般及以上事故。</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4不发生职业中毒事故。</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5不发生火灾事故。</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6不发生环境污染事故。</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7不发生人为和管理责任的设备类障碍。</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8不发生负主要责任的交通事故。</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（三）作业安全管理</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1中标人在操作采购人设备时，必须严格按照采购人的操作规程执行，爱护设备。对于中标人故意损坏采购人设备的行为，采购人有权向中标人索赔。</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2中标人安排的辅助人员必须身体健康，不得有妨碍工作的疾病。参加粉尘等有害工种的工作人员，必须是经过体检合格，长期接触粉尘的工作人员必须定期轮换，中标人必须为所有作业人员配备相应的劳动防护用品和定期体检。</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3中标人安排的参加工作的机动车驾驶员等特殊工种作业人员，必须经过专门的安全技术培训，经有关部门考核合格，方能持证上岗。中标人要如实向采购人报告特种工作人员的资格状况。对于政府提出的有关资格培训，采购人有权要求中标人参加并取得相关的资格证，取证费用由中标人负责。</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4中标人不得使用未成年工或老弱病残人员，更换人员要办理相关手续。</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5由于中标人的责任造成的人身伤亡事故，应由中标人负全部责任。中标人必须为所有进厂员工购买人身意外保险，保险金额不能低于</w:t>
      </w:r>
      <w:r>
        <w:rPr>
          <w:rFonts w:ascii="Times New Roman Regular" w:hAnsi="Times New Roman Regular" w:cs="Times New Roman Regular"/>
          <w:color w:val="auto"/>
          <w:szCs w:val="21"/>
          <w:highlight w:val="none"/>
        </w:rPr>
        <w:t>100万</w:t>
      </w:r>
      <w:r>
        <w:rPr>
          <w:rFonts w:hint="eastAsia" w:ascii="Times New Roman Regular" w:hAnsi="Times New Roman Regular" w:cs="Times New Roman Regular"/>
          <w:color w:val="auto"/>
          <w:szCs w:val="21"/>
          <w:highlight w:val="none"/>
        </w:rPr>
        <w:t>，并将相关保险信息报送采购人。</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6中标人在生产前，必须向采购人提供所有人员详细信息（包含不限于个人身份、工作履历信息、特种设备作业工作证等）。</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7中标人工作人员进厂前必须接受采购人三级安全教育。</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8中标人有责任做好工作人员的劳动安全保护工作，包括劳动安全技能培训教育，劳动保护用具的发放及正确使用，作业环境的安全交底，确保生产过程中的人身安全。</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9采购人有权要求中标人更换不听从指挥的工作人员。</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10采购人对于中标人工作人员不安全行为进行考核，对于屡教不改的工作人员，采购人有权要求更换</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（四）环境安全管理</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1中标人在采购人公司现场工作期间，不允许对水、空气和土壤等造成污染。</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2中标人必须符合环境法律法规要求，不允许在现场使用任何禁用物品。</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3因中标人工作造成的环境污染损失由中标人负全部责任。</w:t>
      </w:r>
    </w:p>
    <w:p>
      <w:pPr>
        <w:pStyle w:val="380"/>
        <w:spacing w:line="360" w:lineRule="auto"/>
        <w:ind w:firstLine="420" w:firstLineChars="200"/>
        <w:rPr>
          <w:rFonts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en-US" w:eastAsia="zh-CN"/>
        </w:rPr>
        <w:t>中标人</w:t>
      </w:r>
      <w:r>
        <w:rPr>
          <w:rFonts w:hint="eastAsia" w:asciiTheme="minorEastAsia" w:hAnsiTheme="minorEastAsia" w:eastAsiaTheme="minorEastAsia" w:cstheme="minorEastAsia"/>
          <w:color w:val="auto"/>
          <w:sz w:val="21"/>
          <w:szCs w:val="21"/>
          <w:highlight w:val="none"/>
        </w:rPr>
        <w:t>不得在厂内任何地点燃烧、填埋垃圾和工业废弃物。</w:t>
      </w:r>
    </w:p>
    <w:p>
      <w:pPr>
        <w:pStyle w:val="380"/>
        <w:spacing w:line="360" w:lineRule="auto"/>
        <w:ind w:firstLine="0"/>
        <w:rPr>
          <w:color w:val="auto"/>
          <w:sz w:val="24"/>
          <w:szCs w:val="24"/>
          <w:highlight w:val="none"/>
          <w:lang w:val="en-US" w:eastAsia="zh-CN"/>
        </w:rPr>
      </w:pPr>
    </w:p>
    <w:p>
      <w:pPr>
        <w:pStyle w:val="380"/>
        <w:spacing w:line="360" w:lineRule="auto"/>
        <w:ind w:firstLine="0"/>
        <w:rPr>
          <w:color w:val="auto"/>
          <w:sz w:val="24"/>
          <w:szCs w:val="24"/>
          <w:highlight w:val="none"/>
          <w:lang w:val="en-US" w:eastAsia="zh-CN"/>
        </w:rPr>
      </w:pPr>
    </w:p>
    <w:p>
      <w:pPr>
        <w:pStyle w:val="380"/>
        <w:spacing w:line="360" w:lineRule="auto"/>
        <w:ind w:firstLine="0"/>
        <w:rPr>
          <w:color w:val="auto"/>
          <w:sz w:val="24"/>
          <w:szCs w:val="24"/>
          <w:highlight w:val="none"/>
          <w:lang w:val="en-US" w:eastAsia="zh-CN"/>
        </w:rPr>
      </w:pPr>
    </w:p>
    <w:p>
      <w:pPr>
        <w:pStyle w:val="380"/>
        <w:spacing w:line="360" w:lineRule="auto"/>
        <w:ind w:firstLine="0"/>
        <w:rPr>
          <w:color w:val="auto"/>
          <w:sz w:val="24"/>
          <w:szCs w:val="24"/>
          <w:highlight w:val="none"/>
          <w:lang w:val="en-US" w:eastAsia="zh-CN"/>
        </w:rPr>
      </w:pPr>
    </w:p>
    <w:p>
      <w:pPr>
        <w:pStyle w:val="380"/>
        <w:spacing w:line="360" w:lineRule="auto"/>
        <w:ind w:firstLine="0"/>
        <w:rPr>
          <w:color w:val="auto"/>
          <w:sz w:val="24"/>
          <w:szCs w:val="24"/>
          <w:highlight w:val="none"/>
          <w:lang w:val="en-US" w:eastAsia="zh-CN"/>
        </w:rPr>
      </w:pPr>
    </w:p>
    <w:p>
      <w:pPr>
        <w:pStyle w:val="380"/>
        <w:spacing w:line="360" w:lineRule="auto"/>
        <w:ind w:firstLine="0"/>
        <w:rPr>
          <w:color w:val="auto"/>
          <w:sz w:val="24"/>
          <w:szCs w:val="24"/>
          <w:highlight w:val="none"/>
          <w:lang w:val="en-US" w:eastAsia="zh-CN"/>
        </w:rPr>
      </w:pPr>
    </w:p>
    <w:p>
      <w:pPr>
        <w:pStyle w:val="380"/>
        <w:spacing w:line="360" w:lineRule="auto"/>
        <w:ind w:firstLine="0"/>
        <w:rPr>
          <w:color w:val="auto"/>
          <w:sz w:val="24"/>
          <w:szCs w:val="24"/>
          <w:highlight w:val="none"/>
          <w:lang w:val="en-US" w:eastAsia="zh-CN"/>
        </w:rPr>
      </w:pPr>
    </w:p>
    <w:p>
      <w:pPr>
        <w:rPr>
          <w:rFonts w:hint="eastAsia" w:ascii="宋体" w:hAnsi="宋体" w:eastAsia="宋体" w:cs="宋体"/>
          <w:color w:val="auto"/>
          <w:sz w:val="32"/>
          <w:szCs w:val="32"/>
          <w:highlight w:val="none"/>
          <w:lang w:val="en-US" w:eastAsia="zh-CN" w:bidi="zh-TW"/>
        </w:rPr>
      </w:pPr>
      <w:bookmarkStart w:id="92" w:name="_Toc21674"/>
    </w:p>
    <w:p>
      <w:pPr>
        <w:rPr>
          <w:rFonts w:hint="eastAsia" w:ascii="宋体" w:hAnsi="宋体" w:eastAsia="宋体" w:cs="宋体"/>
          <w:color w:val="auto"/>
          <w:sz w:val="32"/>
          <w:szCs w:val="32"/>
          <w:highlight w:val="none"/>
          <w:lang w:val="en-US" w:eastAsia="zh-CN" w:bidi="zh-TW"/>
        </w:rPr>
        <w:sectPr>
          <w:pgSz w:w="12189" w:h="16441"/>
          <w:pgMar w:top="1417" w:right="1417" w:bottom="1417" w:left="1417" w:header="850" w:footer="959" w:gutter="0"/>
          <w:pgBorders>
            <w:top w:val="none" w:sz="0" w:space="0"/>
            <w:left w:val="none" w:sz="0" w:space="0"/>
            <w:bottom w:val="none" w:sz="0" w:space="0"/>
            <w:right w:val="none" w:sz="0" w:space="0"/>
          </w:pgBorders>
          <w:pgNumType w:fmt="decimal"/>
          <w:cols w:space="720" w:num="1"/>
        </w:sectPr>
      </w:pPr>
    </w:p>
    <w:p>
      <w:pPr>
        <w:rPr>
          <w:rFonts w:hint="eastAsia" w:ascii="宋体" w:hAnsi="宋体" w:eastAsia="宋体" w:cs="宋体"/>
          <w:b/>
          <w:bCs/>
          <w:color w:val="auto"/>
          <w:sz w:val="21"/>
          <w:szCs w:val="21"/>
          <w:highlight w:val="none"/>
          <w:lang w:val="en-US" w:eastAsia="zh-CN" w:bidi="zh-TW"/>
        </w:rPr>
      </w:pPr>
      <w:r>
        <w:rPr>
          <w:rFonts w:hint="eastAsia" w:ascii="宋体" w:hAnsi="宋体" w:eastAsia="宋体" w:cs="宋体"/>
          <w:b/>
          <w:bCs/>
          <w:color w:val="auto"/>
          <w:sz w:val="21"/>
          <w:szCs w:val="21"/>
          <w:highlight w:val="none"/>
          <w:lang w:val="en-US" w:eastAsia="zh-CN" w:bidi="zh-TW"/>
        </w:rPr>
        <w:t>附件</w:t>
      </w:r>
      <w:r>
        <w:rPr>
          <w:rFonts w:hint="eastAsia" w:hAnsi="宋体" w:cs="宋体"/>
          <w:b/>
          <w:bCs/>
          <w:color w:val="auto"/>
          <w:sz w:val="21"/>
          <w:szCs w:val="21"/>
          <w:highlight w:val="none"/>
          <w:lang w:val="en-US" w:eastAsia="zh-CN" w:bidi="zh-TW"/>
        </w:rPr>
        <w:t>四</w:t>
      </w:r>
    </w:p>
    <w:p>
      <w:pPr>
        <w:pStyle w:val="4"/>
        <w:bidi w:val="0"/>
        <w:jc w:val="center"/>
        <w:rPr>
          <w:rFonts w:hint="eastAsia"/>
          <w:color w:val="auto"/>
          <w:sz w:val="21"/>
          <w:szCs w:val="21"/>
          <w:highlight w:val="none"/>
          <w:lang w:val="en-US" w:eastAsia="zh-CN"/>
        </w:rPr>
      </w:pPr>
      <w:r>
        <w:rPr>
          <w:rFonts w:hint="eastAsia"/>
          <w:color w:val="auto"/>
          <w:sz w:val="21"/>
          <w:szCs w:val="21"/>
          <w:highlight w:val="none"/>
          <w:lang w:val="en-US" w:eastAsia="zh-CN"/>
        </w:rPr>
        <w:t>杭州临江环境能源有限公司炉渣资源化利用项目检维修手册</w:t>
      </w:r>
    </w:p>
    <w:p>
      <w:pPr>
        <w:pStyle w:val="4"/>
        <w:spacing w:before="0" w:after="0" w:line="440" w:lineRule="exact"/>
        <w:ind w:firstLine="422" w:firstLineChars="200"/>
        <w:rPr>
          <w:rFonts w:hint="eastAsia" w:asciiTheme="minorEastAsia" w:hAnsiTheme="minorEastAsia" w:eastAsiaTheme="minorEastAsia" w:cstheme="minorEastAsia"/>
          <w:color w:val="auto"/>
          <w:sz w:val="21"/>
          <w:szCs w:val="21"/>
          <w:highlight w:val="none"/>
        </w:rPr>
      </w:pPr>
      <w:bookmarkStart w:id="93" w:name="_Toc34127497"/>
      <w:bookmarkStart w:id="94" w:name="_Toc33627436"/>
      <w:r>
        <w:rPr>
          <w:rFonts w:hint="eastAsia" w:asciiTheme="minorEastAsia" w:hAnsiTheme="minorEastAsia" w:eastAsiaTheme="minorEastAsia" w:cstheme="minorEastAsia"/>
          <w:color w:val="auto"/>
          <w:sz w:val="21"/>
          <w:szCs w:val="21"/>
          <w:highlight w:val="none"/>
        </w:rPr>
        <w:t>1 范围</w:t>
      </w:r>
      <w:bookmarkEnd w:id="93"/>
      <w:bookmarkEnd w:id="94"/>
    </w:p>
    <w:p>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本标准规定了杭州临江环境能源</w:t>
      </w:r>
      <w:r>
        <w:rPr>
          <w:rFonts w:hint="eastAsia" w:asciiTheme="minorEastAsia" w:hAnsiTheme="minorEastAsia" w:eastAsiaTheme="minorEastAsia" w:cstheme="minorEastAsia"/>
          <w:color w:val="auto"/>
          <w:sz w:val="21"/>
          <w:szCs w:val="21"/>
          <w:highlight w:val="none"/>
          <w:lang w:val="en-US" w:eastAsia="zh-CN"/>
        </w:rPr>
        <w:t>有限公司炉渣资源化利用项目设备检修时</w:t>
      </w:r>
      <w:r>
        <w:rPr>
          <w:rFonts w:hint="eastAsia" w:asciiTheme="minorEastAsia" w:hAnsiTheme="minorEastAsia" w:eastAsiaTheme="minorEastAsia" w:cstheme="minorEastAsia"/>
          <w:color w:val="auto"/>
          <w:sz w:val="21"/>
          <w:szCs w:val="21"/>
          <w:highlight w:val="none"/>
        </w:rPr>
        <w:t>的工艺方法及质量标准。</w:t>
      </w:r>
    </w:p>
    <w:p>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本规程适用于</w:t>
      </w:r>
      <w:r>
        <w:rPr>
          <w:rFonts w:hint="eastAsia" w:asciiTheme="minorEastAsia" w:hAnsiTheme="minorEastAsia" w:eastAsiaTheme="minorEastAsia" w:cstheme="minorEastAsia"/>
          <w:bCs/>
          <w:color w:val="auto"/>
          <w:sz w:val="21"/>
          <w:szCs w:val="21"/>
          <w:highlight w:val="none"/>
          <w:lang w:val="en-US" w:eastAsia="zh-CN"/>
        </w:rPr>
        <w:t>杭州临江环境能源有限公司炉渣资源化利用项目</w:t>
      </w:r>
      <w:r>
        <w:rPr>
          <w:rFonts w:hint="eastAsia" w:asciiTheme="minorEastAsia" w:hAnsiTheme="minorEastAsia" w:eastAsiaTheme="minorEastAsia" w:cstheme="minorEastAsia"/>
          <w:bCs/>
          <w:color w:val="auto"/>
          <w:sz w:val="21"/>
          <w:szCs w:val="21"/>
          <w:highlight w:val="none"/>
        </w:rPr>
        <w:t>的检修管理。</w:t>
      </w:r>
    </w:p>
    <w:p>
      <w:pPr>
        <w:spacing w:line="500" w:lineRule="exact"/>
        <w:ind w:firstLine="422" w:firstLineChars="200"/>
        <w:jc w:val="left"/>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 xml:space="preserve">2 </w:t>
      </w:r>
      <w:r>
        <w:rPr>
          <w:rFonts w:hint="eastAsia" w:asciiTheme="minorEastAsia" w:hAnsiTheme="minorEastAsia" w:eastAsiaTheme="minorEastAsia" w:cstheme="minorEastAsia"/>
          <w:b/>
          <w:color w:val="auto"/>
          <w:sz w:val="21"/>
          <w:szCs w:val="21"/>
          <w:highlight w:val="none"/>
        </w:rPr>
        <w:t>维护保养目标</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建立设备维修管理体系，规范设备检修维护的管理程序、目标、内容和方式，保证设备检修维护活动有计划、高效率地进行，在控制成本的基础上最大限度地满足生产运行的需要。</w:t>
      </w:r>
    </w:p>
    <w:p>
      <w:pPr>
        <w:spacing w:line="500" w:lineRule="exact"/>
        <w:ind w:firstLine="422" w:firstLineChars="200"/>
        <w:jc w:val="left"/>
        <w:outlineLvl w:val="1"/>
        <w:rPr>
          <w:rFonts w:hint="eastAsia" w:asciiTheme="minorEastAsia" w:hAnsiTheme="minorEastAsia" w:eastAsiaTheme="minorEastAsia" w:cstheme="minorEastAsia"/>
          <w:bCs/>
          <w:color w:val="auto"/>
          <w:sz w:val="21"/>
          <w:szCs w:val="21"/>
          <w:highlight w:val="none"/>
        </w:rPr>
      </w:pPr>
      <w:bookmarkStart w:id="95" w:name="_Toc38705371"/>
      <w:bookmarkStart w:id="96" w:name="_Toc25803"/>
      <w:r>
        <w:rPr>
          <w:rFonts w:hint="eastAsia" w:asciiTheme="minorEastAsia" w:hAnsiTheme="minorEastAsia" w:eastAsiaTheme="minorEastAsia" w:cstheme="minorEastAsia"/>
          <w:b/>
          <w:color w:val="auto"/>
          <w:sz w:val="21"/>
          <w:szCs w:val="21"/>
          <w:highlight w:val="none"/>
          <w:lang w:val="en-US" w:eastAsia="zh-CN"/>
        </w:rPr>
        <w:t>2</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cstheme="minorEastAsia"/>
          <w:b/>
          <w:color w:val="auto"/>
          <w:sz w:val="21"/>
          <w:szCs w:val="21"/>
          <w:highlight w:val="none"/>
          <w:lang w:val="en-US" w:eastAsia="zh-CN"/>
        </w:rPr>
        <w:t>1</w:t>
      </w:r>
      <w:r>
        <w:rPr>
          <w:rFonts w:hint="eastAsia" w:asciiTheme="minorEastAsia" w:hAnsiTheme="minorEastAsia" w:eastAsiaTheme="minorEastAsia" w:cstheme="minorEastAsia"/>
          <w:b/>
          <w:color w:val="auto"/>
          <w:sz w:val="21"/>
          <w:szCs w:val="21"/>
          <w:highlight w:val="none"/>
        </w:rPr>
        <w:t>设备</w:t>
      </w:r>
      <w:r>
        <w:rPr>
          <w:rFonts w:hint="eastAsia" w:asciiTheme="minorEastAsia" w:hAnsiTheme="minorEastAsia" w:cstheme="minorEastAsia"/>
          <w:b/>
          <w:color w:val="auto"/>
          <w:sz w:val="21"/>
          <w:szCs w:val="21"/>
          <w:highlight w:val="none"/>
          <w:lang w:val="en-US" w:eastAsia="zh-CN"/>
        </w:rPr>
        <w:t>例行维保</w:t>
      </w:r>
      <w:bookmarkEnd w:id="95"/>
      <w:bookmarkEnd w:id="96"/>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设备的例行保养是各级保养的基础，直接关系到运行安全，能源的消耗，机件的使用寿命。例行保养作业由设备</w:t>
      </w:r>
      <w:r>
        <w:rPr>
          <w:rFonts w:hint="eastAsia" w:asciiTheme="minorEastAsia" w:hAnsiTheme="minorEastAsia" w:cstheme="minorEastAsia"/>
          <w:bCs/>
          <w:color w:val="auto"/>
          <w:sz w:val="21"/>
          <w:szCs w:val="21"/>
          <w:highlight w:val="none"/>
          <w:lang w:val="en-US" w:eastAsia="zh-CN"/>
        </w:rPr>
        <w:t>运行</w:t>
      </w:r>
      <w:r>
        <w:rPr>
          <w:rFonts w:hint="eastAsia" w:asciiTheme="minorEastAsia" w:hAnsiTheme="minorEastAsia" w:eastAsiaTheme="minorEastAsia" w:cstheme="minorEastAsia"/>
          <w:bCs/>
          <w:color w:val="auto"/>
          <w:sz w:val="21"/>
          <w:szCs w:val="21"/>
          <w:highlight w:val="none"/>
        </w:rPr>
        <w:t>人负责执行，其作业中心内容</w:t>
      </w: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清洁、补给、安全、检视为主，坚持</w:t>
      </w:r>
      <w:r>
        <w:rPr>
          <w:rFonts w:hint="eastAsia" w:asciiTheme="minorEastAsia" w:hAnsiTheme="minorEastAsia" w:cstheme="minorEastAsia"/>
          <w:bCs/>
          <w:color w:val="auto"/>
          <w:sz w:val="21"/>
          <w:szCs w:val="21"/>
          <w:highlight w:val="none"/>
          <w:lang w:val="en-US" w:eastAsia="zh-CN"/>
        </w:rPr>
        <w:t>开机</w:t>
      </w:r>
      <w:r>
        <w:rPr>
          <w:rFonts w:hint="eastAsia" w:asciiTheme="minorEastAsia" w:hAnsiTheme="minorEastAsia" w:eastAsiaTheme="minorEastAsia" w:cstheme="minorEastAsia"/>
          <w:bCs/>
          <w:color w:val="auto"/>
          <w:sz w:val="21"/>
          <w:szCs w:val="21"/>
          <w:highlight w:val="none"/>
        </w:rPr>
        <w:t>之前、运行中、下班后的三检制度。检查操纵机构、运行机件、安全保护装置的可靠性，维护生产线和各总成部位的清洁，传送带轴承上的垃圾、泥沙等需清理干净；打铁机、沙机设备上的积水、淤泥以及卡在上面的铁丝需及时清理干净；滚笼、跳汰机上的垃圾需及时清理；抽沙泵、水泵需及时疏通，确保正常交班；生产线注意操作台清洁，传输设备处于复位状态；需润滑的设备和部位要及时到位。</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①设备启动前的工作项目：清洁设备，清除与生产无关的杂物；检查各指示仪器，仪表，操作按钮和手柄以及紧急停止按钮是否正常；检查各部位有无漏水，漏气，漏电的现象。</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②设备运行中的检查：注意各仪器仪表的工作情况，及各部位有无异常的声响；运行中注意安全部件是否正常；遇异常情况要及时向相关部门负责人报告。</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③收工后的作业项目：清洁设备外部，除去管道和容器内的生产用料，清洁各种零部件；检查波箱、传送带、打铁机、行车工作状况；机修组根据当班的反馈及时排除运行中发现的缺陷和故障。</w:t>
      </w:r>
    </w:p>
    <w:p>
      <w:pPr>
        <w:spacing w:line="500" w:lineRule="exact"/>
        <w:ind w:firstLine="422" w:firstLineChars="200"/>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2.2设备的维修保养</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设备的维修保养是合理使用设备的重要环节，必须用强制性的保养制度取代随坏随修，以修代保，进行频繁大拆大卸的做法。设备的维修保养就是在以预防为主的思想指导下，把设备保养作业项目按其周期长短分别组织在一起，分级定期执行，设备的定期保养分为：一级保养，二级保养，三级保养。</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级保养：一级保养是各级技术保养的基础，各级技术管理部门必须十分重视一级保养工作的质量。由专业维修工负责执行。主要作业内容以清洁、润滑、紧固为主，检查操纵、指示用仪器、仪表、安全部位、各种阀门、线路和设备的“暗病”排查。</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级保养：设备的二级保养以清洁、检查、调整、校验为中心内容。由专业维修人员负责执行。除执行一级保养作业项目，并检查运动部件的润滑油状况，清洗各类滤清器，检查安全机件的可靠性，消除隐患，调整易损零部件的配合状况，旋转运动部位的磨损程度，拆检齿轮变速和电磁变速器，清除污垢、结焦，视需要对各部件进行解体、清洗、检查，清除隐患，排除缺陷，对设备进行全面检查，视需要进行除锈、补漆，对电气设备进行检查、试验。</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⑷使用过程故障维修</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生产过程中若发生机械设备故障，应及时通知</w:t>
      </w:r>
      <w:r>
        <w:rPr>
          <w:rFonts w:hint="eastAsia" w:asciiTheme="minorEastAsia" w:hAnsiTheme="minorEastAsia" w:cstheme="minorEastAsia"/>
          <w:bCs/>
          <w:color w:val="auto"/>
          <w:sz w:val="21"/>
          <w:szCs w:val="21"/>
          <w:highlight w:val="none"/>
          <w:lang w:val="en-US" w:eastAsia="zh-CN"/>
        </w:rPr>
        <w:t>车间主任</w:t>
      </w:r>
      <w:r>
        <w:rPr>
          <w:rFonts w:hint="eastAsia" w:asciiTheme="minorEastAsia" w:hAnsiTheme="minorEastAsia" w:eastAsiaTheme="minorEastAsia" w:cstheme="minorEastAsia"/>
          <w:bCs/>
          <w:color w:val="auto"/>
          <w:sz w:val="21"/>
          <w:szCs w:val="21"/>
          <w:highlight w:val="none"/>
        </w:rPr>
        <w:t>联系维修人员维修，并填写“设备维修记录单”。维修后，经使用人检验正常运行后再进行正常工作。</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⑸保养时间安排</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日常例行保养由操作工按照要求日常进行，一级保养每1个月进行一次，二级保养每三个月进行一次，且日常维修时同步进行。“三级保养”由设备维修人员负责，每半年进行一次。</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⑹设备的维修保养应有记录，并及时归档以便管理。</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⑺材料储备、维护检修机器配置。</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材料及维修机器有序分类，分别设置材料备用仓库和维修机房。</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主要备用常用材料：钢材、黄油、柴油、机油、电机、减速机、切割泵、污水泵、胶管及管夹、电缆、电工胶布、齿轮、链条、轴承及底座、三角带、输送带、滚筒、托辊、支架、电磁调速器、变频器、漏电开关、螺栓螺帽、锤头、筛条、顶板、筛网、氧气、螺丝松动剂、电箱。</w:t>
      </w:r>
    </w:p>
    <w:p>
      <w:pPr>
        <w:spacing w:line="500" w:lineRule="exact"/>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主要维护检修用机具：焊机、切割机、扳手（含开口、内六角）、螺丝刀、剪刀、胶钳、液压拉马、手动葫芦、万能表、老虎钳、铁锤、钢钎、空压机、黄油枪、丝锥、皮带钉扣机。</w:t>
      </w:r>
    </w:p>
    <w:p>
      <w:pPr>
        <w:spacing w:line="500" w:lineRule="exact"/>
        <w:ind w:firstLine="422" w:firstLineChars="200"/>
        <w:jc w:val="left"/>
        <w:outlineLvl w:val="1"/>
        <w:rPr>
          <w:rFonts w:hint="eastAsia" w:asciiTheme="minorEastAsia" w:hAnsiTheme="minorEastAsia" w:eastAsiaTheme="minorEastAsia" w:cstheme="minorEastAsia"/>
          <w:b/>
          <w:color w:val="auto"/>
          <w:sz w:val="21"/>
          <w:szCs w:val="21"/>
          <w:highlight w:val="none"/>
        </w:rPr>
      </w:pPr>
      <w:bookmarkStart w:id="97" w:name="_Toc38705372"/>
      <w:bookmarkStart w:id="98" w:name="_Toc28731"/>
      <w:r>
        <w:rPr>
          <w:rFonts w:hint="eastAsia" w:asciiTheme="minorEastAsia" w:hAnsiTheme="minorEastAsia" w:eastAsiaTheme="minorEastAsia" w:cstheme="minorEastAsia"/>
          <w:b/>
          <w:color w:val="auto"/>
          <w:sz w:val="21"/>
          <w:szCs w:val="21"/>
          <w:highlight w:val="none"/>
        </w:rPr>
        <w:t>3</w:t>
      </w:r>
      <w:r>
        <w:rPr>
          <w:rFonts w:hint="eastAsia" w:asciiTheme="minorEastAsia" w:hAnsiTheme="minorEastAsia" w:cstheme="minorEastAsia"/>
          <w:b/>
          <w:color w:val="auto"/>
          <w:sz w:val="21"/>
          <w:szCs w:val="21"/>
          <w:highlight w:val="none"/>
          <w:lang w:val="en-US" w:eastAsia="zh-CN"/>
        </w:rPr>
        <w:t xml:space="preserve"> </w:t>
      </w:r>
      <w:r>
        <w:rPr>
          <w:rFonts w:hint="eastAsia" w:asciiTheme="minorEastAsia" w:hAnsiTheme="minorEastAsia" w:eastAsiaTheme="minorEastAsia" w:cstheme="minorEastAsia"/>
          <w:b/>
          <w:color w:val="auto"/>
          <w:sz w:val="21"/>
          <w:szCs w:val="21"/>
          <w:highlight w:val="none"/>
        </w:rPr>
        <w:t>检修维护手册</w:t>
      </w:r>
      <w:bookmarkEnd w:id="97"/>
      <w:bookmarkEnd w:id="98"/>
    </w:p>
    <w:p>
      <w:pPr>
        <w:spacing w:line="500" w:lineRule="exact"/>
        <w:ind w:firstLine="422" w:firstLineChars="200"/>
        <w:jc w:val="left"/>
        <w:outlineLvl w:val="3"/>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3.1挂牌上锁程序</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⑴目的</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凡是在有可能对人员造成人身伤害的设备上进行检修检查作业（如进入密闭容器内或检修旋转设备时等）， 必须切断该设备上所有的能量源（包括电源、气源等）并进行有效上锁控制，以防止作业时设备突然启动，从而保证检修检查人员的人身安全。</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⑵相关人员</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现场检修人员、现场维修负责人员、中控室操作员、电工</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⑶步骤</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①确定需停电上锁的设备</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根据检修工作的需要，由维修现场负责人确定应停电上锁的设备，凡是有可能对人员安全造成危险的设备均属上锁范围。</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②设备停电</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由维修负责人通知中控室，将相关设备断电。</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③上锁</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将设备上锁后，对上锁情况应进行有效确认，并进行试验后才能进行检修作业。</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④解锁</w:t>
      </w:r>
    </w:p>
    <w:p>
      <w:pPr>
        <w:spacing w:line="500" w:lineRule="exact"/>
        <w:ind w:left="420" w:leftChars="200" w:firstLine="0" w:firstLineChars="0"/>
        <w:jc w:val="left"/>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检修工作结束后，清理好检修现场，由上锁人员解开上锁设备，现场解锁及试车后通知中控室。</w:t>
      </w:r>
      <w:r>
        <w:rPr>
          <w:rFonts w:hint="eastAsia" w:asciiTheme="minorEastAsia" w:hAnsiTheme="minorEastAsia" w:eastAsiaTheme="minorEastAsia" w:cstheme="minorEastAsia"/>
          <w:bCs/>
          <w:color w:val="auto"/>
          <w:sz w:val="21"/>
          <w:szCs w:val="21"/>
          <w:highlight w:val="none"/>
        </w:rPr>
        <w:br w:type="textWrapping"/>
      </w:r>
      <w:r>
        <w:rPr>
          <w:rFonts w:hint="eastAsia" w:asciiTheme="minorEastAsia" w:hAnsi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cstheme="minorEastAsia"/>
          <w:b/>
          <w:bCs/>
          <w:color w:val="auto"/>
          <w:sz w:val="21"/>
          <w:szCs w:val="21"/>
          <w:highlight w:val="none"/>
          <w:lang w:val="en-US" w:eastAsia="zh-CN"/>
        </w:rPr>
        <w:t>2工作票管理要求</w:t>
      </w:r>
    </w:p>
    <w:p>
      <w:pPr>
        <w:numPr>
          <w:ilvl w:val="0"/>
          <w:numId w:val="13"/>
        </w:numPr>
        <w:spacing w:line="500" w:lineRule="exact"/>
        <w:ind w:left="0" w:leftChars="0" w:firstLine="420" w:firstLineChars="200"/>
        <w:jc w:val="left"/>
        <w:outlineLvl w:val="3"/>
        <w:rPr>
          <w:rFonts w:hint="eastAsia"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编制工作票：在设备开始检修进行工作之前，必须编制工作票，工作票提交由维修部提交，内容包括工作内容、工作步骤、工作时间、安全措施、工作人员等信息。工作票必须按照规定格式进行编制。</w:t>
      </w:r>
    </w:p>
    <w:p>
      <w:pPr>
        <w:numPr>
          <w:ilvl w:val="0"/>
          <w:numId w:val="13"/>
        </w:numPr>
        <w:spacing w:line="500" w:lineRule="exact"/>
        <w:ind w:left="0" w:leftChars="0" w:firstLine="420" w:firstLineChars="200"/>
        <w:jc w:val="left"/>
        <w:outlineLvl w:val="3"/>
        <w:rPr>
          <w:rFonts w:hint="eastAsia"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审核工作票：工作票编制完成后，由车间主任或生产副总审核，确保工作票的内容准确、完整、合理，并符合安全要求。</w:t>
      </w:r>
    </w:p>
    <w:p>
      <w:pPr>
        <w:numPr>
          <w:ilvl w:val="0"/>
          <w:numId w:val="13"/>
        </w:numPr>
        <w:spacing w:line="500" w:lineRule="exact"/>
        <w:ind w:left="0" w:leftChars="0" w:firstLine="420" w:firstLineChars="200"/>
        <w:jc w:val="left"/>
        <w:outlineLvl w:val="3"/>
        <w:rPr>
          <w:rFonts w:hint="eastAsia"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执行工作票：工作票经审核通过后，工作人员必须按照工作票的内容和要求进行工作。在工作过程中，必须遵守安全操作规程，采取相应的安全措施，确保工作的安全和质量。</w:t>
      </w:r>
    </w:p>
    <w:p>
      <w:pPr>
        <w:numPr>
          <w:ilvl w:val="0"/>
          <w:numId w:val="13"/>
        </w:numPr>
        <w:spacing w:line="500" w:lineRule="exact"/>
        <w:ind w:left="0" w:leftChars="0" w:firstLine="420" w:firstLineChars="200"/>
        <w:jc w:val="left"/>
        <w:outlineLvl w:val="3"/>
        <w:rPr>
          <w:rFonts w:hint="eastAsia"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监督工作票执行：相关部门或人员必须对工作票的执行进行监督，包括监督工作人员是否按照工作票的要求进行工作，是否采取了必要的安全措施等。监督人员必须具备相应的监督能力和责任意识。</w:t>
      </w:r>
    </w:p>
    <w:p>
      <w:pPr>
        <w:numPr>
          <w:ilvl w:val="0"/>
          <w:numId w:val="13"/>
        </w:numPr>
        <w:spacing w:line="500" w:lineRule="exact"/>
        <w:ind w:left="0" w:leftChars="0" w:firstLine="420" w:firstLineChars="200"/>
        <w:jc w:val="left"/>
        <w:outlineLvl w:val="3"/>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 w:val="0"/>
          <w:bCs w:val="0"/>
          <w:color w:val="auto"/>
          <w:sz w:val="21"/>
          <w:szCs w:val="21"/>
          <w:highlight w:val="none"/>
          <w:lang w:val="en-US" w:eastAsia="zh-CN"/>
        </w:rPr>
        <w:t>记录和归档：工作票的编制、审核、执行和监督过程必须进行记录，并按照规定进行归档。记录和归档的目的是为了方便查询和审计，并能够及时发现和纠正问题。</w:t>
      </w:r>
    </w:p>
    <w:p>
      <w:pPr>
        <w:spacing w:line="500" w:lineRule="exact"/>
        <w:ind w:firstLine="422" w:firstLineChars="200"/>
        <w:jc w:val="center"/>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各系统维保标准</w:t>
      </w:r>
    </w:p>
    <w:p>
      <w:pPr>
        <w:spacing w:line="500" w:lineRule="exact"/>
        <w:ind w:firstLine="422" w:firstLineChars="200"/>
        <w:jc w:val="center"/>
        <w:outlineLvl w:val="3"/>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lang w:val="en-US" w:eastAsia="zh-CN"/>
        </w:rPr>
        <w:t>初选系统维保标准</w:t>
      </w:r>
    </w:p>
    <w:p>
      <w:pPr>
        <w:spacing w:line="500" w:lineRule="exact"/>
        <w:ind w:firstLine="422" w:firstLineChars="200"/>
        <w:jc w:val="left"/>
        <w:outlineLvl w:val="3"/>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3.2</w:t>
      </w:r>
      <w:r>
        <w:rPr>
          <w:rFonts w:hint="eastAsia" w:asciiTheme="minorEastAsia" w:hAnsiTheme="minorEastAsia" w:cstheme="minorEastAsia"/>
          <w:b/>
          <w:bCs/>
          <w:color w:val="auto"/>
          <w:sz w:val="21"/>
          <w:szCs w:val="21"/>
          <w:highlight w:val="none"/>
          <w:lang w:val="en-US" w:eastAsia="zh-CN"/>
        </w:rPr>
        <w:t>行车抓斗</w:t>
      </w:r>
      <w:r>
        <w:rPr>
          <w:rFonts w:hint="eastAsia" w:asciiTheme="minorEastAsia" w:hAnsiTheme="minorEastAsia" w:eastAsiaTheme="minorEastAsia" w:cstheme="minorEastAsia"/>
          <w:b/>
          <w:bCs/>
          <w:color w:val="auto"/>
          <w:sz w:val="21"/>
          <w:szCs w:val="21"/>
          <w:highlight w:val="none"/>
        </w:rPr>
        <w:t>维</w:t>
      </w:r>
      <w:r>
        <w:rPr>
          <w:rFonts w:hint="eastAsia" w:asciiTheme="minorEastAsia" w:hAnsiTheme="minorEastAsia" w:cstheme="minorEastAsia"/>
          <w:b/>
          <w:bCs/>
          <w:color w:val="auto"/>
          <w:sz w:val="21"/>
          <w:szCs w:val="21"/>
          <w:highlight w:val="none"/>
          <w:lang w:val="en-US" w:eastAsia="zh-CN"/>
        </w:rPr>
        <w:t>保</w:t>
      </w:r>
    </w:p>
    <w:p>
      <w:pPr>
        <w:spacing w:line="500" w:lineRule="exact"/>
        <w:ind w:firstLine="422" w:firstLineChars="200"/>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cstheme="minorEastAsia"/>
          <w:b/>
          <w:bCs w:val="0"/>
          <w:color w:val="auto"/>
          <w:sz w:val="21"/>
          <w:szCs w:val="21"/>
          <w:highlight w:val="none"/>
          <w:lang w:val="en-US" w:eastAsia="zh-CN"/>
        </w:rPr>
        <w:t>3.2.</w:t>
      </w:r>
      <w:r>
        <w:rPr>
          <w:rFonts w:hint="eastAsia" w:asciiTheme="minorEastAsia" w:hAnsiTheme="minorEastAsia" w:eastAsiaTheme="minorEastAsia" w:cstheme="minorEastAsia"/>
          <w:b/>
          <w:bCs w:val="0"/>
          <w:color w:val="auto"/>
          <w:sz w:val="21"/>
          <w:szCs w:val="21"/>
          <w:highlight w:val="none"/>
        </w:rPr>
        <w:t>1.制动器的检查：</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首先要检查整个制动器动作是否灵活，不得有卡塞现象。电磁铁的动、静铁芯应接触良好。</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检验方法：可用扳手压电磁铁铁芯</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短行程</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观察各部分的活动是否灵活，制动轮与两个制动瓦间隙是否相等；用手摇晃制动臂，观察其销轴磨损情况，销轴磨损量达名义直径的3%-5%则应更换新件或修补。长行程制动器除上述各项之外，还要特别注意检查动静铁芯之间不得卡有任何物件。</w:t>
      </w:r>
    </w:p>
    <w:p>
      <w:pPr>
        <w:spacing w:line="500" w:lineRule="exact"/>
        <w:ind w:firstLine="422" w:firstLineChars="200"/>
        <w:rPr>
          <w:rFonts w:hint="eastAsia"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3.2.2制动轮的检查</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制动轮不得有缺陷和裂纹。制动轮安装以后，轮缘的摆幅</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或跳动</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不得超过表中的规定值。在使用过程中，制动轮表面如果出现大于2mm的凹陷或划痕， 则应将制动轮重新加工，对于起升机构制动轮总的磨损量不应超过原厚的30%</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对于运行机构不可超过40%。制动轮的锥孔与轴不得有相对转动，如发现有相对转动，则应拆开检查键是否被挤扁或键槽是否扩大。</w:t>
      </w:r>
    </w:p>
    <w:p>
      <w:pPr>
        <w:spacing w:line="500" w:lineRule="exact"/>
        <w:ind w:firstLine="422" w:firstLineChars="200"/>
        <w:rPr>
          <w:rFonts w:hint="eastAsia"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3.2.3制动器的修理</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制动器底座销轴孔磨损后可以采取修补的办法，在底座的孔板两侧各焊一块钢板，并把原孔焊平，重新划线钻孔。为保证孔的光洁度和精度，再用铰刀铰孔。轴栓的长度可随孔板的增加厚度而相应地加长。制动轮的修磨，先用标准量棒着色后插入内锥孔，检查实际结合面，当接触面小于名义接合面的70%时，应先修理锥孔，合格后再修磨外圆，修磨时应达到图纸的技术要求。装配后检查制动轮与制动瓦的接触面，应不小于结合面的80%。</w:t>
      </w:r>
    </w:p>
    <w:p>
      <w:pPr>
        <w:spacing w:line="500" w:lineRule="exact"/>
        <w:ind w:firstLine="422" w:firstLineChars="200"/>
        <w:rPr>
          <w:rFonts w:hint="default"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3.2.4</w:t>
      </w:r>
      <w:r>
        <w:rPr>
          <w:rFonts w:hint="default" w:asciiTheme="minorEastAsia" w:hAnsiTheme="minorEastAsia" w:cstheme="minorEastAsia"/>
          <w:b/>
          <w:bCs w:val="0"/>
          <w:color w:val="auto"/>
          <w:sz w:val="21"/>
          <w:szCs w:val="21"/>
          <w:highlight w:val="none"/>
          <w:lang w:val="en-US" w:eastAsia="zh-CN"/>
        </w:rPr>
        <w:t>联轴器</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齿式联轴器是由齿数相同的内齿圈和带外齿的凸缘半联轴器等零件组成，齿式联轴器在工作时，两轴产生相对位移，内外齿的齿面周期性作轴向相对滑动，必然形成齿面磨损和功率损耗，因此齿式联轴器需在良好润滑和密封的状态下工作。齿式联轴器在使用中主要问题是齿的磨损。其磨损原因往往是安装精度不够、相邻部件的支座刚度不够、地脚螺栓松动以及桥架变形等，但更主要的原因是缺乏良好的润滑条件。</w:t>
      </w:r>
    </w:p>
    <w:p>
      <w:pPr>
        <w:spacing w:line="500" w:lineRule="exact"/>
        <w:ind w:firstLine="422" w:firstLineChars="200"/>
        <w:rPr>
          <w:rFonts w:hint="default"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3.2.5</w:t>
      </w:r>
      <w:r>
        <w:rPr>
          <w:rFonts w:hint="default" w:asciiTheme="minorEastAsia" w:hAnsiTheme="minorEastAsia" w:cstheme="minorEastAsia"/>
          <w:b/>
          <w:bCs w:val="0"/>
          <w:color w:val="auto"/>
          <w:sz w:val="21"/>
          <w:szCs w:val="21"/>
          <w:highlight w:val="none"/>
          <w:lang w:val="en-US" w:eastAsia="zh-CN"/>
        </w:rPr>
        <w:t>联轴器检修时一般按以下方法进行：</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1</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检查联轴器齿面啮合情况，其接触面积沿齿高不小于50%</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沿齿宽不小于70%</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齿面不得有严重点蚀、磨损和裂纹。</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2</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联轴器外齿圈全圆跳动不大于0.03mm, 端面圆跳动不大于0.02mm。</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3</w:t>
      </w:r>
      <w:r>
        <w:rPr>
          <w:rFonts w:hint="eastAsia" w:asciiTheme="minorEastAsia" w:hAnsiTheme="minorEastAsia" w:cstheme="minorEastAsia"/>
          <w:b w:val="0"/>
          <w:bCs/>
          <w:color w:val="auto"/>
          <w:sz w:val="21"/>
          <w:szCs w:val="21"/>
          <w:highlight w:val="none"/>
          <w:lang w:val="en-US" w:eastAsia="zh-CN"/>
        </w:rPr>
        <w:t>）若需</w:t>
      </w:r>
      <w:r>
        <w:rPr>
          <w:rFonts w:hint="default" w:asciiTheme="minorEastAsia" w:hAnsiTheme="minorEastAsia" w:cstheme="minorEastAsia"/>
          <w:b w:val="0"/>
          <w:bCs/>
          <w:color w:val="auto"/>
          <w:sz w:val="21"/>
          <w:szCs w:val="21"/>
          <w:highlight w:val="none"/>
          <w:lang w:val="en-US" w:eastAsia="zh-CN"/>
        </w:rPr>
        <w:t>拆下齿圈时，必须用专用工具，不可敲打，以免使轴弯曲或损伤。当回装时，应将齿圈加热到200℃左右再装到轴上。外齿圈与轴的过盈量一般为0.01</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0.03mm。</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4</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回装中间接筒</w:t>
      </w:r>
      <w:r>
        <w:rPr>
          <w:rFonts w:hint="eastAsia" w:asciiTheme="minorEastAsia" w:hAnsiTheme="minorEastAsia" w:cstheme="minorEastAsia"/>
          <w:b w:val="0"/>
          <w:bCs/>
          <w:color w:val="auto"/>
          <w:sz w:val="21"/>
          <w:szCs w:val="21"/>
          <w:highlight w:val="none"/>
          <w:lang w:val="en-US" w:eastAsia="zh-CN"/>
        </w:rPr>
        <w:t>或其他</w:t>
      </w:r>
      <w:r>
        <w:rPr>
          <w:rFonts w:hint="default" w:asciiTheme="minorEastAsia" w:hAnsiTheme="minorEastAsia" w:cstheme="minorEastAsia"/>
          <w:b w:val="0"/>
          <w:bCs/>
          <w:color w:val="auto"/>
          <w:sz w:val="21"/>
          <w:szCs w:val="21"/>
          <w:highlight w:val="none"/>
          <w:lang w:val="en-US" w:eastAsia="zh-CN"/>
        </w:rPr>
        <w:t>部件时应按原有标记和数据装配。</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5</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用力矩扳手均匀地把螺栓拧紧。</w:t>
      </w:r>
    </w:p>
    <w:p>
      <w:pPr>
        <w:spacing w:line="500" w:lineRule="exact"/>
        <w:ind w:firstLine="420" w:firstLineChars="200"/>
        <w:rPr>
          <w:rFonts w:hint="eastAsia" w:asciiTheme="minorEastAsia" w:hAnsiTheme="minorEastAsia" w:cstheme="minorEastAsia"/>
          <w:b/>
          <w:bCs w:val="0"/>
          <w:color w:val="auto"/>
          <w:sz w:val="21"/>
          <w:szCs w:val="21"/>
          <w:highlight w:val="none"/>
          <w:lang w:val="en-US" w:eastAsia="zh-CN"/>
        </w:rPr>
      </w:pPr>
      <w:r>
        <w:rPr>
          <w:color w:val="auto"/>
          <w:highlight w:val="none"/>
        </w:rPr>
        <w:drawing>
          <wp:anchor distT="0" distB="0" distL="0" distR="0" simplePos="0" relativeHeight="251666432" behindDoc="0" locked="0" layoutInCell="0" allowOverlap="1">
            <wp:simplePos x="0" y="0"/>
            <wp:positionH relativeFrom="page">
              <wp:posOffset>2627630</wp:posOffset>
            </wp:positionH>
            <wp:positionV relativeFrom="page">
              <wp:posOffset>1226185</wp:posOffset>
            </wp:positionV>
            <wp:extent cx="1828800" cy="1470025"/>
            <wp:effectExtent l="0" t="0" r="0" b="15875"/>
            <wp:wrapNone/>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24"/>
                    <a:stretch>
                      <a:fillRect/>
                    </a:stretch>
                  </pic:blipFill>
                  <pic:spPr>
                    <a:xfrm>
                      <a:off x="0" y="0"/>
                      <a:ext cx="1828800" cy="1470025"/>
                    </a:xfrm>
                    <a:prstGeom prst="rect">
                      <a:avLst/>
                    </a:prstGeom>
                  </pic:spPr>
                </pic:pic>
              </a:graphicData>
            </a:graphic>
          </wp:anchor>
        </w:drawing>
      </w:r>
    </w:p>
    <w:p>
      <w:pPr>
        <w:spacing w:line="500" w:lineRule="exact"/>
        <w:ind w:firstLine="422" w:firstLineChars="200"/>
        <w:rPr>
          <w:rFonts w:hint="eastAsia" w:asciiTheme="minorEastAsia" w:hAnsiTheme="minorEastAsia" w:cstheme="minorEastAsia"/>
          <w:b/>
          <w:bCs w:val="0"/>
          <w:color w:val="auto"/>
          <w:sz w:val="21"/>
          <w:szCs w:val="21"/>
          <w:highlight w:val="none"/>
          <w:lang w:val="en-US" w:eastAsia="zh-CN"/>
        </w:rPr>
      </w:pPr>
    </w:p>
    <w:p>
      <w:pPr>
        <w:spacing w:line="500" w:lineRule="exact"/>
        <w:ind w:firstLine="422" w:firstLineChars="200"/>
        <w:rPr>
          <w:rFonts w:hint="eastAsia" w:asciiTheme="minorEastAsia" w:hAnsiTheme="minorEastAsia" w:cstheme="minorEastAsia"/>
          <w:b/>
          <w:bCs w:val="0"/>
          <w:color w:val="auto"/>
          <w:sz w:val="21"/>
          <w:szCs w:val="21"/>
          <w:highlight w:val="none"/>
          <w:lang w:val="en-US" w:eastAsia="zh-CN"/>
        </w:rPr>
      </w:pPr>
    </w:p>
    <w:p>
      <w:pPr>
        <w:spacing w:line="500" w:lineRule="exact"/>
        <w:ind w:firstLine="422" w:firstLineChars="200"/>
        <w:rPr>
          <w:rFonts w:hint="eastAsia" w:asciiTheme="minorEastAsia" w:hAnsiTheme="minorEastAsia" w:cstheme="minorEastAsia"/>
          <w:b/>
          <w:bCs w:val="0"/>
          <w:color w:val="auto"/>
          <w:sz w:val="21"/>
          <w:szCs w:val="21"/>
          <w:highlight w:val="none"/>
          <w:lang w:val="en-US" w:eastAsia="zh-CN"/>
        </w:rPr>
      </w:pPr>
    </w:p>
    <w:p>
      <w:pPr>
        <w:spacing w:line="500" w:lineRule="exact"/>
        <w:ind w:firstLine="422" w:firstLineChars="200"/>
        <w:rPr>
          <w:rFonts w:hint="eastAsia" w:asciiTheme="minorEastAsia" w:hAnsiTheme="minorEastAsia" w:cstheme="minorEastAsia"/>
          <w:b/>
          <w:bCs w:val="0"/>
          <w:color w:val="auto"/>
          <w:sz w:val="21"/>
          <w:szCs w:val="21"/>
          <w:highlight w:val="none"/>
          <w:lang w:val="en-US" w:eastAsia="zh-CN"/>
        </w:rPr>
      </w:pPr>
    </w:p>
    <w:p>
      <w:pPr>
        <w:spacing w:line="500" w:lineRule="exact"/>
        <w:ind w:firstLine="422" w:firstLineChars="200"/>
        <w:rPr>
          <w:rFonts w:hint="default"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3.2.6</w:t>
      </w:r>
      <w:r>
        <w:rPr>
          <w:rFonts w:hint="default" w:asciiTheme="minorEastAsia" w:hAnsiTheme="minorEastAsia" w:cstheme="minorEastAsia"/>
          <w:b/>
          <w:bCs w:val="0"/>
          <w:color w:val="auto"/>
          <w:sz w:val="21"/>
          <w:szCs w:val="21"/>
          <w:highlight w:val="none"/>
          <w:lang w:val="en-US" w:eastAsia="zh-CN"/>
        </w:rPr>
        <w:t>减速机</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1</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减速器箱体接合面的检修：</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减速器经过一段时间运转后，箱体有时发生变形。箱体接合面处的变形不仅影响齿轮的传动精度，而且会出现漏油现象。因此，必须进行修理。</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①用煤油清洗箱体，清洗接合面上的污垢，油泥等，涂以红铅油使两接合面磨合，每研磨一次刮掉个别高点和毛刺，经过几次研磨后，就可以达到所要求的精度。</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②研磨后，可用塞尺检验接合面的间隙，其值不应超过0.03mm,  底面与接合面的平行度误差在1m 长度内不应大于0.5mm。</w:t>
      </w:r>
    </w:p>
    <w:p>
      <w:pPr>
        <w:spacing w:line="500" w:lineRule="exact"/>
        <w:ind w:firstLine="422" w:firstLineChars="200"/>
        <w:rPr>
          <w:rFonts w:hint="default"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3.2.7</w:t>
      </w:r>
      <w:r>
        <w:rPr>
          <w:rFonts w:hint="default" w:asciiTheme="minorEastAsia" w:hAnsiTheme="minorEastAsia" w:cstheme="minorEastAsia"/>
          <w:b/>
          <w:bCs w:val="0"/>
          <w:color w:val="auto"/>
          <w:sz w:val="21"/>
          <w:szCs w:val="21"/>
          <w:highlight w:val="none"/>
          <w:lang w:val="en-US" w:eastAsia="zh-CN"/>
        </w:rPr>
        <w:t>钢丝绳</w:t>
      </w:r>
    </w:p>
    <w:p>
      <w:pPr>
        <w:spacing w:line="500" w:lineRule="exact"/>
        <w:ind w:firstLine="422" w:firstLineChars="200"/>
        <w:rPr>
          <w:rFonts w:hint="default" w:asciiTheme="minorEastAsia" w:hAnsiTheme="minorEastAsia" w:cstheme="minorEastAsia"/>
          <w:b/>
          <w:bCs w:val="0"/>
          <w:color w:val="auto"/>
          <w:sz w:val="21"/>
          <w:szCs w:val="21"/>
          <w:highlight w:val="none"/>
          <w:lang w:val="en-US" w:eastAsia="zh-CN"/>
        </w:rPr>
      </w:pPr>
      <w:r>
        <w:rPr>
          <w:rFonts w:hint="default" w:asciiTheme="minorEastAsia" w:hAnsiTheme="minorEastAsia" w:cstheme="minorEastAsia"/>
          <w:b/>
          <w:bCs w:val="0"/>
          <w:color w:val="auto"/>
          <w:sz w:val="21"/>
          <w:szCs w:val="21"/>
          <w:highlight w:val="none"/>
          <w:lang w:val="en-US" w:eastAsia="zh-CN"/>
        </w:rPr>
        <w:t>1磨损</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钢丝绳在操作时</w:t>
      </w:r>
      <w:r>
        <w:rPr>
          <w:rFonts w:hint="eastAsia" w:asciiTheme="minorEastAsia" w:hAnsiTheme="minorEastAsia" w:cstheme="minorEastAsia"/>
          <w:b w:val="0"/>
          <w:bCs/>
          <w:color w:val="auto"/>
          <w:sz w:val="21"/>
          <w:szCs w:val="21"/>
          <w:highlight w:val="none"/>
          <w:lang w:val="en-US" w:eastAsia="zh-CN"/>
        </w:rPr>
        <w:t>与其他</w:t>
      </w:r>
      <w:r>
        <w:rPr>
          <w:rFonts w:hint="default" w:asciiTheme="minorEastAsia" w:hAnsiTheme="minorEastAsia" w:cstheme="minorEastAsia"/>
          <w:b w:val="0"/>
          <w:bCs/>
          <w:color w:val="auto"/>
          <w:sz w:val="21"/>
          <w:szCs w:val="21"/>
          <w:highlight w:val="none"/>
          <w:lang w:val="en-US" w:eastAsia="zh-CN"/>
        </w:rPr>
        <w:t>物体接触并有相对运动，产生摩擦。在机械的、物理的和化学的作用下，钢丝绳的表面不断磨损。磨损是钢丝绳最常见的损伤方式， 一般分为外部磨损、变形磨损和内部磨损三种情况。</w:t>
      </w:r>
    </w:p>
    <w:p>
      <w:pPr>
        <w:spacing w:line="500" w:lineRule="exact"/>
        <w:ind w:firstLine="422" w:firstLineChars="200"/>
        <w:rPr>
          <w:rFonts w:hint="eastAsia"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2疲劳</w:t>
      </w:r>
    </w:p>
    <w:p>
      <w:pPr>
        <w:spacing w:line="500" w:lineRule="exact"/>
        <w:ind w:firstLine="420" w:firstLineChars="200"/>
        <w:rPr>
          <w:rFonts w:hint="eastAsia"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钢丝绳在使用过程中主要承受弯曲疲劳和拉伸、扭曲、振动引起的疲劳。疲劳损伤的原理是在变应力的作用下，细钢丝表面首先由于各种滑移形 成初始裂纹，然后裂纹尖端在切应力的作用下反复塑性变形，使裂纹扩展至断裂。其疲劳引起的断丝一般断口平齐，多半出现在表层钢丝上，它们很有规律。防止钢丝绳疲劳损伤的途径：</w:t>
      </w:r>
    </w:p>
    <w:p>
      <w:pPr>
        <w:spacing w:line="500" w:lineRule="exact"/>
        <w:ind w:firstLine="420" w:firstLineChars="200"/>
        <w:rPr>
          <w:rFonts w:hint="eastAsia"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1）在条件许可的情况下，应尽可能使卷筒和滑轮的直径加大。</w:t>
      </w:r>
    </w:p>
    <w:p>
      <w:pPr>
        <w:spacing w:line="500" w:lineRule="exact"/>
        <w:ind w:firstLine="420" w:firstLineChars="200"/>
        <w:rPr>
          <w:rFonts w:hint="eastAsia"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2）在安排滑轮布局时，应尽量避免使钢丝绳反向弯曲，试验数据表明，反向弯曲的破坏约为同向弯曲的2倍。</w:t>
      </w:r>
    </w:p>
    <w:p>
      <w:pPr>
        <w:spacing w:line="500" w:lineRule="exact"/>
        <w:ind w:firstLine="422" w:firstLineChars="200"/>
        <w:rPr>
          <w:rFonts w:hint="default" w:asciiTheme="minorEastAsia" w:hAnsiTheme="minorEastAsia" w:cstheme="minorEastAsia"/>
          <w:b/>
          <w:bCs w:val="0"/>
          <w:color w:val="auto"/>
          <w:sz w:val="21"/>
          <w:szCs w:val="21"/>
          <w:highlight w:val="none"/>
          <w:lang w:val="en-US" w:eastAsia="zh-CN"/>
        </w:rPr>
      </w:pPr>
      <w:r>
        <w:rPr>
          <w:rFonts w:hint="default" w:asciiTheme="minorEastAsia" w:hAnsiTheme="minorEastAsia" w:cstheme="minorEastAsia"/>
          <w:b/>
          <w:bCs w:val="0"/>
          <w:color w:val="auto"/>
          <w:sz w:val="21"/>
          <w:szCs w:val="21"/>
          <w:highlight w:val="none"/>
          <w:lang w:val="en-US" w:eastAsia="zh-CN"/>
        </w:rPr>
        <w:t>3锈蚀</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钢丝绳在露天使用，日晒雨淋会使钢丝绳腐蚀，尤其是在有害气体与恶劣环境下使用的钢丝绳，腐蚀造成的损伤就更严重。主要的腐蚀形式有外部腐蚀、内部腐蚀和摩擦腐蚀等。防止钢丝绳锈蚀损伤的方法有两种：</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1</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勤涂油，对于经常处于运动状态的钢丝绳涂油是必不可少的。</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2</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对使用环境恶劣、相对运动较少的钢丝绳可选择镀锌、镀铝等特种钢丝绳。这些钢丝绳暴露在大气中的镀锌或镀铝表面会形成氢氧化锌和氢氧化铝薄膜，能有效地防止钢丝绳的腐蚀。</w:t>
      </w:r>
    </w:p>
    <w:p>
      <w:pPr>
        <w:spacing w:line="500" w:lineRule="exact"/>
        <w:ind w:firstLine="422" w:firstLineChars="200"/>
        <w:jc w:val="left"/>
        <w:outlineLvl w:val="3"/>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3.3锤式破碎机维</w:t>
      </w:r>
      <w:r>
        <w:rPr>
          <w:rFonts w:hint="eastAsia" w:asciiTheme="minorEastAsia" w:hAnsiTheme="minorEastAsia" w:cstheme="minorEastAsia"/>
          <w:b/>
          <w:bCs/>
          <w:color w:val="auto"/>
          <w:sz w:val="21"/>
          <w:szCs w:val="21"/>
          <w:highlight w:val="none"/>
          <w:lang w:val="en-US" w:eastAsia="zh-CN"/>
        </w:rPr>
        <w:t>保</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⑴由于原料的复杂性，锤头的寿命也长短不一。当锤头前部棱边磨到其宽度的3/5时，将锤头翻边使用。如果锤头的圆孔磨损或挤压、变形成椭圆形时，锤头应重新镶孔套。当锤头磨损到原来重量的65%时，应该及时更换新锤头，否则影响生产能力。原有锤头可堆焊耐磨合金，修复后使用。</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⑵为保持机器及各部件处在良好的工作状态，尽量减少非计划的停机修理，故要求：</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724"/>
        <w:gridCol w:w="4329"/>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检查时间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整台破碎机</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每月检查和调整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锤头</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每月检查和调整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主轴轴承</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每天小时检查调整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反击板</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每月检查调整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破碎板</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每周检查调整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篦板</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每周检查调整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衬板</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每个月检查调整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转子卡箍螺栓</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每班检查</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主轴承的润滑脂</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两季度更换一次</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bl>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⑶锤式破碎机常见故障的排除</w:t>
      </w:r>
    </w:p>
    <w:tbl>
      <w:tblPr>
        <w:tblStyle w:val="88"/>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0"/>
        <w:gridCol w:w="3422"/>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1318" w:type="pct"/>
            <w:noWrap w:val="0"/>
            <w:vAlign w:val="center"/>
          </w:tcPr>
          <w:p>
            <w:pPr>
              <w:snapToGrid w:val="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可能发生的故障</w:t>
            </w:r>
          </w:p>
        </w:tc>
        <w:tc>
          <w:tcPr>
            <w:tcW w:w="1856" w:type="pct"/>
            <w:noWrap w:val="0"/>
            <w:vAlign w:val="center"/>
          </w:tcPr>
          <w:p>
            <w:pPr>
              <w:snapToGrid w:val="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发生故障的原因</w:t>
            </w:r>
          </w:p>
        </w:tc>
        <w:tc>
          <w:tcPr>
            <w:tcW w:w="1826" w:type="pct"/>
            <w:noWrap w:val="0"/>
            <w:vAlign w:val="center"/>
          </w:tcPr>
          <w:p>
            <w:pPr>
              <w:snapToGrid w:val="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排除方法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8"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初期运转振动较大</w:t>
            </w:r>
          </w:p>
        </w:tc>
        <w:tc>
          <w:tcPr>
            <w:tcW w:w="1856" w:type="pct"/>
            <w:noWrap w:val="0"/>
            <w:vAlign w:val="center"/>
          </w:tcPr>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转子不平衡；</w:t>
            </w:r>
          </w:p>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外壳联接螺栓松动；</w:t>
            </w:r>
          </w:p>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锤头夹住导致转子不平衡。</w:t>
            </w:r>
          </w:p>
        </w:tc>
        <w:tc>
          <w:tcPr>
            <w:tcW w:w="1826" w:type="pct"/>
            <w:noWrap w:val="0"/>
            <w:vAlign w:val="center"/>
          </w:tcPr>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重新按重量选配锤头；</w:t>
            </w:r>
          </w:p>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检查联接螺栓，重新拧紧；</w:t>
            </w:r>
          </w:p>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停机处理锤头。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8"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过高的轴承温度</w:t>
            </w:r>
          </w:p>
        </w:tc>
        <w:tc>
          <w:tcPr>
            <w:tcW w:w="185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主轴弯曲使轴瓦受力不均；</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润滑油不足或不干净；</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润滑油牌号不当或油量过多；</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轴承损坏；</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安装不正确，游隙过小；</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紧定套松动；</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三角皮带太紧；</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轴承座螺栓松动，产生位移。</w:t>
            </w:r>
          </w:p>
        </w:tc>
        <w:tc>
          <w:tcPr>
            <w:tcW w:w="182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换主轴或将主轴调直；</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加油，或清洗轴承、更换新油；</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正确选用润滑油，合理确定装油量；</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更换轴承；</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调整轴承游隙到规定要求；</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检查并装紧；</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检查三角皮带并调整；</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检查并拧紧螺栓。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8"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破碎机响声异常，振动过大</w:t>
            </w:r>
          </w:p>
        </w:tc>
        <w:tc>
          <w:tcPr>
            <w:tcW w:w="185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不能破碎物料进入机器内部；</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锤头或衬板螺栓折断。</w:t>
            </w:r>
          </w:p>
        </w:tc>
        <w:tc>
          <w:tcPr>
            <w:tcW w:w="182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停车清理破碎室；</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更换断裂零件。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8"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出料粒度大，且排出的料多</w:t>
            </w:r>
          </w:p>
        </w:tc>
        <w:tc>
          <w:tcPr>
            <w:tcW w:w="185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出料篦条有掉落；</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锤头磨损过大。</w:t>
            </w:r>
          </w:p>
        </w:tc>
        <w:tc>
          <w:tcPr>
            <w:tcW w:w="182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更换出料篦条；</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更换锤头，适当提高篦条的高度。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8"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物料排不出去，或排得很少</w:t>
            </w:r>
          </w:p>
        </w:tc>
        <w:tc>
          <w:tcPr>
            <w:tcW w:w="1856" w:type="pct"/>
            <w:noWrap w:val="0"/>
            <w:vAlign w:val="center"/>
          </w:tcPr>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篦条上存料太多，发生堵塞；</w:t>
            </w:r>
          </w:p>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锤头磨损严重。</w:t>
            </w:r>
          </w:p>
        </w:tc>
        <w:tc>
          <w:tcPr>
            <w:tcW w:w="182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把物料排空，再逐渐喂料；</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更换锤头。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8"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V形带扭曲</w:t>
            </w:r>
          </w:p>
        </w:tc>
        <w:tc>
          <w:tcPr>
            <w:tcW w:w="185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V形带太松</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V形带损坏</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V形带长度不一致</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带轮排列不在同一平面</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带轮沟槽有异物</w:t>
            </w:r>
          </w:p>
        </w:tc>
        <w:tc>
          <w:tcPr>
            <w:tcW w:w="182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检查V形带的张紧度</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换上新的V形带</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将皮带长度调整一致</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调整带轮</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将异物</w:t>
            </w:r>
            <w:r>
              <w:rPr>
                <w:rFonts w:hint="eastAsia" w:asciiTheme="minorEastAsia" w:hAnsiTheme="minorEastAsia" w:eastAsiaTheme="minorEastAsia" w:cstheme="minorEastAsia"/>
                <w:color w:val="auto"/>
                <w:sz w:val="21"/>
                <w:szCs w:val="21"/>
                <w:highlight w:val="none"/>
                <w:lang w:eastAsia="zh-CN"/>
              </w:rPr>
              <w:t>去除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8"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大皮带轮转速缓慢，电动机振动大，电流高</w:t>
            </w:r>
          </w:p>
        </w:tc>
        <w:tc>
          <w:tcPr>
            <w:tcW w:w="1856" w:type="pct"/>
            <w:noWrap w:val="0"/>
            <w:vAlign w:val="center"/>
          </w:tcPr>
          <w:p>
            <w:pPr>
              <w:snapToGri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入料太多，不均匀，皮带松弛，料太湿，形成“丢转”</w:t>
            </w:r>
          </w:p>
        </w:tc>
        <w:tc>
          <w:tcPr>
            <w:tcW w:w="1826"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减少喂料，待电流恢复正常后再喂料；拧紧电动机地脚螺栓。</w:t>
            </w:r>
          </w:p>
        </w:tc>
      </w:tr>
    </w:tbl>
    <w:p>
      <w:pPr>
        <w:spacing w:line="48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cstheme="minorEastAsia"/>
          <w:bCs/>
          <w:color w:val="auto"/>
          <w:sz w:val="21"/>
          <w:szCs w:val="21"/>
          <w:highlight w:val="none"/>
          <w:lang w:val="en-US" w:eastAsia="zh-CN"/>
        </w:rPr>
        <w:t>（4）</w:t>
      </w:r>
      <w:r>
        <w:rPr>
          <w:rFonts w:hint="eastAsia" w:asciiTheme="minorEastAsia" w:hAnsiTheme="minorEastAsia" w:eastAsiaTheme="minorEastAsia" w:cstheme="minorEastAsia"/>
          <w:bCs/>
          <w:color w:val="auto"/>
          <w:sz w:val="21"/>
          <w:szCs w:val="21"/>
          <w:highlight w:val="none"/>
          <w:lang w:val="en-US" w:eastAsia="zh-CN"/>
        </w:rPr>
        <w:t>检修要求：</w:t>
      </w:r>
    </w:p>
    <w:p>
      <w:pPr>
        <w:numPr>
          <w:ilvl w:val="0"/>
          <w:numId w:val="0"/>
        </w:numPr>
        <w:spacing w:line="520" w:lineRule="exact"/>
        <w:ind w:firstLine="420" w:firstLineChars="200"/>
        <w:jc w:val="left"/>
        <w:outlineLvl w:val="3"/>
        <w:rPr>
          <w:rFonts w:hint="eastAsia"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①设备的维护与维修必须在停车后进行。根据设备的结构，合理的选择和添加润滑材料是设备维修的主要方面。通常采用的润滑材料有润滑脂和润滑油两种。润滑脂应用效果较润滑油应用效果好，多用于不清洁的场合（润滑脂易密封、防止粉尘进入轴承）故此机使用润滑脂为好。</w:t>
      </w:r>
    </w:p>
    <w:p>
      <w:pPr>
        <w:numPr>
          <w:ilvl w:val="0"/>
          <w:numId w:val="0"/>
        </w:numPr>
        <w:spacing w:line="520" w:lineRule="exact"/>
        <w:ind w:firstLine="420" w:firstLineChars="200"/>
        <w:outlineLvl w:val="3"/>
        <w:rPr>
          <w:rFonts w:hint="eastAsia" w:eastAsia="宋体" w:asciiTheme="minorEastAsia" w:hAnsiTheme="minorEastAsia" w:cstheme="minorEastAsia"/>
          <w:b w:val="0"/>
          <w:bCs w:val="0"/>
          <w:color w:val="auto"/>
          <w:kern w:val="0"/>
          <w:sz w:val="21"/>
          <w:szCs w:val="21"/>
          <w:highlight w:val="none"/>
          <w:lang w:val="en-US" w:eastAsia="zh-CN" w:bidi="ar-SA"/>
        </w:rPr>
      </w:pPr>
      <w:r>
        <w:rPr>
          <w:rFonts w:hint="eastAsia" w:eastAsia="宋体" w:asciiTheme="minorEastAsia" w:hAnsiTheme="minorEastAsia" w:cstheme="minorEastAsia"/>
          <w:b w:val="0"/>
          <w:bCs w:val="0"/>
          <w:color w:val="auto"/>
          <w:kern w:val="0"/>
          <w:sz w:val="21"/>
          <w:szCs w:val="21"/>
          <w:highlight w:val="none"/>
          <w:lang w:val="en-US" w:eastAsia="zh-CN" w:bidi="ar-SA"/>
        </w:rPr>
        <w:t>②维护人员应经常巡视设备的运行情况，例如：各紧固件是否可靠，托轮是否转动灵活，每个润滑点定期加油，使机器每个转动部位处于良好润滑状态，新机器运转1个月后必须更换减速机内的润滑油，以后1个月检查油位，破碎机尾端油泵必须每周注油一次。冬天使用2号黄油</w:t>
      </w:r>
      <w:r>
        <w:rPr>
          <w:rFonts w:hint="eastAsia" w:asciiTheme="minorEastAsia" w:hAnsiTheme="minorEastAsia" w:cstheme="minorEastAsia"/>
          <w:b w:val="0"/>
          <w:bCs w:val="0"/>
          <w:color w:val="auto"/>
          <w:kern w:val="0"/>
          <w:sz w:val="21"/>
          <w:szCs w:val="21"/>
          <w:highlight w:val="none"/>
          <w:lang w:val="en-US" w:eastAsia="zh-CN" w:bidi="ar-SA"/>
        </w:rPr>
        <w:t>（低黏度），</w:t>
      </w:r>
      <w:r>
        <w:rPr>
          <w:rFonts w:hint="eastAsia" w:eastAsia="宋体" w:asciiTheme="minorEastAsia" w:hAnsiTheme="minorEastAsia" w:cstheme="minorEastAsia"/>
          <w:b w:val="0"/>
          <w:bCs w:val="0"/>
          <w:color w:val="auto"/>
          <w:kern w:val="0"/>
          <w:sz w:val="21"/>
          <w:szCs w:val="21"/>
          <w:highlight w:val="none"/>
          <w:lang w:val="en-US" w:eastAsia="zh-CN" w:bidi="ar-SA"/>
        </w:rPr>
        <w:t>夏天使用3号黄油</w:t>
      </w:r>
      <w:r>
        <w:rPr>
          <w:rFonts w:hint="eastAsia" w:asciiTheme="minorEastAsia" w:hAnsiTheme="minorEastAsia" w:cstheme="minorEastAsia"/>
          <w:b w:val="0"/>
          <w:bCs w:val="0"/>
          <w:color w:val="auto"/>
          <w:kern w:val="0"/>
          <w:sz w:val="21"/>
          <w:szCs w:val="21"/>
          <w:highlight w:val="none"/>
          <w:lang w:val="en-US" w:eastAsia="zh-CN" w:bidi="ar-SA"/>
        </w:rPr>
        <w:t>（</w:t>
      </w:r>
      <w:r>
        <w:rPr>
          <w:rFonts w:hint="eastAsia" w:eastAsia="宋体" w:asciiTheme="minorEastAsia" w:hAnsiTheme="minorEastAsia" w:cstheme="minorEastAsia"/>
          <w:b w:val="0"/>
          <w:bCs w:val="0"/>
          <w:color w:val="auto"/>
          <w:kern w:val="0"/>
          <w:sz w:val="21"/>
          <w:szCs w:val="21"/>
          <w:highlight w:val="none"/>
          <w:lang w:val="en-US" w:eastAsia="zh-CN" w:bidi="ar-SA"/>
        </w:rPr>
        <w:t>高粘度</w:t>
      </w:r>
      <w:r>
        <w:rPr>
          <w:rFonts w:hint="eastAsia" w:asciiTheme="minorEastAsia" w:hAnsiTheme="minorEastAsia" w:cstheme="minorEastAsia"/>
          <w:b w:val="0"/>
          <w:bCs w:val="0"/>
          <w:color w:val="auto"/>
          <w:kern w:val="0"/>
          <w:sz w:val="21"/>
          <w:szCs w:val="21"/>
          <w:highlight w:val="none"/>
          <w:lang w:val="en-US" w:eastAsia="zh-CN" w:bidi="ar-SA"/>
        </w:rPr>
        <w:t>）</w:t>
      </w:r>
      <w:r>
        <w:rPr>
          <w:rFonts w:hint="eastAsia" w:eastAsia="宋体" w:asciiTheme="minorEastAsia" w:hAnsiTheme="minorEastAsia" w:cstheme="minorEastAsia"/>
          <w:b w:val="0"/>
          <w:bCs w:val="0"/>
          <w:color w:val="auto"/>
          <w:kern w:val="0"/>
          <w:sz w:val="21"/>
          <w:szCs w:val="21"/>
          <w:highlight w:val="none"/>
          <w:lang w:val="en-US" w:eastAsia="zh-CN" w:bidi="ar-SA"/>
        </w:rPr>
        <w:t>。班后必须清扫设备堵塞机构的污物。</w:t>
      </w:r>
    </w:p>
    <w:p>
      <w:pPr>
        <w:numPr>
          <w:ilvl w:val="0"/>
          <w:numId w:val="0"/>
        </w:numPr>
        <w:spacing w:line="520" w:lineRule="exact"/>
        <w:ind w:firstLine="420" w:firstLineChars="200"/>
        <w:outlineLvl w:val="3"/>
        <w:rPr>
          <w:rFonts w:hint="eastAsia" w:eastAsia="宋体" w:asciiTheme="minorEastAsia" w:hAnsiTheme="minorEastAsia" w:cstheme="minorEastAsia"/>
          <w:b w:val="0"/>
          <w:bCs w:val="0"/>
          <w:color w:val="auto"/>
          <w:kern w:val="0"/>
          <w:sz w:val="21"/>
          <w:szCs w:val="21"/>
          <w:highlight w:val="none"/>
          <w:lang w:val="en-US" w:eastAsia="zh-CN" w:bidi="ar-SA"/>
        </w:rPr>
      </w:pPr>
      <w:r>
        <w:rPr>
          <w:rFonts w:hint="eastAsia" w:eastAsia="宋体" w:asciiTheme="minorEastAsia" w:hAnsiTheme="minorEastAsia" w:cstheme="minorEastAsia"/>
          <w:b w:val="0"/>
          <w:bCs w:val="0"/>
          <w:color w:val="auto"/>
          <w:kern w:val="0"/>
          <w:sz w:val="21"/>
          <w:szCs w:val="21"/>
          <w:highlight w:val="none"/>
          <w:lang w:val="en-US" w:eastAsia="zh-CN" w:bidi="ar-SA"/>
        </w:rPr>
        <w:t>③机器正常运转后方可均匀投料，正常工作情况下，轴承的温升不应超过40摄氏度，最高温升不得超过70摄氏度超过上述温度时应立即停车，并查明原因，及时排除故障。停车前，应先停止加料，待破碎机内物料完全排出后关闭电动机。</w:t>
      </w:r>
    </w:p>
    <w:p>
      <w:pPr>
        <w:numPr>
          <w:ilvl w:val="0"/>
          <w:numId w:val="0"/>
        </w:numPr>
        <w:spacing w:line="520" w:lineRule="exact"/>
        <w:ind w:firstLine="420" w:firstLineChars="200"/>
        <w:outlineLvl w:val="3"/>
        <w:rPr>
          <w:rFonts w:hint="eastAsia" w:eastAsia="宋体" w:asciiTheme="minorEastAsia" w:hAnsiTheme="minorEastAsia" w:cstheme="minorEastAsia"/>
          <w:b w:val="0"/>
          <w:bCs w:val="0"/>
          <w:color w:val="auto"/>
          <w:kern w:val="0"/>
          <w:sz w:val="21"/>
          <w:szCs w:val="21"/>
          <w:highlight w:val="none"/>
          <w:lang w:val="en-US" w:eastAsia="zh-CN" w:bidi="ar-SA"/>
        </w:rPr>
      </w:pPr>
      <w:r>
        <w:rPr>
          <w:rFonts w:hint="eastAsia" w:eastAsia="宋体" w:asciiTheme="minorEastAsia" w:hAnsiTheme="minorEastAsia" w:cstheme="minorEastAsia"/>
          <w:b w:val="0"/>
          <w:bCs w:val="0"/>
          <w:color w:val="auto"/>
          <w:kern w:val="0"/>
          <w:sz w:val="21"/>
          <w:szCs w:val="21"/>
          <w:highlight w:val="none"/>
          <w:lang w:val="en-US" w:eastAsia="zh-CN" w:bidi="ar-SA"/>
        </w:rPr>
        <w:t>④每次停机前必须确认破碎机内的物料全部筛分完毕后方能停机。停机后对设备整机进行检查，发现异常需立即处理。搞好设备和环境卫生，填好运行记录，做好交接班工作。</w:t>
      </w:r>
    </w:p>
    <w:p>
      <w:pPr>
        <w:spacing w:line="520" w:lineRule="exact"/>
        <w:ind w:firstLine="422" w:firstLineChars="200"/>
        <w:jc w:val="left"/>
        <w:outlineLvl w:val="3"/>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3.4带式输送机维</w:t>
      </w:r>
      <w:r>
        <w:rPr>
          <w:rFonts w:hint="eastAsia" w:asciiTheme="minorEastAsia" w:hAnsiTheme="minorEastAsia" w:cstheme="minorEastAsia"/>
          <w:b/>
          <w:bCs/>
          <w:color w:val="auto"/>
          <w:sz w:val="21"/>
          <w:szCs w:val="21"/>
          <w:highlight w:val="none"/>
          <w:lang w:val="en-US" w:eastAsia="zh-CN"/>
        </w:rPr>
        <w:t>保</w:t>
      </w:r>
    </w:p>
    <w:p>
      <w:pPr>
        <w:spacing w:line="520" w:lineRule="exact"/>
        <w:ind w:firstLine="422" w:firstLineChars="200"/>
        <w:jc w:val="left"/>
        <w:outlineLvl w:val="3"/>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3.4.1 例行保养：</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⑴每班检查减速器油面高度，并观察有无漏油现象；</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⑵每班检查减速器运转声音、振动，检测油温和轴承温度，如有异常应停机检查并处理；</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⑶每年检查减速器齿轮、轴承的磨损情况，如有异常应及时更换；</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⑷定期检查电动滚筒内油面高度，根据损耗情况及时补充；</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⑸每半年检查制动器油缸内油量及油质一次；</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⑹定期检查液力偶合器内充油率并及时补充，所加油液需经滤网过滤；</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⑺定期检查液力偶合器密封处有无油液渗漏；</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⑻检查托辊的转动灵活性；检查所有联接螺栓的紧固程度；</w:t>
      </w:r>
      <w:bookmarkStart w:id="99" w:name="_Hlt523998873"/>
      <w:bookmarkEnd w:id="99"/>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⑼检查清扫器的压紧、磨损、联接紧固情况；</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⑽及时清理滚筒上粘接的物料；</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⑾检查皮带打滑、跑偏、磨损、撕裂情况；</w:t>
      </w:r>
    </w:p>
    <w:p>
      <w:pPr>
        <w:spacing w:line="520" w:lineRule="exact"/>
        <w:ind w:firstLine="422" w:firstLineChars="200"/>
        <w:jc w:val="left"/>
        <w:outlineLvl w:val="3"/>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3.4.2维修保养方案</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1）设备的维护与维修必须在停车后进行。根据设备的结构，合理的选择和添加润滑材料是设备维修的主要方面。通常采用的润滑材料有润滑脂和润滑油两种。润滑脂应用效果较润滑油应用效果好，多用于不清洁的场合（润滑脂易密封、防止粉尘进入轴承）故此机使用润滑脂为好。</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（2）设备管理，维护人员应经常巡视设备的运行情况，例如：各紧固件是否可靠，转动件是否转动灵活，每个润滑点定期加油，使机器每个转动部位处于良好润滑状态，班后必须清扫设备堵塞机构的污物。</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3）机器正常运转后方可均匀投料，正常工作情况下，轴承的温升不应超过40摄氏度，最高温升不得超过70摄氏度超过上述温度时应立即停车，并查明原因，及时排除故障。停车前，应先停止加料，待设备内物料完全排出后关闭电动机。</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（4）皮带输送机在运行一段时间后必须检查过滤板是否破损，如果破损需进行修补或者换新衬板，否则会影响产品品质。</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（5）每次停机前必须确认皮带输送机内的物料全部筛分完毕后方能停机。停机后对设备整机进行检查，发现异常需立即处理。搞好设备和环境卫生，填好运行记录，做好交接班工作。</w:t>
      </w:r>
    </w:p>
    <w:p>
      <w:pPr>
        <w:spacing w:line="520" w:lineRule="exact"/>
        <w:ind w:firstLine="422" w:firstLineChars="200"/>
        <w:jc w:val="left"/>
        <w:outlineLvl w:val="3"/>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3.4.3检修要求</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1）开机前应详细检查主轴承和其它转动部件的油量，应加够润滑油。检查各部件的连接螺栓是否有松动断裂现象。检查机体内和各传动部件是否有障碍物。检查传动装置和电动机是否正常，电动机的接线盒和接地装置是否连接牢固，传动机构的防护装置是否完整无损，皮带输送机轴承部分采用的润滑脂为钙基润滑脂，减速机部分的润滑采用45#机油定期润滑</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（2）在皮带输送机的正常运转中，如遇忽然停机，在未查明原因前，不能强行启动设备，原因查明后要把皮带输送机内物料清理出来以后，才可以按顺序开机。</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（3）皮带输送机在出厂前各需润滑部位都注满润滑脂。用户根据具体的使用工况确定润滑周期。</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4）注意，皮带输送机运转中声音是否正常，当出现摩擦等不正常声音时应及时处理。严禁在设备运转时进行调整，以免造成危险事故。在皮带输送机停机后，还应检查各配件的磨损情况。只有在上述各部件的检查均属正常后，才能给出开机信号，然后，按顺序启动设备。</w:t>
      </w:r>
    </w:p>
    <w:p>
      <w:pPr>
        <w:spacing w:line="500" w:lineRule="exact"/>
        <w:ind w:firstLine="422" w:firstLineChars="200"/>
        <w:jc w:val="center"/>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金属分选系统维保方案</w:t>
      </w:r>
    </w:p>
    <w:p>
      <w:pPr>
        <w:spacing w:line="520" w:lineRule="exact"/>
        <w:ind w:firstLine="422" w:firstLineChars="200"/>
        <w:jc w:val="left"/>
        <w:outlineLvl w:val="3"/>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lang w:val="en-US" w:eastAsia="zh-CN"/>
        </w:rPr>
        <w:t>3.5磁选机</w:t>
      </w:r>
      <w:r>
        <w:rPr>
          <w:rFonts w:hint="eastAsia" w:asciiTheme="minorEastAsia" w:hAnsiTheme="minorEastAsia" w:eastAsiaTheme="minorEastAsia" w:cstheme="minorEastAsia"/>
          <w:b/>
          <w:bCs/>
          <w:color w:val="auto"/>
          <w:sz w:val="21"/>
          <w:szCs w:val="21"/>
          <w:highlight w:val="none"/>
        </w:rPr>
        <w:t>维</w:t>
      </w:r>
      <w:r>
        <w:rPr>
          <w:rFonts w:hint="eastAsia" w:asciiTheme="minorEastAsia" w:hAnsiTheme="minorEastAsia" w:cstheme="minorEastAsia"/>
          <w:b/>
          <w:bCs/>
          <w:color w:val="auto"/>
          <w:sz w:val="21"/>
          <w:szCs w:val="21"/>
          <w:highlight w:val="none"/>
          <w:lang w:val="en-US" w:eastAsia="zh-CN"/>
        </w:rPr>
        <w:t>保</w:t>
      </w:r>
    </w:p>
    <w:p>
      <w:pPr>
        <w:keepNext w:val="0"/>
        <w:keepLines w:val="0"/>
        <w:pageBreakBefore w:val="0"/>
        <w:widowControl w:val="0"/>
        <w:kinsoku w:val="0"/>
        <w:wordWrap/>
        <w:overflowPunct w:val="0"/>
        <w:topLinePunct/>
        <w:autoSpaceDE/>
        <w:autoSpaceDN/>
        <w:bidi w:val="0"/>
        <w:adjustRightInd/>
        <w:snapToGrid w:val="0"/>
        <w:spacing w:before="78" w:line="360" w:lineRule="auto"/>
        <w:ind w:firstLine="388" w:firstLineChars="200"/>
        <w:textAlignment w:val="auto"/>
        <w:rPr>
          <w:rFonts w:hint="default" w:asciiTheme="minorEastAsia" w:hAnsiTheme="minorEastAsia" w:eastAsiaTheme="minorEastAsia" w:cstheme="minorEastAsia"/>
          <w:bCs/>
          <w:color w:val="auto"/>
          <w:spacing w:val="-8"/>
          <w:kern w:val="2"/>
          <w:sz w:val="21"/>
          <w:szCs w:val="21"/>
          <w:highlight w:val="none"/>
          <w:lang w:val="en-US" w:eastAsia="zh-CN" w:bidi="ar-SA"/>
        </w:rPr>
      </w:pPr>
      <w:r>
        <w:rPr>
          <w:rFonts w:hint="eastAsia" w:asciiTheme="minorEastAsia" w:hAnsiTheme="minorEastAsia" w:eastAsiaTheme="minorEastAsia" w:cstheme="minorEastAsia"/>
          <w:bCs/>
          <w:color w:val="auto"/>
          <w:spacing w:val="-8"/>
          <w:kern w:val="2"/>
          <w:sz w:val="21"/>
          <w:szCs w:val="21"/>
          <w:highlight w:val="none"/>
          <w:lang w:val="en-US" w:eastAsia="zh-CN" w:bidi="ar-SA"/>
        </w:rPr>
        <w:t xml:space="preserve">3.5.1 </w:t>
      </w:r>
      <w:r>
        <w:rPr>
          <w:rFonts w:hint="eastAsia" w:asciiTheme="minorEastAsia" w:hAnsiTheme="minorEastAsia" w:cstheme="minorEastAsia"/>
          <w:bCs/>
          <w:color w:val="auto"/>
          <w:spacing w:val="-8"/>
          <w:kern w:val="2"/>
          <w:sz w:val="21"/>
          <w:szCs w:val="21"/>
          <w:highlight w:val="none"/>
          <w:lang w:val="en-US" w:eastAsia="zh-CN" w:bidi="ar-SA"/>
        </w:rPr>
        <w:t>拆卸</w:t>
      </w:r>
      <w:r>
        <w:rPr>
          <w:rFonts w:hint="eastAsia" w:asciiTheme="minorEastAsia" w:hAnsiTheme="minorEastAsia" w:eastAsiaTheme="minorEastAsia" w:cstheme="minorEastAsia"/>
          <w:bCs/>
          <w:color w:val="auto"/>
          <w:spacing w:val="-8"/>
          <w:kern w:val="2"/>
          <w:sz w:val="21"/>
          <w:szCs w:val="21"/>
          <w:highlight w:val="none"/>
          <w:lang w:val="en-US" w:eastAsia="zh-CN" w:bidi="ar-SA"/>
        </w:rPr>
        <w:t>检修注意事项</w:t>
      </w:r>
    </w:p>
    <w:p>
      <w:pPr>
        <w:keepNext w:val="0"/>
        <w:keepLines w:val="0"/>
        <w:pageBreakBefore w:val="0"/>
        <w:widowControl w:val="0"/>
        <w:kinsoku w:val="0"/>
        <w:wordWrap/>
        <w:overflowPunct w:val="0"/>
        <w:topLinePunct/>
        <w:autoSpaceDE/>
        <w:autoSpaceDN/>
        <w:bidi w:val="0"/>
        <w:adjustRightInd/>
        <w:snapToGrid w:val="0"/>
        <w:spacing w:beforeAutospacing="0" w:line="360" w:lineRule="auto"/>
        <w:ind w:firstLine="388" w:firstLineChars="200"/>
        <w:textAlignment w:val="auto"/>
        <w:rPr>
          <w:rFonts w:hint="eastAsia" w:asciiTheme="minorEastAsia" w:hAnsiTheme="minorEastAsia" w:eastAsiaTheme="minorEastAsia" w:cstheme="minorEastAsia"/>
          <w:bCs/>
          <w:color w:val="auto"/>
          <w:spacing w:val="-8"/>
          <w:kern w:val="2"/>
          <w:sz w:val="21"/>
          <w:szCs w:val="21"/>
          <w:highlight w:val="none"/>
          <w:lang w:val="en-US" w:eastAsia="zh-CN" w:bidi="ar-SA"/>
        </w:rPr>
      </w:pPr>
      <w:r>
        <w:rPr>
          <w:rFonts w:hint="eastAsia" w:asciiTheme="minorEastAsia" w:hAnsiTheme="minorEastAsia" w:eastAsiaTheme="minorEastAsia" w:cstheme="minorEastAsia"/>
          <w:bCs/>
          <w:color w:val="auto"/>
          <w:spacing w:val="-8"/>
          <w:kern w:val="2"/>
          <w:sz w:val="21"/>
          <w:szCs w:val="21"/>
          <w:highlight w:val="none"/>
          <w:lang w:val="en-US" w:eastAsia="zh-CN" w:bidi="ar-SA"/>
        </w:rPr>
        <w:t>检修时，应注意轻放，远离铁器，不要碰撞，防止变形，应保证：</w:t>
      </w:r>
    </w:p>
    <w:p>
      <w:pPr>
        <w:keepNext w:val="0"/>
        <w:keepLines w:val="0"/>
        <w:pageBreakBefore w:val="0"/>
        <w:widowControl w:val="0"/>
        <w:numPr>
          <w:ilvl w:val="0"/>
          <w:numId w:val="0"/>
        </w:numPr>
        <w:kinsoku w:val="0"/>
        <w:wordWrap/>
        <w:overflowPunct w:val="0"/>
        <w:topLinePunct/>
        <w:autoSpaceDE/>
        <w:autoSpaceDN/>
        <w:bidi w:val="0"/>
        <w:adjustRightInd/>
        <w:snapToGrid w:val="0"/>
        <w:spacing w:beforeAutospacing="0" w:line="360" w:lineRule="auto"/>
        <w:ind w:firstLine="388" w:firstLineChars="200"/>
        <w:textAlignment w:val="auto"/>
        <w:rPr>
          <w:rFonts w:hint="eastAsia" w:asciiTheme="minorEastAsia" w:hAnsiTheme="minorEastAsia" w:eastAsiaTheme="minorEastAsia" w:cstheme="minorEastAsia"/>
          <w:bCs/>
          <w:color w:val="auto"/>
          <w:spacing w:val="-8"/>
          <w:kern w:val="2"/>
          <w:sz w:val="21"/>
          <w:szCs w:val="21"/>
          <w:highlight w:val="none"/>
          <w:lang w:val="en-US" w:eastAsia="zh-CN" w:bidi="ar-SA"/>
        </w:rPr>
      </w:pPr>
      <w:r>
        <w:rPr>
          <w:rFonts w:hint="eastAsia" w:asciiTheme="minorEastAsia" w:hAnsiTheme="minorEastAsia" w:eastAsiaTheme="minorEastAsia" w:cstheme="minorEastAsia"/>
          <w:bCs/>
          <w:color w:val="auto"/>
          <w:spacing w:val="-8"/>
          <w:kern w:val="2"/>
          <w:sz w:val="21"/>
          <w:szCs w:val="21"/>
          <w:highlight w:val="none"/>
          <w:lang w:val="en-US" w:eastAsia="zh-CN" w:bidi="ar-SA"/>
        </w:rPr>
        <w:t>（1）槽体工作间隙为35～45mm。</w:t>
      </w:r>
    </w:p>
    <w:p>
      <w:pPr>
        <w:keepNext w:val="0"/>
        <w:keepLines w:val="0"/>
        <w:pageBreakBefore w:val="0"/>
        <w:widowControl w:val="0"/>
        <w:numPr>
          <w:ilvl w:val="0"/>
          <w:numId w:val="0"/>
        </w:numPr>
        <w:kinsoku w:val="0"/>
        <w:wordWrap/>
        <w:overflowPunct w:val="0"/>
        <w:topLinePunct/>
        <w:autoSpaceDE/>
        <w:autoSpaceDN/>
        <w:bidi w:val="0"/>
        <w:adjustRightInd/>
        <w:snapToGrid w:val="0"/>
        <w:spacing w:beforeAutospacing="0" w:line="360" w:lineRule="auto"/>
        <w:ind w:firstLine="388" w:firstLineChars="200"/>
        <w:textAlignment w:val="auto"/>
        <w:rPr>
          <w:rFonts w:hint="eastAsia" w:asciiTheme="minorEastAsia" w:hAnsiTheme="minorEastAsia" w:eastAsiaTheme="minorEastAsia" w:cstheme="minorEastAsia"/>
          <w:bCs/>
          <w:color w:val="auto"/>
          <w:spacing w:val="-8"/>
          <w:kern w:val="2"/>
          <w:sz w:val="21"/>
          <w:szCs w:val="21"/>
          <w:highlight w:val="none"/>
          <w:lang w:val="en-US" w:eastAsia="zh-CN" w:bidi="ar-SA"/>
        </w:rPr>
      </w:pPr>
      <w:r>
        <w:rPr>
          <w:rFonts w:hint="eastAsia" w:asciiTheme="minorEastAsia" w:hAnsiTheme="minorEastAsia" w:cstheme="minorEastAsia"/>
          <w:bCs/>
          <w:color w:val="auto"/>
          <w:spacing w:val="-8"/>
          <w:kern w:val="2"/>
          <w:sz w:val="21"/>
          <w:szCs w:val="21"/>
          <w:highlight w:val="none"/>
          <w:lang w:val="en-US" w:eastAsia="zh-CN" w:bidi="ar-SA"/>
        </w:rPr>
        <w:t>（2）</w:t>
      </w:r>
      <w:r>
        <w:rPr>
          <w:rFonts w:hint="eastAsia" w:asciiTheme="minorEastAsia" w:hAnsiTheme="minorEastAsia" w:eastAsiaTheme="minorEastAsia" w:cstheme="minorEastAsia"/>
          <w:bCs/>
          <w:color w:val="auto"/>
          <w:spacing w:val="-8"/>
          <w:kern w:val="2"/>
          <w:sz w:val="21"/>
          <w:szCs w:val="21"/>
          <w:highlight w:val="none"/>
          <w:lang w:val="en-US" w:eastAsia="zh-CN" w:bidi="ar-SA"/>
        </w:rPr>
        <w:t>圆筒与槽体在排矿处的间隙调至20mm</w:t>
      </w:r>
      <w:r>
        <w:rPr>
          <w:rFonts w:hint="eastAsia" w:asciiTheme="minorEastAsia" w:hAnsiTheme="minorEastAsia" w:cstheme="minorEastAsia"/>
          <w:bCs/>
          <w:color w:val="auto"/>
          <w:spacing w:val="-8"/>
          <w:kern w:val="2"/>
          <w:sz w:val="21"/>
          <w:szCs w:val="21"/>
          <w:highlight w:val="none"/>
          <w:lang w:val="en-US" w:eastAsia="zh-CN" w:bidi="ar-SA"/>
        </w:rPr>
        <w:t>，</w:t>
      </w:r>
      <w:r>
        <w:rPr>
          <w:rFonts w:hint="eastAsia" w:asciiTheme="minorEastAsia" w:hAnsiTheme="minorEastAsia" w:eastAsiaTheme="minorEastAsia" w:cstheme="minorEastAsia"/>
          <w:bCs/>
          <w:color w:val="auto"/>
          <w:spacing w:val="-8"/>
          <w:kern w:val="2"/>
          <w:sz w:val="21"/>
          <w:szCs w:val="21"/>
          <w:highlight w:val="none"/>
          <w:lang w:val="en-US" w:eastAsia="zh-CN" w:bidi="ar-SA"/>
        </w:rPr>
        <w:t>偏差不大于2mm。</w:t>
      </w:r>
    </w:p>
    <w:p>
      <w:pPr>
        <w:keepNext w:val="0"/>
        <w:keepLines w:val="0"/>
        <w:pageBreakBefore w:val="0"/>
        <w:widowControl w:val="0"/>
        <w:numPr>
          <w:ilvl w:val="0"/>
          <w:numId w:val="0"/>
        </w:numPr>
        <w:kinsoku w:val="0"/>
        <w:wordWrap/>
        <w:overflowPunct w:val="0"/>
        <w:topLinePunct/>
        <w:autoSpaceDE/>
        <w:autoSpaceDN/>
        <w:bidi w:val="0"/>
        <w:adjustRightInd/>
        <w:snapToGrid w:val="0"/>
        <w:spacing w:beforeAutospacing="0" w:line="360" w:lineRule="auto"/>
        <w:ind w:firstLine="388" w:firstLineChars="200"/>
        <w:textAlignment w:val="auto"/>
        <w:rPr>
          <w:rFonts w:hint="eastAsia" w:asciiTheme="minorEastAsia" w:hAnsiTheme="minorEastAsia" w:eastAsiaTheme="minorEastAsia" w:cstheme="minorEastAsia"/>
          <w:bCs/>
          <w:color w:val="auto"/>
          <w:spacing w:val="-8"/>
          <w:kern w:val="2"/>
          <w:sz w:val="21"/>
          <w:szCs w:val="21"/>
          <w:highlight w:val="none"/>
          <w:lang w:val="en-US" w:eastAsia="zh-CN" w:bidi="ar-SA"/>
        </w:rPr>
      </w:pPr>
      <w:r>
        <w:rPr>
          <w:rFonts w:hint="eastAsia" w:asciiTheme="minorEastAsia" w:hAnsiTheme="minorEastAsia" w:cstheme="minorEastAsia"/>
          <w:bCs/>
          <w:color w:val="auto"/>
          <w:spacing w:val="-8"/>
          <w:kern w:val="2"/>
          <w:sz w:val="21"/>
          <w:szCs w:val="21"/>
          <w:highlight w:val="none"/>
          <w:lang w:val="en-US" w:eastAsia="zh-CN" w:bidi="ar-SA"/>
        </w:rPr>
        <w:t>（3）</w:t>
      </w:r>
      <w:r>
        <w:rPr>
          <w:rFonts w:hint="eastAsia" w:asciiTheme="minorEastAsia" w:hAnsiTheme="minorEastAsia" w:eastAsiaTheme="minorEastAsia" w:cstheme="minorEastAsia"/>
          <w:bCs/>
          <w:color w:val="auto"/>
          <w:spacing w:val="-8"/>
          <w:kern w:val="2"/>
          <w:sz w:val="21"/>
          <w:szCs w:val="21"/>
          <w:highlight w:val="none"/>
          <w:lang w:val="en-US" w:eastAsia="zh-CN" w:bidi="ar-SA"/>
        </w:rPr>
        <w:t>调整磁系调整装置，使磁系向排矿口方向旋转20°。安装地脚、给矿口、精矿口位置见 CTN-4040 磁选机总装图（参考图）</w:t>
      </w:r>
    </w:p>
    <w:p>
      <w:pPr>
        <w:keepNext w:val="0"/>
        <w:keepLines w:val="0"/>
        <w:pageBreakBefore w:val="0"/>
        <w:widowControl w:val="0"/>
        <w:kinsoku w:val="0"/>
        <w:wordWrap/>
        <w:overflowPunct w:val="0"/>
        <w:topLinePunct/>
        <w:autoSpaceDE/>
        <w:autoSpaceDN/>
        <w:bidi w:val="0"/>
        <w:adjustRightInd/>
        <w:snapToGrid w:val="0"/>
        <w:spacing w:before="97" w:line="360" w:lineRule="auto"/>
        <w:ind w:firstLine="388" w:firstLineChars="200"/>
        <w:jc w:val="center"/>
        <w:textAlignment w:val="auto"/>
        <w:rPr>
          <w:rFonts w:hint="eastAsia" w:asciiTheme="minorEastAsia" w:hAnsiTheme="minorEastAsia" w:eastAsiaTheme="minorEastAsia" w:cstheme="minorEastAsia"/>
          <w:bCs/>
          <w:color w:val="auto"/>
          <w:spacing w:val="-8"/>
          <w:kern w:val="2"/>
          <w:sz w:val="21"/>
          <w:szCs w:val="21"/>
          <w:highlight w:val="none"/>
          <w:lang w:val="en-US" w:eastAsia="zh-CN" w:bidi="ar-SA"/>
        </w:rPr>
      </w:pPr>
      <w:r>
        <w:rPr>
          <w:rFonts w:hint="eastAsia" w:asciiTheme="minorEastAsia" w:hAnsiTheme="minorEastAsia" w:eastAsiaTheme="minorEastAsia" w:cstheme="minorEastAsia"/>
          <w:bCs/>
          <w:color w:val="auto"/>
          <w:spacing w:val="-8"/>
          <w:kern w:val="2"/>
          <w:sz w:val="21"/>
          <w:szCs w:val="21"/>
          <w:highlight w:val="none"/>
          <w:lang w:val="en-US" w:eastAsia="zh-CN" w:bidi="ar-SA"/>
        </w:rPr>
        <w:drawing>
          <wp:inline distT="0" distB="0" distL="0" distR="0">
            <wp:extent cx="3549650" cy="3251200"/>
            <wp:effectExtent l="0" t="0" r="12700" b="6350"/>
            <wp:docPr id="11" name="IM 24"/>
            <wp:cNvGraphicFramePr/>
            <a:graphic xmlns:a="http://schemas.openxmlformats.org/drawingml/2006/main">
              <a:graphicData uri="http://schemas.openxmlformats.org/drawingml/2006/picture">
                <pic:pic xmlns:pic="http://schemas.openxmlformats.org/drawingml/2006/picture">
                  <pic:nvPicPr>
                    <pic:cNvPr id="11" name="IM 24"/>
                    <pic:cNvPicPr/>
                  </pic:nvPicPr>
                  <pic:blipFill>
                    <a:blip r:embed="rId25"/>
                    <a:stretch>
                      <a:fillRect/>
                    </a:stretch>
                  </pic:blipFill>
                  <pic:spPr>
                    <a:xfrm>
                      <a:off x="0" y="0"/>
                      <a:ext cx="3549666" cy="3251203"/>
                    </a:xfrm>
                    <a:prstGeom prst="rect">
                      <a:avLst/>
                    </a:prstGeom>
                  </pic:spPr>
                </pic:pic>
              </a:graphicData>
            </a:graphic>
          </wp:inline>
        </w:drawing>
      </w:r>
    </w:p>
    <w:p>
      <w:pPr>
        <w:spacing w:before="188" w:line="219" w:lineRule="auto"/>
        <w:ind w:left="2760" w:firstLine="388" w:firstLineChars="200"/>
        <w:rPr>
          <w:rFonts w:hint="eastAsia" w:asciiTheme="minorEastAsia" w:hAnsiTheme="minorEastAsia" w:eastAsiaTheme="minorEastAsia" w:cstheme="minorEastAsia"/>
          <w:bCs/>
          <w:color w:val="auto"/>
          <w:spacing w:val="-8"/>
          <w:kern w:val="2"/>
          <w:sz w:val="21"/>
          <w:szCs w:val="21"/>
          <w:highlight w:val="none"/>
          <w:lang w:val="en-US" w:eastAsia="zh-CN" w:bidi="ar-SA"/>
        </w:rPr>
      </w:pPr>
      <w:r>
        <w:rPr>
          <w:rFonts w:hint="eastAsia" w:asciiTheme="minorEastAsia" w:hAnsiTheme="minorEastAsia" w:eastAsiaTheme="minorEastAsia" w:cstheme="minorEastAsia"/>
          <w:bCs/>
          <w:color w:val="auto"/>
          <w:spacing w:val="-8"/>
          <w:kern w:val="2"/>
          <w:sz w:val="21"/>
          <w:szCs w:val="21"/>
          <w:highlight w:val="none"/>
          <w:lang w:val="en-US" w:eastAsia="zh-CN" w:bidi="ar-SA"/>
        </w:rPr>
        <w:t>图 CTN-4040 磁选机总装图</w:t>
      </w:r>
    </w:p>
    <w:p>
      <w:pPr>
        <w:keepNext w:val="0"/>
        <w:keepLines w:val="0"/>
        <w:pageBreakBefore w:val="0"/>
        <w:widowControl w:val="0"/>
        <w:kinsoku w:val="0"/>
        <w:wordWrap/>
        <w:overflowPunct w:val="0"/>
        <w:topLinePunct/>
        <w:autoSpaceDE/>
        <w:autoSpaceDN/>
        <w:bidi w:val="0"/>
        <w:adjustRightInd/>
        <w:snapToGrid w:val="0"/>
        <w:spacing w:before="78" w:line="360" w:lineRule="auto"/>
        <w:ind w:firstLine="388" w:firstLineChars="200"/>
        <w:textAlignment w:val="auto"/>
        <w:rPr>
          <w:rFonts w:hint="default" w:asciiTheme="minorEastAsia" w:hAnsiTheme="minorEastAsia" w:cstheme="minorEastAsia"/>
          <w:bCs/>
          <w:color w:val="auto"/>
          <w:spacing w:val="-8"/>
          <w:kern w:val="2"/>
          <w:sz w:val="21"/>
          <w:szCs w:val="21"/>
          <w:highlight w:val="none"/>
          <w:lang w:val="en-US" w:eastAsia="zh-CN" w:bidi="ar-SA"/>
        </w:rPr>
      </w:pPr>
      <w:r>
        <w:rPr>
          <w:rFonts w:hint="eastAsia" w:asciiTheme="minorEastAsia" w:hAnsiTheme="minorEastAsia" w:cstheme="minorEastAsia"/>
          <w:bCs/>
          <w:color w:val="auto"/>
          <w:spacing w:val="-8"/>
          <w:kern w:val="2"/>
          <w:sz w:val="21"/>
          <w:szCs w:val="21"/>
          <w:highlight w:val="none"/>
          <w:lang w:val="en-US" w:eastAsia="zh-CN" w:bidi="ar-SA"/>
        </w:rPr>
        <w:t>3.5.2</w:t>
      </w:r>
      <w:r>
        <w:rPr>
          <w:rFonts w:hint="default" w:asciiTheme="minorEastAsia" w:hAnsiTheme="minorEastAsia" w:cstheme="minorEastAsia"/>
          <w:bCs/>
          <w:color w:val="auto"/>
          <w:spacing w:val="-8"/>
          <w:kern w:val="2"/>
          <w:sz w:val="21"/>
          <w:szCs w:val="21"/>
          <w:highlight w:val="none"/>
          <w:lang w:val="en-US" w:eastAsia="zh-CN" w:bidi="ar-SA"/>
        </w:rPr>
        <w:t>维</w:t>
      </w:r>
      <w:r>
        <w:rPr>
          <w:rFonts w:hint="eastAsia" w:asciiTheme="minorEastAsia" w:hAnsiTheme="minorEastAsia" w:cstheme="minorEastAsia"/>
          <w:bCs/>
          <w:color w:val="auto"/>
          <w:spacing w:val="-8"/>
          <w:kern w:val="2"/>
          <w:sz w:val="21"/>
          <w:szCs w:val="21"/>
          <w:highlight w:val="none"/>
          <w:lang w:val="en-US" w:eastAsia="zh-CN" w:bidi="ar-SA"/>
        </w:rPr>
        <w:t>修</w:t>
      </w:r>
      <w:r>
        <w:rPr>
          <w:rFonts w:hint="default" w:asciiTheme="minorEastAsia" w:hAnsiTheme="minorEastAsia" w:cstheme="minorEastAsia"/>
          <w:bCs/>
          <w:color w:val="auto"/>
          <w:spacing w:val="-8"/>
          <w:kern w:val="2"/>
          <w:sz w:val="21"/>
          <w:szCs w:val="21"/>
          <w:highlight w:val="none"/>
          <w:lang w:val="en-US" w:eastAsia="zh-CN" w:bidi="ar-SA"/>
        </w:rPr>
        <w:t>与安全</w:t>
      </w:r>
    </w:p>
    <w:p>
      <w:pPr>
        <w:numPr>
          <w:ilvl w:val="0"/>
          <w:numId w:val="14"/>
        </w:numPr>
        <w:spacing w:line="360" w:lineRule="auto"/>
        <w:ind w:firstLine="420" w:firstLineChars="200"/>
        <w:jc w:val="left"/>
        <w:outlineLvl w:val="3"/>
        <w:rPr>
          <w:rFonts w:hint="eastAsia"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例行保养：</w:t>
      </w:r>
    </w:p>
    <w:p>
      <w:pPr>
        <w:numPr>
          <w:ilvl w:val="0"/>
          <w:numId w:val="15"/>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减速器中润滑油量不应低于最低油标高度。</w:t>
      </w:r>
    </w:p>
    <w:p>
      <w:pPr>
        <w:numPr>
          <w:ilvl w:val="0"/>
          <w:numId w:val="15"/>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所有紧固螺钉每班应检查，不得松动。</w:t>
      </w:r>
    </w:p>
    <w:p>
      <w:pPr>
        <w:numPr>
          <w:ilvl w:val="0"/>
          <w:numId w:val="15"/>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滚筒密封环，每次大修时应更换。</w:t>
      </w:r>
    </w:p>
    <w:p>
      <w:pPr>
        <w:numPr>
          <w:ilvl w:val="0"/>
          <w:numId w:val="15"/>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磁块有碎裂时应将此组全部取下，换一组新的，不应坏一块换一块。</w:t>
      </w:r>
    </w:p>
    <w:p>
      <w:pPr>
        <w:numPr>
          <w:ilvl w:val="0"/>
          <w:numId w:val="15"/>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经常注意圆筒内有无异常声音，如发现应及时处理。</w:t>
      </w:r>
    </w:p>
    <w:p>
      <w:pPr>
        <w:numPr>
          <w:ilvl w:val="0"/>
          <w:numId w:val="15"/>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轴承温升应不大于40℃</w:t>
      </w:r>
      <w:r>
        <w:rPr>
          <w:rFonts w:hint="eastAsia" w:asciiTheme="minorEastAsia" w:hAnsiTheme="minorEastAsia" w:eastAsiaTheme="minorEastAsia" w:cstheme="minorEastAsia"/>
          <w:b w:val="0"/>
          <w:bCs w:val="0"/>
          <w:color w:val="auto"/>
          <w:sz w:val="21"/>
          <w:szCs w:val="21"/>
          <w:highlight w:val="none"/>
          <w:lang w:val="en-US" w:eastAsia="zh-CN"/>
        </w:rPr>
        <w:t>，</w:t>
      </w:r>
      <w:r>
        <w:rPr>
          <w:rFonts w:hint="default" w:asciiTheme="minorEastAsia" w:hAnsiTheme="minorEastAsia" w:eastAsiaTheme="minorEastAsia" w:cstheme="minorEastAsia"/>
          <w:b w:val="0"/>
          <w:bCs w:val="0"/>
          <w:color w:val="auto"/>
          <w:sz w:val="21"/>
          <w:szCs w:val="21"/>
          <w:highlight w:val="none"/>
          <w:lang w:val="en-US" w:eastAsia="zh-CN"/>
        </w:rPr>
        <w:t>减速器的温度不高于70℃</w:t>
      </w:r>
      <w:r>
        <w:rPr>
          <w:rFonts w:hint="eastAsia" w:asciiTheme="minorEastAsia" w:hAnsiTheme="minorEastAsia" w:cstheme="minorEastAsia"/>
          <w:b w:val="0"/>
          <w:bCs w:val="0"/>
          <w:color w:val="auto"/>
          <w:sz w:val="21"/>
          <w:szCs w:val="21"/>
          <w:highlight w:val="none"/>
          <w:lang w:val="en-US" w:eastAsia="zh-CN"/>
        </w:rPr>
        <w:t>。</w:t>
      </w:r>
    </w:p>
    <w:p>
      <w:pPr>
        <w:numPr>
          <w:ilvl w:val="0"/>
          <w:numId w:val="15"/>
        </w:numPr>
        <w:spacing w:line="360" w:lineRule="auto"/>
        <w:ind w:left="0" w:leftChars="0" w:firstLine="420" w:firstLineChars="200"/>
        <w:jc w:val="left"/>
        <w:outlineLvl w:val="3"/>
        <w:rPr>
          <w:rFonts w:hint="default" w:asciiTheme="minorEastAsia" w:hAnsiTheme="minorEastAsia" w:eastAsiaTheme="minorEastAsia" w:cstheme="minorEastAsia"/>
          <w:b/>
          <w:bCs/>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滚筒外筒皮应按外筒皮使用寿命前及时更换，以免</w:t>
      </w:r>
      <w:r>
        <w:rPr>
          <w:rFonts w:hint="eastAsia" w:asciiTheme="minorEastAsia" w:hAnsiTheme="minorEastAsia" w:eastAsiaTheme="minorEastAsia" w:cstheme="minorEastAsia"/>
          <w:b w:val="0"/>
          <w:bCs w:val="0"/>
          <w:color w:val="auto"/>
          <w:sz w:val="21"/>
          <w:szCs w:val="21"/>
          <w:highlight w:val="none"/>
          <w:lang w:val="en-US" w:eastAsia="zh-CN"/>
        </w:rPr>
        <w:t>破坏</w:t>
      </w:r>
      <w:r>
        <w:rPr>
          <w:rFonts w:hint="default" w:asciiTheme="minorEastAsia" w:hAnsiTheme="minorEastAsia" w:eastAsiaTheme="minorEastAsia" w:cstheme="minorEastAsia"/>
          <w:b w:val="0"/>
          <w:bCs w:val="0"/>
          <w:color w:val="auto"/>
          <w:sz w:val="21"/>
          <w:szCs w:val="21"/>
          <w:highlight w:val="none"/>
          <w:lang w:val="en-US" w:eastAsia="zh-CN"/>
        </w:rPr>
        <w:t>内筒皮</w:t>
      </w:r>
      <w:r>
        <w:rPr>
          <w:rFonts w:hint="eastAsia" w:asciiTheme="minorEastAsia" w:hAnsiTheme="minorEastAsia" w:cstheme="minorEastAsia"/>
          <w:b w:val="0"/>
          <w:bCs w:val="0"/>
          <w:color w:val="auto"/>
          <w:sz w:val="21"/>
          <w:szCs w:val="21"/>
          <w:highlight w:val="none"/>
          <w:lang w:val="en-US" w:eastAsia="zh-CN"/>
        </w:rPr>
        <w:t>。</w:t>
      </w:r>
    </w:p>
    <w:p>
      <w:pPr>
        <w:numPr>
          <w:ilvl w:val="0"/>
          <w:numId w:val="15"/>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磁选机需润滑的部位有减速电机、磁选滚筒的轴承部位。采用钙基润滑脂，每隔三个月左右加注一次。传动轴上设有油杯，直接用油枪注入润滑脂。减速电机用油为减速机部分的润滑采用45#机油定期润滑。</w:t>
      </w:r>
    </w:p>
    <w:p>
      <w:pPr>
        <w:numPr>
          <w:ilvl w:val="0"/>
          <w:numId w:val="15"/>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设备本体共设有两处润滑部位，在头尾部的轴承座上。</w:t>
      </w:r>
    </w:p>
    <w:p>
      <w:pPr>
        <w:numPr>
          <w:ilvl w:val="0"/>
          <w:numId w:val="15"/>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严禁在设备运转时进行调整，以免造成危险事故。</w:t>
      </w:r>
    </w:p>
    <w:p>
      <w:pPr>
        <w:numPr>
          <w:ilvl w:val="0"/>
          <w:numId w:val="0"/>
        </w:numPr>
        <w:spacing w:line="360" w:lineRule="auto"/>
        <w:ind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（2）磁选机检维修：</w:t>
      </w:r>
    </w:p>
    <w:p>
      <w:pPr>
        <w:numPr>
          <w:ilvl w:val="0"/>
          <w:numId w:val="16"/>
        </w:numPr>
        <w:spacing w:line="360" w:lineRule="auto"/>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设备的维护与维修必须在停车后进行。</w:t>
      </w:r>
    </w:p>
    <w:p>
      <w:pPr>
        <w:numPr>
          <w:ilvl w:val="0"/>
          <w:numId w:val="16"/>
        </w:numPr>
        <w:spacing w:line="360" w:lineRule="auto"/>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设备管理，维护人员应经常巡视设备的运行情况，例如：各紧固件是否可靠，滚筒是 否转动灵活等。每个润滑点需定期加油，使机器每个转动部位处于良好润滑状态。新机器运转 1个月后必须更换减速机内的润滑油，此后每月需定期检查油位，冬天使用2号黄油（低黏度），夏天使用3号黄油（高粘度）。班后必须清扫设备堵塞机构的污物。</w:t>
      </w:r>
    </w:p>
    <w:p>
      <w:pPr>
        <w:numPr>
          <w:ilvl w:val="0"/>
          <w:numId w:val="16"/>
        </w:numPr>
        <w:spacing w:line="360" w:lineRule="auto"/>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机器正常运转后方可均匀投料，正常工作情况下，轴承的温升不应超过40摄氏度，最 高温升不得超过70摄氏度。如超过上述温度时应立即停车，并查明原因，及时排除故障。停车前，应先停止加料，待磁选机内物料完全排出后关闭电动机。</w:t>
      </w:r>
    </w:p>
    <w:p>
      <w:pPr>
        <w:numPr>
          <w:ilvl w:val="0"/>
          <w:numId w:val="16"/>
        </w:numPr>
        <w:spacing w:line="360" w:lineRule="auto"/>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5每次停机前必须确认槽体内的物料全部排放完毕后方能停机。停机后对设备整机进行检查，发现异常需立即处理。搞好设备和环境卫生，填好运行记录，做好交接班工作。</w:t>
      </w:r>
    </w:p>
    <w:p>
      <w:pPr>
        <w:spacing w:line="520" w:lineRule="exact"/>
        <w:ind w:firstLine="422" w:firstLineChars="200"/>
        <w:jc w:val="left"/>
        <w:outlineLvl w:val="3"/>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lang w:val="en-US" w:eastAsia="zh-CN"/>
        </w:rPr>
        <w:t>3.6 滚笼筛</w:t>
      </w:r>
      <w:r>
        <w:rPr>
          <w:rFonts w:hint="eastAsia" w:asciiTheme="minorEastAsia" w:hAnsiTheme="minorEastAsia" w:eastAsiaTheme="minorEastAsia" w:cstheme="minorEastAsia"/>
          <w:b/>
          <w:bCs/>
          <w:color w:val="auto"/>
          <w:sz w:val="21"/>
          <w:szCs w:val="21"/>
          <w:highlight w:val="none"/>
        </w:rPr>
        <w:t>维</w:t>
      </w:r>
      <w:r>
        <w:rPr>
          <w:rFonts w:hint="eastAsia" w:asciiTheme="minorEastAsia" w:hAnsiTheme="minorEastAsia" w:cstheme="minorEastAsia"/>
          <w:b/>
          <w:bCs/>
          <w:color w:val="auto"/>
          <w:sz w:val="21"/>
          <w:szCs w:val="21"/>
          <w:highlight w:val="none"/>
          <w:lang w:val="en-US" w:eastAsia="zh-CN"/>
        </w:rPr>
        <w:t>保</w:t>
      </w:r>
    </w:p>
    <w:p>
      <w:pPr>
        <w:spacing w:line="520" w:lineRule="exact"/>
        <w:ind w:firstLine="422" w:firstLineChars="200"/>
        <w:jc w:val="left"/>
        <w:outlineLvl w:val="3"/>
        <w:rPr>
          <w:rFonts w:hint="default"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3.6.1 例行保养要求：</w:t>
      </w:r>
    </w:p>
    <w:p>
      <w:pPr>
        <w:numPr>
          <w:ilvl w:val="0"/>
          <w:numId w:val="17"/>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设备开机前和运转过程均应注意观察设备是否有异常，包括上滚笼皮带、笼尾1、2号皮带、笼底皮带、2号渣头皮带、皮带是否走偏开裂，小托滚是否有异响或者不转，粗石粉碎机轴承、锤头、电磁吊选、滚笼、减速机、电机、渣头斗、渣头给料机等、轴承是否有异响、减速机是否有油或漏油等问题。 </w:t>
      </w:r>
    </w:p>
    <w:p>
      <w:pPr>
        <w:numPr>
          <w:ilvl w:val="0"/>
          <w:numId w:val="17"/>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及时清理滚轴、滚筒的缠绕铁线，清理时要先关停设备，严禁在设备运转时清理。</w:t>
      </w:r>
    </w:p>
    <w:p>
      <w:pPr>
        <w:numPr>
          <w:ilvl w:val="0"/>
          <w:numId w:val="17"/>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机械运行出现异常情况，立即按岗位上的急停开关，停机通知带班或机修人员进行处理，维修人员确定维修好后，并得到维修人员和中控室人员可以开机指示才能解除急停开关，保障工作人员和设备安全，方可按启动按键开机，杜绝设备带病作业。</w:t>
      </w:r>
    </w:p>
    <w:p>
      <w:pPr>
        <w:pStyle w:val="87"/>
        <w:rPr>
          <w:rFonts w:hint="default"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3.6.2检修保养</w:t>
      </w:r>
      <w:r>
        <w:rPr>
          <w:rFonts w:hint="eastAsia" w:asciiTheme="minorEastAsia" w:hAnsiTheme="minorEastAsia" w:eastAsiaTheme="minorEastAsia" w:cstheme="minorEastAsia"/>
          <w:b/>
          <w:bCs/>
          <w:color w:val="auto"/>
          <w:sz w:val="21"/>
          <w:szCs w:val="21"/>
          <w:highlight w:val="none"/>
          <w:lang w:val="en-US" w:eastAsia="zh-CN"/>
        </w:rPr>
        <w:t>方案</w:t>
      </w:r>
      <w:r>
        <w:rPr>
          <w:rFonts w:hint="eastAsia" w:asciiTheme="minorEastAsia" w:hAnsiTheme="minorEastAsia" w:eastAsiaTheme="minorEastAsia" w:cstheme="minorEastAsia"/>
          <w:b/>
          <w:bCs/>
          <w:color w:val="auto"/>
          <w:kern w:val="2"/>
          <w:sz w:val="21"/>
          <w:szCs w:val="21"/>
          <w:highlight w:val="none"/>
          <w:lang w:val="en-US" w:eastAsia="zh-CN" w:bidi="ar-SA"/>
        </w:rPr>
        <w:t>：</w:t>
      </w:r>
    </w:p>
    <w:p>
      <w:pPr>
        <w:numPr>
          <w:ilvl w:val="0"/>
          <w:numId w:val="18"/>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定期清洗：滚笼筛在使用过程中会积累一定的</w:t>
      </w:r>
      <w:r>
        <w:rPr>
          <w:rFonts w:hint="eastAsia" w:asciiTheme="minorEastAsia" w:hAnsiTheme="minorEastAsia" w:cstheme="minorEastAsia"/>
          <w:b w:val="0"/>
          <w:bCs w:val="0"/>
          <w:color w:val="auto"/>
          <w:sz w:val="21"/>
          <w:szCs w:val="21"/>
          <w:highlight w:val="none"/>
          <w:lang w:val="en-US" w:eastAsia="zh-CN"/>
        </w:rPr>
        <w:t>物料</w:t>
      </w:r>
      <w:r>
        <w:rPr>
          <w:rFonts w:hint="eastAsia" w:asciiTheme="minorEastAsia" w:hAnsiTheme="minorEastAsia" w:eastAsiaTheme="minorEastAsia" w:cstheme="minorEastAsia"/>
          <w:b w:val="0"/>
          <w:bCs w:val="0"/>
          <w:color w:val="auto"/>
          <w:sz w:val="21"/>
          <w:szCs w:val="21"/>
          <w:highlight w:val="none"/>
          <w:lang w:val="en-US" w:eastAsia="zh-CN"/>
        </w:rPr>
        <w:t>和杂质，</w:t>
      </w:r>
      <w:r>
        <w:rPr>
          <w:rFonts w:hint="eastAsia" w:asciiTheme="minorEastAsia" w:hAnsiTheme="minorEastAsia" w:cstheme="minorEastAsia"/>
          <w:b w:val="0"/>
          <w:bCs w:val="0"/>
          <w:color w:val="auto"/>
          <w:sz w:val="21"/>
          <w:szCs w:val="21"/>
          <w:highlight w:val="none"/>
          <w:lang w:val="en-US" w:eastAsia="zh-CN"/>
        </w:rPr>
        <w:t>每日下班前清理</w:t>
      </w:r>
      <w:r>
        <w:rPr>
          <w:rFonts w:hint="eastAsia" w:asciiTheme="minorEastAsia" w:hAnsiTheme="minorEastAsia" w:eastAsiaTheme="minorEastAsia" w:cstheme="minorEastAsia"/>
          <w:b w:val="0"/>
          <w:bCs w:val="0"/>
          <w:color w:val="auto"/>
          <w:sz w:val="21"/>
          <w:szCs w:val="21"/>
          <w:highlight w:val="none"/>
          <w:lang w:val="en-US" w:eastAsia="zh-CN"/>
        </w:rPr>
        <w:t>是必要的。</w:t>
      </w:r>
    </w:p>
    <w:p>
      <w:pPr>
        <w:numPr>
          <w:ilvl w:val="0"/>
          <w:numId w:val="18"/>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检查</w:t>
      </w:r>
      <w:r>
        <w:rPr>
          <w:rFonts w:hint="eastAsia" w:asciiTheme="minorEastAsia" w:hAnsiTheme="minorEastAsia" w:cstheme="minorEastAsia"/>
          <w:b w:val="0"/>
          <w:bCs w:val="0"/>
          <w:color w:val="auto"/>
          <w:sz w:val="21"/>
          <w:szCs w:val="21"/>
          <w:highlight w:val="none"/>
          <w:lang w:val="en-US" w:eastAsia="zh-CN"/>
        </w:rPr>
        <w:t>滚</w:t>
      </w:r>
      <w:r>
        <w:rPr>
          <w:rFonts w:hint="eastAsia" w:asciiTheme="minorEastAsia" w:hAnsiTheme="minorEastAsia" w:eastAsiaTheme="minorEastAsia" w:cstheme="minorEastAsia"/>
          <w:b w:val="0"/>
          <w:bCs w:val="0"/>
          <w:color w:val="auto"/>
          <w:sz w:val="21"/>
          <w:szCs w:val="21"/>
          <w:highlight w:val="none"/>
          <w:lang w:val="en-US" w:eastAsia="zh-CN"/>
        </w:rPr>
        <w:t>笼：定期检查滚笼的磨损情况，如有严重磨损或损坏，应及时更换。同时，检查滚笼的固定螺栓是否松动，如有松动应及时紧固。</w:t>
      </w:r>
    </w:p>
    <w:p>
      <w:pPr>
        <w:numPr>
          <w:ilvl w:val="0"/>
          <w:numId w:val="18"/>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润滑油更换：滚笼筛的润滑系统需要定期更换润滑油，以确保轴承的正常润滑。根据设备的使用频率和工作环境，制定合理的润滑油更换周期。</w:t>
      </w:r>
    </w:p>
    <w:p>
      <w:pPr>
        <w:numPr>
          <w:ilvl w:val="0"/>
          <w:numId w:val="18"/>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检查电机和传动装置：检查滚笼筛的电机和传动装置是否正常运行，如有异常声音或振动，应及时进行维修或更换。</w:t>
      </w:r>
    </w:p>
    <w:p>
      <w:pPr>
        <w:numPr>
          <w:ilvl w:val="0"/>
          <w:numId w:val="18"/>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检查筛网：筛网是滚笼筛的关键部件，定期检查筛网的磨损情况，如有严重磨损或损坏，应及时更换。同时，清洗筛网上的杂质，确保筛网的畅通。</w:t>
      </w:r>
    </w:p>
    <w:p>
      <w:pPr>
        <w:numPr>
          <w:ilvl w:val="0"/>
          <w:numId w:val="18"/>
        </w:numPr>
        <w:spacing w:line="520" w:lineRule="exact"/>
        <w:ind w:left="0" w:leftChars="0" w:firstLine="420" w:firstLineChars="200"/>
        <w:jc w:val="left"/>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防止堵塞：滚笼筛在使用过程中，可能会出现堵塞的情况，需定期检查设备的进料口和排料口，清除堵塞物。</w:t>
      </w:r>
    </w:p>
    <w:p>
      <w:pPr>
        <w:spacing w:line="520" w:lineRule="exact"/>
        <w:ind w:firstLine="422" w:firstLineChars="200"/>
        <w:jc w:val="left"/>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3.6自卸式除铁器</w:t>
      </w:r>
      <w:r>
        <w:rPr>
          <w:rFonts w:hint="eastAsia" w:asciiTheme="minorEastAsia" w:hAnsiTheme="minorEastAsia" w:eastAsiaTheme="minorEastAsia" w:cstheme="minorEastAsia"/>
          <w:b/>
          <w:bCs/>
          <w:color w:val="auto"/>
          <w:sz w:val="21"/>
          <w:szCs w:val="21"/>
          <w:highlight w:val="none"/>
        </w:rPr>
        <w:t>维</w:t>
      </w:r>
      <w:r>
        <w:rPr>
          <w:rFonts w:hint="eastAsia" w:asciiTheme="minorEastAsia" w:hAnsiTheme="minorEastAsia" w:cstheme="minorEastAsia"/>
          <w:b/>
          <w:bCs/>
          <w:color w:val="auto"/>
          <w:sz w:val="21"/>
          <w:szCs w:val="21"/>
          <w:highlight w:val="none"/>
          <w:lang w:val="en-US" w:eastAsia="zh-CN"/>
        </w:rPr>
        <w:t>保</w:t>
      </w:r>
    </w:p>
    <w:p>
      <w:pPr>
        <w:pStyle w:val="87"/>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3.6.1设备介绍：</w:t>
      </w:r>
    </w:p>
    <w:p>
      <w:pPr>
        <w:pStyle w:val="87"/>
        <w:numPr>
          <w:ilvl w:val="0"/>
          <w:numId w:val="19"/>
        </w:numPr>
        <w:ind w:left="0" w:leftChars="0" w:firstLine="420" w:firstLineChars="200"/>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合理的磁系结构设计，使除铁效果更加显著。根据闭合载流线圈可以产生磁场的基本原理，设计成该电磁除铁器。由轭板、铁芯、励磁线圈绕组及导磁板、下托板等构成磁系。在其轭板下边与其焊成一体的铁芯的外侧，按最佳散热条件绕成励磁线圈，下托板覆盖在线圈下部。本设计方法将磁力线最大限度地集中在除铁器的下部，额定高度处磁场强度高、梯度大、吸力强劲。</w:t>
      </w:r>
    </w:p>
    <w:p>
      <w:pPr>
        <w:pStyle w:val="87"/>
        <w:numPr>
          <w:ilvl w:val="0"/>
          <w:numId w:val="19"/>
        </w:numPr>
        <w:ind w:left="0" w:leftChars="0" w:firstLine="420" w:firstLineChars="200"/>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适用于现场环境恶劣，粉尘较多的场所。磁系采用全封闭，全填充结构，并通过自身 散热片进行散热，防潮、防污染。滚筒轴承座采用特制密封轴承座，能够适应恶劣环境条件下工作。</w:t>
      </w:r>
    </w:p>
    <w:p>
      <w:pPr>
        <w:pStyle w:val="87"/>
        <w:numPr>
          <w:ilvl w:val="0"/>
          <w:numId w:val="19"/>
        </w:numPr>
        <w:ind w:left="0" w:leftChars="0" w:firstLine="420" w:firstLineChars="200"/>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励磁线圈、自动卸铁、运行方便</w:t>
      </w:r>
      <w:r>
        <w:rPr>
          <w:rFonts w:hint="eastAsia" w:asciiTheme="minorEastAsia" w:hAnsiTheme="minorEastAsia" w:eastAsiaTheme="minorEastAsia" w:cstheme="minorEastAsia"/>
          <w:b w:val="0"/>
          <w:bCs w:val="0"/>
          <w:color w:val="auto"/>
          <w:kern w:val="2"/>
          <w:sz w:val="21"/>
          <w:szCs w:val="21"/>
          <w:highlight w:val="none"/>
          <w:lang w:val="en-US" w:eastAsia="zh-CN" w:bidi="ar-SA"/>
        </w:rPr>
        <w:t>，</w:t>
      </w:r>
      <w:r>
        <w:rPr>
          <w:rFonts w:hint="default" w:asciiTheme="minorEastAsia" w:hAnsiTheme="minorEastAsia" w:eastAsiaTheme="minorEastAsia" w:cstheme="minorEastAsia"/>
          <w:b w:val="0"/>
          <w:bCs w:val="0"/>
          <w:color w:val="auto"/>
          <w:kern w:val="2"/>
          <w:sz w:val="21"/>
          <w:szCs w:val="21"/>
          <w:highlight w:val="none"/>
          <w:lang w:val="en-US" w:eastAsia="zh-CN" w:bidi="ar-SA"/>
        </w:rPr>
        <w:t>独特设计铠装式皮带，能有效防止尖锐铁磁性物质对皮带的损害，运行经济。具有皮带自动纠偏功能。托辊采用摩擦上平调心托辊，托辊两侧摩擦轮能够防止皮带跑偏。 结构紧凑合理、维修保养方便，可长期无故障安全运行。</w:t>
      </w:r>
    </w:p>
    <w:p>
      <w:pPr>
        <w:pStyle w:val="87"/>
        <w:numPr>
          <w:ilvl w:val="0"/>
          <w:numId w:val="0"/>
        </w:numPr>
        <w:ind w:leftChars="20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3.6.2例行保养：</w:t>
      </w:r>
    </w:p>
    <w:p>
      <w:pPr>
        <w:pStyle w:val="87"/>
        <w:numPr>
          <w:ilvl w:val="0"/>
          <w:numId w:val="20"/>
        </w:numPr>
        <w:ind w:left="0" w:leftChars="0" w:firstLine="420" w:firstLineChars="200"/>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必须无负荷启动除铁器，即先启动除铁器的皮带，后开动输料皮带机.</w:t>
      </w:r>
    </w:p>
    <w:p>
      <w:pPr>
        <w:pStyle w:val="87"/>
        <w:numPr>
          <w:ilvl w:val="0"/>
          <w:numId w:val="20"/>
        </w:numPr>
        <w:ind w:left="0" w:leftChars="0" w:firstLine="420" w:firstLineChars="200"/>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二次接线应按实际通过的电流选择线径，且电线与端子相连时要使用匹配的冷压端头，</w:t>
      </w:r>
    </w:p>
    <w:p>
      <w:pPr>
        <w:pStyle w:val="87"/>
        <w:numPr>
          <w:ilvl w:val="0"/>
          <w:numId w:val="0"/>
        </w:numPr>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以保证端子外接线良好。磁系不允许拆卸，以免破坏磁系的整体性能.</w:t>
      </w:r>
    </w:p>
    <w:p>
      <w:pPr>
        <w:pStyle w:val="87"/>
        <w:numPr>
          <w:ilvl w:val="0"/>
          <w:numId w:val="20"/>
        </w:numPr>
        <w:ind w:left="0" w:leftChars="0" w:firstLine="420" w:firstLineChars="200"/>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在设备运转过程中，当设备运转出现异常，工作人员要立刻关掉电源总开关，然后通</w:t>
      </w:r>
    </w:p>
    <w:p>
      <w:pPr>
        <w:pStyle w:val="87"/>
        <w:numPr>
          <w:ilvl w:val="0"/>
          <w:numId w:val="0"/>
        </w:numPr>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知技术人员检查故障原因。</w:t>
      </w:r>
    </w:p>
    <w:p>
      <w:pPr>
        <w:spacing w:line="520" w:lineRule="exact"/>
        <w:ind w:firstLine="422" w:firstLineChars="200"/>
        <w:jc w:val="left"/>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3.6.3维修保养</w:t>
      </w:r>
      <w:r>
        <w:rPr>
          <w:rFonts w:hint="eastAsia" w:asciiTheme="minorEastAsia" w:hAnsiTheme="minorEastAsia" w:eastAsiaTheme="minorEastAsia" w:cstheme="minorEastAsia"/>
          <w:b/>
          <w:bCs/>
          <w:color w:val="auto"/>
          <w:sz w:val="21"/>
          <w:szCs w:val="21"/>
          <w:highlight w:val="none"/>
          <w:lang w:val="en-US" w:eastAsia="zh-CN"/>
        </w:rPr>
        <w:t>方案</w:t>
      </w:r>
      <w:r>
        <w:rPr>
          <w:rFonts w:hint="eastAsia" w:asciiTheme="minorEastAsia" w:hAnsiTheme="minorEastAsia" w:cstheme="minorEastAsia"/>
          <w:b/>
          <w:bCs/>
          <w:color w:val="auto"/>
          <w:sz w:val="21"/>
          <w:szCs w:val="21"/>
          <w:highlight w:val="none"/>
          <w:lang w:val="en-US" w:eastAsia="zh-CN"/>
        </w:rPr>
        <w:t>：</w:t>
      </w:r>
    </w:p>
    <w:p>
      <w:pPr>
        <w:numPr>
          <w:ilvl w:val="0"/>
          <w:numId w:val="21"/>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使用全封闭电磁除铁器要做好减速电机部分，支撑轴承部位的润滑工作。</w:t>
      </w:r>
    </w:p>
    <w:p>
      <w:pPr>
        <w:numPr>
          <w:ilvl w:val="0"/>
          <w:numId w:val="21"/>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全封闭电磁除铁器在需润滑部位都注满润滑脂。根据具体的使用工况确定润滑周期</w:t>
      </w:r>
      <w:r>
        <w:rPr>
          <w:rFonts w:hint="eastAsia" w:asciiTheme="minorEastAsia" w:hAnsiTheme="minorEastAsia" w:cstheme="minorEastAsia"/>
          <w:b w:val="0"/>
          <w:bCs w:val="0"/>
          <w:color w:val="auto"/>
          <w:sz w:val="21"/>
          <w:szCs w:val="21"/>
          <w:highlight w:val="none"/>
          <w:lang w:val="en-US" w:eastAsia="zh-CN"/>
        </w:rPr>
        <w:t>为一个月加注一次</w:t>
      </w:r>
      <w:r>
        <w:rPr>
          <w:rFonts w:hint="default" w:asciiTheme="minorEastAsia" w:hAnsiTheme="minorEastAsia" w:cstheme="minorEastAsia"/>
          <w:b w:val="0"/>
          <w:bCs w:val="0"/>
          <w:color w:val="auto"/>
          <w:sz w:val="21"/>
          <w:szCs w:val="21"/>
          <w:highlight w:val="none"/>
          <w:lang w:val="en-US" w:eastAsia="zh-CN"/>
        </w:rPr>
        <w:t>。设备本体共设有四处润滑部位，在主从动滚筒的轴承座上，注油时通过直通式压注油杯注油。</w:t>
      </w:r>
    </w:p>
    <w:p>
      <w:pPr>
        <w:numPr>
          <w:ilvl w:val="0"/>
          <w:numId w:val="21"/>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减速电机机内的润滑油或润滑脂要按照减速电机的使用说明书要求添加，主、从动滚筒两端轴承的润滑油脂为钙基脂或钠基脂，加注周期</w:t>
      </w:r>
      <w:r>
        <w:rPr>
          <w:rFonts w:hint="eastAsia" w:asciiTheme="minorEastAsia" w:hAnsiTheme="minorEastAsia" w:cstheme="minorEastAsia"/>
          <w:b w:val="0"/>
          <w:bCs w:val="0"/>
          <w:color w:val="auto"/>
          <w:sz w:val="21"/>
          <w:szCs w:val="21"/>
          <w:highlight w:val="none"/>
          <w:lang w:val="en-US" w:eastAsia="zh-CN"/>
        </w:rPr>
        <w:t>5～6个月</w:t>
      </w:r>
      <w:r>
        <w:rPr>
          <w:rFonts w:hint="default" w:asciiTheme="minorEastAsia" w:hAnsiTheme="minorEastAsia" w:cstheme="minorEastAsia"/>
          <w:b w:val="0"/>
          <w:bCs w:val="0"/>
          <w:color w:val="auto"/>
          <w:sz w:val="21"/>
          <w:szCs w:val="21"/>
          <w:highlight w:val="none"/>
          <w:lang w:val="en-US" w:eastAsia="zh-CN"/>
        </w:rPr>
        <w:t>。</w:t>
      </w:r>
    </w:p>
    <w:p>
      <w:pPr>
        <w:numPr>
          <w:ilvl w:val="0"/>
          <w:numId w:val="21"/>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2</w:t>
      </w:r>
      <w:r>
        <w:rPr>
          <w:rFonts w:hint="default" w:asciiTheme="minorEastAsia" w:hAnsiTheme="minorEastAsia" w:cstheme="minorEastAsia"/>
          <w:b w:val="0"/>
          <w:bCs w:val="0"/>
          <w:color w:val="auto"/>
          <w:sz w:val="21"/>
          <w:szCs w:val="21"/>
          <w:highlight w:val="none"/>
          <w:lang w:val="en-US" w:eastAsia="zh-CN"/>
        </w:rPr>
        <w:t>～</w:t>
      </w:r>
      <w:r>
        <w:rPr>
          <w:rFonts w:hint="eastAsia" w:asciiTheme="minorEastAsia" w:hAnsiTheme="minorEastAsia" w:cstheme="minorEastAsia"/>
          <w:b w:val="0"/>
          <w:bCs w:val="0"/>
          <w:color w:val="auto"/>
          <w:sz w:val="21"/>
          <w:szCs w:val="21"/>
          <w:highlight w:val="none"/>
          <w:lang w:val="en-US" w:eastAsia="zh-CN"/>
        </w:rPr>
        <w:t>3</w:t>
      </w:r>
      <w:r>
        <w:rPr>
          <w:rFonts w:hint="default" w:asciiTheme="minorEastAsia" w:hAnsiTheme="minorEastAsia" w:cstheme="minorEastAsia"/>
          <w:b w:val="0"/>
          <w:bCs w:val="0"/>
          <w:color w:val="auto"/>
          <w:sz w:val="21"/>
          <w:szCs w:val="21"/>
          <w:highlight w:val="none"/>
          <w:lang w:val="en-US" w:eastAsia="zh-CN"/>
        </w:rPr>
        <w:t>个月更换一次</w:t>
      </w:r>
      <w:r>
        <w:rPr>
          <w:rFonts w:hint="eastAsia" w:asciiTheme="minorEastAsia" w:hAnsiTheme="minorEastAsia" w:cstheme="minorEastAsia"/>
          <w:b w:val="0"/>
          <w:bCs w:val="0"/>
          <w:color w:val="auto"/>
          <w:sz w:val="21"/>
          <w:szCs w:val="21"/>
          <w:highlight w:val="none"/>
          <w:lang w:val="en-US" w:eastAsia="zh-CN"/>
        </w:rPr>
        <w:t>油脂，同时观察油脂情况</w:t>
      </w:r>
      <w:r>
        <w:rPr>
          <w:rFonts w:hint="default" w:asciiTheme="minorEastAsia" w:hAnsiTheme="minorEastAsia" w:cstheme="minorEastAsia"/>
          <w:b w:val="0"/>
          <w:bCs w:val="0"/>
          <w:color w:val="auto"/>
          <w:sz w:val="21"/>
          <w:szCs w:val="21"/>
          <w:highlight w:val="none"/>
          <w:lang w:val="en-US" w:eastAsia="zh-CN"/>
        </w:rPr>
        <w:t>适当缩短换油时间。</w:t>
      </w:r>
    </w:p>
    <w:p>
      <w:pPr>
        <w:numPr>
          <w:ilvl w:val="0"/>
          <w:numId w:val="21"/>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设备应该让受过设备培训的相关人员维护。</w:t>
      </w:r>
    </w:p>
    <w:p>
      <w:pPr>
        <w:numPr>
          <w:ilvl w:val="0"/>
          <w:numId w:val="21"/>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设备的维护与维修必须在停车后进行。</w:t>
      </w:r>
    </w:p>
    <w:p>
      <w:pPr>
        <w:numPr>
          <w:ilvl w:val="0"/>
          <w:numId w:val="21"/>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设备管理，维护人员应经常巡视设备的运行情况，例如：各紧固件是否可靠，托辊是否转动灵活等。每个润滑点需定期加油，使机器每个转动部位处于良好润滑状态。</w:t>
      </w:r>
    </w:p>
    <w:p>
      <w:pPr>
        <w:numPr>
          <w:ilvl w:val="0"/>
          <w:numId w:val="21"/>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检查电缆线是否有损伤，连接端子是否有接触不良现象。</w:t>
      </w:r>
    </w:p>
    <w:p>
      <w:pPr>
        <w:spacing w:line="520" w:lineRule="exact"/>
        <w:ind w:firstLine="422" w:firstLineChars="200"/>
        <w:jc w:val="left"/>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3.</w:t>
      </w:r>
      <w:r>
        <w:rPr>
          <w:rFonts w:hint="eastAsia" w:asciiTheme="minorEastAsia" w:hAnsiTheme="minorEastAsia" w:cstheme="minorEastAsia"/>
          <w:b/>
          <w:bCs/>
          <w:color w:val="auto"/>
          <w:kern w:val="2"/>
          <w:sz w:val="21"/>
          <w:szCs w:val="21"/>
          <w:highlight w:val="none"/>
          <w:lang w:val="en-US" w:eastAsia="zh-CN" w:bidi="ar-SA"/>
        </w:rPr>
        <w:t>7</w:t>
      </w:r>
      <w:r>
        <w:rPr>
          <w:rFonts w:hint="eastAsia" w:asciiTheme="minorEastAsia" w:hAnsiTheme="minorEastAsia" w:eastAsiaTheme="minorEastAsia" w:cstheme="minorEastAsia"/>
          <w:b/>
          <w:bCs/>
          <w:color w:val="auto"/>
          <w:sz w:val="21"/>
          <w:szCs w:val="21"/>
          <w:highlight w:val="none"/>
          <w:lang w:val="en-US" w:eastAsia="zh-CN"/>
        </w:rPr>
        <w:t>涡电流分选机</w:t>
      </w:r>
      <w:r>
        <w:rPr>
          <w:rFonts w:hint="eastAsia" w:asciiTheme="minorEastAsia" w:hAnsiTheme="minorEastAsia" w:eastAsiaTheme="minorEastAsia" w:cstheme="minorEastAsia"/>
          <w:b/>
          <w:bCs/>
          <w:color w:val="auto"/>
          <w:sz w:val="21"/>
          <w:szCs w:val="21"/>
          <w:highlight w:val="none"/>
        </w:rPr>
        <w:t>维</w:t>
      </w:r>
      <w:r>
        <w:rPr>
          <w:rFonts w:hint="eastAsia" w:asciiTheme="minorEastAsia" w:hAnsiTheme="minorEastAsia" w:cstheme="minorEastAsia"/>
          <w:b/>
          <w:bCs/>
          <w:color w:val="auto"/>
          <w:sz w:val="21"/>
          <w:szCs w:val="21"/>
          <w:highlight w:val="none"/>
          <w:lang w:val="en-US" w:eastAsia="zh-CN"/>
        </w:rPr>
        <w:t>保</w:t>
      </w:r>
    </w:p>
    <w:p>
      <w:pPr>
        <w:spacing w:line="520" w:lineRule="exact"/>
        <w:ind w:firstLine="422" w:firstLineChars="200"/>
        <w:jc w:val="left"/>
        <w:outlineLvl w:val="3"/>
        <w:rPr>
          <w:rFonts w:hint="default"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3.7.1 日常维保</w:t>
      </w:r>
    </w:p>
    <w:p>
      <w:pPr>
        <w:numPr>
          <w:ilvl w:val="0"/>
          <w:numId w:val="22"/>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设备检查：首先</w:t>
      </w:r>
      <w:r>
        <w:rPr>
          <w:rFonts w:hint="eastAsia" w:asciiTheme="minorEastAsia" w:hAnsiTheme="minorEastAsia" w:cstheme="minorEastAsia"/>
          <w:b w:val="0"/>
          <w:bCs w:val="0"/>
          <w:color w:val="auto"/>
          <w:sz w:val="21"/>
          <w:szCs w:val="21"/>
          <w:highlight w:val="none"/>
          <w:lang w:val="en-US" w:eastAsia="zh-CN"/>
        </w:rPr>
        <w:t>需要每日</w:t>
      </w:r>
      <w:r>
        <w:rPr>
          <w:rFonts w:hint="eastAsia" w:asciiTheme="minorEastAsia" w:hAnsiTheme="minorEastAsia" w:eastAsiaTheme="minorEastAsia" w:cstheme="minorEastAsia"/>
          <w:b w:val="0"/>
          <w:bCs w:val="0"/>
          <w:color w:val="auto"/>
          <w:sz w:val="21"/>
          <w:szCs w:val="21"/>
          <w:highlight w:val="none"/>
          <w:lang w:val="en-US" w:eastAsia="zh-CN"/>
        </w:rPr>
        <w:t>检查设备的外观，确认设备无损坏和松动现象。检查电源线、控制线、传感器等连接是否稳固</w:t>
      </w:r>
      <w:r>
        <w:rPr>
          <w:rFonts w:hint="eastAsia" w:asciiTheme="minorEastAsia" w:hAnsiTheme="minorEastAsia" w:cstheme="minorEastAsia"/>
          <w:b w:val="0"/>
          <w:bCs w:val="0"/>
          <w:color w:val="auto"/>
          <w:sz w:val="21"/>
          <w:szCs w:val="21"/>
          <w:highlight w:val="none"/>
          <w:lang w:val="en-US" w:eastAsia="zh-CN"/>
        </w:rPr>
        <w:t>，每日需要清理皮带内部粗砂，清理干净后方可开机</w:t>
      </w:r>
      <w:r>
        <w:rPr>
          <w:rFonts w:hint="eastAsia" w:asciiTheme="minorEastAsia" w:hAnsiTheme="minorEastAsia" w:eastAsiaTheme="minorEastAsia" w:cstheme="minorEastAsia"/>
          <w:b w:val="0"/>
          <w:bCs w:val="0"/>
          <w:color w:val="auto"/>
          <w:sz w:val="21"/>
          <w:szCs w:val="21"/>
          <w:highlight w:val="none"/>
          <w:lang w:val="en-US" w:eastAsia="zh-CN"/>
        </w:rPr>
        <w:t>。</w:t>
      </w:r>
    </w:p>
    <w:p>
      <w:pPr>
        <w:numPr>
          <w:ilvl w:val="0"/>
          <w:numId w:val="22"/>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电气系统：</w:t>
      </w:r>
      <w:r>
        <w:rPr>
          <w:rFonts w:hint="eastAsia" w:asciiTheme="minorEastAsia" w:hAnsiTheme="minorEastAsia" w:cstheme="minorEastAsia"/>
          <w:b w:val="0"/>
          <w:bCs w:val="0"/>
          <w:color w:val="auto"/>
          <w:sz w:val="21"/>
          <w:szCs w:val="21"/>
          <w:highlight w:val="none"/>
          <w:lang w:val="en-US" w:eastAsia="zh-CN"/>
        </w:rPr>
        <w:t>巡检人员需对</w:t>
      </w:r>
      <w:r>
        <w:rPr>
          <w:rFonts w:hint="eastAsia" w:asciiTheme="minorEastAsia" w:hAnsiTheme="minorEastAsia" w:eastAsiaTheme="minorEastAsia" w:cstheme="minorEastAsia"/>
          <w:b w:val="0"/>
          <w:bCs w:val="0"/>
          <w:color w:val="auto"/>
          <w:sz w:val="21"/>
          <w:szCs w:val="21"/>
          <w:highlight w:val="none"/>
          <w:lang w:val="en-US" w:eastAsia="zh-CN"/>
        </w:rPr>
        <w:t>电气系统的接线</w:t>
      </w:r>
      <w:r>
        <w:rPr>
          <w:rFonts w:hint="eastAsia" w:asciiTheme="minorEastAsia" w:hAnsiTheme="minorEastAsia" w:cstheme="minorEastAsia"/>
          <w:b w:val="0"/>
          <w:bCs w:val="0"/>
          <w:color w:val="auto"/>
          <w:sz w:val="21"/>
          <w:szCs w:val="21"/>
          <w:highlight w:val="none"/>
          <w:lang w:val="en-US" w:eastAsia="zh-CN"/>
        </w:rPr>
        <w:t>检查</w:t>
      </w:r>
      <w:r>
        <w:rPr>
          <w:rFonts w:hint="eastAsia" w:asciiTheme="minorEastAsia" w:hAnsiTheme="minorEastAsia" w:eastAsiaTheme="minorEastAsia" w:cstheme="minorEastAsia"/>
          <w:b w:val="0"/>
          <w:bCs w:val="0"/>
          <w:color w:val="auto"/>
          <w:sz w:val="21"/>
          <w:szCs w:val="21"/>
          <w:highlight w:val="none"/>
          <w:lang w:val="en-US" w:eastAsia="zh-CN"/>
        </w:rPr>
        <w:t>，各电器元件是否正常工作</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控制面板上的开关、按钮、指示灯等是否正常</w:t>
      </w:r>
      <w:r>
        <w:rPr>
          <w:rFonts w:hint="eastAsia" w:asciiTheme="minorEastAsia" w:hAnsiTheme="minorEastAsia" w:cstheme="minorEastAsia"/>
          <w:b w:val="0"/>
          <w:bCs w:val="0"/>
          <w:color w:val="auto"/>
          <w:sz w:val="21"/>
          <w:szCs w:val="21"/>
          <w:highlight w:val="none"/>
          <w:lang w:val="en-US" w:eastAsia="zh-CN"/>
        </w:rPr>
        <w:t>，如果发现问题及时停机更换</w:t>
      </w:r>
      <w:r>
        <w:rPr>
          <w:rFonts w:hint="eastAsia" w:asciiTheme="minorEastAsia" w:hAnsiTheme="minorEastAsia" w:eastAsiaTheme="minorEastAsia" w:cstheme="minorEastAsia"/>
          <w:b w:val="0"/>
          <w:bCs w:val="0"/>
          <w:color w:val="auto"/>
          <w:sz w:val="21"/>
          <w:szCs w:val="21"/>
          <w:highlight w:val="none"/>
          <w:lang w:val="en-US" w:eastAsia="zh-CN"/>
        </w:rPr>
        <w:t>。</w:t>
      </w:r>
    </w:p>
    <w:p>
      <w:pPr>
        <w:numPr>
          <w:ilvl w:val="0"/>
          <w:numId w:val="22"/>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传感器：涡电流传感器是否损坏或松动，传感器与设备的连接是否稳固。</w:t>
      </w:r>
    </w:p>
    <w:p>
      <w:pPr>
        <w:numPr>
          <w:ilvl w:val="0"/>
          <w:numId w:val="22"/>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轴承：检查轴承的润滑情况，添加或更换润滑脂。检查轴承是否有异响或松动现象，如有问题及时进行维修或更换。</w:t>
      </w:r>
    </w:p>
    <w:p>
      <w:pPr>
        <w:numPr>
          <w:ilvl w:val="0"/>
          <w:numId w:val="22"/>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机械部件：检查机械部件的紧固情况，如螺丝、螺母等是否松动</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检查传动装置是否正常运转，如链条、皮带等是否有磨损或松动。</w:t>
      </w:r>
    </w:p>
    <w:p>
      <w:pPr>
        <w:numPr>
          <w:ilvl w:val="0"/>
          <w:numId w:val="22"/>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清洁维护：定期清洁设备的内部和外部，清除积尘和杂物。清洗涡电流传感器和传感器连接线，保持其灵敏度和准确性。</w:t>
      </w:r>
    </w:p>
    <w:p>
      <w:pPr>
        <w:numPr>
          <w:ilvl w:val="0"/>
          <w:numId w:val="22"/>
        </w:numPr>
        <w:spacing w:line="520" w:lineRule="exact"/>
        <w:ind w:left="0" w:leftChars="0" w:firstLine="420" w:firstLineChars="200"/>
        <w:jc w:val="left"/>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保养记录：对设备的维护和检修进行详细记录，包括日期、维护内容、维修人员等信息。及时记录设备的故障和异常情况，以便后续的维修和改进。</w:t>
      </w:r>
    </w:p>
    <w:p>
      <w:pPr>
        <w:spacing w:line="520" w:lineRule="exact"/>
        <w:ind w:firstLine="422" w:firstLineChars="200"/>
        <w:jc w:val="center"/>
        <w:outlineLvl w:val="3"/>
        <w:rPr>
          <w:rFonts w:hint="default"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环保设备维保方案</w:t>
      </w:r>
    </w:p>
    <w:p>
      <w:pPr>
        <w:spacing w:line="520" w:lineRule="exact"/>
        <w:ind w:firstLine="422" w:firstLineChars="200"/>
        <w:jc w:val="left"/>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3.</w:t>
      </w:r>
      <w:r>
        <w:rPr>
          <w:rFonts w:hint="eastAsia" w:asciiTheme="minorEastAsia" w:hAnsiTheme="minorEastAsia" w:cstheme="minorEastAsia"/>
          <w:b/>
          <w:bCs/>
          <w:color w:val="auto"/>
          <w:kern w:val="2"/>
          <w:sz w:val="21"/>
          <w:szCs w:val="21"/>
          <w:highlight w:val="none"/>
          <w:lang w:val="en-US" w:eastAsia="zh-CN" w:bidi="ar-SA"/>
        </w:rPr>
        <w:t>8布袋</w:t>
      </w:r>
      <w:r>
        <w:rPr>
          <w:rFonts w:hint="eastAsia" w:asciiTheme="minorEastAsia" w:hAnsiTheme="minorEastAsia" w:cstheme="minorEastAsia"/>
          <w:b/>
          <w:bCs/>
          <w:color w:val="auto"/>
          <w:sz w:val="21"/>
          <w:szCs w:val="21"/>
          <w:highlight w:val="none"/>
          <w:lang w:val="en-US" w:eastAsia="zh-CN"/>
        </w:rPr>
        <w:t>除尘器维保</w:t>
      </w:r>
    </w:p>
    <w:p>
      <w:pPr>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pacing w:val="0"/>
          <w:w w:val="100"/>
          <w:position w:val="0"/>
          <w:sz w:val="21"/>
          <w:szCs w:val="21"/>
          <w:highlight w:val="none"/>
          <w:lang w:val="en-US" w:eastAsia="zh-CN"/>
        </w:rPr>
        <w:t>3.8.1</w:t>
      </w:r>
      <w:r>
        <w:rPr>
          <w:rFonts w:hint="eastAsia" w:ascii="仿宋" w:hAnsi="仿宋" w:eastAsia="仿宋" w:cs="仿宋"/>
          <w:b/>
          <w:bCs/>
          <w:color w:val="auto"/>
          <w:spacing w:val="0"/>
          <w:w w:val="100"/>
          <w:position w:val="0"/>
          <w:sz w:val="21"/>
          <w:szCs w:val="21"/>
          <w:highlight w:val="none"/>
        </w:rPr>
        <w:t>开机前检查</w:t>
      </w:r>
    </w:p>
    <w:p>
      <w:pPr>
        <w:pStyle w:val="380"/>
        <w:keepNext w:val="0"/>
        <w:keepLines w:val="0"/>
        <w:widowControl w:val="0"/>
        <w:shd w:val="clear" w:color="auto" w:fill="auto"/>
        <w:tabs>
          <w:tab w:val="left" w:pos="601"/>
        </w:tabs>
        <w:bidi w:val="0"/>
        <w:spacing w:before="0" w:after="0" w:line="360" w:lineRule="auto"/>
        <w:ind w:left="0" w:right="0" w:firstLine="300"/>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bookmarkStart w:id="100" w:name="bookmark107"/>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1</w:t>
      </w:r>
      <w:bookmarkEnd w:id="100"/>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、做好设备空负荷运行调试前准备工作.</w:t>
      </w:r>
    </w:p>
    <w:p>
      <w:pPr>
        <w:pStyle w:val="380"/>
        <w:keepNext w:val="0"/>
        <w:keepLines w:val="0"/>
        <w:widowControl w:val="0"/>
        <w:numPr>
          <w:ilvl w:val="0"/>
          <w:numId w:val="0"/>
        </w:numPr>
        <w:shd w:val="clear" w:color="auto" w:fill="auto"/>
        <w:tabs>
          <w:tab w:val="left" w:pos="615"/>
        </w:tabs>
        <w:bidi w:val="0"/>
        <w:spacing w:before="0" w:after="0" w:line="360" w:lineRule="auto"/>
        <w:ind w:left="300" w:leftChars="0" w:right="0" w:rightChars="0"/>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bookmarkStart w:id="101" w:name="bookmark108"/>
      <w:bookmarkEnd w:id="101"/>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2、按下列步骤进行调试：</w:t>
      </w:r>
    </w:p>
    <w:p>
      <w:pPr>
        <w:pStyle w:val="380"/>
        <w:keepNext w:val="0"/>
        <w:keepLines w:val="0"/>
        <w:widowControl w:val="0"/>
        <w:shd w:val="clear" w:color="auto" w:fill="auto"/>
        <w:bidi w:val="0"/>
        <w:spacing w:before="0" w:after="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⑴、调整清灰控制器・确保电磁脉冲阀动作顺序正确，清灰各单元顺序正确，</w:t>
      </w:r>
    </w:p>
    <w:p>
      <w:pPr>
        <w:pStyle w:val="380"/>
        <w:keepNext w:val="0"/>
        <w:keepLines w:val="0"/>
        <w:widowControl w:val="0"/>
        <w:shd w:val="clear" w:color="auto" w:fill="auto"/>
        <w:bidi w:val="0"/>
        <w:spacing w:before="0" w:after="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⑵、检查电磁脉冲阀和电控部分伏数</w:t>
      </w:r>
      <w:r>
        <w:rPr>
          <w:rFonts w:hint="eastAsia" w:asciiTheme="minorEastAsia" w:hAnsiTheme="minorEastAsia" w:eastAsiaTheme="minorEastAsia" w:cstheme="minorEastAsia"/>
          <w:b w:val="0"/>
          <w:bCs w:val="0"/>
          <w:color w:val="auto"/>
          <w:kern w:val="2"/>
          <w:sz w:val="21"/>
          <w:szCs w:val="21"/>
          <w:highlight w:val="none"/>
          <w:u w:val="none"/>
          <w:shd w:val="clear"/>
          <w:lang w:val="en-US" w:eastAsia="en-US" w:bidi="ar-SA"/>
        </w:rPr>
        <w:t>&lt;24V</w:t>
      </w: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或</w:t>
      </w:r>
      <w:r>
        <w:rPr>
          <w:rFonts w:hint="eastAsia" w:asciiTheme="minorEastAsia" w:hAnsiTheme="minorEastAsia" w:eastAsiaTheme="minorEastAsia" w:cstheme="minorEastAsia"/>
          <w:b w:val="0"/>
          <w:bCs w:val="0"/>
          <w:color w:val="auto"/>
          <w:kern w:val="2"/>
          <w:sz w:val="21"/>
          <w:szCs w:val="21"/>
          <w:highlight w:val="none"/>
          <w:u w:val="none"/>
          <w:shd w:val="clear"/>
          <w:lang w:val="en-US" w:eastAsia="en-US" w:bidi="ar-SA"/>
        </w:rPr>
        <w:t>220V）.</w:t>
      </w:r>
    </w:p>
    <w:p>
      <w:pPr>
        <w:pStyle w:val="380"/>
        <w:keepNext w:val="0"/>
        <w:keepLines w:val="0"/>
        <w:widowControl w:val="0"/>
        <w:shd w:val="clear" w:color="auto" w:fill="auto"/>
        <w:tabs>
          <w:tab w:val="left" w:pos="637"/>
        </w:tabs>
        <w:bidi w:val="0"/>
        <w:spacing w:before="0" w:after="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⑶、检查设备上密封件有无松动或脱落</w:t>
      </w:r>
    </w:p>
    <w:p>
      <w:pPr>
        <w:pStyle w:val="380"/>
        <w:keepNext w:val="0"/>
        <w:keepLines w:val="0"/>
        <w:widowControl w:val="0"/>
        <w:shd w:val="clear" w:color="auto" w:fill="auto"/>
        <w:tabs>
          <w:tab w:val="left" w:pos="637"/>
        </w:tabs>
        <w:bidi w:val="0"/>
        <w:spacing w:before="0" w:after="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⑷、喷吹用压缩空气压力应保持在5〜</w:t>
      </w:r>
      <w:r>
        <w:rPr>
          <w:rFonts w:hint="eastAsia" w:asciiTheme="minorEastAsia" w:hAnsiTheme="minorEastAsia" w:eastAsiaTheme="minorEastAsia" w:cstheme="minorEastAsia"/>
          <w:b w:val="0"/>
          <w:bCs w:val="0"/>
          <w:color w:val="auto"/>
          <w:kern w:val="2"/>
          <w:sz w:val="21"/>
          <w:szCs w:val="21"/>
          <w:highlight w:val="none"/>
          <w:u w:val="none"/>
          <w:shd w:val="clear"/>
          <w:lang w:val="en-US" w:eastAsia="en-US" w:bidi="ar-SA"/>
        </w:rPr>
        <w:t>6kg/CM2 .</w:t>
      </w:r>
    </w:p>
    <w:p>
      <w:pPr>
        <w:pStyle w:val="380"/>
        <w:keepNext w:val="0"/>
        <w:keepLines w:val="0"/>
        <w:widowControl w:val="0"/>
        <w:shd w:val="clear" w:color="auto" w:fill="auto"/>
        <w:bidi w:val="0"/>
        <w:spacing w:before="0" w:after="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⑸、检查设备上电机及机械传动部分运转是否正常</w:t>
      </w:r>
    </w:p>
    <w:p>
      <w:pPr>
        <w:pStyle w:val="380"/>
        <w:keepNext w:val="0"/>
        <w:keepLines w:val="0"/>
        <w:widowControl w:val="0"/>
        <w:shd w:val="clear" w:color="auto" w:fill="auto"/>
        <w:bidi w:val="0"/>
        <w:spacing w:before="0" w:after="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⑹、检查设备上袋笼和滤袋安装是否牢固，</w:t>
      </w:r>
    </w:p>
    <w:p>
      <w:pPr>
        <w:pStyle w:val="380"/>
        <w:keepNext w:val="0"/>
        <w:keepLines w:val="0"/>
        <w:widowControl w:val="0"/>
        <w:shd w:val="clear" w:color="auto" w:fill="auto"/>
        <w:tabs>
          <w:tab w:val="left" w:pos="637"/>
        </w:tabs>
        <w:bidi w:val="0"/>
        <w:spacing w:before="0" w:after="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⑺、进行设备空负荷运行</w:t>
      </w:r>
      <w:r>
        <w:rPr>
          <w:rFonts w:hint="eastAsia" w:asciiTheme="minorEastAsia" w:hAnsiTheme="minorEastAsia" w:eastAsiaTheme="minorEastAsia" w:cstheme="minorEastAsia"/>
          <w:b w:val="0"/>
          <w:bCs w:val="0"/>
          <w:color w:val="auto"/>
          <w:kern w:val="2"/>
          <w:sz w:val="21"/>
          <w:szCs w:val="21"/>
          <w:highlight w:val="none"/>
          <w:u w:val="none"/>
          <w:shd w:val="clear"/>
          <w:lang w:val="zh-CN" w:eastAsia="zh-CN" w:bidi="ar-SA"/>
        </w:rPr>
        <w:t>调试.</w:t>
      </w: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要求各部分运转正常</w:t>
      </w:r>
    </w:p>
    <w:p>
      <w:pPr>
        <w:pStyle w:val="380"/>
        <w:keepNext w:val="0"/>
        <w:keepLines w:val="0"/>
        <w:widowControl w:val="0"/>
        <w:shd w:val="clear" w:color="auto" w:fill="auto"/>
        <w:tabs>
          <w:tab w:val="left" w:pos="538"/>
        </w:tabs>
        <w:bidi w:val="0"/>
        <w:spacing w:before="0" w:after="16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⑻、进行设备带负荷运行调试要求各部分运转正常，并根据设备运行阻力的变化调整清灰周期 ，阻值法或定时法）。</w:t>
      </w:r>
    </w:p>
    <w:p>
      <w:pPr>
        <w:pStyle w:val="387"/>
        <w:keepNext/>
        <w:keepLines/>
        <w:widowControl w:val="0"/>
        <w:numPr>
          <w:ilvl w:val="0"/>
          <w:numId w:val="0"/>
        </w:numPr>
        <w:shd w:val="clear" w:color="auto" w:fill="auto"/>
        <w:bidi w:val="0"/>
        <w:spacing w:before="0" w:after="160" w:line="360" w:lineRule="auto"/>
        <w:ind w:leftChars="0" w:right="0" w:rightChars="0"/>
        <w:jc w:val="both"/>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02" w:name="bookmark115"/>
      <w:bookmarkStart w:id="103" w:name="bookmark118"/>
      <w:bookmarkStart w:id="104" w:name="bookmark116"/>
      <w:r>
        <w:rPr>
          <w:rFonts w:hint="eastAsia" w:ascii="仿宋" w:hAnsi="仿宋" w:eastAsia="仿宋" w:cs="仿宋"/>
          <w:b/>
          <w:bCs/>
          <w:color w:val="auto"/>
          <w:spacing w:val="0"/>
          <w:w w:val="100"/>
          <w:position w:val="0"/>
          <w:sz w:val="21"/>
          <w:szCs w:val="21"/>
          <w:highlight w:val="none"/>
          <w:lang w:val="en-US" w:eastAsia="zh-CN"/>
        </w:rPr>
        <w:t>二、</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操作规程</w:t>
      </w:r>
      <w:bookmarkEnd w:id="102"/>
      <w:bookmarkEnd w:id="103"/>
      <w:bookmarkEnd w:id="104"/>
    </w:p>
    <w:p>
      <w:pPr>
        <w:pStyle w:val="380"/>
        <w:keepNext w:val="0"/>
        <w:keepLines w:val="0"/>
        <w:widowControl w:val="0"/>
        <w:shd w:val="clear" w:color="auto" w:fill="auto"/>
        <w:bidi w:val="0"/>
        <w:spacing w:before="0" w:after="0" w:line="360" w:lineRule="auto"/>
        <w:ind w:left="0" w:right="0" w:firstLine="360"/>
        <w:jc w:val="both"/>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en-US" w:bidi="ar-SA"/>
        </w:rPr>
        <w:t>（</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en-US" w:bidi="ar-SA"/>
        </w:rPr>
        <w:t>）</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就地操作</w:t>
      </w:r>
    </w:p>
    <w:p>
      <w:pPr>
        <w:pStyle w:val="380"/>
        <w:keepNext w:val="0"/>
        <w:keepLines w:val="0"/>
        <w:widowControl w:val="0"/>
        <w:shd w:val="clear" w:color="auto" w:fill="auto"/>
        <w:bidi w:val="0"/>
        <w:spacing w:before="0" w:after="0" w:line="360" w:lineRule="auto"/>
        <w:ind w:left="0" w:right="0" w:firstLine="300"/>
        <w:jc w:val="both"/>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合上电源开关</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en-US" w:bidi="ar-SA"/>
        </w:rPr>
        <w:t>QF</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，电源指示灯亮.将就地远程切换开关切换至就地位置（即将切换开关左旋</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到底〉，</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 xml:space="preserve"> 按风机启动钮.风机启动运行.观察风机转向是否正确.待风机转向正常后.即可投入正常除尘工作，过一 段时间如需清灰和出灰，如带空压机的先开空压机后</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清灰〉</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.则按</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“清灰</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启动”钮，脉冲阀分别打开清 灰.螺旋机、排灰阀也同时工作.如需结束清灰工作，则按</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“清灰</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停止”钮.若最终停止除尘工作，则按“ 风机停止”钮即可。</w:t>
      </w:r>
    </w:p>
    <w:p>
      <w:pPr>
        <w:pStyle w:val="380"/>
        <w:keepNext w:val="0"/>
        <w:keepLines w:val="0"/>
        <w:widowControl w:val="0"/>
        <w:shd w:val="clear" w:color="auto" w:fill="auto"/>
        <w:bidi w:val="0"/>
        <w:spacing w:before="0" w:after="0" w:line="360" w:lineRule="auto"/>
        <w:ind w:left="0" w:right="0" w:firstLine="360"/>
        <w:jc w:val="both"/>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（二）远程控制</w:t>
      </w:r>
    </w:p>
    <w:p>
      <w:pPr>
        <w:pStyle w:val="380"/>
        <w:keepNext w:val="0"/>
        <w:keepLines w:val="0"/>
        <w:widowControl w:val="0"/>
        <w:shd w:val="clear" w:color="auto" w:fill="auto"/>
        <w:bidi w:val="0"/>
        <w:spacing w:before="0" w:after="0" w:line="360" w:lineRule="auto"/>
        <w:ind w:left="0" w:right="0" w:firstLine="300"/>
        <w:jc w:val="both"/>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将就地远程切换开关切换至程控位置 &lt; 即将切换开关右旋到底 &gt; ，远程启动机组短干接点</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en-US" w:bidi="ar-SA"/>
        </w:rPr>
        <w:t>HJ</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送达. 风机运行（如带空</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压机.</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空压机同时运行）.只要风机转向正确，即可投入正常除尘，此时实行定时清灰控 制.即除尘运行一段时间（约1 2小时可调），清灰控制自动</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投入.</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投入后螺旋机' 排灰阀都自动工作（约2分钟可调）.工作一段时</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间后.</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自动停止清灰.然后再进入下•一个自动除尘、</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清灰，</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排灰的</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 xml:space="preserve">循环. </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直到远程停止机组短干接点</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en-US" w:bidi="ar-SA"/>
        </w:rPr>
        <w:t>TJ</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送达.机组停止</w:t>
      </w:r>
    </w:p>
    <w:p>
      <w:pPr>
        <w:pStyle w:val="387"/>
        <w:keepNext/>
        <w:keepLines/>
        <w:widowControl w:val="0"/>
        <w:numPr>
          <w:ilvl w:val="0"/>
          <w:numId w:val="0"/>
        </w:numPr>
        <w:shd w:val="clear" w:color="auto" w:fill="auto"/>
        <w:tabs>
          <w:tab w:val="left" w:pos="423"/>
        </w:tabs>
        <w:bidi w:val="0"/>
        <w:spacing w:before="0" w:after="180" w:line="360" w:lineRule="auto"/>
        <w:ind w:leftChars="0" w:right="0" w:rightChars="0"/>
        <w:jc w:val="both"/>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05" w:name="bookmark122"/>
      <w:bookmarkStart w:id="106" w:name="bookmark119"/>
      <w:bookmarkStart w:id="107" w:name="bookmark120"/>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三、注意事项</w:t>
      </w:r>
      <w:bookmarkEnd w:id="105"/>
      <w:bookmarkEnd w:id="106"/>
      <w:bookmarkEnd w:id="107"/>
    </w:p>
    <w:p>
      <w:pPr>
        <w:pStyle w:val="380"/>
        <w:keepNext w:val="0"/>
        <w:keepLines w:val="0"/>
        <w:widowControl w:val="0"/>
        <w:shd w:val="clear" w:color="auto" w:fill="auto"/>
        <w:bidi w:val="0"/>
        <w:spacing w:before="0" w:after="80" w:line="360" w:lineRule="auto"/>
        <w:ind w:left="0" w:right="0" w:firstLine="26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1、除尘器机组实现在线清灰控制：</w:t>
      </w:r>
    </w:p>
    <w:p>
      <w:pPr>
        <w:pStyle w:val="380"/>
        <w:keepNext w:val="0"/>
        <w:keepLines w:val="0"/>
        <w:widowControl w:val="0"/>
        <w:numPr>
          <w:ilvl w:val="0"/>
          <w:numId w:val="0"/>
        </w:numPr>
        <w:shd w:val="clear" w:color="auto" w:fill="auto"/>
        <w:tabs>
          <w:tab w:val="left" w:pos="582"/>
        </w:tabs>
        <w:bidi w:val="0"/>
        <w:spacing w:before="0" w:after="320" w:line="360" w:lineRule="auto"/>
        <w:ind w:left="260" w:leftChars="0" w:right="0" w:rightChars="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08" w:name="bookmark123"/>
      <w:bookmarkEnd w:id="108"/>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2、机组定时清灰间隔时间和在线清灰的时间由时间继电器</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〈可</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调）自动执行清灰前要注意打开空压机和设备气包上阀门，要有气源和压力</w:t>
      </w:r>
    </w:p>
    <w:p>
      <w:pPr>
        <w:pStyle w:val="387"/>
        <w:keepNext/>
        <w:keepLines/>
        <w:widowControl w:val="0"/>
        <w:numPr>
          <w:ilvl w:val="0"/>
          <w:numId w:val="0"/>
        </w:numPr>
        <w:shd w:val="clear" w:color="auto" w:fill="auto"/>
        <w:tabs>
          <w:tab w:val="left" w:pos="423"/>
        </w:tabs>
        <w:bidi w:val="0"/>
        <w:spacing w:before="0" w:after="180" w:line="360" w:lineRule="auto"/>
        <w:ind w:leftChars="0" w:right="0" w:rightChars="0"/>
        <w:jc w:val="both"/>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09" w:name="bookmark127"/>
      <w:bookmarkEnd w:id="109"/>
      <w:bookmarkStart w:id="110" w:name="bookmark126"/>
      <w:bookmarkStart w:id="111" w:name="bookmark128"/>
      <w:bookmarkStart w:id="112" w:name="bookmark125"/>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四、维护保养</w:t>
      </w:r>
      <w:bookmarkEnd w:id="110"/>
      <w:bookmarkEnd w:id="111"/>
      <w:bookmarkEnd w:id="112"/>
    </w:p>
    <w:p>
      <w:pPr>
        <w:pStyle w:val="380"/>
        <w:keepNext w:val="0"/>
        <w:keepLines w:val="0"/>
        <w:widowControl w:val="0"/>
        <w:numPr>
          <w:ilvl w:val="0"/>
          <w:numId w:val="0"/>
        </w:numPr>
        <w:shd w:val="clear" w:color="auto" w:fill="auto"/>
        <w:tabs>
          <w:tab w:val="left" w:pos="568"/>
        </w:tabs>
        <w:bidi w:val="0"/>
        <w:spacing w:before="0" w:after="80" w:line="360" w:lineRule="auto"/>
        <w:ind w:left="260" w:leftChars="0" w:right="0" w:rightChars="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13" w:name="bookmark129"/>
      <w:bookmarkEnd w:id="113"/>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1、根据除尘机组的吸尘量确定定期排灰维护保养时间</w:t>
      </w:r>
    </w:p>
    <w:p>
      <w:pPr>
        <w:pStyle w:val="380"/>
        <w:keepNext w:val="0"/>
        <w:keepLines w:val="0"/>
        <w:widowControl w:val="0"/>
        <w:numPr>
          <w:ilvl w:val="0"/>
          <w:numId w:val="0"/>
        </w:numPr>
        <w:shd w:val="clear" w:color="auto" w:fill="auto"/>
        <w:tabs>
          <w:tab w:val="left" w:pos="582"/>
        </w:tabs>
        <w:bidi w:val="0"/>
        <w:spacing w:before="0" w:after="80" w:line="360" w:lineRule="auto"/>
        <w:ind w:left="260" w:leftChars="0" w:right="0" w:rightChars="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14" w:name="bookmark130"/>
      <w:bookmarkEnd w:id="114"/>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2、根据空气气包的积水情况确定定期排放积水</w:t>
      </w:r>
    </w:p>
    <w:p>
      <w:pPr>
        <w:pStyle w:val="380"/>
        <w:keepNext w:val="0"/>
        <w:keepLines w:val="0"/>
        <w:widowControl w:val="0"/>
        <w:shd w:val="clear" w:color="auto" w:fill="auto"/>
        <w:bidi w:val="0"/>
        <w:spacing w:before="0" w:after="80" w:line="360" w:lineRule="auto"/>
        <w:ind w:left="0" w:right="0" w:firstLine="26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 xml:space="preserve">3 </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en-US" w:bidi="ar-SA"/>
        </w:rPr>
        <w:t>.</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经常检查除尘器脉冲清灰系统是否正常工作.如不正常，则着重检查脉冲阀膜片损失，电磁脉冲阀有否失灵.并及时更换滤袋应及时清洗，定时更换</w:t>
      </w:r>
    </w:p>
    <w:p>
      <w:pPr>
        <w:pStyle w:val="380"/>
        <w:keepNext w:val="0"/>
        <w:keepLines w:val="0"/>
        <w:widowControl w:val="0"/>
        <w:numPr>
          <w:ilvl w:val="0"/>
          <w:numId w:val="0"/>
        </w:numPr>
        <w:shd w:val="clear" w:color="auto" w:fill="auto"/>
        <w:tabs>
          <w:tab w:val="left" w:pos="582"/>
        </w:tabs>
        <w:bidi w:val="0"/>
        <w:spacing w:before="0" w:after="80" w:line="360" w:lineRule="auto"/>
        <w:ind w:left="260" w:leftChars="0" w:right="0" w:rightChars="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15" w:name="bookmark131"/>
      <w:bookmarkEnd w:id="115"/>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4、根据设备阻力变化波动定期检查设备运行是否正常</w:t>
      </w:r>
    </w:p>
    <w:p>
      <w:pPr>
        <w:pStyle w:val="380"/>
        <w:keepNext w:val="0"/>
        <w:keepLines w:val="0"/>
        <w:widowControl w:val="0"/>
        <w:numPr>
          <w:ilvl w:val="0"/>
          <w:numId w:val="0"/>
        </w:numPr>
        <w:shd w:val="clear" w:color="auto" w:fill="auto"/>
        <w:tabs>
          <w:tab w:val="left" w:pos="582"/>
        </w:tabs>
        <w:bidi w:val="0"/>
        <w:spacing w:before="0" w:after="80" w:line="360" w:lineRule="auto"/>
        <w:ind w:left="260" w:leftChars="0" w:right="0" w:rightChars="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16" w:name="bookmark132"/>
      <w:bookmarkEnd w:id="116"/>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5、根据易损件清单经常检查易损件使用情况</w:t>
      </w:r>
    </w:p>
    <w:p>
      <w:pPr>
        <w:pStyle w:val="380"/>
        <w:keepNext w:val="0"/>
        <w:keepLines w:val="0"/>
        <w:widowControl w:val="0"/>
        <w:numPr>
          <w:ilvl w:val="0"/>
          <w:numId w:val="0"/>
        </w:numPr>
        <w:shd w:val="clear" w:color="auto" w:fill="auto"/>
        <w:tabs>
          <w:tab w:val="left" w:pos="582"/>
        </w:tabs>
        <w:bidi w:val="0"/>
        <w:spacing w:before="0" w:after="80" w:line="360" w:lineRule="auto"/>
        <w:ind w:left="260" w:leftChars="0" w:right="0" w:rightChars="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17" w:name="bookmark133"/>
      <w:bookmarkEnd w:id="117"/>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6、</w:t>
      </w:r>
      <w:bookmarkStart w:id="118" w:name="bookmark134"/>
      <w:bookmarkEnd w:id="118"/>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注重检查电控箱的密封程度是否</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完好.</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防止进水进尘.经常清理电控箱内积尘。</w:t>
      </w:r>
    </w:p>
    <w:p>
      <w:pPr>
        <w:spacing w:line="520" w:lineRule="exact"/>
        <w:ind w:firstLine="422" w:firstLineChars="200"/>
        <w:jc w:val="left"/>
        <w:outlineLvl w:val="3"/>
        <w:rPr>
          <w:rFonts w:hint="default"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3.9高压除臭喷雾维保</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设备检查：检查设备的外观，确认设备无损坏和松动现象。检查电源线、管路连接是否稳固。检查设备的冷却系统是否正常运行。</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电气系统检查：检查电气系统的接线是否正确，各电器元件是否正常工作。检查控制面板上的开关、按钮、指示灯等是否正常。</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喷雾系统检查：检查喷雾系统的喷嘴是否正常工作，喷嘴是否堵塞。检查喷雾系统的供水管路、过滤器等是否正常工作。</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高压泵检查：检查高压泵的工作情况，确认泵是否正常运转。检查泵的压力、流量是否在设定范围内。</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压力传感器检查：检查压力传感器的安装是否正确，传感器是否损坏或松动，传感器与设备的连接是否稳固。</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清洁维护：定期清洁设备的内部和外部，清除积尘和杂物。清洗喷嘴、管路和过滤器，保持其畅通性和工作效果</w:t>
      </w:r>
      <w:r>
        <w:rPr>
          <w:rFonts w:hint="eastAsia" w:asciiTheme="minorEastAsia" w:hAnsiTheme="minorEastAsia" w:cstheme="minorEastAsia"/>
          <w:b w:val="0"/>
          <w:bCs w:val="0"/>
          <w:color w:val="auto"/>
          <w:sz w:val="21"/>
          <w:szCs w:val="21"/>
          <w:highlight w:val="none"/>
          <w:lang w:val="en-US" w:eastAsia="zh-CN"/>
        </w:rPr>
        <w:t>。</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保养记录：对设备的维护和检修进行详细记录，包括日期、维护内容、维修人员等信息。及时记录设备的故障和异常情况。</w:t>
      </w:r>
    </w:p>
    <w:p>
      <w:pPr>
        <w:spacing w:line="520" w:lineRule="exact"/>
        <w:ind w:firstLine="422" w:firstLineChars="200"/>
        <w:jc w:val="left"/>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3.10压滤机维保</w:t>
      </w:r>
    </w:p>
    <w:p>
      <w:pPr>
        <w:spacing w:line="520" w:lineRule="exact"/>
        <w:ind w:firstLine="422" w:firstLineChars="200"/>
        <w:jc w:val="left"/>
        <w:outlineLvl w:val="3"/>
        <w:rPr>
          <w:rFonts w:hint="default"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3.10.1</w:t>
      </w:r>
      <w:r>
        <w:rPr>
          <w:rFonts w:hint="default" w:asciiTheme="minorEastAsia" w:hAnsiTheme="minorEastAsia" w:cstheme="minorEastAsia"/>
          <w:b/>
          <w:bCs/>
          <w:color w:val="auto"/>
          <w:sz w:val="21"/>
          <w:szCs w:val="21"/>
          <w:highlight w:val="none"/>
          <w:lang w:val="en-US" w:eastAsia="zh-CN"/>
        </w:rPr>
        <w:t>维护时的安全事项</w:t>
      </w:r>
    </w:p>
    <w:p>
      <w:pPr>
        <w:spacing w:line="520" w:lineRule="exact"/>
        <w:ind w:firstLine="420" w:firstLineChars="200"/>
        <w:jc w:val="left"/>
        <w:outlineLvl w:val="3"/>
        <w:rPr>
          <w:rFonts w:hint="default" w:asciiTheme="minorHAnsi" w:hAnsiTheme="minorHAnsi" w:eastAsiaTheme="minorEastAsia" w:cstheme="minorBidi"/>
          <w:color w:val="auto"/>
          <w:kern w:val="2"/>
          <w:sz w:val="21"/>
          <w:szCs w:val="24"/>
          <w:highlight w:val="none"/>
          <w:lang w:val="en-US" w:eastAsia="zh-CN" w:bidi="ar-SA"/>
        </w:rPr>
      </w:pPr>
      <w:r>
        <w:rPr>
          <w:rFonts w:hint="default" w:asciiTheme="minorEastAsia" w:hAnsiTheme="minorEastAsia" w:cstheme="minorEastAsia"/>
          <w:b w:val="0"/>
          <w:bCs w:val="0"/>
          <w:color w:val="auto"/>
          <w:sz w:val="21"/>
          <w:szCs w:val="21"/>
          <w:highlight w:val="none"/>
          <w:lang w:val="en-US" w:eastAsia="zh-CN"/>
        </w:rPr>
        <w:t>1）必须按次序和规定的数量放置滤板，禁止在少于规定数量滤板的情况下开机操作，以防止造成事故</w:t>
      </w:r>
      <w:r>
        <w:rPr>
          <w:rFonts w:hint="eastAsia" w:asciiTheme="minorEastAsia" w:hAnsiTheme="minorEastAsia" w:cstheme="minorEastAsia"/>
          <w:b w:val="0"/>
          <w:bCs w:val="0"/>
          <w:color w:val="auto"/>
          <w:sz w:val="21"/>
          <w:szCs w:val="21"/>
          <w:highlight w:val="none"/>
          <w:lang w:val="en-US" w:eastAsia="zh-CN"/>
        </w:rPr>
        <w:t>。</w:t>
      </w:r>
    </w:p>
    <w:p>
      <w:pPr>
        <w:spacing w:line="520" w:lineRule="exact"/>
        <w:jc w:val="left"/>
        <w:outlineLvl w:val="3"/>
        <w:rPr>
          <w:rFonts w:hint="default" w:asciiTheme="minorEastAsia" w:hAnsiTheme="minorEastAsia" w:cstheme="minorEastAsia"/>
          <w:b w:val="0"/>
          <w:bCs w:val="0"/>
          <w:color w:val="auto"/>
          <w:sz w:val="21"/>
          <w:szCs w:val="21"/>
          <w:highlight w:val="none"/>
          <w:lang w:val="en-US" w:eastAsia="zh-CN"/>
        </w:rPr>
      </w:pPr>
      <w:r>
        <w:rPr>
          <w:rFonts w:hint="eastAsia"/>
          <w:color w:val="auto"/>
          <w:highlight w:val="none"/>
          <w:lang w:val="en-US" w:eastAsia="zh-CN"/>
        </w:rPr>
        <w:tab/>
      </w:r>
      <w:r>
        <w:rPr>
          <w:rFonts w:hint="default" w:asciiTheme="minorEastAsia" w:hAnsiTheme="minorEastAsia" w:cstheme="minorEastAsia"/>
          <w:b w:val="0"/>
          <w:bCs w:val="0"/>
          <w:color w:val="auto"/>
          <w:sz w:val="21"/>
          <w:szCs w:val="21"/>
          <w:highlight w:val="none"/>
          <w:lang w:val="en-US" w:eastAsia="zh-CN"/>
        </w:rPr>
        <w:t>2）油缸的压力不得超过额定值，否则将损坏压滤机的有关机件。</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3）滤液、洗液和压缩空气的阀门，必须按操作程序启用，不得同时开启。</w:t>
      </w:r>
    </w:p>
    <w:p>
      <w:pPr>
        <w:spacing w:line="520" w:lineRule="exact"/>
        <w:ind w:firstLine="420" w:firstLineChars="200"/>
        <w:jc w:val="left"/>
        <w:outlineLvl w:val="3"/>
        <w:rPr>
          <w:rFonts w:hint="default" w:asciiTheme="minorHAnsi" w:hAnsiTheme="minorHAnsi" w:eastAsiaTheme="minorEastAsia" w:cstheme="minorBidi"/>
          <w:color w:val="auto"/>
          <w:kern w:val="2"/>
          <w:sz w:val="21"/>
          <w:szCs w:val="24"/>
          <w:highlight w:val="none"/>
          <w:lang w:val="en-US" w:eastAsia="zh-CN" w:bidi="ar-SA"/>
        </w:rPr>
      </w:pPr>
      <w:r>
        <w:rPr>
          <w:rFonts w:hint="default" w:asciiTheme="minorEastAsia" w:hAnsiTheme="minorEastAsia" w:cstheme="minorEastAsia"/>
          <w:b w:val="0"/>
          <w:bCs w:val="0"/>
          <w:color w:val="auto"/>
          <w:sz w:val="21"/>
          <w:szCs w:val="21"/>
          <w:highlight w:val="none"/>
          <w:lang w:val="en-US" w:eastAsia="zh-CN"/>
        </w:rPr>
        <w:t>4）过滤和压榨压力须按铭牌所示压力进行严格控制，严禁随意提高压力，如工艺需要及时与供应商联系</w:t>
      </w:r>
      <w:r>
        <w:rPr>
          <w:rFonts w:hint="eastAsia" w:asciiTheme="minorEastAsia" w:hAnsiTheme="minorEastAsia" w:cstheme="minorEastAsia"/>
          <w:b w:val="0"/>
          <w:bCs w:val="0"/>
          <w:color w:val="auto"/>
          <w:sz w:val="21"/>
          <w:szCs w:val="21"/>
          <w:highlight w:val="none"/>
          <w:lang w:val="en-US" w:eastAsia="zh-CN"/>
        </w:rPr>
        <w:t>。</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5）液压元件及电气元件不可随意调动或更换，否则可能造成人身危害。</w:t>
      </w:r>
    </w:p>
    <w:p>
      <w:pPr>
        <w:spacing w:line="520" w:lineRule="exact"/>
        <w:ind w:firstLine="420" w:firstLineChars="200"/>
        <w:jc w:val="left"/>
        <w:outlineLvl w:val="3"/>
        <w:rPr>
          <w:rFonts w:hint="default"/>
          <w:color w:val="auto"/>
          <w:highlight w:val="none"/>
          <w:lang w:val="en-US" w:eastAsia="zh-CN"/>
        </w:rPr>
      </w:pPr>
      <w:r>
        <w:rPr>
          <w:rFonts w:hint="default" w:asciiTheme="minorEastAsia" w:hAnsiTheme="minorEastAsia" w:cstheme="minorEastAsia"/>
          <w:b w:val="0"/>
          <w:bCs w:val="0"/>
          <w:color w:val="auto"/>
          <w:sz w:val="21"/>
          <w:szCs w:val="21"/>
          <w:highlight w:val="none"/>
          <w:lang w:val="en-US" w:eastAsia="zh-CN"/>
        </w:rPr>
        <w:t>6）工作结束后，要关闭开关，切断电源；液压管路要安全卸荷；以保证安全。</w:t>
      </w:r>
    </w:p>
    <w:p>
      <w:pPr>
        <w:spacing w:line="520" w:lineRule="exact"/>
        <w:ind w:firstLine="420" w:firstLineChars="200"/>
        <w:jc w:val="left"/>
        <w:outlineLvl w:val="3"/>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EastAsia" w:hAnsiTheme="minorEastAsia" w:cstheme="minorEastAsia"/>
          <w:b w:val="0"/>
          <w:bCs w:val="0"/>
          <w:color w:val="auto"/>
          <w:sz w:val="21"/>
          <w:szCs w:val="21"/>
          <w:highlight w:val="none"/>
          <w:lang w:val="en-US" w:eastAsia="zh-CN"/>
        </w:rPr>
        <w:t>3</w:t>
      </w:r>
      <w:r>
        <w:rPr>
          <w:rFonts w:hint="default" w:asciiTheme="minorEastAsia" w:hAnsiTheme="minorEastAsia" w:cstheme="minorEastAsia"/>
          <w:b w:val="0"/>
          <w:bCs w:val="0"/>
          <w:color w:val="auto"/>
          <w:sz w:val="21"/>
          <w:szCs w:val="21"/>
          <w:highlight w:val="none"/>
          <w:lang w:val="en-US" w:eastAsia="zh-CN"/>
        </w:rPr>
        <w:t>.</w:t>
      </w:r>
      <w:r>
        <w:rPr>
          <w:rFonts w:hint="eastAsia" w:asciiTheme="minorEastAsia" w:hAnsiTheme="minorEastAsia" w:cstheme="minorEastAsia"/>
          <w:b w:val="0"/>
          <w:bCs w:val="0"/>
          <w:color w:val="auto"/>
          <w:sz w:val="21"/>
          <w:szCs w:val="21"/>
          <w:highlight w:val="none"/>
          <w:lang w:val="en-US" w:eastAsia="zh-CN"/>
        </w:rPr>
        <w:t>10.2</w:t>
      </w:r>
      <w:r>
        <w:rPr>
          <w:rFonts w:hint="default" w:asciiTheme="minorEastAsia" w:hAnsiTheme="minorEastAsia" w:cstheme="minorEastAsia"/>
          <w:b w:val="0"/>
          <w:bCs w:val="0"/>
          <w:color w:val="auto"/>
          <w:sz w:val="21"/>
          <w:szCs w:val="21"/>
          <w:highlight w:val="none"/>
          <w:lang w:val="en-US" w:eastAsia="zh-CN"/>
        </w:rPr>
        <w:t xml:space="preserve"> 日常维护、定期检查</w:t>
      </w:r>
    </w:p>
    <w:p>
      <w:pPr>
        <w:spacing w:line="520" w:lineRule="exact"/>
        <w:jc w:val="left"/>
        <w:outlineLvl w:val="3"/>
        <w:rPr>
          <w:rFonts w:hint="default"/>
          <w:b/>
          <w:bCs/>
          <w:color w:val="auto"/>
          <w:highlight w:val="none"/>
          <w:lang w:val="en-US" w:eastAsia="zh-CN"/>
        </w:rPr>
      </w:pPr>
      <w:r>
        <w:rPr>
          <w:rFonts w:hint="eastAsia"/>
          <w:b/>
          <w:bCs/>
          <w:color w:val="auto"/>
          <w:highlight w:val="none"/>
          <w:lang w:val="en-US" w:eastAsia="zh-CN"/>
        </w:rPr>
        <w:tab/>
      </w:r>
      <w:r>
        <w:rPr>
          <w:rFonts w:hint="eastAsia"/>
          <w:b/>
          <w:bCs/>
          <w:color w:val="auto"/>
          <w:highlight w:val="none"/>
          <w:lang w:val="en-US" w:eastAsia="zh-CN"/>
        </w:rPr>
        <w:t xml:space="preserve">3.10.2 </w:t>
      </w:r>
      <w:r>
        <w:rPr>
          <w:rFonts w:hint="default" w:asciiTheme="minorEastAsia" w:hAnsiTheme="minorEastAsia" w:cstheme="minorEastAsia"/>
          <w:b/>
          <w:bCs/>
          <w:color w:val="auto"/>
          <w:sz w:val="21"/>
          <w:szCs w:val="21"/>
          <w:highlight w:val="none"/>
          <w:lang w:val="en-US" w:eastAsia="zh-CN"/>
        </w:rPr>
        <w:t>日常维护</w:t>
      </w:r>
    </w:p>
    <w:p>
      <w:pPr>
        <w:numPr>
          <w:ilvl w:val="0"/>
          <w:numId w:val="23"/>
        </w:num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 xml:space="preserve">随时仔细检查各连接处是否牢固，各零部件使用是否良好，发现异常情况要及时通知维修人员进行检修。 </w:t>
      </w:r>
    </w:p>
    <w:p>
      <w:pPr>
        <w:numPr>
          <w:ilvl w:val="0"/>
          <w:numId w:val="0"/>
        </w:numPr>
        <w:spacing w:line="520" w:lineRule="exact"/>
        <w:ind w:firstLine="420" w:firstLineChars="200"/>
        <w:jc w:val="left"/>
        <w:outlineLvl w:val="3"/>
        <w:rPr>
          <w:rFonts w:hint="default" w:asciiTheme="minorHAnsi" w:hAnsiTheme="minorHAnsi" w:eastAsiaTheme="minorEastAsia" w:cstheme="minorBidi"/>
          <w:color w:val="auto"/>
          <w:kern w:val="2"/>
          <w:sz w:val="21"/>
          <w:szCs w:val="24"/>
          <w:highlight w:val="none"/>
          <w:lang w:val="en-US" w:eastAsia="zh-CN" w:bidi="ar-SA"/>
        </w:rPr>
      </w:pPr>
      <w:r>
        <w:rPr>
          <w:rFonts w:hint="default" w:asciiTheme="minorEastAsia" w:hAnsiTheme="minorEastAsia" w:cstheme="minorEastAsia"/>
          <w:b w:val="0"/>
          <w:bCs w:val="0"/>
          <w:color w:val="auto"/>
          <w:sz w:val="21"/>
          <w:szCs w:val="21"/>
          <w:highlight w:val="none"/>
          <w:lang w:val="en-US" w:eastAsia="zh-CN"/>
        </w:rPr>
        <w:t>2）对轴承、活塞杆等零件要定期进行检查，使各配合部件保持清洁，润滑性能良好，以保证动作灵活。</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3）对电控系统要定期进行绝缘性和可靠性试验（当执行绝缘电阻试验时，在动力电路导线和保护联结电路  间施加 500Vd.c 时测得的绝缘电阻不应小于 1MΩ. 绝缘电阻试验可以在整台电气设备的单独部件上进行）。 发现由电气元件引起</w:t>
      </w:r>
      <w:r>
        <w:rPr>
          <w:rFonts w:hint="eastAsia" w:asciiTheme="minorEastAsia" w:hAnsiTheme="minorEastAsia" w:cstheme="minorEastAsia"/>
          <w:b w:val="0"/>
          <w:bCs w:val="0"/>
          <w:color w:val="auto"/>
          <w:sz w:val="21"/>
          <w:szCs w:val="21"/>
          <w:highlight w:val="none"/>
          <w:lang w:val="en-US" w:eastAsia="zh-CN"/>
        </w:rPr>
        <w:t>的</w:t>
      </w:r>
      <w:r>
        <w:rPr>
          <w:rFonts w:hint="default" w:asciiTheme="minorEastAsia" w:hAnsiTheme="minorEastAsia" w:cstheme="minorEastAsia"/>
          <w:b w:val="0"/>
          <w:bCs w:val="0"/>
          <w:color w:val="auto"/>
          <w:sz w:val="21"/>
          <w:szCs w:val="21"/>
          <w:highlight w:val="none"/>
          <w:lang w:val="en-US" w:eastAsia="zh-CN"/>
        </w:rPr>
        <w:t>动作准确度差、不灵活等情况，要及时修理或更换电气元件。</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4）对液压系统的保养，主要是对液压元件及各接口处密封性的检查和维护。具体内容详见液压站说明。</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5）要经常检查滤板的密封面，以保证其光洁、干净；压紧前，要对滤布进行仔细检查，保证其无折叠、无 破损、无夹渣，使其平整完好，以保证过滤效果；同时要定期冲洗滤布，保证滤布的过滤性能。</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6）如果长期不使用，应将滤板清洗干净后整齐排放在压滤机的机架上，用 1 至 5MPa 压力压紧。滤布清 洗后晒干；活塞杆的外露部分及集成块应涂上黄油。</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7） 液压油使用“壳牌”液压油（型号：Shell Tellus S2 MX 46） 或“美孚牌”液压油 （型号：MOBIL DTE 25），而且必须保持清洁。新机第一次运行一周时要更换一次液压油，换油时要把油箱和油缸内使用 过的液压油放净并把油箱擦净。继续使用一个月后再更换一次，以后半年更换一次，这样可保证压滤机的正常使用。</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8）每日巡检需检查液压油油位，保持油位在最高位的 3/4 处左右。如有泄漏及时查找原因，并补加液压油。</w:t>
      </w:r>
    </w:p>
    <w:p>
      <w:pPr>
        <w:tabs>
          <w:tab w:val="left" w:pos="894"/>
        </w:tabs>
        <w:bidi w:val="0"/>
        <w:spacing w:line="360" w:lineRule="auto"/>
        <w:ind w:firstLine="422" w:firstLineChars="200"/>
        <w:jc w:val="left"/>
        <w:rPr>
          <w:rFonts w:hint="default"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3.10.3</w:t>
      </w:r>
      <w:r>
        <w:rPr>
          <w:rFonts w:hint="default" w:asciiTheme="minorEastAsia" w:hAnsiTheme="minorEastAsia" w:cstheme="minorEastAsia"/>
          <w:b/>
          <w:bCs/>
          <w:color w:val="auto"/>
          <w:sz w:val="21"/>
          <w:szCs w:val="21"/>
          <w:highlight w:val="none"/>
          <w:lang w:val="en-US" w:eastAsia="zh-CN"/>
        </w:rPr>
        <w:t>常见故障列表</w:t>
      </w:r>
    </w:p>
    <w:tbl>
      <w:tblPr>
        <w:tblStyle w:val="37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07"/>
        <w:gridCol w:w="2037"/>
        <w:gridCol w:w="3293"/>
        <w:gridCol w:w="3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438"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序号</w:t>
            </w:r>
          </w:p>
        </w:tc>
        <w:tc>
          <w:tcPr>
            <w:tcW w:w="1105"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故障现象</w:t>
            </w:r>
          </w:p>
        </w:tc>
        <w:tc>
          <w:tcPr>
            <w:tcW w:w="1786"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产生原因</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排除方法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38" w:type="pct"/>
            <w:vAlign w:val="top"/>
          </w:tcPr>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w:t>
            </w:r>
          </w:p>
        </w:tc>
        <w:tc>
          <w:tcPr>
            <w:tcW w:w="1105" w:type="pct"/>
            <w:vAlign w:val="top"/>
          </w:tcPr>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油压不足</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1、溢流阀损坏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2、油位不够</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3、油泵损坏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4、阀块和接头处泄漏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5、油缸密封圈磨损</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6、阀内漏油</w:t>
            </w:r>
          </w:p>
        </w:tc>
        <w:tc>
          <w:tcPr>
            <w:tcW w:w="1669"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1、维修或更换</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2、加油</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3、更换油泵</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4、拧紧或更换 O 型圈</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5、更换密封圈</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6、调整或更换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jc w:val="center"/>
        </w:trPr>
        <w:tc>
          <w:tcPr>
            <w:tcW w:w="438"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w:t>
            </w:r>
          </w:p>
        </w:tc>
        <w:tc>
          <w:tcPr>
            <w:tcW w:w="1105"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保压不灵</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1、活塞密封圈磨损</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2、油路外泄漏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3、液控单向阀或电磁球阀失灵</w:t>
            </w:r>
          </w:p>
        </w:tc>
        <w:tc>
          <w:tcPr>
            <w:tcW w:w="1669"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1、更换密封圈</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2、检修油路</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3、清洗或更换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atLeast"/>
          <w:jc w:val="center"/>
        </w:trPr>
        <w:tc>
          <w:tcPr>
            <w:tcW w:w="438"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w:t>
            </w:r>
          </w:p>
        </w:tc>
        <w:tc>
          <w:tcPr>
            <w:tcW w:w="1105"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滤板之间漏料</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1、料泵压力流量超高</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2、滤板隔膜板密封面夹有杂物</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3、滤布不平整，有折叠</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4、油压不足</w:t>
            </w:r>
          </w:p>
        </w:tc>
        <w:tc>
          <w:tcPr>
            <w:tcW w:w="1669"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1、重新调整</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2、清理干净</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3、整理滤布</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4、调整油压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6" w:hRule="atLeast"/>
          <w:jc w:val="center"/>
        </w:trPr>
        <w:tc>
          <w:tcPr>
            <w:tcW w:w="438"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w:t>
            </w:r>
          </w:p>
        </w:tc>
        <w:tc>
          <w:tcPr>
            <w:tcW w:w="1105"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滤板破裂</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1、滤布破损</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2、滤饼未充满滤室就进行压榨</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3、进料速度太快</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4、滤板隔膜板进料孔堵塞</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5、出液口堵塞</w:t>
            </w:r>
          </w:p>
        </w:tc>
        <w:tc>
          <w:tcPr>
            <w:tcW w:w="1669"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1、及时更换滤布</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2、滤饼充满滤室后进行压榨</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3、降低进料速度</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4、清理进料孔</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5、清理干净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438"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w:t>
            </w:r>
          </w:p>
        </w:tc>
        <w:tc>
          <w:tcPr>
            <w:tcW w:w="1105"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滤板向上抬起</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1、安装基础不准</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2、滤板下部除渣不净</w:t>
            </w:r>
          </w:p>
        </w:tc>
        <w:tc>
          <w:tcPr>
            <w:tcW w:w="1669"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1、重新修整地基</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2、清除干净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38"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6</w:t>
            </w:r>
          </w:p>
        </w:tc>
        <w:tc>
          <w:tcPr>
            <w:tcW w:w="1105"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滤液不清</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1、滤布破裂</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2、滤布选择不当</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3、滤布开孔过大</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4、滤布缝合处开线</w:t>
            </w:r>
          </w:p>
        </w:tc>
        <w:tc>
          <w:tcPr>
            <w:tcW w:w="1669"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1、更换滤布</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2、重新试验，更换滤布</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3、更换滤布</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4、重新缝合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7" w:hRule="atLeast"/>
          <w:jc w:val="center"/>
        </w:trPr>
        <w:tc>
          <w:tcPr>
            <w:tcW w:w="438"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7</w:t>
            </w:r>
          </w:p>
        </w:tc>
        <w:tc>
          <w:tcPr>
            <w:tcW w:w="1105"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液压系统有噪声</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1、吸入空气</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2、紧固件松动</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3、液压油粘度过大</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4、回油过滤器堵塞</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1、打开放气阀放气</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2、将紧固件紧固</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3、降低液压油粘度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jc w:val="center"/>
        </w:trPr>
        <w:tc>
          <w:tcPr>
            <w:tcW w:w="438"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8</w:t>
            </w:r>
          </w:p>
        </w:tc>
        <w:tc>
          <w:tcPr>
            <w:tcW w:w="1105"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主粱弯曲</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1、油缸端地基粗糙自由度不够</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2、滤板排列不齐</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3、拉板器不同步</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1、重新安装</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2、重新排列滤板</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3、重新调整拉板器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jc w:val="center"/>
        </w:trPr>
        <w:tc>
          <w:tcPr>
            <w:tcW w:w="438"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9</w:t>
            </w:r>
          </w:p>
        </w:tc>
        <w:tc>
          <w:tcPr>
            <w:tcW w:w="1105"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拉板小车</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只能取板</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不能拉板</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 变频器设置问题</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2、取拉板限位损坏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3、变频器坏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4、继电器接点接触不良</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 、PLC 问题</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1、重新设置</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2、更换</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3、更换</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4、维修或更换</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5、维修或更换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438"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10</w:t>
            </w:r>
          </w:p>
        </w:tc>
        <w:tc>
          <w:tcPr>
            <w:tcW w:w="1105" w:type="pct"/>
            <w:vAlign w:val="top"/>
          </w:tcPr>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小车不能取拉板</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1、暂停开关坏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2、变频器坏</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1、更换</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jc w:val="center"/>
        </w:trPr>
        <w:tc>
          <w:tcPr>
            <w:tcW w:w="438"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11</w:t>
            </w:r>
          </w:p>
        </w:tc>
        <w:tc>
          <w:tcPr>
            <w:tcW w:w="1105"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不能压紧</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1、电机不能启动</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2、电接点压力表问题</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3、油位不够</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4、电机反转</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5、暂停开关坏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6、电磁阀线圈烧坏</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1、检查线路</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2、维修或更换</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3、补充液压油</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4、将转向改为顺时针</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5、更换</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6、更换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jc w:val="center"/>
        </w:trPr>
        <w:tc>
          <w:tcPr>
            <w:tcW w:w="438"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12</w:t>
            </w:r>
          </w:p>
        </w:tc>
        <w:tc>
          <w:tcPr>
            <w:tcW w:w="1105"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不能松开</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1、溢流阀问题</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2、电磁阀线圈问题</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3、松开行程开关问题</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1、调节或维修</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2、维修或更换</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3、维修或更换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438" w:type="pct"/>
            <w:vAlign w:val="top"/>
          </w:tcPr>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both"/>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13</w:t>
            </w:r>
          </w:p>
        </w:tc>
        <w:tc>
          <w:tcPr>
            <w:tcW w:w="1105" w:type="pct"/>
            <w:vAlign w:val="top"/>
          </w:tcPr>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both"/>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压滤机没有动作</w:t>
            </w:r>
          </w:p>
        </w:tc>
        <w:tc>
          <w:tcPr>
            <w:tcW w:w="1786"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1、压滤机压紧限位问题</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2、压滤机压榨压力表没有降到零位</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1、检修</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2、检修</w:t>
            </w:r>
          </w:p>
        </w:tc>
      </w:tr>
    </w:tbl>
    <w:p>
      <w:pPr>
        <w:tabs>
          <w:tab w:val="left" w:pos="894"/>
        </w:tabs>
        <w:bidi w:val="0"/>
        <w:spacing w:line="360" w:lineRule="auto"/>
        <w:ind w:firstLine="422" w:firstLineChars="200"/>
        <w:jc w:val="left"/>
        <w:rPr>
          <w:rFonts w:hint="eastAsia" w:asciiTheme="minorEastAsia" w:hAnsiTheme="minorEastAsia" w:cstheme="minorEastAsia"/>
          <w:b/>
          <w:bCs/>
          <w:color w:val="auto"/>
          <w:sz w:val="21"/>
          <w:szCs w:val="21"/>
          <w:highlight w:val="none"/>
          <w:lang w:val="en-US" w:eastAsia="zh-CN"/>
        </w:rPr>
      </w:pPr>
    </w:p>
    <w:p>
      <w:pPr>
        <w:tabs>
          <w:tab w:val="left" w:pos="894"/>
        </w:tabs>
        <w:bidi w:val="0"/>
        <w:spacing w:line="360" w:lineRule="auto"/>
        <w:ind w:firstLine="422" w:firstLineChars="200"/>
        <w:jc w:val="left"/>
        <w:rPr>
          <w:rFonts w:hint="default"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3.10.4</w:t>
      </w:r>
      <w:r>
        <w:rPr>
          <w:rFonts w:hint="default" w:asciiTheme="minorEastAsia" w:hAnsiTheme="minorEastAsia" w:cstheme="minorEastAsia"/>
          <w:b/>
          <w:bCs/>
          <w:color w:val="auto"/>
          <w:sz w:val="21"/>
          <w:szCs w:val="21"/>
          <w:highlight w:val="none"/>
          <w:lang w:val="en-US" w:eastAsia="zh-CN"/>
        </w:rPr>
        <w:t xml:space="preserve"> 安全系统的检查维护</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w:t>
      </w:r>
      <w:r>
        <w:rPr>
          <w:rFonts w:hint="default" w:asciiTheme="minorEastAsia" w:hAnsiTheme="minorEastAsia" w:cstheme="minorEastAsia"/>
          <w:b w:val="0"/>
          <w:bCs w:val="0"/>
          <w:color w:val="auto"/>
          <w:sz w:val="21"/>
          <w:szCs w:val="21"/>
          <w:highlight w:val="none"/>
          <w:lang w:val="en-US" w:eastAsia="zh-CN"/>
        </w:rPr>
        <w:t xml:space="preserve">1）在压滤机运行过程中，如果需要安全暂停，可以按压拉绳暂停开关，这时压滤机安全停机，以便清理滤饼。 </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w:t>
      </w:r>
      <w:r>
        <w:rPr>
          <w:rFonts w:hint="default" w:asciiTheme="minorEastAsia" w:hAnsiTheme="minorEastAsia" w:cstheme="minorEastAsia"/>
          <w:b w:val="0"/>
          <w:bCs w:val="0"/>
          <w:color w:val="auto"/>
          <w:sz w:val="21"/>
          <w:szCs w:val="21"/>
          <w:highlight w:val="none"/>
          <w:lang w:val="en-US" w:eastAsia="zh-CN"/>
        </w:rPr>
        <w:t>2）在压滤机在运行中出现突发事件，或机器故障，可以拍按黄色底红色蘑菇头紧急停止按钮，系统将会断  电停机，以保护人身和机器的安全。</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w:t>
      </w:r>
      <w:r>
        <w:rPr>
          <w:rFonts w:hint="default" w:asciiTheme="minorEastAsia" w:hAnsiTheme="minorEastAsia" w:cstheme="minorEastAsia"/>
          <w:b w:val="0"/>
          <w:bCs w:val="0"/>
          <w:color w:val="auto"/>
          <w:sz w:val="21"/>
          <w:szCs w:val="21"/>
          <w:highlight w:val="none"/>
          <w:lang w:val="en-US" w:eastAsia="zh-CN"/>
        </w:rPr>
        <w:t>3）拉绳暂停开关需要每周测试一次，在压滤机运行时，按压拉绳暂停开关，如果机器安全停车，说明拉绳 暂停开关功能正常，如果机器继续运转，则拍按急停，请通知电气维修工对拉绳暂停开关进行维护。</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w:t>
      </w:r>
      <w:r>
        <w:rPr>
          <w:rFonts w:hint="default" w:asciiTheme="minorEastAsia" w:hAnsiTheme="minorEastAsia" w:cstheme="minorEastAsia"/>
          <w:b w:val="0"/>
          <w:bCs w:val="0"/>
          <w:color w:val="auto"/>
          <w:sz w:val="21"/>
          <w:szCs w:val="21"/>
          <w:highlight w:val="none"/>
          <w:lang w:val="en-US" w:eastAsia="zh-CN"/>
        </w:rPr>
        <w:t>4）紧急停止按钮每周测试一次，在压滤机运行时拍按黄色底红色蘑菇头紧急停止按钮，如果机器安全停车， 说明紧急停止功能正常，如果机器继续运转，请切断主电源并通知电气维修工。</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w:t>
      </w:r>
      <w:r>
        <w:rPr>
          <w:rFonts w:hint="default" w:asciiTheme="minorEastAsia" w:hAnsiTheme="minorEastAsia" w:cstheme="minorEastAsia"/>
          <w:b w:val="0"/>
          <w:bCs w:val="0"/>
          <w:color w:val="auto"/>
          <w:sz w:val="21"/>
          <w:szCs w:val="21"/>
          <w:highlight w:val="none"/>
          <w:lang w:val="en-US" w:eastAsia="zh-CN"/>
        </w:rPr>
        <w:t>5）安装安全光幕的压滤机，如果需要安全暂停，可以用身体来遮挡安全光幕的光束，这时压滤机安全停机以便清理滤饼。</w:t>
      </w:r>
    </w:p>
    <w:p>
      <w:pPr>
        <w:tabs>
          <w:tab w:val="left" w:pos="894"/>
        </w:tabs>
        <w:bidi w:val="0"/>
        <w:spacing w:line="360" w:lineRule="auto"/>
        <w:ind w:firstLine="420" w:firstLineChars="200"/>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w:t>
      </w:r>
      <w:r>
        <w:rPr>
          <w:rFonts w:hint="default" w:asciiTheme="minorEastAsia" w:hAnsiTheme="minorEastAsia" w:cstheme="minorEastAsia"/>
          <w:b w:val="0"/>
          <w:bCs w:val="0"/>
          <w:color w:val="auto"/>
          <w:sz w:val="21"/>
          <w:szCs w:val="21"/>
          <w:highlight w:val="none"/>
          <w:lang w:val="en-US" w:eastAsia="zh-CN"/>
        </w:rPr>
        <w:t>6）带有安全光幕的压滤机，光幕要求每周测试一次，可以用遮光方法观察光幕保护器上的 LED 指示灯， 如果光幕保护器 LED 指示灯为绿色，说明对光正常，没有遮光物。如果 LED 指示灯为红色，说明光幕保护 器处在遮光状态，这时检查是否有遮光物体，如果不存在遮光物体则拍按急停，并通知电气维修工对光幕保护器进行维护。</w:t>
      </w:r>
    </w:p>
    <w:p>
      <w:pPr>
        <w:spacing w:line="520" w:lineRule="exact"/>
        <w:ind w:firstLine="422" w:firstLineChars="200"/>
        <w:jc w:val="left"/>
        <w:outlineLvl w:val="3"/>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cstheme="minorEastAsia"/>
          <w:b/>
          <w:bCs/>
          <w:color w:val="auto"/>
          <w:sz w:val="21"/>
          <w:szCs w:val="21"/>
          <w:highlight w:val="none"/>
          <w:lang w:val="en-US" w:eastAsia="zh-CN"/>
        </w:rPr>
        <w:t>11  非标件</w:t>
      </w:r>
      <w:r>
        <w:rPr>
          <w:rFonts w:hint="eastAsia" w:asciiTheme="minorEastAsia" w:hAnsiTheme="minorEastAsia" w:eastAsiaTheme="minorEastAsia" w:cstheme="minorEastAsia"/>
          <w:b/>
          <w:bCs/>
          <w:color w:val="auto"/>
          <w:sz w:val="21"/>
          <w:szCs w:val="21"/>
          <w:highlight w:val="none"/>
        </w:rPr>
        <w:t>维</w:t>
      </w:r>
      <w:r>
        <w:rPr>
          <w:rFonts w:hint="eastAsia" w:asciiTheme="minorEastAsia" w:hAnsiTheme="minorEastAsia" w:cstheme="minorEastAsia"/>
          <w:b/>
          <w:bCs/>
          <w:color w:val="auto"/>
          <w:sz w:val="21"/>
          <w:szCs w:val="21"/>
          <w:highlight w:val="none"/>
          <w:lang w:val="en-US" w:eastAsia="zh-CN"/>
        </w:rPr>
        <w:t>保</w:t>
      </w:r>
    </w:p>
    <w:p>
      <w:pPr>
        <w:spacing w:line="480" w:lineRule="exact"/>
        <w:ind w:firstLine="422" w:firstLineChars="200"/>
        <w:rPr>
          <w:rFonts w:hint="default"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3.11.1 维保要求</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遵守拆装程序，选用合适的专用拆装工具。严禁盲目猛敲猛撬，防止机件损伤变形。</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注意操作安全。防止在卸下或装上某一部件时，机器失去平衡而倾倒。通常应将</w:t>
      </w:r>
      <w:r>
        <w:rPr>
          <w:rFonts w:hint="eastAsia" w:asciiTheme="minorEastAsia" w:hAnsiTheme="minorEastAsia" w:cstheme="minorEastAsia"/>
          <w:bCs/>
          <w:color w:val="auto"/>
          <w:sz w:val="21"/>
          <w:szCs w:val="21"/>
          <w:highlight w:val="none"/>
          <w:lang w:val="en-US" w:eastAsia="zh-CN"/>
        </w:rPr>
        <w:t>机器</w:t>
      </w:r>
      <w:r>
        <w:rPr>
          <w:rFonts w:hint="eastAsia" w:asciiTheme="minorEastAsia" w:hAnsiTheme="minorEastAsia" w:eastAsiaTheme="minorEastAsia" w:cstheme="minorEastAsia"/>
          <w:bCs/>
          <w:color w:val="auto"/>
          <w:sz w:val="21"/>
          <w:szCs w:val="21"/>
          <w:highlight w:val="none"/>
        </w:rPr>
        <w:t>事先用地脚螺栓固紧。</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对某些不能互换或结构比较复杂</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方位容易弄错的零件</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在拆卸前应按原来的部件做好记号。精密部件</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拆下后应成副装好存放。</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4）</w:t>
      </w:r>
      <w:r>
        <w:rPr>
          <w:rFonts w:hint="eastAsia" w:asciiTheme="minorEastAsia" w:hAnsiTheme="minorEastAsia" w:eastAsiaTheme="minorEastAsia" w:cstheme="minorEastAsia"/>
          <w:bCs/>
          <w:color w:val="auto"/>
          <w:sz w:val="21"/>
          <w:szCs w:val="21"/>
          <w:highlight w:val="none"/>
        </w:rPr>
        <w:t>拆卸下来的零部件，应以部件为单元，按精密、重要程度分别放置。不得将禁油零件、绝缘零件、仪表等与普通零件堆放一起。精密的长轴件应垂直悬挂以防变形。除基础件外，</w:t>
      </w:r>
      <w:r>
        <w:rPr>
          <w:rFonts w:hint="eastAsia" w:asciiTheme="minorEastAsia" w:hAnsiTheme="minorEastAsia" w:eastAsiaTheme="minorEastAsia" w:cstheme="minorEastAsia"/>
          <w:bCs/>
          <w:color w:val="auto"/>
          <w:sz w:val="21"/>
          <w:szCs w:val="21"/>
          <w:highlight w:val="none"/>
          <w:lang w:eastAsia="zh-CN"/>
        </w:rPr>
        <w:t>其他</w:t>
      </w:r>
      <w:r>
        <w:rPr>
          <w:rFonts w:hint="eastAsia" w:asciiTheme="minorEastAsia" w:hAnsiTheme="minorEastAsia" w:eastAsiaTheme="minorEastAsia" w:cstheme="minorEastAsia"/>
          <w:bCs/>
          <w:color w:val="auto"/>
          <w:sz w:val="21"/>
          <w:szCs w:val="21"/>
          <w:highlight w:val="none"/>
        </w:rPr>
        <w:t>零、部件不应放在地面上。</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进行拆卸、清洗的工作地点必须清洁，禁止在灰尘多、温度过高、湿度过大的地点进行；如在露天进行，必须采取防尘、防潮、防雨措施。</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拆卸螺钉、螺栓、螺母，应选用合适的扳手、扭力扳手，尽量不用活扳手。严禁使用管钳，或用套管加长扳手柄，以防拧坏螺母、螺栓。</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rPr>
        <w:t>拆装双头螺栓时，应使用专门工具，或用两个螺母</w:t>
      </w:r>
      <w:r>
        <w:rPr>
          <w:rFonts w:hint="eastAsia" w:asciiTheme="minorEastAsia" w:hAnsiTheme="minorEastAsia" w:eastAsiaTheme="minorEastAsia" w:cstheme="minorEastAsia"/>
          <w:bCs/>
          <w:color w:val="auto"/>
          <w:sz w:val="21"/>
          <w:szCs w:val="21"/>
          <w:highlight w:val="none"/>
          <w:lang w:eastAsia="zh-CN"/>
        </w:rPr>
        <w:t>拧紧</w:t>
      </w:r>
      <w:r>
        <w:rPr>
          <w:rFonts w:hint="eastAsia" w:asciiTheme="minorEastAsia" w:hAnsiTheme="minorEastAsia" w:eastAsiaTheme="minorEastAsia" w:cstheme="minorEastAsia"/>
          <w:bCs/>
          <w:color w:val="auto"/>
          <w:sz w:val="21"/>
          <w:szCs w:val="21"/>
          <w:highlight w:val="none"/>
        </w:rPr>
        <w:t>后拧进、拧出，严禁用管钳装卸。</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拆下后尚属完好的螺钉、螺母、螺栓，凡是不妨碍零件加工的，应随即装回原处，以免损坏或</w:t>
      </w:r>
      <w:r>
        <w:rPr>
          <w:rFonts w:hint="eastAsia" w:asciiTheme="minorEastAsia" w:hAnsiTheme="minorEastAsia" w:eastAsiaTheme="minorEastAsia" w:cstheme="minorEastAsia"/>
          <w:bCs/>
          <w:color w:val="auto"/>
          <w:sz w:val="21"/>
          <w:szCs w:val="21"/>
          <w:highlight w:val="none"/>
          <w:lang w:eastAsia="zh-CN"/>
        </w:rPr>
        <w:t>散失</w:t>
      </w:r>
      <w:r>
        <w:rPr>
          <w:rFonts w:hint="eastAsia" w:asciiTheme="minorEastAsia" w:hAnsiTheme="minorEastAsia" w:eastAsiaTheme="minorEastAsia" w:cstheme="minorEastAsia"/>
          <w:bCs/>
          <w:color w:val="auto"/>
          <w:sz w:val="21"/>
          <w:szCs w:val="21"/>
          <w:highlight w:val="none"/>
        </w:rPr>
        <w:t>。</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9）</w:t>
      </w:r>
      <w:r>
        <w:rPr>
          <w:rFonts w:hint="eastAsia" w:asciiTheme="minorEastAsia" w:hAnsiTheme="minorEastAsia" w:eastAsiaTheme="minorEastAsia" w:cstheme="minorEastAsia"/>
          <w:bCs/>
          <w:color w:val="auto"/>
          <w:sz w:val="21"/>
          <w:szCs w:val="21"/>
          <w:highlight w:val="none"/>
        </w:rPr>
        <w:t>螺母生锈不能按正常方法拆下，可按下述方法处理：</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①先将螺母紧1/4圈，然后拧出。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②用手锤轻敲，使锈皮脱落后拧出。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③注以少量煤油，20～30分钟再拧。对个别传递动力而自行拧紧的螺纹，应在煤油中</w:t>
      </w:r>
      <w:r>
        <w:rPr>
          <w:rFonts w:hint="eastAsia" w:asciiTheme="minorEastAsia" w:hAnsiTheme="minorEastAsia" w:eastAsiaTheme="minorEastAsia" w:cstheme="minorEastAsia"/>
          <w:bCs/>
          <w:color w:val="auto"/>
          <w:sz w:val="21"/>
          <w:szCs w:val="21"/>
          <w:highlight w:val="none"/>
          <w:lang w:eastAsia="zh-CN"/>
        </w:rPr>
        <w:t>浸泡</w:t>
      </w:r>
      <w:r>
        <w:rPr>
          <w:rFonts w:hint="eastAsia" w:asciiTheme="minorEastAsia" w:hAnsiTheme="minorEastAsia" w:eastAsiaTheme="minorEastAsia" w:cstheme="minorEastAsia"/>
          <w:bCs/>
          <w:color w:val="auto"/>
          <w:sz w:val="21"/>
          <w:szCs w:val="21"/>
          <w:highlight w:val="none"/>
        </w:rPr>
        <w:t>4小时以上再试拧出。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④用喷灯或氧焊烤热螺母后拧出。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rPr>
        <w:t>折断在螺孔内的螺杆残部</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可用下述方法取出：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①在残部断面中心钻一小孔</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用一支淬火硬化的四棱锥形钢棒敲入孔中</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后拧钢棒将螺杆残部拧出。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②在残部断面中心钻孔，内攻相反方向螺纹，再拧入相反方向螺钉将残部拧出。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③在残部断面上焊一螺栓或方头铁杆，反拧将残部取出。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④上述方法均无效，可将残部钻去，另攻加大直径螺纹孔。</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11）</w:t>
      </w:r>
      <w:r>
        <w:rPr>
          <w:rFonts w:hint="eastAsia" w:asciiTheme="minorEastAsia" w:hAnsiTheme="minorEastAsia" w:eastAsiaTheme="minorEastAsia" w:cstheme="minorEastAsia"/>
          <w:bCs/>
          <w:color w:val="auto"/>
          <w:sz w:val="21"/>
          <w:szCs w:val="21"/>
          <w:highlight w:val="none"/>
        </w:rPr>
        <w:t>凡用多个螺栓固定的机件，拆装时必须按规定次序轮流松、紧。如无规定次序，应对称轮流交叉均匀地松、紧，务必使机件受力均匀。</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12）</w:t>
      </w:r>
      <w:r>
        <w:rPr>
          <w:rFonts w:hint="eastAsia" w:asciiTheme="minorEastAsia" w:hAnsiTheme="minorEastAsia" w:eastAsiaTheme="minorEastAsia" w:cstheme="minorEastAsia"/>
          <w:bCs/>
          <w:color w:val="auto"/>
          <w:sz w:val="21"/>
          <w:szCs w:val="21"/>
          <w:highlight w:val="none"/>
        </w:rPr>
        <w:t>拆装衬套、销子、齿轮、皮带轮及滚动轴承等配合零件时，应使用专用的拆装工具，或软质手锤等工具。也可以在零件上垫以比零件软的垫块，再进行敲击。严禁用</w:t>
      </w:r>
      <w:r>
        <w:rPr>
          <w:rFonts w:hint="eastAsia" w:asciiTheme="minorEastAsia" w:hAnsiTheme="minorEastAsia" w:eastAsiaTheme="minorEastAsia" w:cstheme="minorEastAsia"/>
          <w:bCs/>
          <w:color w:val="auto"/>
          <w:sz w:val="21"/>
          <w:szCs w:val="21"/>
          <w:highlight w:val="none"/>
          <w:lang w:eastAsia="zh-CN"/>
        </w:rPr>
        <w:t>钢制</w:t>
      </w:r>
      <w:r>
        <w:rPr>
          <w:rFonts w:hint="eastAsia" w:asciiTheme="minorEastAsia" w:hAnsiTheme="minorEastAsia" w:eastAsiaTheme="minorEastAsia" w:cstheme="minorEastAsia"/>
          <w:bCs/>
          <w:color w:val="auto"/>
          <w:sz w:val="21"/>
          <w:szCs w:val="21"/>
          <w:highlight w:val="none"/>
        </w:rPr>
        <w:t>手锤直接打击零件。</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13）</w:t>
      </w:r>
      <w:r>
        <w:rPr>
          <w:rFonts w:hint="eastAsia" w:asciiTheme="minorEastAsia" w:hAnsiTheme="minorEastAsia" w:eastAsiaTheme="minorEastAsia" w:cstheme="minorEastAsia"/>
          <w:bCs/>
          <w:color w:val="auto"/>
          <w:sz w:val="21"/>
          <w:szCs w:val="21"/>
          <w:highlight w:val="none"/>
        </w:rPr>
        <w:t>所有零件在组装前必须清洗干净，除去铁锈、油污、灰尘、防锈脂等物。</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14）</w:t>
      </w:r>
      <w:r>
        <w:rPr>
          <w:rFonts w:hint="eastAsia" w:asciiTheme="minorEastAsia" w:hAnsiTheme="minorEastAsia" w:eastAsiaTheme="minorEastAsia" w:cstheme="minorEastAsia"/>
          <w:bCs/>
          <w:color w:val="auto"/>
          <w:sz w:val="21"/>
          <w:szCs w:val="21"/>
          <w:highlight w:val="none"/>
        </w:rPr>
        <w:t>装配过程所用的油脂均应符合规定并保持清洁，一切拆卸、装配工具应清洁、有效，专用量具、检测仪表均应事前检验、校准。</w:t>
      </w:r>
    </w:p>
    <w:p>
      <w:pPr>
        <w:spacing w:line="480" w:lineRule="exact"/>
        <w:ind w:firstLine="422" w:firstLineChars="200"/>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cstheme="minorEastAsia"/>
          <w:b/>
          <w:bCs w:val="0"/>
          <w:color w:val="auto"/>
          <w:sz w:val="21"/>
          <w:szCs w:val="21"/>
          <w:highlight w:val="none"/>
          <w:lang w:val="en-US" w:eastAsia="zh-CN"/>
        </w:rPr>
        <w:t>3.11.2检查</w:t>
      </w:r>
      <w:r>
        <w:rPr>
          <w:rFonts w:hint="eastAsia" w:asciiTheme="minorEastAsia" w:hAnsiTheme="minorEastAsia" w:eastAsiaTheme="minorEastAsia" w:cstheme="minorEastAsia"/>
          <w:b/>
          <w:bCs w:val="0"/>
          <w:color w:val="auto"/>
          <w:sz w:val="21"/>
          <w:szCs w:val="21"/>
          <w:highlight w:val="none"/>
        </w:rPr>
        <w:t>内容：</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a.设备运行中的异音、</w:t>
      </w:r>
      <w:r>
        <w:rPr>
          <w:rFonts w:hint="eastAsia" w:asciiTheme="minorEastAsia" w:hAnsiTheme="minorEastAsia" w:eastAsiaTheme="minorEastAsia" w:cstheme="minorEastAsia"/>
          <w:bCs/>
          <w:color w:val="auto"/>
          <w:sz w:val="21"/>
          <w:szCs w:val="21"/>
          <w:highlight w:val="none"/>
          <w:lang w:eastAsia="zh-CN"/>
        </w:rPr>
        <w:t>振动</w:t>
      </w:r>
      <w:r>
        <w:rPr>
          <w:rFonts w:hint="eastAsia" w:asciiTheme="minorEastAsia" w:hAnsiTheme="minorEastAsia" w:eastAsiaTheme="minorEastAsia" w:cstheme="minorEastAsia"/>
          <w:bCs/>
          <w:color w:val="auto"/>
          <w:sz w:val="21"/>
          <w:szCs w:val="21"/>
          <w:highlight w:val="none"/>
        </w:rPr>
        <w:t>。</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b.润滑系统工作情况（油温、油压、油位、冷却水等）。</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c.运转件是否移位、窜位等。</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d.目测部件是否开裂、变形、开焊。</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e.设备</w:t>
      </w:r>
      <w:r>
        <w:rPr>
          <w:rFonts w:hint="eastAsia" w:asciiTheme="minorEastAsia" w:hAnsiTheme="minorEastAsia" w:cstheme="minorEastAsia"/>
          <w:bCs/>
          <w:color w:val="auto"/>
          <w:sz w:val="21"/>
          <w:szCs w:val="21"/>
          <w:highlight w:val="none"/>
          <w:lang w:val="en-US" w:eastAsia="zh-CN"/>
        </w:rPr>
        <w:t>接地</w:t>
      </w:r>
      <w:r>
        <w:rPr>
          <w:rFonts w:hint="eastAsia" w:asciiTheme="minorEastAsia" w:hAnsiTheme="minorEastAsia" w:eastAsiaTheme="minorEastAsia" w:cstheme="minorEastAsia"/>
          <w:bCs/>
          <w:color w:val="auto"/>
          <w:sz w:val="21"/>
          <w:szCs w:val="21"/>
          <w:highlight w:val="none"/>
        </w:rPr>
        <w:t>是否松动</w:t>
      </w: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丢失</w:t>
      </w:r>
      <w:r>
        <w:rPr>
          <w:rFonts w:hint="eastAsia" w:asciiTheme="minorEastAsia" w:hAnsiTheme="minorEastAsia" w:eastAsiaTheme="minorEastAsia" w:cstheme="minorEastAsia"/>
          <w:bCs/>
          <w:color w:val="auto"/>
          <w:sz w:val="21"/>
          <w:szCs w:val="21"/>
          <w:highlight w:val="none"/>
        </w:rPr>
        <w:t>。</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f.检查设备零部件是否齐全、可靠。</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g.检查安全保护装置。</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h.检查设备跑、冒、滴、漏等现象。</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i.变电站及各电气控制等专业电气设备按设备规定内容进行。</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点检方法：</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运用眼看、手摸、耳听、鼻嗅等方法，结合设备的仪表和信号标志。</w:t>
      </w:r>
    </w:p>
    <w:p>
      <w:pPr>
        <w:adjustRightInd w:val="0"/>
        <w:spacing w:before="120" w:beforeLines="50" w:after="120" w:afterLines="50" w:line="360" w:lineRule="auto"/>
        <w:jc w:val="both"/>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sectPr>
          <w:headerReference r:id="rId14" w:type="default"/>
          <w:footerReference r:id="rId15" w:type="default"/>
          <w:pgSz w:w="11906" w:h="16838"/>
          <w:pgMar w:top="1270" w:right="1349" w:bottom="1270" w:left="1349" w:header="510" w:footer="992" w:gutter="0"/>
          <w:pgBorders>
            <w:top w:val="none" w:sz="0" w:space="0"/>
            <w:left w:val="none" w:sz="0" w:space="0"/>
            <w:bottom w:val="none" w:sz="0" w:space="0"/>
            <w:right w:val="none" w:sz="0" w:space="0"/>
          </w:pgBorders>
          <w:pgNumType w:fmt="decimal"/>
          <w:cols w:space="720" w:num="1"/>
          <w:docGrid w:linePitch="312" w:charSpace="0"/>
        </w:sectPr>
      </w:pPr>
    </w:p>
    <w:p>
      <w:pPr>
        <w:adjustRightInd w:val="0"/>
        <w:spacing w:before="120" w:beforeLines="50" w:after="120" w:afterLines="50" w:line="360" w:lineRule="auto"/>
        <w:jc w:val="center"/>
        <w:outlineLvl w:val="0"/>
        <w:rPr>
          <w:rFonts w:hAnsi="宋体"/>
          <w:b/>
          <w:bCs/>
          <w:snapToGrid w:val="0"/>
          <w:color w:val="auto"/>
          <w:sz w:val="30"/>
          <w:szCs w:val="30"/>
          <w:highlight w:val="none"/>
        </w:rPr>
      </w:pPr>
      <w:r>
        <w:rPr>
          <w:rFonts w:hint="eastAsia" w:hAnsi="宋体" w:cs="宋体"/>
          <w:b/>
          <w:color w:val="auto"/>
          <w:spacing w:val="15"/>
          <w:sz w:val="36"/>
          <w:highlight w:val="none"/>
        </w:rPr>
        <w:t>第四章 评标方法及评价标准</w:t>
      </w:r>
      <w:bookmarkEnd w:id="92"/>
    </w:p>
    <w:p>
      <w:pPr>
        <w:adjustRightInd w:val="0"/>
        <w:snapToGrid w:val="0"/>
        <w:spacing w:line="360" w:lineRule="auto"/>
        <w:jc w:val="center"/>
        <w:rPr>
          <w:rFonts w:hAnsi="宋体"/>
          <w:b/>
          <w:bCs/>
          <w:snapToGrid w:val="0"/>
          <w:color w:val="auto"/>
          <w:sz w:val="30"/>
          <w:szCs w:val="30"/>
          <w:highlight w:val="none"/>
        </w:rPr>
      </w:pPr>
      <w:r>
        <w:rPr>
          <w:rFonts w:hint="eastAsia" w:hAnsi="宋体"/>
          <w:b/>
          <w:bCs/>
          <w:snapToGrid w:val="0"/>
          <w:color w:val="auto"/>
          <w:sz w:val="30"/>
          <w:szCs w:val="30"/>
          <w:highlight w:val="none"/>
        </w:rPr>
        <w:t>1、评标方法</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snapToGrid w:val="0"/>
          <w:color w:val="auto"/>
          <w:szCs w:val="21"/>
          <w:highlight w:val="none"/>
        </w:rPr>
        <w:t>本项目评标方法及标准采用</w:t>
      </w:r>
      <w:r>
        <w:rPr>
          <w:rFonts w:hint="eastAsia" w:hAnsi="宋体" w:cs="宋体"/>
          <w:b/>
          <w:bCs/>
          <w:snapToGrid w:val="0"/>
          <w:color w:val="auto"/>
          <w:szCs w:val="21"/>
          <w:highlight w:val="none"/>
        </w:rPr>
        <w:t>综合评估法</w:t>
      </w:r>
      <w:r>
        <w:rPr>
          <w:rFonts w:hint="eastAsia" w:hAnsi="宋体" w:cs="宋体"/>
          <w:color w:val="auto"/>
          <w:szCs w:val="21"/>
          <w:highlight w:val="none"/>
          <w:lang w:val="zh-CN"/>
        </w:rPr>
        <w:t>。</w:t>
      </w:r>
    </w:p>
    <w:p>
      <w:pPr>
        <w:adjustRightInd w:val="0"/>
        <w:snapToGrid w:val="0"/>
        <w:spacing w:line="360" w:lineRule="auto"/>
        <w:ind w:firstLine="420" w:firstLineChars="200"/>
        <w:rPr>
          <w:rFonts w:hAnsi="宋体" w:cs="宋体"/>
          <w:color w:val="auto"/>
          <w:szCs w:val="21"/>
          <w:highlight w:val="none"/>
          <w:lang w:val="zh-CN"/>
        </w:rPr>
      </w:pPr>
    </w:p>
    <w:p>
      <w:pPr>
        <w:adjustRightInd w:val="0"/>
        <w:snapToGrid w:val="0"/>
        <w:spacing w:line="360" w:lineRule="auto"/>
        <w:jc w:val="center"/>
        <w:rPr>
          <w:rFonts w:hAnsi="宋体"/>
          <w:b/>
          <w:bCs/>
          <w:snapToGrid w:val="0"/>
          <w:color w:val="auto"/>
          <w:sz w:val="30"/>
          <w:szCs w:val="30"/>
          <w:highlight w:val="none"/>
        </w:rPr>
      </w:pPr>
      <w:r>
        <w:rPr>
          <w:rFonts w:hint="eastAsia" w:hAnsi="宋体"/>
          <w:b/>
          <w:bCs/>
          <w:snapToGrid w:val="0"/>
          <w:color w:val="auto"/>
          <w:sz w:val="30"/>
          <w:szCs w:val="30"/>
          <w:highlight w:val="none"/>
        </w:rPr>
        <w:t>2、评标程序</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评标委员会按照以下程序开展评标工作。</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snapToGrid w:val="0"/>
          <w:color w:val="auto"/>
          <w:szCs w:val="21"/>
          <w:highlight w:val="none"/>
        </w:rPr>
        <w:t>2.1熟悉招标文件和评标办法</w:t>
      </w:r>
      <w:r>
        <w:rPr>
          <w:rFonts w:hint="eastAsia" w:hAnsi="宋体" w:cs="宋体"/>
          <w:color w:val="auto"/>
          <w:szCs w:val="21"/>
          <w:highlight w:val="none"/>
          <w:lang w:val="zh-CN"/>
        </w:rPr>
        <w:t>；</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cs="宋体"/>
          <w:color w:val="auto"/>
          <w:szCs w:val="21"/>
          <w:highlight w:val="none"/>
        </w:rPr>
        <w:t>2.2</w:t>
      </w:r>
      <w:r>
        <w:rPr>
          <w:rFonts w:hint="eastAsia" w:hAnsi="宋体" w:cs="宋体"/>
          <w:color w:val="auto"/>
          <w:szCs w:val="21"/>
          <w:highlight w:val="none"/>
          <w:lang w:val="zh-CN"/>
        </w:rPr>
        <w:t>资格审查；</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2.3初步评审；</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cs="宋体"/>
          <w:color w:val="auto"/>
          <w:szCs w:val="21"/>
          <w:highlight w:val="none"/>
        </w:rPr>
        <w:t>2</w:t>
      </w:r>
      <w:r>
        <w:rPr>
          <w:rFonts w:hAnsi="宋体" w:cs="宋体"/>
          <w:color w:val="auto"/>
          <w:szCs w:val="21"/>
          <w:highlight w:val="none"/>
        </w:rPr>
        <w:t>.3.1</w:t>
      </w:r>
      <w:r>
        <w:rPr>
          <w:rFonts w:hint="eastAsia" w:hAnsi="宋体" w:cs="宋体"/>
          <w:color w:val="auto"/>
          <w:szCs w:val="21"/>
          <w:highlight w:val="none"/>
          <w:lang w:val="zh-CN"/>
        </w:rPr>
        <w:t>符合性审查；</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cs="宋体"/>
          <w:color w:val="auto"/>
          <w:szCs w:val="21"/>
          <w:highlight w:val="none"/>
          <w:lang w:val="zh-CN"/>
        </w:rPr>
        <w:t>2</w:t>
      </w:r>
      <w:r>
        <w:rPr>
          <w:rFonts w:hAnsi="宋体" w:cs="宋体"/>
          <w:color w:val="auto"/>
          <w:szCs w:val="21"/>
          <w:highlight w:val="none"/>
          <w:lang w:val="zh-CN"/>
        </w:rPr>
        <w:t>.3.2</w:t>
      </w:r>
      <w:r>
        <w:rPr>
          <w:rFonts w:hint="eastAsia" w:hAnsi="宋体" w:cs="宋体"/>
          <w:color w:val="auto"/>
          <w:szCs w:val="21"/>
          <w:highlight w:val="none"/>
          <w:lang w:val="zh-CN"/>
        </w:rPr>
        <w:t>有效标的确定；</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cs="宋体"/>
          <w:color w:val="auto"/>
          <w:szCs w:val="21"/>
          <w:highlight w:val="none"/>
        </w:rPr>
        <w:t>2.4详细评审</w:t>
      </w:r>
      <w:r>
        <w:rPr>
          <w:rFonts w:hint="eastAsia" w:hAnsi="宋体" w:cs="宋体"/>
          <w:color w:val="auto"/>
          <w:szCs w:val="21"/>
          <w:highlight w:val="none"/>
          <w:lang w:val="zh-CN"/>
        </w:rPr>
        <w:t>；</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cs="宋体"/>
          <w:color w:val="auto"/>
          <w:szCs w:val="21"/>
          <w:highlight w:val="none"/>
        </w:rPr>
        <w:t>2.5投标文件</w:t>
      </w:r>
      <w:r>
        <w:rPr>
          <w:rFonts w:hint="eastAsia" w:hAnsi="宋体" w:cs="宋体"/>
          <w:color w:val="auto"/>
          <w:szCs w:val="21"/>
          <w:highlight w:val="none"/>
          <w:lang w:val="zh-CN"/>
        </w:rPr>
        <w:t>澄清、</w:t>
      </w:r>
      <w:r>
        <w:rPr>
          <w:rFonts w:hint="eastAsia" w:hAnsi="宋体" w:cs="宋体"/>
          <w:color w:val="auto"/>
          <w:szCs w:val="21"/>
          <w:highlight w:val="none"/>
        </w:rPr>
        <w:t>报价</w:t>
      </w:r>
      <w:r>
        <w:rPr>
          <w:rFonts w:hint="eastAsia" w:hAnsi="宋体" w:cs="宋体"/>
          <w:color w:val="auto"/>
          <w:szCs w:val="21"/>
          <w:highlight w:val="none"/>
          <w:lang w:val="zh-CN"/>
        </w:rPr>
        <w:t>修正；</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cs="宋体"/>
          <w:color w:val="auto"/>
          <w:szCs w:val="21"/>
          <w:highlight w:val="none"/>
        </w:rPr>
        <w:t>2.6</w:t>
      </w:r>
      <w:r>
        <w:rPr>
          <w:rFonts w:hint="eastAsia" w:hAnsi="宋体" w:cs="宋体"/>
          <w:color w:val="auto"/>
          <w:szCs w:val="21"/>
          <w:highlight w:val="none"/>
          <w:lang w:val="zh-CN"/>
        </w:rPr>
        <w:t>排序与推荐中标候选人；</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2.7完成评标报告。</w:t>
      </w:r>
    </w:p>
    <w:p>
      <w:pPr>
        <w:adjustRightInd w:val="0"/>
        <w:snapToGrid w:val="0"/>
        <w:spacing w:line="360" w:lineRule="auto"/>
        <w:ind w:firstLine="420" w:firstLineChars="200"/>
        <w:rPr>
          <w:rFonts w:hAnsi="宋体" w:cs="宋体"/>
          <w:color w:val="auto"/>
          <w:szCs w:val="21"/>
          <w:highlight w:val="none"/>
        </w:rPr>
      </w:pPr>
    </w:p>
    <w:p>
      <w:pPr>
        <w:adjustRightInd w:val="0"/>
        <w:snapToGrid w:val="0"/>
        <w:spacing w:line="360" w:lineRule="auto"/>
        <w:jc w:val="center"/>
        <w:rPr>
          <w:rFonts w:hAnsi="宋体"/>
          <w:b/>
          <w:bCs/>
          <w:snapToGrid w:val="0"/>
          <w:color w:val="auto"/>
          <w:sz w:val="30"/>
          <w:szCs w:val="30"/>
          <w:highlight w:val="none"/>
        </w:rPr>
      </w:pPr>
      <w:r>
        <w:rPr>
          <w:rFonts w:hint="eastAsia" w:hAnsi="宋体"/>
          <w:b/>
          <w:bCs/>
          <w:snapToGrid w:val="0"/>
          <w:color w:val="auto"/>
          <w:sz w:val="30"/>
          <w:szCs w:val="30"/>
          <w:highlight w:val="none"/>
        </w:rPr>
        <w:t>3、资格审查</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3.1评标委员会</w:t>
      </w:r>
      <w:r>
        <w:rPr>
          <w:rFonts w:hint="eastAsia" w:hAnsi="宋体"/>
          <w:bCs/>
          <w:color w:val="auto"/>
          <w:szCs w:val="32"/>
          <w:highlight w:val="none"/>
        </w:rPr>
        <w:t>按照招标文件</w:t>
      </w:r>
      <w:r>
        <w:rPr>
          <w:rFonts w:hAnsi="宋体"/>
          <w:bCs/>
          <w:color w:val="auto"/>
          <w:szCs w:val="32"/>
          <w:highlight w:val="none"/>
        </w:rPr>
        <w:t>的要求和规定</w:t>
      </w:r>
      <w:r>
        <w:rPr>
          <w:rFonts w:hint="eastAsia" w:hAnsi="宋体"/>
          <w:bCs/>
          <w:color w:val="auto"/>
          <w:szCs w:val="32"/>
          <w:highlight w:val="none"/>
        </w:rPr>
        <w:t>，对投标人的投标资格进行审查。</w:t>
      </w:r>
      <w:r>
        <w:rPr>
          <w:rFonts w:hAnsi="宋体"/>
          <w:bCs/>
          <w:color w:val="auto"/>
          <w:szCs w:val="32"/>
          <w:highlight w:val="none"/>
        </w:rPr>
        <w:t>投标</w:t>
      </w:r>
      <w:r>
        <w:rPr>
          <w:rFonts w:hint="eastAsia" w:hAnsi="宋体"/>
          <w:bCs/>
          <w:color w:val="auto"/>
          <w:szCs w:val="32"/>
          <w:highlight w:val="none"/>
        </w:rPr>
        <w:t>人</w:t>
      </w:r>
      <w:r>
        <w:rPr>
          <w:rFonts w:hAnsi="宋体"/>
          <w:bCs/>
          <w:color w:val="auto"/>
          <w:szCs w:val="32"/>
          <w:highlight w:val="none"/>
        </w:rPr>
        <w:t>存在以下</w:t>
      </w:r>
      <w:r>
        <w:rPr>
          <w:rFonts w:hint="eastAsia" w:hAnsi="宋体"/>
          <w:bCs/>
          <w:color w:val="auto"/>
          <w:szCs w:val="32"/>
          <w:highlight w:val="none"/>
        </w:rPr>
        <w:t>情形</w:t>
      </w:r>
      <w:r>
        <w:rPr>
          <w:rFonts w:hAnsi="宋体"/>
          <w:bCs/>
          <w:color w:val="auto"/>
          <w:szCs w:val="32"/>
          <w:highlight w:val="none"/>
        </w:rPr>
        <w:t>之一的，</w:t>
      </w:r>
      <w:r>
        <w:rPr>
          <w:rFonts w:hint="eastAsia" w:hAnsi="宋体"/>
          <w:bCs/>
          <w:color w:val="auto"/>
          <w:szCs w:val="32"/>
          <w:highlight w:val="none"/>
        </w:rPr>
        <w:t>资格</w:t>
      </w:r>
      <w:r>
        <w:rPr>
          <w:rFonts w:hAnsi="宋体"/>
          <w:bCs/>
          <w:color w:val="auto"/>
          <w:szCs w:val="32"/>
          <w:highlight w:val="none"/>
        </w:rPr>
        <w:t>审查不予通过，</w:t>
      </w:r>
      <w:r>
        <w:rPr>
          <w:rFonts w:hint="eastAsia" w:hAnsi="宋体"/>
          <w:bCs/>
          <w:color w:val="auto"/>
          <w:szCs w:val="32"/>
          <w:highlight w:val="none"/>
        </w:rPr>
        <w:t>否决其投标</w:t>
      </w:r>
      <w:r>
        <w:rPr>
          <w:rFonts w:hAnsi="宋体"/>
          <w:bCs/>
          <w:color w:val="auto"/>
          <w:szCs w:val="32"/>
          <w:highlight w:val="none"/>
        </w:rPr>
        <w:t>，不再进行</w:t>
      </w:r>
      <w:r>
        <w:rPr>
          <w:rFonts w:hint="eastAsia" w:hAnsi="宋体"/>
          <w:bCs/>
          <w:color w:val="auto"/>
          <w:szCs w:val="32"/>
          <w:highlight w:val="none"/>
        </w:rPr>
        <w:t>后续</w:t>
      </w:r>
      <w:r>
        <w:rPr>
          <w:rFonts w:hAnsi="宋体"/>
          <w:bCs/>
          <w:color w:val="auto"/>
          <w:szCs w:val="32"/>
          <w:highlight w:val="none"/>
        </w:rPr>
        <w:t>评审：</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（1）投标人不满足招标公告中载明的投标人资格条件的；</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（2）存在法律、法规规定的其他否决投标情形的。</w:t>
      </w:r>
    </w:p>
    <w:p>
      <w:pPr>
        <w:adjustRightInd w:val="0"/>
        <w:snapToGrid w:val="0"/>
        <w:spacing w:line="360" w:lineRule="auto"/>
        <w:ind w:firstLine="420" w:firstLineChars="200"/>
        <w:rPr>
          <w:rFonts w:hAnsi="宋体"/>
          <w:bCs/>
          <w:color w:val="auto"/>
          <w:szCs w:val="21"/>
          <w:highlight w:val="none"/>
        </w:rPr>
      </w:pPr>
      <w:r>
        <w:rPr>
          <w:rFonts w:hint="eastAsia" w:hAnsi="宋体"/>
          <w:bCs/>
          <w:color w:val="auto"/>
          <w:szCs w:val="32"/>
          <w:highlight w:val="none"/>
        </w:rPr>
        <w:t>3</w:t>
      </w:r>
      <w:r>
        <w:rPr>
          <w:rFonts w:hAnsi="宋体"/>
          <w:bCs/>
          <w:color w:val="auto"/>
          <w:szCs w:val="32"/>
          <w:highlight w:val="none"/>
        </w:rPr>
        <w:t>.2</w:t>
      </w:r>
      <w:r>
        <w:rPr>
          <w:rFonts w:hint="eastAsia" w:hAnsi="宋体"/>
          <w:bCs/>
          <w:color w:val="auto"/>
          <w:szCs w:val="32"/>
          <w:highlight w:val="none"/>
        </w:rPr>
        <w:t>资格</w:t>
      </w:r>
      <w:r>
        <w:rPr>
          <w:rFonts w:hAnsi="宋体"/>
          <w:bCs/>
          <w:color w:val="auto"/>
          <w:szCs w:val="32"/>
          <w:highlight w:val="none"/>
        </w:rPr>
        <w:t>审查过程中</w:t>
      </w:r>
      <w:r>
        <w:rPr>
          <w:rFonts w:hint="eastAsia" w:hAnsi="宋体"/>
          <w:bCs/>
          <w:color w:val="auto"/>
          <w:szCs w:val="32"/>
          <w:highlight w:val="none"/>
        </w:rPr>
        <w:t>，</w:t>
      </w:r>
      <w:r>
        <w:rPr>
          <w:rFonts w:hAnsi="宋体"/>
          <w:bCs/>
          <w:color w:val="auto"/>
          <w:szCs w:val="21"/>
          <w:highlight w:val="none"/>
        </w:rPr>
        <w:t>评标委员会可以要求投标人提交</w:t>
      </w:r>
      <w:r>
        <w:rPr>
          <w:rFonts w:hint="eastAsia" w:hAnsi="宋体"/>
          <w:bCs/>
          <w:color w:val="auto"/>
          <w:szCs w:val="21"/>
          <w:highlight w:val="none"/>
        </w:rPr>
        <w:t>资格审查所需的</w:t>
      </w:r>
      <w:r>
        <w:rPr>
          <w:rFonts w:hAnsi="宋体"/>
          <w:bCs/>
          <w:color w:val="auto"/>
          <w:szCs w:val="21"/>
          <w:highlight w:val="none"/>
        </w:rPr>
        <w:t>有关证明的原件，以便核验。</w:t>
      </w:r>
    </w:p>
    <w:p>
      <w:pPr>
        <w:adjustRightInd w:val="0"/>
        <w:snapToGrid w:val="0"/>
        <w:spacing w:line="360" w:lineRule="auto"/>
        <w:jc w:val="center"/>
        <w:rPr>
          <w:rFonts w:hAnsi="宋体"/>
          <w:b/>
          <w:bCs/>
          <w:snapToGrid w:val="0"/>
          <w:color w:val="auto"/>
          <w:sz w:val="30"/>
          <w:szCs w:val="30"/>
          <w:highlight w:val="none"/>
        </w:rPr>
      </w:pPr>
      <w:r>
        <w:rPr>
          <w:rFonts w:hint="eastAsia" w:hAnsi="宋体"/>
          <w:b/>
          <w:bCs/>
          <w:snapToGrid w:val="0"/>
          <w:color w:val="auto"/>
          <w:sz w:val="30"/>
          <w:szCs w:val="30"/>
          <w:highlight w:val="none"/>
        </w:rPr>
        <w:t>4、初步评审</w:t>
      </w:r>
    </w:p>
    <w:p>
      <w:pPr>
        <w:adjustRightInd w:val="0"/>
        <w:snapToGrid w:val="0"/>
        <w:spacing w:line="360" w:lineRule="auto"/>
        <w:ind w:firstLine="422" w:firstLineChars="200"/>
        <w:rPr>
          <w:rFonts w:hAnsi="宋体"/>
          <w:b/>
          <w:bCs/>
          <w:snapToGrid w:val="0"/>
          <w:color w:val="auto"/>
          <w:szCs w:val="21"/>
          <w:highlight w:val="none"/>
        </w:rPr>
      </w:pPr>
      <w:r>
        <w:rPr>
          <w:rFonts w:hint="eastAsia" w:hAnsi="宋体"/>
          <w:b/>
          <w:bCs/>
          <w:snapToGrid w:val="0"/>
          <w:color w:val="auto"/>
          <w:szCs w:val="21"/>
          <w:highlight w:val="none"/>
        </w:rPr>
        <w:t>4</w:t>
      </w:r>
      <w:r>
        <w:rPr>
          <w:rFonts w:hAnsi="宋体"/>
          <w:b/>
          <w:bCs/>
          <w:snapToGrid w:val="0"/>
          <w:color w:val="auto"/>
          <w:szCs w:val="21"/>
          <w:highlight w:val="none"/>
        </w:rPr>
        <w:t>.1</w:t>
      </w:r>
      <w:r>
        <w:rPr>
          <w:rFonts w:hint="eastAsia" w:hAnsi="宋体"/>
          <w:b/>
          <w:bCs/>
          <w:snapToGrid w:val="0"/>
          <w:color w:val="auto"/>
          <w:szCs w:val="21"/>
          <w:highlight w:val="none"/>
        </w:rPr>
        <w:t>符合性审查</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4.1评标委员会应当对通过资格审查的投标人的投标文件进行符合性审查。投标人存在以下</w:t>
      </w:r>
      <w:r>
        <w:rPr>
          <w:rFonts w:hint="eastAsia" w:hAnsi="宋体"/>
          <w:bCs/>
          <w:color w:val="auto"/>
          <w:szCs w:val="32"/>
          <w:highlight w:val="none"/>
        </w:rPr>
        <w:t>情形</w:t>
      </w:r>
      <w:r>
        <w:rPr>
          <w:rFonts w:hint="eastAsia" w:hAnsi="宋体"/>
          <w:snapToGrid w:val="0"/>
          <w:color w:val="auto"/>
          <w:szCs w:val="21"/>
          <w:highlight w:val="none"/>
        </w:rPr>
        <w:t>之一，符合性审查不予通过，否决其投标，不再进行后续评审：</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（1）投标文件未按招标文件的要求签署和盖章的；</w:t>
      </w:r>
    </w:p>
    <w:p>
      <w:pPr>
        <w:adjustRightInd w:val="0"/>
        <w:snapToGrid w:val="0"/>
        <w:spacing w:line="360" w:lineRule="auto"/>
        <w:ind w:firstLine="422" w:firstLineChars="200"/>
        <w:rPr>
          <w:b/>
          <w:bCs/>
          <w:color w:val="auto"/>
          <w:highlight w:val="none"/>
          <w:u w:val="single"/>
        </w:rPr>
      </w:pPr>
      <w:r>
        <w:rPr>
          <w:rFonts w:hint="eastAsia" w:hAnsi="宋体"/>
          <w:b/>
          <w:bCs/>
          <w:snapToGrid w:val="0"/>
          <w:color w:val="auto"/>
          <w:szCs w:val="21"/>
          <w:highlight w:val="none"/>
          <w:u w:val="single"/>
        </w:rPr>
        <w:t>（2）投标文件中未提供营业执照（</w:t>
      </w:r>
      <w:r>
        <w:rPr>
          <w:rFonts w:hAnsi="宋体"/>
          <w:b/>
          <w:bCs/>
          <w:snapToGrid w:val="0"/>
          <w:color w:val="auto"/>
          <w:szCs w:val="21"/>
          <w:highlight w:val="none"/>
          <w:u w:val="single"/>
        </w:rPr>
        <w:t>事业单位法人证书</w:t>
      </w:r>
      <w:r>
        <w:rPr>
          <w:rFonts w:hint="eastAsia" w:hAnsi="宋体"/>
          <w:b/>
          <w:bCs/>
          <w:snapToGrid w:val="0"/>
          <w:color w:val="auto"/>
          <w:szCs w:val="21"/>
          <w:highlight w:val="none"/>
          <w:u w:val="single"/>
        </w:rPr>
        <w:t>、社会团体法人登记证书或其他组织登记证明文件）的；</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（3）投标人未按招标文件的要求递交投标保证金的；</w:t>
      </w:r>
    </w:p>
    <w:p>
      <w:pPr>
        <w:adjustRightInd w:val="0"/>
        <w:snapToGrid w:val="0"/>
        <w:spacing w:line="360" w:lineRule="auto"/>
        <w:ind w:firstLine="422" w:firstLineChars="200"/>
        <w:rPr>
          <w:rFonts w:hint="default" w:hAnsi="宋体" w:eastAsia="宋体" w:cs="宋体"/>
          <w:b/>
          <w:bCs/>
          <w:color w:val="auto"/>
          <w:szCs w:val="21"/>
          <w:highlight w:val="none"/>
          <w:u w:val="single"/>
          <w:lang w:val="en-US" w:eastAsia="zh-CN"/>
        </w:rPr>
      </w:pPr>
      <w:r>
        <w:rPr>
          <w:rFonts w:hint="eastAsia" w:hAnsi="宋体"/>
          <w:b/>
          <w:bCs/>
          <w:snapToGrid w:val="0"/>
          <w:color w:val="auto"/>
          <w:szCs w:val="21"/>
          <w:highlight w:val="none"/>
          <w:u w:val="single"/>
        </w:rPr>
        <w:t>（4）</w:t>
      </w:r>
      <w:r>
        <w:rPr>
          <w:rFonts w:hint="eastAsia" w:hAnsi="宋体" w:cs="宋体"/>
          <w:b/>
          <w:bCs/>
          <w:color w:val="auto"/>
          <w:szCs w:val="21"/>
          <w:highlight w:val="none"/>
          <w:u w:val="single"/>
          <w:lang w:val="zh-CN"/>
        </w:rPr>
        <w:t>组成联合体投标的，投标文件未附联合体各方共同投标协议的；（</w:t>
      </w:r>
      <w:r>
        <w:rPr>
          <w:rFonts w:hint="eastAsia" w:hAnsi="宋体" w:cs="宋体"/>
          <w:b/>
          <w:bCs/>
          <w:color w:val="auto"/>
          <w:szCs w:val="21"/>
          <w:highlight w:val="none"/>
          <w:u w:val="single"/>
          <w:lang w:val="en-US" w:eastAsia="zh-CN"/>
        </w:rPr>
        <w:t>若有）</w:t>
      </w:r>
    </w:p>
    <w:p>
      <w:pPr>
        <w:adjustRightInd w:val="0"/>
        <w:snapToGrid w:val="0"/>
        <w:spacing w:line="360" w:lineRule="auto"/>
        <w:ind w:firstLine="422" w:firstLineChars="200"/>
        <w:rPr>
          <w:rFonts w:hint="eastAsia" w:cs="宋体"/>
          <w:b/>
          <w:bCs/>
          <w:color w:val="auto"/>
          <w:szCs w:val="21"/>
          <w:highlight w:val="none"/>
          <w:u w:val="single"/>
        </w:rPr>
        <w:sectPr>
          <w:footerReference r:id="rId16" w:type="default"/>
          <w:pgSz w:w="11906" w:h="16838"/>
          <w:pgMar w:top="1270" w:right="1349" w:bottom="1270" w:left="1349" w:header="510" w:footer="992" w:gutter="0"/>
          <w:pgBorders>
            <w:top w:val="none" w:sz="0" w:space="0"/>
            <w:left w:val="none" w:sz="0" w:space="0"/>
            <w:bottom w:val="none" w:sz="0" w:space="0"/>
            <w:right w:val="none" w:sz="0" w:space="0"/>
          </w:pgBorders>
          <w:pgNumType w:fmt="decimal"/>
          <w:cols w:space="720" w:num="1"/>
          <w:docGrid w:linePitch="312" w:charSpace="0"/>
        </w:sectPr>
      </w:pPr>
    </w:p>
    <w:p>
      <w:pPr>
        <w:adjustRightInd w:val="0"/>
        <w:snapToGrid w:val="0"/>
        <w:spacing w:line="360" w:lineRule="auto"/>
        <w:ind w:firstLine="422" w:firstLineChars="200"/>
        <w:rPr>
          <w:rFonts w:cs="宋体"/>
          <w:b/>
          <w:bCs/>
          <w:color w:val="auto"/>
          <w:szCs w:val="21"/>
          <w:highlight w:val="none"/>
          <w:u w:val="single"/>
        </w:rPr>
      </w:pPr>
      <w:r>
        <w:rPr>
          <w:rFonts w:hint="eastAsia" w:cs="宋体"/>
          <w:b/>
          <w:bCs/>
          <w:color w:val="auto"/>
          <w:szCs w:val="21"/>
          <w:highlight w:val="none"/>
          <w:u w:val="single"/>
        </w:rPr>
        <w:t>（5）</w:t>
      </w:r>
      <w:r>
        <w:rPr>
          <w:rFonts w:hint="eastAsia" w:hAnsi="宋体"/>
          <w:b/>
          <w:bCs/>
          <w:snapToGrid w:val="0"/>
          <w:color w:val="auto"/>
          <w:szCs w:val="21"/>
          <w:highlight w:val="none"/>
          <w:u w:val="single"/>
        </w:rPr>
        <w:t>投标文件不符合招标文件实质性要求（</w:t>
      </w:r>
      <w:r>
        <w:rPr>
          <w:rFonts w:hint="eastAsia" w:hAnsi="宋体" w:cs="宋体"/>
          <w:b/>
          <w:bCs/>
          <w:color w:val="auto"/>
          <w:szCs w:val="21"/>
          <w:highlight w:val="none"/>
          <w:u w:val="single"/>
        </w:rPr>
        <w:t>第三章</w:t>
      </w:r>
      <w:r>
        <w:rPr>
          <w:rFonts w:hint="eastAsia" w:hAnsi="宋体" w:cs="宋体"/>
          <w:b/>
          <w:bCs/>
          <w:color w:val="auto"/>
          <w:szCs w:val="21"/>
          <w:highlight w:val="none"/>
          <w:u w:val="single"/>
          <w:lang w:val="zh-CN"/>
        </w:rPr>
        <w:t>“</w:t>
      </w:r>
      <w:r>
        <w:rPr>
          <w:rFonts w:hint="eastAsia" w:hAnsi="宋体" w:cs="宋体"/>
          <w:b/>
          <w:bCs/>
          <w:color w:val="auto"/>
          <w:szCs w:val="21"/>
          <w:highlight w:val="none"/>
          <w:u w:val="single"/>
        </w:rPr>
        <w:t>用户需求书</w:t>
      </w:r>
      <w:r>
        <w:rPr>
          <w:rFonts w:hint="eastAsia" w:hAnsi="宋体" w:cs="宋体"/>
          <w:b/>
          <w:bCs/>
          <w:color w:val="auto"/>
          <w:szCs w:val="21"/>
          <w:highlight w:val="none"/>
          <w:u w:val="single"/>
          <w:lang w:val="zh-CN"/>
        </w:rPr>
        <w:t>”</w:t>
      </w:r>
      <w:r>
        <w:rPr>
          <w:rFonts w:hint="eastAsia" w:hAnsi="宋体"/>
          <w:b/>
          <w:bCs/>
          <w:snapToGrid w:val="0"/>
          <w:color w:val="auto"/>
          <w:szCs w:val="21"/>
          <w:highlight w:val="none"/>
          <w:u w:val="single"/>
        </w:rPr>
        <w:t>中具体条款用“</w:t>
      </w:r>
      <w:r>
        <w:rPr>
          <w:rFonts w:hint="eastAsia" w:hAnsi="宋体" w:cs="宋体"/>
          <w:b/>
          <w:bCs/>
          <w:color w:val="auto"/>
          <w:szCs w:val="21"/>
          <w:highlight w:val="none"/>
          <w:u w:val="single"/>
        </w:rPr>
        <w:t>★</w:t>
      </w:r>
      <w:r>
        <w:rPr>
          <w:rFonts w:hint="eastAsia" w:hAnsi="宋体"/>
          <w:b/>
          <w:bCs/>
          <w:snapToGrid w:val="0"/>
          <w:color w:val="auto"/>
          <w:szCs w:val="21"/>
          <w:highlight w:val="none"/>
          <w:u w:val="single"/>
        </w:rPr>
        <w:t>”标注）的；</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（6）同一投标人提交两个以上不同的投标文件或者投标报价，且投标文件中未声明哪一个有效的（招标文件要求提交备选投标的除外）；</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（7）投标报价</w:t>
      </w:r>
      <w:r>
        <w:rPr>
          <w:rFonts w:hint="eastAsia" w:hAnsi="宋体"/>
          <w:b/>
          <w:bCs/>
          <w:snapToGrid w:val="0"/>
          <w:color w:val="auto"/>
          <w:szCs w:val="21"/>
          <w:highlight w:val="none"/>
          <w:u w:val="single"/>
          <w:lang w:val="en-US" w:eastAsia="zh-CN"/>
        </w:rPr>
        <w:t>低于</w:t>
      </w:r>
      <w:r>
        <w:rPr>
          <w:rFonts w:hint="eastAsia" w:hAnsi="宋体"/>
          <w:b/>
          <w:bCs/>
          <w:snapToGrid w:val="0"/>
          <w:color w:val="auto"/>
          <w:szCs w:val="21"/>
          <w:highlight w:val="none"/>
          <w:u w:val="single"/>
        </w:rPr>
        <w:t>招标文件规定的最</w:t>
      </w:r>
      <w:r>
        <w:rPr>
          <w:rFonts w:hint="eastAsia" w:hAnsi="宋体"/>
          <w:b/>
          <w:bCs/>
          <w:snapToGrid w:val="0"/>
          <w:color w:val="auto"/>
          <w:szCs w:val="21"/>
          <w:highlight w:val="none"/>
          <w:u w:val="single"/>
          <w:lang w:val="en-US" w:eastAsia="zh-CN"/>
        </w:rPr>
        <w:t>低</w:t>
      </w:r>
      <w:r>
        <w:rPr>
          <w:rFonts w:hint="eastAsia" w:hAnsi="宋体"/>
          <w:b/>
          <w:bCs/>
          <w:snapToGrid w:val="0"/>
          <w:color w:val="auto"/>
          <w:szCs w:val="21"/>
          <w:highlight w:val="none"/>
          <w:u w:val="single"/>
        </w:rPr>
        <w:t>限价的（包含单价最</w:t>
      </w:r>
      <w:r>
        <w:rPr>
          <w:rFonts w:hint="eastAsia" w:hAnsi="宋体"/>
          <w:b/>
          <w:bCs/>
          <w:snapToGrid w:val="0"/>
          <w:color w:val="auto"/>
          <w:szCs w:val="21"/>
          <w:highlight w:val="none"/>
          <w:u w:val="single"/>
          <w:lang w:val="en-US" w:eastAsia="zh-CN"/>
        </w:rPr>
        <w:t>低</w:t>
      </w:r>
      <w:r>
        <w:rPr>
          <w:rFonts w:hint="eastAsia" w:hAnsi="宋体"/>
          <w:b/>
          <w:bCs/>
          <w:snapToGrid w:val="0"/>
          <w:color w:val="auto"/>
          <w:szCs w:val="21"/>
          <w:highlight w:val="none"/>
          <w:u w:val="single"/>
        </w:rPr>
        <w:t>限价）；</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（8）投标文件未按规定的格式（招标文件第五章“投标文件格式”）编制或内容不全或关键字迹模糊、无法辨认的；</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（9）投标文件中承诺的投标有效期少于招标文件中载明的投标有效期的；</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（10）投标人根据招标文件规定及投标内容对招标人所作的任何合法承诺或响应存在与实际不符的；</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（11）投标人对根据修正原则修正后的报价不予确认的；</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（12）经评标委员会认定其他属于重大偏离的</w:t>
      </w:r>
      <w:r>
        <w:rPr>
          <w:rFonts w:hint="eastAsia" w:hAnsi="宋体"/>
          <w:b/>
          <w:bCs/>
          <w:snapToGrid w:val="0"/>
          <w:color w:val="auto"/>
          <w:szCs w:val="21"/>
          <w:highlight w:val="none"/>
          <w:u w:val="single"/>
          <w:lang w:eastAsia="zh-CN"/>
        </w:rPr>
        <w:t>（</w:t>
      </w:r>
      <w:r>
        <w:rPr>
          <w:rFonts w:hint="eastAsia" w:hAnsi="宋体"/>
          <w:b/>
          <w:bCs/>
          <w:snapToGrid w:val="0"/>
          <w:color w:val="auto"/>
          <w:szCs w:val="21"/>
          <w:highlight w:val="none"/>
          <w:u w:val="single"/>
        </w:rPr>
        <w:t>重大偏离或保留是指将会影响到招标文件规定的服务范围、质量标准，或会给合同中规定的招标人的权利和投标人的责任造成实质性限制，而纠正这些偏离或保留将对其他提交了实质性响应的投标文件的投标人产生不公平影响的</w:t>
      </w:r>
      <w:r>
        <w:rPr>
          <w:rFonts w:hint="eastAsia" w:hAnsi="宋体"/>
          <w:b/>
          <w:bCs/>
          <w:snapToGrid w:val="0"/>
          <w:color w:val="auto"/>
          <w:szCs w:val="21"/>
          <w:highlight w:val="none"/>
          <w:u w:val="single"/>
          <w:lang w:eastAsia="zh-CN"/>
        </w:rPr>
        <w:t>）</w:t>
      </w:r>
      <w:r>
        <w:rPr>
          <w:rFonts w:hint="eastAsia" w:hAnsi="宋体"/>
          <w:b/>
          <w:bCs/>
          <w:snapToGrid w:val="0"/>
          <w:color w:val="auto"/>
          <w:szCs w:val="21"/>
          <w:highlight w:val="none"/>
          <w:u w:val="single"/>
        </w:rPr>
        <w:t>；</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（13）存在法律、法规规定的其他否决投标情形的。</w:t>
      </w:r>
    </w:p>
    <w:p>
      <w:pPr>
        <w:adjustRightInd w:val="0"/>
        <w:snapToGrid w:val="0"/>
        <w:spacing w:line="360" w:lineRule="auto"/>
        <w:ind w:firstLine="422" w:firstLineChars="200"/>
        <w:rPr>
          <w:rFonts w:hAnsi="宋体"/>
          <w:b/>
          <w:bCs/>
          <w:snapToGrid w:val="0"/>
          <w:color w:val="auto"/>
          <w:szCs w:val="21"/>
          <w:highlight w:val="none"/>
        </w:rPr>
      </w:pPr>
      <w:r>
        <w:rPr>
          <w:rFonts w:hint="eastAsia" w:hAnsi="宋体"/>
          <w:b/>
          <w:bCs/>
          <w:snapToGrid w:val="0"/>
          <w:color w:val="auto"/>
          <w:szCs w:val="21"/>
          <w:highlight w:val="none"/>
        </w:rPr>
        <w:t>4.2有效标认定</w:t>
      </w:r>
    </w:p>
    <w:p>
      <w:pPr>
        <w:adjustRightInd w:val="0"/>
        <w:snapToGrid w:val="0"/>
        <w:spacing w:line="360" w:lineRule="auto"/>
        <w:ind w:firstLine="454" w:firstLineChars="200"/>
        <w:rPr>
          <w:rFonts w:hAnsi="宋体" w:cs="宋体"/>
          <w:b/>
          <w:color w:val="auto"/>
          <w:spacing w:val="11"/>
          <w:highlight w:val="none"/>
        </w:rPr>
      </w:pPr>
      <w:r>
        <w:rPr>
          <w:rFonts w:hAnsi="宋体" w:cs="宋体"/>
          <w:b/>
          <w:color w:val="auto"/>
          <w:spacing w:val="8"/>
          <w:highlight w:val="none"/>
        </w:rPr>
        <w:t>通过资格审查和符合性审查的有效投标人不足</w:t>
      </w:r>
      <w:r>
        <w:rPr>
          <w:rFonts w:hAnsi="宋体" w:cs="宋体"/>
          <w:b/>
          <w:color w:val="auto"/>
          <w:spacing w:val="6"/>
          <w:highlight w:val="none"/>
        </w:rPr>
        <w:t xml:space="preserve"> </w:t>
      </w:r>
      <w:r>
        <w:rPr>
          <w:rFonts w:hAnsi="宋体" w:cs="宋体"/>
          <w:b/>
          <w:color w:val="auto"/>
          <w:spacing w:val="5"/>
          <w:highlight w:val="none"/>
        </w:rPr>
        <w:t>3</w:t>
      </w:r>
      <w:r>
        <w:rPr>
          <w:rFonts w:hAnsi="宋体" w:cs="宋体"/>
          <w:b/>
          <w:color w:val="auto"/>
          <w:spacing w:val="6"/>
          <w:highlight w:val="none"/>
        </w:rPr>
        <w:t xml:space="preserve"> </w:t>
      </w:r>
      <w:r>
        <w:rPr>
          <w:rFonts w:hAnsi="宋体" w:cs="宋体"/>
          <w:b/>
          <w:color w:val="auto"/>
          <w:spacing w:val="8"/>
          <w:highlight w:val="none"/>
        </w:rPr>
        <w:t>家的</w:t>
      </w:r>
      <w:r>
        <w:rPr>
          <w:rFonts w:hAnsi="宋体" w:cs="宋体"/>
          <w:b/>
          <w:color w:val="auto"/>
          <w:spacing w:val="10"/>
          <w:highlight w:val="none"/>
        </w:rPr>
        <w:t>，</w:t>
      </w:r>
      <w:r>
        <w:rPr>
          <w:rFonts w:hAnsi="宋体" w:cs="宋体"/>
          <w:b/>
          <w:color w:val="auto"/>
          <w:spacing w:val="9"/>
          <w:highlight w:val="none"/>
        </w:rPr>
        <w:t>否决所有投标</w:t>
      </w:r>
      <w:r>
        <w:rPr>
          <w:rFonts w:hAnsi="宋体" w:cs="宋体"/>
          <w:b/>
          <w:color w:val="auto"/>
          <w:spacing w:val="11"/>
          <w:highlight w:val="none"/>
        </w:rPr>
        <w:t>。</w:t>
      </w:r>
    </w:p>
    <w:p>
      <w:pPr>
        <w:adjustRightInd w:val="0"/>
        <w:snapToGrid w:val="0"/>
        <w:spacing w:line="360" w:lineRule="auto"/>
        <w:ind w:firstLine="420" w:firstLineChars="200"/>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color w:val="auto"/>
          <w:highlight w:val="none"/>
        </w:rPr>
      </w:pPr>
    </w:p>
    <w:p>
      <w:pPr>
        <w:rPr>
          <w:color w:val="auto"/>
          <w:highlight w:val="none"/>
        </w:rPr>
      </w:pPr>
    </w:p>
    <w:p>
      <w:pPr>
        <w:adjustRightInd w:val="0"/>
        <w:snapToGrid w:val="0"/>
        <w:spacing w:line="360" w:lineRule="auto"/>
        <w:jc w:val="center"/>
        <w:rPr>
          <w:rFonts w:hint="eastAsia" w:hAnsi="宋体"/>
          <w:b/>
          <w:bCs/>
          <w:snapToGrid w:val="0"/>
          <w:color w:val="auto"/>
          <w:sz w:val="30"/>
          <w:szCs w:val="30"/>
          <w:highlight w:val="none"/>
        </w:rPr>
        <w:sectPr>
          <w:footerReference r:id="rId17" w:type="default"/>
          <w:pgSz w:w="11906" w:h="16838"/>
          <w:pgMar w:top="1270" w:right="1349" w:bottom="1270" w:left="1349" w:header="510" w:footer="992" w:gutter="0"/>
          <w:pgBorders>
            <w:top w:val="none" w:sz="0" w:space="0"/>
            <w:left w:val="none" w:sz="0" w:space="0"/>
            <w:bottom w:val="none" w:sz="0" w:space="0"/>
            <w:right w:val="none" w:sz="0" w:space="0"/>
          </w:pgBorders>
          <w:pgNumType w:fmt="decimal"/>
          <w:cols w:space="720" w:num="1"/>
          <w:docGrid w:linePitch="312" w:charSpace="0"/>
        </w:sectPr>
      </w:pPr>
    </w:p>
    <w:p>
      <w:pPr>
        <w:adjustRightInd w:val="0"/>
        <w:snapToGrid w:val="0"/>
        <w:spacing w:line="360" w:lineRule="auto"/>
        <w:jc w:val="center"/>
        <w:rPr>
          <w:rFonts w:hAnsi="宋体"/>
          <w:b/>
          <w:bCs/>
          <w:snapToGrid w:val="0"/>
          <w:color w:val="auto"/>
          <w:sz w:val="30"/>
          <w:szCs w:val="30"/>
          <w:highlight w:val="none"/>
        </w:rPr>
      </w:pPr>
      <w:r>
        <w:rPr>
          <w:rFonts w:hint="eastAsia" w:hAnsi="宋体"/>
          <w:b/>
          <w:bCs/>
          <w:snapToGrid w:val="0"/>
          <w:color w:val="auto"/>
          <w:sz w:val="30"/>
          <w:szCs w:val="30"/>
          <w:highlight w:val="none"/>
        </w:rPr>
        <w:t>5、详细评审</w:t>
      </w:r>
    </w:p>
    <w:p>
      <w:pPr>
        <w:keepLines/>
        <w:widowControl/>
        <w:topLinePunct/>
        <w:adjustRightInd w:val="0"/>
        <w:snapToGrid w:val="0"/>
        <w:spacing w:line="360" w:lineRule="auto"/>
        <w:ind w:firstLine="422" w:firstLineChars="200"/>
        <w:rPr>
          <w:rFonts w:hint="eastAsia" w:hAnsi="宋体" w:cs="宋体"/>
          <w:color w:val="auto"/>
          <w:highlight w:val="none"/>
        </w:rPr>
      </w:pPr>
      <w:r>
        <w:rPr>
          <w:rFonts w:hint="eastAsia" w:hAnsi="宋体" w:cs="宋体"/>
          <w:b/>
          <w:bCs/>
          <w:snapToGrid w:val="0"/>
          <w:color w:val="auto"/>
          <w:szCs w:val="21"/>
          <w:highlight w:val="none"/>
        </w:rPr>
        <w:t>5.1</w:t>
      </w:r>
      <w:r>
        <w:rPr>
          <w:rFonts w:hint="eastAsia" w:hAnsi="宋体" w:cs="宋体"/>
          <w:color w:val="auto"/>
          <w:highlight w:val="none"/>
        </w:rPr>
        <w:t>评标委员会对通过初步评审的有效标的投标文件按如下“评分细则”进行详细评审：</w:t>
      </w:r>
    </w:p>
    <w:tbl>
      <w:tblPr>
        <w:tblStyle w:val="88"/>
        <w:tblW w:w="5113" w:type="pct"/>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108" w:type="dxa"/>
          <w:bottom w:w="57" w:type="dxa"/>
          <w:right w:w="108" w:type="dxa"/>
        </w:tblCellMar>
      </w:tblPr>
      <w:tblGrid>
        <w:gridCol w:w="999"/>
        <w:gridCol w:w="953"/>
        <w:gridCol w:w="578"/>
        <w:gridCol w:w="7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82" w:hRule="atLeast"/>
        </w:trPr>
        <w:tc>
          <w:tcPr>
            <w:tcW w:w="518" w:type="pct"/>
            <w:tcBorders>
              <w:left w:val="single" w:color="auto" w:sz="4" w:space="0"/>
              <w:right w:val="single" w:color="000000" w:sz="4" w:space="0"/>
            </w:tcBorders>
            <w:vAlign w:val="center"/>
          </w:tcPr>
          <w:p>
            <w:pPr>
              <w:keepLines/>
              <w:widowControl/>
              <w:topLinePunct/>
              <w:adjustRightInd w:val="0"/>
              <w:snapToGrid w:val="0"/>
              <w:ind w:right="3"/>
              <w:jc w:val="center"/>
              <w:rPr>
                <w:rFonts w:hAnsi="宋体" w:cs="宋体"/>
                <w:color w:val="auto"/>
                <w:highlight w:val="none"/>
              </w:rPr>
            </w:pPr>
            <w:r>
              <w:rPr>
                <w:rFonts w:hint="eastAsia" w:hAnsi="宋体" w:cs="宋体"/>
                <w:color w:val="auto"/>
                <w:highlight w:val="none"/>
              </w:rPr>
              <w:t>分类</w:t>
            </w:r>
          </w:p>
        </w:tc>
        <w:tc>
          <w:tcPr>
            <w:tcW w:w="494" w:type="pct"/>
            <w:tcBorders>
              <w:left w:val="single" w:color="000000" w:sz="4" w:space="0"/>
            </w:tcBorders>
            <w:vAlign w:val="center"/>
          </w:tcPr>
          <w:p>
            <w:pPr>
              <w:keepLines/>
              <w:widowControl/>
              <w:topLinePunct/>
              <w:adjustRightInd w:val="0"/>
              <w:snapToGrid w:val="0"/>
              <w:ind w:right="3"/>
              <w:jc w:val="center"/>
              <w:rPr>
                <w:rFonts w:hAnsi="宋体" w:cs="宋体"/>
                <w:color w:val="auto"/>
                <w:highlight w:val="none"/>
              </w:rPr>
            </w:pPr>
            <w:r>
              <w:rPr>
                <w:rFonts w:hint="eastAsia" w:hAnsi="宋体" w:cs="宋体"/>
                <w:color w:val="auto"/>
                <w:highlight w:val="none"/>
              </w:rPr>
              <w:t>评审因素</w:t>
            </w:r>
          </w:p>
        </w:tc>
        <w:tc>
          <w:tcPr>
            <w:tcW w:w="300" w:type="pct"/>
            <w:vAlign w:val="center"/>
          </w:tcPr>
          <w:p>
            <w:pPr>
              <w:keepLines/>
              <w:widowControl/>
              <w:topLinePunct/>
              <w:adjustRightInd w:val="0"/>
              <w:snapToGrid w:val="0"/>
              <w:ind w:right="3"/>
              <w:jc w:val="center"/>
              <w:rPr>
                <w:rFonts w:hAnsi="宋体" w:cs="宋体"/>
                <w:color w:val="auto"/>
                <w:highlight w:val="none"/>
              </w:rPr>
            </w:pPr>
            <w:r>
              <w:rPr>
                <w:rFonts w:hint="eastAsia" w:hAnsi="宋体" w:cs="宋体"/>
                <w:color w:val="auto"/>
                <w:highlight w:val="none"/>
              </w:rPr>
              <w:t>分值</w:t>
            </w:r>
          </w:p>
        </w:tc>
        <w:tc>
          <w:tcPr>
            <w:tcW w:w="3686" w:type="pct"/>
            <w:vAlign w:val="center"/>
          </w:tcPr>
          <w:p>
            <w:pPr>
              <w:keepLines/>
              <w:widowControl/>
              <w:topLinePunct/>
              <w:adjustRightInd w:val="0"/>
              <w:snapToGrid w:val="0"/>
              <w:ind w:right="3"/>
              <w:jc w:val="center"/>
              <w:rPr>
                <w:rFonts w:hAnsi="宋体" w:cs="宋体"/>
                <w:color w:val="auto"/>
                <w:highlight w:val="none"/>
              </w:rPr>
            </w:pPr>
            <w:r>
              <w:rPr>
                <w:rFonts w:hint="eastAsia" w:hAnsi="宋体" w:cs="宋体"/>
                <w:color w:val="auto"/>
                <w:highlight w:val="none"/>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532" w:hRule="atLeast"/>
        </w:trPr>
        <w:tc>
          <w:tcPr>
            <w:tcW w:w="518" w:type="pct"/>
            <w:tcBorders>
              <w:left w:val="single" w:color="auto" w:sz="4" w:space="0"/>
              <w:right w:val="single" w:color="000000" w:sz="4" w:space="0"/>
            </w:tcBorders>
            <w:vAlign w:val="center"/>
          </w:tcPr>
          <w:p>
            <w:pPr>
              <w:keepLines/>
              <w:widowControl/>
              <w:topLinePunct/>
              <w:adjustRightInd w:val="0"/>
              <w:snapToGrid w:val="0"/>
              <w:ind w:right="3"/>
              <w:rPr>
                <w:rFonts w:hAnsi="宋体" w:cs="宋体"/>
                <w:color w:val="auto"/>
                <w:highlight w:val="none"/>
              </w:rPr>
            </w:pPr>
          </w:p>
          <w:p>
            <w:pPr>
              <w:keepLines/>
              <w:widowControl/>
              <w:topLinePunct/>
              <w:adjustRightInd w:val="0"/>
              <w:snapToGrid w:val="0"/>
              <w:ind w:right="3"/>
              <w:rPr>
                <w:rFonts w:hAnsi="宋体" w:cs="宋体"/>
                <w:color w:val="auto"/>
                <w:highlight w:val="none"/>
              </w:rPr>
            </w:pPr>
            <w:r>
              <w:rPr>
                <w:rFonts w:hint="eastAsia" w:hAnsi="宋体" w:cs="宋体"/>
                <w:color w:val="auto"/>
                <w:highlight w:val="none"/>
              </w:rPr>
              <w:t>资信评审</w:t>
            </w:r>
            <w:r>
              <w:rPr>
                <w:rFonts w:hint="eastAsia" w:hAnsi="宋体" w:cs="宋体"/>
                <w:color w:val="auto"/>
                <w:highlight w:val="none"/>
                <w:lang w:eastAsia="zh-CN"/>
              </w:rPr>
              <w:t>（</w:t>
            </w:r>
            <w:r>
              <w:rPr>
                <w:rFonts w:hint="eastAsia" w:hAnsi="宋体" w:cs="宋体"/>
                <w:color w:val="auto"/>
                <w:highlight w:val="none"/>
                <w:lang w:val="en-US" w:eastAsia="zh-CN"/>
              </w:rPr>
              <w:t>5</w:t>
            </w:r>
            <w:r>
              <w:rPr>
                <w:rFonts w:hint="eastAsia" w:hAnsi="宋体" w:cs="宋体"/>
                <w:color w:val="auto"/>
                <w:highlight w:val="none"/>
              </w:rPr>
              <w:t>分）</w:t>
            </w:r>
          </w:p>
        </w:tc>
        <w:tc>
          <w:tcPr>
            <w:tcW w:w="494" w:type="pct"/>
            <w:tcBorders>
              <w:left w:val="single" w:color="000000" w:sz="4" w:space="0"/>
            </w:tcBorders>
            <w:vAlign w:val="center"/>
          </w:tcPr>
          <w:p>
            <w:pPr>
              <w:keepLines/>
              <w:widowControl/>
              <w:topLinePunct/>
              <w:adjustRightInd w:val="0"/>
              <w:snapToGrid w:val="0"/>
              <w:ind w:right="3"/>
              <w:jc w:val="center"/>
              <w:rPr>
                <w:rFonts w:hint="default" w:hAnsi="宋体" w:eastAsia="宋体" w:cs="宋体"/>
                <w:color w:val="auto"/>
                <w:highlight w:val="none"/>
                <w:lang w:val="en-US" w:eastAsia="zh-CN"/>
              </w:rPr>
            </w:pPr>
            <w:r>
              <w:rPr>
                <w:rFonts w:hint="eastAsia" w:hAnsi="宋体" w:cs="宋体"/>
                <w:color w:val="auto"/>
                <w:highlight w:val="none"/>
              </w:rPr>
              <w:t>投标人业绩</w:t>
            </w:r>
          </w:p>
        </w:tc>
        <w:tc>
          <w:tcPr>
            <w:tcW w:w="300" w:type="pct"/>
            <w:vAlign w:val="center"/>
          </w:tcPr>
          <w:p>
            <w:pPr>
              <w:keepLines/>
              <w:widowControl/>
              <w:topLinePunct/>
              <w:adjustRightInd w:val="0"/>
              <w:snapToGrid w:val="0"/>
              <w:ind w:right="3"/>
              <w:jc w:val="center"/>
              <w:rPr>
                <w:rFonts w:hint="eastAsia" w:hAnsi="宋体" w:eastAsia="宋体" w:cs="宋体"/>
                <w:color w:val="auto"/>
                <w:highlight w:val="none"/>
                <w:lang w:val="en-US" w:eastAsia="zh-CN"/>
              </w:rPr>
            </w:pPr>
            <w:r>
              <w:rPr>
                <w:rFonts w:hint="eastAsia" w:hAnsi="宋体" w:cs="宋体"/>
                <w:color w:val="auto"/>
                <w:highlight w:val="none"/>
                <w:lang w:val="en-US" w:eastAsia="zh-CN"/>
              </w:rPr>
              <w:t>5</w:t>
            </w:r>
          </w:p>
        </w:tc>
        <w:tc>
          <w:tcPr>
            <w:tcW w:w="3686" w:type="pct"/>
            <w:vAlign w:val="center"/>
          </w:tcPr>
          <w:p>
            <w:pPr>
              <w:keepLines/>
              <w:widowControl/>
              <w:topLinePunct/>
              <w:adjustRightInd w:val="0"/>
              <w:snapToGrid w:val="0"/>
              <w:ind w:right="3"/>
              <w:rPr>
                <w:rFonts w:hAnsi="宋体" w:cs="宋体"/>
                <w:color w:val="auto"/>
                <w:szCs w:val="21"/>
                <w:highlight w:val="none"/>
              </w:rPr>
            </w:pPr>
            <w:r>
              <w:rPr>
                <w:rFonts w:hint="eastAsia" w:hAnsi="宋体" w:cs="宋体"/>
                <w:color w:val="auto"/>
                <w:szCs w:val="21"/>
                <w:highlight w:val="none"/>
              </w:rPr>
              <w:t>根据投标人自</w:t>
            </w:r>
            <w:r>
              <w:rPr>
                <w:rFonts w:hint="eastAsia" w:hAnsi="宋体" w:cs="宋体"/>
                <w:color w:val="auto"/>
                <w:szCs w:val="21"/>
                <w:highlight w:val="none"/>
                <w:lang w:val="en-US" w:eastAsia="zh-CN"/>
              </w:rPr>
              <w:t>2021</w:t>
            </w:r>
            <w:r>
              <w:rPr>
                <w:rFonts w:hint="eastAsia" w:hAnsi="宋体" w:cs="宋体"/>
                <w:color w:val="auto"/>
                <w:szCs w:val="21"/>
                <w:highlight w:val="none"/>
              </w:rPr>
              <w:t>年1月1日</w:t>
            </w:r>
            <w:r>
              <w:rPr>
                <w:rFonts w:hint="eastAsia" w:hAnsi="宋体" w:cs="宋体"/>
                <w:color w:val="auto"/>
                <w:szCs w:val="21"/>
                <w:highlight w:val="none"/>
                <w:lang w:val="en-US" w:eastAsia="zh-CN"/>
              </w:rPr>
              <w:t>以来</w:t>
            </w:r>
            <w:r>
              <w:rPr>
                <w:rFonts w:hint="eastAsia" w:hAnsi="宋体" w:cs="宋体"/>
                <w:color w:val="auto"/>
                <w:szCs w:val="21"/>
                <w:highlight w:val="none"/>
              </w:rPr>
              <w:t>至投标文件递交截止之日</w:t>
            </w:r>
            <w:r>
              <w:rPr>
                <w:rFonts w:hint="eastAsia" w:cs="宋体"/>
                <w:bCs/>
                <w:color w:val="auto"/>
                <w:szCs w:val="21"/>
                <w:highlight w:val="none"/>
                <w:lang w:val="en-US" w:eastAsia="zh-CN"/>
              </w:rPr>
              <w:t>期间类似</w:t>
            </w:r>
            <w:r>
              <w:rPr>
                <w:rFonts w:hint="eastAsia" w:hAnsi="宋体" w:cs="宋体"/>
                <w:color w:val="auto"/>
                <w:szCs w:val="21"/>
                <w:highlight w:val="none"/>
              </w:rPr>
              <w:t>炉渣综合处置</w:t>
            </w:r>
            <w:r>
              <w:rPr>
                <w:rFonts w:hint="eastAsia" w:hAnsi="宋体" w:cs="宋体"/>
                <w:color w:val="auto"/>
                <w:szCs w:val="21"/>
                <w:highlight w:val="none"/>
                <w:lang w:val="en-US" w:eastAsia="zh-CN"/>
              </w:rPr>
              <w:t>业绩</w:t>
            </w:r>
            <w:r>
              <w:rPr>
                <w:rFonts w:hint="eastAsia" w:hAnsi="宋体" w:cs="宋体"/>
                <w:color w:val="auto"/>
                <w:szCs w:val="21"/>
                <w:highlight w:val="none"/>
              </w:rPr>
              <w:t>进行打分。</w:t>
            </w:r>
          </w:p>
          <w:p>
            <w:pPr>
              <w:keepLines/>
              <w:widowControl/>
              <w:topLinePunct/>
              <w:adjustRightInd w:val="0"/>
              <w:snapToGrid w:val="0"/>
              <w:ind w:right="3"/>
              <w:rPr>
                <w:rFonts w:hint="default" w:hAnsi="宋体" w:cs="宋体"/>
                <w:color w:val="auto"/>
                <w:szCs w:val="21"/>
                <w:highlight w:val="none"/>
                <w:lang w:val="en-US" w:eastAsia="zh-CN"/>
              </w:rPr>
            </w:pPr>
            <w:r>
              <w:rPr>
                <w:rFonts w:hint="eastAsia" w:hAnsi="宋体" w:cs="宋体"/>
                <w:color w:val="auto"/>
                <w:szCs w:val="21"/>
                <w:highlight w:val="none"/>
                <w:lang w:val="en-US" w:eastAsia="zh-CN"/>
              </w:rPr>
              <w:t>（1）投标人具有类似</w:t>
            </w:r>
            <w:r>
              <w:rPr>
                <w:rFonts w:hint="eastAsia" w:hAnsi="宋体" w:cs="宋体"/>
                <w:color w:val="auto"/>
                <w:szCs w:val="21"/>
                <w:highlight w:val="none"/>
              </w:rPr>
              <w:t>炉渣综合处置</w:t>
            </w:r>
            <w:r>
              <w:rPr>
                <w:rFonts w:hint="eastAsia" w:hAnsi="宋体" w:cs="宋体"/>
                <w:color w:val="auto"/>
                <w:szCs w:val="21"/>
                <w:highlight w:val="none"/>
                <w:lang w:val="en-US" w:eastAsia="zh-CN"/>
              </w:rPr>
              <w:t>业绩的，每提供1个业绩得1分，最高得5分。</w:t>
            </w:r>
          </w:p>
          <w:p>
            <w:pPr>
              <w:keepLines/>
              <w:widowControl/>
              <w:topLinePunct/>
              <w:adjustRightInd w:val="0"/>
              <w:snapToGrid w:val="0"/>
              <w:ind w:right="3"/>
              <w:rPr>
                <w:rFonts w:hint="eastAsia" w:hAnsi="宋体" w:cs="宋体"/>
                <w:color w:val="auto"/>
                <w:szCs w:val="21"/>
                <w:highlight w:val="none"/>
                <w:lang w:val="en-US" w:eastAsia="zh-CN"/>
              </w:rPr>
            </w:pPr>
            <w:r>
              <w:rPr>
                <w:rFonts w:hint="eastAsia" w:hAnsi="宋体" w:cs="宋体"/>
                <w:color w:val="auto"/>
                <w:szCs w:val="21"/>
                <w:highlight w:val="none"/>
                <w:lang w:val="en-US" w:eastAsia="zh-CN"/>
              </w:rPr>
              <w:t>（2）投标人具有炉渣综合处置累计年处置量大于等于18.25万吨的得5分；</w:t>
            </w:r>
          </w:p>
          <w:p>
            <w:pPr>
              <w:keepLines/>
              <w:widowControl/>
              <w:topLinePunct/>
              <w:adjustRightInd w:val="0"/>
              <w:snapToGrid w:val="0"/>
              <w:ind w:right="3"/>
              <w:rPr>
                <w:rFonts w:hint="eastAsia" w:hAnsi="宋体" w:cs="宋体"/>
                <w:color w:val="auto"/>
                <w:szCs w:val="21"/>
                <w:highlight w:val="none"/>
                <w:lang w:val="en-US" w:eastAsia="zh-CN"/>
              </w:rPr>
            </w:pPr>
            <w:r>
              <w:rPr>
                <w:rFonts w:hint="eastAsia" w:hAnsi="宋体" w:cs="宋体"/>
                <w:color w:val="auto"/>
                <w:szCs w:val="21"/>
                <w:highlight w:val="none"/>
                <w:lang w:val="en-US" w:eastAsia="zh-CN"/>
              </w:rPr>
              <w:t>14.6万吨≤炉渣综合处置累计年处置量＜18.25万吨的得4分；</w:t>
            </w:r>
          </w:p>
          <w:p>
            <w:pPr>
              <w:keepLines/>
              <w:widowControl/>
              <w:topLinePunct/>
              <w:adjustRightInd w:val="0"/>
              <w:snapToGrid w:val="0"/>
              <w:ind w:right="3"/>
              <w:rPr>
                <w:rFonts w:hint="eastAsia" w:hAnsi="宋体" w:cs="宋体"/>
                <w:color w:val="auto"/>
                <w:szCs w:val="21"/>
                <w:highlight w:val="none"/>
                <w:lang w:val="en-US" w:eastAsia="zh-CN"/>
              </w:rPr>
            </w:pPr>
            <w:r>
              <w:rPr>
                <w:rFonts w:hint="eastAsia" w:hAnsi="宋体" w:cs="宋体"/>
                <w:color w:val="auto"/>
                <w:szCs w:val="21"/>
                <w:highlight w:val="none"/>
                <w:lang w:val="en-US" w:eastAsia="zh-CN"/>
              </w:rPr>
              <w:t>10.95万吨≤炉渣综合处置累计年处置量＜14.6万吨的得3分；</w:t>
            </w:r>
          </w:p>
          <w:p>
            <w:pPr>
              <w:keepLines/>
              <w:widowControl/>
              <w:topLinePunct/>
              <w:adjustRightInd w:val="0"/>
              <w:snapToGrid w:val="0"/>
              <w:ind w:right="3"/>
              <w:rPr>
                <w:rFonts w:hint="eastAsia" w:hAnsi="宋体" w:cs="宋体"/>
                <w:color w:val="auto"/>
                <w:szCs w:val="21"/>
                <w:highlight w:val="none"/>
                <w:lang w:val="en-US" w:eastAsia="zh-CN"/>
              </w:rPr>
            </w:pPr>
            <w:r>
              <w:rPr>
                <w:rFonts w:hint="eastAsia" w:hAnsi="宋体" w:cs="宋体"/>
                <w:color w:val="auto"/>
                <w:szCs w:val="21"/>
                <w:highlight w:val="none"/>
                <w:lang w:val="en-US" w:eastAsia="zh-CN"/>
              </w:rPr>
              <w:t>7.3万吨≤炉渣综合处置累计年处置量＜10.95万吨的得2分；</w:t>
            </w:r>
          </w:p>
          <w:p>
            <w:pPr>
              <w:keepLines/>
              <w:widowControl/>
              <w:topLinePunct/>
              <w:adjustRightInd w:val="0"/>
              <w:snapToGrid w:val="0"/>
              <w:ind w:right="3"/>
              <w:rPr>
                <w:rFonts w:hint="eastAsia" w:hAnsi="宋体" w:cs="宋体"/>
                <w:color w:val="auto"/>
                <w:szCs w:val="21"/>
                <w:highlight w:val="none"/>
                <w:lang w:val="en-US" w:eastAsia="zh-CN"/>
              </w:rPr>
            </w:pPr>
            <w:r>
              <w:rPr>
                <w:rFonts w:hint="eastAsia" w:hAnsi="宋体" w:cs="宋体"/>
                <w:color w:val="auto"/>
                <w:szCs w:val="21"/>
                <w:highlight w:val="none"/>
                <w:lang w:val="en-US" w:eastAsia="zh-CN"/>
              </w:rPr>
              <w:t>炉渣综合处置累计年处置量≤7.3万吨的得1分；</w:t>
            </w:r>
          </w:p>
          <w:p>
            <w:pPr>
              <w:keepLines/>
              <w:widowControl/>
              <w:topLinePunct/>
              <w:adjustRightInd w:val="0"/>
              <w:snapToGrid w:val="0"/>
              <w:ind w:right="3"/>
              <w:rPr>
                <w:rFonts w:hint="default" w:hAnsi="宋体" w:cs="宋体"/>
                <w:color w:val="auto"/>
                <w:szCs w:val="21"/>
                <w:highlight w:val="none"/>
                <w:lang w:val="en-US" w:eastAsia="zh-CN"/>
              </w:rPr>
            </w:pPr>
            <w:r>
              <w:rPr>
                <w:rFonts w:hint="eastAsia" w:hAnsi="宋体" w:cs="宋体"/>
                <w:color w:val="auto"/>
                <w:szCs w:val="21"/>
                <w:highlight w:val="none"/>
                <w:lang w:val="en-US" w:eastAsia="zh-CN"/>
              </w:rPr>
              <w:t>注：</w:t>
            </w:r>
            <w:r>
              <w:rPr>
                <w:rFonts w:hint="eastAsia" w:ascii="宋体" w:hAnsi="宋体" w:eastAsia="宋体" w:cs="宋体"/>
                <w:color w:val="auto"/>
                <w:szCs w:val="21"/>
                <w:highlight w:val="none"/>
                <w:lang w:val="en-US" w:eastAsia="zh-CN"/>
              </w:rPr>
              <w:t>①</w:t>
            </w:r>
            <w:r>
              <w:rPr>
                <w:rFonts w:hint="eastAsia" w:hAnsi="宋体" w:cs="宋体"/>
                <w:color w:val="auto"/>
                <w:szCs w:val="21"/>
                <w:highlight w:val="none"/>
                <w:lang w:val="en-US" w:eastAsia="zh-CN"/>
              </w:rPr>
              <w:t>满足（1）或（2），取高者计分，但（1）和（2）分数不可累加，本项最高得5分。</w:t>
            </w:r>
            <w:r>
              <w:rPr>
                <w:rFonts w:hint="eastAsia" w:ascii="宋体" w:hAnsi="宋体" w:eastAsia="宋体" w:cs="宋体"/>
                <w:color w:val="auto"/>
                <w:szCs w:val="21"/>
                <w:highlight w:val="none"/>
                <w:lang w:val="en-US" w:eastAsia="zh-CN"/>
              </w:rPr>
              <w:t>②</w:t>
            </w:r>
            <w:r>
              <w:rPr>
                <w:rFonts w:hint="eastAsia" w:hAnsi="宋体" w:cs="宋体"/>
                <w:color w:val="auto"/>
                <w:szCs w:val="21"/>
                <w:highlight w:val="none"/>
                <w:lang w:val="en-US" w:eastAsia="zh-CN"/>
              </w:rPr>
              <w:t>投标人炉渣综合处置累计年处置量为连续12个月内所有项目的处置量总和（例如2021.7.1-2022.6.30期间内的处置量总和）。</w:t>
            </w:r>
          </w:p>
          <w:p>
            <w:pPr>
              <w:keepLines/>
              <w:widowControl/>
              <w:topLinePunct/>
              <w:adjustRightInd w:val="0"/>
              <w:snapToGrid w:val="0"/>
              <w:ind w:right="3"/>
              <w:rPr>
                <w:rFonts w:hint="default" w:hAnsi="宋体" w:eastAsia="宋体" w:cs="宋体"/>
                <w:color w:val="auto"/>
                <w:highlight w:val="none"/>
                <w:lang w:val="en-US" w:eastAsia="zh-CN"/>
              </w:rPr>
            </w:pPr>
            <w:r>
              <w:rPr>
                <w:rFonts w:hint="eastAsia" w:cs="宋体"/>
                <w:bCs/>
                <w:color w:val="auto"/>
                <w:szCs w:val="21"/>
                <w:highlight w:val="none"/>
              </w:rPr>
              <w:t>证明材料：</w:t>
            </w:r>
            <w:r>
              <w:rPr>
                <w:rFonts w:hint="eastAsia" w:cs="宋体"/>
                <w:bCs/>
                <w:color w:val="auto"/>
                <w:szCs w:val="21"/>
                <w:highlight w:val="none"/>
                <w:lang w:val="en-US" w:eastAsia="zh-CN"/>
              </w:rPr>
              <w:t>提供</w:t>
            </w:r>
            <w:r>
              <w:rPr>
                <w:rFonts w:hint="eastAsia" w:cs="宋体"/>
                <w:bCs/>
                <w:color w:val="auto"/>
                <w:szCs w:val="21"/>
                <w:highlight w:val="none"/>
              </w:rPr>
              <w:t>炉渣采购或综合处置服务合同复印件</w:t>
            </w:r>
            <w:r>
              <w:rPr>
                <w:rFonts w:hint="eastAsia" w:cs="宋体"/>
                <w:bCs/>
                <w:color w:val="auto"/>
                <w:szCs w:val="21"/>
                <w:highlight w:val="none"/>
                <w:lang w:val="en-US" w:eastAsia="zh-CN"/>
              </w:rPr>
              <w:t>加盖公章</w:t>
            </w:r>
            <w:r>
              <w:rPr>
                <w:rFonts w:hint="eastAsia" w:cs="宋体"/>
                <w:bCs/>
                <w:color w:val="auto"/>
                <w:szCs w:val="21"/>
                <w:highlight w:val="none"/>
              </w:rPr>
              <w:t>（</w:t>
            </w:r>
            <w:r>
              <w:rPr>
                <w:rFonts w:hint="eastAsia" w:hAnsi="宋体" w:cs="宋体"/>
                <w:bCs/>
                <w:color w:val="auto"/>
                <w:szCs w:val="21"/>
                <w:highlight w:val="none"/>
              </w:rPr>
              <w:t>含合同首页、签订时间、服务范围及规模、双方签章页等）</w:t>
            </w:r>
            <w:r>
              <w:rPr>
                <w:rFonts w:hint="eastAsia" w:hAnsi="宋体" w:cs="宋体"/>
                <w:bCs/>
                <w:color w:val="auto"/>
                <w:szCs w:val="21"/>
                <w:highlight w:val="none"/>
                <w:lang w:eastAsia="zh-CN"/>
              </w:rPr>
              <w:t>，</w:t>
            </w:r>
            <w:r>
              <w:rPr>
                <w:rFonts w:hint="eastAsia" w:hAnsi="宋体" w:cs="宋体"/>
                <w:bCs/>
                <w:color w:val="auto"/>
                <w:szCs w:val="21"/>
                <w:highlight w:val="none"/>
                <w:lang w:val="en-US" w:eastAsia="zh-CN"/>
              </w:rPr>
              <w:t>如以炉渣综合处置累计年</w:t>
            </w:r>
            <w:r>
              <w:rPr>
                <w:rFonts w:hint="eastAsia" w:hAnsi="宋体" w:cs="宋体"/>
                <w:color w:val="auto"/>
                <w:szCs w:val="21"/>
                <w:highlight w:val="none"/>
                <w:lang w:val="en-US" w:eastAsia="zh-CN"/>
              </w:rPr>
              <w:t>处置量</w:t>
            </w:r>
            <w:r>
              <w:rPr>
                <w:rFonts w:hint="eastAsia" w:hAnsi="宋体" w:cs="宋体"/>
                <w:bCs/>
                <w:color w:val="auto"/>
                <w:szCs w:val="21"/>
                <w:highlight w:val="none"/>
                <w:lang w:val="en-US" w:eastAsia="zh-CN"/>
              </w:rPr>
              <w:t>计取分数的，合同无法体现处置规模的，须提供业主证明材料佐证（加盖业主方公章）。未按要求提供证明材料的不得分。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663" w:hRule="atLeast"/>
        </w:trPr>
        <w:tc>
          <w:tcPr>
            <w:tcW w:w="518" w:type="pct"/>
            <w:vMerge w:val="restart"/>
            <w:tcBorders>
              <w:left w:val="single" w:color="auto" w:sz="4" w:space="0"/>
              <w:right w:val="single" w:color="000000" w:sz="4" w:space="0"/>
            </w:tcBorders>
            <w:vAlign w:val="center"/>
          </w:tcPr>
          <w:p>
            <w:pPr>
              <w:keepLines/>
              <w:widowControl/>
              <w:topLinePunct/>
              <w:adjustRightInd w:val="0"/>
              <w:snapToGrid w:val="0"/>
              <w:rPr>
                <w:rFonts w:hAnsi="宋体" w:cs="宋体"/>
                <w:color w:val="auto"/>
                <w:highlight w:val="none"/>
              </w:rPr>
            </w:pPr>
          </w:p>
          <w:p>
            <w:pPr>
              <w:keepLines/>
              <w:widowControl/>
              <w:topLinePunct/>
              <w:adjustRightInd w:val="0"/>
              <w:snapToGrid w:val="0"/>
              <w:rPr>
                <w:rFonts w:hAnsi="宋体" w:cs="宋体"/>
                <w:color w:val="auto"/>
                <w:highlight w:val="none"/>
              </w:rPr>
            </w:pPr>
            <w:r>
              <w:rPr>
                <w:rFonts w:hint="eastAsia" w:hAnsi="宋体" w:cs="宋体"/>
                <w:color w:val="auto"/>
                <w:highlight w:val="none"/>
              </w:rPr>
              <w:t>技术评审（</w:t>
            </w:r>
            <w:r>
              <w:rPr>
                <w:rFonts w:hint="eastAsia" w:hAnsi="宋体" w:cs="宋体"/>
                <w:color w:val="auto"/>
                <w:highlight w:val="none"/>
                <w:lang w:val="en-US" w:eastAsia="zh-CN"/>
              </w:rPr>
              <w:t>5</w:t>
            </w:r>
            <w:r>
              <w:rPr>
                <w:rFonts w:hint="eastAsia" w:hAnsi="宋体" w:cs="宋体"/>
                <w:color w:val="auto"/>
                <w:highlight w:val="none"/>
              </w:rPr>
              <w:t>分）</w:t>
            </w:r>
          </w:p>
          <w:p>
            <w:pPr>
              <w:keepLines/>
              <w:widowControl/>
              <w:topLinePunct/>
              <w:adjustRightInd w:val="0"/>
              <w:snapToGrid w:val="0"/>
              <w:rPr>
                <w:rFonts w:hAnsi="宋体" w:cs="宋体"/>
                <w:color w:val="auto"/>
                <w:highlight w:val="none"/>
              </w:rPr>
            </w:pPr>
          </w:p>
          <w:p>
            <w:pPr>
              <w:keepLines/>
              <w:widowControl/>
              <w:topLinePunct/>
              <w:adjustRightInd w:val="0"/>
              <w:snapToGrid w:val="0"/>
              <w:ind w:right="3"/>
              <w:rPr>
                <w:rFonts w:hint="eastAsia" w:hAnsi="宋体" w:cs="宋体"/>
                <w:color w:val="auto"/>
                <w:highlight w:val="none"/>
              </w:rPr>
            </w:pPr>
          </w:p>
        </w:tc>
        <w:tc>
          <w:tcPr>
            <w:tcW w:w="494" w:type="pct"/>
            <w:tcBorders>
              <w:left w:val="single" w:color="000000" w:sz="4" w:space="0"/>
              <w:right w:val="single" w:color="auto" w:sz="4" w:space="0"/>
            </w:tcBorders>
            <w:vAlign w:val="center"/>
          </w:tcPr>
          <w:p>
            <w:pPr>
              <w:keepLines/>
              <w:widowControl/>
              <w:topLinePunct/>
              <w:adjustRightInd w:val="0"/>
              <w:snapToGrid w:val="0"/>
              <w:jc w:val="center"/>
              <w:rPr>
                <w:rFonts w:hAnsi="宋体" w:cs="宋体"/>
                <w:color w:val="auto"/>
                <w:highlight w:val="none"/>
              </w:rPr>
            </w:pPr>
            <w:r>
              <w:rPr>
                <w:rFonts w:hint="eastAsia" w:eastAsiaTheme="minorEastAsia" w:cstheme="minorBidi"/>
                <w:color w:val="auto"/>
                <w:kern w:val="2"/>
                <w:szCs w:val="21"/>
                <w:highlight w:val="none"/>
              </w:rPr>
              <w:t>项目安全环保</w:t>
            </w:r>
            <w:r>
              <w:rPr>
                <w:rFonts w:hint="eastAsia" w:eastAsiaTheme="minorEastAsia" w:cstheme="minorBidi"/>
                <w:color w:val="auto"/>
                <w:kern w:val="2"/>
                <w:szCs w:val="21"/>
                <w:highlight w:val="none"/>
                <w:lang w:val="en-US" w:eastAsia="zh-CN"/>
              </w:rPr>
              <w:t>管理</w:t>
            </w:r>
            <w:r>
              <w:rPr>
                <w:rFonts w:hint="eastAsia" w:eastAsiaTheme="minorEastAsia" w:cstheme="minorBidi"/>
                <w:color w:val="auto"/>
                <w:kern w:val="2"/>
                <w:szCs w:val="21"/>
                <w:highlight w:val="none"/>
              </w:rPr>
              <w:t>方案</w:t>
            </w:r>
          </w:p>
        </w:tc>
        <w:tc>
          <w:tcPr>
            <w:tcW w:w="300" w:type="pct"/>
            <w:tcBorders>
              <w:left w:val="single" w:color="auto" w:sz="4" w:space="0"/>
              <w:right w:val="single" w:color="auto" w:sz="4" w:space="0"/>
            </w:tcBorders>
            <w:vAlign w:val="center"/>
          </w:tcPr>
          <w:p>
            <w:pPr>
              <w:keepLines/>
              <w:widowControl/>
              <w:topLinePunct/>
              <w:adjustRightInd w:val="0"/>
              <w:snapToGrid w:val="0"/>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2.5</w:t>
            </w:r>
          </w:p>
        </w:tc>
        <w:tc>
          <w:tcPr>
            <w:tcW w:w="3686" w:type="pct"/>
            <w:tcBorders>
              <w:left w:val="single" w:color="auto" w:sz="4" w:space="0"/>
            </w:tcBorders>
            <w:vAlign w:val="center"/>
          </w:tcPr>
          <w:p>
            <w:pPr>
              <w:keepLines/>
              <w:widowControl/>
              <w:topLinePunct/>
              <w:adjustRightInd w:val="0"/>
              <w:snapToGrid w:val="0"/>
              <w:ind w:right="3"/>
              <w:rPr>
                <w:rFonts w:hint="eastAsia" w:eastAsia="宋体"/>
                <w:color w:val="auto"/>
                <w:highlight w:val="none"/>
                <w:lang w:eastAsia="zh-CN"/>
              </w:rPr>
            </w:pPr>
            <w:r>
              <w:rPr>
                <w:rFonts w:hint="eastAsia" w:eastAsiaTheme="minorEastAsia" w:cstheme="minorBidi"/>
                <w:color w:val="auto"/>
                <w:kern w:val="2"/>
                <w:szCs w:val="21"/>
                <w:highlight w:val="none"/>
              </w:rPr>
              <w:t>根据投标人针对本项目出具的安全环保</w:t>
            </w:r>
            <w:r>
              <w:rPr>
                <w:rFonts w:hint="eastAsia" w:eastAsiaTheme="minorEastAsia" w:cstheme="minorBidi"/>
                <w:color w:val="auto"/>
                <w:kern w:val="2"/>
                <w:szCs w:val="21"/>
                <w:highlight w:val="none"/>
                <w:lang w:val="en-US" w:eastAsia="zh-CN"/>
              </w:rPr>
              <w:t>管理</w:t>
            </w:r>
            <w:r>
              <w:rPr>
                <w:rFonts w:hint="eastAsia" w:eastAsiaTheme="minorEastAsia" w:cstheme="minorBidi"/>
                <w:color w:val="auto"/>
                <w:kern w:val="2"/>
                <w:szCs w:val="21"/>
                <w:highlight w:val="none"/>
              </w:rPr>
              <w:t>方案</w:t>
            </w:r>
            <w:r>
              <w:rPr>
                <w:rFonts w:hint="eastAsia" w:eastAsiaTheme="minorEastAsia" w:cstheme="minorBidi"/>
                <w:color w:val="auto"/>
                <w:kern w:val="2"/>
                <w:szCs w:val="21"/>
                <w:highlight w:val="none"/>
                <w:lang w:eastAsia="zh-CN"/>
              </w:rPr>
              <w:t>（</w:t>
            </w:r>
            <w:r>
              <w:rPr>
                <w:rFonts w:hint="eastAsia" w:eastAsiaTheme="minorEastAsia" w:cstheme="minorBidi"/>
                <w:color w:val="auto"/>
                <w:kern w:val="2"/>
                <w:szCs w:val="21"/>
                <w:highlight w:val="none"/>
                <w:lang w:val="en-US" w:eastAsia="zh-CN"/>
              </w:rPr>
              <w:t>包括但不限于总体目标、组织体系、制度体系、安全工作内容与落实措施、环境污染控制内容与落实措施、应急预案等内容）</w:t>
            </w:r>
            <w:r>
              <w:rPr>
                <w:rFonts w:hint="eastAsia" w:eastAsiaTheme="minorEastAsia" w:cstheme="minorBidi"/>
                <w:color w:val="auto"/>
                <w:kern w:val="2"/>
                <w:szCs w:val="21"/>
                <w:highlight w:val="none"/>
              </w:rPr>
              <w:t>进行打分，</w:t>
            </w:r>
            <w:r>
              <w:rPr>
                <w:rFonts w:hint="eastAsia"/>
                <w:color w:val="auto"/>
                <w:szCs w:val="21"/>
                <w:highlight w:val="none"/>
              </w:rPr>
              <w:t>方</w:t>
            </w:r>
            <w:r>
              <w:rPr>
                <w:rFonts w:hint="eastAsia" w:hAnsi="宋体" w:cs="宋体"/>
                <w:color w:val="auto"/>
                <w:highlight w:val="none"/>
              </w:rPr>
              <w:t>案优秀得</w:t>
            </w:r>
            <w:r>
              <w:rPr>
                <w:rFonts w:hint="eastAsia" w:hAnsi="宋体" w:cs="宋体"/>
                <w:color w:val="auto"/>
                <w:highlight w:val="none"/>
                <w:lang w:val="en-US" w:eastAsia="zh-CN"/>
              </w:rPr>
              <w:t>2</w:t>
            </w:r>
            <w:r>
              <w:rPr>
                <w:rFonts w:hint="eastAsia" w:hAnsi="宋体" w:cs="宋体"/>
                <w:color w:val="auto"/>
                <w:highlight w:val="none"/>
                <w:lang w:eastAsia="zh-CN"/>
              </w:rPr>
              <w:t>（</w:t>
            </w:r>
            <w:r>
              <w:rPr>
                <w:rFonts w:hint="eastAsia" w:hAnsi="宋体" w:cs="宋体"/>
                <w:color w:val="auto"/>
                <w:highlight w:val="none"/>
                <w:lang w:val="en-US" w:eastAsia="zh-CN"/>
              </w:rPr>
              <w:t>含）-2.5</w:t>
            </w:r>
            <w:r>
              <w:rPr>
                <w:rFonts w:hint="eastAsia" w:hAnsi="宋体" w:cs="宋体"/>
                <w:color w:val="auto"/>
                <w:highlight w:val="none"/>
              </w:rPr>
              <w:t>分，</w:t>
            </w:r>
            <w:r>
              <w:rPr>
                <w:rFonts w:hint="eastAsia" w:hAnsi="宋体" w:cs="宋体"/>
                <w:color w:val="auto"/>
                <w:highlight w:val="none"/>
                <w:lang w:val="en-US" w:eastAsia="zh-CN"/>
              </w:rPr>
              <w:t>方案良好得1.5</w:t>
            </w:r>
            <w:r>
              <w:rPr>
                <w:rFonts w:hint="eastAsia" w:hAnsi="宋体" w:cs="宋体"/>
                <w:color w:val="auto"/>
                <w:highlight w:val="none"/>
                <w:lang w:eastAsia="zh-CN"/>
              </w:rPr>
              <w:t>（</w:t>
            </w:r>
            <w:r>
              <w:rPr>
                <w:rFonts w:hint="eastAsia" w:hAnsi="宋体" w:cs="宋体"/>
                <w:color w:val="auto"/>
                <w:highlight w:val="none"/>
                <w:lang w:val="en-US" w:eastAsia="zh-CN"/>
              </w:rPr>
              <w:t>含）-2（不含）分，</w:t>
            </w:r>
            <w:r>
              <w:rPr>
                <w:rFonts w:hint="eastAsia" w:hAnsi="宋体" w:cs="宋体"/>
                <w:color w:val="auto"/>
                <w:highlight w:val="none"/>
              </w:rPr>
              <w:t>方案一般得</w:t>
            </w:r>
            <w:r>
              <w:rPr>
                <w:rFonts w:hint="eastAsia" w:hAnsi="宋体" w:cs="宋体"/>
                <w:color w:val="auto"/>
                <w:highlight w:val="none"/>
                <w:lang w:val="en-US" w:eastAsia="zh-CN"/>
              </w:rPr>
              <w:t>1-1.5（不含）</w:t>
            </w:r>
            <w:r>
              <w:rPr>
                <w:rFonts w:hint="eastAsia" w:hAnsi="宋体" w:cs="宋体"/>
                <w:color w:val="auto"/>
                <w:highlight w:val="none"/>
              </w:rPr>
              <w:t>分，未提供方案的不得分。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90" w:hRule="atLeast"/>
        </w:trPr>
        <w:tc>
          <w:tcPr>
            <w:tcW w:w="518" w:type="pct"/>
            <w:vMerge w:val="continue"/>
            <w:tcBorders>
              <w:left w:val="single" w:color="auto" w:sz="4" w:space="0"/>
              <w:right w:val="single" w:color="000000" w:sz="4" w:space="0"/>
            </w:tcBorders>
            <w:vAlign w:val="center"/>
          </w:tcPr>
          <w:p>
            <w:pPr>
              <w:keepLines/>
              <w:widowControl/>
              <w:topLinePunct/>
              <w:adjustRightInd w:val="0"/>
              <w:snapToGrid w:val="0"/>
              <w:jc w:val="center"/>
              <w:rPr>
                <w:color w:val="auto"/>
                <w:highlight w:val="none"/>
              </w:rPr>
            </w:pPr>
          </w:p>
        </w:tc>
        <w:tc>
          <w:tcPr>
            <w:tcW w:w="494" w:type="pct"/>
            <w:tcBorders>
              <w:left w:val="single" w:color="000000" w:sz="4" w:space="0"/>
              <w:right w:val="single" w:color="auto" w:sz="4" w:space="0"/>
            </w:tcBorders>
            <w:vAlign w:val="center"/>
          </w:tcPr>
          <w:p>
            <w:pPr>
              <w:keepLines/>
              <w:widowControl/>
              <w:topLinePunct/>
              <w:adjustRightInd w:val="0"/>
              <w:snapToGrid w:val="0"/>
              <w:jc w:val="center"/>
              <w:rPr>
                <w:rFonts w:hint="default" w:hAnsi="宋体" w:eastAsia="宋体" w:cs="宋体"/>
                <w:color w:val="auto"/>
                <w:highlight w:val="none"/>
                <w:lang w:val="en-US" w:eastAsia="zh-CN"/>
              </w:rPr>
            </w:pPr>
            <w:r>
              <w:rPr>
                <w:rFonts w:hint="eastAsia"/>
                <w:color w:val="auto"/>
                <w:szCs w:val="21"/>
                <w:highlight w:val="none"/>
                <w:lang w:val="en-US" w:eastAsia="zh-CN"/>
              </w:rPr>
              <w:t>淤泥处置、</w:t>
            </w:r>
            <w:r>
              <w:rPr>
                <w:rFonts w:hint="eastAsia"/>
                <w:color w:val="auto"/>
                <w:szCs w:val="21"/>
                <w:highlight w:val="none"/>
              </w:rPr>
              <w:t>分选金属处置方案</w:t>
            </w:r>
          </w:p>
        </w:tc>
        <w:tc>
          <w:tcPr>
            <w:tcW w:w="300" w:type="pct"/>
            <w:tcBorders>
              <w:left w:val="single" w:color="auto" w:sz="4" w:space="0"/>
              <w:right w:val="single" w:color="auto" w:sz="4" w:space="0"/>
            </w:tcBorders>
            <w:vAlign w:val="center"/>
          </w:tcPr>
          <w:p>
            <w:pPr>
              <w:keepLines/>
              <w:widowControl/>
              <w:topLinePunct/>
              <w:adjustRightInd w:val="0"/>
              <w:snapToGrid w:val="0"/>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2.5</w:t>
            </w:r>
          </w:p>
        </w:tc>
        <w:tc>
          <w:tcPr>
            <w:tcW w:w="3686" w:type="pct"/>
            <w:tcBorders>
              <w:left w:val="single" w:color="auto" w:sz="4" w:space="0"/>
            </w:tcBorders>
            <w:vAlign w:val="center"/>
          </w:tcPr>
          <w:p>
            <w:pPr>
              <w:keepLines/>
              <w:widowControl/>
              <w:topLinePunct/>
              <w:adjustRightInd w:val="0"/>
              <w:snapToGrid w:val="0"/>
              <w:ind w:right="3"/>
              <w:rPr>
                <w:rFonts w:hint="eastAsia"/>
                <w:color w:val="auto"/>
                <w:szCs w:val="21"/>
                <w:highlight w:val="none"/>
              </w:rPr>
            </w:pPr>
          </w:p>
          <w:p>
            <w:pPr>
              <w:keepLines/>
              <w:widowControl/>
              <w:topLinePunct/>
              <w:adjustRightInd w:val="0"/>
              <w:snapToGrid w:val="0"/>
              <w:ind w:right="3"/>
              <w:rPr>
                <w:rFonts w:hint="default"/>
                <w:color w:val="auto"/>
                <w:highlight w:val="none"/>
                <w:lang w:val="en-US" w:eastAsia="zh-CN"/>
              </w:rPr>
            </w:pPr>
            <w:r>
              <w:rPr>
                <w:rFonts w:hint="eastAsia"/>
                <w:color w:val="auto"/>
                <w:szCs w:val="21"/>
                <w:highlight w:val="none"/>
              </w:rPr>
              <w:t>根据投标人针对本项目出具的</w:t>
            </w:r>
            <w:r>
              <w:rPr>
                <w:rFonts w:hint="eastAsia"/>
                <w:color w:val="auto"/>
                <w:szCs w:val="21"/>
                <w:highlight w:val="none"/>
                <w:lang w:val="en-US" w:eastAsia="zh-CN"/>
              </w:rPr>
              <w:t>淤泥处置、</w:t>
            </w:r>
            <w:r>
              <w:rPr>
                <w:rFonts w:hint="eastAsia"/>
                <w:color w:val="auto"/>
                <w:szCs w:val="21"/>
                <w:highlight w:val="none"/>
              </w:rPr>
              <w:t>分选金属处置方案（包括但不限于</w:t>
            </w:r>
            <w:r>
              <w:rPr>
                <w:rFonts w:hint="eastAsia"/>
                <w:color w:val="auto"/>
                <w:szCs w:val="21"/>
                <w:highlight w:val="none"/>
                <w:lang w:val="en-US" w:eastAsia="zh-CN"/>
              </w:rPr>
              <w:t>淤泥处置渠道、金属</w:t>
            </w:r>
            <w:r>
              <w:rPr>
                <w:rFonts w:hint="eastAsia"/>
                <w:color w:val="auto"/>
                <w:szCs w:val="21"/>
                <w:highlight w:val="none"/>
              </w:rPr>
              <w:t>销售渠道、工艺处置、合作协议等）进行打分，方</w:t>
            </w:r>
            <w:r>
              <w:rPr>
                <w:rFonts w:hint="eastAsia" w:hAnsi="宋体" w:cs="宋体"/>
                <w:color w:val="auto"/>
                <w:highlight w:val="none"/>
              </w:rPr>
              <w:t>案优秀得</w:t>
            </w:r>
            <w:r>
              <w:rPr>
                <w:rFonts w:hint="eastAsia" w:hAnsi="宋体" w:cs="宋体"/>
                <w:color w:val="auto"/>
                <w:highlight w:val="none"/>
                <w:lang w:val="en-US" w:eastAsia="zh-CN"/>
              </w:rPr>
              <w:t>2</w:t>
            </w:r>
            <w:r>
              <w:rPr>
                <w:rFonts w:hint="eastAsia" w:hAnsi="宋体" w:cs="宋体"/>
                <w:color w:val="auto"/>
                <w:highlight w:val="none"/>
                <w:lang w:eastAsia="zh-CN"/>
              </w:rPr>
              <w:t>（</w:t>
            </w:r>
            <w:r>
              <w:rPr>
                <w:rFonts w:hint="eastAsia" w:hAnsi="宋体" w:cs="宋体"/>
                <w:color w:val="auto"/>
                <w:highlight w:val="none"/>
                <w:lang w:val="en-US" w:eastAsia="zh-CN"/>
              </w:rPr>
              <w:t>含）-2.5</w:t>
            </w:r>
            <w:r>
              <w:rPr>
                <w:rFonts w:hint="eastAsia" w:hAnsi="宋体" w:cs="宋体"/>
                <w:color w:val="auto"/>
                <w:highlight w:val="none"/>
              </w:rPr>
              <w:t>分，</w:t>
            </w:r>
            <w:r>
              <w:rPr>
                <w:rFonts w:hint="eastAsia" w:hAnsi="宋体" w:cs="宋体"/>
                <w:color w:val="auto"/>
                <w:highlight w:val="none"/>
                <w:lang w:val="en-US" w:eastAsia="zh-CN"/>
              </w:rPr>
              <w:t>方案良好得1.5</w:t>
            </w:r>
            <w:r>
              <w:rPr>
                <w:rFonts w:hint="eastAsia" w:hAnsi="宋体" w:cs="宋体"/>
                <w:color w:val="auto"/>
                <w:highlight w:val="none"/>
                <w:lang w:eastAsia="zh-CN"/>
              </w:rPr>
              <w:t>（</w:t>
            </w:r>
            <w:r>
              <w:rPr>
                <w:rFonts w:hint="eastAsia" w:hAnsi="宋体" w:cs="宋体"/>
                <w:color w:val="auto"/>
                <w:highlight w:val="none"/>
                <w:lang w:val="en-US" w:eastAsia="zh-CN"/>
              </w:rPr>
              <w:t>含）-2（不含）分，</w:t>
            </w:r>
            <w:r>
              <w:rPr>
                <w:rFonts w:hint="eastAsia" w:hAnsi="宋体" w:cs="宋体"/>
                <w:color w:val="auto"/>
                <w:highlight w:val="none"/>
              </w:rPr>
              <w:t>方案一般得</w:t>
            </w:r>
            <w:r>
              <w:rPr>
                <w:rFonts w:hint="eastAsia" w:hAnsi="宋体" w:cs="宋体"/>
                <w:color w:val="auto"/>
                <w:highlight w:val="none"/>
                <w:lang w:val="en-US" w:eastAsia="zh-CN"/>
              </w:rPr>
              <w:t>1-1.5（不含）</w:t>
            </w:r>
            <w:r>
              <w:rPr>
                <w:rFonts w:hint="eastAsia" w:hAnsi="宋体" w:cs="宋体"/>
                <w:color w:val="auto"/>
                <w:highlight w:val="none"/>
              </w:rPr>
              <w:t>分，未提供方案的不得分。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290" w:hRule="atLeast"/>
        </w:trPr>
        <w:tc>
          <w:tcPr>
            <w:tcW w:w="518" w:type="pct"/>
            <w:tcBorders>
              <w:left w:val="single" w:color="auto" w:sz="4" w:space="0"/>
              <w:right w:val="single" w:color="000000" w:sz="4" w:space="0"/>
            </w:tcBorders>
            <w:vAlign w:val="center"/>
          </w:tcPr>
          <w:p>
            <w:pPr>
              <w:keepLines/>
              <w:widowControl/>
              <w:topLinePunct/>
              <w:adjustRightInd w:val="0"/>
              <w:snapToGrid w:val="0"/>
              <w:jc w:val="center"/>
              <w:rPr>
                <w:rFonts w:hint="eastAsia" w:hAnsi="宋体" w:cs="宋体"/>
                <w:color w:val="auto"/>
                <w:highlight w:val="none"/>
              </w:rPr>
            </w:pPr>
            <w:r>
              <w:rPr>
                <w:rFonts w:hint="eastAsia" w:hAnsi="宋体" w:cs="宋体"/>
                <w:color w:val="auto"/>
                <w:highlight w:val="none"/>
              </w:rPr>
              <w:t>价格评审</w:t>
            </w:r>
          </w:p>
          <w:p>
            <w:pPr>
              <w:pStyle w:val="59"/>
              <w:rPr>
                <w:rFonts w:hint="eastAsia" w:hAnsi="宋体" w:cs="宋体"/>
                <w:color w:val="auto"/>
                <w:highlight w:val="none"/>
                <w:lang w:eastAsia="zh-CN"/>
              </w:rPr>
            </w:pPr>
            <w:r>
              <w:rPr>
                <w:rFonts w:hint="eastAsia" w:hAnsi="宋体" w:cs="宋体"/>
                <w:color w:val="auto"/>
                <w:highlight w:val="none"/>
                <w:lang w:eastAsia="zh-CN"/>
              </w:rPr>
              <w:t>（</w:t>
            </w:r>
            <w:r>
              <w:rPr>
                <w:rFonts w:hint="eastAsia" w:hAnsi="宋体" w:cs="宋体"/>
                <w:color w:val="auto"/>
                <w:highlight w:val="none"/>
                <w:lang w:val="en-US" w:eastAsia="zh-CN"/>
              </w:rPr>
              <w:t>90分</w:t>
            </w:r>
            <w:r>
              <w:rPr>
                <w:rFonts w:hint="eastAsia" w:hAnsi="宋体" w:cs="宋体"/>
                <w:color w:val="auto"/>
                <w:highlight w:val="none"/>
                <w:lang w:eastAsia="zh-CN"/>
              </w:rPr>
              <w:t>）</w:t>
            </w:r>
          </w:p>
        </w:tc>
        <w:tc>
          <w:tcPr>
            <w:tcW w:w="494" w:type="pct"/>
            <w:tcBorders>
              <w:left w:val="single" w:color="000000" w:sz="4" w:space="0"/>
              <w:right w:val="single" w:color="auto" w:sz="4" w:space="0"/>
            </w:tcBorders>
            <w:vAlign w:val="center"/>
          </w:tcPr>
          <w:p>
            <w:pPr>
              <w:keepLines/>
              <w:widowControl/>
              <w:topLinePunct/>
              <w:adjustRightInd w:val="0"/>
              <w:snapToGrid w:val="0"/>
              <w:jc w:val="center"/>
              <w:rPr>
                <w:rFonts w:hint="eastAsia" w:hAnsi="宋体" w:cs="宋体"/>
                <w:color w:val="auto"/>
                <w:highlight w:val="none"/>
              </w:rPr>
            </w:pPr>
            <w:r>
              <w:rPr>
                <w:rFonts w:hint="eastAsia" w:hAnsi="宋体" w:cs="宋体"/>
                <w:color w:val="auto"/>
                <w:highlight w:val="none"/>
              </w:rPr>
              <w:t>商务报价</w:t>
            </w:r>
          </w:p>
        </w:tc>
        <w:tc>
          <w:tcPr>
            <w:tcW w:w="300" w:type="pct"/>
            <w:tcBorders>
              <w:left w:val="single" w:color="auto" w:sz="4" w:space="0"/>
              <w:right w:val="single" w:color="auto" w:sz="4" w:space="0"/>
            </w:tcBorders>
            <w:vAlign w:val="center"/>
          </w:tcPr>
          <w:p>
            <w:pPr>
              <w:keepLines/>
              <w:widowControl/>
              <w:topLinePunct/>
              <w:adjustRightInd w:val="0"/>
              <w:snapToGrid w:val="0"/>
              <w:jc w:val="center"/>
              <w:rPr>
                <w:rFonts w:hint="default" w:hAnsi="宋体" w:cs="宋体"/>
                <w:color w:val="auto"/>
                <w:highlight w:val="none"/>
                <w:lang w:val="en-US" w:eastAsia="zh-CN"/>
              </w:rPr>
            </w:pPr>
            <w:r>
              <w:rPr>
                <w:rFonts w:hint="eastAsia" w:hAnsi="宋体" w:cs="宋体"/>
                <w:color w:val="auto"/>
                <w:highlight w:val="none"/>
                <w:lang w:val="en-US" w:eastAsia="zh-CN"/>
              </w:rPr>
              <w:t>90</w:t>
            </w:r>
          </w:p>
        </w:tc>
        <w:tc>
          <w:tcPr>
            <w:tcW w:w="3686" w:type="pct"/>
            <w:tcBorders>
              <w:left w:val="single" w:color="auto" w:sz="4" w:space="0"/>
            </w:tcBorders>
            <w:vAlign w:val="center"/>
          </w:tcPr>
          <w:p>
            <w:pPr>
              <w:keepLines/>
              <w:widowControl/>
              <w:topLinePunct/>
              <w:adjustRightInd w:val="0"/>
              <w:snapToGrid w:val="0"/>
              <w:ind w:right="3"/>
              <w:rPr>
                <w:rFonts w:hAnsi="宋体" w:cs="宋体"/>
                <w:color w:val="auto"/>
                <w:highlight w:val="none"/>
              </w:rPr>
            </w:pPr>
            <w:r>
              <w:rPr>
                <w:rFonts w:hint="eastAsia" w:hAnsi="宋体" w:cs="宋体"/>
                <w:color w:val="auto"/>
                <w:highlight w:val="none"/>
              </w:rPr>
              <w:t>1、评标基准价：</w:t>
            </w:r>
            <w:r>
              <w:rPr>
                <w:rFonts w:hint="eastAsia" w:hAnsi="宋体" w:cs="宋体"/>
                <w:color w:val="auto"/>
                <w:highlight w:val="none"/>
                <w:lang w:val="en-US" w:eastAsia="zh-CN"/>
              </w:rPr>
              <w:t>通过符合性审查的最高投标报价</w:t>
            </w:r>
            <w:r>
              <w:rPr>
                <w:rFonts w:hint="eastAsia" w:hAnsi="宋体" w:cs="宋体"/>
                <w:color w:val="auto"/>
                <w:highlight w:val="none"/>
              </w:rPr>
              <w:t>为评标基准价；</w:t>
            </w:r>
          </w:p>
          <w:p>
            <w:pPr>
              <w:keepLines/>
              <w:widowControl/>
              <w:topLinePunct/>
              <w:adjustRightInd w:val="0"/>
              <w:snapToGrid w:val="0"/>
              <w:ind w:right="3"/>
              <w:rPr>
                <w:rFonts w:hAnsi="宋体" w:cs="宋体"/>
                <w:color w:val="auto"/>
                <w:highlight w:val="none"/>
              </w:rPr>
            </w:pPr>
            <w:r>
              <w:rPr>
                <w:rFonts w:hint="eastAsia" w:hAnsi="宋体" w:cs="宋体"/>
                <w:color w:val="auto"/>
                <w:highlight w:val="none"/>
              </w:rPr>
              <w:t>2、根据各有效投标人的投标报价与评标基准价对比，计算投标人的该项得分值；</w:t>
            </w:r>
          </w:p>
          <w:p>
            <w:pPr>
              <w:keepLines/>
              <w:widowControl/>
              <w:topLinePunct/>
              <w:adjustRightInd w:val="0"/>
              <w:snapToGrid w:val="0"/>
              <w:ind w:right="3"/>
              <w:rPr>
                <w:rFonts w:hAnsi="宋体" w:cs="宋体"/>
                <w:color w:val="auto"/>
                <w:highlight w:val="none"/>
              </w:rPr>
            </w:pPr>
            <w:r>
              <w:rPr>
                <w:rFonts w:hint="eastAsia" w:hAnsi="宋体" w:cs="宋体"/>
                <w:color w:val="auto"/>
                <w:highlight w:val="none"/>
              </w:rPr>
              <w:t>（1）报价等于评标基准价，得</w:t>
            </w:r>
            <w:r>
              <w:rPr>
                <w:rFonts w:hint="eastAsia" w:hAnsi="宋体" w:cs="宋体"/>
                <w:color w:val="auto"/>
                <w:highlight w:val="none"/>
                <w:lang w:val="en-US" w:eastAsia="zh-CN"/>
              </w:rPr>
              <w:t>90</w:t>
            </w:r>
            <w:r>
              <w:rPr>
                <w:rFonts w:hint="eastAsia" w:hAnsi="宋体" w:cs="宋体"/>
                <w:color w:val="auto"/>
                <w:highlight w:val="none"/>
              </w:rPr>
              <w:t>分；</w:t>
            </w:r>
          </w:p>
          <w:p>
            <w:pPr>
              <w:keepLines/>
              <w:widowControl/>
              <w:topLinePunct/>
              <w:adjustRightInd w:val="0"/>
              <w:snapToGrid w:val="0"/>
              <w:ind w:right="3"/>
              <w:rPr>
                <w:rFonts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2</w:t>
            </w:r>
            <w:r>
              <w:rPr>
                <w:rFonts w:hint="eastAsia" w:hAnsi="宋体" w:cs="宋体"/>
                <w:color w:val="auto"/>
                <w:highlight w:val="none"/>
              </w:rPr>
              <w:t>）报价每低于评标基准价1%（百分比下降），扣</w:t>
            </w:r>
            <w:r>
              <w:rPr>
                <w:rFonts w:hint="eastAsia" w:hAnsi="宋体" w:cs="宋体"/>
                <w:color w:val="auto"/>
                <w:highlight w:val="none"/>
                <w:lang w:val="en-US" w:eastAsia="zh-CN"/>
              </w:rPr>
              <w:t>2</w:t>
            </w:r>
            <w:r>
              <w:rPr>
                <w:rFonts w:hint="eastAsia" w:hAnsi="宋体" w:cs="宋体"/>
                <w:color w:val="auto"/>
                <w:highlight w:val="none"/>
              </w:rPr>
              <w:t>分，扣完为止；</w:t>
            </w:r>
          </w:p>
          <w:p>
            <w:pPr>
              <w:keepLines/>
              <w:widowControl/>
              <w:topLinePunct/>
              <w:adjustRightInd w:val="0"/>
              <w:snapToGrid w:val="0"/>
              <w:ind w:right="3"/>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3</w:t>
            </w:r>
            <w:r>
              <w:rPr>
                <w:rFonts w:hint="eastAsia" w:hAnsi="宋体" w:cs="宋体"/>
                <w:color w:val="auto"/>
                <w:highlight w:val="none"/>
              </w:rPr>
              <w:t>）计算公式：</w:t>
            </w:r>
            <w:r>
              <w:rPr>
                <w:rFonts w:hint="eastAsia" w:hAnsi="宋体" w:cs="宋体"/>
                <w:color w:val="auto"/>
                <w:highlight w:val="none"/>
                <w:lang w:val="en-US" w:eastAsia="zh-CN"/>
              </w:rPr>
              <w:t>90</w:t>
            </w:r>
            <w:r>
              <w:rPr>
                <w:rFonts w:hint="eastAsia" w:hAnsi="宋体" w:cs="宋体"/>
                <w:color w:val="auto"/>
                <w:highlight w:val="none"/>
                <w:lang w:eastAsia="zh-CN"/>
              </w:rPr>
              <w:t>－</w:t>
            </w:r>
            <w:r>
              <w:rPr>
                <w:rFonts w:hint="eastAsia" w:hAnsi="宋体" w:cs="宋体"/>
                <w:color w:val="auto"/>
                <w:highlight w:val="none"/>
              </w:rPr>
              <w:t>（</w:t>
            </w:r>
            <w:r>
              <w:rPr>
                <w:rFonts w:hint="eastAsia" w:hAnsi="宋体" w:cs="宋体"/>
                <w:color w:val="auto"/>
                <w:highlight w:val="none"/>
                <w:lang w:val="en-US" w:eastAsia="zh-CN"/>
              </w:rPr>
              <w:t>评标</w:t>
            </w:r>
            <w:r>
              <w:rPr>
                <w:rFonts w:hint="eastAsia" w:hAnsi="宋体" w:cs="宋体"/>
                <w:color w:val="auto"/>
                <w:highlight w:val="none"/>
              </w:rPr>
              <w:t>基准价</w:t>
            </w:r>
            <w:r>
              <w:rPr>
                <w:rFonts w:hint="eastAsia" w:hAnsi="宋体" w:cs="宋体"/>
                <w:color w:val="auto"/>
                <w:highlight w:val="none"/>
                <w:lang w:val="en-US" w:eastAsia="zh-CN"/>
              </w:rPr>
              <w:t>-</w:t>
            </w:r>
            <w:r>
              <w:rPr>
                <w:rFonts w:hint="eastAsia" w:hAnsi="宋体" w:cs="宋体"/>
                <w:color w:val="auto"/>
                <w:highlight w:val="none"/>
              </w:rPr>
              <w:t>投标报价）/</w:t>
            </w:r>
            <w:r>
              <w:rPr>
                <w:rFonts w:hint="eastAsia" w:hAnsi="宋体" w:cs="宋体"/>
                <w:color w:val="auto"/>
                <w:highlight w:val="none"/>
                <w:lang w:val="en-US" w:eastAsia="zh-CN"/>
              </w:rPr>
              <w:t>评标</w:t>
            </w:r>
            <w:r>
              <w:rPr>
                <w:rFonts w:hint="eastAsia" w:hAnsi="宋体" w:cs="宋体"/>
                <w:color w:val="auto"/>
                <w:highlight w:val="none"/>
              </w:rPr>
              <w:t>基准价/0.01*</w:t>
            </w:r>
            <w:r>
              <w:rPr>
                <w:rFonts w:hint="eastAsia" w:hAnsi="宋体" w:cs="宋体"/>
                <w:color w:val="auto"/>
                <w:highlight w:val="none"/>
                <w:lang w:val="en-US" w:eastAsia="zh-CN"/>
              </w:rPr>
              <w:t>2</w:t>
            </w:r>
            <w:r>
              <w:rPr>
                <w:rFonts w:hint="eastAsia" w:hAnsi="宋体" w:cs="宋体"/>
                <w:color w:val="auto"/>
                <w:highlight w:val="none"/>
              </w:rPr>
              <w:t>（得分保留2 位小数）</w:t>
            </w:r>
            <w:r>
              <w:rPr>
                <w:rFonts w:hint="eastAsia" w:hAnsi="宋体" w:cs="宋体"/>
                <w:color w:val="auto"/>
                <w:highlight w:val="none"/>
                <w:lang w:eastAsia="zh-CN"/>
              </w:rPr>
              <w:t>。</w:t>
            </w:r>
          </w:p>
        </w:tc>
      </w:tr>
    </w:tbl>
    <w:p>
      <w:pPr>
        <w:keepLines/>
        <w:widowControl/>
        <w:topLinePunct/>
        <w:adjustRightInd w:val="0"/>
        <w:snapToGrid w:val="0"/>
        <w:spacing w:line="360" w:lineRule="auto"/>
        <w:ind w:firstLine="420" w:firstLineChars="200"/>
        <w:rPr>
          <w:rFonts w:hint="eastAsia" w:hAnsi="宋体" w:eastAsia="宋体" w:cs="宋体"/>
          <w:color w:val="auto"/>
          <w:highlight w:val="none"/>
          <w:lang w:eastAsia="zh-CN"/>
        </w:rPr>
      </w:pPr>
      <w:r>
        <w:rPr>
          <w:rFonts w:hint="eastAsia" w:hAnsi="宋体" w:cs="宋体"/>
          <w:color w:val="auto"/>
          <w:highlight w:val="none"/>
        </w:rPr>
        <w:t>注：（1）上述提供的证明材料应复印件加盖公章，原件随身携带备查，评标委员会确需查询原件而未能提供原件的不得分</w:t>
      </w:r>
      <w:r>
        <w:rPr>
          <w:rFonts w:hint="eastAsia" w:hAnsi="宋体" w:cs="宋体"/>
          <w:color w:val="auto"/>
          <w:highlight w:val="none"/>
          <w:lang w:eastAsia="zh-CN"/>
        </w:rPr>
        <w:t>；</w:t>
      </w:r>
    </w:p>
    <w:p>
      <w:pPr>
        <w:keepLines/>
        <w:widowControl/>
        <w:topLinePunct/>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（2）技术标评分由评标成员每人一份评分表，在分值范围内各自独立打分并签名。投标人技术得分为评标委员会各成员的有效评分的算术平均值（小数点</w:t>
      </w:r>
      <w:r>
        <w:rPr>
          <w:rFonts w:hint="eastAsia" w:hAnsi="宋体" w:cs="宋体"/>
          <w:color w:val="auto"/>
          <w:highlight w:val="none"/>
          <w:lang w:eastAsia="zh-CN"/>
        </w:rPr>
        <w:t>保留两位</w:t>
      </w:r>
      <w:r>
        <w:rPr>
          <w:rFonts w:hint="eastAsia" w:hAnsi="宋体" w:cs="宋体"/>
          <w:color w:val="auto"/>
          <w:highlight w:val="none"/>
        </w:rPr>
        <w:t>，第三位四舍五入）；</w:t>
      </w:r>
    </w:p>
    <w:p>
      <w:pPr>
        <w:keepLines/>
        <w:widowControl/>
        <w:topLinePunct/>
        <w:adjustRightInd w:val="0"/>
        <w:snapToGrid w:val="0"/>
        <w:spacing w:line="360" w:lineRule="auto"/>
        <w:ind w:firstLine="420" w:firstLineChars="200"/>
        <w:rPr>
          <w:rFonts w:hAnsi="宋体"/>
          <w:snapToGrid w:val="0"/>
          <w:color w:val="auto"/>
          <w:szCs w:val="21"/>
          <w:highlight w:val="none"/>
        </w:rPr>
      </w:pPr>
      <w:r>
        <w:rPr>
          <w:rFonts w:hint="eastAsia" w:hAnsi="宋体" w:cs="宋体"/>
          <w:color w:val="auto"/>
          <w:highlight w:val="none"/>
        </w:rPr>
        <w:t>（3）资信标及商务标由评标委员会按评审标准统一评分</w:t>
      </w:r>
      <w:r>
        <w:rPr>
          <w:rFonts w:hint="eastAsia" w:hAnsi="宋体" w:cs="宋体"/>
          <w:color w:val="auto"/>
          <w:highlight w:val="none"/>
          <w:lang w:eastAsia="zh-CN"/>
        </w:rPr>
        <w:t>。</w:t>
      </w:r>
    </w:p>
    <w:p>
      <w:pPr>
        <w:pStyle w:val="59"/>
        <w:rPr>
          <w:color w:val="auto"/>
          <w:highlight w:val="none"/>
        </w:rPr>
      </w:pPr>
    </w:p>
    <w:p>
      <w:pPr>
        <w:rPr>
          <w:color w:val="auto"/>
          <w:highlight w:val="none"/>
        </w:rPr>
      </w:pPr>
    </w:p>
    <w:p>
      <w:pPr>
        <w:adjustRightInd w:val="0"/>
        <w:snapToGrid w:val="0"/>
        <w:spacing w:line="360" w:lineRule="auto"/>
        <w:jc w:val="center"/>
        <w:rPr>
          <w:rFonts w:hAnsi="宋体"/>
          <w:b/>
          <w:bCs/>
          <w:snapToGrid w:val="0"/>
          <w:color w:val="auto"/>
          <w:sz w:val="30"/>
          <w:szCs w:val="30"/>
          <w:highlight w:val="none"/>
        </w:rPr>
      </w:pPr>
      <w:r>
        <w:rPr>
          <w:rFonts w:hint="eastAsia" w:hAnsi="宋体"/>
          <w:b/>
          <w:bCs/>
          <w:snapToGrid w:val="0"/>
          <w:color w:val="auto"/>
          <w:sz w:val="30"/>
          <w:szCs w:val="30"/>
          <w:highlight w:val="none"/>
        </w:rPr>
        <w:t>6、投标文件澄清、报价修正</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6.1</w:t>
      </w:r>
      <w:r>
        <w:rPr>
          <w:rFonts w:hint="eastAsia" w:hAnsi="宋体" w:cs="宋体"/>
          <w:color w:val="auto"/>
          <w:highlight w:val="none"/>
        </w:rPr>
        <w:t>在评标过程中，评标委员会可以书面形式要求投标人对所提交的投标文件中不明确的内容进行书面澄清、说明或者补正。投标人代表应保证联络方式畅通，并应在接到电话通知后30分钟内到达指定地点进行书面澄清、说明或者补正，如无法联络到投标人代表或投标人代表在接到电话通知后30分钟内未能到达指定地点进行书面澄清、说明或者补正，评标委员会将视作投标人放弃澄清、说明或者补正。</w:t>
      </w:r>
    </w:p>
    <w:p>
      <w:pPr>
        <w:adjustRightInd w:val="0"/>
        <w:snapToGrid w:val="0"/>
        <w:spacing w:line="360" w:lineRule="auto"/>
        <w:ind w:firstLine="420" w:firstLineChars="200"/>
        <w:rPr>
          <w:rFonts w:hAnsi="宋体" w:cs="宋体"/>
          <w:color w:val="auto"/>
          <w:highlight w:val="none"/>
        </w:rPr>
      </w:pPr>
      <w:r>
        <w:rPr>
          <w:rFonts w:hint="eastAsia" w:hAnsi="宋体"/>
          <w:snapToGrid w:val="0"/>
          <w:color w:val="auto"/>
          <w:szCs w:val="21"/>
          <w:highlight w:val="none"/>
        </w:rPr>
        <w:t>6</w:t>
      </w:r>
      <w:r>
        <w:rPr>
          <w:rFonts w:hAnsi="宋体"/>
          <w:snapToGrid w:val="0"/>
          <w:color w:val="auto"/>
          <w:szCs w:val="21"/>
          <w:highlight w:val="none"/>
        </w:rPr>
        <w:t>.2</w:t>
      </w:r>
      <w:r>
        <w:rPr>
          <w:rFonts w:hint="eastAsia" w:hAnsi="宋体"/>
          <w:snapToGrid w:val="0"/>
          <w:color w:val="auto"/>
          <w:szCs w:val="21"/>
          <w:highlight w:val="none"/>
        </w:rPr>
        <w:t>有关澄清、说明与补正，投标人应以书面形式进行，对投标报价和实质性的内容不得更改</w:t>
      </w:r>
      <w:r>
        <w:rPr>
          <w:rFonts w:hint="eastAsia" w:hAnsi="宋体" w:cs="宋体"/>
          <w:color w:val="auto"/>
          <w:highlight w:val="none"/>
        </w:rPr>
        <w:t>（报价修正除外）</w:t>
      </w:r>
      <w:r>
        <w:rPr>
          <w:rFonts w:hint="eastAsia" w:hAnsi="宋体"/>
          <w:snapToGrid w:val="0"/>
          <w:color w:val="auto"/>
          <w:szCs w:val="21"/>
          <w:highlight w:val="none"/>
        </w:rPr>
        <w:t>。</w:t>
      </w:r>
      <w:r>
        <w:rPr>
          <w:rFonts w:hint="eastAsia" w:hAnsi="宋体" w:cs="宋体"/>
          <w:color w:val="auto"/>
          <w:highlight w:val="none"/>
        </w:rPr>
        <w:t>投标人的书面澄清、说明和补正属于投标文件的组成部分。</w:t>
      </w:r>
    </w:p>
    <w:p>
      <w:pPr>
        <w:pStyle w:val="373"/>
        <w:adjustRightInd w:val="0"/>
        <w:snapToGrid w:val="0"/>
        <w:spacing w:line="360" w:lineRule="auto"/>
        <w:ind w:firstLine="420" w:firstLineChars="200"/>
        <w:rPr>
          <w:rFonts w:hAnsi="宋体" w:cs="宋体"/>
          <w:color w:val="auto"/>
          <w:sz w:val="21"/>
          <w:highlight w:val="none"/>
        </w:rPr>
      </w:pPr>
      <w:r>
        <w:rPr>
          <w:rFonts w:hAnsi="宋体" w:cs="宋体"/>
          <w:color w:val="auto"/>
          <w:sz w:val="21"/>
          <w:highlight w:val="none"/>
        </w:rPr>
        <w:t>6</w:t>
      </w:r>
      <w:r>
        <w:rPr>
          <w:rFonts w:hint="eastAsia" w:hAnsi="宋体" w:cs="宋体"/>
          <w:color w:val="auto"/>
          <w:sz w:val="21"/>
          <w:highlight w:val="none"/>
        </w:rPr>
        <w:t>.3 评标委员会对投标人提交的澄清、说明或补正有疑问的，可以要求投标人进一步澄清、说明或补正，直至满足评标委员会的要求。</w:t>
      </w:r>
    </w:p>
    <w:p>
      <w:pPr>
        <w:pStyle w:val="373"/>
        <w:adjustRightInd w:val="0"/>
        <w:snapToGrid w:val="0"/>
        <w:spacing w:line="360" w:lineRule="auto"/>
        <w:ind w:firstLine="420" w:firstLineChars="200"/>
        <w:rPr>
          <w:rFonts w:hAnsi="宋体" w:cs="宋体"/>
          <w:color w:val="auto"/>
          <w:sz w:val="21"/>
          <w:highlight w:val="none"/>
        </w:rPr>
      </w:pPr>
      <w:r>
        <w:rPr>
          <w:rFonts w:hAnsi="宋体" w:cs="宋体"/>
          <w:color w:val="auto"/>
          <w:sz w:val="21"/>
          <w:highlight w:val="none"/>
        </w:rPr>
        <w:t>6</w:t>
      </w:r>
      <w:r>
        <w:rPr>
          <w:rFonts w:hint="eastAsia" w:hAnsi="宋体" w:cs="宋体"/>
          <w:color w:val="auto"/>
          <w:sz w:val="21"/>
          <w:highlight w:val="none"/>
        </w:rPr>
        <w:t>.4评标委员会不接受投标人主动提出的澄清、说明或补正。</w:t>
      </w:r>
    </w:p>
    <w:p>
      <w:pPr>
        <w:pStyle w:val="373"/>
        <w:adjustRightInd w:val="0"/>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6.</w:t>
      </w:r>
      <w:r>
        <w:rPr>
          <w:rFonts w:hAnsi="宋体" w:cs="宋体"/>
          <w:color w:val="auto"/>
          <w:sz w:val="21"/>
          <w:highlight w:val="none"/>
        </w:rPr>
        <w:t>5</w:t>
      </w:r>
      <w:r>
        <w:rPr>
          <w:rFonts w:hint="eastAsia" w:hAnsi="宋体" w:cs="宋体"/>
          <w:color w:val="auto"/>
          <w:sz w:val="21"/>
          <w:highlight w:val="none"/>
        </w:rPr>
        <w:t>投标报价出现前后不一致的，评标委员会应按照下列原则修正：</w:t>
      </w:r>
    </w:p>
    <w:p>
      <w:pPr>
        <w:adjustRightInd w:val="0"/>
        <w:snapToGrid w:val="0"/>
        <w:spacing w:line="360" w:lineRule="auto"/>
        <w:ind w:firstLine="449" w:firstLineChars="214"/>
        <w:rPr>
          <w:rFonts w:hAnsi="宋体" w:cs="宋体"/>
          <w:snapToGrid w:val="0"/>
          <w:color w:val="auto"/>
          <w:szCs w:val="21"/>
          <w:highlight w:val="none"/>
        </w:rPr>
      </w:pPr>
      <w:r>
        <w:rPr>
          <w:rFonts w:hint="eastAsia" w:hAnsi="宋体" w:cs="宋体"/>
          <w:snapToGrid w:val="0"/>
          <w:color w:val="auto"/>
          <w:szCs w:val="21"/>
          <w:highlight w:val="none"/>
        </w:rPr>
        <w:t>（1）投标文件中投标函内容与投标文件中相应内容不一致的，以投标函为准；</w:t>
      </w:r>
    </w:p>
    <w:p>
      <w:pPr>
        <w:adjustRightInd w:val="0"/>
        <w:snapToGrid w:val="0"/>
        <w:spacing w:line="360" w:lineRule="auto"/>
        <w:ind w:firstLine="449" w:firstLineChars="214"/>
        <w:rPr>
          <w:rFonts w:hAnsi="宋体" w:cs="宋体"/>
          <w:snapToGrid w:val="0"/>
          <w:color w:val="auto"/>
          <w:szCs w:val="21"/>
          <w:highlight w:val="none"/>
        </w:rPr>
      </w:pPr>
      <w:r>
        <w:rPr>
          <w:rFonts w:hint="eastAsia" w:hAnsi="宋体" w:cs="宋体"/>
          <w:snapToGrid w:val="0"/>
          <w:color w:val="auto"/>
          <w:szCs w:val="21"/>
          <w:highlight w:val="none"/>
        </w:rPr>
        <w:t>（2）大写金额和小写金额不一致的，以大写金额为准；</w:t>
      </w:r>
    </w:p>
    <w:p>
      <w:pPr>
        <w:adjustRightInd w:val="0"/>
        <w:snapToGrid w:val="0"/>
        <w:spacing w:line="360" w:lineRule="auto"/>
        <w:ind w:firstLine="449" w:firstLineChars="214"/>
        <w:rPr>
          <w:rFonts w:hAnsi="宋体" w:cs="宋体"/>
          <w:snapToGrid w:val="0"/>
          <w:color w:val="auto"/>
          <w:szCs w:val="21"/>
          <w:highlight w:val="none"/>
        </w:rPr>
      </w:pPr>
      <w:r>
        <w:rPr>
          <w:rFonts w:hint="eastAsia" w:hAnsi="宋体" w:cs="宋体"/>
          <w:snapToGrid w:val="0"/>
          <w:color w:val="auto"/>
          <w:szCs w:val="21"/>
          <w:highlight w:val="none"/>
        </w:rPr>
        <w:t>（3）总价金额与按单价汇总金额不一致的，以总价为准，修改单价。</w:t>
      </w:r>
    </w:p>
    <w:p>
      <w:pPr>
        <w:adjustRightInd w:val="0"/>
        <w:snapToGrid w:val="0"/>
        <w:spacing w:line="360" w:lineRule="auto"/>
        <w:ind w:firstLine="420" w:firstLineChars="200"/>
        <w:rPr>
          <w:rFonts w:ascii="Calibri" w:hAnsi="宋体" w:cs="宋体"/>
          <w:color w:val="auto"/>
          <w:kern w:val="2"/>
          <w:szCs w:val="24"/>
          <w:highlight w:val="none"/>
        </w:rPr>
      </w:pPr>
    </w:p>
    <w:p>
      <w:pPr>
        <w:adjustRightInd w:val="0"/>
        <w:snapToGrid w:val="0"/>
        <w:spacing w:line="360" w:lineRule="auto"/>
        <w:jc w:val="center"/>
        <w:rPr>
          <w:rFonts w:hAnsi="宋体"/>
          <w:b/>
          <w:bCs/>
          <w:snapToGrid w:val="0"/>
          <w:color w:val="auto"/>
          <w:sz w:val="30"/>
          <w:szCs w:val="30"/>
          <w:highlight w:val="none"/>
          <w:lang w:val="zh-CN"/>
        </w:rPr>
      </w:pPr>
      <w:r>
        <w:rPr>
          <w:rFonts w:hint="eastAsia" w:hAnsi="宋体"/>
          <w:b/>
          <w:bCs/>
          <w:snapToGrid w:val="0"/>
          <w:color w:val="auto"/>
          <w:sz w:val="30"/>
          <w:szCs w:val="30"/>
          <w:highlight w:val="none"/>
        </w:rPr>
        <w:t>7、</w:t>
      </w:r>
      <w:r>
        <w:rPr>
          <w:rFonts w:hint="eastAsia" w:hAnsi="宋体"/>
          <w:b/>
          <w:bCs/>
          <w:snapToGrid w:val="0"/>
          <w:color w:val="auto"/>
          <w:sz w:val="30"/>
          <w:szCs w:val="30"/>
          <w:highlight w:val="none"/>
          <w:lang w:val="zh-CN"/>
        </w:rPr>
        <w:t>排序与推荐中标候选人</w:t>
      </w:r>
    </w:p>
    <w:p>
      <w:pPr>
        <w:keepLines/>
        <w:widowControl/>
        <w:topLinePunct/>
        <w:adjustRightInd w:val="0"/>
        <w:snapToGrid w:val="0"/>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7.1投标人的</w:t>
      </w:r>
      <w:r>
        <w:rPr>
          <w:rFonts w:hint="eastAsia" w:hAnsi="宋体" w:cs="宋体"/>
          <w:color w:val="auto"/>
          <w:highlight w:val="none"/>
        </w:rPr>
        <w:t>综合得分等于资信标、技术标与商务标得分之和。</w:t>
      </w:r>
    </w:p>
    <w:p>
      <w:pPr>
        <w:keepLines/>
        <w:widowControl/>
        <w:topLinePunct/>
        <w:adjustRightInd w:val="0"/>
        <w:snapToGrid w:val="0"/>
        <w:spacing w:line="360" w:lineRule="auto"/>
        <w:ind w:firstLine="420" w:firstLineChars="200"/>
        <w:rPr>
          <w:rFonts w:hAnsi="宋体"/>
          <w:snapToGrid w:val="0"/>
          <w:color w:val="auto"/>
          <w:szCs w:val="21"/>
          <w:highlight w:val="none"/>
        </w:rPr>
      </w:pPr>
      <w:r>
        <w:rPr>
          <w:rFonts w:hint="eastAsia" w:hAnsi="宋体" w:cs="宋体"/>
          <w:snapToGrid w:val="0"/>
          <w:color w:val="auto"/>
          <w:szCs w:val="21"/>
          <w:highlight w:val="none"/>
        </w:rPr>
        <w:t>7.2评标委员会按投标人的综合得分由高至低推荐1名中标候选人（中标候选人数见投标人须知前附表）。若得分相同，则投标报价</w:t>
      </w:r>
      <w:r>
        <w:rPr>
          <w:rFonts w:hint="eastAsia" w:hAnsi="宋体" w:cs="宋体"/>
          <w:snapToGrid w:val="0"/>
          <w:color w:val="auto"/>
          <w:szCs w:val="21"/>
          <w:highlight w:val="none"/>
          <w:lang w:val="en-US" w:eastAsia="zh-CN"/>
        </w:rPr>
        <w:t>高</w:t>
      </w:r>
      <w:r>
        <w:rPr>
          <w:rFonts w:hint="eastAsia" w:hAnsi="宋体" w:cs="宋体"/>
          <w:snapToGrid w:val="0"/>
          <w:color w:val="auto"/>
          <w:szCs w:val="21"/>
          <w:highlight w:val="none"/>
        </w:rPr>
        <w:t>者排名在前；若投标报价也相同，则资信分高者排名在前；若资信分也相同，则由评标委员会</w:t>
      </w:r>
      <w:r>
        <w:rPr>
          <w:rFonts w:hint="eastAsia" w:hAnsi="宋体" w:cs="宋体"/>
          <w:snapToGrid w:val="0"/>
          <w:color w:val="auto"/>
          <w:szCs w:val="21"/>
          <w:highlight w:val="none"/>
          <w:lang w:val="en-US" w:eastAsia="zh-CN"/>
        </w:rPr>
        <w:t>抽签</w:t>
      </w:r>
      <w:r>
        <w:rPr>
          <w:rFonts w:hint="eastAsia" w:hAnsi="宋体" w:cs="宋体"/>
          <w:snapToGrid w:val="0"/>
          <w:color w:val="auto"/>
          <w:szCs w:val="21"/>
          <w:highlight w:val="none"/>
        </w:rPr>
        <w:t>决定排名先后。</w:t>
      </w:r>
    </w:p>
    <w:p>
      <w:pPr>
        <w:adjustRightInd w:val="0"/>
        <w:snapToGrid w:val="0"/>
        <w:spacing w:line="360" w:lineRule="auto"/>
        <w:ind w:firstLine="420" w:firstLineChars="200"/>
        <w:rPr>
          <w:rFonts w:hAnsi="宋体"/>
          <w:snapToGrid w:val="0"/>
          <w:color w:val="auto"/>
          <w:szCs w:val="21"/>
          <w:highlight w:val="none"/>
        </w:rPr>
      </w:pPr>
    </w:p>
    <w:p>
      <w:pPr>
        <w:adjustRightInd w:val="0"/>
        <w:snapToGrid w:val="0"/>
        <w:spacing w:line="360" w:lineRule="auto"/>
        <w:jc w:val="center"/>
        <w:rPr>
          <w:rFonts w:hAnsi="宋体"/>
          <w:b/>
          <w:bCs/>
          <w:snapToGrid w:val="0"/>
          <w:color w:val="auto"/>
          <w:sz w:val="30"/>
          <w:szCs w:val="30"/>
          <w:highlight w:val="none"/>
          <w:lang w:val="zh-CN"/>
        </w:rPr>
      </w:pPr>
      <w:r>
        <w:rPr>
          <w:rFonts w:hint="eastAsia" w:hAnsi="宋体"/>
          <w:b/>
          <w:bCs/>
          <w:snapToGrid w:val="0"/>
          <w:color w:val="auto"/>
          <w:sz w:val="30"/>
          <w:szCs w:val="30"/>
          <w:highlight w:val="none"/>
        </w:rPr>
        <w:t>8、完成评标报告</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8</w:t>
      </w:r>
      <w:r>
        <w:rPr>
          <w:rFonts w:hint="eastAsia" w:hAnsi="宋体"/>
          <w:snapToGrid w:val="0"/>
          <w:color w:val="auto"/>
          <w:szCs w:val="21"/>
          <w:highlight w:val="none"/>
        </w:rPr>
        <w:t>.1评标委员会完成评标后，应当根据全体评标成员签字的原始评标记录和评标结果编写评标报告，并推荐中标候选人，评审报告由评标委员会成员签字确认提交招标人，并抄送有关监督部门。</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8</w:t>
      </w:r>
      <w:r>
        <w:rPr>
          <w:rFonts w:hint="eastAsia" w:hAnsi="宋体"/>
          <w:snapToGrid w:val="0"/>
          <w:color w:val="auto"/>
          <w:szCs w:val="21"/>
          <w:highlight w:val="none"/>
        </w:rPr>
        <w:t>.2评标委员会成员对需要共同认定的事项存在争议的，应当按照少数服从多数的原则作出结论。持不同意见的评标委员会成员应当在评标报告上签署不同意见及理由，否则视为同意评标报告。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360" w:lineRule="auto"/>
        <w:ind w:firstLine="420" w:firstLineChars="200"/>
        <w:rPr>
          <w:rFonts w:hAnsi="宋体" w:cs="宋体"/>
          <w:color w:val="auto"/>
          <w:szCs w:val="21"/>
          <w:highlight w:val="none"/>
        </w:rPr>
      </w:pPr>
      <w:r>
        <w:rPr>
          <w:rFonts w:hAnsi="宋体" w:cs="宋体"/>
          <w:color w:val="auto"/>
          <w:szCs w:val="21"/>
          <w:highlight w:val="none"/>
        </w:rPr>
        <w:t>8.3</w:t>
      </w:r>
      <w:r>
        <w:rPr>
          <w:rFonts w:hint="eastAsia" w:hAnsi="宋体" w:cs="宋体"/>
          <w:color w:val="auto"/>
          <w:szCs w:val="21"/>
          <w:highlight w:val="none"/>
        </w:rPr>
        <w:t>评标报告应包括以下内容：</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（1）开标记录；</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（2）评标内容、过程和结果；</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（3）否决投标情况说明及依据（包括对投标竞争性认定的理由（若有））；</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（4）询标澄清纪要；</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（5）中标候选人的优劣对比和存在问题；</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（6）评标委员会成员的不同意见及理由（若有）；</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（7）其他建议。</w:t>
      </w:r>
    </w:p>
    <w:p>
      <w:pPr>
        <w:adjustRightInd w:val="0"/>
        <w:snapToGrid w:val="0"/>
        <w:spacing w:before="120" w:beforeLines="50" w:after="120" w:afterLines="50" w:line="400" w:lineRule="exact"/>
        <w:outlineLvl w:val="0"/>
        <w:rPr>
          <w:rFonts w:ascii="仿宋_GB2312" w:eastAsia="仿宋_GB2312"/>
          <w:b/>
          <w:bCs/>
          <w:color w:val="auto"/>
          <w:sz w:val="30"/>
          <w:szCs w:val="30"/>
          <w:highlight w:val="none"/>
        </w:rPr>
        <w:sectPr>
          <w:footerReference r:id="rId18" w:type="default"/>
          <w:pgSz w:w="11906" w:h="16838"/>
          <w:pgMar w:top="1270" w:right="1349" w:bottom="1270" w:left="1349" w:header="510" w:footer="992" w:gutter="0"/>
          <w:pgBorders>
            <w:top w:val="none" w:sz="0" w:space="0"/>
            <w:left w:val="none" w:sz="0" w:space="0"/>
            <w:bottom w:val="none" w:sz="0" w:space="0"/>
            <w:right w:val="none" w:sz="0" w:space="0"/>
          </w:pgBorders>
          <w:pgNumType w:fmt="decimal"/>
          <w:cols w:space="720" w:num="1"/>
          <w:docGrid w:linePitch="312" w:charSpace="0"/>
        </w:sectPr>
      </w:pPr>
      <w:bookmarkStart w:id="119" w:name="_Toc25285"/>
      <w:bookmarkStart w:id="120" w:name="_Toc12456"/>
      <w:bookmarkStart w:id="121" w:name="_Toc13857"/>
      <w:bookmarkStart w:id="122" w:name="_Toc12528"/>
    </w:p>
    <w:bookmarkEnd w:id="119"/>
    <w:bookmarkEnd w:id="120"/>
    <w:bookmarkEnd w:id="121"/>
    <w:bookmarkEnd w:id="122"/>
    <w:p>
      <w:pPr>
        <w:jc w:val="center"/>
        <w:outlineLvl w:val="0"/>
        <w:rPr>
          <w:rFonts w:hAnsi="宋体" w:cs="宋体"/>
          <w:b/>
          <w:color w:val="auto"/>
          <w:spacing w:val="15"/>
          <w:sz w:val="36"/>
          <w:highlight w:val="none"/>
        </w:rPr>
      </w:pPr>
      <w:bookmarkStart w:id="123" w:name="_Toc29827"/>
      <w:bookmarkStart w:id="124" w:name="_Toc17498"/>
      <w:bookmarkStart w:id="125" w:name="_Toc5131"/>
      <w:bookmarkStart w:id="126" w:name="_Toc9216"/>
      <w:bookmarkStart w:id="127" w:name="_Toc1512"/>
      <w:bookmarkStart w:id="128" w:name="_Toc12969"/>
      <w:r>
        <w:rPr>
          <w:rFonts w:hint="eastAsia" w:hAnsi="宋体" w:cs="宋体"/>
          <w:b/>
          <w:color w:val="auto"/>
          <w:spacing w:val="15"/>
          <w:sz w:val="36"/>
          <w:highlight w:val="none"/>
        </w:rPr>
        <w:t xml:space="preserve">第五章 </w:t>
      </w:r>
      <w:bookmarkEnd w:id="123"/>
      <w:bookmarkEnd w:id="124"/>
      <w:bookmarkEnd w:id="125"/>
      <w:bookmarkEnd w:id="126"/>
      <w:bookmarkEnd w:id="127"/>
      <w:r>
        <w:rPr>
          <w:rFonts w:hint="eastAsia" w:hAnsi="宋体" w:cs="宋体"/>
          <w:b/>
          <w:color w:val="auto"/>
          <w:spacing w:val="15"/>
          <w:sz w:val="36"/>
          <w:highlight w:val="none"/>
        </w:rPr>
        <w:t>投标文件格式</w:t>
      </w:r>
      <w:bookmarkEnd w:id="128"/>
    </w:p>
    <w:p>
      <w:pPr>
        <w:adjustRightInd w:val="0"/>
        <w:snapToGrid w:val="0"/>
        <w:spacing w:line="360" w:lineRule="auto"/>
        <w:rPr>
          <w:rFonts w:hAnsi="宋体" w:cs="宋体"/>
          <w:color w:val="auto"/>
          <w:highlight w:val="none"/>
        </w:rPr>
      </w:pPr>
    </w:p>
    <w:p>
      <w:pPr>
        <w:adjustRightInd w:val="0"/>
        <w:snapToGrid w:val="0"/>
        <w:spacing w:line="360" w:lineRule="auto"/>
        <w:jc w:val="center"/>
        <w:rPr>
          <w:rFonts w:hAnsi="宋体"/>
          <w:color w:val="auto"/>
          <w:highlight w:val="none"/>
        </w:rPr>
      </w:pPr>
      <w:r>
        <w:rPr>
          <w:rFonts w:hAnsi="宋体"/>
          <w:color w:val="auto"/>
          <w:highlight w:val="none"/>
        </w:rPr>
        <w:t>正本（或副本）</w:t>
      </w:r>
    </w:p>
    <w:p>
      <w:pPr>
        <w:adjustRightInd w:val="0"/>
        <w:snapToGrid w:val="0"/>
        <w:spacing w:line="360" w:lineRule="auto"/>
        <w:jc w:val="center"/>
        <w:rPr>
          <w:rFonts w:hAnsi="宋体"/>
          <w:color w:val="auto"/>
          <w:sz w:val="24"/>
          <w:highlight w:val="none"/>
          <w:u w:val="single"/>
        </w:rPr>
      </w:pPr>
      <w:r>
        <w:rPr>
          <w:rFonts w:hAnsi="宋体"/>
          <w:color w:val="auto"/>
          <w:highlight w:val="none"/>
        </w:rPr>
        <w:t>封面</w:t>
      </w:r>
    </w:p>
    <w:p>
      <w:pPr>
        <w:autoSpaceDE w:val="0"/>
        <w:autoSpaceDN w:val="0"/>
        <w:adjustRightInd w:val="0"/>
        <w:snapToGrid w:val="0"/>
        <w:spacing w:line="360" w:lineRule="auto"/>
        <w:jc w:val="center"/>
        <w:rPr>
          <w:rFonts w:hAnsi="宋体"/>
          <w:color w:val="auto"/>
          <w:sz w:val="36"/>
          <w:szCs w:val="52"/>
          <w:highlight w:val="none"/>
          <w:u w:val="single"/>
        </w:rPr>
      </w:pPr>
    </w:p>
    <w:p>
      <w:pPr>
        <w:autoSpaceDE w:val="0"/>
        <w:autoSpaceDN w:val="0"/>
        <w:adjustRightInd w:val="0"/>
        <w:snapToGrid w:val="0"/>
        <w:spacing w:line="360" w:lineRule="auto"/>
        <w:jc w:val="center"/>
        <w:rPr>
          <w:rFonts w:hAnsi="宋体"/>
          <w:b/>
          <w:color w:val="auto"/>
          <w:spacing w:val="20"/>
          <w:sz w:val="32"/>
          <w:szCs w:val="32"/>
          <w:highlight w:val="none"/>
        </w:rPr>
      </w:pPr>
      <w:r>
        <w:rPr>
          <w:rFonts w:hint="eastAsia" w:hAnsi="宋体"/>
          <w:b/>
          <w:color w:val="auto"/>
          <w:spacing w:val="20"/>
          <w:w w:val="80"/>
          <w:sz w:val="32"/>
          <w:szCs w:val="32"/>
          <w:highlight w:val="none"/>
        </w:rPr>
        <w:t xml:space="preserve"> </w:t>
      </w:r>
      <w:r>
        <w:rPr>
          <w:rFonts w:hint="eastAsia" w:hAnsi="宋体"/>
          <w:b/>
          <w:color w:val="auto"/>
          <w:spacing w:val="20"/>
          <w:sz w:val="32"/>
          <w:szCs w:val="32"/>
          <w:highlight w:val="none"/>
          <w:u w:val="single"/>
        </w:rPr>
        <w:t xml:space="preserve">                   </w:t>
      </w:r>
      <w:r>
        <w:rPr>
          <w:rFonts w:hint="eastAsia" w:hAnsi="宋体"/>
          <w:b/>
          <w:color w:val="auto"/>
          <w:spacing w:val="20"/>
          <w:sz w:val="32"/>
          <w:szCs w:val="32"/>
          <w:highlight w:val="none"/>
        </w:rPr>
        <w:t>项目</w:t>
      </w:r>
    </w:p>
    <w:p>
      <w:pPr>
        <w:adjustRightInd w:val="0"/>
        <w:snapToGrid w:val="0"/>
        <w:spacing w:line="360" w:lineRule="auto"/>
        <w:ind w:firstLine="720" w:firstLineChars="200"/>
        <w:rPr>
          <w:rFonts w:hAnsi="宋体"/>
          <w:color w:val="auto"/>
          <w:sz w:val="36"/>
          <w:szCs w:val="36"/>
          <w:highlight w:val="none"/>
        </w:rPr>
      </w:pPr>
      <w:r>
        <w:rPr>
          <w:rFonts w:hAnsi="宋体"/>
          <w:color w:val="auto"/>
          <w:sz w:val="36"/>
          <w:szCs w:val="36"/>
          <w:highlight w:val="none"/>
        </w:rPr>
        <w:t xml:space="preserve">         </w:t>
      </w:r>
      <w:r>
        <w:rPr>
          <w:rFonts w:hint="eastAsia" w:hAnsi="宋体"/>
          <w:color w:val="auto"/>
          <w:sz w:val="36"/>
          <w:szCs w:val="36"/>
          <w:highlight w:val="none"/>
        </w:rPr>
        <w:t xml:space="preserve">    </w:t>
      </w:r>
      <w:r>
        <w:rPr>
          <w:rFonts w:hint="eastAsia" w:hAnsi="宋体"/>
          <w:color w:val="auto"/>
          <w:sz w:val="28"/>
          <w:szCs w:val="28"/>
          <w:highlight w:val="none"/>
        </w:rPr>
        <w:t>（</w:t>
      </w:r>
      <w:r>
        <w:rPr>
          <w:rFonts w:hint="eastAsia" w:cs="宋体"/>
          <w:b/>
          <w:bCs/>
          <w:color w:val="auto"/>
          <w:sz w:val="28"/>
          <w:szCs w:val="28"/>
          <w:highlight w:val="none"/>
        </w:rPr>
        <w:t>招标编号：</w:t>
      </w:r>
      <w:r>
        <w:rPr>
          <w:rFonts w:hint="eastAsia" w:cs="宋体"/>
          <w:bCs/>
          <w:color w:val="auto"/>
          <w:sz w:val="28"/>
          <w:szCs w:val="28"/>
          <w:highlight w:val="none"/>
          <w:u w:val="single"/>
        </w:rPr>
        <w:t xml:space="preserve">                </w:t>
      </w:r>
      <w:r>
        <w:rPr>
          <w:rFonts w:hint="eastAsia" w:hAnsi="宋体"/>
          <w:color w:val="auto"/>
          <w:sz w:val="28"/>
          <w:szCs w:val="28"/>
          <w:highlight w:val="none"/>
        </w:rPr>
        <w:t>）</w:t>
      </w:r>
    </w:p>
    <w:p>
      <w:pPr>
        <w:adjustRightInd w:val="0"/>
        <w:snapToGrid w:val="0"/>
        <w:spacing w:line="360" w:lineRule="auto"/>
        <w:ind w:firstLine="720" w:firstLineChars="200"/>
        <w:rPr>
          <w:rFonts w:hAnsi="宋体"/>
          <w:color w:val="auto"/>
          <w:sz w:val="36"/>
          <w:szCs w:val="36"/>
          <w:highlight w:val="none"/>
        </w:rPr>
      </w:pPr>
    </w:p>
    <w:p>
      <w:pPr>
        <w:adjustRightInd w:val="0"/>
        <w:snapToGrid w:val="0"/>
        <w:spacing w:line="360" w:lineRule="auto"/>
        <w:ind w:firstLine="480" w:firstLineChars="200"/>
        <w:jc w:val="center"/>
        <w:rPr>
          <w:rFonts w:hAnsi="宋体"/>
          <w:color w:val="auto"/>
          <w:sz w:val="24"/>
          <w:highlight w:val="none"/>
        </w:rPr>
      </w:pPr>
    </w:p>
    <w:p>
      <w:pPr>
        <w:adjustRightInd w:val="0"/>
        <w:snapToGrid w:val="0"/>
        <w:spacing w:line="360" w:lineRule="auto"/>
        <w:rPr>
          <w:rFonts w:hAnsi="宋体"/>
          <w:color w:val="auto"/>
          <w:sz w:val="44"/>
          <w:szCs w:val="44"/>
          <w:highlight w:val="none"/>
        </w:rPr>
      </w:pPr>
    </w:p>
    <w:p>
      <w:pPr>
        <w:adjustRightInd w:val="0"/>
        <w:snapToGrid w:val="0"/>
        <w:spacing w:line="360" w:lineRule="auto"/>
        <w:jc w:val="center"/>
        <w:rPr>
          <w:rFonts w:hAnsi="宋体"/>
          <w:bCs/>
          <w:color w:val="auto"/>
          <w:sz w:val="84"/>
          <w:szCs w:val="84"/>
          <w:highlight w:val="none"/>
        </w:rPr>
      </w:pPr>
      <w:r>
        <w:rPr>
          <w:rFonts w:hAnsi="宋体"/>
          <w:bCs/>
          <w:color w:val="auto"/>
          <w:sz w:val="84"/>
          <w:szCs w:val="84"/>
          <w:highlight w:val="none"/>
        </w:rPr>
        <w:t>投</w:t>
      </w:r>
      <w:r>
        <w:rPr>
          <w:rFonts w:hint="eastAsia" w:hAnsi="宋体"/>
          <w:bCs/>
          <w:color w:val="auto"/>
          <w:sz w:val="84"/>
          <w:szCs w:val="84"/>
          <w:highlight w:val="none"/>
        </w:rPr>
        <w:t xml:space="preserve"> </w:t>
      </w:r>
      <w:r>
        <w:rPr>
          <w:rFonts w:hAnsi="宋体"/>
          <w:bCs/>
          <w:color w:val="auto"/>
          <w:sz w:val="84"/>
          <w:szCs w:val="84"/>
          <w:highlight w:val="none"/>
        </w:rPr>
        <w:t>标</w:t>
      </w:r>
      <w:r>
        <w:rPr>
          <w:rFonts w:hint="eastAsia" w:hAnsi="宋体"/>
          <w:bCs/>
          <w:color w:val="auto"/>
          <w:sz w:val="84"/>
          <w:szCs w:val="84"/>
          <w:highlight w:val="none"/>
        </w:rPr>
        <w:t xml:space="preserve"> </w:t>
      </w:r>
      <w:r>
        <w:rPr>
          <w:rFonts w:hAnsi="宋体"/>
          <w:bCs/>
          <w:color w:val="auto"/>
          <w:sz w:val="84"/>
          <w:szCs w:val="84"/>
          <w:highlight w:val="none"/>
        </w:rPr>
        <w:t>文</w:t>
      </w:r>
      <w:r>
        <w:rPr>
          <w:rFonts w:hint="eastAsia" w:hAnsi="宋体"/>
          <w:bCs/>
          <w:color w:val="auto"/>
          <w:sz w:val="84"/>
          <w:szCs w:val="84"/>
          <w:highlight w:val="none"/>
        </w:rPr>
        <w:t xml:space="preserve"> </w:t>
      </w:r>
      <w:r>
        <w:rPr>
          <w:rFonts w:hAnsi="宋体"/>
          <w:bCs/>
          <w:color w:val="auto"/>
          <w:sz w:val="84"/>
          <w:szCs w:val="84"/>
          <w:highlight w:val="none"/>
        </w:rPr>
        <w:t>件</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 xml:space="preserve">                  </w:t>
      </w:r>
    </w:p>
    <w:p>
      <w:pPr>
        <w:adjustRightInd w:val="0"/>
        <w:snapToGrid w:val="0"/>
        <w:spacing w:line="360" w:lineRule="auto"/>
        <w:ind w:firstLine="480" w:firstLineChars="200"/>
        <w:rPr>
          <w:rFonts w:hAnsi="宋体"/>
          <w:color w:val="auto"/>
          <w:sz w:val="24"/>
          <w:highlight w:val="none"/>
        </w:rPr>
      </w:pPr>
    </w:p>
    <w:p>
      <w:pPr>
        <w:adjustRightInd w:val="0"/>
        <w:snapToGrid w:val="0"/>
        <w:spacing w:line="360" w:lineRule="auto"/>
        <w:ind w:firstLine="480" w:firstLineChars="200"/>
        <w:rPr>
          <w:rFonts w:hAnsi="宋体"/>
          <w:color w:val="auto"/>
          <w:sz w:val="24"/>
          <w:highlight w:val="none"/>
        </w:rPr>
      </w:pPr>
    </w:p>
    <w:p>
      <w:pPr>
        <w:adjustRightInd w:val="0"/>
        <w:snapToGrid w:val="0"/>
        <w:spacing w:line="360" w:lineRule="auto"/>
        <w:ind w:firstLine="480" w:firstLineChars="200"/>
        <w:rPr>
          <w:rFonts w:hAnsi="宋体"/>
          <w:color w:val="auto"/>
          <w:sz w:val="24"/>
          <w:highlight w:val="none"/>
        </w:rPr>
      </w:pPr>
    </w:p>
    <w:p>
      <w:pPr>
        <w:adjustRightInd w:val="0"/>
        <w:snapToGrid w:val="0"/>
        <w:spacing w:line="360" w:lineRule="auto"/>
        <w:ind w:firstLine="480" w:firstLineChars="200"/>
        <w:rPr>
          <w:rFonts w:hAnsi="宋体"/>
          <w:color w:val="auto"/>
          <w:sz w:val="24"/>
          <w:highlight w:val="none"/>
        </w:rPr>
      </w:pPr>
    </w:p>
    <w:p>
      <w:pPr>
        <w:adjustRightInd w:val="0"/>
        <w:snapToGrid w:val="0"/>
        <w:spacing w:line="360" w:lineRule="auto"/>
        <w:ind w:firstLine="480" w:firstLineChars="200"/>
        <w:rPr>
          <w:rFonts w:hAnsi="宋体"/>
          <w:color w:val="auto"/>
          <w:sz w:val="24"/>
          <w:highlight w:val="none"/>
        </w:rPr>
      </w:pPr>
    </w:p>
    <w:p>
      <w:pPr>
        <w:adjustRightInd w:val="0"/>
        <w:snapToGrid w:val="0"/>
        <w:spacing w:line="360" w:lineRule="auto"/>
        <w:ind w:firstLine="480" w:firstLineChars="200"/>
        <w:jc w:val="center"/>
        <w:rPr>
          <w:rFonts w:hAnsi="宋体"/>
          <w:color w:val="auto"/>
          <w:sz w:val="24"/>
          <w:highlight w:val="none"/>
        </w:rPr>
      </w:pPr>
    </w:p>
    <w:p>
      <w:pPr>
        <w:adjustRightInd w:val="0"/>
        <w:snapToGrid w:val="0"/>
        <w:spacing w:line="360" w:lineRule="auto"/>
        <w:ind w:firstLine="480" w:firstLineChars="200"/>
        <w:jc w:val="center"/>
        <w:rPr>
          <w:rFonts w:hAnsi="宋体"/>
          <w:color w:val="auto"/>
          <w:sz w:val="24"/>
          <w:highlight w:val="none"/>
        </w:rPr>
      </w:pPr>
    </w:p>
    <w:p>
      <w:pPr>
        <w:adjustRightInd w:val="0"/>
        <w:snapToGrid w:val="0"/>
        <w:spacing w:line="360" w:lineRule="auto"/>
        <w:ind w:firstLine="480" w:firstLineChars="200"/>
        <w:jc w:val="center"/>
        <w:rPr>
          <w:rFonts w:hAnsi="宋体"/>
          <w:color w:val="auto"/>
          <w:sz w:val="24"/>
          <w:highlight w:val="none"/>
        </w:rPr>
      </w:pPr>
    </w:p>
    <w:p>
      <w:pPr>
        <w:adjustRightInd w:val="0"/>
        <w:snapToGrid w:val="0"/>
        <w:spacing w:line="360" w:lineRule="auto"/>
        <w:ind w:firstLine="2240" w:firstLineChars="800"/>
        <w:rPr>
          <w:rFonts w:hAnsi="宋体"/>
          <w:snapToGrid w:val="0"/>
          <w:color w:val="auto"/>
          <w:sz w:val="28"/>
          <w:szCs w:val="28"/>
          <w:highlight w:val="none"/>
          <w:u w:val="single"/>
        </w:rPr>
      </w:pPr>
      <w:r>
        <w:rPr>
          <w:rFonts w:hAnsi="宋体"/>
          <w:snapToGrid w:val="0"/>
          <w:color w:val="auto"/>
          <w:sz w:val="28"/>
          <w:szCs w:val="28"/>
          <w:highlight w:val="none"/>
        </w:rPr>
        <w:t>投标人：</w:t>
      </w:r>
      <w:r>
        <w:rPr>
          <w:rFonts w:hAnsi="宋体"/>
          <w:snapToGrid w:val="0"/>
          <w:color w:val="auto"/>
          <w:sz w:val="28"/>
          <w:szCs w:val="28"/>
          <w:highlight w:val="none"/>
          <w:u w:val="single"/>
        </w:rPr>
        <w:t xml:space="preserve">      </w:t>
      </w:r>
      <w:r>
        <w:rPr>
          <w:rFonts w:hint="eastAsia" w:hAnsi="宋体"/>
          <w:snapToGrid w:val="0"/>
          <w:color w:val="auto"/>
          <w:sz w:val="28"/>
          <w:szCs w:val="28"/>
          <w:highlight w:val="none"/>
          <w:u w:val="single"/>
        </w:rPr>
        <w:t xml:space="preserve">        </w:t>
      </w:r>
      <w:r>
        <w:rPr>
          <w:rFonts w:hAnsi="宋体"/>
          <w:snapToGrid w:val="0"/>
          <w:color w:val="auto"/>
          <w:sz w:val="28"/>
          <w:szCs w:val="28"/>
          <w:highlight w:val="none"/>
          <w:u w:val="single"/>
        </w:rPr>
        <w:t xml:space="preserve"> </w:t>
      </w:r>
      <w:r>
        <w:rPr>
          <w:rFonts w:hint="eastAsia" w:hAnsi="宋体"/>
          <w:snapToGrid w:val="0"/>
          <w:color w:val="auto"/>
          <w:sz w:val="28"/>
          <w:szCs w:val="28"/>
          <w:highlight w:val="none"/>
          <w:u w:val="single"/>
        </w:rPr>
        <w:t xml:space="preserve">     </w:t>
      </w:r>
      <w:r>
        <w:rPr>
          <w:rFonts w:hAnsi="宋体"/>
          <w:snapToGrid w:val="0"/>
          <w:color w:val="auto"/>
          <w:sz w:val="28"/>
          <w:szCs w:val="28"/>
          <w:highlight w:val="none"/>
          <w:u w:val="single"/>
        </w:rPr>
        <w:t xml:space="preserve"> </w:t>
      </w:r>
      <w:r>
        <w:rPr>
          <w:rFonts w:hint="eastAsia" w:hAnsi="宋体"/>
          <w:snapToGrid w:val="0"/>
          <w:color w:val="auto"/>
          <w:sz w:val="28"/>
          <w:szCs w:val="28"/>
          <w:highlight w:val="none"/>
          <w:u w:val="single"/>
        </w:rPr>
        <w:t>（</w:t>
      </w:r>
      <w:r>
        <w:rPr>
          <w:rFonts w:hAnsi="宋体"/>
          <w:snapToGrid w:val="0"/>
          <w:color w:val="auto"/>
          <w:sz w:val="28"/>
          <w:szCs w:val="28"/>
          <w:highlight w:val="none"/>
          <w:u w:val="single"/>
        </w:rPr>
        <w:t>盖单位</w:t>
      </w:r>
      <w:r>
        <w:rPr>
          <w:rFonts w:hint="eastAsia" w:hAnsi="宋体"/>
          <w:snapToGrid w:val="0"/>
          <w:color w:val="auto"/>
          <w:sz w:val="28"/>
          <w:szCs w:val="28"/>
          <w:highlight w:val="none"/>
          <w:u w:val="single"/>
        </w:rPr>
        <w:t>公</w:t>
      </w:r>
      <w:r>
        <w:rPr>
          <w:rFonts w:hAnsi="宋体"/>
          <w:snapToGrid w:val="0"/>
          <w:color w:val="auto"/>
          <w:sz w:val="28"/>
          <w:szCs w:val="28"/>
          <w:highlight w:val="none"/>
          <w:u w:val="single"/>
        </w:rPr>
        <w:t>章）</w:t>
      </w:r>
    </w:p>
    <w:p>
      <w:pPr>
        <w:adjustRightInd w:val="0"/>
        <w:snapToGrid w:val="0"/>
        <w:spacing w:line="360" w:lineRule="auto"/>
        <w:ind w:firstLine="2240" w:firstLineChars="800"/>
        <w:rPr>
          <w:rFonts w:hAnsi="宋体"/>
          <w:snapToGrid w:val="0"/>
          <w:color w:val="auto"/>
          <w:sz w:val="28"/>
          <w:szCs w:val="28"/>
          <w:highlight w:val="none"/>
        </w:rPr>
      </w:pPr>
      <w:r>
        <w:rPr>
          <w:rFonts w:hAnsi="宋体"/>
          <w:snapToGrid w:val="0"/>
          <w:color w:val="auto"/>
          <w:sz w:val="28"/>
          <w:szCs w:val="28"/>
          <w:highlight w:val="none"/>
        </w:rPr>
        <w:t>法定代表人或其委托代理人：</w:t>
      </w:r>
      <w:r>
        <w:rPr>
          <w:rFonts w:hAnsi="宋体"/>
          <w:snapToGrid w:val="0"/>
          <w:color w:val="auto"/>
          <w:sz w:val="28"/>
          <w:szCs w:val="28"/>
          <w:highlight w:val="none"/>
          <w:u w:val="single"/>
        </w:rPr>
        <w:t xml:space="preserve"> </w:t>
      </w:r>
      <w:r>
        <w:rPr>
          <w:rFonts w:hint="eastAsia" w:hAnsi="宋体"/>
          <w:snapToGrid w:val="0"/>
          <w:color w:val="auto"/>
          <w:sz w:val="28"/>
          <w:szCs w:val="28"/>
          <w:highlight w:val="none"/>
          <w:u w:val="single"/>
        </w:rPr>
        <w:t xml:space="preserve"> </w:t>
      </w:r>
      <w:r>
        <w:rPr>
          <w:rFonts w:hAnsi="宋体"/>
          <w:snapToGrid w:val="0"/>
          <w:color w:val="auto"/>
          <w:sz w:val="28"/>
          <w:szCs w:val="28"/>
          <w:highlight w:val="none"/>
          <w:u w:val="single"/>
        </w:rPr>
        <w:t xml:space="preserve"> （签字或盖章）</w:t>
      </w:r>
    </w:p>
    <w:p>
      <w:pPr>
        <w:adjustRightInd w:val="0"/>
        <w:snapToGrid w:val="0"/>
        <w:spacing w:line="360" w:lineRule="auto"/>
        <w:ind w:firstLine="3360" w:firstLineChars="1200"/>
        <w:rPr>
          <w:rFonts w:hAnsi="宋体"/>
          <w:snapToGrid w:val="0"/>
          <w:color w:val="auto"/>
          <w:sz w:val="28"/>
          <w:szCs w:val="28"/>
          <w:highlight w:val="none"/>
        </w:rPr>
      </w:pPr>
      <w:r>
        <w:rPr>
          <w:rFonts w:hAnsi="宋体"/>
          <w:snapToGrid w:val="0"/>
          <w:color w:val="auto"/>
          <w:sz w:val="28"/>
          <w:szCs w:val="28"/>
          <w:highlight w:val="none"/>
        </w:rPr>
        <w:t>日  期：</w:t>
      </w:r>
      <w:r>
        <w:rPr>
          <w:rFonts w:hAnsi="宋体"/>
          <w:snapToGrid w:val="0"/>
          <w:color w:val="auto"/>
          <w:sz w:val="28"/>
          <w:szCs w:val="28"/>
          <w:highlight w:val="none"/>
          <w:u w:val="single"/>
        </w:rPr>
        <w:t xml:space="preserve">      </w:t>
      </w:r>
      <w:r>
        <w:rPr>
          <w:rFonts w:hAnsi="宋体"/>
          <w:snapToGrid w:val="0"/>
          <w:color w:val="auto"/>
          <w:sz w:val="28"/>
          <w:szCs w:val="28"/>
          <w:highlight w:val="none"/>
        </w:rPr>
        <w:t>年</w:t>
      </w:r>
      <w:r>
        <w:rPr>
          <w:rFonts w:hAnsi="宋体"/>
          <w:snapToGrid w:val="0"/>
          <w:color w:val="auto"/>
          <w:sz w:val="28"/>
          <w:szCs w:val="28"/>
          <w:highlight w:val="none"/>
          <w:u w:val="single"/>
        </w:rPr>
        <w:t xml:space="preserve">    </w:t>
      </w:r>
      <w:r>
        <w:rPr>
          <w:rFonts w:hAnsi="宋体"/>
          <w:snapToGrid w:val="0"/>
          <w:color w:val="auto"/>
          <w:sz w:val="28"/>
          <w:szCs w:val="28"/>
          <w:highlight w:val="none"/>
        </w:rPr>
        <w:t>月</w:t>
      </w:r>
      <w:r>
        <w:rPr>
          <w:rFonts w:hAnsi="宋体"/>
          <w:snapToGrid w:val="0"/>
          <w:color w:val="auto"/>
          <w:sz w:val="28"/>
          <w:szCs w:val="28"/>
          <w:highlight w:val="none"/>
          <w:u w:val="single"/>
        </w:rPr>
        <w:t xml:space="preserve">    </w:t>
      </w:r>
      <w:r>
        <w:rPr>
          <w:rFonts w:hAnsi="宋体"/>
          <w:snapToGrid w:val="0"/>
          <w:color w:val="auto"/>
          <w:sz w:val="28"/>
          <w:szCs w:val="28"/>
          <w:highlight w:val="none"/>
        </w:rPr>
        <w:t>日</w:t>
      </w:r>
    </w:p>
    <w:p>
      <w:pPr>
        <w:adjustRightInd w:val="0"/>
        <w:snapToGrid w:val="0"/>
        <w:spacing w:line="360" w:lineRule="auto"/>
        <w:jc w:val="center"/>
        <w:outlineLvl w:val="1"/>
        <w:rPr>
          <w:rFonts w:hAnsi="宋体"/>
          <w:b/>
          <w:bCs/>
          <w:color w:val="auto"/>
          <w:sz w:val="32"/>
          <w:szCs w:val="32"/>
          <w:highlight w:val="none"/>
        </w:rPr>
      </w:pPr>
      <w:r>
        <w:rPr>
          <w:rFonts w:hAnsi="宋体"/>
          <w:b/>
          <w:bCs/>
          <w:color w:val="auto"/>
          <w:sz w:val="32"/>
          <w:szCs w:val="32"/>
          <w:highlight w:val="none"/>
        </w:rPr>
        <w:br w:type="page"/>
      </w:r>
      <w:r>
        <w:rPr>
          <w:rFonts w:hint="eastAsia" w:hAnsi="宋体"/>
          <w:b/>
          <w:bCs/>
          <w:color w:val="auto"/>
          <w:sz w:val="32"/>
          <w:szCs w:val="32"/>
          <w:highlight w:val="none"/>
        </w:rPr>
        <w:t>资格审查索引</w:t>
      </w:r>
    </w:p>
    <w:tbl>
      <w:tblPr>
        <w:tblStyle w:val="8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b/>
                <w:color w:val="auto"/>
                <w:sz w:val="24"/>
                <w:highlight w:val="none"/>
              </w:rPr>
            </w:pPr>
            <w:r>
              <w:rPr>
                <w:rFonts w:hint="eastAsia" w:hAnsi="宋体"/>
                <w:b/>
                <w:color w:val="auto"/>
                <w:sz w:val="24"/>
                <w:highlight w:val="none"/>
              </w:rPr>
              <w:t>序号</w:t>
            </w:r>
          </w:p>
        </w:tc>
        <w:tc>
          <w:tcPr>
            <w:tcW w:w="5470" w:type="dxa"/>
            <w:vAlign w:val="center"/>
          </w:tcPr>
          <w:p>
            <w:pPr>
              <w:snapToGrid w:val="0"/>
              <w:spacing w:line="360" w:lineRule="exact"/>
              <w:jc w:val="center"/>
              <w:rPr>
                <w:rFonts w:hAnsi="宋体"/>
                <w:b/>
                <w:color w:val="auto"/>
                <w:sz w:val="24"/>
                <w:highlight w:val="none"/>
              </w:rPr>
            </w:pPr>
            <w:r>
              <w:rPr>
                <w:rFonts w:hint="eastAsia" w:hAnsi="宋体"/>
                <w:b/>
                <w:color w:val="auto"/>
                <w:sz w:val="24"/>
                <w:highlight w:val="none"/>
              </w:rPr>
              <w:t>审查内容</w:t>
            </w:r>
          </w:p>
        </w:tc>
        <w:tc>
          <w:tcPr>
            <w:tcW w:w="1276" w:type="dxa"/>
            <w:vAlign w:val="center"/>
          </w:tcPr>
          <w:p>
            <w:pPr>
              <w:snapToGrid w:val="0"/>
              <w:spacing w:line="360" w:lineRule="exact"/>
              <w:jc w:val="center"/>
              <w:rPr>
                <w:rFonts w:hAnsi="宋体"/>
                <w:b/>
                <w:color w:val="auto"/>
                <w:sz w:val="24"/>
                <w:highlight w:val="none"/>
              </w:rPr>
            </w:pPr>
            <w:r>
              <w:rPr>
                <w:rFonts w:hint="eastAsia" w:hAnsi="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vAlign w:val="center"/>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bl>
    <w:p>
      <w:pPr>
        <w:spacing w:line="420" w:lineRule="exact"/>
        <w:jc w:val="left"/>
        <w:rPr>
          <w:rFonts w:hAnsi="宋体"/>
          <w:color w:val="auto"/>
          <w:szCs w:val="21"/>
          <w:highlight w:val="none"/>
        </w:rPr>
      </w:pPr>
      <w:r>
        <w:rPr>
          <w:rFonts w:hint="eastAsia" w:hAnsi="宋体"/>
          <w:color w:val="auto"/>
          <w:szCs w:val="21"/>
          <w:highlight w:val="none"/>
        </w:rPr>
        <w:t>注：投标人根据招标公告“</w:t>
      </w:r>
      <w:r>
        <w:rPr>
          <w:rFonts w:hint="eastAsia" w:hAnsi="宋体" w:cs="宋体"/>
          <w:color w:val="auto"/>
          <w:szCs w:val="21"/>
          <w:highlight w:val="none"/>
          <w:lang w:val="zh-CN"/>
        </w:rPr>
        <w:t>投标人资格条件</w:t>
      </w:r>
      <w:r>
        <w:rPr>
          <w:rFonts w:hint="eastAsia" w:hAnsi="宋体"/>
          <w:color w:val="auto"/>
          <w:szCs w:val="21"/>
          <w:highlight w:val="none"/>
        </w:rPr>
        <w:t>”条款一一对应填写本表。</w:t>
      </w:r>
    </w:p>
    <w:p>
      <w:pPr>
        <w:spacing w:line="420" w:lineRule="exact"/>
        <w:jc w:val="center"/>
        <w:rPr>
          <w:rFonts w:hAnsi="宋体"/>
          <w:color w:val="auto"/>
          <w:sz w:val="36"/>
          <w:szCs w:val="36"/>
          <w:highlight w:val="none"/>
        </w:rPr>
      </w:pPr>
    </w:p>
    <w:p>
      <w:pPr>
        <w:spacing w:line="360" w:lineRule="auto"/>
        <w:jc w:val="center"/>
        <w:outlineLvl w:val="1"/>
        <w:rPr>
          <w:rFonts w:hAnsi="宋体"/>
          <w:b/>
          <w:bCs/>
          <w:color w:val="auto"/>
          <w:sz w:val="32"/>
          <w:szCs w:val="32"/>
          <w:highlight w:val="none"/>
        </w:rPr>
      </w:pPr>
      <w:r>
        <w:rPr>
          <w:rFonts w:hint="eastAsia" w:hAnsi="宋体"/>
          <w:b/>
          <w:bCs/>
          <w:color w:val="auto"/>
          <w:sz w:val="32"/>
          <w:szCs w:val="32"/>
          <w:highlight w:val="none"/>
        </w:rPr>
        <w:t>符合性审查索引</w:t>
      </w:r>
    </w:p>
    <w:tbl>
      <w:tblPr>
        <w:tblStyle w:val="8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b/>
                <w:color w:val="auto"/>
                <w:sz w:val="24"/>
                <w:highlight w:val="none"/>
              </w:rPr>
            </w:pPr>
            <w:r>
              <w:rPr>
                <w:rFonts w:hint="eastAsia" w:hAnsi="宋体"/>
                <w:b/>
                <w:color w:val="auto"/>
                <w:sz w:val="24"/>
                <w:highlight w:val="none"/>
              </w:rPr>
              <w:t>序号</w:t>
            </w:r>
          </w:p>
        </w:tc>
        <w:tc>
          <w:tcPr>
            <w:tcW w:w="5470" w:type="dxa"/>
            <w:vAlign w:val="center"/>
          </w:tcPr>
          <w:p>
            <w:pPr>
              <w:snapToGrid w:val="0"/>
              <w:spacing w:line="360" w:lineRule="exact"/>
              <w:jc w:val="center"/>
              <w:rPr>
                <w:rFonts w:hAnsi="宋体"/>
                <w:b/>
                <w:color w:val="auto"/>
                <w:sz w:val="24"/>
                <w:highlight w:val="none"/>
              </w:rPr>
            </w:pPr>
            <w:r>
              <w:rPr>
                <w:rFonts w:hint="eastAsia" w:hAnsi="宋体"/>
                <w:b/>
                <w:color w:val="auto"/>
                <w:sz w:val="24"/>
                <w:highlight w:val="none"/>
              </w:rPr>
              <w:t>审查内容</w:t>
            </w:r>
          </w:p>
        </w:tc>
        <w:tc>
          <w:tcPr>
            <w:tcW w:w="1276" w:type="dxa"/>
            <w:vAlign w:val="center"/>
          </w:tcPr>
          <w:p>
            <w:pPr>
              <w:snapToGrid w:val="0"/>
              <w:spacing w:line="360" w:lineRule="exact"/>
              <w:jc w:val="center"/>
              <w:rPr>
                <w:rFonts w:hAnsi="宋体"/>
                <w:b/>
                <w:color w:val="auto"/>
                <w:sz w:val="24"/>
                <w:highlight w:val="none"/>
              </w:rPr>
            </w:pPr>
            <w:r>
              <w:rPr>
                <w:rFonts w:hint="eastAsia" w:hAnsi="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vAlign w:val="center"/>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bl>
    <w:p>
      <w:pPr>
        <w:spacing w:line="420" w:lineRule="exact"/>
        <w:jc w:val="left"/>
        <w:rPr>
          <w:rFonts w:hAnsi="宋体"/>
          <w:color w:val="auto"/>
          <w:szCs w:val="21"/>
          <w:highlight w:val="none"/>
        </w:rPr>
      </w:pPr>
      <w:r>
        <w:rPr>
          <w:rFonts w:hint="eastAsia" w:hAnsi="宋体"/>
          <w:color w:val="auto"/>
          <w:szCs w:val="21"/>
          <w:highlight w:val="none"/>
        </w:rPr>
        <w:t>注：投标人根据评标方法和评价标准的“初步评审”中“</w:t>
      </w:r>
      <w:r>
        <w:rPr>
          <w:rFonts w:hint="eastAsia" w:hAnsi="宋体" w:cs="宋体"/>
          <w:color w:val="auto"/>
          <w:szCs w:val="21"/>
          <w:highlight w:val="none"/>
        </w:rPr>
        <w:t>符合性审查</w:t>
      </w:r>
      <w:r>
        <w:rPr>
          <w:rFonts w:hint="eastAsia" w:hAnsi="宋体"/>
          <w:color w:val="auto"/>
          <w:szCs w:val="21"/>
          <w:highlight w:val="none"/>
        </w:rPr>
        <w:t>”条款一一对应填写本表。</w:t>
      </w:r>
    </w:p>
    <w:p>
      <w:pPr>
        <w:spacing w:line="420" w:lineRule="exact"/>
        <w:jc w:val="center"/>
        <w:rPr>
          <w:rFonts w:hAnsi="宋体"/>
          <w:color w:val="auto"/>
          <w:sz w:val="36"/>
          <w:szCs w:val="36"/>
          <w:highlight w:val="none"/>
        </w:rPr>
      </w:pPr>
    </w:p>
    <w:p>
      <w:pPr>
        <w:spacing w:line="360" w:lineRule="auto"/>
        <w:jc w:val="center"/>
        <w:outlineLvl w:val="1"/>
        <w:rPr>
          <w:rFonts w:hAnsi="宋体"/>
          <w:b/>
          <w:bCs/>
          <w:color w:val="auto"/>
          <w:sz w:val="32"/>
          <w:szCs w:val="32"/>
          <w:highlight w:val="none"/>
        </w:rPr>
      </w:pPr>
      <w:r>
        <w:rPr>
          <w:rFonts w:hint="eastAsia" w:hAnsi="宋体"/>
          <w:b/>
          <w:bCs/>
          <w:color w:val="auto"/>
          <w:sz w:val="32"/>
          <w:szCs w:val="32"/>
          <w:highlight w:val="none"/>
        </w:rPr>
        <w:t>详细评审索引</w:t>
      </w:r>
    </w:p>
    <w:tbl>
      <w:tblPr>
        <w:tblStyle w:val="8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Ansi="宋体"/>
                <w:b/>
                <w:color w:val="auto"/>
                <w:sz w:val="24"/>
                <w:highlight w:val="none"/>
              </w:rPr>
            </w:pPr>
            <w:r>
              <w:rPr>
                <w:rFonts w:hAnsi="宋体"/>
                <w:b/>
                <w:color w:val="auto"/>
                <w:sz w:val="24"/>
                <w:highlight w:val="none"/>
              </w:rPr>
              <w:t>序号</w:t>
            </w:r>
          </w:p>
        </w:tc>
        <w:tc>
          <w:tcPr>
            <w:tcW w:w="5356" w:type="dxa"/>
            <w:vAlign w:val="center"/>
          </w:tcPr>
          <w:p>
            <w:pPr>
              <w:adjustRightInd w:val="0"/>
              <w:snapToGrid w:val="0"/>
              <w:jc w:val="center"/>
              <w:rPr>
                <w:rFonts w:hAnsi="宋体"/>
                <w:b/>
                <w:color w:val="auto"/>
                <w:sz w:val="24"/>
                <w:highlight w:val="none"/>
              </w:rPr>
            </w:pPr>
            <w:r>
              <w:rPr>
                <w:rFonts w:hint="eastAsia" w:hAnsi="宋体"/>
                <w:b/>
                <w:color w:val="auto"/>
                <w:sz w:val="24"/>
                <w:highlight w:val="none"/>
              </w:rPr>
              <w:t>评分/评审细则</w:t>
            </w:r>
          </w:p>
        </w:tc>
        <w:tc>
          <w:tcPr>
            <w:tcW w:w="1276" w:type="dxa"/>
            <w:vAlign w:val="center"/>
          </w:tcPr>
          <w:p>
            <w:pPr>
              <w:adjustRightInd w:val="0"/>
              <w:snapToGrid w:val="0"/>
              <w:jc w:val="center"/>
              <w:rPr>
                <w:rFonts w:hAnsi="宋体"/>
                <w:b/>
                <w:color w:val="auto"/>
                <w:sz w:val="24"/>
                <w:highlight w:val="none"/>
              </w:rPr>
            </w:pPr>
            <w:r>
              <w:rPr>
                <w:rFonts w:hint="eastAsia" w:hAnsi="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Ansi="宋体"/>
                <w:color w:val="auto"/>
                <w:sz w:val="24"/>
                <w:highlight w:val="none"/>
              </w:rPr>
            </w:pPr>
          </w:p>
        </w:tc>
        <w:tc>
          <w:tcPr>
            <w:tcW w:w="5356" w:type="dxa"/>
            <w:vAlign w:val="center"/>
          </w:tcPr>
          <w:p>
            <w:pPr>
              <w:adjustRightInd w:val="0"/>
              <w:snapToGrid w:val="0"/>
              <w:rPr>
                <w:rFonts w:hAnsi="宋体"/>
                <w:color w:val="auto"/>
                <w:sz w:val="24"/>
                <w:highlight w:val="none"/>
              </w:rPr>
            </w:pPr>
          </w:p>
        </w:tc>
        <w:tc>
          <w:tcPr>
            <w:tcW w:w="1276" w:type="dxa"/>
            <w:vAlign w:val="center"/>
          </w:tcPr>
          <w:p>
            <w:pPr>
              <w:adjustRightInd w:val="0"/>
              <w:snapToGrid w:val="0"/>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pPr>
              <w:adjustRightInd w:val="0"/>
              <w:snapToGrid w:val="0"/>
              <w:jc w:val="center"/>
              <w:rPr>
                <w:rFonts w:hAnsi="宋体"/>
                <w:color w:val="auto"/>
                <w:sz w:val="24"/>
                <w:highlight w:val="none"/>
              </w:rPr>
            </w:pPr>
          </w:p>
        </w:tc>
        <w:tc>
          <w:tcPr>
            <w:tcW w:w="5356" w:type="dxa"/>
            <w:vAlign w:val="center"/>
          </w:tcPr>
          <w:p>
            <w:pPr>
              <w:adjustRightInd w:val="0"/>
              <w:snapToGrid w:val="0"/>
              <w:rPr>
                <w:rFonts w:hAnsi="宋体"/>
                <w:color w:val="auto"/>
                <w:sz w:val="24"/>
                <w:highlight w:val="none"/>
              </w:rPr>
            </w:pPr>
          </w:p>
        </w:tc>
        <w:tc>
          <w:tcPr>
            <w:tcW w:w="1276" w:type="dxa"/>
            <w:vAlign w:val="center"/>
          </w:tcPr>
          <w:p>
            <w:pPr>
              <w:adjustRightInd w:val="0"/>
              <w:snapToGrid w:val="0"/>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Ansi="宋体"/>
                <w:color w:val="auto"/>
                <w:sz w:val="24"/>
                <w:highlight w:val="none"/>
              </w:rPr>
            </w:pPr>
          </w:p>
        </w:tc>
        <w:tc>
          <w:tcPr>
            <w:tcW w:w="5356" w:type="dxa"/>
            <w:vAlign w:val="center"/>
          </w:tcPr>
          <w:p>
            <w:pPr>
              <w:adjustRightInd w:val="0"/>
              <w:snapToGrid w:val="0"/>
              <w:rPr>
                <w:rFonts w:hAnsi="宋体"/>
                <w:color w:val="auto"/>
                <w:sz w:val="24"/>
                <w:highlight w:val="none"/>
              </w:rPr>
            </w:pPr>
          </w:p>
        </w:tc>
        <w:tc>
          <w:tcPr>
            <w:tcW w:w="1276" w:type="dxa"/>
            <w:vAlign w:val="center"/>
          </w:tcPr>
          <w:p>
            <w:pPr>
              <w:adjustRightInd w:val="0"/>
              <w:snapToGrid w:val="0"/>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10" w:hRule="atLeast"/>
          <w:jc w:val="center"/>
        </w:trPr>
        <w:tc>
          <w:tcPr>
            <w:tcW w:w="874" w:type="dxa"/>
            <w:vAlign w:val="center"/>
          </w:tcPr>
          <w:p>
            <w:pPr>
              <w:adjustRightInd w:val="0"/>
              <w:snapToGrid w:val="0"/>
              <w:jc w:val="center"/>
              <w:rPr>
                <w:rFonts w:hAnsi="宋体"/>
                <w:color w:val="auto"/>
                <w:sz w:val="24"/>
                <w:highlight w:val="none"/>
              </w:rPr>
            </w:pPr>
          </w:p>
        </w:tc>
        <w:tc>
          <w:tcPr>
            <w:tcW w:w="5356" w:type="dxa"/>
            <w:vAlign w:val="center"/>
          </w:tcPr>
          <w:p>
            <w:pPr>
              <w:adjustRightInd w:val="0"/>
              <w:snapToGrid w:val="0"/>
              <w:rPr>
                <w:rFonts w:hAnsi="宋体"/>
                <w:color w:val="auto"/>
                <w:sz w:val="24"/>
                <w:highlight w:val="none"/>
              </w:rPr>
            </w:pPr>
          </w:p>
        </w:tc>
        <w:tc>
          <w:tcPr>
            <w:tcW w:w="1276" w:type="dxa"/>
            <w:vAlign w:val="center"/>
          </w:tcPr>
          <w:p>
            <w:pPr>
              <w:adjustRightInd w:val="0"/>
              <w:snapToGrid w:val="0"/>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Ansi="宋体"/>
                <w:color w:val="auto"/>
                <w:sz w:val="24"/>
                <w:highlight w:val="none"/>
              </w:rPr>
            </w:pPr>
          </w:p>
        </w:tc>
        <w:tc>
          <w:tcPr>
            <w:tcW w:w="5356" w:type="dxa"/>
            <w:vAlign w:val="center"/>
          </w:tcPr>
          <w:p>
            <w:pPr>
              <w:adjustRightInd w:val="0"/>
              <w:snapToGrid w:val="0"/>
              <w:ind w:left="-2" w:leftChars="-1" w:firstLine="2"/>
              <w:rPr>
                <w:rFonts w:hAnsi="宋体"/>
                <w:b/>
                <w:color w:val="auto"/>
                <w:sz w:val="24"/>
                <w:highlight w:val="none"/>
              </w:rPr>
            </w:pPr>
          </w:p>
        </w:tc>
        <w:tc>
          <w:tcPr>
            <w:tcW w:w="1276" w:type="dxa"/>
            <w:vAlign w:val="center"/>
          </w:tcPr>
          <w:p>
            <w:pPr>
              <w:adjustRightInd w:val="0"/>
              <w:snapToGrid w:val="0"/>
              <w:jc w:val="center"/>
              <w:rPr>
                <w:rFonts w:hAnsi="宋体"/>
                <w:b/>
                <w:color w:val="auto"/>
                <w:sz w:val="24"/>
                <w:highlight w:val="none"/>
              </w:rPr>
            </w:pPr>
          </w:p>
        </w:tc>
      </w:tr>
    </w:tbl>
    <w:p>
      <w:pPr>
        <w:spacing w:line="440" w:lineRule="exact"/>
        <w:rPr>
          <w:rFonts w:hAnsi="宋体" w:cs="宋体"/>
          <w:color w:val="auto"/>
          <w:highlight w:val="none"/>
        </w:rPr>
      </w:pPr>
      <w:r>
        <w:rPr>
          <w:rFonts w:hint="eastAsia" w:hAnsi="宋体"/>
          <w:color w:val="auto"/>
          <w:szCs w:val="21"/>
          <w:highlight w:val="none"/>
        </w:rPr>
        <w:t>注：投标人根据评标方法及评价标准的“详细评审”条款一一对应填写本表。</w:t>
      </w:r>
    </w:p>
    <w:p>
      <w:pPr>
        <w:adjustRightInd w:val="0"/>
        <w:snapToGrid w:val="0"/>
        <w:spacing w:line="360" w:lineRule="auto"/>
        <w:jc w:val="left"/>
        <w:outlineLvl w:val="1"/>
        <w:rPr>
          <w:rFonts w:hAnsi="宋体" w:cs="宋体"/>
          <w:snapToGrid w:val="0"/>
          <w:color w:val="auto"/>
          <w:szCs w:val="21"/>
          <w:highlight w:val="none"/>
        </w:rPr>
      </w:pPr>
      <w:r>
        <w:rPr>
          <w:rFonts w:hint="eastAsia" w:hAnsi="宋体"/>
          <w:b/>
          <w:bCs/>
          <w:color w:val="auto"/>
          <w:sz w:val="28"/>
          <w:szCs w:val="28"/>
          <w:highlight w:val="none"/>
        </w:rPr>
        <w:br w:type="page"/>
      </w:r>
      <w:r>
        <w:rPr>
          <w:rFonts w:hint="eastAsia" w:hAnsi="宋体"/>
          <w:b/>
          <w:bCs/>
          <w:color w:val="auto"/>
          <w:sz w:val="28"/>
          <w:szCs w:val="28"/>
          <w:highlight w:val="none"/>
        </w:rPr>
        <w:t>第一部分、资格文件</w:t>
      </w:r>
    </w:p>
    <w:p>
      <w:pPr>
        <w:adjustRightInd w:val="0"/>
        <w:snapToGrid w:val="0"/>
        <w:spacing w:line="360" w:lineRule="auto"/>
        <w:jc w:val="center"/>
        <w:outlineLvl w:val="1"/>
        <w:rPr>
          <w:rFonts w:hAnsi="宋体" w:cs="宋体"/>
          <w:b/>
          <w:color w:val="auto"/>
          <w:sz w:val="32"/>
          <w:szCs w:val="32"/>
          <w:highlight w:val="none"/>
        </w:rPr>
      </w:pPr>
      <w:r>
        <w:rPr>
          <w:rFonts w:hAnsi="宋体" w:cs="宋体"/>
          <w:b/>
          <w:color w:val="auto"/>
          <w:sz w:val="32"/>
          <w:szCs w:val="32"/>
          <w:highlight w:val="none"/>
          <w:lang w:val="zh-CN"/>
        </w:rPr>
        <w:t>一、</w:t>
      </w:r>
      <w:r>
        <w:rPr>
          <w:rFonts w:hAnsi="宋体"/>
          <w:b/>
          <w:color w:val="auto"/>
          <w:sz w:val="32"/>
          <w:szCs w:val="32"/>
          <w:highlight w:val="none"/>
        </w:rPr>
        <w:t>营业执照、事业单位法人证书、社会团体法人登记证书或其他组织登记证明文件副本</w:t>
      </w:r>
      <w:r>
        <w:rPr>
          <w:rFonts w:hAnsi="宋体" w:cs="宋体"/>
          <w:b/>
          <w:color w:val="auto"/>
          <w:sz w:val="32"/>
          <w:szCs w:val="32"/>
          <w:highlight w:val="none"/>
        </w:rPr>
        <w:t>（复印件加盖公章）</w:t>
      </w:r>
    </w:p>
    <w:p>
      <w:pPr>
        <w:spacing w:line="360" w:lineRule="auto"/>
        <w:jc w:val="center"/>
        <w:rPr>
          <w:rFonts w:ascii="仿宋" w:hAnsi="仿宋" w:eastAsia="仿宋" w:cs="仿宋_GB2312"/>
          <w:b/>
          <w:color w:val="auto"/>
          <w:sz w:val="30"/>
          <w:szCs w:val="30"/>
          <w:highlight w:val="none"/>
        </w:rPr>
      </w:pPr>
      <w:r>
        <w:rPr>
          <w:rFonts w:hint="eastAsia" w:cs="宋体"/>
          <w:color w:val="auto"/>
          <w:szCs w:val="21"/>
          <w:highlight w:val="none"/>
        </w:rPr>
        <w:t>（保险、金融、电信、通信特殊行业可视行业实际情况提供非独立法人的分公司登记证书及上级总公司唯一授权相关证明材料）</w:t>
      </w:r>
    </w:p>
    <w:p>
      <w:pPr>
        <w:spacing w:line="360" w:lineRule="auto"/>
        <w:jc w:val="center"/>
        <w:rPr>
          <w:rFonts w:ascii="仿宋" w:hAnsi="仿宋" w:eastAsia="仿宋" w:cs="仿宋_GB2312"/>
          <w:b/>
          <w:color w:val="auto"/>
          <w:sz w:val="30"/>
          <w:szCs w:val="30"/>
          <w:highlight w:val="none"/>
        </w:rPr>
      </w:pPr>
    </w:p>
    <w:p>
      <w:pPr>
        <w:adjustRightInd w:val="0"/>
        <w:snapToGrid w:val="0"/>
        <w:spacing w:line="360" w:lineRule="auto"/>
        <w:outlineLvl w:val="1"/>
        <w:rPr>
          <w:rFonts w:hAnsi="宋体"/>
          <w:b/>
          <w:color w:val="auto"/>
          <w:sz w:val="32"/>
          <w:szCs w:val="32"/>
          <w:highlight w:val="none"/>
        </w:rPr>
      </w:pPr>
    </w:p>
    <w:p>
      <w:pPr>
        <w:adjustRightInd w:val="0"/>
        <w:snapToGrid w:val="0"/>
        <w:spacing w:line="360" w:lineRule="auto"/>
        <w:outlineLvl w:val="1"/>
        <w:rPr>
          <w:rFonts w:hAnsi="宋体"/>
          <w:b/>
          <w:color w:val="auto"/>
          <w:sz w:val="32"/>
          <w:szCs w:val="32"/>
          <w:highlight w:val="none"/>
        </w:rPr>
      </w:pPr>
      <w:r>
        <w:rPr>
          <w:rFonts w:hint="eastAsia" w:hAnsi="宋体"/>
          <w:b/>
          <w:color w:val="auto"/>
          <w:sz w:val="32"/>
          <w:szCs w:val="32"/>
          <w:highlight w:val="none"/>
        </w:rPr>
        <w:t>二、业绩证明资料</w:t>
      </w:r>
    </w:p>
    <w:p>
      <w:pPr>
        <w:adjustRightInd w:val="0"/>
        <w:snapToGrid w:val="0"/>
        <w:spacing w:line="360" w:lineRule="auto"/>
        <w:outlineLvl w:val="1"/>
        <w:rPr>
          <w:rFonts w:hAnsi="宋体"/>
          <w:b/>
          <w:color w:val="auto"/>
          <w:sz w:val="32"/>
          <w:szCs w:val="32"/>
          <w:highlight w:val="none"/>
        </w:rPr>
      </w:pPr>
    </w:p>
    <w:p>
      <w:pPr>
        <w:adjustRightInd w:val="0"/>
        <w:snapToGrid w:val="0"/>
        <w:spacing w:line="360" w:lineRule="auto"/>
        <w:outlineLvl w:val="1"/>
        <w:rPr>
          <w:rFonts w:hAnsi="宋体"/>
          <w:b/>
          <w:color w:val="auto"/>
          <w:sz w:val="32"/>
          <w:szCs w:val="32"/>
          <w:highlight w:val="none"/>
        </w:rPr>
      </w:pPr>
    </w:p>
    <w:p>
      <w:pPr>
        <w:adjustRightInd w:val="0"/>
        <w:snapToGrid w:val="0"/>
        <w:spacing w:line="360" w:lineRule="auto"/>
        <w:outlineLvl w:val="1"/>
        <w:rPr>
          <w:rFonts w:hAnsi="宋体"/>
          <w:b/>
          <w:color w:val="auto"/>
          <w:sz w:val="32"/>
          <w:szCs w:val="32"/>
          <w:highlight w:val="none"/>
          <w:lang w:val="zh-CN"/>
        </w:rPr>
      </w:pPr>
      <w:r>
        <w:rPr>
          <w:rFonts w:hint="eastAsia" w:hAnsi="宋体"/>
          <w:b/>
          <w:color w:val="auto"/>
          <w:sz w:val="32"/>
          <w:szCs w:val="32"/>
          <w:highlight w:val="none"/>
        </w:rPr>
        <w:t>三</w:t>
      </w:r>
      <w:r>
        <w:rPr>
          <w:rFonts w:hint="eastAsia" w:hAnsi="宋体"/>
          <w:b/>
          <w:color w:val="auto"/>
          <w:sz w:val="32"/>
          <w:szCs w:val="32"/>
          <w:highlight w:val="none"/>
          <w:lang w:val="zh-CN"/>
        </w:rPr>
        <w:t>、其他资格条件证明材料（复印件加盖公章）</w:t>
      </w:r>
    </w:p>
    <w:p>
      <w:pPr>
        <w:pStyle w:val="99"/>
        <w:rPr>
          <w:color w:val="auto"/>
          <w:highlight w:val="none"/>
          <w:lang w:val="zh-CN"/>
        </w:rPr>
      </w:pPr>
    </w:p>
    <w:p>
      <w:pPr>
        <w:adjustRightInd w:val="0"/>
        <w:snapToGrid w:val="0"/>
        <w:spacing w:line="360" w:lineRule="auto"/>
        <w:jc w:val="center"/>
        <w:outlineLvl w:val="1"/>
        <w:rPr>
          <w:rFonts w:hAnsi="宋体"/>
          <w:b/>
          <w:color w:val="auto"/>
          <w:sz w:val="32"/>
          <w:szCs w:val="32"/>
          <w:highlight w:val="none"/>
          <w:lang w:val="zh-CN"/>
        </w:rPr>
      </w:pPr>
    </w:p>
    <w:p>
      <w:pPr>
        <w:snapToGrid w:val="0"/>
        <w:spacing w:line="360" w:lineRule="auto"/>
        <w:ind w:right="480"/>
        <w:rPr>
          <w:rFonts w:ascii="仿宋" w:hAnsi="仿宋" w:eastAsia="仿宋" w:cs="仿宋_GB2312"/>
          <w:b/>
          <w:color w:val="auto"/>
          <w:sz w:val="32"/>
          <w:szCs w:val="32"/>
          <w:highlight w:val="none"/>
        </w:rPr>
      </w:pPr>
    </w:p>
    <w:p>
      <w:pPr>
        <w:adjustRightInd w:val="0"/>
        <w:snapToGrid w:val="0"/>
        <w:spacing w:line="360" w:lineRule="auto"/>
        <w:jc w:val="left"/>
        <w:outlineLvl w:val="1"/>
        <w:rPr>
          <w:rFonts w:hAnsi="宋体"/>
          <w:b/>
          <w:bCs/>
          <w:color w:val="auto"/>
          <w:sz w:val="28"/>
          <w:szCs w:val="28"/>
          <w:highlight w:val="none"/>
        </w:rPr>
      </w:pPr>
      <w:r>
        <w:rPr>
          <w:rFonts w:hint="eastAsia" w:hAnsi="宋体"/>
          <w:b/>
          <w:bCs/>
          <w:color w:val="auto"/>
          <w:sz w:val="28"/>
          <w:szCs w:val="28"/>
          <w:highlight w:val="none"/>
        </w:rPr>
        <w:br w:type="page"/>
      </w:r>
      <w:r>
        <w:rPr>
          <w:rFonts w:hint="eastAsia" w:hAnsi="宋体"/>
          <w:b/>
          <w:bCs/>
          <w:color w:val="auto"/>
          <w:sz w:val="28"/>
          <w:szCs w:val="28"/>
          <w:highlight w:val="none"/>
        </w:rPr>
        <w:t>第二部分、商务文件</w:t>
      </w:r>
    </w:p>
    <w:p>
      <w:pPr>
        <w:adjustRightInd w:val="0"/>
        <w:snapToGrid w:val="0"/>
        <w:spacing w:line="360" w:lineRule="auto"/>
        <w:jc w:val="center"/>
        <w:outlineLvl w:val="1"/>
        <w:rPr>
          <w:rFonts w:hAnsi="宋体"/>
          <w:b/>
          <w:color w:val="auto"/>
          <w:sz w:val="32"/>
          <w:szCs w:val="32"/>
          <w:highlight w:val="none"/>
        </w:rPr>
      </w:pPr>
      <w:r>
        <w:rPr>
          <w:rFonts w:hAnsi="宋体"/>
          <w:b/>
          <w:color w:val="auto"/>
          <w:sz w:val="32"/>
          <w:szCs w:val="32"/>
          <w:highlight w:val="none"/>
        </w:rPr>
        <w:t>一、投 标 函</w:t>
      </w:r>
    </w:p>
    <w:p>
      <w:pPr>
        <w:adjustRightInd w:val="0"/>
        <w:snapToGrid w:val="0"/>
        <w:spacing w:line="360" w:lineRule="auto"/>
        <w:rPr>
          <w:rFonts w:hAnsi="宋体" w:cs="宋体"/>
          <w:color w:val="auto"/>
          <w:szCs w:val="21"/>
          <w:highlight w:val="none"/>
        </w:rPr>
      </w:pP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w:t>
      </w:r>
    </w:p>
    <w:p>
      <w:pPr>
        <w:adjustRightInd w:val="0"/>
        <w:snapToGrid w:val="0"/>
        <w:spacing w:line="360" w:lineRule="auto"/>
        <w:ind w:left="120" w:leftChars="57" w:firstLine="315" w:firstLineChars="150"/>
        <w:rPr>
          <w:rFonts w:hAnsi="宋体" w:cs="宋体"/>
          <w:color w:val="auto"/>
          <w:szCs w:val="21"/>
          <w:highlight w:val="none"/>
        </w:rPr>
      </w:pPr>
      <w:r>
        <w:rPr>
          <w:rFonts w:hint="eastAsia" w:hAnsi="宋体" w:cs="宋体"/>
          <w:color w:val="auto"/>
          <w:szCs w:val="21"/>
          <w:highlight w:val="none"/>
        </w:rPr>
        <w:t xml:space="preserve">1．我方仔细研究了 </w:t>
      </w:r>
      <w:r>
        <w:rPr>
          <w:rFonts w:hint="eastAsia" w:hAnsi="宋体" w:cs="宋体"/>
          <w:color w:val="auto"/>
          <w:szCs w:val="21"/>
          <w:highlight w:val="none"/>
          <w:u w:val="single"/>
        </w:rPr>
        <w:t xml:space="preserve">                  </w:t>
      </w:r>
      <w:r>
        <w:rPr>
          <w:rFonts w:hint="eastAsia" w:hAnsi="宋体" w:cs="宋体"/>
          <w:color w:val="auto"/>
          <w:szCs w:val="21"/>
          <w:highlight w:val="none"/>
        </w:rPr>
        <w:t>项目（招标编号：</w:t>
      </w:r>
      <w:r>
        <w:rPr>
          <w:rFonts w:hint="eastAsia" w:hAnsi="宋体" w:cs="宋体"/>
          <w:color w:val="auto"/>
          <w:szCs w:val="21"/>
          <w:highlight w:val="none"/>
          <w:u w:val="single"/>
        </w:rPr>
        <w:t xml:space="preserve">                </w:t>
      </w:r>
      <w:r>
        <w:rPr>
          <w:rFonts w:hint="eastAsia" w:hAnsi="宋体" w:cs="宋体"/>
          <w:color w:val="auto"/>
          <w:szCs w:val="21"/>
          <w:highlight w:val="none"/>
        </w:rPr>
        <w:t>）招标文件（包括招标补充文件）的全部内容，愿意以人民币</w:t>
      </w:r>
      <w:r>
        <w:rPr>
          <w:rFonts w:hint="eastAsia" w:hAnsi="宋体" w:cs="宋体"/>
          <w:color w:val="auto"/>
          <w:szCs w:val="21"/>
          <w:highlight w:val="none"/>
          <w:u w:val="single"/>
        </w:rPr>
        <w:t xml:space="preserve">（大写）       </w:t>
      </w:r>
      <w:r>
        <w:rPr>
          <w:rFonts w:hint="eastAsia" w:hAnsi="宋体" w:cs="宋体"/>
          <w:color w:val="auto"/>
          <w:szCs w:val="21"/>
          <w:highlight w:val="none"/>
        </w:rPr>
        <w:t>元（¥</w:t>
      </w:r>
      <w:r>
        <w:rPr>
          <w:rFonts w:hint="eastAsia" w:hAnsi="宋体" w:cs="宋体"/>
          <w:color w:val="auto"/>
          <w:szCs w:val="21"/>
          <w:highlight w:val="none"/>
          <w:u w:val="single"/>
        </w:rPr>
        <w:t xml:space="preserve">        </w:t>
      </w:r>
      <w:r>
        <w:rPr>
          <w:rFonts w:hint="eastAsia" w:hAnsi="宋体" w:cs="宋体"/>
          <w:color w:val="auto"/>
          <w:szCs w:val="21"/>
          <w:highlight w:val="none"/>
        </w:rPr>
        <w:t>）</w:t>
      </w:r>
      <w:r>
        <w:rPr>
          <w:rFonts w:hint="eastAsia" w:hAnsi="宋体" w:cs="宋体"/>
          <w:color w:val="auto"/>
          <w:szCs w:val="21"/>
          <w:highlight w:val="none"/>
          <w:lang w:val="en-US" w:eastAsia="zh-CN"/>
        </w:rPr>
        <w:t>的投标总价</w:t>
      </w:r>
      <w:r>
        <w:rPr>
          <w:rFonts w:hint="eastAsia" w:hAnsi="宋体"/>
          <w:color w:val="auto"/>
          <w:szCs w:val="21"/>
          <w:highlight w:val="none"/>
        </w:rPr>
        <w:t>承担本项目的相关工作</w:t>
      </w:r>
      <w:r>
        <w:rPr>
          <w:rFonts w:hint="eastAsia" w:hAnsi="宋体" w:cs="宋体"/>
          <w:color w:val="auto"/>
          <w:szCs w:val="21"/>
          <w:highlight w:val="none"/>
        </w:rPr>
        <w:t>，服务期</w:t>
      </w:r>
      <w:r>
        <w:rPr>
          <w:rFonts w:hint="eastAsia" w:hAnsi="宋体" w:cs="宋体"/>
          <w:color w:val="auto"/>
          <w:szCs w:val="21"/>
          <w:highlight w:val="none"/>
          <w:u w:val="single"/>
        </w:rPr>
        <w:t xml:space="preserve"> 按照招标文件要求 </w:t>
      </w:r>
      <w:r>
        <w:rPr>
          <w:rFonts w:hint="eastAsia" w:hAnsi="宋体" w:cs="宋体"/>
          <w:color w:val="auto"/>
          <w:szCs w:val="21"/>
          <w:highlight w:val="none"/>
        </w:rPr>
        <w:t>，项目负责人</w:t>
      </w:r>
      <w:r>
        <w:rPr>
          <w:rFonts w:hint="eastAsia" w:hAnsi="宋体" w:cs="宋体"/>
          <w:color w:val="auto"/>
          <w:szCs w:val="21"/>
          <w:highlight w:val="none"/>
          <w:u w:val="single"/>
        </w:rPr>
        <w:t xml:space="preserve">      </w:t>
      </w:r>
      <w:r>
        <w:rPr>
          <w:rFonts w:hint="eastAsia" w:hAnsi="宋体" w:cs="宋体"/>
          <w:color w:val="auto"/>
          <w:szCs w:val="21"/>
          <w:highlight w:val="none"/>
        </w:rPr>
        <w:t>。</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2．我方承诺在投标有效期内（从投标截止日起90日历天）不撤销投标文件。</w:t>
      </w:r>
    </w:p>
    <w:p>
      <w:pPr>
        <w:adjustRightInd w:val="0"/>
        <w:snapToGrid w:val="0"/>
        <w:spacing w:line="360" w:lineRule="auto"/>
        <w:ind w:firstLine="420" w:firstLineChars="200"/>
        <w:rPr>
          <w:rFonts w:hAnsi="宋体" w:cs="宋体"/>
          <w:color w:val="auto"/>
          <w:szCs w:val="21"/>
          <w:highlight w:val="none"/>
        </w:rPr>
      </w:pPr>
      <w:r>
        <w:rPr>
          <w:rFonts w:hAnsi="宋体" w:cs="宋体"/>
          <w:color w:val="auto"/>
          <w:szCs w:val="21"/>
          <w:highlight w:val="none"/>
        </w:rPr>
        <w:t>3</w:t>
      </w:r>
      <w:r>
        <w:rPr>
          <w:rFonts w:hint="eastAsia" w:hAnsi="宋体" w:cs="宋体"/>
          <w:color w:val="auto"/>
          <w:szCs w:val="21"/>
          <w:highlight w:val="none"/>
        </w:rPr>
        <w:t>．我方已详细审查全部招标文件、包括修改文件</w:t>
      </w:r>
      <w:r>
        <w:rPr>
          <w:rFonts w:hint="eastAsia" w:hAnsi="宋体" w:cs="宋体"/>
          <w:color w:val="auto"/>
          <w:szCs w:val="21"/>
          <w:highlight w:val="none"/>
          <w:lang w:eastAsia="zh-CN"/>
        </w:rPr>
        <w:t>（</w:t>
      </w:r>
      <w:r>
        <w:rPr>
          <w:rFonts w:hint="eastAsia" w:hAnsi="宋体" w:cs="宋体"/>
          <w:color w:val="auto"/>
          <w:szCs w:val="21"/>
          <w:highlight w:val="none"/>
        </w:rPr>
        <w:t>如需要修改</w:t>
      </w:r>
      <w:r>
        <w:rPr>
          <w:rFonts w:hint="eastAsia" w:hAnsi="宋体" w:cs="宋体"/>
          <w:color w:val="auto"/>
          <w:szCs w:val="21"/>
          <w:highlight w:val="none"/>
          <w:lang w:eastAsia="zh-CN"/>
        </w:rPr>
        <w:t>）</w:t>
      </w:r>
      <w:r>
        <w:rPr>
          <w:rFonts w:hint="eastAsia" w:hAnsi="宋体" w:cs="宋体"/>
          <w:color w:val="auto"/>
          <w:szCs w:val="21"/>
          <w:highlight w:val="none"/>
        </w:rPr>
        <w:t>以及全部参考资料和有关附件。我们完全理解并同意放弃对这方面有不明及误解的权利。</w:t>
      </w:r>
    </w:p>
    <w:p>
      <w:pPr>
        <w:adjustRightInd w:val="0"/>
        <w:snapToGrid w:val="0"/>
        <w:spacing w:line="360" w:lineRule="auto"/>
        <w:ind w:firstLine="420" w:firstLineChars="200"/>
        <w:rPr>
          <w:rFonts w:hAnsi="宋体" w:cs="宋体"/>
          <w:color w:val="auto"/>
          <w:szCs w:val="21"/>
          <w:highlight w:val="none"/>
        </w:rPr>
      </w:pPr>
      <w:r>
        <w:rPr>
          <w:rFonts w:hAnsi="宋体" w:cs="宋体"/>
          <w:color w:val="auto"/>
          <w:szCs w:val="21"/>
          <w:highlight w:val="none"/>
        </w:rPr>
        <w:t>4</w:t>
      </w:r>
      <w:r>
        <w:rPr>
          <w:rFonts w:hint="eastAsia" w:hAnsi="宋体" w:cs="宋体"/>
          <w:color w:val="auto"/>
          <w:szCs w:val="21"/>
          <w:highlight w:val="none"/>
        </w:rPr>
        <w:t>. 我方同意按照招标人要求提供与其招标有关的一切数据和资料，完全理解招标人不一定接受最低价的投标或收到的任何投标。</w:t>
      </w:r>
    </w:p>
    <w:p>
      <w:pPr>
        <w:adjustRightInd w:val="0"/>
        <w:snapToGrid w:val="0"/>
        <w:spacing w:line="360" w:lineRule="auto"/>
        <w:ind w:firstLine="420" w:firstLineChars="200"/>
        <w:rPr>
          <w:rFonts w:hAnsi="宋体" w:cs="宋体"/>
          <w:color w:val="auto"/>
          <w:szCs w:val="21"/>
          <w:highlight w:val="none"/>
        </w:rPr>
      </w:pPr>
      <w:r>
        <w:rPr>
          <w:rFonts w:hAnsi="宋体" w:cs="宋体"/>
          <w:color w:val="auto"/>
          <w:szCs w:val="21"/>
          <w:highlight w:val="none"/>
        </w:rPr>
        <w:t>5</w:t>
      </w:r>
      <w:r>
        <w:rPr>
          <w:rFonts w:hint="eastAsia" w:hAnsi="宋体" w:cs="宋体"/>
          <w:color w:val="auto"/>
          <w:szCs w:val="21"/>
          <w:highlight w:val="none"/>
        </w:rPr>
        <w:t>．如我方中标：</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（1）我方承诺收到中标通知书后，在中标通知书规定的期限内与你方签订合同。</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（2）我方承诺按照招标文件规定向你方递交履约担保。</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（3）我方承诺在合同约定的期限内完成所有工作内容。</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6．我方在此声明，所递交的投标文件及有关资料内容完整、真实和准确。</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7．</w:t>
      </w:r>
      <w:r>
        <w:rPr>
          <w:rFonts w:hint="eastAsia" w:hAnsi="宋体" w:cs="宋体"/>
          <w:color w:val="auto"/>
          <w:szCs w:val="21"/>
          <w:highlight w:val="none"/>
          <w:u w:val="single"/>
        </w:rPr>
        <w:t xml:space="preserve">                                   </w:t>
      </w:r>
      <w:r>
        <w:rPr>
          <w:rFonts w:hint="eastAsia" w:hAnsi="宋体" w:cs="宋体"/>
          <w:color w:val="auto"/>
          <w:szCs w:val="21"/>
          <w:highlight w:val="none"/>
        </w:rPr>
        <w:t>（其他补充说明）。</w:t>
      </w:r>
    </w:p>
    <w:p>
      <w:pPr>
        <w:adjustRightInd w:val="0"/>
        <w:snapToGrid w:val="0"/>
        <w:spacing w:line="360" w:lineRule="auto"/>
        <w:ind w:firstLine="420" w:firstLineChars="200"/>
        <w:rPr>
          <w:rFonts w:hAnsi="宋体" w:cs="宋体"/>
          <w:color w:val="auto"/>
          <w:szCs w:val="21"/>
          <w:highlight w:val="none"/>
        </w:rPr>
      </w:pP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投标人：（盖单位公章）</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法定代表人或其委托代理人：（签字或盖章）</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地    址：</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邮政编码：</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电    话：</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传    真：</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开户银行：</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账    号：</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日    期：      年   月   日</w:t>
      </w:r>
    </w:p>
    <w:p>
      <w:pPr>
        <w:numPr>
          <w:ilvl w:val="0"/>
          <w:numId w:val="24"/>
        </w:numPr>
        <w:spacing w:before="32"/>
        <w:ind w:left="217" w:right="459"/>
        <w:jc w:val="center"/>
        <w:outlineLvl w:val="1"/>
        <w:rPr>
          <w:b/>
          <w:color w:val="auto"/>
          <w:sz w:val="32"/>
          <w:highlight w:val="none"/>
        </w:rPr>
      </w:pPr>
      <w:r>
        <w:rPr>
          <w:rFonts w:hint="eastAsia" w:hAnsi="宋体" w:cs="宋体"/>
          <w:color w:val="auto"/>
          <w:szCs w:val="21"/>
          <w:highlight w:val="none"/>
        </w:rPr>
        <w:br w:type="page"/>
      </w:r>
      <w:r>
        <w:rPr>
          <w:rFonts w:hint="eastAsia"/>
          <w:b/>
          <w:color w:val="auto"/>
          <w:sz w:val="32"/>
          <w:highlight w:val="none"/>
        </w:rPr>
        <w:t>开标一览表</w:t>
      </w:r>
    </w:p>
    <w:p>
      <w:pPr>
        <w:pStyle w:val="59"/>
        <w:rPr>
          <w:color w:val="auto"/>
          <w:highlight w:val="none"/>
        </w:rPr>
      </w:pPr>
      <w:r>
        <w:rPr>
          <w:rFonts w:hint="eastAsia"/>
          <w:color w:val="auto"/>
          <w:highlight w:val="none"/>
        </w:rPr>
        <w:t>项目名称：</w:t>
      </w:r>
    </w:p>
    <w:p>
      <w:pPr>
        <w:rPr>
          <w:color w:val="auto"/>
          <w:highlight w:val="none"/>
        </w:rPr>
      </w:pPr>
      <w:r>
        <w:rPr>
          <w:rFonts w:hint="eastAsia"/>
          <w:color w:val="auto"/>
          <w:highlight w:val="none"/>
        </w:rPr>
        <w:t>招标编号：</w:t>
      </w:r>
    </w:p>
    <w:p>
      <w:pPr>
        <w:rPr>
          <w:color w:val="auto"/>
          <w:sz w:val="11"/>
          <w:highlight w:val="none"/>
        </w:rPr>
      </w:pPr>
    </w:p>
    <w:tbl>
      <w:tblPr>
        <w:tblStyle w:val="88"/>
        <w:tblW w:w="501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092"/>
        <w:gridCol w:w="2699"/>
        <w:gridCol w:w="1695"/>
        <w:gridCol w:w="1641"/>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1479" w:type="pct"/>
            <w:vAlign w:val="center"/>
          </w:tcPr>
          <w:p>
            <w:pPr>
              <w:jc w:val="center"/>
              <w:rPr>
                <w:rFonts w:hAnsi="宋体" w:cs="宋体"/>
                <w:color w:val="auto"/>
                <w:szCs w:val="21"/>
                <w:highlight w:val="none"/>
              </w:rPr>
            </w:pPr>
            <w:r>
              <w:rPr>
                <w:rFonts w:hint="eastAsia" w:hAnsi="宋体" w:cs="宋体"/>
                <w:color w:val="auto"/>
                <w:szCs w:val="21"/>
                <w:highlight w:val="none"/>
              </w:rPr>
              <w:t>项目</w:t>
            </w:r>
          </w:p>
        </w:tc>
        <w:tc>
          <w:tcPr>
            <w:tcW w:w="1291" w:type="pct"/>
            <w:vAlign w:val="center"/>
          </w:tcPr>
          <w:p>
            <w:pPr>
              <w:jc w:val="center"/>
              <w:rPr>
                <w:rFonts w:hAnsi="宋体" w:cs="宋体"/>
                <w:color w:val="auto"/>
                <w:szCs w:val="21"/>
                <w:highlight w:val="none"/>
              </w:rPr>
            </w:pPr>
            <w:r>
              <w:rPr>
                <w:rFonts w:hint="eastAsia" w:hAnsi="宋体" w:cs="宋体"/>
                <w:color w:val="auto"/>
                <w:szCs w:val="21"/>
                <w:highlight w:val="none"/>
              </w:rPr>
              <w:t>投标单价（含税）</w:t>
            </w:r>
          </w:p>
        </w:tc>
        <w:tc>
          <w:tcPr>
            <w:tcW w:w="811" w:type="pct"/>
            <w:vAlign w:val="center"/>
          </w:tcPr>
          <w:p>
            <w:pPr>
              <w:tabs>
                <w:tab w:val="left" w:pos="513"/>
              </w:tabs>
              <w:jc w:val="left"/>
              <w:rPr>
                <w:rFonts w:hAnsi="宋体" w:cs="宋体"/>
                <w:color w:val="auto"/>
                <w:szCs w:val="21"/>
                <w:highlight w:val="none"/>
              </w:rPr>
            </w:pPr>
            <w:r>
              <w:rPr>
                <w:rFonts w:hint="eastAsia" w:hAnsi="宋体" w:cs="宋体"/>
                <w:color w:val="auto"/>
                <w:szCs w:val="21"/>
                <w:highlight w:val="none"/>
              </w:rPr>
              <w:tab/>
            </w:r>
            <w:r>
              <w:rPr>
                <w:rFonts w:hint="eastAsia" w:hAnsi="宋体" w:cs="宋体"/>
                <w:color w:val="auto"/>
                <w:szCs w:val="21"/>
                <w:highlight w:val="none"/>
              </w:rPr>
              <w:t>数量</w:t>
            </w:r>
          </w:p>
        </w:tc>
        <w:tc>
          <w:tcPr>
            <w:tcW w:w="784" w:type="pct"/>
            <w:vAlign w:val="center"/>
          </w:tcPr>
          <w:p>
            <w:pPr>
              <w:jc w:val="center"/>
              <w:rPr>
                <w:rFonts w:hAnsi="宋体" w:cs="宋体"/>
                <w:color w:val="auto"/>
                <w:szCs w:val="21"/>
                <w:highlight w:val="none"/>
              </w:rPr>
            </w:pPr>
            <w:r>
              <w:rPr>
                <w:rFonts w:hint="eastAsia" w:hAnsi="宋体" w:cs="宋体"/>
                <w:color w:val="auto"/>
                <w:szCs w:val="21"/>
                <w:highlight w:val="none"/>
              </w:rPr>
              <w:t>年限</w:t>
            </w:r>
          </w:p>
        </w:tc>
        <w:tc>
          <w:tcPr>
            <w:tcW w:w="633" w:type="pct"/>
            <w:vAlign w:val="center"/>
          </w:tcPr>
          <w:p>
            <w:pPr>
              <w:jc w:val="center"/>
              <w:rPr>
                <w:rFonts w:hAnsi="宋体" w:cs="宋体"/>
                <w:color w:val="auto"/>
                <w:szCs w:val="21"/>
                <w:highlight w:val="none"/>
              </w:rPr>
            </w:pPr>
            <w:r>
              <w:rPr>
                <w:rFonts w:hint="eastAsia" w:hAnsi="宋体" w:cs="宋体"/>
                <w:color w:val="auto"/>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jc w:val="center"/>
        </w:trPr>
        <w:tc>
          <w:tcPr>
            <w:tcW w:w="1479" w:type="pct"/>
            <w:vAlign w:val="center"/>
          </w:tcPr>
          <w:p>
            <w:pPr>
              <w:jc w:val="center"/>
              <w:rPr>
                <w:rFonts w:hint="default" w:hAnsi="宋体" w:eastAsia="宋体" w:cs="宋体"/>
                <w:color w:val="auto"/>
                <w:szCs w:val="21"/>
                <w:highlight w:val="none"/>
                <w:lang w:val="en-US" w:eastAsia="zh-CN"/>
              </w:rPr>
            </w:pPr>
            <w:r>
              <w:rPr>
                <w:rFonts w:hint="eastAsia" w:hAnsi="宋体" w:cs="宋体"/>
                <w:color w:val="auto"/>
                <w:szCs w:val="21"/>
                <w:highlight w:val="none"/>
              </w:rPr>
              <w:t>炉渣综合处置服务采购项目</w:t>
            </w:r>
            <w:r>
              <w:rPr>
                <w:rFonts w:hint="eastAsia" w:hAnsi="宋体" w:cs="宋体"/>
                <w:color w:val="auto"/>
                <w:szCs w:val="21"/>
                <w:highlight w:val="none"/>
                <w:lang w:eastAsia="zh-CN"/>
              </w:rPr>
              <w:t>（</w:t>
            </w:r>
            <w:r>
              <w:rPr>
                <w:rFonts w:hint="eastAsia" w:hAnsi="宋体" w:cs="宋体"/>
                <w:color w:val="auto"/>
                <w:szCs w:val="21"/>
                <w:highlight w:val="none"/>
                <w:lang w:val="en-US" w:eastAsia="zh-CN"/>
              </w:rPr>
              <w:t>重新招标）</w:t>
            </w:r>
          </w:p>
        </w:tc>
        <w:tc>
          <w:tcPr>
            <w:tcW w:w="1291" w:type="pct"/>
            <w:vAlign w:val="center"/>
          </w:tcPr>
          <w:p>
            <w:pPr>
              <w:jc w:val="center"/>
              <w:rPr>
                <w:rFonts w:hAnsi="宋体" w:cs="宋体"/>
                <w:color w:val="auto"/>
                <w:szCs w:val="21"/>
                <w:highlight w:val="none"/>
              </w:rPr>
            </w:pP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rPr>
              <w:t>元/吨</w:t>
            </w:r>
          </w:p>
        </w:tc>
        <w:tc>
          <w:tcPr>
            <w:tcW w:w="811" w:type="pct"/>
            <w:vAlign w:val="center"/>
          </w:tcPr>
          <w:p>
            <w:pPr>
              <w:jc w:val="center"/>
              <w:rPr>
                <w:rFonts w:hAnsi="宋体" w:cs="宋体"/>
                <w:color w:val="auto"/>
                <w:szCs w:val="21"/>
                <w:highlight w:val="none"/>
              </w:rPr>
            </w:pPr>
            <w:r>
              <w:rPr>
                <w:rFonts w:hint="eastAsia" w:hAnsi="宋体" w:cs="宋体"/>
                <w:color w:val="auto"/>
                <w:szCs w:val="21"/>
                <w:highlight w:val="none"/>
                <w:lang w:val="en-US" w:eastAsia="zh-CN"/>
              </w:rPr>
              <w:t>暂估</w:t>
            </w:r>
            <w:r>
              <w:rPr>
                <w:rFonts w:hint="eastAsia" w:hAnsi="宋体" w:cs="宋体"/>
                <w:color w:val="auto"/>
                <w:szCs w:val="21"/>
                <w:highlight w:val="none"/>
              </w:rPr>
              <w:t>29万吨/年</w:t>
            </w:r>
          </w:p>
        </w:tc>
        <w:tc>
          <w:tcPr>
            <w:tcW w:w="784" w:type="pct"/>
            <w:vAlign w:val="center"/>
          </w:tcPr>
          <w:p>
            <w:pPr>
              <w:jc w:val="center"/>
              <w:rPr>
                <w:rFonts w:hAnsi="宋体" w:cs="宋体"/>
                <w:color w:val="auto"/>
                <w:szCs w:val="21"/>
                <w:highlight w:val="none"/>
              </w:rPr>
            </w:pPr>
            <w:r>
              <w:rPr>
                <w:rFonts w:hint="eastAsia" w:hAnsi="宋体" w:cs="宋体"/>
                <w:color w:val="auto"/>
                <w:szCs w:val="21"/>
                <w:highlight w:val="none"/>
              </w:rPr>
              <w:t>2年</w:t>
            </w:r>
          </w:p>
        </w:tc>
        <w:tc>
          <w:tcPr>
            <w:tcW w:w="633" w:type="pct"/>
            <w:vAlign w:val="center"/>
          </w:tcPr>
          <w:p>
            <w:pPr>
              <w:jc w:val="center"/>
              <w:rPr>
                <w:rFonts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jc w:val="center"/>
        </w:trPr>
        <w:tc>
          <w:tcPr>
            <w:tcW w:w="1479" w:type="pct"/>
            <w:vAlign w:val="center"/>
          </w:tcPr>
          <w:p>
            <w:pPr>
              <w:jc w:val="center"/>
              <w:rPr>
                <w:rFonts w:hAnsi="宋体" w:cs="宋体"/>
                <w:color w:val="auto"/>
                <w:szCs w:val="21"/>
                <w:highlight w:val="none"/>
              </w:rPr>
            </w:pPr>
            <w:r>
              <w:rPr>
                <w:rFonts w:hint="eastAsia" w:hAnsi="宋体" w:cs="宋体"/>
                <w:color w:val="auto"/>
                <w:szCs w:val="21"/>
                <w:highlight w:val="none"/>
              </w:rPr>
              <w:t>合计</w:t>
            </w:r>
          </w:p>
        </w:tc>
        <w:tc>
          <w:tcPr>
            <w:tcW w:w="2887" w:type="pct"/>
            <w:gridSpan w:val="3"/>
            <w:vAlign w:val="center"/>
          </w:tcPr>
          <w:p>
            <w:pPr>
              <w:rPr>
                <w:rFonts w:hint="eastAsia" w:hAnsi="宋体" w:cs="宋体"/>
                <w:color w:val="auto"/>
                <w:szCs w:val="21"/>
                <w:highlight w:val="none"/>
                <w:lang w:val="en-US" w:eastAsia="zh-CN"/>
              </w:rPr>
            </w:pPr>
            <w:r>
              <w:rPr>
                <w:rFonts w:hint="eastAsia" w:hAnsi="宋体" w:cs="宋体"/>
                <w:color w:val="auto"/>
                <w:szCs w:val="21"/>
                <w:highlight w:val="none"/>
              </w:rPr>
              <w:t>投标总价</w:t>
            </w:r>
            <w:r>
              <w:rPr>
                <w:rFonts w:hint="eastAsia" w:hAnsi="宋体" w:cs="宋体"/>
                <w:color w:val="auto"/>
                <w:szCs w:val="21"/>
                <w:highlight w:val="none"/>
                <w:lang w:eastAsia="zh-CN"/>
              </w:rPr>
              <w:t>（</w:t>
            </w:r>
            <w:r>
              <w:rPr>
                <w:rFonts w:hint="eastAsia" w:hAnsi="宋体" w:cs="宋体"/>
                <w:color w:val="auto"/>
                <w:szCs w:val="21"/>
                <w:highlight w:val="none"/>
              </w:rPr>
              <w:t>含税）：</w:t>
            </w:r>
            <w:r>
              <w:rPr>
                <w:rFonts w:hint="eastAsia" w:hAnsi="宋体" w:cs="宋体"/>
                <w:color w:val="auto"/>
                <w:szCs w:val="21"/>
                <w:highlight w:val="none"/>
                <w:lang w:val="en-US" w:eastAsia="zh-CN"/>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lang w:val="en-US" w:eastAsia="zh-CN"/>
              </w:rPr>
              <w:t xml:space="preserve">元     </w:t>
            </w:r>
          </w:p>
          <w:p>
            <w:pPr>
              <w:rPr>
                <w:rFonts w:hint="eastAsia" w:hAnsi="宋体" w:cs="宋体"/>
                <w:color w:val="auto"/>
                <w:szCs w:val="21"/>
                <w:highlight w:val="none"/>
                <w:lang w:val="en-US" w:eastAsia="zh-CN"/>
              </w:rPr>
            </w:pPr>
          </w:p>
          <w:p>
            <w:pPr>
              <w:rPr>
                <w:rFonts w:hAnsi="宋体" w:cs="宋体"/>
                <w:color w:val="auto"/>
                <w:szCs w:val="21"/>
                <w:highlight w:val="none"/>
                <w:u w:val="single"/>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大写：</w:t>
            </w:r>
            <w:r>
              <w:rPr>
                <w:rFonts w:hint="eastAsia" w:hAnsi="宋体" w:cs="宋体"/>
                <w:color w:val="auto"/>
                <w:szCs w:val="21"/>
                <w:highlight w:val="none"/>
                <w:u w:val="single"/>
              </w:rPr>
              <w:t>人民币</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元 </w:t>
            </w:r>
            <w:r>
              <w:rPr>
                <w:rFonts w:hint="eastAsia" w:hAnsi="宋体" w:cs="宋体"/>
                <w:color w:val="auto"/>
                <w:szCs w:val="21"/>
                <w:highlight w:val="none"/>
                <w:u w:val="single"/>
                <w:lang w:eastAsia="zh-CN"/>
              </w:rPr>
              <w:t>）</w:t>
            </w:r>
            <w:r>
              <w:rPr>
                <w:rFonts w:hint="eastAsia" w:hAnsi="宋体" w:cs="宋体"/>
                <w:color w:val="auto"/>
                <w:szCs w:val="21"/>
                <w:highlight w:val="none"/>
                <w:u w:val="single"/>
              </w:rPr>
              <w:t xml:space="preserve">   </w:t>
            </w:r>
          </w:p>
          <w:p>
            <w:pPr>
              <w:pStyle w:val="86"/>
              <w:ind w:firstLine="0" w:firstLineChars="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c>
          <w:tcPr>
            <w:tcW w:w="633" w:type="pct"/>
            <w:vAlign w:val="center"/>
          </w:tcPr>
          <w:p>
            <w:pPr>
              <w:pStyle w:val="86"/>
              <w:ind w:firstLine="0" w:firstLineChars="0"/>
              <w:jc w:val="center"/>
              <w:rPr>
                <w:rFonts w:ascii="宋体" w:hAnsi="宋体" w:cs="宋体"/>
                <w:color w:val="auto"/>
                <w:sz w:val="21"/>
                <w:szCs w:val="21"/>
                <w:highlight w:val="none"/>
              </w:rPr>
            </w:pPr>
          </w:p>
        </w:tc>
      </w:tr>
    </w:tbl>
    <w:p>
      <w:pPr>
        <w:pStyle w:val="33"/>
        <w:rPr>
          <w:rFonts w:hint="eastAsia"/>
          <w:color w:val="auto"/>
          <w:sz w:val="22"/>
          <w:highlight w:val="none"/>
          <w:lang w:val="en-US" w:eastAsia="zh-CN"/>
        </w:rPr>
      </w:pPr>
      <w:r>
        <w:rPr>
          <w:rFonts w:hint="eastAsia"/>
          <w:color w:val="auto"/>
          <w:sz w:val="22"/>
          <w:highlight w:val="none"/>
          <w:lang w:val="en-US" w:eastAsia="zh-CN"/>
        </w:rPr>
        <w:t>注：1.暂估数量为29万吨/年，具体按实际结算。</w:t>
      </w:r>
    </w:p>
    <w:p>
      <w:pPr>
        <w:pStyle w:val="33"/>
        <w:rPr>
          <w:rFonts w:hint="default"/>
          <w:color w:val="auto"/>
          <w:sz w:val="22"/>
          <w:highlight w:val="none"/>
          <w:lang w:val="en-US" w:eastAsia="zh-CN"/>
        </w:rPr>
      </w:pPr>
      <w:r>
        <w:rPr>
          <w:rFonts w:hint="eastAsia"/>
          <w:color w:val="auto"/>
          <w:sz w:val="22"/>
          <w:highlight w:val="none"/>
          <w:lang w:val="en-US" w:eastAsia="zh-CN"/>
        </w:rPr>
        <w:t xml:space="preserve">    2.投标总价=投标单价*数量*年限。</w:t>
      </w:r>
    </w:p>
    <w:p>
      <w:pPr>
        <w:pStyle w:val="33"/>
        <w:rPr>
          <w:rFonts w:hint="default"/>
          <w:b/>
          <w:bCs/>
          <w:color w:val="auto"/>
          <w:sz w:val="22"/>
          <w:highlight w:val="none"/>
          <w:lang w:val="en-US"/>
        </w:rPr>
      </w:pPr>
      <w:r>
        <w:rPr>
          <w:rFonts w:hint="eastAsia"/>
          <w:b/>
          <w:bCs/>
          <w:color w:val="auto"/>
          <w:sz w:val="22"/>
          <w:highlight w:val="none"/>
          <w:lang w:val="en-US" w:eastAsia="zh-CN"/>
        </w:rPr>
        <w:t xml:space="preserve">    3.投标单价保留2位小数。</w:t>
      </w:r>
    </w:p>
    <w:p>
      <w:pPr>
        <w:pStyle w:val="33"/>
        <w:spacing w:before="9"/>
        <w:rPr>
          <w:color w:val="auto"/>
          <w:sz w:val="20"/>
          <w:highlight w:val="none"/>
        </w:rPr>
      </w:pPr>
    </w:p>
    <w:p>
      <w:pPr>
        <w:pStyle w:val="33"/>
        <w:rPr>
          <w:color w:val="auto"/>
          <w:highlight w:val="none"/>
        </w:rPr>
      </w:pPr>
      <w:r>
        <w:rPr>
          <w:color w:val="auto"/>
          <w:highlight w:val="none"/>
        </w:rPr>
        <w:t>投标人（盖公章）：</w:t>
      </w:r>
    </w:p>
    <w:p>
      <w:pPr>
        <w:pStyle w:val="33"/>
        <w:tabs>
          <w:tab w:val="left" w:pos="1479"/>
          <w:tab w:val="left" w:pos="2110"/>
          <w:tab w:val="left" w:pos="2739"/>
        </w:tabs>
        <w:spacing w:before="139" w:line="367" w:lineRule="auto"/>
        <w:ind w:right="5991"/>
        <w:rPr>
          <w:color w:val="auto"/>
          <w:w w:val="95"/>
          <w:highlight w:val="none"/>
        </w:rPr>
      </w:pPr>
      <w:r>
        <w:rPr>
          <w:color w:val="auto"/>
          <w:w w:val="95"/>
          <w:highlight w:val="none"/>
        </w:rPr>
        <w:t xml:space="preserve">法定代表人或其委托代理人（签字或盖章）： </w:t>
      </w:r>
    </w:p>
    <w:p>
      <w:pPr>
        <w:pStyle w:val="33"/>
        <w:tabs>
          <w:tab w:val="left" w:pos="1479"/>
          <w:tab w:val="left" w:pos="2110"/>
          <w:tab w:val="left" w:pos="2739"/>
        </w:tabs>
        <w:spacing w:before="139" w:line="367" w:lineRule="auto"/>
        <w:ind w:right="5991"/>
        <w:rPr>
          <w:color w:val="auto"/>
          <w:highlight w:val="none"/>
        </w:rPr>
        <w:sectPr>
          <w:pgSz w:w="11910" w:h="16850"/>
          <w:pgMar w:top="1300" w:right="620" w:bottom="840" w:left="880" w:header="510" w:footer="645" w:gutter="0"/>
          <w:pgBorders>
            <w:top w:val="none" w:sz="0" w:space="0"/>
            <w:left w:val="none" w:sz="0" w:space="0"/>
            <w:bottom w:val="none" w:sz="0" w:space="0"/>
            <w:right w:val="none" w:sz="0" w:space="0"/>
          </w:pgBorders>
          <w:pgNumType w:fmt="decimal"/>
          <w:cols w:space="720" w:num="1"/>
        </w:sectPr>
      </w:pPr>
      <w:r>
        <w:rPr>
          <w:color w:val="auto"/>
          <w:highlight w:val="none"/>
        </w:rPr>
        <w:t>日期：</w:t>
      </w:r>
      <w:r>
        <w:rPr>
          <w:color w:val="auto"/>
          <w:highlight w:val="none"/>
        </w:rPr>
        <w:tab/>
      </w:r>
    </w:p>
    <w:p>
      <w:pPr>
        <w:spacing w:line="360" w:lineRule="auto"/>
        <w:jc w:val="center"/>
        <w:outlineLvl w:val="1"/>
        <w:rPr>
          <w:rFonts w:hAnsi="宋体"/>
          <w:b/>
          <w:bCs/>
          <w:color w:val="auto"/>
          <w:sz w:val="32"/>
          <w:szCs w:val="32"/>
          <w:highlight w:val="none"/>
        </w:rPr>
      </w:pPr>
      <w:r>
        <w:rPr>
          <w:rFonts w:hint="eastAsia" w:hAnsi="宋体"/>
          <w:b/>
          <w:bCs/>
          <w:color w:val="auto"/>
          <w:sz w:val="32"/>
          <w:szCs w:val="32"/>
          <w:highlight w:val="none"/>
        </w:rPr>
        <w:t>三</w:t>
      </w:r>
      <w:r>
        <w:rPr>
          <w:rFonts w:hAnsi="宋体"/>
          <w:b/>
          <w:bCs/>
          <w:color w:val="auto"/>
          <w:sz w:val="32"/>
          <w:szCs w:val="32"/>
          <w:highlight w:val="none"/>
        </w:rPr>
        <w:t>、</w:t>
      </w:r>
      <w:r>
        <w:rPr>
          <w:rFonts w:hint="eastAsia" w:hAnsi="宋体"/>
          <w:b/>
          <w:bCs/>
          <w:color w:val="auto"/>
          <w:sz w:val="32"/>
          <w:szCs w:val="32"/>
          <w:highlight w:val="none"/>
        </w:rPr>
        <w:t>法定代表人身份证明或</w:t>
      </w:r>
      <w:r>
        <w:rPr>
          <w:rFonts w:hAnsi="宋体"/>
          <w:b/>
          <w:bCs/>
          <w:color w:val="auto"/>
          <w:sz w:val="32"/>
          <w:szCs w:val="32"/>
          <w:highlight w:val="none"/>
        </w:rPr>
        <w:br w:type="textWrapping"/>
      </w:r>
      <w:r>
        <w:rPr>
          <w:rFonts w:hint="eastAsia" w:hAnsi="宋体"/>
          <w:b/>
          <w:bCs/>
          <w:color w:val="auto"/>
          <w:sz w:val="32"/>
          <w:szCs w:val="32"/>
          <w:highlight w:val="none"/>
        </w:rPr>
        <w:t>附有法定代表人和授权代表身份证明的授权委托书</w:t>
      </w:r>
    </w:p>
    <w:p>
      <w:pPr>
        <w:snapToGrid w:val="0"/>
        <w:spacing w:line="360" w:lineRule="auto"/>
        <w:jc w:val="center"/>
        <w:rPr>
          <w:rFonts w:hAnsi="宋体"/>
          <w:b/>
          <w:bCs/>
          <w:color w:val="auto"/>
          <w:sz w:val="32"/>
          <w:szCs w:val="32"/>
          <w:highlight w:val="none"/>
        </w:rPr>
      </w:pPr>
    </w:p>
    <w:p>
      <w:pPr>
        <w:snapToGrid w:val="0"/>
        <w:spacing w:line="360" w:lineRule="auto"/>
        <w:jc w:val="center"/>
        <w:rPr>
          <w:rFonts w:hAnsi="宋体"/>
          <w:color w:val="auto"/>
          <w:sz w:val="24"/>
          <w:highlight w:val="none"/>
        </w:rPr>
      </w:pPr>
      <w:r>
        <w:rPr>
          <w:rFonts w:hint="eastAsia" w:hAnsi="宋体"/>
          <w:b/>
          <w:bCs/>
          <w:color w:val="auto"/>
          <w:sz w:val="32"/>
          <w:szCs w:val="32"/>
          <w:highlight w:val="none"/>
        </w:rPr>
        <w:t>法定代表人身份证明</w:t>
      </w:r>
    </w:p>
    <w:p>
      <w:pPr>
        <w:snapToGrid w:val="0"/>
        <w:spacing w:line="360" w:lineRule="auto"/>
        <w:rPr>
          <w:rFonts w:hAnsi="宋体"/>
          <w:color w:val="auto"/>
          <w:szCs w:val="21"/>
          <w:highlight w:val="none"/>
          <w:u w:val="single"/>
        </w:rPr>
      </w:pPr>
      <w:r>
        <w:rPr>
          <w:rFonts w:hAnsi="宋体"/>
          <w:color w:val="auto"/>
          <w:szCs w:val="21"/>
          <w:highlight w:val="none"/>
        </w:rPr>
        <w:t>投标人名称：</w:t>
      </w:r>
      <w:r>
        <w:rPr>
          <w:rFonts w:hint="eastAsia" w:hAnsi="宋体"/>
          <w:color w:val="auto"/>
          <w:szCs w:val="21"/>
          <w:highlight w:val="none"/>
          <w:u w:val="single"/>
        </w:rPr>
        <w:t xml:space="preserve">                                      </w:t>
      </w:r>
    </w:p>
    <w:p>
      <w:pPr>
        <w:snapToGrid w:val="0"/>
        <w:spacing w:line="360" w:lineRule="auto"/>
        <w:rPr>
          <w:rFonts w:hAnsi="宋体"/>
          <w:color w:val="auto"/>
          <w:szCs w:val="21"/>
          <w:highlight w:val="none"/>
          <w:u w:val="single"/>
        </w:rPr>
      </w:pPr>
      <w:r>
        <w:rPr>
          <w:rFonts w:hAnsi="宋体"/>
          <w:color w:val="auto"/>
          <w:szCs w:val="21"/>
          <w:highlight w:val="none"/>
        </w:rPr>
        <w:t>单位性质：</w:t>
      </w:r>
      <w:r>
        <w:rPr>
          <w:rFonts w:hint="eastAsia" w:hAnsi="宋体"/>
          <w:color w:val="auto"/>
          <w:szCs w:val="21"/>
          <w:highlight w:val="none"/>
          <w:u w:val="single"/>
        </w:rPr>
        <w:t xml:space="preserve">                                        </w:t>
      </w:r>
    </w:p>
    <w:p>
      <w:pPr>
        <w:snapToGrid w:val="0"/>
        <w:spacing w:line="360" w:lineRule="auto"/>
        <w:rPr>
          <w:rFonts w:hAnsi="宋体"/>
          <w:color w:val="auto"/>
          <w:szCs w:val="21"/>
          <w:highlight w:val="none"/>
          <w:u w:val="single"/>
        </w:rPr>
      </w:pPr>
      <w:r>
        <w:rPr>
          <w:rFonts w:hAnsi="宋体"/>
          <w:color w:val="auto"/>
          <w:szCs w:val="21"/>
          <w:highlight w:val="none"/>
        </w:rPr>
        <w:t>地址：</w:t>
      </w:r>
      <w:r>
        <w:rPr>
          <w:rFonts w:hint="eastAsia" w:hAnsi="宋体"/>
          <w:color w:val="auto"/>
          <w:szCs w:val="21"/>
          <w:highlight w:val="none"/>
          <w:u w:val="single"/>
        </w:rPr>
        <w:t xml:space="preserve">                                            </w:t>
      </w:r>
    </w:p>
    <w:p>
      <w:pPr>
        <w:snapToGrid w:val="0"/>
        <w:spacing w:line="360" w:lineRule="auto"/>
        <w:rPr>
          <w:rFonts w:hAnsi="宋体"/>
          <w:color w:val="auto"/>
          <w:szCs w:val="21"/>
          <w:highlight w:val="none"/>
          <w:u w:val="single"/>
        </w:rPr>
      </w:pPr>
      <w:r>
        <w:rPr>
          <w:rFonts w:hAnsi="宋体"/>
          <w:color w:val="auto"/>
          <w:szCs w:val="21"/>
          <w:highlight w:val="none"/>
        </w:rPr>
        <w:t>成立时间：</w:t>
      </w:r>
      <w:r>
        <w:rPr>
          <w:rFonts w:hint="eastAsia" w:hAnsi="宋体"/>
          <w:color w:val="auto"/>
          <w:szCs w:val="21"/>
          <w:highlight w:val="none"/>
          <w:u w:val="single"/>
        </w:rPr>
        <w:t xml:space="preserve">      </w:t>
      </w:r>
      <w:r>
        <w:rPr>
          <w:rFonts w:hAnsi="宋体"/>
          <w:color w:val="auto"/>
          <w:szCs w:val="21"/>
          <w:highlight w:val="none"/>
        </w:rPr>
        <w:t>年</w:t>
      </w:r>
      <w:r>
        <w:rPr>
          <w:rFonts w:hint="eastAsia" w:hAnsi="宋体"/>
          <w:color w:val="auto"/>
          <w:szCs w:val="21"/>
          <w:highlight w:val="none"/>
          <w:u w:val="single"/>
        </w:rPr>
        <w:t xml:space="preserve">    </w:t>
      </w:r>
      <w:r>
        <w:rPr>
          <w:rFonts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rPr>
        <w:t>日</w:t>
      </w:r>
    </w:p>
    <w:p>
      <w:pPr>
        <w:snapToGrid w:val="0"/>
        <w:spacing w:line="360" w:lineRule="auto"/>
        <w:rPr>
          <w:rFonts w:hAnsi="宋体"/>
          <w:color w:val="auto"/>
          <w:szCs w:val="21"/>
          <w:highlight w:val="none"/>
          <w:u w:val="single"/>
        </w:rPr>
      </w:pPr>
      <w:r>
        <w:rPr>
          <w:rFonts w:hAnsi="宋体"/>
          <w:color w:val="auto"/>
          <w:szCs w:val="21"/>
          <w:highlight w:val="none"/>
        </w:rPr>
        <w:t>经营期限：</w:t>
      </w:r>
    </w:p>
    <w:p>
      <w:pPr>
        <w:snapToGrid w:val="0"/>
        <w:spacing w:line="360" w:lineRule="auto"/>
        <w:rPr>
          <w:rFonts w:hAnsi="宋体"/>
          <w:color w:val="auto"/>
          <w:szCs w:val="21"/>
          <w:highlight w:val="none"/>
          <w:u w:val="single"/>
        </w:rPr>
      </w:pPr>
      <w:r>
        <w:rPr>
          <w:rFonts w:hAnsi="宋体"/>
          <w:color w:val="auto"/>
          <w:szCs w:val="21"/>
          <w:highlight w:val="none"/>
        </w:rPr>
        <w:t>姓名：</w:t>
      </w:r>
      <w:r>
        <w:rPr>
          <w:rFonts w:hint="eastAsia" w:hAnsi="宋体"/>
          <w:color w:val="auto"/>
          <w:szCs w:val="21"/>
          <w:highlight w:val="none"/>
          <w:u w:val="single"/>
        </w:rPr>
        <w:t xml:space="preserve">           </w:t>
      </w:r>
      <w:r>
        <w:rPr>
          <w:rFonts w:hAnsi="宋体"/>
          <w:color w:val="auto"/>
          <w:szCs w:val="21"/>
          <w:highlight w:val="none"/>
        </w:rPr>
        <w:t>性别：</w:t>
      </w:r>
      <w:r>
        <w:rPr>
          <w:rFonts w:hint="eastAsia" w:hAnsi="宋体"/>
          <w:color w:val="auto"/>
          <w:szCs w:val="21"/>
          <w:highlight w:val="none"/>
          <w:u w:val="single"/>
        </w:rPr>
        <w:t xml:space="preserve">          </w:t>
      </w:r>
      <w:r>
        <w:rPr>
          <w:rFonts w:hAnsi="宋体"/>
          <w:color w:val="auto"/>
          <w:szCs w:val="21"/>
          <w:highlight w:val="none"/>
        </w:rPr>
        <w:t>年龄：</w:t>
      </w:r>
      <w:r>
        <w:rPr>
          <w:rFonts w:hint="eastAsia" w:hAnsi="宋体"/>
          <w:color w:val="auto"/>
          <w:szCs w:val="21"/>
          <w:highlight w:val="none"/>
          <w:u w:val="single"/>
        </w:rPr>
        <w:t xml:space="preserve">             </w:t>
      </w:r>
      <w:r>
        <w:rPr>
          <w:rFonts w:hAnsi="宋体"/>
          <w:color w:val="auto"/>
          <w:szCs w:val="21"/>
          <w:highlight w:val="none"/>
        </w:rPr>
        <w:t>职务：</w:t>
      </w:r>
      <w:r>
        <w:rPr>
          <w:rFonts w:hint="eastAsia" w:hAnsi="宋体"/>
          <w:color w:val="auto"/>
          <w:szCs w:val="21"/>
          <w:highlight w:val="none"/>
          <w:u w:val="single"/>
        </w:rPr>
        <w:t xml:space="preserve">              </w:t>
      </w:r>
    </w:p>
    <w:p>
      <w:pPr>
        <w:snapToGrid w:val="0"/>
        <w:spacing w:line="360" w:lineRule="auto"/>
        <w:rPr>
          <w:rFonts w:hAnsi="宋体"/>
          <w:color w:val="auto"/>
          <w:szCs w:val="21"/>
          <w:highlight w:val="none"/>
          <w:u w:val="single"/>
        </w:rPr>
      </w:pPr>
      <w:r>
        <w:rPr>
          <w:rFonts w:hAnsi="宋体"/>
          <w:color w:val="auto"/>
          <w:szCs w:val="21"/>
          <w:highlight w:val="none"/>
        </w:rPr>
        <w:t>身份证号码：</w:t>
      </w:r>
      <w:r>
        <w:rPr>
          <w:rFonts w:hint="eastAsia" w:hAnsi="宋体"/>
          <w:color w:val="auto"/>
          <w:szCs w:val="21"/>
          <w:highlight w:val="none"/>
          <w:u w:val="single"/>
        </w:rPr>
        <w:t xml:space="preserve">                                     </w:t>
      </w:r>
      <w:r>
        <w:rPr>
          <w:rFonts w:hint="eastAsia" w:hAnsi="宋体"/>
          <w:color w:val="auto"/>
          <w:szCs w:val="21"/>
          <w:highlight w:val="none"/>
        </w:rPr>
        <w:t xml:space="preserve"> 联系电话：</w:t>
      </w:r>
      <w:r>
        <w:rPr>
          <w:rFonts w:hint="eastAsia" w:hAnsi="宋体"/>
          <w:color w:val="auto"/>
          <w:szCs w:val="21"/>
          <w:highlight w:val="none"/>
          <w:u w:val="single"/>
        </w:rPr>
        <w:t xml:space="preserve">                     </w:t>
      </w:r>
    </w:p>
    <w:p>
      <w:pPr>
        <w:snapToGrid w:val="0"/>
        <w:spacing w:line="360" w:lineRule="auto"/>
        <w:ind w:firstLine="560"/>
        <w:rPr>
          <w:rFonts w:hAnsi="宋体"/>
          <w:color w:val="auto"/>
          <w:szCs w:val="21"/>
          <w:highlight w:val="none"/>
        </w:rPr>
      </w:pPr>
    </w:p>
    <w:p>
      <w:pPr>
        <w:snapToGrid w:val="0"/>
        <w:spacing w:line="360" w:lineRule="auto"/>
        <w:rPr>
          <w:rFonts w:hAnsi="宋体"/>
          <w:color w:val="auto"/>
          <w:szCs w:val="21"/>
          <w:highlight w:val="none"/>
        </w:rPr>
      </w:pPr>
      <w:r>
        <w:rPr>
          <w:rFonts w:hAnsi="宋体"/>
          <w:color w:val="auto"/>
          <w:szCs w:val="21"/>
          <w:highlight w:val="none"/>
        </w:rPr>
        <w:t>系</w:t>
      </w:r>
      <w:r>
        <w:rPr>
          <w:rFonts w:hint="eastAsia" w:hAnsi="宋体"/>
          <w:color w:val="auto"/>
          <w:szCs w:val="21"/>
          <w:highlight w:val="none"/>
          <w:u w:val="single"/>
        </w:rPr>
        <w:t xml:space="preserve">                              </w:t>
      </w:r>
      <w:r>
        <w:rPr>
          <w:rFonts w:hAnsi="宋体"/>
          <w:color w:val="auto"/>
          <w:szCs w:val="21"/>
          <w:highlight w:val="none"/>
          <w:u w:val="single"/>
        </w:rPr>
        <w:t>（投标人名称）</w:t>
      </w:r>
      <w:r>
        <w:rPr>
          <w:rFonts w:hAnsi="宋体"/>
          <w:color w:val="auto"/>
          <w:szCs w:val="21"/>
          <w:highlight w:val="none"/>
        </w:rPr>
        <w:t>的法定代表人。</w:t>
      </w:r>
    </w:p>
    <w:p>
      <w:pPr>
        <w:snapToGrid w:val="0"/>
        <w:spacing w:line="360" w:lineRule="auto"/>
        <w:ind w:firstLine="560"/>
        <w:rPr>
          <w:rFonts w:hAnsi="宋体"/>
          <w:color w:val="auto"/>
          <w:szCs w:val="21"/>
          <w:highlight w:val="none"/>
        </w:rPr>
      </w:pPr>
    </w:p>
    <w:p>
      <w:pPr>
        <w:snapToGrid w:val="0"/>
        <w:spacing w:line="360" w:lineRule="auto"/>
        <w:rPr>
          <w:rFonts w:hAnsi="宋体"/>
          <w:color w:val="auto"/>
          <w:szCs w:val="21"/>
          <w:highlight w:val="none"/>
        </w:rPr>
      </w:pPr>
      <w:r>
        <w:rPr>
          <w:rFonts w:hAnsi="宋体"/>
          <w:color w:val="auto"/>
          <w:szCs w:val="21"/>
          <w:highlight w:val="none"/>
        </w:rPr>
        <w:t>特此证明。</w:t>
      </w:r>
    </w:p>
    <w:p>
      <w:pPr>
        <w:snapToGrid w:val="0"/>
        <w:spacing w:line="360" w:lineRule="auto"/>
        <w:rPr>
          <w:rFonts w:hAnsi="宋体"/>
          <w:color w:val="auto"/>
          <w:szCs w:val="21"/>
          <w:highlight w:val="none"/>
        </w:rPr>
      </w:pPr>
      <w:r>
        <w:rPr>
          <w:rFonts w:hAnsi="宋体"/>
          <w:color w:val="auto"/>
          <w:szCs w:val="21"/>
          <w:highlight w:val="none"/>
        </w:rPr>
        <w:t>附：法定代表人身份证复印件</w:t>
      </w:r>
    </w:p>
    <w:p>
      <w:pPr>
        <w:snapToGrid w:val="0"/>
        <w:spacing w:line="360" w:lineRule="auto"/>
        <w:ind w:firstLine="6216" w:firstLineChars="2960"/>
        <w:rPr>
          <w:rFonts w:hAnsi="宋体"/>
          <w:color w:val="auto"/>
          <w:szCs w:val="21"/>
          <w:highlight w:val="none"/>
        </w:rPr>
      </w:pPr>
      <w:r>
        <w:rPr>
          <w:rFonts w:hAnsi="宋体"/>
          <w:color w:val="auto"/>
          <w:szCs w:val="21"/>
          <w:highlight w:val="none"/>
        </w:rPr>
        <w:t>投标人：（盖单位</w:t>
      </w:r>
      <w:r>
        <w:rPr>
          <w:rFonts w:hint="eastAsia" w:hAnsi="宋体"/>
          <w:color w:val="auto"/>
          <w:szCs w:val="21"/>
          <w:highlight w:val="none"/>
        </w:rPr>
        <w:t>公</w:t>
      </w:r>
      <w:r>
        <w:rPr>
          <w:rFonts w:hAnsi="宋体"/>
          <w:color w:val="auto"/>
          <w:szCs w:val="21"/>
          <w:highlight w:val="none"/>
        </w:rPr>
        <w:t xml:space="preserve">章） </w:t>
      </w:r>
    </w:p>
    <w:p>
      <w:pPr>
        <w:snapToGrid w:val="0"/>
        <w:spacing w:line="360" w:lineRule="auto"/>
        <w:ind w:firstLine="6216" w:firstLineChars="2960"/>
        <w:rPr>
          <w:rFonts w:hAnsi="宋体"/>
          <w:color w:val="auto"/>
          <w:szCs w:val="21"/>
          <w:highlight w:val="none"/>
        </w:rPr>
      </w:pPr>
      <w:r>
        <w:rPr>
          <w:rFonts w:hAnsi="宋体"/>
          <w:color w:val="auto"/>
          <w:szCs w:val="21"/>
          <w:highlight w:val="none"/>
        </w:rPr>
        <w:t>日期：</w:t>
      </w:r>
      <w:r>
        <w:rPr>
          <w:rFonts w:hint="eastAsia" w:hAnsi="宋体"/>
          <w:color w:val="auto"/>
          <w:szCs w:val="21"/>
          <w:highlight w:val="none"/>
        </w:rPr>
        <w:t xml:space="preserve">      </w:t>
      </w:r>
      <w:r>
        <w:rPr>
          <w:rFonts w:hAnsi="宋体"/>
          <w:color w:val="auto"/>
          <w:szCs w:val="21"/>
          <w:highlight w:val="none"/>
        </w:rPr>
        <w:t>年    月    日</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hAnsi="宋体"/>
                <w:color w:val="auto"/>
                <w:szCs w:val="21"/>
                <w:highlight w:val="none"/>
              </w:rPr>
            </w:pPr>
            <w:r>
              <w:rPr>
                <w:rFonts w:hAnsi="宋体"/>
                <w:color w:val="auto"/>
                <w:szCs w:val="21"/>
                <w:highlight w:val="none"/>
              </w:rPr>
              <w:t>法定代表人</w:t>
            </w:r>
            <w:r>
              <w:rPr>
                <w:rFonts w:hint="eastAsia" w:hAnsi="宋体"/>
                <w:color w:val="auto"/>
                <w:szCs w:val="21"/>
                <w:highlight w:val="none"/>
              </w:rPr>
              <w:t>身份证复印件粘贴处（正、反面）</w:t>
            </w:r>
          </w:p>
        </w:tc>
      </w:tr>
    </w:tbl>
    <w:p>
      <w:pPr>
        <w:spacing w:after="120" w:afterLines="50" w:line="440" w:lineRule="exact"/>
        <w:jc w:val="center"/>
        <w:rPr>
          <w:rFonts w:hAnsi="宋体"/>
          <w:b/>
          <w:bCs/>
          <w:color w:val="auto"/>
          <w:sz w:val="32"/>
          <w:szCs w:val="32"/>
          <w:highlight w:val="none"/>
        </w:rPr>
      </w:pPr>
      <w:r>
        <w:rPr>
          <w:rFonts w:hAnsi="宋体"/>
          <w:color w:val="auto"/>
          <w:szCs w:val="21"/>
          <w:highlight w:val="none"/>
        </w:rPr>
        <w:br w:type="page"/>
      </w:r>
      <w:r>
        <w:rPr>
          <w:rFonts w:hAnsi="宋体"/>
          <w:b/>
          <w:bCs/>
          <w:color w:val="auto"/>
          <w:sz w:val="32"/>
          <w:szCs w:val="32"/>
          <w:highlight w:val="none"/>
        </w:rPr>
        <w:t>授权委托书</w:t>
      </w:r>
    </w:p>
    <w:p>
      <w:pPr>
        <w:spacing w:line="440" w:lineRule="exact"/>
        <w:ind w:firstLine="420" w:firstLineChars="200"/>
        <w:rPr>
          <w:rFonts w:hAnsi="宋体"/>
          <w:color w:val="auto"/>
          <w:szCs w:val="21"/>
          <w:highlight w:val="none"/>
        </w:rPr>
      </w:pPr>
    </w:p>
    <w:p>
      <w:pPr>
        <w:spacing w:line="440" w:lineRule="exact"/>
        <w:ind w:firstLine="420" w:firstLineChars="200"/>
        <w:rPr>
          <w:rFonts w:hAnsi="宋体"/>
          <w:color w:val="auto"/>
          <w:szCs w:val="21"/>
          <w:highlight w:val="none"/>
        </w:rPr>
      </w:pPr>
      <w:r>
        <w:rPr>
          <w:rFonts w:hAnsi="宋体"/>
          <w:color w:val="auto"/>
          <w:szCs w:val="21"/>
          <w:highlight w:val="none"/>
        </w:rPr>
        <w:t>本人</w:t>
      </w:r>
      <w:r>
        <w:rPr>
          <w:rFonts w:hint="eastAsia" w:hAnsi="宋体"/>
          <w:color w:val="auto"/>
          <w:szCs w:val="21"/>
          <w:highlight w:val="none"/>
          <w:u w:val="single"/>
        </w:rPr>
        <w:t xml:space="preserve">             </w:t>
      </w:r>
      <w:r>
        <w:rPr>
          <w:rFonts w:hAnsi="宋体"/>
          <w:color w:val="auto"/>
          <w:szCs w:val="21"/>
          <w:highlight w:val="none"/>
        </w:rPr>
        <w:t>（姓名）系</w:t>
      </w:r>
      <w:r>
        <w:rPr>
          <w:rFonts w:hint="eastAsia" w:hAnsi="宋体"/>
          <w:color w:val="auto"/>
          <w:szCs w:val="21"/>
          <w:highlight w:val="none"/>
          <w:u w:val="single"/>
        </w:rPr>
        <w:t xml:space="preserve">                         </w:t>
      </w:r>
      <w:r>
        <w:rPr>
          <w:rFonts w:hAnsi="宋体"/>
          <w:color w:val="auto"/>
          <w:szCs w:val="21"/>
          <w:highlight w:val="none"/>
          <w:u w:val="single"/>
        </w:rPr>
        <w:t>（投标人名称）</w:t>
      </w:r>
      <w:r>
        <w:rPr>
          <w:rFonts w:hAnsi="宋体"/>
          <w:color w:val="auto"/>
          <w:szCs w:val="21"/>
          <w:highlight w:val="none"/>
        </w:rPr>
        <w:t>的法定代表人，现委托</w:t>
      </w:r>
      <w:r>
        <w:rPr>
          <w:rFonts w:hint="eastAsia" w:hAnsi="宋体"/>
          <w:color w:val="auto"/>
          <w:szCs w:val="21"/>
          <w:highlight w:val="none"/>
          <w:u w:val="single"/>
        </w:rPr>
        <w:t xml:space="preserve">               </w:t>
      </w:r>
      <w:r>
        <w:rPr>
          <w:rFonts w:hAnsi="宋体"/>
          <w:color w:val="auto"/>
          <w:szCs w:val="21"/>
          <w:highlight w:val="none"/>
        </w:rPr>
        <w:t>（姓名）为我方代理人</w:t>
      </w:r>
      <w:r>
        <w:rPr>
          <w:rFonts w:hint="eastAsia" w:hAnsi="宋体"/>
          <w:color w:val="auto"/>
          <w:szCs w:val="21"/>
          <w:highlight w:val="none"/>
        </w:rPr>
        <w:t>（联系电话：</w:t>
      </w:r>
      <w:r>
        <w:rPr>
          <w:rFonts w:hint="eastAsia" w:hAnsi="宋体"/>
          <w:color w:val="auto"/>
          <w:szCs w:val="21"/>
          <w:highlight w:val="none"/>
          <w:u w:val="single"/>
        </w:rPr>
        <w:t xml:space="preserve">                     </w:t>
      </w:r>
      <w:r>
        <w:rPr>
          <w:rFonts w:hint="eastAsia" w:hAnsi="宋体"/>
          <w:color w:val="auto"/>
          <w:szCs w:val="21"/>
          <w:highlight w:val="none"/>
        </w:rPr>
        <w:t>）</w:t>
      </w:r>
      <w:r>
        <w:rPr>
          <w:rFonts w:hAnsi="宋体"/>
          <w:color w:val="auto"/>
          <w:szCs w:val="21"/>
          <w:highlight w:val="none"/>
        </w:rPr>
        <w:t>。代理人根据授权，以我方名义签署、澄清、说明、补正、递交、撤回、修改</w:t>
      </w:r>
      <w:r>
        <w:rPr>
          <w:rFonts w:hint="eastAsia" w:hAnsi="宋体"/>
          <w:color w:val="auto"/>
          <w:szCs w:val="21"/>
          <w:highlight w:val="none"/>
          <w:u w:val="single"/>
        </w:rPr>
        <w:t xml:space="preserve">                       </w:t>
      </w:r>
      <w:r>
        <w:rPr>
          <w:rFonts w:hAnsi="宋体"/>
          <w:color w:val="auto"/>
          <w:szCs w:val="21"/>
          <w:highlight w:val="none"/>
          <w:u w:val="single"/>
        </w:rPr>
        <w:t>项目</w:t>
      </w:r>
      <w:r>
        <w:rPr>
          <w:rFonts w:hint="eastAsia" w:hAnsi="宋体"/>
          <w:color w:val="auto"/>
          <w:szCs w:val="21"/>
          <w:highlight w:val="none"/>
          <w:u w:val="single"/>
        </w:rPr>
        <w:t>（</w:t>
      </w:r>
      <w:r>
        <w:rPr>
          <w:rFonts w:hint="eastAsia" w:hAnsi="宋体" w:cs="宋体"/>
          <w:color w:val="auto"/>
          <w:szCs w:val="21"/>
          <w:highlight w:val="none"/>
        </w:rPr>
        <w:t>招标编号：</w:t>
      </w:r>
      <w:r>
        <w:rPr>
          <w:rFonts w:hint="eastAsia" w:hAnsi="宋体" w:cs="宋体"/>
          <w:color w:val="auto"/>
          <w:szCs w:val="21"/>
          <w:highlight w:val="none"/>
          <w:u w:val="single"/>
        </w:rPr>
        <w:t xml:space="preserve">                </w:t>
      </w:r>
      <w:r>
        <w:rPr>
          <w:rFonts w:hint="eastAsia" w:hAnsi="宋体"/>
          <w:color w:val="auto"/>
          <w:szCs w:val="21"/>
          <w:highlight w:val="none"/>
          <w:u w:val="single"/>
        </w:rPr>
        <w:t>）</w:t>
      </w:r>
      <w:r>
        <w:rPr>
          <w:rFonts w:hAnsi="宋体"/>
          <w:color w:val="auto"/>
          <w:szCs w:val="21"/>
          <w:highlight w:val="none"/>
        </w:rPr>
        <w:t>投标文件、签订合同和处理有关事宜，其法律后果由我方承担。</w:t>
      </w:r>
    </w:p>
    <w:p>
      <w:pPr>
        <w:spacing w:line="440" w:lineRule="exact"/>
        <w:ind w:firstLine="420" w:firstLineChars="200"/>
        <w:rPr>
          <w:rFonts w:hAnsi="宋体"/>
          <w:color w:val="auto"/>
          <w:szCs w:val="21"/>
          <w:highlight w:val="none"/>
        </w:rPr>
      </w:pPr>
      <w:r>
        <w:rPr>
          <w:rFonts w:hAnsi="宋体"/>
          <w:color w:val="auto"/>
          <w:szCs w:val="21"/>
          <w:highlight w:val="none"/>
        </w:rPr>
        <w:t>代理人无转委托权。</w:t>
      </w:r>
    </w:p>
    <w:p>
      <w:pPr>
        <w:spacing w:line="440" w:lineRule="exact"/>
        <w:ind w:firstLine="420" w:firstLineChars="200"/>
        <w:rPr>
          <w:rFonts w:hAnsi="宋体"/>
          <w:color w:val="auto"/>
          <w:szCs w:val="21"/>
          <w:highlight w:val="none"/>
        </w:rPr>
      </w:pPr>
      <w:r>
        <w:rPr>
          <w:rFonts w:hAnsi="宋体"/>
          <w:color w:val="auto"/>
          <w:szCs w:val="21"/>
          <w:highlight w:val="none"/>
        </w:rPr>
        <w:t>附：委托代理人身份证复印件</w:t>
      </w:r>
    </w:p>
    <w:p>
      <w:pPr>
        <w:spacing w:line="440" w:lineRule="exact"/>
        <w:rPr>
          <w:rFonts w:hAnsi="宋体"/>
          <w:color w:val="auto"/>
          <w:szCs w:val="21"/>
          <w:highlight w:val="none"/>
        </w:rPr>
      </w:pPr>
    </w:p>
    <w:p>
      <w:pPr>
        <w:spacing w:line="440" w:lineRule="exact"/>
        <w:rPr>
          <w:rFonts w:hAnsi="宋体"/>
          <w:color w:val="auto"/>
          <w:szCs w:val="21"/>
          <w:highlight w:val="none"/>
        </w:rPr>
      </w:pPr>
      <w:r>
        <w:rPr>
          <w:rFonts w:hAnsi="宋体"/>
          <w:color w:val="auto"/>
          <w:szCs w:val="21"/>
          <w:highlight w:val="none"/>
        </w:rPr>
        <w:t>投标人：（盖单位</w:t>
      </w:r>
      <w:r>
        <w:rPr>
          <w:rFonts w:hint="eastAsia" w:hAnsi="宋体"/>
          <w:color w:val="auto"/>
          <w:szCs w:val="21"/>
          <w:highlight w:val="none"/>
        </w:rPr>
        <w:t>公</w:t>
      </w:r>
      <w:r>
        <w:rPr>
          <w:rFonts w:hAnsi="宋体"/>
          <w:color w:val="auto"/>
          <w:szCs w:val="21"/>
          <w:highlight w:val="none"/>
        </w:rPr>
        <w:t>章）</w:t>
      </w:r>
    </w:p>
    <w:p>
      <w:pPr>
        <w:spacing w:line="440" w:lineRule="exact"/>
        <w:rPr>
          <w:rFonts w:hAnsi="宋体"/>
          <w:color w:val="auto"/>
          <w:szCs w:val="21"/>
          <w:highlight w:val="none"/>
        </w:rPr>
      </w:pPr>
      <w:r>
        <w:rPr>
          <w:rFonts w:hAnsi="宋体"/>
          <w:color w:val="auto"/>
          <w:szCs w:val="21"/>
          <w:highlight w:val="none"/>
        </w:rPr>
        <w:t>法定代表人：（签字或盖章）</w:t>
      </w:r>
    </w:p>
    <w:p>
      <w:pPr>
        <w:spacing w:line="440" w:lineRule="exact"/>
        <w:rPr>
          <w:rFonts w:hAnsi="宋体"/>
          <w:color w:val="auto"/>
          <w:szCs w:val="21"/>
          <w:highlight w:val="none"/>
        </w:rPr>
      </w:pPr>
      <w:r>
        <w:rPr>
          <w:rFonts w:hAnsi="宋体"/>
          <w:color w:val="auto"/>
          <w:szCs w:val="21"/>
          <w:highlight w:val="none"/>
        </w:rPr>
        <w:t>身份证号码：</w:t>
      </w:r>
    </w:p>
    <w:p>
      <w:pPr>
        <w:spacing w:line="440" w:lineRule="exact"/>
        <w:rPr>
          <w:rFonts w:hAnsi="宋体"/>
          <w:color w:val="auto"/>
          <w:szCs w:val="21"/>
          <w:highlight w:val="none"/>
        </w:rPr>
      </w:pPr>
    </w:p>
    <w:p>
      <w:pPr>
        <w:spacing w:line="440" w:lineRule="exact"/>
        <w:rPr>
          <w:rFonts w:hAnsi="宋体"/>
          <w:color w:val="auto"/>
          <w:szCs w:val="21"/>
          <w:highlight w:val="none"/>
        </w:rPr>
      </w:pPr>
      <w:r>
        <w:rPr>
          <w:rFonts w:hAnsi="宋体"/>
          <w:color w:val="auto"/>
          <w:szCs w:val="21"/>
          <w:highlight w:val="none"/>
        </w:rPr>
        <w:t>委托的代理人：（签字或盖章）</w:t>
      </w:r>
    </w:p>
    <w:p>
      <w:pPr>
        <w:spacing w:line="440" w:lineRule="exact"/>
        <w:rPr>
          <w:rFonts w:hAnsi="宋体"/>
          <w:color w:val="auto"/>
          <w:szCs w:val="21"/>
          <w:highlight w:val="none"/>
        </w:rPr>
      </w:pPr>
      <w:r>
        <w:rPr>
          <w:rFonts w:hAnsi="宋体"/>
          <w:color w:val="auto"/>
          <w:szCs w:val="21"/>
          <w:highlight w:val="none"/>
        </w:rPr>
        <w:t>身份证号码：</w:t>
      </w:r>
    </w:p>
    <w:p>
      <w:pPr>
        <w:snapToGrid w:val="0"/>
        <w:spacing w:line="360" w:lineRule="auto"/>
        <w:ind w:firstLine="6216" w:firstLineChars="2960"/>
        <w:rPr>
          <w:rFonts w:hAnsi="宋体"/>
          <w:color w:val="auto"/>
          <w:szCs w:val="21"/>
          <w:highlight w:val="none"/>
        </w:rPr>
      </w:pPr>
      <w:r>
        <w:rPr>
          <w:rFonts w:hAnsi="宋体"/>
          <w:color w:val="auto"/>
          <w:szCs w:val="21"/>
          <w:highlight w:val="none"/>
        </w:rPr>
        <w:t>日期：</w:t>
      </w:r>
      <w:r>
        <w:rPr>
          <w:rFonts w:hint="eastAsia" w:hAnsi="宋体"/>
          <w:color w:val="auto"/>
          <w:szCs w:val="21"/>
          <w:highlight w:val="none"/>
        </w:rPr>
        <w:t xml:space="preserve">      </w:t>
      </w:r>
      <w:r>
        <w:rPr>
          <w:rFonts w:hAnsi="宋体"/>
          <w:color w:val="auto"/>
          <w:szCs w:val="21"/>
          <w:highlight w:val="none"/>
        </w:rPr>
        <w:t>年    月    日</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hAnsi="宋体"/>
                <w:color w:val="auto"/>
                <w:szCs w:val="21"/>
                <w:highlight w:val="none"/>
              </w:rPr>
            </w:pPr>
            <w:r>
              <w:rPr>
                <w:rFonts w:hint="eastAsia" w:hAnsi="宋体"/>
                <w:color w:val="auto"/>
                <w:szCs w:val="21"/>
                <w:highlight w:val="none"/>
              </w:rPr>
              <w:t>委托代理</w:t>
            </w:r>
            <w:r>
              <w:rPr>
                <w:rFonts w:hAnsi="宋体"/>
                <w:color w:val="auto"/>
                <w:szCs w:val="21"/>
                <w:highlight w:val="none"/>
              </w:rPr>
              <w:t>人</w:t>
            </w:r>
            <w:r>
              <w:rPr>
                <w:rFonts w:hint="eastAsia" w:hAnsi="宋体"/>
                <w:color w:val="auto"/>
                <w:szCs w:val="21"/>
                <w:highlight w:val="none"/>
              </w:rPr>
              <w:t>身份证复印件粘贴处（正、反面）</w:t>
            </w:r>
          </w:p>
        </w:tc>
      </w:tr>
    </w:tbl>
    <w:p>
      <w:pPr>
        <w:snapToGrid w:val="0"/>
        <w:spacing w:line="440" w:lineRule="exact"/>
        <w:rPr>
          <w:rFonts w:hAnsi="宋体"/>
          <w:color w:val="auto"/>
          <w:szCs w:val="21"/>
          <w:highlight w:val="none"/>
        </w:rPr>
      </w:pPr>
    </w:p>
    <w:p>
      <w:pPr>
        <w:spacing w:line="440" w:lineRule="exact"/>
        <w:rPr>
          <w:rFonts w:hAnsi="宋体"/>
          <w:b/>
          <w:color w:val="auto"/>
          <w:szCs w:val="21"/>
          <w:highlight w:val="none"/>
        </w:rPr>
      </w:pPr>
      <w:r>
        <w:rPr>
          <w:rFonts w:hAnsi="宋体"/>
          <w:b/>
          <w:color w:val="auto"/>
          <w:szCs w:val="21"/>
          <w:highlight w:val="none"/>
        </w:rPr>
        <w:t>注：如投标文件由委托代理人签字或盖章的，投标文件必须附此授权委托书</w:t>
      </w:r>
      <w:r>
        <w:rPr>
          <w:rFonts w:hint="eastAsia" w:hAnsi="宋体"/>
          <w:b/>
          <w:color w:val="auto"/>
          <w:szCs w:val="21"/>
          <w:highlight w:val="none"/>
        </w:rPr>
        <w:t>和法定代表人身份证明</w:t>
      </w:r>
      <w:r>
        <w:rPr>
          <w:rFonts w:hAnsi="宋体"/>
          <w:b/>
          <w:color w:val="auto"/>
          <w:szCs w:val="21"/>
          <w:highlight w:val="none"/>
        </w:rPr>
        <w:t>。</w:t>
      </w:r>
    </w:p>
    <w:p>
      <w:pPr>
        <w:adjustRightInd w:val="0"/>
        <w:snapToGrid w:val="0"/>
        <w:spacing w:line="360" w:lineRule="auto"/>
        <w:rPr>
          <w:rFonts w:hAnsi="宋体"/>
          <w:b/>
          <w:color w:val="auto"/>
          <w:szCs w:val="21"/>
          <w:highlight w:val="none"/>
        </w:rPr>
      </w:pPr>
    </w:p>
    <w:p>
      <w:pPr>
        <w:snapToGrid w:val="0"/>
        <w:spacing w:line="360" w:lineRule="auto"/>
        <w:jc w:val="center"/>
        <w:outlineLvl w:val="1"/>
        <w:rPr>
          <w:rFonts w:hAnsi="宋体"/>
          <w:b/>
          <w:bCs/>
          <w:color w:val="auto"/>
          <w:sz w:val="32"/>
          <w:szCs w:val="32"/>
          <w:highlight w:val="none"/>
        </w:rPr>
      </w:pPr>
      <w:r>
        <w:rPr>
          <w:rFonts w:hAnsi="宋体"/>
          <w:color w:val="auto"/>
          <w:sz w:val="32"/>
          <w:szCs w:val="32"/>
          <w:highlight w:val="none"/>
        </w:rPr>
        <w:br w:type="page"/>
      </w:r>
      <w:r>
        <w:rPr>
          <w:rFonts w:hint="eastAsia" w:hAnsi="宋体"/>
          <w:b/>
          <w:bCs/>
          <w:color w:val="auto"/>
          <w:sz w:val="32"/>
          <w:szCs w:val="32"/>
          <w:highlight w:val="none"/>
        </w:rPr>
        <w:t>四</w:t>
      </w:r>
      <w:r>
        <w:rPr>
          <w:rFonts w:hAnsi="宋体"/>
          <w:b/>
          <w:bCs/>
          <w:color w:val="auto"/>
          <w:sz w:val="32"/>
          <w:szCs w:val="32"/>
          <w:highlight w:val="none"/>
        </w:rPr>
        <w:t>、投标保证金</w:t>
      </w:r>
      <w:r>
        <w:rPr>
          <w:rFonts w:hint="eastAsia" w:hAnsi="宋体"/>
          <w:b/>
          <w:bCs/>
          <w:color w:val="auto"/>
          <w:sz w:val="32"/>
          <w:szCs w:val="32"/>
          <w:highlight w:val="none"/>
        </w:rPr>
        <w:t>缴存证明</w:t>
      </w:r>
    </w:p>
    <w:p>
      <w:pPr>
        <w:tabs>
          <w:tab w:val="left" w:pos="816"/>
        </w:tabs>
        <w:snapToGrid w:val="0"/>
        <w:spacing w:line="360" w:lineRule="auto"/>
        <w:jc w:val="left"/>
        <w:rPr>
          <w:rFonts w:hAnsi="宋体"/>
          <w:color w:val="auto"/>
          <w:szCs w:val="21"/>
          <w:highlight w:val="none"/>
        </w:rPr>
      </w:pPr>
    </w:p>
    <w:p>
      <w:pPr>
        <w:adjustRightInd w:val="0"/>
        <w:snapToGrid w:val="0"/>
        <w:spacing w:line="360" w:lineRule="auto"/>
        <w:jc w:val="center"/>
        <w:rPr>
          <w:rFonts w:hAnsi="宋体"/>
          <w:b/>
          <w:color w:val="auto"/>
          <w:szCs w:val="21"/>
          <w:highlight w:val="none"/>
        </w:rPr>
      </w:pPr>
      <w:r>
        <w:rPr>
          <w:rFonts w:hint="eastAsia" w:hAnsi="宋体"/>
          <w:b/>
          <w:bCs/>
          <w:color w:val="auto"/>
          <w:szCs w:val="21"/>
          <w:highlight w:val="none"/>
        </w:rPr>
        <w:t>附</w:t>
      </w:r>
      <w:r>
        <w:rPr>
          <w:rFonts w:hint="eastAsia" w:hAnsi="宋体"/>
          <w:b/>
          <w:color w:val="auto"/>
          <w:szCs w:val="21"/>
          <w:highlight w:val="none"/>
        </w:rPr>
        <w:t>投标保证金缴纳凭证</w:t>
      </w:r>
      <w:r>
        <w:rPr>
          <w:rFonts w:hint="eastAsia" w:hAnsi="宋体"/>
          <w:color w:val="auto"/>
          <w:szCs w:val="21"/>
          <w:highlight w:val="none"/>
        </w:rPr>
        <w:t>，</w:t>
      </w:r>
      <w:r>
        <w:rPr>
          <w:rFonts w:hint="eastAsia" w:hAnsi="宋体"/>
          <w:b/>
          <w:color w:val="auto"/>
          <w:szCs w:val="21"/>
          <w:highlight w:val="none"/>
        </w:rPr>
        <w:t>基本账户开户许可证（或“基本存款账户信息”证明）复印件。</w:t>
      </w:r>
    </w:p>
    <w:p>
      <w:pPr>
        <w:adjustRightInd w:val="0"/>
        <w:snapToGrid w:val="0"/>
        <w:spacing w:line="360" w:lineRule="auto"/>
        <w:jc w:val="left"/>
        <w:rPr>
          <w:rFonts w:hAnsi="宋体"/>
          <w:color w:val="auto"/>
          <w:szCs w:val="21"/>
          <w:highlight w:val="none"/>
        </w:rPr>
      </w:pPr>
    </w:p>
    <w:p>
      <w:pPr>
        <w:adjustRightInd w:val="0"/>
        <w:snapToGrid w:val="0"/>
        <w:spacing w:line="360" w:lineRule="auto"/>
        <w:jc w:val="left"/>
        <w:rPr>
          <w:rFonts w:hAnsi="宋体"/>
          <w:color w:val="auto"/>
          <w:szCs w:val="21"/>
          <w:highlight w:val="none"/>
        </w:rPr>
      </w:pPr>
    </w:p>
    <w:p>
      <w:pPr>
        <w:snapToGrid w:val="0"/>
        <w:spacing w:line="360" w:lineRule="auto"/>
        <w:jc w:val="center"/>
        <w:outlineLvl w:val="1"/>
        <w:rPr>
          <w:rFonts w:hAnsi="宋体"/>
          <w:b/>
          <w:bCs/>
          <w:color w:val="auto"/>
          <w:sz w:val="32"/>
          <w:szCs w:val="32"/>
          <w:highlight w:val="none"/>
        </w:rPr>
      </w:pPr>
      <w:r>
        <w:rPr>
          <w:rFonts w:hAnsi="宋体"/>
          <w:b/>
          <w:bCs/>
          <w:color w:val="auto"/>
          <w:sz w:val="32"/>
          <w:szCs w:val="32"/>
          <w:highlight w:val="none"/>
        </w:rPr>
        <w:br w:type="page"/>
      </w:r>
      <w:r>
        <w:rPr>
          <w:rFonts w:hint="eastAsia" w:hAnsi="宋体"/>
          <w:b/>
          <w:bCs/>
          <w:color w:val="auto"/>
          <w:sz w:val="32"/>
          <w:szCs w:val="32"/>
          <w:highlight w:val="none"/>
        </w:rPr>
        <w:t>五、商务偏离表</w:t>
      </w:r>
    </w:p>
    <w:p>
      <w:pPr>
        <w:adjustRightInd w:val="0"/>
        <w:snapToGrid w:val="0"/>
        <w:spacing w:line="360" w:lineRule="auto"/>
        <w:ind w:firstLine="420" w:firstLineChars="200"/>
        <w:rPr>
          <w:rFonts w:hAnsi="宋体"/>
          <w:color w:val="auto"/>
          <w:szCs w:val="21"/>
          <w:highlight w:val="none"/>
        </w:rPr>
      </w:pPr>
      <w:r>
        <w:rPr>
          <w:rFonts w:hint="eastAsia" w:hAnsi="宋体"/>
          <w:color w:val="auto"/>
          <w:szCs w:val="21"/>
          <w:highlight w:val="none"/>
        </w:rPr>
        <w:t>投标人应根据其投标文件响应情况，对照招标文件的要求，有差异的，则在表中写明实际响应的具体内容。</w:t>
      </w:r>
    </w:p>
    <w:p>
      <w:pPr>
        <w:adjustRightInd w:val="0"/>
        <w:snapToGrid w:val="0"/>
        <w:spacing w:line="360" w:lineRule="auto"/>
        <w:rPr>
          <w:rFonts w:hAnsi="宋体"/>
          <w:color w:val="auto"/>
          <w:szCs w:val="21"/>
          <w:highlight w:val="none"/>
        </w:rPr>
      </w:pPr>
      <w:r>
        <w:rPr>
          <w:rFonts w:hint="eastAsia" w:hAnsi="宋体" w:cs="宋体"/>
          <w:color w:val="auto"/>
          <w:szCs w:val="21"/>
          <w:highlight w:val="none"/>
        </w:rPr>
        <w:t>招标编号：</w:t>
      </w:r>
      <w:r>
        <w:rPr>
          <w:rFonts w:hint="eastAsia" w:hAnsi="宋体" w:cs="宋体"/>
          <w:color w:val="auto"/>
          <w:szCs w:val="21"/>
          <w:highlight w:val="none"/>
          <w:u w:val="single"/>
        </w:rPr>
        <w:t xml:space="preserve">                </w:t>
      </w:r>
    </w:p>
    <w:tbl>
      <w:tblPr>
        <w:tblStyle w:val="8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327"/>
        <w:gridCol w:w="2333"/>
        <w:gridCol w:w="1397"/>
        <w:gridCol w:w="3169"/>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Merge w:val="restart"/>
            <w:vAlign w:val="center"/>
          </w:tcPr>
          <w:p>
            <w:pPr>
              <w:adjustRightInd w:val="0"/>
              <w:snapToGrid w:val="0"/>
              <w:jc w:val="center"/>
              <w:rPr>
                <w:rFonts w:hAnsi="宋体"/>
                <w:color w:val="auto"/>
                <w:szCs w:val="21"/>
                <w:highlight w:val="none"/>
              </w:rPr>
            </w:pPr>
            <w:r>
              <w:rPr>
                <w:rFonts w:hint="eastAsia" w:hAnsi="宋体"/>
                <w:color w:val="auto"/>
                <w:szCs w:val="21"/>
                <w:highlight w:val="none"/>
              </w:rPr>
              <w:t>序号</w:t>
            </w:r>
          </w:p>
        </w:tc>
        <w:tc>
          <w:tcPr>
            <w:tcW w:w="1721" w:type="pct"/>
            <w:gridSpan w:val="2"/>
            <w:vAlign w:val="center"/>
          </w:tcPr>
          <w:p>
            <w:pPr>
              <w:adjustRightInd w:val="0"/>
              <w:snapToGrid w:val="0"/>
              <w:jc w:val="center"/>
              <w:rPr>
                <w:rFonts w:hAnsi="宋体"/>
                <w:color w:val="auto"/>
                <w:szCs w:val="21"/>
                <w:highlight w:val="none"/>
              </w:rPr>
            </w:pPr>
            <w:r>
              <w:rPr>
                <w:rFonts w:hint="eastAsia" w:hAnsi="宋体"/>
                <w:color w:val="auto"/>
                <w:szCs w:val="21"/>
                <w:highlight w:val="none"/>
              </w:rPr>
              <w:t>招标文件要求</w:t>
            </w:r>
          </w:p>
        </w:tc>
        <w:tc>
          <w:tcPr>
            <w:tcW w:w="2147" w:type="pct"/>
            <w:gridSpan w:val="2"/>
            <w:vAlign w:val="center"/>
          </w:tcPr>
          <w:p>
            <w:pPr>
              <w:adjustRightInd w:val="0"/>
              <w:snapToGrid w:val="0"/>
              <w:jc w:val="center"/>
              <w:rPr>
                <w:rFonts w:hAnsi="宋体"/>
                <w:color w:val="auto"/>
                <w:szCs w:val="21"/>
                <w:highlight w:val="none"/>
              </w:rPr>
            </w:pPr>
            <w:r>
              <w:rPr>
                <w:rFonts w:hint="eastAsia" w:hAnsi="宋体"/>
                <w:color w:val="auto"/>
                <w:szCs w:val="21"/>
                <w:highlight w:val="none"/>
              </w:rPr>
              <w:t>投标文件内容</w:t>
            </w:r>
          </w:p>
        </w:tc>
        <w:tc>
          <w:tcPr>
            <w:tcW w:w="748" w:type="pct"/>
            <w:vMerge w:val="restart"/>
            <w:vAlign w:val="center"/>
          </w:tcPr>
          <w:p>
            <w:pPr>
              <w:adjustRightInd w:val="0"/>
              <w:snapToGrid w:val="0"/>
              <w:jc w:val="center"/>
              <w:rPr>
                <w:rFonts w:hAnsi="宋体"/>
                <w:color w:val="auto"/>
                <w:szCs w:val="21"/>
                <w:highlight w:val="none"/>
              </w:rPr>
            </w:pPr>
            <w:r>
              <w:rPr>
                <w:rFonts w:hint="eastAsia"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Merge w:val="continue"/>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r>
              <w:rPr>
                <w:rFonts w:hint="eastAsia"/>
                <w:color w:val="auto"/>
                <w:szCs w:val="21"/>
                <w:highlight w:val="none"/>
              </w:rPr>
              <w:t>条目</w:t>
            </w:r>
          </w:p>
        </w:tc>
        <w:tc>
          <w:tcPr>
            <w:tcW w:w="1097" w:type="pct"/>
            <w:vAlign w:val="center"/>
          </w:tcPr>
          <w:p>
            <w:pPr>
              <w:adjustRightInd w:val="0"/>
              <w:snapToGrid w:val="0"/>
              <w:jc w:val="center"/>
              <w:rPr>
                <w:rFonts w:hAnsi="宋体"/>
                <w:color w:val="auto"/>
                <w:szCs w:val="21"/>
                <w:highlight w:val="none"/>
              </w:rPr>
            </w:pPr>
            <w:r>
              <w:rPr>
                <w:rFonts w:hint="eastAsia"/>
                <w:color w:val="auto"/>
                <w:szCs w:val="21"/>
                <w:highlight w:val="none"/>
              </w:rPr>
              <w:t>简要内容</w:t>
            </w:r>
          </w:p>
        </w:tc>
        <w:tc>
          <w:tcPr>
            <w:tcW w:w="657" w:type="pct"/>
            <w:vAlign w:val="center"/>
          </w:tcPr>
          <w:p>
            <w:pPr>
              <w:adjustRightInd w:val="0"/>
              <w:snapToGrid w:val="0"/>
              <w:jc w:val="center"/>
              <w:rPr>
                <w:rFonts w:hAnsi="宋体"/>
                <w:color w:val="auto"/>
                <w:szCs w:val="21"/>
                <w:highlight w:val="none"/>
              </w:rPr>
            </w:pPr>
            <w:r>
              <w:rPr>
                <w:rFonts w:hint="eastAsia"/>
                <w:color w:val="auto"/>
                <w:szCs w:val="21"/>
                <w:highlight w:val="none"/>
              </w:rPr>
              <w:t>条目</w:t>
            </w:r>
          </w:p>
        </w:tc>
        <w:tc>
          <w:tcPr>
            <w:tcW w:w="1490" w:type="pct"/>
            <w:vAlign w:val="center"/>
          </w:tcPr>
          <w:p>
            <w:pPr>
              <w:adjustRightInd w:val="0"/>
              <w:snapToGrid w:val="0"/>
              <w:jc w:val="center"/>
              <w:rPr>
                <w:rFonts w:hAnsi="宋体"/>
                <w:color w:val="auto"/>
                <w:szCs w:val="21"/>
                <w:highlight w:val="none"/>
              </w:rPr>
            </w:pPr>
            <w:r>
              <w:rPr>
                <w:rFonts w:hint="eastAsia"/>
                <w:color w:val="auto"/>
                <w:szCs w:val="21"/>
                <w:highlight w:val="none"/>
              </w:rPr>
              <w:t>实际响应的具体内容</w:t>
            </w:r>
          </w:p>
        </w:tc>
        <w:tc>
          <w:tcPr>
            <w:tcW w:w="748" w:type="pct"/>
            <w:vMerge w:val="continue"/>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bl>
    <w:p>
      <w:pPr>
        <w:pStyle w:val="379"/>
        <w:adjustRightInd w:val="0"/>
        <w:snapToGrid w:val="0"/>
        <w:spacing w:line="360" w:lineRule="auto"/>
        <w:ind w:firstLine="420" w:firstLineChars="200"/>
        <w:rPr>
          <w:rFonts w:hAnsi="宋体"/>
          <w:color w:val="auto"/>
          <w:sz w:val="21"/>
          <w:highlight w:val="none"/>
        </w:rPr>
      </w:pPr>
      <w:r>
        <w:rPr>
          <w:rFonts w:hint="eastAsia" w:hAnsi="宋体"/>
          <w:color w:val="auto"/>
          <w:sz w:val="21"/>
          <w:highlight w:val="none"/>
        </w:rPr>
        <w:t>若投标人未提供或未填写本表，均视作完全响应招标文件要求。</w:t>
      </w:r>
    </w:p>
    <w:p>
      <w:pPr>
        <w:pStyle w:val="379"/>
        <w:adjustRightInd w:val="0"/>
        <w:snapToGrid w:val="0"/>
        <w:spacing w:line="360" w:lineRule="auto"/>
        <w:ind w:firstLine="420" w:firstLineChars="200"/>
        <w:rPr>
          <w:rFonts w:hAnsi="宋体"/>
          <w:color w:val="auto"/>
          <w:sz w:val="21"/>
          <w:highlight w:val="none"/>
        </w:rPr>
      </w:pPr>
    </w:p>
    <w:p>
      <w:pPr>
        <w:pStyle w:val="44"/>
        <w:snapToGrid w:val="0"/>
        <w:spacing w:line="360" w:lineRule="auto"/>
        <w:rPr>
          <w:rFonts w:hAnsi="宋体"/>
          <w:snapToGrid w:val="0"/>
          <w:color w:val="auto"/>
          <w:highlight w:val="none"/>
        </w:rPr>
      </w:pPr>
      <w:r>
        <w:rPr>
          <w:rFonts w:hAnsi="宋体"/>
          <w:snapToGrid w:val="0"/>
          <w:color w:val="auto"/>
          <w:highlight w:val="none"/>
        </w:rPr>
        <w:t>投标人（盖</w:t>
      </w:r>
      <w:r>
        <w:rPr>
          <w:rFonts w:hint="eastAsia" w:hAnsi="宋体"/>
          <w:snapToGrid w:val="0"/>
          <w:color w:val="auto"/>
          <w:highlight w:val="none"/>
        </w:rPr>
        <w:t>公</w:t>
      </w:r>
      <w:r>
        <w:rPr>
          <w:rFonts w:hAnsi="宋体"/>
          <w:snapToGrid w:val="0"/>
          <w:color w:val="auto"/>
          <w:highlight w:val="none"/>
        </w:rPr>
        <w:t>章）：</w:t>
      </w:r>
    </w:p>
    <w:p>
      <w:pPr>
        <w:pStyle w:val="44"/>
        <w:snapToGrid w:val="0"/>
        <w:spacing w:line="360" w:lineRule="auto"/>
        <w:rPr>
          <w:rFonts w:hAnsi="宋体"/>
          <w:snapToGrid w:val="0"/>
          <w:color w:val="auto"/>
          <w:highlight w:val="none"/>
        </w:rPr>
      </w:pPr>
      <w:r>
        <w:rPr>
          <w:rFonts w:hAnsi="宋体"/>
          <w:snapToGrid w:val="0"/>
          <w:color w:val="auto"/>
          <w:highlight w:val="none"/>
        </w:rPr>
        <w:t>法定代表人</w:t>
      </w:r>
      <w:r>
        <w:rPr>
          <w:rFonts w:hint="eastAsia" w:hAnsi="宋体"/>
          <w:snapToGrid w:val="0"/>
          <w:color w:val="auto"/>
          <w:highlight w:val="none"/>
        </w:rPr>
        <w:t>或其委托代理人</w:t>
      </w:r>
      <w:r>
        <w:rPr>
          <w:rFonts w:hAnsi="宋体"/>
          <w:snapToGrid w:val="0"/>
          <w:color w:val="auto"/>
          <w:highlight w:val="none"/>
        </w:rPr>
        <w:t>（签字</w:t>
      </w:r>
      <w:r>
        <w:rPr>
          <w:rFonts w:hint="eastAsia" w:hAnsi="宋体"/>
          <w:snapToGrid w:val="0"/>
          <w:color w:val="auto"/>
          <w:highlight w:val="none"/>
        </w:rPr>
        <w:t>或</w:t>
      </w:r>
      <w:r>
        <w:rPr>
          <w:rFonts w:hAnsi="宋体"/>
          <w:snapToGrid w:val="0"/>
          <w:color w:val="auto"/>
          <w:highlight w:val="none"/>
        </w:rPr>
        <w:t>盖章）：</w:t>
      </w:r>
    </w:p>
    <w:p>
      <w:pPr>
        <w:pStyle w:val="379"/>
        <w:adjustRightInd w:val="0"/>
        <w:snapToGrid w:val="0"/>
        <w:spacing w:line="360" w:lineRule="auto"/>
        <w:rPr>
          <w:rFonts w:hAnsi="宋体"/>
          <w:color w:val="auto"/>
          <w:sz w:val="21"/>
          <w:highlight w:val="none"/>
        </w:rPr>
      </w:pPr>
      <w:r>
        <w:rPr>
          <w:rFonts w:hAnsi="宋体"/>
          <w:snapToGrid w:val="0"/>
          <w:color w:val="auto"/>
          <w:sz w:val="21"/>
          <w:highlight w:val="none"/>
        </w:rPr>
        <w:t>日期：</w:t>
      </w:r>
      <w:r>
        <w:rPr>
          <w:rFonts w:hint="eastAsia" w:hAnsi="宋体"/>
          <w:color w:val="auto"/>
          <w:sz w:val="21"/>
          <w:highlight w:val="none"/>
        </w:rPr>
        <w:t xml:space="preserve">      </w:t>
      </w:r>
      <w:r>
        <w:rPr>
          <w:rFonts w:hAnsi="宋体"/>
          <w:color w:val="auto"/>
          <w:sz w:val="21"/>
          <w:highlight w:val="none"/>
        </w:rPr>
        <w:t>年    月    日</w:t>
      </w:r>
    </w:p>
    <w:p>
      <w:pPr>
        <w:adjustRightInd w:val="0"/>
        <w:snapToGrid w:val="0"/>
        <w:spacing w:line="360" w:lineRule="auto"/>
        <w:rPr>
          <w:rFonts w:hAnsi="宋体"/>
          <w:color w:val="auto"/>
          <w:highlight w:val="none"/>
        </w:rPr>
      </w:pPr>
    </w:p>
    <w:p>
      <w:pPr>
        <w:adjustRightInd w:val="0"/>
        <w:snapToGrid w:val="0"/>
        <w:spacing w:line="360" w:lineRule="auto"/>
        <w:jc w:val="center"/>
        <w:outlineLvl w:val="1"/>
        <w:rPr>
          <w:rFonts w:hAnsi="宋体"/>
          <w:b/>
          <w:color w:val="auto"/>
          <w:sz w:val="32"/>
          <w:szCs w:val="32"/>
          <w:highlight w:val="none"/>
          <w:lang w:val="zh-CN"/>
        </w:rPr>
      </w:pPr>
      <w:r>
        <w:rPr>
          <w:rFonts w:hAnsi="宋体"/>
          <w:color w:val="auto"/>
          <w:sz w:val="24"/>
          <w:highlight w:val="none"/>
        </w:rPr>
        <w:br w:type="page"/>
      </w:r>
      <w:r>
        <w:rPr>
          <w:rFonts w:hint="eastAsia" w:hAnsi="宋体"/>
          <w:b/>
          <w:color w:val="auto"/>
          <w:sz w:val="32"/>
          <w:szCs w:val="32"/>
          <w:highlight w:val="none"/>
        </w:rPr>
        <w:t>六</w:t>
      </w:r>
      <w:r>
        <w:rPr>
          <w:rFonts w:hAnsi="宋体"/>
          <w:b/>
          <w:color w:val="auto"/>
          <w:sz w:val="32"/>
          <w:szCs w:val="32"/>
          <w:highlight w:val="none"/>
          <w:lang w:val="zh-CN"/>
        </w:rPr>
        <w:t>、</w:t>
      </w:r>
      <w:r>
        <w:rPr>
          <w:rFonts w:hint="eastAsia" w:hAnsi="宋体"/>
          <w:b/>
          <w:color w:val="auto"/>
          <w:sz w:val="32"/>
          <w:szCs w:val="32"/>
          <w:highlight w:val="none"/>
          <w:lang w:val="zh-CN"/>
        </w:rPr>
        <w:t>商务</w:t>
      </w:r>
      <w:r>
        <w:rPr>
          <w:rFonts w:hAnsi="宋体"/>
          <w:b/>
          <w:color w:val="auto"/>
          <w:sz w:val="32"/>
          <w:szCs w:val="32"/>
          <w:highlight w:val="none"/>
          <w:lang w:val="zh-CN"/>
        </w:rPr>
        <w:t>优惠条件及特殊承诺</w:t>
      </w:r>
    </w:p>
    <w:p>
      <w:pPr>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（由投标人根据招标需求自行编制）</w:t>
      </w:r>
    </w:p>
    <w:p>
      <w:pPr>
        <w:spacing w:line="360" w:lineRule="auto"/>
        <w:jc w:val="center"/>
        <w:rPr>
          <w:rFonts w:ascii="仿宋" w:hAnsi="仿宋" w:eastAsia="仿宋" w:cs="仿宋_GB2312"/>
          <w:color w:val="auto"/>
          <w:sz w:val="18"/>
          <w:szCs w:val="18"/>
          <w:highlight w:val="none"/>
        </w:rPr>
      </w:pPr>
    </w:p>
    <w:p>
      <w:pPr>
        <w:pStyle w:val="99"/>
        <w:rPr>
          <w:rFonts w:ascii="仿宋" w:hAnsi="仿宋" w:eastAsia="仿宋" w:cs="仿宋_GB2312"/>
          <w:color w:val="auto"/>
          <w:sz w:val="18"/>
          <w:szCs w:val="18"/>
          <w:highlight w:val="none"/>
        </w:rPr>
      </w:pPr>
    </w:p>
    <w:p>
      <w:pPr>
        <w:pStyle w:val="99"/>
        <w:rPr>
          <w:rFonts w:ascii="仿宋" w:hAnsi="仿宋" w:eastAsia="仿宋" w:cs="仿宋_GB2312"/>
          <w:color w:val="auto"/>
          <w:sz w:val="18"/>
          <w:szCs w:val="18"/>
          <w:highlight w:val="none"/>
        </w:rPr>
      </w:pPr>
    </w:p>
    <w:p>
      <w:pPr>
        <w:pStyle w:val="99"/>
        <w:rPr>
          <w:rFonts w:ascii="仿宋" w:hAnsi="仿宋" w:eastAsia="仿宋" w:cs="仿宋_GB2312"/>
          <w:color w:val="auto"/>
          <w:sz w:val="18"/>
          <w:szCs w:val="18"/>
          <w:highlight w:val="none"/>
        </w:rPr>
      </w:pPr>
    </w:p>
    <w:p>
      <w:pPr>
        <w:pStyle w:val="44"/>
        <w:snapToGrid w:val="0"/>
        <w:spacing w:line="360" w:lineRule="auto"/>
        <w:rPr>
          <w:rFonts w:hAnsi="宋体"/>
          <w:snapToGrid w:val="0"/>
          <w:color w:val="auto"/>
          <w:highlight w:val="none"/>
        </w:rPr>
      </w:pPr>
      <w:r>
        <w:rPr>
          <w:rFonts w:hAnsi="宋体"/>
          <w:snapToGrid w:val="0"/>
          <w:color w:val="auto"/>
          <w:highlight w:val="none"/>
        </w:rPr>
        <w:t>投标人（盖</w:t>
      </w:r>
      <w:r>
        <w:rPr>
          <w:rFonts w:hint="eastAsia" w:hAnsi="宋体"/>
          <w:snapToGrid w:val="0"/>
          <w:color w:val="auto"/>
          <w:highlight w:val="none"/>
        </w:rPr>
        <w:t>公</w:t>
      </w:r>
      <w:r>
        <w:rPr>
          <w:rFonts w:hAnsi="宋体"/>
          <w:snapToGrid w:val="0"/>
          <w:color w:val="auto"/>
          <w:highlight w:val="none"/>
        </w:rPr>
        <w:t>章）：</w:t>
      </w:r>
    </w:p>
    <w:p>
      <w:pPr>
        <w:pStyle w:val="44"/>
        <w:snapToGrid w:val="0"/>
        <w:spacing w:line="360" w:lineRule="auto"/>
        <w:rPr>
          <w:rFonts w:hAnsi="宋体"/>
          <w:snapToGrid w:val="0"/>
          <w:color w:val="auto"/>
          <w:highlight w:val="none"/>
        </w:rPr>
      </w:pPr>
      <w:r>
        <w:rPr>
          <w:rFonts w:hAnsi="宋体"/>
          <w:snapToGrid w:val="0"/>
          <w:color w:val="auto"/>
          <w:highlight w:val="none"/>
        </w:rPr>
        <w:t>法定代表人</w:t>
      </w:r>
      <w:r>
        <w:rPr>
          <w:rFonts w:hint="eastAsia" w:hAnsi="宋体"/>
          <w:snapToGrid w:val="0"/>
          <w:color w:val="auto"/>
          <w:highlight w:val="none"/>
        </w:rPr>
        <w:t>或其委托代理人</w:t>
      </w:r>
      <w:r>
        <w:rPr>
          <w:rFonts w:hAnsi="宋体"/>
          <w:snapToGrid w:val="0"/>
          <w:color w:val="auto"/>
          <w:highlight w:val="none"/>
        </w:rPr>
        <w:t>（签字</w:t>
      </w:r>
      <w:r>
        <w:rPr>
          <w:rFonts w:hint="eastAsia" w:hAnsi="宋体"/>
          <w:snapToGrid w:val="0"/>
          <w:color w:val="auto"/>
          <w:highlight w:val="none"/>
        </w:rPr>
        <w:t>或</w:t>
      </w:r>
      <w:r>
        <w:rPr>
          <w:rFonts w:hAnsi="宋体"/>
          <w:snapToGrid w:val="0"/>
          <w:color w:val="auto"/>
          <w:highlight w:val="none"/>
        </w:rPr>
        <w:t>盖章）：</w:t>
      </w:r>
    </w:p>
    <w:p>
      <w:pPr>
        <w:pStyle w:val="379"/>
        <w:adjustRightInd w:val="0"/>
        <w:snapToGrid w:val="0"/>
        <w:spacing w:line="360" w:lineRule="auto"/>
        <w:rPr>
          <w:rFonts w:hAnsi="宋体"/>
          <w:color w:val="auto"/>
          <w:sz w:val="21"/>
          <w:highlight w:val="none"/>
        </w:rPr>
      </w:pPr>
      <w:r>
        <w:rPr>
          <w:rFonts w:hAnsi="宋体"/>
          <w:snapToGrid w:val="0"/>
          <w:color w:val="auto"/>
          <w:sz w:val="21"/>
          <w:highlight w:val="none"/>
        </w:rPr>
        <w:t>日期：</w:t>
      </w:r>
      <w:r>
        <w:rPr>
          <w:rFonts w:hint="eastAsia" w:hAnsi="宋体"/>
          <w:color w:val="auto"/>
          <w:sz w:val="21"/>
          <w:highlight w:val="none"/>
        </w:rPr>
        <w:t xml:space="preserve">      </w:t>
      </w:r>
      <w:r>
        <w:rPr>
          <w:rFonts w:hAnsi="宋体"/>
          <w:color w:val="auto"/>
          <w:sz w:val="21"/>
          <w:highlight w:val="none"/>
        </w:rPr>
        <w:t>年    月    日</w:t>
      </w:r>
    </w:p>
    <w:p>
      <w:pPr>
        <w:adjustRightInd w:val="0"/>
        <w:snapToGrid w:val="0"/>
        <w:spacing w:line="360" w:lineRule="auto"/>
        <w:jc w:val="left"/>
        <w:outlineLvl w:val="1"/>
        <w:rPr>
          <w:rFonts w:hAnsi="宋体"/>
          <w:b/>
          <w:bCs/>
          <w:color w:val="auto"/>
          <w:sz w:val="28"/>
          <w:szCs w:val="28"/>
          <w:highlight w:val="none"/>
        </w:rPr>
      </w:pPr>
      <w:r>
        <w:rPr>
          <w:rFonts w:hAnsi="宋体"/>
          <w:color w:val="auto"/>
          <w:sz w:val="24"/>
          <w:highlight w:val="none"/>
        </w:rPr>
        <w:br w:type="page"/>
      </w:r>
      <w:r>
        <w:rPr>
          <w:rFonts w:hint="eastAsia" w:hAnsi="宋体"/>
          <w:b/>
          <w:bCs/>
          <w:color w:val="auto"/>
          <w:sz w:val="28"/>
          <w:szCs w:val="28"/>
          <w:highlight w:val="none"/>
        </w:rPr>
        <w:t>第三部分、资信文件</w:t>
      </w:r>
    </w:p>
    <w:p>
      <w:pPr>
        <w:snapToGrid w:val="0"/>
        <w:spacing w:line="360" w:lineRule="auto"/>
        <w:jc w:val="center"/>
        <w:outlineLvl w:val="1"/>
        <w:rPr>
          <w:rFonts w:hAnsi="宋体"/>
          <w:b/>
          <w:bCs/>
          <w:color w:val="auto"/>
          <w:sz w:val="32"/>
          <w:szCs w:val="32"/>
          <w:highlight w:val="none"/>
        </w:rPr>
      </w:pPr>
      <w:r>
        <w:rPr>
          <w:rFonts w:hint="eastAsia" w:hAnsi="宋体"/>
          <w:b/>
          <w:bCs/>
          <w:color w:val="auto"/>
          <w:sz w:val="32"/>
          <w:szCs w:val="32"/>
          <w:highlight w:val="none"/>
        </w:rPr>
        <w:t>一、投标人基本情况表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379"/>
              <w:rPr>
                <w:rFonts w:hAnsi="宋体"/>
                <w:color w:val="auto"/>
                <w:sz w:val="21"/>
                <w:highlight w:val="none"/>
              </w:rPr>
            </w:pPr>
            <w:r>
              <w:rPr>
                <w:rFonts w:hAnsi="宋体"/>
                <w:color w:val="auto"/>
                <w:sz w:val="21"/>
                <w:highlight w:val="none"/>
              </w:rPr>
              <w:t>投标人名称</w:t>
            </w:r>
          </w:p>
        </w:tc>
        <w:tc>
          <w:tcPr>
            <w:tcW w:w="7370" w:type="dxa"/>
            <w:gridSpan w:val="7"/>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379"/>
              <w:rPr>
                <w:rFonts w:hAnsi="宋体"/>
                <w:b/>
                <w:color w:val="auto"/>
                <w:sz w:val="21"/>
                <w:highlight w:val="none"/>
              </w:rPr>
            </w:pPr>
            <w:r>
              <w:rPr>
                <w:rFonts w:hAnsi="宋体"/>
                <w:b/>
                <w:color w:val="auto"/>
                <w:sz w:val="21"/>
                <w:highlight w:val="none"/>
              </w:rPr>
              <w:t>营业执照</w:t>
            </w:r>
            <w:r>
              <w:rPr>
                <w:rFonts w:hint="eastAsia" w:hAnsi="宋体"/>
                <w:b/>
                <w:color w:val="auto"/>
                <w:sz w:val="21"/>
                <w:highlight w:val="none"/>
              </w:rPr>
              <w:t>（事业单位法人证书等）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379"/>
              <w:rPr>
                <w:rFonts w:hAnsi="宋体"/>
                <w:color w:val="auto"/>
                <w:sz w:val="21"/>
                <w:highlight w:val="none"/>
              </w:rPr>
            </w:pPr>
            <w:r>
              <w:rPr>
                <w:rFonts w:hint="eastAsia" w:hAnsi="宋体"/>
                <w:color w:val="auto"/>
                <w:sz w:val="21"/>
                <w:highlight w:val="none"/>
              </w:rPr>
              <w:t>统一社会信用代码</w:t>
            </w:r>
          </w:p>
        </w:tc>
        <w:tc>
          <w:tcPr>
            <w:tcW w:w="2697" w:type="dxa"/>
            <w:gridSpan w:val="3"/>
            <w:vAlign w:val="center"/>
          </w:tcPr>
          <w:p>
            <w:pPr>
              <w:pStyle w:val="379"/>
              <w:rPr>
                <w:rFonts w:hAnsi="宋体"/>
                <w:color w:val="auto"/>
                <w:sz w:val="21"/>
                <w:highlight w:val="none"/>
              </w:rPr>
            </w:pPr>
          </w:p>
        </w:tc>
        <w:tc>
          <w:tcPr>
            <w:tcW w:w="1803" w:type="dxa"/>
            <w:gridSpan w:val="2"/>
            <w:vAlign w:val="center"/>
          </w:tcPr>
          <w:p>
            <w:pPr>
              <w:pStyle w:val="379"/>
              <w:rPr>
                <w:rFonts w:hAnsi="宋体"/>
                <w:color w:val="auto"/>
                <w:sz w:val="21"/>
                <w:highlight w:val="none"/>
              </w:rPr>
            </w:pPr>
            <w:r>
              <w:rPr>
                <w:rFonts w:hAnsi="宋体"/>
                <w:color w:val="auto"/>
                <w:sz w:val="21"/>
                <w:highlight w:val="none"/>
              </w:rPr>
              <w:t>注册资</w:t>
            </w:r>
            <w:r>
              <w:rPr>
                <w:rFonts w:hint="eastAsia" w:hAnsi="宋体"/>
                <w:color w:val="auto"/>
                <w:sz w:val="21"/>
                <w:highlight w:val="none"/>
              </w:rPr>
              <w:t>本</w:t>
            </w:r>
          </w:p>
        </w:tc>
        <w:tc>
          <w:tcPr>
            <w:tcW w:w="2870" w:type="dxa"/>
            <w:gridSpan w:val="2"/>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379"/>
              <w:rPr>
                <w:rFonts w:hAnsi="宋体"/>
                <w:color w:val="auto"/>
                <w:sz w:val="21"/>
                <w:highlight w:val="none"/>
              </w:rPr>
            </w:pPr>
            <w:r>
              <w:rPr>
                <w:rFonts w:hAnsi="宋体"/>
                <w:color w:val="auto"/>
                <w:sz w:val="21"/>
                <w:highlight w:val="none"/>
              </w:rPr>
              <w:t>发照机关</w:t>
            </w:r>
          </w:p>
        </w:tc>
        <w:tc>
          <w:tcPr>
            <w:tcW w:w="2697" w:type="dxa"/>
            <w:gridSpan w:val="3"/>
            <w:vAlign w:val="center"/>
          </w:tcPr>
          <w:p>
            <w:pPr>
              <w:pStyle w:val="379"/>
              <w:rPr>
                <w:rFonts w:hAnsi="宋体"/>
                <w:color w:val="auto"/>
                <w:sz w:val="21"/>
                <w:highlight w:val="none"/>
              </w:rPr>
            </w:pPr>
          </w:p>
        </w:tc>
        <w:tc>
          <w:tcPr>
            <w:tcW w:w="1803" w:type="dxa"/>
            <w:gridSpan w:val="2"/>
            <w:vAlign w:val="center"/>
          </w:tcPr>
          <w:p>
            <w:pPr>
              <w:pStyle w:val="379"/>
              <w:rPr>
                <w:rFonts w:hAnsi="宋体"/>
                <w:color w:val="auto"/>
                <w:sz w:val="21"/>
                <w:highlight w:val="none"/>
              </w:rPr>
            </w:pPr>
            <w:r>
              <w:rPr>
                <w:rFonts w:hAnsi="宋体"/>
                <w:color w:val="auto"/>
                <w:sz w:val="21"/>
                <w:highlight w:val="none"/>
              </w:rPr>
              <w:t>注册地址</w:t>
            </w:r>
          </w:p>
        </w:tc>
        <w:tc>
          <w:tcPr>
            <w:tcW w:w="2870" w:type="dxa"/>
            <w:gridSpan w:val="2"/>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379"/>
              <w:rPr>
                <w:rFonts w:hAnsi="宋体"/>
                <w:color w:val="auto"/>
                <w:sz w:val="21"/>
                <w:highlight w:val="none"/>
              </w:rPr>
            </w:pPr>
            <w:r>
              <w:rPr>
                <w:rFonts w:hAnsi="宋体"/>
                <w:color w:val="auto"/>
                <w:sz w:val="21"/>
                <w:highlight w:val="none"/>
              </w:rPr>
              <w:t>成立时间</w:t>
            </w:r>
          </w:p>
        </w:tc>
        <w:tc>
          <w:tcPr>
            <w:tcW w:w="2697" w:type="dxa"/>
            <w:gridSpan w:val="3"/>
            <w:vAlign w:val="center"/>
          </w:tcPr>
          <w:p>
            <w:pPr>
              <w:pStyle w:val="379"/>
              <w:rPr>
                <w:rFonts w:hAnsi="宋体"/>
                <w:color w:val="auto"/>
                <w:sz w:val="21"/>
                <w:highlight w:val="none"/>
              </w:rPr>
            </w:pPr>
          </w:p>
        </w:tc>
        <w:tc>
          <w:tcPr>
            <w:tcW w:w="1803" w:type="dxa"/>
            <w:gridSpan w:val="2"/>
            <w:vAlign w:val="center"/>
          </w:tcPr>
          <w:p>
            <w:pPr>
              <w:pStyle w:val="379"/>
              <w:rPr>
                <w:rFonts w:hAnsi="宋体"/>
                <w:color w:val="auto"/>
                <w:sz w:val="21"/>
                <w:highlight w:val="none"/>
              </w:rPr>
            </w:pPr>
            <w:r>
              <w:rPr>
                <w:rFonts w:hint="eastAsia" w:hAnsi="宋体"/>
                <w:color w:val="auto"/>
                <w:sz w:val="21"/>
                <w:highlight w:val="none"/>
              </w:rPr>
              <w:t>单位</w:t>
            </w:r>
            <w:r>
              <w:rPr>
                <w:rFonts w:hAnsi="宋体"/>
                <w:color w:val="auto"/>
                <w:sz w:val="21"/>
                <w:highlight w:val="none"/>
              </w:rPr>
              <w:t>性质</w:t>
            </w:r>
          </w:p>
        </w:tc>
        <w:tc>
          <w:tcPr>
            <w:tcW w:w="2870" w:type="dxa"/>
            <w:gridSpan w:val="2"/>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379"/>
              <w:rPr>
                <w:rFonts w:hAnsi="宋体"/>
                <w:color w:val="auto"/>
                <w:sz w:val="21"/>
                <w:highlight w:val="none"/>
              </w:rPr>
            </w:pPr>
            <w:r>
              <w:rPr>
                <w:rFonts w:hAnsi="宋体"/>
                <w:color w:val="auto"/>
                <w:sz w:val="21"/>
                <w:highlight w:val="none"/>
              </w:rPr>
              <w:t>经营范围</w:t>
            </w:r>
          </w:p>
        </w:tc>
        <w:tc>
          <w:tcPr>
            <w:tcW w:w="7370" w:type="dxa"/>
            <w:gridSpan w:val="7"/>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379"/>
              <w:rPr>
                <w:rFonts w:hAnsi="宋体"/>
                <w:b/>
                <w:color w:val="auto"/>
                <w:sz w:val="21"/>
                <w:highlight w:val="none"/>
              </w:rPr>
            </w:pPr>
            <w:r>
              <w:rPr>
                <w:rFonts w:hint="eastAsia" w:hAnsi="宋体"/>
                <w:b/>
                <w:color w:val="auto"/>
                <w:sz w:val="21"/>
                <w:highlight w:val="none"/>
              </w:rPr>
              <w:t>单位</w:t>
            </w:r>
            <w:r>
              <w:rPr>
                <w:rFonts w:hAnsi="宋体"/>
                <w:b/>
                <w:color w:val="auto"/>
                <w:sz w:val="21"/>
                <w:highlight w:val="none"/>
              </w:rPr>
              <w:t>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379"/>
              <w:rPr>
                <w:rFonts w:hAnsi="宋体"/>
                <w:color w:val="auto"/>
                <w:sz w:val="21"/>
                <w:highlight w:val="none"/>
              </w:rPr>
            </w:pPr>
            <w:r>
              <w:rPr>
                <w:rFonts w:hint="eastAsia" w:hAnsi="宋体"/>
                <w:color w:val="auto"/>
                <w:sz w:val="21"/>
                <w:highlight w:val="none"/>
              </w:rPr>
              <w:t>单位</w:t>
            </w:r>
            <w:r>
              <w:rPr>
                <w:rFonts w:hAnsi="宋体"/>
                <w:color w:val="auto"/>
                <w:sz w:val="21"/>
                <w:highlight w:val="none"/>
              </w:rPr>
              <w:t>资质等级</w:t>
            </w:r>
          </w:p>
        </w:tc>
        <w:tc>
          <w:tcPr>
            <w:tcW w:w="2697" w:type="dxa"/>
            <w:gridSpan w:val="3"/>
            <w:vAlign w:val="center"/>
          </w:tcPr>
          <w:p>
            <w:pPr>
              <w:pStyle w:val="379"/>
              <w:rPr>
                <w:rFonts w:hAnsi="宋体"/>
                <w:color w:val="auto"/>
                <w:sz w:val="21"/>
                <w:highlight w:val="none"/>
              </w:rPr>
            </w:pPr>
          </w:p>
        </w:tc>
        <w:tc>
          <w:tcPr>
            <w:tcW w:w="1803" w:type="dxa"/>
            <w:gridSpan w:val="2"/>
            <w:vAlign w:val="center"/>
          </w:tcPr>
          <w:p>
            <w:pPr>
              <w:pStyle w:val="379"/>
              <w:rPr>
                <w:rFonts w:hAnsi="宋体"/>
                <w:color w:val="auto"/>
                <w:sz w:val="21"/>
                <w:highlight w:val="none"/>
              </w:rPr>
            </w:pPr>
            <w:r>
              <w:rPr>
                <w:rFonts w:hAnsi="宋体"/>
                <w:color w:val="auto"/>
                <w:sz w:val="21"/>
                <w:highlight w:val="none"/>
              </w:rPr>
              <w:t>证书编号</w:t>
            </w:r>
          </w:p>
        </w:tc>
        <w:tc>
          <w:tcPr>
            <w:tcW w:w="2870" w:type="dxa"/>
            <w:gridSpan w:val="2"/>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379"/>
              <w:rPr>
                <w:rFonts w:hAnsi="宋体"/>
                <w:color w:val="auto"/>
                <w:sz w:val="21"/>
                <w:highlight w:val="none"/>
              </w:rPr>
            </w:pPr>
            <w:r>
              <w:rPr>
                <w:rFonts w:hAnsi="宋体"/>
                <w:color w:val="auto"/>
                <w:sz w:val="21"/>
                <w:highlight w:val="none"/>
              </w:rPr>
              <w:t>发证机关</w:t>
            </w:r>
          </w:p>
        </w:tc>
        <w:tc>
          <w:tcPr>
            <w:tcW w:w="2697" w:type="dxa"/>
            <w:gridSpan w:val="3"/>
            <w:vAlign w:val="center"/>
          </w:tcPr>
          <w:p>
            <w:pPr>
              <w:pStyle w:val="379"/>
              <w:rPr>
                <w:rFonts w:hAnsi="宋体"/>
                <w:color w:val="auto"/>
                <w:sz w:val="21"/>
                <w:highlight w:val="none"/>
              </w:rPr>
            </w:pPr>
          </w:p>
        </w:tc>
        <w:tc>
          <w:tcPr>
            <w:tcW w:w="1803" w:type="dxa"/>
            <w:gridSpan w:val="2"/>
            <w:vAlign w:val="center"/>
          </w:tcPr>
          <w:p>
            <w:pPr>
              <w:pStyle w:val="379"/>
              <w:rPr>
                <w:rFonts w:hAnsi="宋体"/>
                <w:color w:val="auto"/>
                <w:sz w:val="21"/>
                <w:highlight w:val="none"/>
              </w:rPr>
            </w:pPr>
            <w:r>
              <w:rPr>
                <w:rFonts w:hAnsi="宋体"/>
                <w:color w:val="auto"/>
                <w:sz w:val="21"/>
                <w:highlight w:val="none"/>
              </w:rPr>
              <w:t>业务范围</w:t>
            </w:r>
          </w:p>
        </w:tc>
        <w:tc>
          <w:tcPr>
            <w:tcW w:w="2870" w:type="dxa"/>
            <w:gridSpan w:val="2"/>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379"/>
              <w:rPr>
                <w:rFonts w:hAnsi="宋体"/>
                <w:b/>
                <w:color w:val="auto"/>
                <w:sz w:val="21"/>
                <w:highlight w:val="none"/>
              </w:rPr>
            </w:pPr>
            <w:r>
              <w:rPr>
                <w:rFonts w:hAnsi="宋体"/>
                <w:b/>
                <w:color w:val="auto"/>
                <w:sz w:val="21"/>
                <w:highlight w:val="none"/>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379"/>
              <w:rPr>
                <w:rFonts w:hAnsi="宋体"/>
                <w:color w:val="auto"/>
                <w:sz w:val="21"/>
                <w:highlight w:val="none"/>
              </w:rPr>
            </w:pPr>
          </w:p>
        </w:tc>
        <w:tc>
          <w:tcPr>
            <w:tcW w:w="1914" w:type="dxa"/>
            <w:gridSpan w:val="3"/>
            <w:vAlign w:val="center"/>
          </w:tcPr>
          <w:p>
            <w:pPr>
              <w:pStyle w:val="379"/>
              <w:rPr>
                <w:rFonts w:hAnsi="宋体"/>
                <w:color w:val="auto"/>
                <w:sz w:val="21"/>
                <w:highlight w:val="none"/>
              </w:rPr>
            </w:pPr>
            <w:r>
              <w:rPr>
                <w:rFonts w:hAnsi="宋体"/>
                <w:color w:val="auto"/>
                <w:sz w:val="21"/>
                <w:highlight w:val="none"/>
              </w:rPr>
              <w:t>姓名</w:t>
            </w:r>
          </w:p>
        </w:tc>
        <w:tc>
          <w:tcPr>
            <w:tcW w:w="1914" w:type="dxa"/>
            <w:gridSpan w:val="2"/>
            <w:vAlign w:val="center"/>
          </w:tcPr>
          <w:p>
            <w:pPr>
              <w:pStyle w:val="379"/>
              <w:rPr>
                <w:rFonts w:hAnsi="宋体"/>
                <w:color w:val="auto"/>
                <w:sz w:val="21"/>
                <w:highlight w:val="none"/>
              </w:rPr>
            </w:pPr>
            <w:r>
              <w:rPr>
                <w:rFonts w:hAnsi="宋体"/>
                <w:color w:val="auto"/>
                <w:sz w:val="21"/>
                <w:highlight w:val="none"/>
              </w:rPr>
              <w:t>职务</w:t>
            </w:r>
          </w:p>
        </w:tc>
        <w:tc>
          <w:tcPr>
            <w:tcW w:w="1914" w:type="dxa"/>
            <w:gridSpan w:val="2"/>
            <w:vAlign w:val="center"/>
          </w:tcPr>
          <w:p>
            <w:pPr>
              <w:pStyle w:val="379"/>
              <w:rPr>
                <w:rFonts w:hAnsi="宋体"/>
                <w:color w:val="auto"/>
                <w:sz w:val="21"/>
                <w:highlight w:val="none"/>
              </w:rPr>
            </w:pPr>
            <w:r>
              <w:rPr>
                <w:rFonts w:hAnsi="宋体"/>
                <w:color w:val="auto"/>
                <w:sz w:val="21"/>
                <w:highlight w:val="none"/>
              </w:rPr>
              <w:t>职称</w:t>
            </w:r>
          </w:p>
        </w:tc>
        <w:tc>
          <w:tcPr>
            <w:tcW w:w="1802" w:type="dxa"/>
            <w:vAlign w:val="center"/>
          </w:tcPr>
          <w:p>
            <w:pPr>
              <w:pStyle w:val="379"/>
              <w:rPr>
                <w:rFonts w:hAnsi="宋体"/>
                <w:color w:val="auto"/>
                <w:sz w:val="21"/>
                <w:highlight w:val="none"/>
              </w:rPr>
            </w:pPr>
            <w:r>
              <w:rPr>
                <w:rFonts w:hAnsi="宋体"/>
                <w:color w:val="auto"/>
                <w:sz w:val="21"/>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379"/>
              <w:rPr>
                <w:rFonts w:hAnsi="宋体"/>
                <w:color w:val="auto"/>
                <w:sz w:val="21"/>
                <w:highlight w:val="none"/>
              </w:rPr>
            </w:pPr>
            <w:r>
              <w:rPr>
                <w:rFonts w:hAnsi="宋体"/>
                <w:color w:val="auto"/>
                <w:sz w:val="21"/>
                <w:highlight w:val="none"/>
              </w:rPr>
              <w:t>法定代表人</w:t>
            </w:r>
          </w:p>
        </w:tc>
        <w:tc>
          <w:tcPr>
            <w:tcW w:w="1914" w:type="dxa"/>
            <w:gridSpan w:val="3"/>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802" w:type="dxa"/>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379"/>
              <w:rPr>
                <w:rFonts w:hAnsi="宋体"/>
                <w:color w:val="auto"/>
                <w:sz w:val="21"/>
                <w:highlight w:val="none"/>
              </w:rPr>
            </w:pPr>
            <w:r>
              <w:rPr>
                <w:rFonts w:hint="eastAsia" w:hAnsi="宋体"/>
                <w:color w:val="auto"/>
                <w:sz w:val="21"/>
                <w:highlight w:val="none"/>
              </w:rPr>
              <w:t>单位</w:t>
            </w:r>
            <w:r>
              <w:rPr>
                <w:rFonts w:hAnsi="宋体"/>
                <w:color w:val="auto"/>
                <w:sz w:val="21"/>
                <w:highlight w:val="none"/>
              </w:rPr>
              <w:t>负责人</w:t>
            </w:r>
          </w:p>
        </w:tc>
        <w:tc>
          <w:tcPr>
            <w:tcW w:w="1914" w:type="dxa"/>
            <w:gridSpan w:val="3"/>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802" w:type="dxa"/>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379"/>
              <w:rPr>
                <w:rFonts w:hAnsi="宋体"/>
                <w:color w:val="auto"/>
                <w:sz w:val="21"/>
                <w:highlight w:val="none"/>
              </w:rPr>
            </w:pPr>
          </w:p>
        </w:tc>
        <w:tc>
          <w:tcPr>
            <w:tcW w:w="1914" w:type="dxa"/>
            <w:gridSpan w:val="3"/>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802" w:type="dxa"/>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379"/>
              <w:rPr>
                <w:rFonts w:hAnsi="宋体"/>
                <w:color w:val="auto"/>
                <w:sz w:val="21"/>
                <w:highlight w:val="none"/>
              </w:rPr>
            </w:pPr>
          </w:p>
        </w:tc>
        <w:tc>
          <w:tcPr>
            <w:tcW w:w="1914" w:type="dxa"/>
            <w:gridSpan w:val="3"/>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802" w:type="dxa"/>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379"/>
              <w:rPr>
                <w:rFonts w:hAnsi="宋体"/>
                <w:color w:val="auto"/>
                <w:sz w:val="21"/>
                <w:highlight w:val="none"/>
              </w:rPr>
            </w:pPr>
          </w:p>
        </w:tc>
        <w:tc>
          <w:tcPr>
            <w:tcW w:w="1914" w:type="dxa"/>
            <w:gridSpan w:val="3"/>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802" w:type="dxa"/>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379"/>
              <w:rPr>
                <w:rFonts w:hAnsi="宋体"/>
                <w:b/>
                <w:color w:val="auto"/>
                <w:sz w:val="21"/>
                <w:highlight w:val="none"/>
              </w:rPr>
            </w:pPr>
            <w:r>
              <w:rPr>
                <w:rFonts w:hAnsi="宋体"/>
                <w:b/>
                <w:color w:val="auto"/>
                <w:sz w:val="21"/>
                <w:highlight w:val="none"/>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379"/>
              <w:rPr>
                <w:rFonts w:hAnsi="宋体"/>
                <w:color w:val="auto"/>
                <w:sz w:val="21"/>
                <w:highlight w:val="none"/>
              </w:rPr>
            </w:pPr>
            <w:r>
              <w:rPr>
                <w:rFonts w:hAnsi="宋体"/>
                <w:color w:val="auto"/>
                <w:sz w:val="21"/>
                <w:highlight w:val="none"/>
              </w:rPr>
              <w:t>人员总数</w:t>
            </w:r>
          </w:p>
        </w:tc>
        <w:tc>
          <w:tcPr>
            <w:tcW w:w="1914" w:type="dxa"/>
            <w:gridSpan w:val="3"/>
            <w:vAlign w:val="center"/>
          </w:tcPr>
          <w:p>
            <w:pPr>
              <w:pStyle w:val="379"/>
              <w:rPr>
                <w:rFonts w:hAnsi="宋体"/>
                <w:color w:val="auto"/>
                <w:sz w:val="21"/>
                <w:highlight w:val="none"/>
              </w:rPr>
            </w:pPr>
            <w:r>
              <w:rPr>
                <w:rFonts w:hint="eastAsia" w:hAnsi="宋体"/>
                <w:color w:val="auto"/>
                <w:sz w:val="21"/>
                <w:highlight w:val="none"/>
              </w:rPr>
              <w:t>高级职称</w:t>
            </w:r>
          </w:p>
        </w:tc>
        <w:tc>
          <w:tcPr>
            <w:tcW w:w="1914" w:type="dxa"/>
            <w:gridSpan w:val="2"/>
            <w:vAlign w:val="center"/>
          </w:tcPr>
          <w:p>
            <w:pPr>
              <w:pStyle w:val="379"/>
              <w:rPr>
                <w:rFonts w:hAnsi="宋体"/>
                <w:color w:val="auto"/>
                <w:sz w:val="21"/>
                <w:highlight w:val="none"/>
              </w:rPr>
            </w:pPr>
            <w:r>
              <w:rPr>
                <w:rFonts w:hint="eastAsia" w:hAnsi="宋体"/>
                <w:color w:val="auto"/>
                <w:sz w:val="21"/>
                <w:highlight w:val="none"/>
              </w:rPr>
              <w:t>中级职称</w:t>
            </w:r>
          </w:p>
        </w:tc>
        <w:tc>
          <w:tcPr>
            <w:tcW w:w="1914" w:type="dxa"/>
            <w:gridSpan w:val="2"/>
            <w:vAlign w:val="center"/>
          </w:tcPr>
          <w:p>
            <w:pPr>
              <w:pStyle w:val="379"/>
              <w:rPr>
                <w:rFonts w:hAnsi="宋体"/>
                <w:color w:val="auto"/>
                <w:sz w:val="21"/>
                <w:highlight w:val="none"/>
              </w:rPr>
            </w:pPr>
            <w:r>
              <w:rPr>
                <w:rFonts w:hint="eastAsia" w:hAnsi="宋体"/>
                <w:color w:val="auto"/>
                <w:sz w:val="21"/>
                <w:highlight w:val="none"/>
              </w:rPr>
              <w:t>初级职称</w:t>
            </w:r>
          </w:p>
        </w:tc>
        <w:tc>
          <w:tcPr>
            <w:tcW w:w="1802" w:type="dxa"/>
            <w:vAlign w:val="center"/>
          </w:tcPr>
          <w:p>
            <w:pPr>
              <w:pStyle w:val="379"/>
              <w:rPr>
                <w:rFonts w:hAnsi="宋体"/>
                <w:color w:val="auto"/>
                <w:sz w:val="21"/>
                <w:highlight w:val="none"/>
              </w:rPr>
            </w:pPr>
            <w:r>
              <w:rPr>
                <w:rFonts w:hAnsi="宋体"/>
                <w:color w:val="auto"/>
                <w:sz w:val="21"/>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914" w:type="dxa"/>
            <w:tcBorders>
              <w:bottom w:val="single" w:color="auto" w:sz="4" w:space="0"/>
            </w:tcBorders>
            <w:vAlign w:val="center"/>
          </w:tcPr>
          <w:p>
            <w:pPr>
              <w:pStyle w:val="379"/>
              <w:rPr>
                <w:rFonts w:hAnsi="宋体"/>
                <w:color w:val="auto"/>
                <w:sz w:val="21"/>
                <w:highlight w:val="none"/>
              </w:rPr>
            </w:pPr>
          </w:p>
        </w:tc>
        <w:tc>
          <w:tcPr>
            <w:tcW w:w="1914" w:type="dxa"/>
            <w:gridSpan w:val="3"/>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802" w:type="dxa"/>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379"/>
              <w:rPr>
                <w:rFonts w:hAnsi="宋体"/>
                <w:b/>
                <w:color w:val="auto"/>
                <w:sz w:val="21"/>
                <w:highlight w:val="none"/>
              </w:rPr>
            </w:pPr>
            <w:r>
              <w:rPr>
                <w:rFonts w:hAnsi="宋体"/>
                <w:b/>
                <w:color w:val="auto"/>
                <w:sz w:val="21"/>
                <w:highlight w:val="none"/>
              </w:rPr>
              <w:t>近5年营业额情况（万元）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379"/>
              <w:rPr>
                <w:rFonts w:hAnsi="宋体"/>
                <w:color w:val="auto"/>
                <w:sz w:val="21"/>
                <w:highlight w:val="none"/>
              </w:rPr>
            </w:pPr>
            <w:r>
              <w:rPr>
                <w:rFonts w:hint="eastAsia" w:hAnsi="宋体"/>
                <w:color w:val="auto"/>
                <w:sz w:val="21"/>
                <w:highlight w:val="none"/>
              </w:rPr>
              <w:t xml:space="preserve">20  </w:t>
            </w:r>
            <w:r>
              <w:rPr>
                <w:rFonts w:hAnsi="宋体"/>
                <w:color w:val="auto"/>
                <w:sz w:val="21"/>
                <w:highlight w:val="none"/>
              </w:rPr>
              <w:t>年</w:t>
            </w:r>
          </w:p>
        </w:tc>
        <w:tc>
          <w:tcPr>
            <w:tcW w:w="1660" w:type="dxa"/>
            <w:vAlign w:val="center"/>
          </w:tcPr>
          <w:p>
            <w:pPr>
              <w:pStyle w:val="379"/>
              <w:rPr>
                <w:rFonts w:hAnsi="宋体"/>
                <w:color w:val="auto"/>
                <w:sz w:val="21"/>
                <w:highlight w:val="none"/>
              </w:rPr>
            </w:pPr>
            <w:r>
              <w:rPr>
                <w:rFonts w:hint="eastAsia" w:hAnsi="宋体"/>
                <w:color w:val="auto"/>
                <w:sz w:val="21"/>
                <w:highlight w:val="none"/>
              </w:rPr>
              <w:t xml:space="preserve">20  </w:t>
            </w:r>
            <w:r>
              <w:rPr>
                <w:rFonts w:hAnsi="宋体"/>
                <w:color w:val="auto"/>
                <w:sz w:val="21"/>
                <w:highlight w:val="none"/>
              </w:rPr>
              <w:t>年</w:t>
            </w:r>
          </w:p>
        </w:tc>
        <w:tc>
          <w:tcPr>
            <w:tcW w:w="1914" w:type="dxa"/>
            <w:gridSpan w:val="2"/>
            <w:vAlign w:val="center"/>
          </w:tcPr>
          <w:p>
            <w:pPr>
              <w:pStyle w:val="379"/>
              <w:rPr>
                <w:rFonts w:hAnsi="宋体"/>
                <w:color w:val="auto"/>
                <w:sz w:val="21"/>
                <w:highlight w:val="none"/>
              </w:rPr>
            </w:pPr>
            <w:r>
              <w:rPr>
                <w:rFonts w:hint="eastAsia" w:hAnsi="宋体"/>
                <w:color w:val="auto"/>
                <w:sz w:val="21"/>
                <w:highlight w:val="none"/>
              </w:rPr>
              <w:t xml:space="preserve">20  </w:t>
            </w:r>
            <w:r>
              <w:rPr>
                <w:rFonts w:hAnsi="宋体"/>
                <w:color w:val="auto"/>
                <w:sz w:val="21"/>
                <w:highlight w:val="none"/>
              </w:rPr>
              <w:t>年</w:t>
            </w:r>
          </w:p>
        </w:tc>
        <w:tc>
          <w:tcPr>
            <w:tcW w:w="1914" w:type="dxa"/>
            <w:gridSpan w:val="2"/>
            <w:vAlign w:val="center"/>
          </w:tcPr>
          <w:p>
            <w:pPr>
              <w:pStyle w:val="379"/>
              <w:rPr>
                <w:rFonts w:hAnsi="宋体"/>
                <w:color w:val="auto"/>
                <w:sz w:val="21"/>
                <w:highlight w:val="none"/>
              </w:rPr>
            </w:pPr>
            <w:r>
              <w:rPr>
                <w:rFonts w:hint="eastAsia" w:hAnsi="宋体"/>
                <w:color w:val="auto"/>
                <w:sz w:val="21"/>
                <w:highlight w:val="none"/>
              </w:rPr>
              <w:t xml:space="preserve">20  </w:t>
            </w:r>
            <w:r>
              <w:rPr>
                <w:rFonts w:hAnsi="宋体"/>
                <w:color w:val="auto"/>
                <w:sz w:val="21"/>
                <w:highlight w:val="none"/>
              </w:rPr>
              <w:t>年</w:t>
            </w:r>
          </w:p>
        </w:tc>
        <w:tc>
          <w:tcPr>
            <w:tcW w:w="1802" w:type="dxa"/>
            <w:vAlign w:val="center"/>
          </w:tcPr>
          <w:p>
            <w:pPr>
              <w:pStyle w:val="379"/>
              <w:rPr>
                <w:rFonts w:hAnsi="宋体"/>
                <w:color w:val="auto"/>
                <w:sz w:val="21"/>
                <w:highlight w:val="none"/>
              </w:rPr>
            </w:pPr>
            <w:r>
              <w:rPr>
                <w:rFonts w:hint="eastAsia" w:hAnsi="宋体"/>
                <w:color w:val="auto"/>
                <w:sz w:val="21"/>
                <w:highlight w:val="none"/>
              </w:rPr>
              <w:t xml:space="preserve">20  </w:t>
            </w:r>
            <w:r>
              <w:rPr>
                <w:rFonts w:hAnsi="宋体"/>
                <w:color w:val="auto"/>
                <w:sz w:val="21"/>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379"/>
              <w:rPr>
                <w:rFonts w:hAnsi="宋体"/>
                <w:color w:val="auto"/>
                <w:sz w:val="21"/>
                <w:highlight w:val="none"/>
              </w:rPr>
            </w:pPr>
          </w:p>
        </w:tc>
        <w:tc>
          <w:tcPr>
            <w:tcW w:w="1660" w:type="dxa"/>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802" w:type="dxa"/>
            <w:vAlign w:val="center"/>
          </w:tcPr>
          <w:p>
            <w:pPr>
              <w:pStyle w:val="379"/>
              <w:rPr>
                <w:rFonts w:hAnsi="宋体"/>
                <w:color w:val="auto"/>
                <w:sz w:val="21"/>
                <w:highlight w:val="none"/>
              </w:rPr>
            </w:pPr>
          </w:p>
        </w:tc>
      </w:tr>
    </w:tbl>
    <w:p>
      <w:pPr>
        <w:pStyle w:val="379"/>
        <w:snapToGrid w:val="0"/>
        <w:spacing w:line="360" w:lineRule="auto"/>
        <w:rPr>
          <w:rFonts w:hAnsi="宋体"/>
          <w:color w:val="auto"/>
          <w:sz w:val="21"/>
          <w:highlight w:val="none"/>
        </w:rPr>
      </w:pPr>
      <w:r>
        <w:rPr>
          <w:rFonts w:hint="eastAsia" w:hAnsi="宋体"/>
          <w:color w:val="auto"/>
          <w:sz w:val="21"/>
          <w:highlight w:val="none"/>
        </w:rPr>
        <w:t>注：</w:t>
      </w:r>
      <w:r>
        <w:rPr>
          <w:rFonts w:hAnsi="宋体"/>
          <w:color w:val="auto"/>
          <w:sz w:val="21"/>
          <w:highlight w:val="none"/>
        </w:rPr>
        <w:t>本表后应附</w:t>
      </w:r>
      <w:r>
        <w:rPr>
          <w:rFonts w:hint="eastAsia" w:hAnsi="宋体"/>
          <w:color w:val="auto"/>
          <w:sz w:val="21"/>
          <w:highlight w:val="none"/>
        </w:rPr>
        <w:t>相关证明</w:t>
      </w:r>
      <w:r>
        <w:rPr>
          <w:rFonts w:hAnsi="宋体"/>
          <w:color w:val="auto"/>
          <w:sz w:val="21"/>
          <w:highlight w:val="none"/>
        </w:rPr>
        <w:t>材料的复印件并加盖公章。</w:t>
      </w:r>
    </w:p>
    <w:p>
      <w:pPr>
        <w:pStyle w:val="379"/>
        <w:snapToGrid w:val="0"/>
        <w:spacing w:line="360" w:lineRule="auto"/>
        <w:rPr>
          <w:rFonts w:hAnsi="宋体"/>
          <w:snapToGrid w:val="0"/>
          <w:color w:val="auto"/>
          <w:sz w:val="21"/>
          <w:highlight w:val="none"/>
        </w:rPr>
      </w:pPr>
    </w:p>
    <w:p>
      <w:pPr>
        <w:pStyle w:val="379"/>
        <w:snapToGrid w:val="0"/>
        <w:spacing w:line="360" w:lineRule="auto"/>
        <w:rPr>
          <w:rFonts w:hAnsi="宋体"/>
          <w:snapToGrid w:val="0"/>
          <w:color w:val="auto"/>
          <w:sz w:val="21"/>
          <w:highlight w:val="none"/>
        </w:rPr>
      </w:pPr>
      <w:r>
        <w:rPr>
          <w:rFonts w:hAnsi="宋体"/>
          <w:snapToGrid w:val="0"/>
          <w:color w:val="auto"/>
          <w:sz w:val="21"/>
          <w:highlight w:val="none"/>
        </w:rPr>
        <w:t>投标人（盖</w:t>
      </w:r>
      <w:r>
        <w:rPr>
          <w:rFonts w:hint="eastAsia" w:hAnsi="宋体"/>
          <w:snapToGrid w:val="0"/>
          <w:color w:val="auto"/>
          <w:sz w:val="21"/>
          <w:highlight w:val="none"/>
        </w:rPr>
        <w:t>公</w:t>
      </w:r>
      <w:r>
        <w:rPr>
          <w:rFonts w:hAnsi="宋体"/>
          <w:snapToGrid w:val="0"/>
          <w:color w:val="auto"/>
          <w:sz w:val="21"/>
          <w:highlight w:val="none"/>
        </w:rPr>
        <w:t>章）：</w:t>
      </w:r>
    </w:p>
    <w:p>
      <w:pPr>
        <w:pStyle w:val="379"/>
        <w:snapToGrid w:val="0"/>
        <w:spacing w:line="360" w:lineRule="auto"/>
        <w:rPr>
          <w:rFonts w:hAnsi="宋体"/>
          <w:snapToGrid w:val="0"/>
          <w:color w:val="auto"/>
          <w:sz w:val="21"/>
          <w:highlight w:val="none"/>
        </w:rPr>
      </w:pPr>
      <w:r>
        <w:rPr>
          <w:rFonts w:hAnsi="宋体"/>
          <w:snapToGrid w:val="0"/>
          <w:color w:val="auto"/>
          <w:sz w:val="21"/>
          <w:highlight w:val="none"/>
        </w:rPr>
        <w:t>法定代表人</w:t>
      </w:r>
      <w:r>
        <w:rPr>
          <w:rFonts w:hint="eastAsia" w:hAnsi="宋体"/>
          <w:snapToGrid w:val="0"/>
          <w:color w:val="auto"/>
          <w:sz w:val="21"/>
          <w:highlight w:val="none"/>
        </w:rPr>
        <w:t>或其委托代理人</w:t>
      </w:r>
      <w:r>
        <w:rPr>
          <w:rFonts w:hAnsi="宋体"/>
          <w:snapToGrid w:val="0"/>
          <w:color w:val="auto"/>
          <w:sz w:val="21"/>
          <w:highlight w:val="none"/>
        </w:rPr>
        <w:t>（签字</w:t>
      </w:r>
      <w:r>
        <w:rPr>
          <w:rFonts w:hint="eastAsia" w:hAnsi="宋体"/>
          <w:snapToGrid w:val="0"/>
          <w:color w:val="auto"/>
          <w:sz w:val="21"/>
          <w:highlight w:val="none"/>
        </w:rPr>
        <w:t>或</w:t>
      </w:r>
      <w:r>
        <w:rPr>
          <w:rFonts w:hAnsi="宋体"/>
          <w:snapToGrid w:val="0"/>
          <w:color w:val="auto"/>
          <w:sz w:val="21"/>
          <w:highlight w:val="none"/>
        </w:rPr>
        <w:t>盖章）：</w:t>
      </w:r>
    </w:p>
    <w:p>
      <w:pPr>
        <w:pStyle w:val="379"/>
        <w:snapToGrid w:val="0"/>
        <w:spacing w:line="360" w:lineRule="auto"/>
        <w:rPr>
          <w:rFonts w:hAnsi="宋体"/>
          <w:color w:val="auto"/>
          <w:sz w:val="21"/>
          <w:highlight w:val="none"/>
        </w:rPr>
      </w:pPr>
      <w:r>
        <w:rPr>
          <w:rFonts w:hAnsi="宋体"/>
          <w:snapToGrid w:val="0"/>
          <w:color w:val="auto"/>
          <w:sz w:val="21"/>
          <w:highlight w:val="none"/>
        </w:rPr>
        <w:t>日期：</w:t>
      </w:r>
      <w:r>
        <w:rPr>
          <w:rFonts w:hint="eastAsia" w:hAnsi="宋体"/>
          <w:color w:val="auto"/>
          <w:sz w:val="21"/>
          <w:highlight w:val="none"/>
        </w:rPr>
        <w:t xml:space="preserve">      </w:t>
      </w:r>
      <w:r>
        <w:rPr>
          <w:rFonts w:hAnsi="宋体"/>
          <w:color w:val="auto"/>
          <w:sz w:val="21"/>
          <w:highlight w:val="none"/>
        </w:rPr>
        <w:t>年    月    日</w:t>
      </w:r>
    </w:p>
    <w:p>
      <w:pPr>
        <w:snapToGrid w:val="0"/>
        <w:spacing w:before="120" w:beforeLines="50" w:line="360" w:lineRule="auto"/>
        <w:jc w:val="left"/>
        <w:rPr>
          <w:rFonts w:hAnsi="宋体" w:cs="宋体"/>
          <w:color w:val="auto"/>
          <w:highlight w:val="none"/>
        </w:rPr>
      </w:pPr>
    </w:p>
    <w:p>
      <w:pPr>
        <w:spacing w:before="32"/>
        <w:jc w:val="left"/>
        <w:rPr>
          <w:rFonts w:ascii="黑体" w:eastAsia="黑体"/>
          <w:b/>
          <w:color w:val="auto"/>
          <w:sz w:val="32"/>
          <w:highlight w:val="none"/>
        </w:rPr>
      </w:pPr>
    </w:p>
    <w:p>
      <w:pPr>
        <w:outlineLvl w:val="9"/>
        <w:rPr>
          <w:color w:val="auto"/>
          <w:highlight w:val="none"/>
        </w:rPr>
      </w:pPr>
    </w:p>
    <w:p>
      <w:pPr>
        <w:spacing w:before="32"/>
        <w:ind w:left="2835"/>
        <w:jc w:val="left"/>
        <w:outlineLvl w:val="1"/>
        <w:rPr>
          <w:rFonts w:ascii="黑体" w:eastAsia="黑体"/>
          <w:b/>
          <w:color w:val="auto"/>
          <w:sz w:val="32"/>
          <w:highlight w:val="none"/>
        </w:rPr>
      </w:pPr>
      <w:r>
        <w:rPr>
          <w:rFonts w:ascii="黑体" w:eastAsia="黑体"/>
          <w:b/>
          <w:color w:val="auto"/>
          <w:sz w:val="32"/>
          <w:highlight w:val="none"/>
        </w:rPr>
        <mc:AlternateContent>
          <mc:Choice Requires="wps">
            <w:drawing>
              <wp:anchor distT="0" distB="0" distL="114300" distR="114300" simplePos="0" relativeHeight="251664384" behindDoc="0" locked="0" layoutInCell="1" allowOverlap="1">
                <wp:simplePos x="0" y="0"/>
                <wp:positionH relativeFrom="page">
                  <wp:posOffset>1077595</wp:posOffset>
                </wp:positionH>
                <wp:positionV relativeFrom="paragraph">
                  <wp:posOffset>356870</wp:posOffset>
                </wp:positionV>
                <wp:extent cx="5411470" cy="39008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411470" cy="3900805"/>
                        </a:xfrm>
                        <a:prstGeom prst="rect">
                          <a:avLst/>
                        </a:prstGeom>
                        <a:noFill/>
                        <a:ln>
                          <a:noFill/>
                        </a:ln>
                      </wps:spPr>
                      <wps:txbx>
                        <w:txbxContent>
                          <w:tbl>
                            <w:tblPr>
                              <w:tblStyle w:val="8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3685"/>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1661" w:type="dxa"/>
                                  <w:vAlign w:val="center"/>
                                </w:tcPr>
                                <w:p>
                                  <w:pPr>
                                    <w:pStyle w:val="375"/>
                                    <w:jc w:val="center"/>
                                    <w:rPr>
                                      <w:sz w:val="28"/>
                                    </w:rPr>
                                  </w:pPr>
                                  <w:r>
                                    <w:rPr>
                                      <w:sz w:val="28"/>
                                    </w:rPr>
                                    <w:t>序号</w:t>
                                  </w:r>
                                </w:p>
                              </w:tc>
                              <w:tc>
                                <w:tcPr>
                                  <w:tcW w:w="3685" w:type="dxa"/>
                                  <w:vAlign w:val="center"/>
                                </w:tcPr>
                                <w:p>
                                  <w:pPr>
                                    <w:pStyle w:val="375"/>
                                    <w:ind w:right="1530"/>
                                    <w:jc w:val="center"/>
                                    <w:rPr>
                                      <w:sz w:val="28"/>
                                    </w:rPr>
                                  </w:pPr>
                                  <w:r>
                                    <w:rPr>
                                      <w:rFonts w:hint="eastAsia"/>
                                      <w:sz w:val="28"/>
                                      <w:lang w:eastAsia="zh-CN"/>
                                    </w:rPr>
                                    <w:t xml:space="preserve">           </w:t>
                                  </w:r>
                                  <w:r>
                                    <w:rPr>
                                      <w:sz w:val="28"/>
                                    </w:rPr>
                                    <w:t>股东</w:t>
                                  </w:r>
                                </w:p>
                              </w:tc>
                              <w:tc>
                                <w:tcPr>
                                  <w:tcW w:w="3161" w:type="dxa"/>
                                  <w:vAlign w:val="center"/>
                                </w:tcPr>
                                <w:p>
                                  <w:pPr>
                                    <w:pStyle w:val="375"/>
                                    <w:spacing w:line="340" w:lineRule="exact"/>
                                    <w:jc w:val="center"/>
                                    <w:rPr>
                                      <w:sz w:val="28"/>
                                    </w:rPr>
                                  </w:pPr>
                                  <w:r>
                                    <w:rPr>
                                      <w:sz w:val="28"/>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vAlign w:val="center"/>
                                </w:tcPr>
                                <w:p>
                                  <w:pPr>
                                    <w:pStyle w:val="375"/>
                                    <w:jc w:val="center"/>
                                    <w:rPr>
                                      <w:rFonts w:ascii="黑体"/>
                                      <w:b/>
                                      <w:sz w:val="24"/>
                                    </w:rPr>
                                  </w:pPr>
                                </w:p>
                                <w:p>
                                  <w:pPr>
                                    <w:pStyle w:val="375"/>
                                    <w:spacing w:before="183"/>
                                    <w:ind w:left="642"/>
                                    <w:jc w:val="center"/>
                                    <w:rPr>
                                      <w:b/>
                                      <w:sz w:val="24"/>
                                    </w:rPr>
                                  </w:pPr>
                                  <w:r>
                                    <w:rPr>
                                      <w:b/>
                                      <w:sz w:val="24"/>
                                    </w:rPr>
                                    <w:t>……</w:t>
                                  </w: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bl>
                          <w:p>
                            <w:pPr>
                              <w:pStyle w:val="33"/>
                            </w:pPr>
                          </w:p>
                        </w:txbxContent>
                      </wps:txbx>
                      <wps:bodyPr lIns="0" tIns="0" rIns="0" bIns="0" upright="1"/>
                    </wps:wsp>
                  </a:graphicData>
                </a:graphic>
              </wp:anchor>
            </w:drawing>
          </mc:Choice>
          <mc:Fallback>
            <w:pict>
              <v:shape id="_x0000_s1026" o:spid="_x0000_s1026" o:spt="202" type="#_x0000_t202" style="position:absolute;left:0pt;margin-left:84.85pt;margin-top:28.1pt;height:307.15pt;width:426.1pt;mso-position-horizontal-relative:page;z-index:251664384;mso-width-relative:page;mso-height-relative:page;" filled="f" stroked="f" coordsize="21600,21600" o:gfxdata="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hPpQfZAAAACwEAAA8AAAAAAAAAAQAgAAAAIgAAAGRycy9kb3ducmV2LnhtbFBL&#10;AQIUABQAAAAIAIdO4kCXmsXgvAEAAHMDAAAOAAAAAAAAAAEAIAAAACgBAABkcnMvZTJvRG9jLnht&#10;bFBLBQYAAAAABgAGAFkBAABWBQAAAAA=&#10;">
                <v:fill on="f" focussize="0,0"/>
                <v:stroke on="f"/>
                <v:imagedata o:title=""/>
                <o:lock v:ext="edit" aspectratio="f"/>
                <v:textbox inset="0mm,0mm,0mm,0mm">
                  <w:txbxContent>
                    <w:tbl>
                      <w:tblPr>
                        <w:tblStyle w:val="8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3685"/>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1661" w:type="dxa"/>
                            <w:vAlign w:val="center"/>
                          </w:tcPr>
                          <w:p>
                            <w:pPr>
                              <w:pStyle w:val="375"/>
                              <w:jc w:val="center"/>
                              <w:rPr>
                                <w:sz w:val="28"/>
                              </w:rPr>
                            </w:pPr>
                            <w:r>
                              <w:rPr>
                                <w:sz w:val="28"/>
                              </w:rPr>
                              <w:t>序号</w:t>
                            </w:r>
                          </w:p>
                        </w:tc>
                        <w:tc>
                          <w:tcPr>
                            <w:tcW w:w="3685" w:type="dxa"/>
                            <w:vAlign w:val="center"/>
                          </w:tcPr>
                          <w:p>
                            <w:pPr>
                              <w:pStyle w:val="375"/>
                              <w:ind w:right="1530"/>
                              <w:jc w:val="center"/>
                              <w:rPr>
                                <w:sz w:val="28"/>
                              </w:rPr>
                            </w:pPr>
                            <w:r>
                              <w:rPr>
                                <w:rFonts w:hint="eastAsia"/>
                                <w:sz w:val="28"/>
                                <w:lang w:eastAsia="zh-CN"/>
                              </w:rPr>
                              <w:t xml:space="preserve">           </w:t>
                            </w:r>
                            <w:r>
                              <w:rPr>
                                <w:sz w:val="28"/>
                              </w:rPr>
                              <w:t>股东</w:t>
                            </w:r>
                          </w:p>
                        </w:tc>
                        <w:tc>
                          <w:tcPr>
                            <w:tcW w:w="3161" w:type="dxa"/>
                            <w:vAlign w:val="center"/>
                          </w:tcPr>
                          <w:p>
                            <w:pPr>
                              <w:pStyle w:val="375"/>
                              <w:spacing w:line="340" w:lineRule="exact"/>
                              <w:jc w:val="center"/>
                              <w:rPr>
                                <w:sz w:val="28"/>
                              </w:rPr>
                            </w:pPr>
                            <w:r>
                              <w:rPr>
                                <w:sz w:val="28"/>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vAlign w:val="center"/>
                          </w:tcPr>
                          <w:p>
                            <w:pPr>
                              <w:pStyle w:val="375"/>
                              <w:jc w:val="center"/>
                              <w:rPr>
                                <w:rFonts w:ascii="黑体"/>
                                <w:b/>
                                <w:sz w:val="24"/>
                              </w:rPr>
                            </w:pPr>
                          </w:p>
                          <w:p>
                            <w:pPr>
                              <w:pStyle w:val="375"/>
                              <w:spacing w:before="183"/>
                              <w:ind w:left="642"/>
                              <w:jc w:val="center"/>
                              <w:rPr>
                                <w:b/>
                                <w:sz w:val="24"/>
                              </w:rPr>
                            </w:pPr>
                            <w:r>
                              <w:rPr>
                                <w:b/>
                                <w:sz w:val="24"/>
                              </w:rPr>
                              <w:t>……</w:t>
                            </w: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bl>
                    <w:p>
                      <w:pPr>
                        <w:pStyle w:val="33"/>
                      </w:pPr>
                    </w:p>
                  </w:txbxContent>
                </v:textbox>
              </v:shape>
            </w:pict>
          </mc:Fallback>
        </mc:AlternateContent>
      </w:r>
      <w:r>
        <w:rPr>
          <w:rFonts w:hint="eastAsia" w:ascii="黑体" w:eastAsia="黑体"/>
          <w:b/>
          <w:color w:val="auto"/>
          <w:sz w:val="32"/>
          <w:highlight w:val="none"/>
        </w:rPr>
        <w:t>二、股东信息及出资比例信息表</w:t>
      </w: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spacing w:before="10"/>
        <w:rPr>
          <w:rFonts w:ascii="黑体"/>
          <w:b/>
          <w:color w:val="auto"/>
          <w:sz w:val="31"/>
          <w:highlight w:val="none"/>
        </w:rPr>
      </w:pPr>
    </w:p>
    <w:p>
      <w:pPr>
        <w:rPr>
          <w:color w:val="auto"/>
          <w:highlight w:val="none"/>
        </w:rPr>
      </w:pPr>
      <w:r>
        <w:rPr>
          <w:color w:val="auto"/>
          <w:highlight w:val="none"/>
        </w:rPr>
        <w:t xml:space="preserve">注：若投标人未按实际情况填写或填写虚假信息或漏填信息，经评标委员会讨论后，应作废标处理。  </w:t>
      </w:r>
    </w:p>
    <w:p>
      <w:pPr>
        <w:rPr>
          <w:color w:val="auto"/>
          <w:highlight w:val="none"/>
        </w:rPr>
      </w:pPr>
      <w:r>
        <w:rPr>
          <w:color w:val="auto"/>
          <w:highlight w:val="none"/>
        </w:rPr>
        <w:t>投标人（盖公章）：</w:t>
      </w:r>
    </w:p>
    <w:p>
      <w:pPr>
        <w:rPr>
          <w:color w:val="auto"/>
          <w:highlight w:val="none"/>
        </w:rPr>
      </w:pPr>
      <w:r>
        <w:rPr>
          <w:color w:val="auto"/>
          <w:highlight w:val="none"/>
        </w:rPr>
        <w:t>法定代表人或其委托代理人（签字或盖章）：</w:t>
      </w:r>
    </w:p>
    <w:p>
      <w:pPr>
        <w:rPr>
          <w:color w:val="auto"/>
          <w:highlight w:val="none"/>
        </w:rPr>
      </w:pPr>
      <w:r>
        <w:rPr>
          <w:color w:val="auto"/>
          <w:highlight w:val="none"/>
        </w:rPr>
        <w:t>日期：</w:t>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pStyle w:val="33"/>
        <w:rPr>
          <w:color w:val="auto"/>
          <w:sz w:val="20"/>
          <w:highlight w:val="none"/>
        </w:rPr>
      </w:pPr>
    </w:p>
    <w:p>
      <w:pPr>
        <w:jc w:val="center"/>
        <w:rPr>
          <w:rFonts w:hint="eastAsia"/>
          <w:b/>
          <w:bCs/>
          <w:color w:val="auto"/>
          <w:sz w:val="28"/>
          <w:szCs w:val="28"/>
          <w:highlight w:val="none"/>
        </w:rPr>
        <w:sectPr>
          <w:pgSz w:w="11920" w:h="16850"/>
          <w:pgMar w:top="1300" w:right="621" w:bottom="840" w:left="880" w:header="567" w:footer="645" w:gutter="0"/>
          <w:pgBorders>
            <w:top w:val="none" w:sz="0" w:space="0"/>
            <w:left w:val="none" w:sz="0" w:space="0"/>
            <w:bottom w:val="none" w:sz="0" w:space="0"/>
            <w:right w:val="none" w:sz="0" w:space="0"/>
          </w:pgBorders>
          <w:pgNumType w:fmt="decimal"/>
          <w:cols w:space="720" w:num="1"/>
        </w:sectPr>
      </w:pPr>
    </w:p>
    <w:p>
      <w:pPr>
        <w:jc w:val="center"/>
        <w:outlineLvl w:val="1"/>
        <w:rPr>
          <w:b/>
          <w:bCs/>
          <w:color w:val="auto"/>
          <w:sz w:val="28"/>
          <w:szCs w:val="28"/>
          <w:highlight w:val="none"/>
        </w:rPr>
      </w:pPr>
      <w:r>
        <w:rPr>
          <w:rFonts w:hint="eastAsia"/>
          <w:b/>
          <w:bCs/>
          <w:color w:val="auto"/>
          <w:sz w:val="28"/>
          <w:szCs w:val="28"/>
          <w:highlight w:val="none"/>
        </w:rPr>
        <w:t>三、业绩证明材料</w:t>
      </w:r>
    </w:p>
    <w:tbl>
      <w:tblPr>
        <w:tblStyle w:val="88"/>
        <w:tblW w:w="47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503"/>
        <w:gridCol w:w="1793"/>
        <w:gridCol w:w="1152"/>
        <w:gridCol w:w="1261"/>
        <w:gridCol w:w="1128"/>
        <w:gridCol w:w="1320"/>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324" w:type="pct"/>
            <w:vAlign w:val="center"/>
          </w:tcPr>
          <w:p>
            <w:pPr>
              <w:spacing w:line="360" w:lineRule="auto"/>
              <w:ind w:left="-134" w:leftChars="-64" w:right="-107" w:rightChars="-51"/>
              <w:jc w:val="center"/>
              <w:rPr>
                <w:rFonts w:hAnsi="宋体"/>
                <w:b/>
                <w:color w:val="auto"/>
                <w:szCs w:val="21"/>
                <w:highlight w:val="none"/>
              </w:rPr>
            </w:pPr>
            <w:r>
              <w:rPr>
                <w:rFonts w:hint="eastAsia" w:hAnsi="宋体"/>
                <w:b/>
                <w:color w:val="auto"/>
                <w:szCs w:val="21"/>
                <w:highlight w:val="none"/>
              </w:rPr>
              <w:t>序号</w:t>
            </w:r>
          </w:p>
        </w:tc>
        <w:tc>
          <w:tcPr>
            <w:tcW w:w="746" w:type="pct"/>
            <w:vAlign w:val="center"/>
          </w:tcPr>
          <w:p>
            <w:pPr>
              <w:spacing w:line="360" w:lineRule="auto"/>
              <w:jc w:val="center"/>
              <w:rPr>
                <w:rFonts w:hAnsi="宋体"/>
                <w:b/>
                <w:color w:val="auto"/>
                <w:szCs w:val="21"/>
                <w:highlight w:val="none"/>
              </w:rPr>
            </w:pPr>
          </w:p>
          <w:p>
            <w:pPr>
              <w:spacing w:line="360" w:lineRule="auto"/>
              <w:jc w:val="center"/>
              <w:rPr>
                <w:rFonts w:hAnsi="宋体"/>
                <w:b/>
                <w:color w:val="auto"/>
                <w:szCs w:val="21"/>
                <w:highlight w:val="none"/>
              </w:rPr>
            </w:pPr>
            <w:r>
              <w:rPr>
                <w:rFonts w:hint="eastAsia" w:hAnsi="宋体"/>
                <w:b/>
                <w:color w:val="auto"/>
                <w:szCs w:val="21"/>
                <w:highlight w:val="none"/>
              </w:rPr>
              <w:t>项目名称</w:t>
            </w:r>
          </w:p>
          <w:p>
            <w:pPr>
              <w:spacing w:line="360" w:lineRule="auto"/>
              <w:jc w:val="center"/>
              <w:rPr>
                <w:rFonts w:hAnsi="宋体"/>
                <w:b/>
                <w:color w:val="auto"/>
                <w:szCs w:val="21"/>
                <w:highlight w:val="none"/>
              </w:rPr>
            </w:pPr>
          </w:p>
        </w:tc>
        <w:tc>
          <w:tcPr>
            <w:tcW w:w="890" w:type="pct"/>
            <w:vAlign w:val="center"/>
          </w:tcPr>
          <w:p>
            <w:pPr>
              <w:spacing w:line="360" w:lineRule="auto"/>
              <w:jc w:val="center"/>
              <w:rPr>
                <w:rFonts w:hAnsi="宋体"/>
                <w:b/>
                <w:color w:val="auto"/>
                <w:szCs w:val="21"/>
                <w:highlight w:val="none"/>
              </w:rPr>
            </w:pPr>
          </w:p>
          <w:p>
            <w:pPr>
              <w:spacing w:line="360" w:lineRule="auto"/>
              <w:jc w:val="center"/>
              <w:rPr>
                <w:rFonts w:hint="default" w:hAnsi="宋体" w:eastAsia="宋体"/>
                <w:b/>
                <w:color w:val="auto"/>
                <w:szCs w:val="21"/>
                <w:highlight w:val="none"/>
                <w:lang w:val="en-US" w:eastAsia="zh-CN"/>
              </w:rPr>
            </w:pPr>
            <w:r>
              <w:rPr>
                <w:rFonts w:hint="eastAsia" w:hAnsi="宋体"/>
                <w:b/>
                <w:color w:val="auto"/>
                <w:szCs w:val="21"/>
                <w:highlight w:val="none"/>
                <w:lang w:eastAsia="zh-CN"/>
              </w:rPr>
              <w:t>炉渣综合处置累计</w:t>
            </w:r>
            <w:r>
              <w:rPr>
                <w:rFonts w:hint="eastAsia" w:hAnsi="宋体"/>
                <w:b/>
                <w:color w:val="auto"/>
                <w:szCs w:val="21"/>
                <w:highlight w:val="none"/>
                <w:lang w:val="en-US" w:eastAsia="zh-CN"/>
              </w:rPr>
              <w:t>年处置量（万吨）</w:t>
            </w:r>
          </w:p>
        </w:tc>
        <w:tc>
          <w:tcPr>
            <w:tcW w:w="572" w:type="pct"/>
            <w:vAlign w:val="center"/>
          </w:tcPr>
          <w:p>
            <w:pPr>
              <w:spacing w:line="360" w:lineRule="auto"/>
              <w:jc w:val="center"/>
              <w:rPr>
                <w:rFonts w:hAnsi="宋体"/>
                <w:b/>
                <w:color w:val="auto"/>
                <w:szCs w:val="21"/>
                <w:highlight w:val="none"/>
              </w:rPr>
            </w:pPr>
            <w:r>
              <w:rPr>
                <w:rFonts w:hint="eastAsia" w:hAnsi="宋体"/>
                <w:b/>
                <w:color w:val="auto"/>
                <w:szCs w:val="21"/>
                <w:highlight w:val="none"/>
              </w:rPr>
              <w:t>客户名称</w:t>
            </w:r>
          </w:p>
        </w:tc>
        <w:tc>
          <w:tcPr>
            <w:tcW w:w="626" w:type="pct"/>
            <w:vAlign w:val="center"/>
          </w:tcPr>
          <w:p>
            <w:pPr>
              <w:spacing w:line="360" w:lineRule="auto"/>
              <w:jc w:val="center"/>
              <w:rPr>
                <w:rFonts w:hint="default" w:hAnsi="宋体" w:eastAsia="宋体"/>
                <w:b/>
                <w:color w:val="auto"/>
                <w:szCs w:val="21"/>
                <w:highlight w:val="none"/>
                <w:lang w:val="en-US" w:eastAsia="zh-CN"/>
              </w:rPr>
            </w:pPr>
            <w:r>
              <w:rPr>
                <w:rFonts w:hint="eastAsia" w:hAnsi="宋体"/>
                <w:b/>
                <w:color w:val="auto"/>
                <w:szCs w:val="21"/>
                <w:highlight w:val="none"/>
                <w:lang w:val="en-US" w:eastAsia="zh-CN"/>
              </w:rPr>
              <w:t>年处置量起止时间</w:t>
            </w:r>
          </w:p>
        </w:tc>
        <w:tc>
          <w:tcPr>
            <w:tcW w:w="560" w:type="pct"/>
            <w:vAlign w:val="center"/>
          </w:tcPr>
          <w:p>
            <w:pPr>
              <w:spacing w:line="360" w:lineRule="auto"/>
              <w:jc w:val="center"/>
              <w:rPr>
                <w:rFonts w:ascii="宋体" w:hAnsi="宋体"/>
                <w:b/>
                <w:color w:val="auto"/>
                <w:sz w:val="21"/>
                <w:szCs w:val="21"/>
                <w:highlight w:val="none"/>
              </w:rPr>
            </w:pPr>
            <w:r>
              <w:rPr>
                <w:rFonts w:hint="eastAsia" w:hAnsi="宋体"/>
                <w:b/>
                <w:color w:val="auto"/>
                <w:szCs w:val="21"/>
                <w:highlight w:val="none"/>
              </w:rPr>
              <w:t>合同金额</w:t>
            </w:r>
          </w:p>
        </w:tc>
        <w:tc>
          <w:tcPr>
            <w:tcW w:w="655" w:type="pct"/>
            <w:vAlign w:val="center"/>
          </w:tcPr>
          <w:p>
            <w:pPr>
              <w:spacing w:line="360" w:lineRule="auto"/>
              <w:jc w:val="center"/>
              <w:rPr>
                <w:rFonts w:hAnsi="宋体"/>
                <w:b/>
                <w:color w:val="auto"/>
                <w:szCs w:val="21"/>
                <w:highlight w:val="none"/>
              </w:rPr>
            </w:pPr>
            <w:r>
              <w:rPr>
                <w:rFonts w:hint="eastAsia" w:hAnsi="宋体"/>
                <w:b/>
                <w:color w:val="auto"/>
                <w:szCs w:val="21"/>
                <w:highlight w:val="none"/>
              </w:rPr>
              <w:t>联系人/联系电话</w:t>
            </w:r>
          </w:p>
        </w:tc>
        <w:tc>
          <w:tcPr>
            <w:tcW w:w="623" w:type="pct"/>
            <w:vAlign w:val="center"/>
          </w:tcPr>
          <w:p>
            <w:pPr>
              <w:spacing w:line="360" w:lineRule="auto"/>
              <w:jc w:val="center"/>
              <w:rPr>
                <w:rFonts w:hint="eastAsia" w:hAnsi="宋体" w:eastAsia="宋体"/>
                <w:b/>
                <w:color w:val="auto"/>
                <w:szCs w:val="21"/>
                <w:highlight w:val="none"/>
                <w:lang w:eastAsia="zh-CN"/>
              </w:rPr>
            </w:pPr>
            <w:r>
              <w:rPr>
                <w:rFonts w:hint="eastAsia" w:hAnsi="宋体"/>
                <w:b/>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24" w:type="pct"/>
            <w:vAlign w:val="center"/>
          </w:tcPr>
          <w:p>
            <w:pPr>
              <w:spacing w:line="360" w:lineRule="auto"/>
              <w:ind w:left="-134" w:leftChars="-64" w:right="-107" w:rightChars="-51"/>
              <w:jc w:val="center"/>
              <w:rPr>
                <w:rFonts w:hAnsi="宋体"/>
                <w:color w:val="auto"/>
                <w:szCs w:val="21"/>
                <w:highlight w:val="none"/>
              </w:rPr>
            </w:pPr>
            <w:r>
              <w:rPr>
                <w:rFonts w:hint="eastAsia" w:hAnsi="宋体"/>
                <w:color w:val="auto"/>
                <w:szCs w:val="21"/>
                <w:highlight w:val="none"/>
              </w:rPr>
              <w:t>1</w:t>
            </w:r>
          </w:p>
        </w:tc>
        <w:tc>
          <w:tcPr>
            <w:tcW w:w="746" w:type="pct"/>
            <w:vAlign w:val="center"/>
          </w:tcPr>
          <w:p>
            <w:pPr>
              <w:spacing w:line="360" w:lineRule="auto"/>
              <w:jc w:val="center"/>
              <w:rPr>
                <w:rFonts w:hAnsi="宋体"/>
                <w:color w:val="auto"/>
                <w:szCs w:val="21"/>
                <w:highlight w:val="none"/>
              </w:rPr>
            </w:pPr>
          </w:p>
        </w:tc>
        <w:tc>
          <w:tcPr>
            <w:tcW w:w="890" w:type="pct"/>
            <w:vAlign w:val="center"/>
          </w:tcPr>
          <w:p>
            <w:pPr>
              <w:spacing w:line="360" w:lineRule="auto"/>
              <w:jc w:val="center"/>
              <w:rPr>
                <w:rFonts w:hAnsi="宋体"/>
                <w:color w:val="auto"/>
                <w:szCs w:val="21"/>
                <w:highlight w:val="none"/>
              </w:rPr>
            </w:pPr>
          </w:p>
        </w:tc>
        <w:tc>
          <w:tcPr>
            <w:tcW w:w="572" w:type="pct"/>
            <w:vAlign w:val="center"/>
          </w:tcPr>
          <w:p>
            <w:pPr>
              <w:spacing w:line="360" w:lineRule="auto"/>
              <w:jc w:val="center"/>
              <w:rPr>
                <w:rFonts w:hAnsi="宋体"/>
                <w:color w:val="auto"/>
                <w:szCs w:val="21"/>
                <w:highlight w:val="none"/>
              </w:rPr>
            </w:pPr>
          </w:p>
        </w:tc>
        <w:tc>
          <w:tcPr>
            <w:tcW w:w="626" w:type="pct"/>
            <w:vAlign w:val="center"/>
          </w:tcPr>
          <w:p>
            <w:pPr>
              <w:spacing w:line="360" w:lineRule="auto"/>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年 月 日-年  月 日</w:t>
            </w:r>
          </w:p>
        </w:tc>
        <w:tc>
          <w:tcPr>
            <w:tcW w:w="560" w:type="pct"/>
            <w:vAlign w:val="center"/>
          </w:tcPr>
          <w:p>
            <w:pPr>
              <w:spacing w:line="360" w:lineRule="auto"/>
              <w:jc w:val="center"/>
              <w:rPr>
                <w:rFonts w:hAnsi="宋体"/>
                <w:color w:val="auto"/>
                <w:szCs w:val="21"/>
                <w:highlight w:val="none"/>
              </w:rPr>
            </w:pPr>
          </w:p>
        </w:tc>
        <w:tc>
          <w:tcPr>
            <w:tcW w:w="655" w:type="pct"/>
            <w:vAlign w:val="center"/>
          </w:tcPr>
          <w:p>
            <w:pPr>
              <w:spacing w:line="360" w:lineRule="auto"/>
              <w:jc w:val="center"/>
              <w:rPr>
                <w:rFonts w:hAnsi="宋体"/>
                <w:color w:val="auto"/>
                <w:szCs w:val="21"/>
                <w:highlight w:val="none"/>
              </w:rPr>
            </w:pPr>
          </w:p>
        </w:tc>
        <w:tc>
          <w:tcPr>
            <w:tcW w:w="623" w:type="pct"/>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24" w:type="pct"/>
            <w:vAlign w:val="center"/>
          </w:tcPr>
          <w:p>
            <w:pPr>
              <w:spacing w:line="360" w:lineRule="auto"/>
              <w:ind w:left="-134" w:leftChars="-64" w:right="-107" w:rightChars="-51"/>
              <w:jc w:val="center"/>
              <w:rPr>
                <w:rFonts w:hAnsi="宋体"/>
                <w:color w:val="auto"/>
                <w:szCs w:val="21"/>
                <w:highlight w:val="none"/>
              </w:rPr>
            </w:pPr>
            <w:r>
              <w:rPr>
                <w:rFonts w:hint="eastAsia" w:hAnsi="宋体"/>
                <w:color w:val="auto"/>
                <w:szCs w:val="21"/>
                <w:highlight w:val="none"/>
              </w:rPr>
              <w:t>2</w:t>
            </w:r>
          </w:p>
        </w:tc>
        <w:tc>
          <w:tcPr>
            <w:tcW w:w="746" w:type="pct"/>
            <w:vAlign w:val="center"/>
          </w:tcPr>
          <w:p>
            <w:pPr>
              <w:spacing w:line="360" w:lineRule="auto"/>
              <w:jc w:val="center"/>
              <w:rPr>
                <w:rFonts w:hAnsi="宋体"/>
                <w:color w:val="auto"/>
                <w:szCs w:val="21"/>
                <w:highlight w:val="none"/>
              </w:rPr>
            </w:pPr>
          </w:p>
        </w:tc>
        <w:tc>
          <w:tcPr>
            <w:tcW w:w="890" w:type="pct"/>
            <w:vAlign w:val="center"/>
          </w:tcPr>
          <w:p>
            <w:pPr>
              <w:spacing w:line="360" w:lineRule="auto"/>
              <w:jc w:val="center"/>
              <w:rPr>
                <w:rFonts w:hAnsi="宋体"/>
                <w:color w:val="auto"/>
                <w:szCs w:val="21"/>
                <w:highlight w:val="none"/>
              </w:rPr>
            </w:pPr>
          </w:p>
        </w:tc>
        <w:tc>
          <w:tcPr>
            <w:tcW w:w="572" w:type="pct"/>
            <w:vAlign w:val="center"/>
          </w:tcPr>
          <w:p>
            <w:pPr>
              <w:spacing w:line="360" w:lineRule="auto"/>
              <w:jc w:val="center"/>
              <w:rPr>
                <w:rFonts w:hAnsi="宋体"/>
                <w:color w:val="auto"/>
                <w:szCs w:val="21"/>
                <w:highlight w:val="none"/>
              </w:rPr>
            </w:pPr>
          </w:p>
        </w:tc>
        <w:tc>
          <w:tcPr>
            <w:tcW w:w="626" w:type="pct"/>
            <w:vAlign w:val="center"/>
          </w:tcPr>
          <w:p>
            <w:pPr>
              <w:spacing w:line="360" w:lineRule="auto"/>
              <w:jc w:val="center"/>
              <w:rPr>
                <w:rFonts w:hAnsi="宋体"/>
                <w:color w:val="auto"/>
                <w:szCs w:val="21"/>
                <w:highlight w:val="none"/>
              </w:rPr>
            </w:pPr>
          </w:p>
        </w:tc>
        <w:tc>
          <w:tcPr>
            <w:tcW w:w="560" w:type="pct"/>
            <w:vAlign w:val="center"/>
          </w:tcPr>
          <w:p>
            <w:pPr>
              <w:spacing w:line="360" w:lineRule="auto"/>
              <w:jc w:val="center"/>
              <w:rPr>
                <w:rFonts w:hAnsi="宋体"/>
                <w:color w:val="auto"/>
                <w:szCs w:val="21"/>
                <w:highlight w:val="none"/>
              </w:rPr>
            </w:pPr>
          </w:p>
        </w:tc>
        <w:tc>
          <w:tcPr>
            <w:tcW w:w="655" w:type="pct"/>
            <w:vAlign w:val="center"/>
          </w:tcPr>
          <w:p>
            <w:pPr>
              <w:spacing w:line="360" w:lineRule="auto"/>
              <w:jc w:val="center"/>
              <w:rPr>
                <w:rFonts w:hAnsi="宋体"/>
                <w:color w:val="auto"/>
                <w:szCs w:val="21"/>
                <w:highlight w:val="none"/>
              </w:rPr>
            </w:pPr>
          </w:p>
        </w:tc>
        <w:tc>
          <w:tcPr>
            <w:tcW w:w="623" w:type="pct"/>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24" w:type="pct"/>
            <w:vAlign w:val="center"/>
          </w:tcPr>
          <w:p>
            <w:pPr>
              <w:spacing w:line="360" w:lineRule="auto"/>
              <w:ind w:left="-134" w:leftChars="-64" w:right="-107" w:rightChars="-51"/>
              <w:jc w:val="center"/>
              <w:rPr>
                <w:rFonts w:hAnsi="宋体"/>
                <w:color w:val="auto"/>
                <w:szCs w:val="21"/>
                <w:highlight w:val="none"/>
              </w:rPr>
            </w:pPr>
            <w:r>
              <w:rPr>
                <w:rFonts w:hint="eastAsia" w:hAnsi="宋体"/>
                <w:color w:val="auto"/>
                <w:szCs w:val="21"/>
                <w:highlight w:val="none"/>
              </w:rPr>
              <w:t>3</w:t>
            </w:r>
          </w:p>
        </w:tc>
        <w:tc>
          <w:tcPr>
            <w:tcW w:w="746" w:type="pct"/>
            <w:vAlign w:val="center"/>
          </w:tcPr>
          <w:p>
            <w:pPr>
              <w:spacing w:line="360" w:lineRule="auto"/>
              <w:jc w:val="center"/>
              <w:rPr>
                <w:rFonts w:hAnsi="宋体"/>
                <w:color w:val="auto"/>
                <w:szCs w:val="21"/>
                <w:highlight w:val="none"/>
              </w:rPr>
            </w:pPr>
          </w:p>
        </w:tc>
        <w:tc>
          <w:tcPr>
            <w:tcW w:w="890" w:type="pct"/>
            <w:vAlign w:val="center"/>
          </w:tcPr>
          <w:p>
            <w:pPr>
              <w:spacing w:line="360" w:lineRule="auto"/>
              <w:jc w:val="center"/>
              <w:rPr>
                <w:rFonts w:hAnsi="宋体"/>
                <w:color w:val="auto"/>
                <w:szCs w:val="21"/>
                <w:highlight w:val="none"/>
              </w:rPr>
            </w:pPr>
          </w:p>
        </w:tc>
        <w:tc>
          <w:tcPr>
            <w:tcW w:w="572" w:type="pct"/>
            <w:vAlign w:val="center"/>
          </w:tcPr>
          <w:p>
            <w:pPr>
              <w:spacing w:line="360" w:lineRule="auto"/>
              <w:jc w:val="center"/>
              <w:rPr>
                <w:rFonts w:hAnsi="宋体"/>
                <w:color w:val="auto"/>
                <w:szCs w:val="21"/>
                <w:highlight w:val="none"/>
              </w:rPr>
            </w:pPr>
          </w:p>
        </w:tc>
        <w:tc>
          <w:tcPr>
            <w:tcW w:w="626" w:type="pct"/>
            <w:vAlign w:val="center"/>
          </w:tcPr>
          <w:p>
            <w:pPr>
              <w:spacing w:line="360" w:lineRule="auto"/>
              <w:jc w:val="center"/>
              <w:rPr>
                <w:rFonts w:hAnsi="宋体"/>
                <w:color w:val="auto"/>
                <w:szCs w:val="21"/>
                <w:highlight w:val="none"/>
              </w:rPr>
            </w:pPr>
          </w:p>
        </w:tc>
        <w:tc>
          <w:tcPr>
            <w:tcW w:w="560" w:type="pct"/>
            <w:vAlign w:val="center"/>
          </w:tcPr>
          <w:p>
            <w:pPr>
              <w:spacing w:line="360" w:lineRule="auto"/>
              <w:jc w:val="center"/>
              <w:rPr>
                <w:rFonts w:hAnsi="宋体"/>
                <w:color w:val="auto"/>
                <w:szCs w:val="21"/>
                <w:highlight w:val="none"/>
              </w:rPr>
            </w:pPr>
          </w:p>
        </w:tc>
        <w:tc>
          <w:tcPr>
            <w:tcW w:w="655" w:type="pct"/>
            <w:vAlign w:val="center"/>
          </w:tcPr>
          <w:p>
            <w:pPr>
              <w:spacing w:line="360" w:lineRule="auto"/>
              <w:jc w:val="center"/>
              <w:rPr>
                <w:rFonts w:hAnsi="宋体"/>
                <w:color w:val="auto"/>
                <w:szCs w:val="21"/>
                <w:highlight w:val="none"/>
              </w:rPr>
            </w:pPr>
          </w:p>
        </w:tc>
        <w:tc>
          <w:tcPr>
            <w:tcW w:w="623" w:type="pct"/>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24" w:type="pct"/>
            <w:vAlign w:val="center"/>
          </w:tcPr>
          <w:p>
            <w:pPr>
              <w:spacing w:line="360" w:lineRule="auto"/>
              <w:ind w:left="-134" w:leftChars="-64" w:right="-107" w:rightChars="-51"/>
              <w:jc w:val="center"/>
              <w:rPr>
                <w:rFonts w:hAnsi="宋体"/>
                <w:color w:val="auto"/>
                <w:szCs w:val="21"/>
                <w:highlight w:val="none"/>
              </w:rPr>
            </w:pPr>
            <w:r>
              <w:rPr>
                <w:rFonts w:hAnsi="宋体"/>
                <w:color w:val="auto"/>
                <w:szCs w:val="21"/>
                <w:highlight w:val="none"/>
              </w:rPr>
              <w:t>…</w:t>
            </w:r>
          </w:p>
        </w:tc>
        <w:tc>
          <w:tcPr>
            <w:tcW w:w="746" w:type="pct"/>
            <w:vAlign w:val="center"/>
          </w:tcPr>
          <w:p>
            <w:pPr>
              <w:spacing w:line="360" w:lineRule="auto"/>
              <w:jc w:val="center"/>
              <w:rPr>
                <w:rFonts w:hAnsi="宋体"/>
                <w:color w:val="auto"/>
                <w:szCs w:val="21"/>
                <w:highlight w:val="none"/>
              </w:rPr>
            </w:pPr>
          </w:p>
        </w:tc>
        <w:tc>
          <w:tcPr>
            <w:tcW w:w="890" w:type="pct"/>
            <w:vAlign w:val="center"/>
          </w:tcPr>
          <w:p>
            <w:pPr>
              <w:spacing w:line="360" w:lineRule="auto"/>
              <w:jc w:val="center"/>
              <w:rPr>
                <w:rFonts w:hAnsi="宋体"/>
                <w:color w:val="auto"/>
                <w:szCs w:val="21"/>
                <w:highlight w:val="none"/>
              </w:rPr>
            </w:pPr>
          </w:p>
        </w:tc>
        <w:tc>
          <w:tcPr>
            <w:tcW w:w="572" w:type="pct"/>
            <w:vAlign w:val="center"/>
          </w:tcPr>
          <w:p>
            <w:pPr>
              <w:spacing w:line="360" w:lineRule="auto"/>
              <w:jc w:val="center"/>
              <w:rPr>
                <w:rFonts w:hAnsi="宋体"/>
                <w:color w:val="auto"/>
                <w:szCs w:val="21"/>
                <w:highlight w:val="none"/>
              </w:rPr>
            </w:pPr>
          </w:p>
        </w:tc>
        <w:tc>
          <w:tcPr>
            <w:tcW w:w="626" w:type="pct"/>
            <w:vAlign w:val="center"/>
          </w:tcPr>
          <w:p>
            <w:pPr>
              <w:spacing w:line="360" w:lineRule="auto"/>
              <w:jc w:val="center"/>
              <w:rPr>
                <w:rFonts w:hAnsi="宋体"/>
                <w:color w:val="auto"/>
                <w:szCs w:val="21"/>
                <w:highlight w:val="none"/>
              </w:rPr>
            </w:pPr>
          </w:p>
        </w:tc>
        <w:tc>
          <w:tcPr>
            <w:tcW w:w="560" w:type="pct"/>
            <w:vAlign w:val="center"/>
          </w:tcPr>
          <w:p>
            <w:pPr>
              <w:spacing w:line="360" w:lineRule="auto"/>
              <w:jc w:val="center"/>
              <w:rPr>
                <w:rFonts w:hAnsi="宋体"/>
                <w:color w:val="auto"/>
                <w:szCs w:val="21"/>
                <w:highlight w:val="none"/>
              </w:rPr>
            </w:pPr>
          </w:p>
        </w:tc>
        <w:tc>
          <w:tcPr>
            <w:tcW w:w="655" w:type="pct"/>
            <w:vAlign w:val="center"/>
          </w:tcPr>
          <w:p>
            <w:pPr>
              <w:spacing w:line="360" w:lineRule="auto"/>
              <w:jc w:val="center"/>
              <w:rPr>
                <w:rFonts w:hAnsi="宋体"/>
                <w:color w:val="auto"/>
                <w:szCs w:val="21"/>
                <w:highlight w:val="none"/>
              </w:rPr>
            </w:pPr>
          </w:p>
        </w:tc>
        <w:tc>
          <w:tcPr>
            <w:tcW w:w="623" w:type="pct"/>
            <w:vAlign w:val="center"/>
          </w:tcPr>
          <w:p>
            <w:pPr>
              <w:spacing w:line="360" w:lineRule="auto"/>
              <w:jc w:val="center"/>
              <w:rPr>
                <w:rFonts w:hAnsi="宋体"/>
                <w:color w:val="auto"/>
                <w:szCs w:val="21"/>
                <w:highlight w:val="none"/>
              </w:rPr>
            </w:pPr>
          </w:p>
        </w:tc>
      </w:tr>
    </w:tbl>
    <w:p>
      <w:pPr>
        <w:tabs>
          <w:tab w:val="left" w:pos="600"/>
        </w:tabs>
        <w:snapToGrid w:val="0"/>
        <w:spacing w:after="120" w:afterLines="50" w:line="400" w:lineRule="exact"/>
        <w:jc w:val="left"/>
        <w:rPr>
          <w:rFonts w:hAnsi="宋体"/>
          <w:b/>
          <w:color w:val="auto"/>
          <w:highlight w:val="none"/>
        </w:rPr>
      </w:pPr>
    </w:p>
    <w:p>
      <w:pPr>
        <w:ind w:left="705" w:leftChars="202" w:hanging="281" w:hangingChars="134"/>
        <w:rPr>
          <w:rFonts w:hAnsi="宋体"/>
          <w:color w:val="auto"/>
          <w:szCs w:val="21"/>
          <w:highlight w:val="none"/>
        </w:rPr>
      </w:pPr>
    </w:p>
    <w:p>
      <w:pPr>
        <w:spacing w:line="360" w:lineRule="auto"/>
        <w:rPr>
          <w:rFonts w:hAnsi="宋体"/>
          <w:color w:val="auto"/>
          <w:szCs w:val="21"/>
          <w:highlight w:val="none"/>
        </w:rPr>
      </w:pPr>
    </w:p>
    <w:p>
      <w:pPr>
        <w:spacing w:line="360" w:lineRule="auto"/>
        <w:rPr>
          <w:rFonts w:hAnsi="宋体"/>
          <w:color w:val="auto"/>
          <w:szCs w:val="21"/>
          <w:highlight w:val="none"/>
        </w:rPr>
      </w:pPr>
      <w:r>
        <w:rPr>
          <w:rFonts w:hint="eastAsia" w:hAnsi="宋体"/>
          <w:color w:val="auto"/>
          <w:szCs w:val="21"/>
          <w:highlight w:val="none"/>
        </w:rPr>
        <w:t>投标人名称：</w:t>
      </w:r>
      <w:r>
        <w:rPr>
          <w:rFonts w:hint="eastAsia" w:hAnsi="宋体"/>
          <w:color w:val="auto"/>
          <w:szCs w:val="21"/>
          <w:highlight w:val="none"/>
          <w:u w:val="single"/>
        </w:rPr>
        <w:t>（盖章）</w:t>
      </w:r>
    </w:p>
    <w:p>
      <w:pPr>
        <w:spacing w:line="360" w:lineRule="auto"/>
        <w:rPr>
          <w:rFonts w:hAnsi="宋体"/>
          <w:color w:val="auto"/>
          <w:szCs w:val="21"/>
          <w:highlight w:val="none"/>
        </w:rPr>
      </w:pPr>
      <w:r>
        <w:rPr>
          <w:rFonts w:hint="eastAsia" w:hAnsi="宋体"/>
          <w:color w:val="auto"/>
          <w:szCs w:val="21"/>
          <w:highlight w:val="none"/>
        </w:rPr>
        <w:t>法定代表人或授权代表（签字或盖私章）：</w:t>
      </w:r>
    </w:p>
    <w:p>
      <w:pPr>
        <w:rPr>
          <w:color w:val="auto"/>
          <w:highlight w:val="none"/>
        </w:rPr>
        <w:sectPr>
          <w:pgSz w:w="11920" w:h="16850"/>
          <w:pgMar w:top="1300" w:right="621" w:bottom="840" w:left="880" w:header="567" w:footer="645" w:gutter="0"/>
          <w:pgBorders>
            <w:top w:val="none" w:sz="0" w:space="0"/>
            <w:left w:val="none" w:sz="0" w:space="0"/>
            <w:bottom w:val="none" w:sz="0" w:space="0"/>
            <w:right w:val="none" w:sz="0" w:space="0"/>
          </w:pgBorders>
          <w:pgNumType w:fmt="decimal"/>
          <w:cols w:space="720" w:num="1"/>
        </w:sectPr>
      </w:pPr>
      <w:r>
        <w:rPr>
          <w:rFonts w:hint="eastAsia" w:hAnsi="宋体"/>
          <w:color w:val="auto"/>
          <w:szCs w:val="21"/>
          <w:highlight w:val="none"/>
        </w:rPr>
        <w:t>日期：  年  月  日</w:t>
      </w:r>
    </w:p>
    <w:p>
      <w:pPr>
        <w:ind w:left="2835"/>
        <w:jc w:val="left"/>
        <w:rPr>
          <w:rFonts w:ascii="黑体" w:eastAsia="黑体"/>
          <w:color w:val="auto"/>
          <w:sz w:val="32"/>
          <w:highlight w:val="none"/>
        </w:rPr>
        <w:sectPr>
          <w:footerReference r:id="rId19" w:type="default"/>
          <w:pgSz w:w="11910" w:h="16850"/>
          <w:pgMar w:top="1300" w:right="788" w:bottom="840" w:left="1049" w:header="454" w:footer="645" w:gutter="0"/>
          <w:pgBorders>
            <w:top w:val="none" w:sz="0" w:space="0"/>
            <w:left w:val="none" w:sz="0" w:space="0"/>
            <w:bottom w:val="none" w:sz="0" w:space="0"/>
            <w:right w:val="none" w:sz="0" w:space="0"/>
          </w:pgBorders>
          <w:pgNumType w:fmt="decimal"/>
          <w:cols w:space="720" w:num="1"/>
        </w:sectPr>
      </w:pPr>
      <w:r>
        <w:rPr>
          <w:rFonts w:hint="eastAsia" w:ascii="黑体" w:eastAsia="黑体"/>
          <w:b/>
          <w:color w:val="auto"/>
          <w:sz w:val="32"/>
          <w:highlight w:val="none"/>
          <w:lang w:val="en-US" w:eastAsia="zh-CN"/>
        </w:rPr>
        <w:t>四</w:t>
      </w:r>
      <w:r>
        <w:rPr>
          <w:rFonts w:hint="eastAsia" w:ascii="黑体" w:eastAsia="黑体"/>
          <w:b/>
          <w:color w:val="auto"/>
          <w:sz w:val="32"/>
          <w:highlight w:val="none"/>
        </w:rPr>
        <w:t>、其他招标文件要求的资信</w:t>
      </w:r>
      <w:r>
        <w:rPr>
          <w:rFonts w:hint="eastAsia" w:ascii="黑体" w:eastAsia="黑体"/>
          <w:b/>
          <w:color w:val="auto"/>
          <w:sz w:val="32"/>
          <w:highlight w:val="none"/>
          <w:lang w:val="en-US" w:eastAsia="zh-CN"/>
        </w:rPr>
        <w:t>材料</w:t>
      </w:r>
      <w:r>
        <w:rPr>
          <w:rFonts w:hint="eastAsia" w:ascii="黑体" w:eastAsia="黑体"/>
          <w:color w:val="auto"/>
          <w:sz w:val="32"/>
          <w:highlight w:val="none"/>
        </w:rPr>
        <w:t>（如有）</w:t>
      </w:r>
    </w:p>
    <w:p>
      <w:pPr>
        <w:snapToGrid w:val="0"/>
        <w:spacing w:before="120" w:beforeLines="50" w:line="360" w:lineRule="auto"/>
        <w:jc w:val="center"/>
        <w:rPr>
          <w:rFonts w:hAnsi="宋体"/>
          <w:b/>
          <w:bCs/>
          <w:color w:val="auto"/>
          <w:sz w:val="28"/>
          <w:szCs w:val="28"/>
          <w:highlight w:val="none"/>
        </w:rPr>
      </w:pPr>
      <w:r>
        <w:rPr>
          <w:rFonts w:hint="eastAsia" w:hAnsi="宋体"/>
          <w:b/>
          <w:bCs/>
          <w:color w:val="auto"/>
          <w:sz w:val="28"/>
          <w:szCs w:val="28"/>
          <w:highlight w:val="none"/>
        </w:rPr>
        <w:t>第四部分、技术文件</w:t>
      </w:r>
    </w:p>
    <w:p>
      <w:pPr>
        <w:spacing w:line="360" w:lineRule="auto"/>
        <w:outlineLvl w:val="1"/>
        <w:rPr>
          <w:b/>
          <w:bCs/>
          <w:color w:val="auto"/>
          <w:sz w:val="28"/>
          <w:szCs w:val="28"/>
          <w:highlight w:val="none"/>
        </w:rPr>
      </w:pPr>
      <w:r>
        <w:rPr>
          <w:rFonts w:hint="eastAsia"/>
          <w:b/>
          <w:bCs/>
          <w:color w:val="auto"/>
          <w:sz w:val="28"/>
          <w:szCs w:val="28"/>
          <w:highlight w:val="none"/>
        </w:rPr>
        <w:t>一、针对本项目的技术和服务响应方案</w:t>
      </w:r>
    </w:p>
    <w:p>
      <w:pPr>
        <w:spacing w:line="360" w:lineRule="auto"/>
        <w:rPr>
          <w:rFonts w:hint="eastAsia" w:hAnsi="宋体" w:cs="宋体"/>
          <w:color w:val="auto"/>
          <w:highlight w:val="none"/>
        </w:rPr>
      </w:pPr>
      <w:r>
        <w:rPr>
          <w:rFonts w:hint="eastAsia" w:hAnsi="宋体" w:cs="宋体"/>
          <w:color w:val="auto"/>
          <w:highlight w:val="none"/>
        </w:rPr>
        <w:t xml:space="preserve">（一）项目安全环保管理方案 </w:t>
      </w:r>
    </w:p>
    <w:p>
      <w:pPr>
        <w:spacing w:line="360" w:lineRule="auto"/>
        <w:rPr>
          <w:rFonts w:hint="eastAsia" w:hAnsi="宋体" w:cs="宋体"/>
          <w:color w:val="auto"/>
          <w:highlight w:val="none"/>
        </w:rPr>
      </w:pPr>
      <w:r>
        <w:rPr>
          <w:rFonts w:hint="eastAsia" w:hAnsi="宋体" w:cs="宋体"/>
          <w:color w:val="auto"/>
          <w:highlight w:val="none"/>
        </w:rPr>
        <w:t>（二）</w:t>
      </w:r>
      <w:r>
        <w:rPr>
          <w:rFonts w:hint="eastAsia" w:hAnsi="宋体" w:cs="宋体"/>
          <w:color w:val="auto"/>
          <w:highlight w:val="none"/>
          <w:lang w:val="en-US" w:eastAsia="zh-CN"/>
        </w:rPr>
        <w:t>淤泥处置、分选金属处置方案</w:t>
      </w:r>
    </w:p>
    <w:p>
      <w:pPr>
        <w:spacing w:line="360" w:lineRule="auto"/>
        <w:rPr>
          <w:rFonts w:hAnsi="宋体" w:cs="宋体"/>
          <w:color w:val="auto"/>
          <w:szCs w:val="21"/>
          <w:highlight w:val="none"/>
        </w:rPr>
      </w:pPr>
      <w:r>
        <w:rPr>
          <w:rFonts w:hint="eastAsia" w:hAnsi="宋体" w:cs="宋体"/>
          <w:color w:val="auto"/>
          <w:szCs w:val="21"/>
          <w:highlight w:val="none"/>
        </w:rPr>
        <w:t>上述由投标人根据招标需求及招标文件要求编制，包括但不限于以上方案，格式自拟</w:t>
      </w:r>
    </w:p>
    <w:p>
      <w:pPr>
        <w:keepLines/>
        <w:widowControl/>
        <w:topLinePunct/>
        <w:adjustRightInd w:val="0"/>
        <w:snapToGrid w:val="0"/>
        <w:jc w:val="center"/>
        <w:rPr>
          <w:rFonts w:hint="eastAsia" w:hAnsi="宋体" w:cs="宋体"/>
          <w:color w:val="auto"/>
          <w:highlight w:val="none"/>
          <w:lang w:val="en-US" w:eastAsia="zh-CN"/>
        </w:rPr>
      </w:pPr>
    </w:p>
    <w:p>
      <w:pPr>
        <w:keepLines/>
        <w:widowControl/>
        <w:topLinePunct/>
        <w:adjustRightInd w:val="0"/>
        <w:snapToGrid w:val="0"/>
        <w:jc w:val="center"/>
        <w:rPr>
          <w:rFonts w:hint="eastAsia" w:hAnsi="宋体" w:cs="宋体"/>
          <w:color w:val="auto"/>
          <w:highlight w:val="none"/>
          <w:lang w:val="en-US" w:eastAsia="zh-CN"/>
        </w:rPr>
      </w:pPr>
    </w:p>
    <w:p>
      <w:pPr>
        <w:spacing w:before="33"/>
        <w:ind w:right="245"/>
        <w:jc w:val="center"/>
        <w:rPr>
          <w:b/>
          <w:color w:val="auto"/>
          <w:sz w:val="32"/>
          <w:highlight w:val="none"/>
        </w:rPr>
      </w:pPr>
      <w:r>
        <w:rPr>
          <w:rFonts w:hint="eastAsia"/>
          <w:b/>
          <w:color w:val="auto"/>
          <w:sz w:val="32"/>
          <w:highlight w:val="none"/>
          <w:lang w:val="en-US" w:eastAsia="zh-CN"/>
        </w:rPr>
        <w:t>二</w:t>
      </w:r>
      <w:r>
        <w:rPr>
          <w:b/>
          <w:color w:val="auto"/>
          <w:sz w:val="32"/>
          <w:highlight w:val="none"/>
        </w:rPr>
        <w:t>、技术偏离表</w:t>
      </w:r>
    </w:p>
    <w:p>
      <w:pPr>
        <w:pStyle w:val="33"/>
        <w:spacing w:before="208" w:line="367" w:lineRule="auto"/>
        <w:ind w:right="461" w:firstLine="420"/>
        <w:rPr>
          <w:color w:val="auto"/>
          <w:highlight w:val="none"/>
        </w:rPr>
      </w:pPr>
      <w:r>
        <w:rPr>
          <w:color w:val="auto"/>
          <w:highlight w:val="none"/>
        </w:rPr>
        <w:t>投标人应根据其投标文件响应情况，对照招标文件的要求，有差异的，则在表中写明实际响应的具体内容。</w:t>
      </w:r>
    </w:p>
    <w:p>
      <w:pPr>
        <w:pStyle w:val="33"/>
        <w:tabs>
          <w:tab w:val="left" w:pos="3001"/>
        </w:tabs>
        <w:spacing w:line="264" w:lineRule="exact"/>
        <w:rPr>
          <w:rFonts w:eastAsia="Times New Roman"/>
          <w:color w:val="auto"/>
          <w:highlight w:val="none"/>
        </w:rPr>
      </w:pPr>
      <w:r>
        <w:rPr>
          <w:color w:val="auto"/>
          <w:w w:val="95"/>
          <w:highlight w:val="none"/>
        </w:rPr>
        <w:t>招标编号：</w:t>
      </w:r>
      <w:r>
        <w:rPr>
          <w:rFonts w:eastAsia="Times New Roman"/>
          <w:color w:val="auto"/>
          <w:w w:val="95"/>
          <w:highlight w:val="none"/>
          <w:u w:val="single"/>
        </w:rPr>
        <w:t xml:space="preserve"> </w:t>
      </w:r>
      <w:r>
        <w:rPr>
          <w:rFonts w:eastAsia="Times New Roman"/>
          <w:color w:val="auto"/>
          <w:highlight w:val="none"/>
          <w:u w:val="single"/>
        </w:rPr>
        <w:tab/>
      </w:r>
    </w:p>
    <w:p>
      <w:pPr>
        <w:pStyle w:val="33"/>
        <w:rPr>
          <w:color w:val="auto"/>
          <w:sz w:val="12"/>
          <w:highlight w:val="none"/>
        </w:rPr>
      </w:pPr>
    </w:p>
    <w:tbl>
      <w:tblPr>
        <w:tblStyle w:val="88"/>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9"/>
        <w:gridCol w:w="1299"/>
        <w:gridCol w:w="2290"/>
        <w:gridCol w:w="1370"/>
        <w:gridCol w:w="3108"/>
        <w:gridCol w:w="1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vMerge w:val="restart"/>
          </w:tcPr>
          <w:p>
            <w:pPr>
              <w:pStyle w:val="375"/>
              <w:rPr>
                <w:rFonts w:ascii="Times New Roman"/>
                <w:color w:val="auto"/>
                <w:sz w:val="28"/>
                <w:highlight w:val="none"/>
              </w:rPr>
            </w:pPr>
          </w:p>
          <w:p>
            <w:pPr>
              <w:pStyle w:val="375"/>
              <w:ind w:left="140"/>
              <w:rPr>
                <w:color w:val="auto"/>
                <w:sz w:val="21"/>
                <w:highlight w:val="none"/>
              </w:rPr>
            </w:pPr>
            <w:r>
              <w:rPr>
                <w:color w:val="auto"/>
                <w:sz w:val="21"/>
                <w:highlight w:val="none"/>
              </w:rPr>
              <w:t>序号</w:t>
            </w:r>
          </w:p>
        </w:tc>
        <w:tc>
          <w:tcPr>
            <w:tcW w:w="1721" w:type="pct"/>
            <w:gridSpan w:val="2"/>
          </w:tcPr>
          <w:p>
            <w:pPr>
              <w:pStyle w:val="375"/>
              <w:spacing w:before="92"/>
              <w:ind w:left="940"/>
              <w:rPr>
                <w:color w:val="auto"/>
                <w:sz w:val="21"/>
                <w:highlight w:val="none"/>
              </w:rPr>
            </w:pPr>
            <w:r>
              <w:rPr>
                <w:color w:val="auto"/>
                <w:sz w:val="21"/>
                <w:highlight w:val="none"/>
              </w:rPr>
              <w:t>招标文件要求</w:t>
            </w:r>
          </w:p>
        </w:tc>
        <w:tc>
          <w:tcPr>
            <w:tcW w:w="2147" w:type="pct"/>
            <w:gridSpan w:val="2"/>
          </w:tcPr>
          <w:p>
            <w:pPr>
              <w:pStyle w:val="375"/>
              <w:spacing w:before="92"/>
              <w:ind w:left="1307" w:right="1301"/>
              <w:jc w:val="center"/>
              <w:rPr>
                <w:color w:val="auto"/>
                <w:sz w:val="21"/>
                <w:highlight w:val="none"/>
              </w:rPr>
            </w:pPr>
            <w:r>
              <w:rPr>
                <w:color w:val="auto"/>
                <w:sz w:val="21"/>
                <w:highlight w:val="none"/>
              </w:rPr>
              <w:t>投标文件内容</w:t>
            </w:r>
          </w:p>
        </w:tc>
        <w:tc>
          <w:tcPr>
            <w:tcW w:w="748" w:type="pct"/>
            <w:vMerge w:val="restart"/>
          </w:tcPr>
          <w:p>
            <w:pPr>
              <w:pStyle w:val="375"/>
              <w:rPr>
                <w:rFonts w:ascii="Times New Roman"/>
                <w:color w:val="auto"/>
                <w:sz w:val="28"/>
                <w:highlight w:val="none"/>
              </w:rPr>
            </w:pPr>
          </w:p>
          <w:p>
            <w:pPr>
              <w:pStyle w:val="375"/>
              <w:ind w:left="451" w:right="443"/>
              <w:jc w:val="center"/>
              <w:rPr>
                <w:color w:val="auto"/>
                <w:sz w:val="21"/>
                <w:highlight w:val="none"/>
              </w:rPr>
            </w:pPr>
            <w:r>
              <w:rPr>
                <w:color w:val="auto"/>
                <w:sz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vMerge w:val="continue"/>
            <w:tcBorders>
              <w:top w:val="nil"/>
            </w:tcBorders>
          </w:tcPr>
          <w:p>
            <w:pPr>
              <w:rPr>
                <w:color w:val="auto"/>
                <w:sz w:val="2"/>
                <w:szCs w:val="2"/>
                <w:highlight w:val="none"/>
              </w:rPr>
            </w:pPr>
          </w:p>
        </w:tc>
        <w:tc>
          <w:tcPr>
            <w:tcW w:w="623" w:type="pct"/>
          </w:tcPr>
          <w:p>
            <w:pPr>
              <w:pStyle w:val="375"/>
              <w:spacing w:before="91"/>
              <w:ind w:left="359"/>
              <w:rPr>
                <w:color w:val="auto"/>
                <w:sz w:val="21"/>
                <w:highlight w:val="none"/>
              </w:rPr>
            </w:pPr>
            <w:r>
              <w:rPr>
                <w:color w:val="auto"/>
                <w:sz w:val="21"/>
                <w:highlight w:val="none"/>
              </w:rPr>
              <w:t>条目</w:t>
            </w:r>
          </w:p>
        </w:tc>
        <w:tc>
          <w:tcPr>
            <w:tcW w:w="1097" w:type="pct"/>
          </w:tcPr>
          <w:p>
            <w:pPr>
              <w:pStyle w:val="375"/>
              <w:spacing w:before="91"/>
              <w:ind w:left="580"/>
              <w:rPr>
                <w:color w:val="auto"/>
                <w:sz w:val="21"/>
                <w:highlight w:val="none"/>
              </w:rPr>
            </w:pPr>
            <w:r>
              <w:rPr>
                <w:color w:val="auto"/>
                <w:sz w:val="21"/>
                <w:highlight w:val="none"/>
              </w:rPr>
              <w:t>简要内容</w:t>
            </w:r>
          </w:p>
        </w:tc>
        <w:tc>
          <w:tcPr>
            <w:tcW w:w="657" w:type="pct"/>
          </w:tcPr>
          <w:p>
            <w:pPr>
              <w:pStyle w:val="375"/>
              <w:spacing w:before="91"/>
              <w:ind w:left="389"/>
              <w:rPr>
                <w:color w:val="auto"/>
                <w:sz w:val="21"/>
                <w:highlight w:val="none"/>
              </w:rPr>
            </w:pPr>
            <w:r>
              <w:rPr>
                <w:color w:val="auto"/>
                <w:sz w:val="21"/>
                <w:highlight w:val="none"/>
              </w:rPr>
              <w:t>条目</w:t>
            </w:r>
          </w:p>
        </w:tc>
        <w:tc>
          <w:tcPr>
            <w:tcW w:w="1490" w:type="pct"/>
          </w:tcPr>
          <w:p>
            <w:pPr>
              <w:pStyle w:val="375"/>
              <w:spacing w:before="91"/>
              <w:ind w:left="415"/>
              <w:rPr>
                <w:color w:val="auto"/>
                <w:sz w:val="21"/>
                <w:highlight w:val="none"/>
              </w:rPr>
            </w:pPr>
            <w:r>
              <w:rPr>
                <w:color w:val="auto"/>
                <w:sz w:val="21"/>
                <w:highlight w:val="none"/>
              </w:rPr>
              <w:t>实际响应的具体内容</w:t>
            </w:r>
          </w:p>
        </w:tc>
        <w:tc>
          <w:tcPr>
            <w:tcW w:w="748" w:type="pct"/>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bl>
    <w:p>
      <w:pPr>
        <w:pStyle w:val="33"/>
        <w:ind w:left="639"/>
        <w:rPr>
          <w:color w:val="auto"/>
          <w:highlight w:val="none"/>
        </w:rPr>
      </w:pPr>
      <w:r>
        <w:rPr>
          <w:color w:val="auto"/>
          <w:highlight w:val="none"/>
        </w:rPr>
        <w:t>若投标人未提供或未填写本表，均视作完全响应招标文件要求。</w:t>
      </w:r>
    </w:p>
    <w:p>
      <w:pPr>
        <w:pStyle w:val="33"/>
        <w:rPr>
          <w:color w:val="auto"/>
          <w:sz w:val="20"/>
          <w:highlight w:val="none"/>
        </w:rPr>
      </w:pPr>
    </w:p>
    <w:p>
      <w:pPr>
        <w:pStyle w:val="33"/>
        <w:spacing w:before="11"/>
        <w:rPr>
          <w:color w:val="auto"/>
          <w:sz w:val="22"/>
          <w:highlight w:val="none"/>
        </w:rPr>
      </w:pPr>
    </w:p>
    <w:p>
      <w:pPr>
        <w:pStyle w:val="33"/>
        <w:spacing w:line="360" w:lineRule="auto"/>
        <w:rPr>
          <w:color w:val="auto"/>
          <w:highlight w:val="none"/>
        </w:rPr>
      </w:pPr>
      <w:r>
        <w:rPr>
          <w:color w:val="auto"/>
          <w:highlight w:val="none"/>
        </w:rPr>
        <w:t>投标人（盖公章）：</w:t>
      </w:r>
    </w:p>
    <w:p>
      <w:pPr>
        <w:pStyle w:val="33"/>
        <w:tabs>
          <w:tab w:val="left" w:pos="1479"/>
          <w:tab w:val="left" w:pos="2110"/>
          <w:tab w:val="left" w:pos="2739"/>
        </w:tabs>
        <w:spacing w:before="139" w:line="360" w:lineRule="auto"/>
        <w:ind w:right="5991"/>
        <w:rPr>
          <w:color w:val="auto"/>
          <w:highlight w:val="none"/>
        </w:rPr>
      </w:pPr>
      <w:r>
        <w:rPr>
          <w:color w:val="auto"/>
          <w:highlight w:val="none"/>
        </w:rPr>
        <w:t>法定代表人或其委托代理人（签字或盖章）：</w:t>
      </w:r>
    </w:p>
    <w:p>
      <w:pPr>
        <w:pStyle w:val="33"/>
        <w:tabs>
          <w:tab w:val="left" w:pos="1479"/>
          <w:tab w:val="left" w:pos="2110"/>
          <w:tab w:val="left" w:pos="2739"/>
        </w:tabs>
        <w:spacing w:after="0" w:line="360" w:lineRule="auto"/>
        <w:rPr>
          <w:color w:val="auto"/>
          <w:highlight w:val="none"/>
        </w:rPr>
      </w:pPr>
      <w:r>
        <w:rPr>
          <w:color w:val="auto"/>
          <w:highlight w:val="none"/>
        </w:rPr>
        <w:t>日期：</w:t>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line="360" w:lineRule="auto"/>
        <w:rPr>
          <w:color w:val="auto"/>
          <w:highlight w:val="none"/>
        </w:rPr>
      </w:pPr>
    </w:p>
    <w:p>
      <w:pPr>
        <w:spacing w:line="360" w:lineRule="auto"/>
        <w:rPr>
          <w:color w:val="auto"/>
          <w:highlight w:val="none"/>
        </w:rPr>
      </w:pPr>
    </w:p>
    <w:p>
      <w:pPr>
        <w:spacing w:before="101" w:after="240" w:afterLines="100" w:line="440" w:lineRule="exact"/>
        <w:jc w:val="center"/>
        <w:outlineLvl w:val="6"/>
        <w:rPr>
          <w:color w:val="auto"/>
          <w:highlight w:val="none"/>
        </w:rPr>
      </w:pPr>
      <w:r>
        <w:rPr>
          <w:rFonts w:hint="eastAsia" w:hAnsi="宋体" w:cs="宋体"/>
          <w:b/>
          <w:color w:val="auto"/>
          <w:sz w:val="32"/>
          <w:szCs w:val="32"/>
          <w:highlight w:val="none"/>
          <w:lang w:val="en-US" w:eastAsia="zh-CN"/>
        </w:rPr>
        <w:t>三</w:t>
      </w:r>
      <w:r>
        <w:rPr>
          <w:rFonts w:hint="eastAsia" w:hAnsi="宋体" w:cs="宋体"/>
          <w:b/>
          <w:color w:val="auto"/>
          <w:sz w:val="32"/>
          <w:szCs w:val="32"/>
          <w:highlight w:val="none"/>
        </w:rPr>
        <w:t>、承诺函</w:t>
      </w:r>
    </w:p>
    <w:p>
      <w:pPr>
        <w:pStyle w:val="33"/>
        <w:rPr>
          <w:color w:val="auto"/>
          <w:highlight w:val="none"/>
        </w:rPr>
      </w:pPr>
      <w:r>
        <w:rPr>
          <w:rFonts w:hint="eastAsia" w:hAnsi="宋体" w:cs="宋体"/>
          <w:b/>
          <w:bCs/>
          <w:color w:val="auto"/>
          <w:szCs w:val="21"/>
          <w:highlight w:val="none"/>
        </w:rPr>
        <w:t>杭州市环境集团有限公司：</w:t>
      </w:r>
    </w:p>
    <w:p>
      <w:pPr>
        <w:pStyle w:val="379"/>
        <w:adjustRightInd w:val="0"/>
        <w:snapToGrid w:val="0"/>
        <w:spacing w:line="360" w:lineRule="auto"/>
        <w:ind w:firstLine="420" w:firstLineChars="200"/>
        <w:rPr>
          <w:rFonts w:hAnsi="宋体" w:cs="宋体"/>
          <w:snapToGrid w:val="0"/>
          <w:color w:val="auto"/>
          <w:sz w:val="21"/>
          <w:highlight w:val="none"/>
        </w:rPr>
      </w:pPr>
      <w:r>
        <w:rPr>
          <w:rFonts w:hint="eastAsia" w:hAnsi="宋体" w:cs="宋体"/>
          <w:snapToGrid w:val="0"/>
          <w:color w:val="auto"/>
          <w:sz w:val="21"/>
          <w:highlight w:val="none"/>
          <w:u w:val="single"/>
        </w:rPr>
        <w:t>（投标人名称）</w:t>
      </w:r>
      <w:r>
        <w:rPr>
          <w:rFonts w:hint="eastAsia" w:hAnsi="宋体" w:cs="宋体"/>
          <w:snapToGrid w:val="0"/>
          <w:color w:val="auto"/>
          <w:sz w:val="21"/>
          <w:highlight w:val="none"/>
        </w:rPr>
        <w:t>承诺响应招标文件第三章“内容需求书”带“★”条款要求。如投标文件中方案描述与带“★”条款要求冲突，以此承诺函为准。</w:t>
      </w:r>
    </w:p>
    <w:p>
      <w:pPr>
        <w:spacing w:line="360" w:lineRule="auto"/>
        <w:rPr>
          <w:color w:val="auto"/>
          <w:highlight w:val="none"/>
        </w:rPr>
      </w:pPr>
    </w:p>
    <w:p>
      <w:pPr>
        <w:pStyle w:val="44"/>
        <w:snapToGrid w:val="0"/>
        <w:spacing w:line="360" w:lineRule="auto"/>
        <w:rPr>
          <w:rFonts w:hAnsi="宋体" w:cs="宋体"/>
          <w:snapToGrid w:val="0"/>
          <w:color w:val="auto"/>
          <w:highlight w:val="none"/>
        </w:rPr>
      </w:pPr>
      <w:r>
        <w:rPr>
          <w:rFonts w:hint="eastAsia" w:hAnsi="宋体" w:cs="宋体"/>
          <w:snapToGrid w:val="0"/>
          <w:color w:val="auto"/>
          <w:highlight w:val="none"/>
        </w:rPr>
        <w:t>投标人（盖公章）：</w:t>
      </w:r>
    </w:p>
    <w:p>
      <w:pPr>
        <w:pStyle w:val="44"/>
        <w:snapToGrid w:val="0"/>
        <w:spacing w:line="360" w:lineRule="auto"/>
        <w:rPr>
          <w:rFonts w:hAnsi="宋体" w:cs="宋体"/>
          <w:snapToGrid w:val="0"/>
          <w:color w:val="auto"/>
          <w:highlight w:val="none"/>
        </w:rPr>
      </w:pPr>
      <w:r>
        <w:rPr>
          <w:rFonts w:hint="eastAsia" w:hAnsi="宋体" w:cs="宋体"/>
          <w:snapToGrid w:val="0"/>
          <w:color w:val="auto"/>
          <w:highlight w:val="none"/>
        </w:rPr>
        <w:t>法定代表人或其委托代理人（签字或盖章）：</w:t>
      </w:r>
    </w:p>
    <w:p>
      <w:pPr>
        <w:pStyle w:val="379"/>
        <w:adjustRightInd w:val="0"/>
        <w:snapToGrid w:val="0"/>
        <w:spacing w:line="360" w:lineRule="auto"/>
        <w:rPr>
          <w:rFonts w:hAnsi="宋体" w:cs="宋体"/>
          <w:color w:val="auto"/>
          <w:sz w:val="21"/>
          <w:highlight w:val="none"/>
        </w:rPr>
      </w:pPr>
      <w:r>
        <w:rPr>
          <w:rFonts w:hint="eastAsia" w:hAnsi="宋体" w:cs="宋体"/>
          <w:snapToGrid w:val="0"/>
          <w:color w:val="auto"/>
          <w:sz w:val="21"/>
          <w:highlight w:val="none"/>
        </w:rPr>
        <w:t>日期：</w:t>
      </w:r>
      <w:r>
        <w:rPr>
          <w:rFonts w:hint="eastAsia" w:hAnsi="宋体" w:cs="宋体"/>
          <w:color w:val="auto"/>
          <w:sz w:val="21"/>
          <w:highlight w:val="none"/>
        </w:rPr>
        <w:t xml:space="preserve">      年    月    日</w:t>
      </w:r>
    </w:p>
    <w:p>
      <w:pPr>
        <w:spacing w:line="360" w:lineRule="auto"/>
        <w:rPr>
          <w:color w:val="auto"/>
          <w:highlight w:val="none"/>
        </w:rPr>
        <w:sectPr>
          <w:pgSz w:w="11920" w:h="16850"/>
          <w:pgMar w:top="1300" w:right="621" w:bottom="840" w:left="880" w:header="567" w:footer="645" w:gutter="0"/>
          <w:pgBorders>
            <w:top w:val="none" w:sz="0" w:space="0"/>
            <w:left w:val="none" w:sz="0" w:space="0"/>
            <w:bottom w:val="none" w:sz="0" w:space="0"/>
            <w:right w:val="none" w:sz="0" w:space="0"/>
          </w:pgBorders>
          <w:pgNumType w:fmt="decimal"/>
          <w:cols w:space="720" w:num="1"/>
        </w:sectPr>
      </w:pPr>
    </w:p>
    <w:p>
      <w:pPr>
        <w:spacing w:before="33"/>
        <w:ind w:right="242"/>
        <w:jc w:val="center"/>
        <w:outlineLvl w:val="1"/>
        <w:rPr>
          <w:b/>
          <w:color w:val="auto"/>
          <w:sz w:val="32"/>
          <w:highlight w:val="none"/>
        </w:rPr>
      </w:pPr>
      <w:bookmarkStart w:id="129" w:name="第六章__合同条款及格式（仅供参考）"/>
      <w:bookmarkEnd w:id="129"/>
      <w:r>
        <w:rPr>
          <w:rFonts w:hint="eastAsia"/>
          <w:b/>
          <w:color w:val="auto"/>
          <w:sz w:val="32"/>
          <w:highlight w:val="none"/>
          <w:lang w:val="en-US" w:eastAsia="zh-CN"/>
        </w:rPr>
        <w:t>四</w:t>
      </w:r>
      <w:r>
        <w:rPr>
          <w:rFonts w:hint="eastAsia"/>
          <w:b/>
          <w:color w:val="auto"/>
          <w:sz w:val="32"/>
          <w:highlight w:val="none"/>
        </w:rPr>
        <w:t>、诚信廉洁承诺函</w:t>
      </w:r>
    </w:p>
    <w:p>
      <w:pPr>
        <w:pStyle w:val="33"/>
        <w:rPr>
          <w:color w:val="auto"/>
          <w:highlight w:val="none"/>
        </w:rPr>
      </w:pPr>
      <w:r>
        <w:rPr>
          <w:rFonts w:hint="eastAsia" w:hAnsi="宋体" w:cs="宋体"/>
          <w:b/>
          <w:bCs/>
          <w:color w:val="auto"/>
          <w:szCs w:val="21"/>
          <w:highlight w:val="none"/>
        </w:rPr>
        <w:t>杭州市环境集团有限公司：</w:t>
      </w:r>
    </w:p>
    <w:p>
      <w:pPr>
        <w:spacing w:line="360" w:lineRule="auto"/>
        <w:ind w:firstLine="630" w:firstLineChars="300"/>
        <w:jc w:val="left"/>
        <w:rPr>
          <w:rFonts w:hAnsi="宋体" w:cs="宋体"/>
          <w:color w:val="auto"/>
          <w:szCs w:val="21"/>
          <w:highlight w:val="none"/>
        </w:rPr>
      </w:pPr>
      <w:r>
        <w:rPr>
          <w:rFonts w:hint="eastAsia" w:hAnsi="宋体" w:cs="宋体"/>
          <w:color w:val="auto"/>
          <w:szCs w:val="21"/>
          <w:highlight w:val="none"/>
          <w:u w:val="single"/>
        </w:rPr>
        <w:t>（投标人名称）</w:t>
      </w:r>
      <w:r>
        <w:rPr>
          <w:rFonts w:hint="eastAsia" w:hAnsi="宋体" w:cs="宋体"/>
          <w:color w:val="auto"/>
          <w:szCs w:val="21"/>
          <w:highlight w:val="none"/>
        </w:rPr>
        <w:t>承诺提供的信息（含投标资料、各项应答及承诺）是真实可靠，并能在</w:t>
      </w:r>
      <w:r>
        <w:rPr>
          <w:rFonts w:hint="eastAsia" w:hAnsi="宋体" w:cs="宋体"/>
          <w:color w:val="auto"/>
          <w:szCs w:val="21"/>
          <w:highlight w:val="none"/>
          <w:lang w:val="en-US" w:eastAsia="zh-CN"/>
        </w:rPr>
        <w:t>合同履行</w:t>
      </w:r>
      <w:r>
        <w:rPr>
          <w:rFonts w:hint="eastAsia" w:hAnsi="宋体" w:cs="宋体"/>
          <w:color w:val="auto"/>
          <w:szCs w:val="21"/>
          <w:highlight w:val="none"/>
        </w:rPr>
        <w:t>期内忠实履行的。</w:t>
      </w:r>
    </w:p>
    <w:p>
      <w:pPr>
        <w:spacing w:line="360" w:lineRule="auto"/>
        <w:ind w:firstLine="630" w:firstLineChars="300"/>
        <w:jc w:val="left"/>
        <w:rPr>
          <w:rFonts w:hAnsi="宋体" w:cs="宋体"/>
          <w:color w:val="auto"/>
          <w:szCs w:val="21"/>
          <w:highlight w:val="none"/>
        </w:rPr>
      </w:pPr>
      <w:r>
        <w:rPr>
          <w:rFonts w:hint="eastAsia" w:hAnsi="宋体" w:cs="宋体"/>
          <w:color w:val="auto"/>
          <w:szCs w:val="21"/>
          <w:highlight w:val="none"/>
          <w:u w:val="single"/>
        </w:rPr>
        <w:t>（投标人名称）</w:t>
      </w:r>
      <w:r>
        <w:rPr>
          <w:rFonts w:hint="eastAsia" w:hAnsi="宋体" w:cs="宋体"/>
          <w:color w:val="auto"/>
          <w:szCs w:val="21"/>
          <w:highlight w:val="none"/>
        </w:rPr>
        <w:t>承诺在双方签订的采购合同中有以下条款：如经招标人查实，投标人在投标时针对本项目提供不实信息，或投标时所做的应答及承诺在中标后无法有效履行，招标人/采购人有权终止已签订的合同，没收中标方的投标保证金、履约保证金、单方面解除合同、暂停其供应商资格、暂停其所有款项的支付，如由此给招标人/采购人带来损失的，还应赔偿招标人的损失。</w:t>
      </w:r>
    </w:p>
    <w:p>
      <w:pPr>
        <w:spacing w:line="360" w:lineRule="auto"/>
        <w:ind w:firstLine="420"/>
        <w:jc w:val="left"/>
        <w:rPr>
          <w:rFonts w:hAnsi="宋体" w:cs="宋体"/>
          <w:color w:val="auto"/>
          <w:szCs w:val="21"/>
          <w:highlight w:val="none"/>
        </w:rPr>
      </w:pPr>
      <w:r>
        <w:rPr>
          <w:rFonts w:hint="eastAsia" w:hAnsi="宋体" w:cs="宋体"/>
          <w:color w:val="auto"/>
          <w:szCs w:val="21"/>
          <w:highlight w:val="none"/>
        </w:rPr>
        <w:t>如我公司在招投标过程中，通过提供不真实的数据或信息，而获取中标资格的供应商，招标人有权将我公司列入供应商不良行为记录名单（即黑名单），取消我公司被列入名单后二年内在招标人、采购人及其他下属全资、控股企业的任何招标或采购中的供应商资格。</w:t>
      </w:r>
    </w:p>
    <w:p>
      <w:pPr>
        <w:spacing w:line="360" w:lineRule="auto"/>
        <w:jc w:val="center"/>
        <w:rPr>
          <w:rFonts w:hAnsi="宋体" w:cs="宋体"/>
          <w:color w:val="auto"/>
          <w:sz w:val="24"/>
          <w:highlight w:val="none"/>
        </w:rPr>
      </w:pPr>
    </w:p>
    <w:p>
      <w:pPr>
        <w:spacing w:line="360" w:lineRule="auto"/>
        <w:jc w:val="center"/>
        <w:rPr>
          <w:rFonts w:hAnsi="宋体" w:cs="宋体"/>
          <w:color w:val="auto"/>
          <w:sz w:val="18"/>
          <w:szCs w:val="18"/>
          <w:highlight w:val="none"/>
        </w:rPr>
      </w:pPr>
    </w:p>
    <w:p>
      <w:pPr>
        <w:rPr>
          <w:rFonts w:hAnsi="宋体" w:cs="宋体"/>
          <w:color w:val="auto"/>
          <w:sz w:val="18"/>
          <w:szCs w:val="18"/>
          <w:highlight w:val="none"/>
        </w:rPr>
      </w:pPr>
    </w:p>
    <w:p>
      <w:pPr>
        <w:rPr>
          <w:rFonts w:hAnsi="宋体" w:cs="宋体"/>
          <w:color w:val="auto"/>
          <w:sz w:val="18"/>
          <w:szCs w:val="18"/>
          <w:highlight w:val="none"/>
        </w:rPr>
      </w:pPr>
    </w:p>
    <w:p>
      <w:pPr>
        <w:rPr>
          <w:rFonts w:hAnsi="宋体" w:cs="宋体"/>
          <w:color w:val="auto"/>
          <w:sz w:val="18"/>
          <w:szCs w:val="18"/>
          <w:highlight w:val="none"/>
        </w:rPr>
      </w:pPr>
    </w:p>
    <w:p>
      <w:pPr>
        <w:pStyle w:val="44"/>
        <w:snapToGrid w:val="0"/>
        <w:spacing w:line="360" w:lineRule="auto"/>
        <w:rPr>
          <w:rFonts w:hAnsi="宋体" w:cs="宋体"/>
          <w:snapToGrid w:val="0"/>
          <w:color w:val="auto"/>
          <w:highlight w:val="none"/>
        </w:rPr>
      </w:pPr>
      <w:r>
        <w:rPr>
          <w:rFonts w:hint="eastAsia" w:hAnsi="宋体" w:cs="宋体"/>
          <w:snapToGrid w:val="0"/>
          <w:color w:val="auto"/>
          <w:highlight w:val="none"/>
        </w:rPr>
        <w:t>投标人（盖公章）：</w:t>
      </w:r>
    </w:p>
    <w:p>
      <w:pPr>
        <w:pStyle w:val="44"/>
        <w:snapToGrid w:val="0"/>
        <w:spacing w:line="360" w:lineRule="auto"/>
        <w:rPr>
          <w:rFonts w:hAnsi="宋体" w:cs="宋体"/>
          <w:snapToGrid w:val="0"/>
          <w:color w:val="auto"/>
          <w:highlight w:val="none"/>
        </w:rPr>
      </w:pPr>
      <w:r>
        <w:rPr>
          <w:rFonts w:hint="eastAsia" w:hAnsi="宋体" w:cs="宋体"/>
          <w:snapToGrid w:val="0"/>
          <w:color w:val="auto"/>
          <w:highlight w:val="none"/>
        </w:rPr>
        <w:t>法定代表人或其委托代理人（签字或盖章）：</w:t>
      </w:r>
    </w:p>
    <w:p>
      <w:pPr>
        <w:pStyle w:val="379"/>
        <w:adjustRightInd w:val="0"/>
        <w:snapToGrid w:val="0"/>
        <w:spacing w:line="360" w:lineRule="auto"/>
        <w:rPr>
          <w:rFonts w:hAnsi="宋体" w:cs="宋体"/>
          <w:color w:val="auto"/>
          <w:sz w:val="21"/>
          <w:highlight w:val="none"/>
        </w:rPr>
      </w:pPr>
      <w:r>
        <w:rPr>
          <w:rFonts w:hint="eastAsia" w:hAnsi="宋体" w:cs="宋体"/>
          <w:snapToGrid w:val="0"/>
          <w:color w:val="auto"/>
          <w:sz w:val="21"/>
          <w:highlight w:val="none"/>
        </w:rPr>
        <w:t>日期：</w:t>
      </w:r>
      <w:r>
        <w:rPr>
          <w:rFonts w:hint="eastAsia" w:hAnsi="宋体" w:cs="宋体"/>
          <w:color w:val="auto"/>
          <w:sz w:val="21"/>
          <w:highlight w:val="none"/>
        </w:rPr>
        <w:t xml:space="preserve">      年    月    日</w:t>
      </w:r>
    </w:p>
    <w:p>
      <w:pPr>
        <w:spacing w:before="101" w:after="312" w:afterLines="100" w:line="440" w:lineRule="exact"/>
        <w:jc w:val="center"/>
        <w:outlineLvl w:val="9"/>
        <w:rPr>
          <w:rFonts w:hAnsi="宋体" w:cs="宋体"/>
          <w:b/>
          <w:bCs/>
          <w:color w:val="auto"/>
          <w:spacing w:val="11"/>
          <w:sz w:val="31"/>
          <w:szCs w:val="31"/>
          <w:highlight w:val="none"/>
        </w:rPr>
      </w:pPr>
    </w:p>
    <w:p>
      <w:pPr>
        <w:spacing w:before="101" w:after="312" w:afterLines="100" w:line="440" w:lineRule="exact"/>
        <w:jc w:val="center"/>
        <w:outlineLvl w:val="9"/>
        <w:rPr>
          <w:rFonts w:hAnsi="宋体" w:cs="宋体"/>
          <w:b/>
          <w:bCs/>
          <w:color w:val="auto"/>
          <w:spacing w:val="11"/>
          <w:sz w:val="31"/>
          <w:szCs w:val="31"/>
          <w:highlight w:val="none"/>
        </w:rPr>
      </w:pPr>
    </w:p>
    <w:p>
      <w:pPr>
        <w:spacing w:before="101" w:after="312" w:afterLines="100" w:line="440" w:lineRule="exact"/>
        <w:jc w:val="center"/>
        <w:outlineLvl w:val="1"/>
        <w:rPr>
          <w:rFonts w:hAnsi="宋体" w:cs="宋体"/>
          <w:b/>
          <w:bCs/>
          <w:color w:val="auto"/>
          <w:spacing w:val="11"/>
          <w:sz w:val="31"/>
          <w:szCs w:val="31"/>
          <w:highlight w:val="none"/>
        </w:rPr>
      </w:pPr>
      <w:r>
        <w:rPr>
          <w:rFonts w:hint="eastAsia" w:hAnsi="宋体" w:cs="宋体"/>
          <w:b/>
          <w:bCs/>
          <w:color w:val="auto"/>
          <w:sz w:val="28"/>
          <w:szCs w:val="28"/>
          <w:highlight w:val="none"/>
          <w:lang w:val="en-US" w:eastAsia="zh-CN"/>
        </w:rPr>
        <w:t>五</w:t>
      </w:r>
      <w:r>
        <w:rPr>
          <w:rFonts w:hint="eastAsia" w:hAnsi="宋体" w:cs="宋体"/>
          <w:b/>
          <w:bCs/>
          <w:color w:val="auto"/>
          <w:sz w:val="28"/>
          <w:szCs w:val="28"/>
          <w:highlight w:val="none"/>
        </w:rPr>
        <w:t>、投标人认为有必要的其他内容（包括与评分细则有关的内容）</w:t>
      </w:r>
    </w:p>
    <w:p>
      <w:pPr>
        <w:spacing w:before="101" w:after="312" w:afterLines="100" w:line="440" w:lineRule="exact"/>
        <w:jc w:val="center"/>
        <w:outlineLvl w:val="9"/>
        <w:rPr>
          <w:rFonts w:hAnsi="宋体" w:cs="宋体"/>
          <w:b/>
          <w:bCs/>
          <w:color w:val="auto"/>
          <w:spacing w:val="11"/>
          <w:sz w:val="31"/>
          <w:szCs w:val="31"/>
          <w:highlight w:val="none"/>
        </w:rPr>
      </w:pPr>
    </w:p>
    <w:p>
      <w:pPr>
        <w:spacing w:before="101" w:after="312" w:afterLines="100" w:line="440" w:lineRule="exact"/>
        <w:jc w:val="center"/>
        <w:outlineLvl w:val="9"/>
        <w:rPr>
          <w:rFonts w:hAnsi="宋体" w:cs="宋体"/>
          <w:b/>
          <w:bCs/>
          <w:color w:val="auto"/>
          <w:spacing w:val="11"/>
          <w:sz w:val="31"/>
          <w:szCs w:val="31"/>
          <w:highlight w:val="none"/>
        </w:rPr>
      </w:pPr>
    </w:p>
    <w:p>
      <w:pPr>
        <w:spacing w:before="101" w:after="312" w:afterLines="100" w:line="440" w:lineRule="exact"/>
        <w:jc w:val="center"/>
        <w:outlineLvl w:val="9"/>
        <w:rPr>
          <w:rFonts w:hAnsi="宋体" w:cs="宋体"/>
          <w:b/>
          <w:bCs/>
          <w:color w:val="auto"/>
          <w:spacing w:val="11"/>
          <w:sz w:val="31"/>
          <w:szCs w:val="31"/>
          <w:highlight w:val="none"/>
        </w:rPr>
      </w:pPr>
    </w:p>
    <w:p>
      <w:pPr>
        <w:spacing w:before="101" w:after="312" w:afterLines="100" w:line="440" w:lineRule="exact"/>
        <w:jc w:val="center"/>
        <w:outlineLvl w:val="9"/>
        <w:rPr>
          <w:rFonts w:hAnsi="宋体" w:cs="宋体"/>
          <w:b/>
          <w:bCs/>
          <w:color w:val="auto"/>
          <w:spacing w:val="11"/>
          <w:sz w:val="31"/>
          <w:szCs w:val="31"/>
          <w:highlight w:val="none"/>
        </w:rPr>
      </w:pPr>
    </w:p>
    <w:p>
      <w:pPr>
        <w:spacing w:before="101" w:after="312" w:afterLines="100" w:line="440" w:lineRule="exact"/>
        <w:jc w:val="center"/>
        <w:outlineLvl w:val="9"/>
        <w:rPr>
          <w:rFonts w:hAnsi="宋体" w:cs="宋体"/>
          <w:b/>
          <w:bCs/>
          <w:color w:val="auto"/>
          <w:spacing w:val="11"/>
          <w:sz w:val="31"/>
          <w:szCs w:val="31"/>
          <w:highlight w:val="none"/>
        </w:rPr>
      </w:pPr>
    </w:p>
    <w:p>
      <w:pPr>
        <w:spacing w:before="101" w:after="312" w:afterLines="100" w:line="440" w:lineRule="exact"/>
        <w:jc w:val="center"/>
        <w:outlineLvl w:val="6"/>
        <w:rPr>
          <w:rFonts w:ascii="Times New Roman" w:hAnsi="Times New Roman"/>
          <w:bCs/>
          <w:color w:val="auto"/>
          <w:sz w:val="24"/>
          <w:highlight w:val="none"/>
        </w:rPr>
      </w:pPr>
      <w:r>
        <w:rPr>
          <w:rFonts w:hint="eastAsia" w:hAnsi="宋体" w:cs="宋体"/>
          <w:b/>
          <w:color w:val="auto"/>
          <w:sz w:val="32"/>
          <w:szCs w:val="32"/>
          <w:highlight w:val="none"/>
          <w:lang w:val="en-US" w:eastAsia="zh-CN"/>
        </w:rPr>
        <w:t>六</w:t>
      </w:r>
      <w:r>
        <w:rPr>
          <w:rFonts w:hint="eastAsia" w:hAnsi="宋体" w:cs="宋体"/>
          <w:b/>
          <w:color w:val="auto"/>
          <w:sz w:val="32"/>
          <w:szCs w:val="32"/>
          <w:highlight w:val="none"/>
        </w:rPr>
        <w:t>、退还投标保证金申请书</w:t>
      </w:r>
      <w:r>
        <w:rPr>
          <w:rFonts w:hint="eastAsia" w:ascii="Times New Roman" w:hAnsi="Times New Roman"/>
          <w:b/>
          <w:color w:val="auto"/>
          <w:sz w:val="24"/>
          <w:highlight w:val="none"/>
        </w:rPr>
        <w:t>（不需要装订在</w:t>
      </w:r>
      <w:r>
        <w:rPr>
          <w:rFonts w:hint="eastAsia" w:ascii="Times New Roman" w:hAnsi="Times New Roman"/>
          <w:b/>
          <w:color w:val="auto"/>
          <w:sz w:val="24"/>
          <w:highlight w:val="none"/>
          <w:lang w:val="en-US" w:eastAsia="zh-CN"/>
        </w:rPr>
        <w:t>投标</w:t>
      </w:r>
      <w:r>
        <w:rPr>
          <w:rFonts w:hint="eastAsia" w:ascii="Times New Roman" w:hAnsi="Times New Roman"/>
          <w:b/>
          <w:color w:val="auto"/>
          <w:sz w:val="24"/>
          <w:highlight w:val="none"/>
        </w:rPr>
        <w:t>文件当中）</w:t>
      </w:r>
    </w:p>
    <w:p>
      <w:pPr>
        <w:pStyle w:val="59"/>
        <w:rPr>
          <w:color w:val="auto"/>
          <w:highlight w:val="none"/>
        </w:rPr>
      </w:pPr>
    </w:p>
    <w:p>
      <w:pPr>
        <w:spacing w:line="360" w:lineRule="auto"/>
        <w:rPr>
          <w:rFonts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 xml:space="preserve">  杭州市环境集团有限公司    </w:t>
      </w:r>
    </w:p>
    <w:p>
      <w:pPr>
        <w:spacing w:line="360" w:lineRule="auto"/>
        <w:ind w:firstLine="480"/>
        <w:rPr>
          <w:rFonts w:hAnsi="宋体" w:cs="宋体"/>
          <w:color w:val="auto"/>
          <w:sz w:val="24"/>
          <w:szCs w:val="24"/>
          <w:highlight w:val="none"/>
        </w:rPr>
      </w:pPr>
      <w:r>
        <w:rPr>
          <w:rFonts w:hint="eastAsia" w:hAnsi="宋体" w:cs="宋体"/>
          <w:color w:val="auto"/>
          <w:sz w:val="24"/>
          <w:szCs w:val="24"/>
          <w:highlight w:val="none"/>
        </w:rPr>
        <w:t>我公司参加了贵司的</w:t>
      </w:r>
      <w:r>
        <w:rPr>
          <w:rFonts w:hint="eastAsia" w:hAnsi="宋体" w:cs="宋体"/>
          <w:color w:val="auto"/>
          <w:sz w:val="24"/>
          <w:szCs w:val="24"/>
          <w:highlight w:val="none"/>
          <w:u w:val="single"/>
        </w:rPr>
        <w:t xml:space="preserve">    （项目名称）    </w:t>
      </w:r>
      <w:r>
        <w:rPr>
          <w:rFonts w:hint="eastAsia" w:hAnsi="宋体" w:cs="宋体"/>
          <w:color w:val="auto"/>
          <w:sz w:val="24"/>
          <w:szCs w:val="24"/>
          <w:highlight w:val="none"/>
        </w:rPr>
        <w:t>项目（招标编号：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）的投标，现申请退还该笔投标保证金，本申请书也作为收款凭证。</w:t>
      </w:r>
    </w:p>
    <w:tbl>
      <w:tblPr>
        <w:tblStyle w:val="88"/>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申请人信息</w:t>
            </w: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供应商（</w:t>
            </w:r>
            <w:r>
              <w:rPr>
                <w:rFonts w:hint="eastAsia" w:hAnsi="宋体" w:cs="宋体"/>
                <w:b/>
                <w:i/>
                <w:color w:val="auto"/>
                <w:sz w:val="24"/>
                <w:szCs w:val="24"/>
                <w:highlight w:val="none"/>
              </w:rPr>
              <w:t>加盖公章或财务专用章</w:t>
            </w:r>
            <w:r>
              <w:rPr>
                <w:rFonts w:hint="eastAsia" w:hAnsi="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highlight w:val="none"/>
              </w:rPr>
            </w:pPr>
          </w:p>
        </w:tc>
        <w:tc>
          <w:tcPr>
            <w:tcW w:w="4084" w:type="dxa"/>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财务联系人：</w:t>
            </w:r>
          </w:p>
        </w:tc>
        <w:tc>
          <w:tcPr>
            <w:tcW w:w="1607" w:type="dxa"/>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联系方式</w:t>
            </w:r>
          </w:p>
        </w:tc>
        <w:tc>
          <w:tcPr>
            <w:tcW w:w="2038" w:type="dxa"/>
            <w:vAlign w:val="center"/>
          </w:tcPr>
          <w:p>
            <w:pPr>
              <w:spacing w:line="360" w:lineRule="auto"/>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highlight w:val="none"/>
              </w:rPr>
            </w:pPr>
          </w:p>
        </w:tc>
        <w:tc>
          <w:tcPr>
            <w:tcW w:w="4084" w:type="dxa"/>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项目负责人：</w:t>
            </w:r>
          </w:p>
        </w:tc>
        <w:tc>
          <w:tcPr>
            <w:tcW w:w="1607" w:type="dxa"/>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联系方式</w:t>
            </w:r>
          </w:p>
        </w:tc>
        <w:tc>
          <w:tcPr>
            <w:tcW w:w="2038" w:type="dxa"/>
            <w:vAlign w:val="center"/>
          </w:tcPr>
          <w:p>
            <w:pPr>
              <w:spacing w:line="360" w:lineRule="auto"/>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highlight w:val="none"/>
              </w:rPr>
            </w:pP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投标保证金金额（大写）：人民币</w:t>
            </w:r>
          </w:p>
          <w:p>
            <w:pPr>
              <w:spacing w:line="360" w:lineRule="auto"/>
              <w:rPr>
                <w:rFonts w:hAnsi="宋体" w:cs="宋体"/>
                <w:color w:val="auto"/>
                <w:sz w:val="24"/>
                <w:szCs w:val="24"/>
                <w:highlight w:val="none"/>
              </w:rPr>
            </w:pPr>
            <w:r>
              <w:rPr>
                <w:rFonts w:hint="eastAsia" w:hAnsi="宋体" w:cs="宋体"/>
                <w:color w:val="auto"/>
                <w:sz w:val="24"/>
                <w:szCs w:val="24"/>
                <w:highlight w:val="none"/>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highlight w:val="none"/>
              </w:rPr>
            </w:pP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退还账户信息</w:t>
            </w: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hAnsi="宋体" w:cs="宋体"/>
                <w:color w:val="auto"/>
                <w:sz w:val="24"/>
                <w:szCs w:val="24"/>
                <w:highlight w:val="none"/>
              </w:rPr>
            </w:pP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hAnsi="宋体" w:cs="宋体"/>
                <w:color w:val="auto"/>
                <w:sz w:val="24"/>
                <w:szCs w:val="24"/>
                <w:highlight w:val="none"/>
              </w:rPr>
            </w:pP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hAnsi="宋体" w:cs="宋体"/>
                <w:color w:val="auto"/>
                <w:sz w:val="24"/>
                <w:szCs w:val="24"/>
                <w:highlight w:val="none"/>
              </w:rPr>
            </w:pP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银行行号：</w:t>
            </w:r>
          </w:p>
        </w:tc>
      </w:tr>
    </w:tbl>
    <w:p>
      <w:pPr>
        <w:pStyle w:val="33"/>
        <w:rPr>
          <w:rFonts w:hAnsi="宋体" w:cs="宋体"/>
          <w:color w:val="auto"/>
          <w:sz w:val="24"/>
          <w:szCs w:val="24"/>
          <w:highlight w:val="none"/>
        </w:rPr>
      </w:pPr>
    </w:p>
    <w:p>
      <w:pPr>
        <w:pBdr>
          <w:top w:val="single" w:color="auto" w:sz="4" w:space="1"/>
          <w:left w:val="single" w:color="auto" w:sz="4" w:space="4"/>
          <w:bottom w:val="single" w:color="auto" w:sz="4" w:space="1"/>
          <w:right w:val="single" w:color="auto" w:sz="4" w:space="0"/>
        </w:pBdr>
        <w:adjustRightInd w:val="0"/>
        <w:snapToGrid w:val="0"/>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收 据</w:t>
      </w:r>
    </w:p>
    <w:p>
      <w:pPr>
        <w:pBdr>
          <w:top w:val="single" w:color="auto" w:sz="4" w:space="1"/>
          <w:left w:val="single" w:color="auto" w:sz="4" w:space="4"/>
          <w:bottom w:val="single" w:color="auto" w:sz="4" w:space="1"/>
          <w:right w:val="single" w:color="auto" w:sz="4" w:space="0"/>
        </w:pBdr>
        <w:adjustRightInd w:val="0"/>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兹收到</w:t>
      </w:r>
      <w:r>
        <w:rPr>
          <w:rFonts w:hint="eastAsia" w:hAnsi="宋体" w:cs="宋体"/>
          <w:color w:val="auto"/>
          <w:sz w:val="24"/>
          <w:szCs w:val="24"/>
          <w:highlight w:val="none"/>
          <w:u w:val="single"/>
        </w:rPr>
        <w:t xml:space="preserve"> 杭州市</w:t>
      </w:r>
      <w:r>
        <w:rPr>
          <w:rFonts w:hint="eastAsia" w:hAnsi="宋体" w:cs="宋体"/>
          <w:color w:val="auto"/>
          <w:sz w:val="24"/>
          <w:szCs w:val="24"/>
          <w:highlight w:val="none"/>
          <w:u w:val="single"/>
          <w:lang w:val="en-US" w:eastAsia="zh-CN"/>
        </w:rPr>
        <w:t>能源</w:t>
      </w:r>
      <w:r>
        <w:rPr>
          <w:rFonts w:hint="eastAsia" w:hAnsi="宋体" w:cs="宋体"/>
          <w:color w:val="auto"/>
          <w:sz w:val="24"/>
          <w:szCs w:val="24"/>
          <w:highlight w:val="none"/>
          <w:u w:val="single"/>
        </w:rPr>
        <w:t xml:space="preserve">集团有限公司 </w:t>
      </w:r>
      <w:r>
        <w:rPr>
          <w:rFonts w:hint="eastAsia" w:hAnsi="宋体" w:cs="宋体"/>
          <w:color w:val="auto"/>
          <w:sz w:val="24"/>
          <w:szCs w:val="24"/>
          <w:highlight w:val="none"/>
        </w:rPr>
        <w:t>退回</w:t>
      </w:r>
      <w:r>
        <w:rPr>
          <w:rFonts w:hint="eastAsia" w:hAnsi="宋体" w:cs="宋体"/>
          <w:color w:val="auto"/>
          <w:sz w:val="24"/>
          <w:szCs w:val="24"/>
          <w:highlight w:val="none"/>
          <w:u w:val="single"/>
        </w:rPr>
        <w:t xml:space="preserve">  （项目名称） </w:t>
      </w:r>
      <w:r>
        <w:rPr>
          <w:rFonts w:hint="eastAsia" w:hAnsi="宋体" w:cs="宋体"/>
          <w:color w:val="auto"/>
          <w:sz w:val="24"/>
          <w:szCs w:val="24"/>
          <w:highlight w:val="none"/>
        </w:rPr>
        <w:t>项目（招标编号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）的投标保证金。金额为：大写（人民币：             ），小写（RMB          ）。</w:t>
      </w:r>
    </w:p>
    <w:p>
      <w:pPr>
        <w:pBdr>
          <w:top w:val="single" w:color="auto" w:sz="4" w:space="1"/>
          <w:left w:val="single" w:color="auto" w:sz="4" w:space="4"/>
          <w:bottom w:val="single" w:color="auto" w:sz="4" w:space="1"/>
          <w:right w:val="single" w:color="auto" w:sz="4" w:space="0"/>
        </w:pBdr>
        <w:adjustRightInd w:val="0"/>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 xml:space="preserve">                               </w:t>
      </w:r>
    </w:p>
    <w:p>
      <w:pPr>
        <w:pBdr>
          <w:top w:val="single" w:color="auto" w:sz="4" w:space="1"/>
          <w:left w:val="single" w:color="auto" w:sz="4" w:space="4"/>
          <w:bottom w:val="single" w:color="auto" w:sz="4" w:space="1"/>
          <w:right w:val="single" w:color="auto" w:sz="4" w:space="0"/>
        </w:pBdr>
        <w:adjustRightInd w:val="0"/>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 xml:space="preserve"> 收款单位名称：        （</w:t>
      </w:r>
      <w:r>
        <w:rPr>
          <w:rFonts w:hint="eastAsia" w:hAnsi="宋体" w:cs="宋体"/>
          <w:b/>
          <w:i/>
          <w:color w:val="auto"/>
          <w:sz w:val="24"/>
          <w:szCs w:val="24"/>
          <w:highlight w:val="none"/>
        </w:rPr>
        <w:t>加盖公章或财务专用章</w:t>
      </w:r>
      <w:r>
        <w:rPr>
          <w:rFonts w:hint="eastAsia" w:hAnsi="宋体" w:cs="宋体"/>
          <w:color w:val="auto"/>
          <w:sz w:val="24"/>
          <w:szCs w:val="24"/>
          <w:highlight w:val="none"/>
        </w:rPr>
        <w:t>）</w:t>
      </w:r>
    </w:p>
    <w:p>
      <w:pPr>
        <w:pBdr>
          <w:top w:val="single" w:color="auto" w:sz="4" w:space="1"/>
          <w:left w:val="single" w:color="auto" w:sz="4" w:space="4"/>
          <w:bottom w:val="single" w:color="auto" w:sz="4" w:space="1"/>
          <w:right w:val="single" w:color="auto" w:sz="4" w:space="0"/>
        </w:pBdr>
        <w:adjustRightInd w:val="0"/>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 xml:space="preserve"> 日期：                                                                       </w:t>
      </w:r>
    </w:p>
    <w:p>
      <w:pPr>
        <w:pStyle w:val="59"/>
        <w:tabs>
          <w:tab w:val="right" w:leader="dot" w:pos="8296"/>
        </w:tabs>
        <w:adjustRightInd/>
        <w:snapToGrid/>
        <w:rPr>
          <w:rFonts w:hAnsi="宋体" w:cs="宋体"/>
          <w:b/>
          <w:bCs/>
          <w:color w:val="auto"/>
          <w:kern w:val="2"/>
          <w:sz w:val="24"/>
          <w:szCs w:val="24"/>
          <w:highlight w:val="none"/>
        </w:rPr>
      </w:pPr>
      <w:r>
        <w:rPr>
          <w:rFonts w:hint="eastAsia" w:hAnsi="宋体" w:cs="宋体"/>
          <w:b/>
          <w:bCs/>
          <w:color w:val="auto"/>
          <w:kern w:val="2"/>
          <w:sz w:val="24"/>
          <w:szCs w:val="24"/>
          <w:highlight w:val="none"/>
        </w:rPr>
        <w:t>备注：退还投标保证金申请书在投标当日同招标文件一起带到现场并交给招标人，并收据生效之日为招标人退还</w:t>
      </w:r>
      <w:r>
        <w:rPr>
          <w:rFonts w:hint="eastAsia" w:hAnsi="宋体" w:cs="宋体"/>
          <w:b/>
          <w:bCs/>
          <w:color w:val="auto"/>
          <w:kern w:val="2"/>
          <w:sz w:val="24"/>
          <w:szCs w:val="24"/>
          <w:highlight w:val="none"/>
          <w:lang w:val="en-US" w:eastAsia="zh-CN"/>
        </w:rPr>
        <w:t>投标</w:t>
      </w:r>
      <w:r>
        <w:rPr>
          <w:rFonts w:hint="eastAsia" w:hAnsi="宋体" w:cs="宋体"/>
          <w:b/>
          <w:bCs/>
          <w:color w:val="auto"/>
          <w:kern w:val="2"/>
          <w:sz w:val="24"/>
          <w:szCs w:val="24"/>
          <w:highlight w:val="none"/>
        </w:rPr>
        <w:t>保证金之日。</w:t>
      </w:r>
    </w:p>
    <w:bookmarkEnd w:id="87"/>
    <w:bookmarkEnd w:id="88"/>
    <w:p>
      <w:pPr>
        <w:rPr>
          <w:color w:val="auto"/>
          <w:highlight w:val="none"/>
        </w:rPr>
      </w:pPr>
    </w:p>
    <w:p>
      <w:pPr>
        <w:rPr>
          <w:color w:val="auto"/>
          <w:highlight w:val="none"/>
        </w:rPr>
      </w:pPr>
    </w:p>
    <w:p>
      <w:pPr>
        <w:rPr>
          <w:color w:val="auto"/>
          <w:highlight w:val="none"/>
        </w:rPr>
      </w:pPr>
    </w:p>
    <w:p>
      <w:pPr>
        <w:rPr>
          <w:color w:val="auto"/>
          <w:highlight w:val="none"/>
        </w:rPr>
      </w:pPr>
    </w:p>
    <w:p>
      <w:pPr>
        <w:adjustRightInd w:val="0"/>
        <w:spacing w:before="156" w:beforeLines="50" w:after="156" w:afterLines="50" w:line="360" w:lineRule="auto"/>
        <w:jc w:val="center"/>
        <w:outlineLvl w:val="0"/>
        <w:rPr>
          <w:rFonts w:hAnsi="宋体"/>
          <w:b/>
          <w:bCs/>
          <w:color w:val="auto"/>
          <w:sz w:val="22"/>
          <w:szCs w:val="22"/>
          <w:highlight w:val="none"/>
        </w:rPr>
      </w:pPr>
      <w:bookmarkStart w:id="130" w:name="_Toc13290"/>
      <w:r>
        <w:rPr>
          <w:rFonts w:hint="eastAsia" w:hAnsi="宋体" w:cs="宋体"/>
          <w:b/>
          <w:bCs/>
          <w:color w:val="auto"/>
          <w:sz w:val="36"/>
          <w:highlight w:val="none"/>
        </w:rPr>
        <w:t>第六章 合同条款及格式</w:t>
      </w:r>
      <w:bookmarkEnd w:id="130"/>
    </w:p>
    <w:p>
      <w:pPr>
        <w:pStyle w:val="99"/>
        <w:rPr>
          <w:rFonts w:hAnsi="宋体" w:cs="黑体"/>
          <w:b/>
          <w:snapToGrid w:val="0"/>
          <w:color w:val="auto"/>
          <w:sz w:val="32"/>
          <w:szCs w:val="32"/>
          <w:highlight w:val="none"/>
          <w:u w:val="single"/>
          <w:lang w:val="zh-CN"/>
        </w:rPr>
      </w:pPr>
      <w:bookmarkStart w:id="131" w:name="_Toc28335"/>
      <w:bookmarkStart w:id="132" w:name="_Toc25581"/>
      <w:bookmarkStart w:id="133" w:name="_Toc3419"/>
      <w:r>
        <w:rPr>
          <w:rFonts w:hint="eastAsia" w:ascii="宋体" w:hAnsi="宋体"/>
          <w:color w:val="auto"/>
          <w:sz w:val="24"/>
          <w:highlight w:val="none"/>
        </w:rPr>
        <w:t>（最终合同条款以实际签订为准）</w:t>
      </w:r>
      <w:bookmarkEnd w:id="131"/>
      <w:bookmarkEnd w:id="132"/>
      <w:bookmarkEnd w:id="133"/>
    </w:p>
    <w:p>
      <w:pPr>
        <w:spacing w:line="360" w:lineRule="auto"/>
        <w:jc w:val="center"/>
        <w:rPr>
          <w:rFonts w:hAnsi="宋体" w:cs="宋体"/>
          <w:b/>
          <w:bCs/>
          <w:color w:val="auto"/>
          <w:sz w:val="30"/>
          <w:szCs w:val="30"/>
          <w:highlight w:val="none"/>
        </w:rPr>
      </w:pPr>
      <w:bookmarkStart w:id="134" w:name="_Toc101294428"/>
      <w:bookmarkStart w:id="135" w:name="_Toc101294498"/>
      <w:r>
        <w:rPr>
          <w:rFonts w:hint="eastAsia" w:hAnsi="宋体" w:cs="宋体"/>
          <w:b/>
          <w:bCs/>
          <w:color w:val="auto"/>
          <w:sz w:val="30"/>
          <w:szCs w:val="30"/>
          <w:highlight w:val="none"/>
        </w:rPr>
        <w:t>炉渣综合处置服务合同</w:t>
      </w:r>
    </w:p>
    <w:p>
      <w:pPr>
        <w:spacing w:line="360" w:lineRule="auto"/>
        <w:rPr>
          <w:color w:val="auto"/>
          <w:szCs w:val="21"/>
          <w:highlight w:val="none"/>
        </w:rPr>
      </w:pPr>
      <w:r>
        <w:rPr>
          <w:rFonts w:hint="eastAsia"/>
          <w:color w:val="auto"/>
          <w:szCs w:val="21"/>
          <w:highlight w:val="none"/>
        </w:rPr>
        <w:t>甲方：杭州临江环境能源有限公司</w:t>
      </w:r>
    </w:p>
    <w:p>
      <w:pPr>
        <w:spacing w:line="360" w:lineRule="auto"/>
        <w:jc w:val="left"/>
        <w:rPr>
          <w:color w:val="auto"/>
          <w:szCs w:val="21"/>
          <w:highlight w:val="none"/>
        </w:rPr>
      </w:pPr>
      <w:r>
        <w:rPr>
          <w:rFonts w:hint="eastAsia"/>
          <w:color w:val="auto"/>
          <w:szCs w:val="21"/>
          <w:highlight w:val="none"/>
        </w:rPr>
        <w:t>乙方：</w:t>
      </w:r>
      <w:r>
        <w:rPr>
          <w:color w:val="auto"/>
          <w:szCs w:val="21"/>
          <w:highlight w:val="none"/>
        </w:rPr>
        <w:t xml:space="preserve"> </w:t>
      </w:r>
    </w:p>
    <w:p>
      <w:pPr>
        <w:spacing w:line="360" w:lineRule="auto"/>
        <w:ind w:firstLine="371" w:firstLineChars="177"/>
        <w:rPr>
          <w:color w:val="auto"/>
          <w:szCs w:val="21"/>
          <w:highlight w:val="none"/>
        </w:rPr>
      </w:pPr>
      <w:bookmarkStart w:id="136" w:name="_Toc490558413"/>
      <w:r>
        <w:rPr>
          <w:rFonts w:hint="eastAsia"/>
          <w:color w:val="auto"/>
          <w:szCs w:val="21"/>
          <w:highlight w:val="none"/>
        </w:rPr>
        <w:t>根据有关法律法规的规定，遵循平等、自愿、公平和诚实信用原则，经双方协商，就杭州临江环境能源有限公司炉渣综合处置服务项目事宜达成以下合同细则：</w:t>
      </w:r>
      <w:bookmarkEnd w:id="136"/>
    </w:p>
    <w:p>
      <w:pPr>
        <w:spacing w:line="360" w:lineRule="auto"/>
        <w:rPr>
          <w:b/>
          <w:bCs/>
          <w:color w:val="auto"/>
          <w:szCs w:val="21"/>
          <w:highlight w:val="none"/>
        </w:rPr>
      </w:pPr>
      <w:r>
        <w:rPr>
          <w:rFonts w:hint="eastAsia" w:asciiTheme="minorHAnsi" w:hAnsiTheme="minorHAnsi" w:eastAsiaTheme="minorEastAsia" w:cstheme="minorBidi"/>
          <w:b/>
          <w:bCs/>
          <w:color w:val="auto"/>
          <w:kern w:val="2"/>
          <w:szCs w:val="21"/>
          <w:highlight w:val="none"/>
        </w:rPr>
        <w:t>第一条</w:t>
      </w:r>
      <w:r>
        <w:rPr>
          <w:rFonts w:hint="eastAsia" w:cstheme="minorBidi"/>
          <w:b/>
          <w:bCs/>
          <w:color w:val="auto"/>
          <w:kern w:val="2"/>
          <w:szCs w:val="21"/>
          <w:highlight w:val="none"/>
        </w:rPr>
        <w:t xml:space="preserve"> </w:t>
      </w:r>
      <w:r>
        <w:rPr>
          <w:rFonts w:hint="eastAsia"/>
          <w:b/>
          <w:bCs/>
          <w:color w:val="auto"/>
          <w:szCs w:val="21"/>
          <w:highlight w:val="none"/>
        </w:rPr>
        <w:t>项目概况</w:t>
      </w:r>
    </w:p>
    <w:p>
      <w:pPr>
        <w:adjustRightInd w:val="0"/>
        <w:snapToGrid w:val="0"/>
        <w:spacing w:line="360" w:lineRule="auto"/>
        <w:ind w:firstLine="420" w:firstLineChars="200"/>
        <w:rPr>
          <w:rFonts w:hAnsi="宋体"/>
          <w:color w:val="auto"/>
          <w:szCs w:val="21"/>
          <w:highlight w:val="none"/>
        </w:rPr>
      </w:pPr>
      <w:r>
        <w:rPr>
          <w:rFonts w:hint="eastAsia" w:hAnsi="宋体"/>
          <w:color w:val="auto"/>
          <w:szCs w:val="21"/>
          <w:highlight w:val="none"/>
        </w:rPr>
        <w:t>乙方根据甲方制定的责任、目标，进行综合处置及销售。乙方须充分分析考虑炉渣品质、价值具有不确定性的风险，自主经营，自负盈亏。</w:t>
      </w:r>
      <w:r>
        <w:rPr>
          <w:rFonts w:hint="eastAsia" w:asciiTheme="minorEastAsia" w:hAnsiTheme="minorEastAsia" w:eastAsiaTheme="minorEastAsia" w:cstheme="minorEastAsia"/>
          <w:color w:val="auto"/>
          <w:szCs w:val="21"/>
          <w:highlight w:val="none"/>
          <w:lang w:val="en-US" w:eastAsia="zh-CN"/>
        </w:rPr>
        <w:t>炉渣分选出的金属、细沙（底泥）等的处置按照法律法规和当地政府政策要求执行。</w:t>
      </w:r>
    </w:p>
    <w:p>
      <w:pPr>
        <w:spacing w:line="360" w:lineRule="auto"/>
        <w:ind w:firstLine="430"/>
        <w:rPr>
          <w:rFonts w:hAnsi="宋体"/>
          <w:color w:val="auto"/>
          <w:szCs w:val="21"/>
          <w:highlight w:val="none"/>
        </w:rPr>
      </w:pPr>
      <w:r>
        <w:rPr>
          <w:rFonts w:hint="eastAsia" w:hAnsi="宋体"/>
          <w:color w:val="auto"/>
          <w:szCs w:val="21"/>
          <w:highlight w:val="none"/>
        </w:rPr>
        <w:t>处置炉渣范围：杭州临江环境能源有限公司垃圾焚烧发电厂</w:t>
      </w:r>
      <w:r>
        <w:rPr>
          <w:rFonts w:hint="eastAsia" w:hAnsi="宋体"/>
          <w:color w:val="auto"/>
          <w:szCs w:val="21"/>
          <w:highlight w:val="none"/>
          <w:lang w:val="en-US" w:eastAsia="zh-CN"/>
        </w:rPr>
        <w:t>产生的</w:t>
      </w:r>
      <w:r>
        <w:rPr>
          <w:rFonts w:hint="eastAsia" w:hAnsi="宋体"/>
          <w:color w:val="auto"/>
          <w:szCs w:val="21"/>
          <w:highlight w:val="none"/>
        </w:rPr>
        <w:t xml:space="preserve">炉渣。乙方不得私自处理其他来源的炉渣，也不得将本项目炉渣运至其他地方处置。 </w:t>
      </w:r>
      <w:r>
        <w:rPr>
          <w:rFonts w:hAnsi="宋体"/>
          <w:color w:val="auto"/>
          <w:szCs w:val="21"/>
          <w:highlight w:val="none"/>
        </w:rPr>
        <w:t xml:space="preserve"> </w:t>
      </w:r>
    </w:p>
    <w:p>
      <w:pPr>
        <w:spacing w:line="360" w:lineRule="auto"/>
        <w:ind w:firstLine="430"/>
        <w:rPr>
          <w:color w:val="auto"/>
          <w:szCs w:val="21"/>
          <w:highlight w:val="none"/>
        </w:rPr>
      </w:pPr>
      <w:r>
        <w:rPr>
          <w:rFonts w:hint="eastAsia" w:hAnsi="宋体"/>
          <w:color w:val="auto"/>
          <w:szCs w:val="21"/>
          <w:highlight w:val="none"/>
        </w:rPr>
        <w:t>项目地址：浙江省杭州市钱塘区临江街道红十五线与观十五线交叉口</w:t>
      </w:r>
    </w:p>
    <w:p>
      <w:pPr>
        <w:pStyle w:val="86"/>
        <w:spacing w:after="0" w:line="360" w:lineRule="auto"/>
        <w:ind w:left="0" w:leftChars="0" w:firstLine="0" w:firstLineChars="0"/>
        <w:rPr>
          <w:color w:val="auto"/>
          <w:szCs w:val="21"/>
          <w:highlight w:val="none"/>
        </w:rPr>
      </w:pPr>
      <w:r>
        <w:rPr>
          <w:rFonts w:hint="eastAsia" w:asciiTheme="minorHAnsi" w:hAnsiTheme="minorHAnsi" w:eastAsiaTheme="minorEastAsia" w:cstheme="minorBidi"/>
          <w:b/>
          <w:bCs/>
          <w:color w:val="auto"/>
          <w:kern w:val="2"/>
          <w:sz w:val="21"/>
          <w:szCs w:val="21"/>
          <w:highlight w:val="none"/>
          <w:lang w:val="en-US" w:eastAsia="zh-CN" w:bidi="ar-SA"/>
        </w:rPr>
        <w:t>第二条 服务期限：</w:t>
      </w:r>
      <w:r>
        <w:rPr>
          <w:rFonts w:hint="eastAsia" w:ascii="宋体" w:cs="宋体"/>
          <w:color w:val="auto"/>
          <w:sz w:val="21"/>
          <w:szCs w:val="21"/>
          <w:highlight w:val="none"/>
          <w:lang w:val="en-US" w:eastAsia="zh-CN"/>
        </w:rPr>
        <w:t>本项目服务期二年，</w:t>
      </w:r>
      <w:r>
        <w:rPr>
          <w:rFonts w:hint="eastAsia" w:ascii="宋体" w:cs="宋体"/>
          <w:color w:val="auto"/>
          <w:sz w:val="21"/>
          <w:szCs w:val="21"/>
          <w:highlight w:val="none"/>
        </w:rPr>
        <w:t>合同一年一签</w:t>
      </w:r>
      <w:r>
        <w:rPr>
          <w:rFonts w:hint="eastAsia" w:ascii="宋体" w:cs="宋体"/>
          <w:color w:val="auto"/>
          <w:sz w:val="21"/>
          <w:szCs w:val="21"/>
          <w:highlight w:val="none"/>
          <w:lang w:eastAsia="zh-CN"/>
        </w:rPr>
        <w:t>，</w:t>
      </w:r>
      <w:r>
        <w:rPr>
          <w:rFonts w:hint="eastAsia" w:ascii="宋体" w:cs="宋体"/>
          <w:color w:val="auto"/>
          <w:sz w:val="21"/>
          <w:szCs w:val="21"/>
          <w:highlight w:val="none"/>
        </w:rPr>
        <w:t>每一年合同期满前，</w:t>
      </w:r>
      <w:r>
        <w:rPr>
          <w:rFonts w:hint="eastAsia" w:ascii="宋体" w:cs="宋体"/>
          <w:color w:val="auto"/>
          <w:sz w:val="21"/>
          <w:szCs w:val="21"/>
          <w:highlight w:val="none"/>
          <w:lang w:val="en-US" w:eastAsia="zh-CN"/>
        </w:rPr>
        <w:t>甲方</w:t>
      </w:r>
      <w:r>
        <w:rPr>
          <w:rFonts w:hint="eastAsia" w:ascii="宋体" w:cs="宋体"/>
          <w:color w:val="auto"/>
          <w:sz w:val="21"/>
          <w:szCs w:val="21"/>
          <w:highlight w:val="none"/>
        </w:rPr>
        <w:t>进行考核，考核不合格的，</w:t>
      </w:r>
      <w:r>
        <w:rPr>
          <w:rFonts w:hint="eastAsia" w:ascii="宋体" w:cs="宋体"/>
          <w:color w:val="auto"/>
          <w:sz w:val="21"/>
          <w:szCs w:val="21"/>
          <w:highlight w:val="none"/>
          <w:lang w:val="en-US" w:eastAsia="zh-CN"/>
        </w:rPr>
        <w:t>甲方</w:t>
      </w:r>
      <w:r>
        <w:rPr>
          <w:rFonts w:hint="eastAsia" w:ascii="宋体" w:cs="宋体"/>
          <w:color w:val="auto"/>
          <w:sz w:val="21"/>
          <w:szCs w:val="21"/>
          <w:highlight w:val="none"/>
        </w:rPr>
        <w:t>有权不签署下一年合同。乙方进场时间以甲方通知为准，乙方在甲方通知入场后5天未进场，甲方有权</w:t>
      </w:r>
      <w:r>
        <w:rPr>
          <w:rFonts w:hint="eastAsia" w:ascii="宋体" w:cs="宋体"/>
          <w:color w:val="auto"/>
          <w:sz w:val="21"/>
          <w:szCs w:val="21"/>
          <w:highlight w:val="none"/>
          <w:lang w:val="en-US" w:eastAsia="zh-CN"/>
        </w:rPr>
        <w:t>单方</w:t>
      </w:r>
      <w:r>
        <w:rPr>
          <w:rFonts w:hint="eastAsia" w:ascii="宋体" w:cs="宋体"/>
          <w:color w:val="auto"/>
          <w:sz w:val="21"/>
          <w:szCs w:val="21"/>
          <w:highlight w:val="none"/>
        </w:rPr>
        <w:t>解除合</w:t>
      </w:r>
      <w:r>
        <w:rPr>
          <w:rFonts w:hint="eastAsia" w:ascii="宋体" w:cs="宋体"/>
          <w:b w:val="0"/>
          <w:bCs w:val="0"/>
          <w:color w:val="auto"/>
          <w:sz w:val="21"/>
          <w:szCs w:val="21"/>
          <w:highlight w:val="none"/>
        </w:rPr>
        <w:t>同，并扣除全额履约保证金。</w:t>
      </w:r>
    </w:p>
    <w:p>
      <w:pPr>
        <w:spacing w:line="360" w:lineRule="auto"/>
        <w:rPr>
          <w:rStyle w:val="97"/>
          <w:color w:val="auto"/>
          <w:highlight w:val="none"/>
        </w:rPr>
      </w:pPr>
      <w:r>
        <w:rPr>
          <w:rFonts w:hint="eastAsia" w:asciiTheme="minorHAnsi" w:hAnsiTheme="minorHAnsi" w:eastAsiaTheme="minorEastAsia" w:cstheme="minorBidi"/>
          <w:b/>
          <w:bCs/>
          <w:color w:val="auto"/>
          <w:kern w:val="2"/>
          <w:szCs w:val="21"/>
          <w:highlight w:val="none"/>
        </w:rPr>
        <w:t>第三条</w:t>
      </w:r>
      <w:r>
        <w:rPr>
          <w:rFonts w:hint="eastAsia" w:cstheme="minorBidi"/>
          <w:b/>
          <w:bCs/>
          <w:color w:val="auto"/>
          <w:kern w:val="2"/>
          <w:szCs w:val="21"/>
          <w:highlight w:val="none"/>
        </w:rPr>
        <w:t xml:space="preserve"> 项目</w:t>
      </w:r>
      <w:r>
        <w:rPr>
          <w:rStyle w:val="97"/>
          <w:rFonts w:hint="eastAsia"/>
          <w:b/>
          <w:bCs/>
          <w:color w:val="auto"/>
          <w:highlight w:val="none"/>
        </w:rPr>
        <w:t>服务范围及要求</w:t>
      </w:r>
      <w:r>
        <w:rPr>
          <w:rStyle w:val="97"/>
          <w:rFonts w:hint="eastAsia"/>
          <w:color w:val="auto"/>
          <w:highlight w:val="none"/>
        </w:rPr>
        <w:t>：详见招标文件内容需求书。</w:t>
      </w:r>
    </w:p>
    <w:p>
      <w:pPr>
        <w:numPr>
          <w:ilvl w:val="255"/>
          <w:numId w:val="0"/>
        </w:numPr>
        <w:spacing w:line="360" w:lineRule="auto"/>
        <w:rPr>
          <w:rFonts w:hAnsi="宋体" w:cs="宋体" w:eastAsiaTheme="minorEastAsia"/>
          <w:b/>
          <w:bCs/>
          <w:color w:val="auto"/>
          <w:szCs w:val="21"/>
          <w:highlight w:val="none"/>
        </w:rPr>
      </w:pPr>
      <w:r>
        <w:rPr>
          <w:rFonts w:hint="eastAsia"/>
          <w:b/>
          <w:bCs/>
          <w:color w:val="auto"/>
          <w:szCs w:val="21"/>
          <w:highlight w:val="none"/>
        </w:rPr>
        <w:t>第四条 履约保证金</w:t>
      </w:r>
    </w:p>
    <w:p>
      <w:pPr>
        <w:tabs>
          <w:tab w:val="left" w:pos="720"/>
          <w:tab w:val="left" w:pos="1277"/>
        </w:tabs>
        <w:adjustRightInd w:val="0"/>
        <w:snapToGrid w:val="0"/>
        <w:spacing w:line="360" w:lineRule="auto"/>
        <w:ind w:firstLine="420" w:firstLineChars="200"/>
        <w:rPr>
          <w:rFonts w:hAnsi="宋体" w:cs="宋体"/>
          <w:color w:val="auto"/>
          <w:szCs w:val="21"/>
          <w:highlight w:val="none"/>
          <w:lang w:val="zh-CN"/>
        </w:rPr>
      </w:pPr>
      <w:r>
        <w:rPr>
          <w:rFonts w:hint="eastAsia" w:hAnsi="宋体"/>
          <w:color w:val="auto"/>
          <w:kern w:val="44"/>
          <w:szCs w:val="21"/>
          <w:highlight w:val="none"/>
          <w:lang w:val="en-US" w:eastAsia="zh-CN"/>
        </w:rPr>
        <w:t>1本合同签订前，</w:t>
      </w:r>
      <w:r>
        <w:rPr>
          <w:rFonts w:hint="eastAsia" w:hAnsi="宋体"/>
          <w:color w:val="auto"/>
          <w:kern w:val="44"/>
          <w:szCs w:val="21"/>
          <w:highlight w:val="none"/>
        </w:rPr>
        <w:t>乙方向甲方提交履约保证金：人民币</w:t>
      </w:r>
      <w:r>
        <w:rPr>
          <w:rFonts w:hint="eastAsia" w:hAnsi="宋体" w:cs="宋体"/>
          <w:color w:val="auto"/>
          <w:szCs w:val="21"/>
          <w:highlight w:val="none"/>
        </w:rPr>
        <w:t xml:space="preserve">     </w:t>
      </w:r>
      <w:r>
        <w:rPr>
          <w:rFonts w:hint="eastAsia" w:hAnsi="宋体"/>
          <w:color w:val="auto"/>
          <w:kern w:val="44"/>
          <w:szCs w:val="21"/>
          <w:highlight w:val="none"/>
        </w:rPr>
        <w:t>万元整（银行转账形式</w:t>
      </w:r>
      <w:r>
        <w:rPr>
          <w:rFonts w:hint="eastAsia" w:hAnsi="宋体"/>
          <w:color w:val="auto"/>
          <w:kern w:val="44"/>
          <w:szCs w:val="21"/>
          <w:highlight w:val="none"/>
          <w:lang w:val="zh-CN"/>
        </w:rPr>
        <w:t>，</w:t>
      </w:r>
      <w:r>
        <w:rPr>
          <w:rFonts w:hint="eastAsia" w:hAnsi="宋体"/>
          <w:color w:val="auto"/>
          <w:kern w:val="44"/>
          <w:szCs w:val="21"/>
          <w:highlight w:val="none"/>
        </w:rPr>
        <w:t>合同金额10%）至合同履约完成后</w:t>
      </w:r>
      <w:r>
        <w:rPr>
          <w:rFonts w:hAnsi="宋体"/>
          <w:color w:val="auto"/>
          <w:kern w:val="44"/>
          <w:szCs w:val="21"/>
          <w:highlight w:val="none"/>
        </w:rPr>
        <w:t>30天内无息退还（不计利息</w:t>
      </w:r>
      <w:r>
        <w:rPr>
          <w:rFonts w:hint="eastAsia" w:hAnsi="宋体"/>
          <w:color w:val="auto"/>
          <w:kern w:val="44"/>
          <w:szCs w:val="21"/>
          <w:highlight w:val="none"/>
        </w:rPr>
        <w:t>，扣除其他违约金</w:t>
      </w:r>
      <w:r>
        <w:rPr>
          <w:rFonts w:hint="eastAsia" w:hAnsi="宋体"/>
          <w:color w:val="auto"/>
          <w:kern w:val="44"/>
          <w:szCs w:val="21"/>
          <w:highlight w:val="none"/>
          <w:lang w:eastAsia="zh-CN"/>
        </w:rPr>
        <w:t>、</w:t>
      </w:r>
      <w:r>
        <w:rPr>
          <w:rFonts w:hint="eastAsia" w:hAnsi="宋体"/>
          <w:color w:val="auto"/>
          <w:kern w:val="44"/>
          <w:szCs w:val="21"/>
          <w:highlight w:val="none"/>
          <w:lang w:val="en-US" w:eastAsia="zh-CN"/>
        </w:rPr>
        <w:t>赔偿金等款项</w:t>
      </w:r>
      <w:r>
        <w:rPr>
          <w:rFonts w:hAnsi="宋体"/>
          <w:color w:val="auto"/>
          <w:kern w:val="44"/>
          <w:szCs w:val="21"/>
          <w:highlight w:val="none"/>
        </w:rPr>
        <w:t>）。</w:t>
      </w:r>
    </w:p>
    <w:p>
      <w:pPr>
        <w:spacing w:line="360" w:lineRule="auto"/>
        <w:ind w:firstLine="420" w:firstLineChars="200"/>
        <w:rPr>
          <w:rFonts w:hAnsi="宋体" w:eastAsiaTheme="minorEastAsia"/>
          <w:color w:val="auto"/>
          <w:szCs w:val="21"/>
          <w:highlight w:val="none"/>
        </w:rPr>
      </w:pPr>
      <w:r>
        <w:rPr>
          <w:rFonts w:hint="eastAsia" w:hAnsi="宋体"/>
          <w:color w:val="auto"/>
          <w:szCs w:val="21"/>
          <w:highlight w:val="none"/>
        </w:rPr>
        <w:t>甲方户名：</w:t>
      </w:r>
      <w:r>
        <w:rPr>
          <w:rFonts w:hint="eastAsia"/>
          <w:color w:val="auto"/>
          <w:szCs w:val="21"/>
          <w:highlight w:val="none"/>
        </w:rPr>
        <w:t>杭州临江环境能源有限公司</w:t>
      </w:r>
    </w:p>
    <w:p>
      <w:pPr>
        <w:spacing w:line="360" w:lineRule="auto"/>
        <w:ind w:firstLine="420" w:firstLineChars="200"/>
        <w:rPr>
          <w:rFonts w:hAnsi="宋体"/>
          <w:color w:val="auto"/>
          <w:szCs w:val="21"/>
          <w:highlight w:val="none"/>
        </w:rPr>
      </w:pPr>
      <w:r>
        <w:rPr>
          <w:rFonts w:hint="eastAsia" w:hAnsi="宋体"/>
          <w:color w:val="auto"/>
          <w:szCs w:val="21"/>
          <w:highlight w:val="none"/>
        </w:rPr>
        <w:t>开户银行名称：杭州银行大江东支行</w:t>
      </w:r>
    </w:p>
    <w:p>
      <w:pPr>
        <w:spacing w:line="360" w:lineRule="auto"/>
        <w:ind w:firstLine="420" w:firstLineChars="200"/>
        <w:rPr>
          <w:rFonts w:hint="eastAsia" w:hAnsi="宋体"/>
          <w:color w:val="auto"/>
          <w:szCs w:val="21"/>
          <w:highlight w:val="none"/>
        </w:rPr>
      </w:pPr>
      <w:r>
        <w:rPr>
          <w:rFonts w:hint="eastAsia" w:hAnsi="宋体"/>
          <w:color w:val="auto"/>
          <w:szCs w:val="21"/>
          <w:highlight w:val="none"/>
        </w:rPr>
        <w:t>银行账号：3301040160008775754</w:t>
      </w:r>
    </w:p>
    <w:p>
      <w:pPr>
        <w:spacing w:line="360" w:lineRule="auto"/>
        <w:ind w:firstLine="420" w:firstLineChars="200"/>
        <w:rPr>
          <w:rFonts w:hint="default" w:hAnsi="宋体" w:eastAsia="宋体"/>
          <w:color w:val="auto"/>
          <w:szCs w:val="21"/>
          <w:highlight w:val="none"/>
          <w:lang w:val="en-US" w:eastAsia="zh-CN"/>
        </w:rPr>
      </w:pPr>
      <w:r>
        <w:rPr>
          <w:rFonts w:hint="eastAsia" w:hAnsi="宋体"/>
          <w:color w:val="auto"/>
          <w:szCs w:val="21"/>
          <w:highlight w:val="none"/>
          <w:lang w:val="en-US" w:eastAsia="zh-CN"/>
        </w:rPr>
        <w:t>2本合同履行过程中，如履约保证金因扣除而低于合同约定额度的，乙方应于收到甲方通知后10日内予以补足。未及时补足的，甲方有权选择解除本合同，并要求乙方承担本合同中标暂定金额10%的违约金。</w:t>
      </w:r>
    </w:p>
    <w:p>
      <w:pPr>
        <w:numPr>
          <w:ilvl w:val="255"/>
          <w:numId w:val="0"/>
        </w:numPr>
        <w:spacing w:line="360" w:lineRule="auto"/>
        <w:rPr>
          <w:b/>
          <w:bCs/>
          <w:color w:val="auto"/>
          <w:szCs w:val="21"/>
          <w:highlight w:val="none"/>
        </w:rPr>
      </w:pPr>
      <w:r>
        <w:rPr>
          <w:rFonts w:hint="eastAsia"/>
          <w:b/>
          <w:bCs/>
          <w:color w:val="auto"/>
          <w:szCs w:val="21"/>
          <w:highlight w:val="none"/>
        </w:rPr>
        <w:t>第五条 费用支付：</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 结算：炉渣货款采用每月预付方式支付，每月预付款金额=中标单价*290000/12。合同</w:t>
      </w:r>
      <w:r>
        <w:rPr>
          <w:rFonts w:hint="eastAsia" w:hAnsi="宋体" w:cs="宋体"/>
          <w:color w:val="auto"/>
          <w:szCs w:val="21"/>
          <w:highlight w:val="none"/>
          <w:lang w:val="en-US" w:eastAsia="zh-CN"/>
        </w:rPr>
        <w:t>签订</w:t>
      </w:r>
      <w:r>
        <w:rPr>
          <w:rFonts w:hint="eastAsia" w:hAnsi="宋体" w:cs="宋体"/>
          <w:color w:val="auto"/>
          <w:szCs w:val="21"/>
          <w:highlight w:val="none"/>
        </w:rPr>
        <w:t>后的10天内，乙方将</w:t>
      </w:r>
      <w:r>
        <w:rPr>
          <w:rFonts w:hint="eastAsia" w:hAnsi="宋体" w:cs="宋体"/>
          <w:color w:val="auto"/>
          <w:szCs w:val="21"/>
          <w:highlight w:val="none"/>
          <w:lang w:val="en-US" w:eastAsia="zh-CN"/>
        </w:rPr>
        <w:t>首</w:t>
      </w:r>
      <w:r>
        <w:rPr>
          <w:rFonts w:hint="eastAsia" w:hAnsi="宋体" w:cs="宋体"/>
          <w:color w:val="auto"/>
          <w:szCs w:val="21"/>
          <w:highlight w:val="none"/>
        </w:rPr>
        <w:t>月预付款</w:t>
      </w:r>
      <w:r>
        <w:rPr>
          <w:rFonts w:hint="eastAsia" w:hAnsi="宋体" w:cs="宋体"/>
          <w:color w:val="auto"/>
          <w:szCs w:val="21"/>
          <w:highlight w:val="none"/>
          <w:lang w:eastAsia="zh-CN"/>
        </w:rPr>
        <w:t>（</w:t>
      </w:r>
      <w:r>
        <w:rPr>
          <w:rFonts w:hint="eastAsia" w:hAnsi="宋体" w:cs="宋体"/>
          <w:color w:val="auto"/>
          <w:szCs w:val="21"/>
          <w:highlight w:val="none"/>
          <w:lang w:val="en-US" w:eastAsia="zh-CN"/>
        </w:rPr>
        <w:t>自合同签订之日起至该月30号/31号之日）</w:t>
      </w:r>
      <w:r>
        <w:rPr>
          <w:rFonts w:hint="eastAsia" w:hAnsi="宋体" w:cs="宋体"/>
          <w:color w:val="auto"/>
          <w:szCs w:val="21"/>
          <w:highlight w:val="none"/>
        </w:rPr>
        <w:t>足额汇入甲方账户，</w:t>
      </w:r>
      <w:r>
        <w:rPr>
          <w:rFonts w:hint="eastAsia" w:hAnsi="宋体" w:cs="宋体"/>
          <w:color w:val="auto"/>
          <w:szCs w:val="21"/>
          <w:highlight w:val="none"/>
          <w:lang w:val="en-US" w:eastAsia="zh-CN"/>
        </w:rPr>
        <w:t>此后每月预付款（自每月1号之日起至该月30号/31号之日）于下月开始前支付；</w:t>
      </w:r>
      <w:r>
        <w:rPr>
          <w:rFonts w:hint="eastAsia" w:hAnsi="宋体" w:cs="宋体"/>
          <w:color w:val="auto"/>
          <w:szCs w:val="21"/>
          <w:highlight w:val="none"/>
        </w:rPr>
        <w:t>次月5号之前根据双方核对无误的数量出具炉渣费用结算单，甲方按实开具增值税专用发票，乙方在</w:t>
      </w:r>
      <w:r>
        <w:rPr>
          <w:rFonts w:hint="eastAsia" w:hAnsi="宋体" w:cs="宋体"/>
          <w:color w:val="auto"/>
          <w:szCs w:val="21"/>
          <w:highlight w:val="none"/>
          <w:lang w:val="en-US" w:eastAsia="zh-CN"/>
        </w:rPr>
        <w:t>该</w:t>
      </w:r>
      <w:r>
        <w:rPr>
          <w:rFonts w:hint="eastAsia" w:hAnsi="宋体" w:cs="宋体"/>
          <w:color w:val="auto"/>
          <w:szCs w:val="21"/>
          <w:highlight w:val="none"/>
        </w:rPr>
        <w:t>月10号之前补交预付款</w:t>
      </w:r>
      <w:r>
        <w:rPr>
          <w:rFonts w:hint="eastAsia" w:hAnsi="宋体" w:cs="宋体"/>
          <w:color w:val="auto"/>
          <w:szCs w:val="21"/>
          <w:highlight w:val="none"/>
          <w:lang w:val="en-US" w:eastAsia="zh-CN"/>
        </w:rPr>
        <w:t>少于上月实际应结算费用的</w:t>
      </w:r>
      <w:r>
        <w:rPr>
          <w:rFonts w:hint="eastAsia" w:hAnsi="宋体" w:cs="宋体"/>
          <w:color w:val="auto"/>
          <w:szCs w:val="21"/>
          <w:highlight w:val="none"/>
        </w:rPr>
        <w:t>差额部分</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或将预付款超过上月实际应结算费用的差额部分无息转为本月预付款</w:t>
      </w:r>
      <w:r>
        <w:rPr>
          <w:rFonts w:hint="eastAsia" w:hAnsi="宋体" w:cs="宋体"/>
          <w:color w:val="auto"/>
          <w:szCs w:val="21"/>
          <w:highlight w:val="none"/>
          <w:lang w:eastAsia="zh-CN"/>
        </w:rPr>
        <w:t>。</w:t>
      </w:r>
      <w:r>
        <w:rPr>
          <w:rFonts w:hint="eastAsia" w:hAnsi="宋体" w:cs="宋体"/>
          <w:color w:val="auto"/>
          <w:szCs w:val="21"/>
          <w:highlight w:val="none"/>
        </w:rPr>
        <w:t>若</w:t>
      </w:r>
      <w:r>
        <w:rPr>
          <w:rFonts w:hint="eastAsia" w:hAnsi="宋体" w:cs="宋体"/>
          <w:color w:val="auto"/>
          <w:szCs w:val="21"/>
          <w:highlight w:val="none"/>
          <w:lang w:val="en-US" w:eastAsia="zh-CN"/>
        </w:rPr>
        <w:t>每月10号为</w:t>
      </w:r>
      <w:r>
        <w:rPr>
          <w:rFonts w:hint="eastAsia" w:hAnsi="宋体" w:cs="宋体"/>
          <w:color w:val="auto"/>
          <w:szCs w:val="21"/>
          <w:highlight w:val="none"/>
        </w:rPr>
        <w:t>法定节假日</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法定休息日</w:t>
      </w:r>
      <w:r>
        <w:rPr>
          <w:rFonts w:hint="eastAsia" w:hAnsi="宋体" w:cs="宋体"/>
          <w:color w:val="auto"/>
          <w:szCs w:val="21"/>
          <w:highlight w:val="none"/>
        </w:rPr>
        <w:t>，乙方须提前支付预付款，否则按逾期支付处理。</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1.1费用结算依据：</w:t>
      </w:r>
    </w:p>
    <w:p>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A</w:t>
      </w:r>
      <w:r>
        <w:rPr>
          <w:rFonts w:hint="eastAsia" w:hAnsi="宋体"/>
          <w:color w:val="auto"/>
          <w:szCs w:val="21"/>
          <w:highlight w:val="none"/>
          <w:lang w:eastAsia="zh-CN"/>
        </w:rPr>
        <w:t>.</w:t>
      </w:r>
      <w:r>
        <w:rPr>
          <w:rFonts w:hint="eastAsia" w:hAnsi="宋体"/>
          <w:color w:val="auto"/>
          <w:szCs w:val="21"/>
          <w:highlight w:val="none"/>
        </w:rPr>
        <w:t>炉渣综合处置结算数量核对单。</w:t>
      </w:r>
    </w:p>
    <w:p>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B</w:t>
      </w:r>
      <w:r>
        <w:rPr>
          <w:rFonts w:hint="eastAsia" w:hAnsi="宋体"/>
          <w:color w:val="auto"/>
          <w:szCs w:val="21"/>
          <w:highlight w:val="none"/>
          <w:lang w:eastAsia="zh-CN"/>
        </w:rPr>
        <w:t>.</w:t>
      </w:r>
      <w:r>
        <w:rPr>
          <w:rFonts w:hint="eastAsia" w:hAnsi="宋体"/>
          <w:color w:val="auto"/>
          <w:szCs w:val="21"/>
          <w:highlight w:val="none"/>
        </w:rPr>
        <w:t>炉渣、未燃尽垃圾过磅单。</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w:t>
      </w:r>
      <w:r>
        <w:rPr>
          <w:rFonts w:hint="eastAsia" w:hAnsi="宋体" w:cs="宋体"/>
          <w:color w:val="auto"/>
          <w:szCs w:val="21"/>
          <w:highlight w:val="none"/>
        </w:rPr>
        <w:t>炉渣数量计量</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2.1乙方从垃圾焚烧电厂运出的炉渣实际重量扣减送回电厂重烧的</w:t>
      </w:r>
      <w:r>
        <w:rPr>
          <w:rFonts w:hint="eastAsia" w:hAnsi="宋体" w:cs="宋体"/>
          <w:color w:val="auto"/>
          <w:szCs w:val="21"/>
          <w:highlight w:val="none"/>
          <w:lang w:eastAsia="zh-CN"/>
        </w:rPr>
        <w:t>未燃尽</w:t>
      </w:r>
      <w:r>
        <w:rPr>
          <w:rFonts w:hint="eastAsia" w:hAnsi="宋体" w:cs="宋体"/>
          <w:color w:val="auto"/>
          <w:szCs w:val="21"/>
          <w:highlight w:val="none"/>
        </w:rPr>
        <w:t>垃圾重量，以甲方垃圾焚烧电厂地磅称量的数据为准。</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2.2若炉渣厂原渣库在乙方进场前或离场时存有炉渣，双方按现场实际情况进行测算，并将测算量差值计入炉渣数量。</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lang w:val="en-US" w:eastAsia="zh-CN"/>
        </w:rPr>
        <w:t>3.</w:t>
      </w:r>
      <w:r>
        <w:rPr>
          <w:rFonts w:hint="eastAsia" w:hAnsi="宋体" w:cs="宋体"/>
          <w:color w:val="auto"/>
          <w:szCs w:val="21"/>
          <w:highlight w:val="none"/>
        </w:rPr>
        <w:t>在合同有效期内炉渣出售价格</w:t>
      </w:r>
      <w:r>
        <w:rPr>
          <w:rFonts w:hint="eastAsia" w:hAnsi="宋体" w:cs="宋体"/>
          <w:color w:val="auto"/>
          <w:szCs w:val="21"/>
          <w:highlight w:val="none"/>
          <w:lang w:eastAsia="zh-CN"/>
        </w:rPr>
        <w:t>不作</w:t>
      </w:r>
      <w:r>
        <w:rPr>
          <w:rFonts w:hint="eastAsia" w:hAnsi="宋体" w:cs="宋体"/>
          <w:color w:val="auto"/>
          <w:szCs w:val="21"/>
          <w:highlight w:val="none"/>
        </w:rPr>
        <w:t>调整。</w:t>
      </w:r>
    </w:p>
    <w:p>
      <w:pPr>
        <w:numPr>
          <w:ilvl w:val="255"/>
          <w:numId w:val="0"/>
        </w:numPr>
        <w:spacing w:line="360" w:lineRule="auto"/>
        <w:ind w:firstLine="420" w:firstLineChars="200"/>
        <w:rPr>
          <w:rFonts w:hint="eastAsia"/>
          <w:b/>
          <w:bCs/>
          <w:color w:val="auto"/>
          <w:szCs w:val="21"/>
          <w:highlight w:val="none"/>
        </w:rPr>
      </w:pPr>
      <w:r>
        <w:rPr>
          <w:rFonts w:hint="eastAsia" w:asciiTheme="minorEastAsia" w:hAnsiTheme="minorEastAsia" w:eastAsiaTheme="minorEastAsia" w:cstheme="minorEastAsia"/>
          <w:color w:val="auto"/>
          <w:szCs w:val="21"/>
          <w:highlight w:val="none"/>
          <w:lang w:val="en-US" w:eastAsia="zh-CN"/>
        </w:rPr>
        <w:t>4.乙方</w:t>
      </w:r>
      <w:r>
        <w:rPr>
          <w:rFonts w:hint="eastAsia" w:asciiTheme="minorEastAsia" w:hAnsiTheme="minorEastAsia" w:eastAsiaTheme="minorEastAsia" w:cstheme="minorEastAsia"/>
          <w:color w:val="auto"/>
          <w:szCs w:val="21"/>
          <w:highlight w:val="none"/>
        </w:rPr>
        <w:t>服务工作过程中的用工、用水、用电、废水处理</w:t>
      </w:r>
      <w:r>
        <w:rPr>
          <w:rFonts w:hint="eastAsia" w:asciiTheme="minorEastAsia" w:hAnsiTheme="minorEastAsia" w:eastAsiaTheme="minorEastAsia" w:cstheme="minorEastAsia"/>
          <w:color w:val="auto"/>
          <w:szCs w:val="21"/>
          <w:highlight w:val="none"/>
          <w:lang w:val="en-US" w:eastAsia="zh-CN"/>
        </w:rPr>
        <w:t>等费用成本</w:t>
      </w:r>
      <w:r>
        <w:rPr>
          <w:rFonts w:hint="eastAsia" w:asciiTheme="minorEastAsia" w:hAnsiTheme="minorEastAsia" w:eastAsiaTheme="minorEastAsia" w:cstheme="minorEastAsia"/>
          <w:color w:val="auto"/>
          <w:szCs w:val="21"/>
          <w:highlight w:val="none"/>
        </w:rPr>
        <w:t>由</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自行承担</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水费约2.63元/吨、电费约1.1元/千瓦时，具体按实结算。水费、电费由</w:t>
      </w:r>
      <w:r>
        <w:rPr>
          <w:rFonts w:hint="eastAsia" w:asciiTheme="minorEastAsia" w:hAnsiTheme="minorEastAsia" w:eastAsiaTheme="minorEastAsia" w:cstheme="minorEastAsia"/>
          <w:color w:val="auto"/>
          <w:szCs w:val="21"/>
          <w:highlight w:val="none"/>
          <w:lang w:val="en-US" w:eastAsia="zh-CN"/>
        </w:rPr>
        <w:t>甲方</w:t>
      </w:r>
      <w:r>
        <w:rPr>
          <w:rFonts w:hint="eastAsia" w:asciiTheme="minorEastAsia" w:hAnsiTheme="minorEastAsia" w:eastAsiaTheme="minorEastAsia" w:cstheme="minorEastAsia"/>
          <w:color w:val="auto"/>
          <w:szCs w:val="21"/>
          <w:highlight w:val="none"/>
        </w:rPr>
        <w:t>按实代收代付，其中上级电源点电损由</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与园区内其他项目共同按用电比例承担、发票税点税金差部分由</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承担。</w:t>
      </w:r>
      <w:r>
        <w:rPr>
          <w:rFonts w:hint="eastAsia" w:asciiTheme="minorEastAsia" w:hAnsiTheme="minorEastAsia" w:eastAsiaTheme="minorEastAsia" w:cstheme="minorEastAsia"/>
          <w:color w:val="auto"/>
          <w:szCs w:val="21"/>
          <w:highlight w:val="none"/>
          <w:lang w:val="en-US" w:eastAsia="zh-CN"/>
        </w:rPr>
        <w:t>水、电费及其他水电相关费用根据采购人属地电力公司和自来水公司收费政策实时调整。</w:t>
      </w:r>
    </w:p>
    <w:p>
      <w:pPr>
        <w:numPr>
          <w:ilvl w:val="255"/>
          <w:numId w:val="0"/>
        </w:numPr>
        <w:spacing w:line="360" w:lineRule="auto"/>
        <w:rPr>
          <w:b/>
          <w:bCs/>
          <w:color w:val="auto"/>
          <w:szCs w:val="21"/>
          <w:highlight w:val="none"/>
        </w:rPr>
      </w:pPr>
      <w:r>
        <w:rPr>
          <w:rFonts w:hint="eastAsia"/>
          <w:b/>
          <w:bCs/>
          <w:color w:val="auto"/>
          <w:szCs w:val="21"/>
          <w:highlight w:val="none"/>
        </w:rPr>
        <w:t>第六条 考核办法</w:t>
      </w:r>
    </w:p>
    <w:p>
      <w:pPr>
        <w:spacing w:line="360" w:lineRule="auto"/>
        <w:ind w:firstLine="420" w:firstLineChars="200"/>
        <w:rPr>
          <w:rFonts w:hAnsi="宋体"/>
          <w:color w:val="auto"/>
          <w:szCs w:val="21"/>
          <w:highlight w:val="none"/>
        </w:rPr>
      </w:pPr>
      <w:r>
        <w:rPr>
          <w:rFonts w:hint="eastAsia" w:hAnsi="宋体" w:cs="宋体"/>
          <w:color w:val="auto"/>
          <w:szCs w:val="21"/>
          <w:highlight w:val="none"/>
        </w:rPr>
        <w:t>1.乙方</w:t>
      </w:r>
      <w:r>
        <w:rPr>
          <w:rFonts w:hint="eastAsia" w:hAnsi="宋体"/>
          <w:color w:val="auto"/>
          <w:szCs w:val="21"/>
          <w:highlight w:val="none"/>
        </w:rPr>
        <w:t>的服务质量</w:t>
      </w:r>
      <w:r>
        <w:rPr>
          <w:rFonts w:hint="eastAsia" w:hAnsi="宋体"/>
          <w:color w:val="auto"/>
          <w:szCs w:val="21"/>
          <w:highlight w:val="none"/>
          <w:lang w:eastAsia="zh-CN"/>
        </w:rPr>
        <w:t>标准</w:t>
      </w:r>
      <w:r>
        <w:rPr>
          <w:rFonts w:hint="eastAsia" w:hAnsi="宋体"/>
          <w:color w:val="auto"/>
          <w:szCs w:val="21"/>
          <w:highlight w:val="none"/>
        </w:rPr>
        <w:t>，</w:t>
      </w:r>
      <w:r>
        <w:rPr>
          <w:rFonts w:hint="eastAsia" w:hAnsi="宋体"/>
          <w:color w:val="auto"/>
          <w:szCs w:val="21"/>
          <w:highlight w:val="none"/>
          <w:lang w:val="en-US" w:eastAsia="zh-CN"/>
        </w:rPr>
        <w:t>由乙方于每月30/31日前向甲方报送自评表（格式参考下表），甲方收到乙方自评表后30个日历日内</w:t>
      </w:r>
      <w:r>
        <w:rPr>
          <w:rFonts w:hint="eastAsia" w:hAnsi="宋体"/>
          <w:color w:val="auto"/>
          <w:szCs w:val="21"/>
          <w:highlight w:val="none"/>
        </w:rPr>
        <w:t>按《炉渣综合处置及销售项目工作细则、质量标准及评分表》进行考核评分</w:t>
      </w:r>
      <w:r>
        <w:rPr>
          <w:rFonts w:hint="eastAsia" w:hAnsi="宋体"/>
          <w:color w:val="auto"/>
          <w:szCs w:val="21"/>
          <w:highlight w:val="none"/>
          <w:lang w:eastAsia="zh-CN"/>
        </w:rPr>
        <w:t>（</w:t>
      </w:r>
      <w:r>
        <w:rPr>
          <w:rFonts w:hint="eastAsia" w:hAnsi="宋体"/>
          <w:color w:val="auto"/>
          <w:szCs w:val="21"/>
          <w:highlight w:val="none"/>
        </w:rPr>
        <w:t>甲方考评人：甲方炉渣厂各级管理人员</w:t>
      </w:r>
      <w:r>
        <w:rPr>
          <w:rFonts w:hint="eastAsia" w:hAnsi="宋体"/>
          <w:color w:val="auto"/>
          <w:szCs w:val="21"/>
          <w:highlight w:val="none"/>
          <w:lang w:eastAsia="zh-CN"/>
        </w:rPr>
        <w:t>）</w:t>
      </w:r>
      <w:r>
        <w:rPr>
          <w:rFonts w:hint="eastAsia" w:hAnsi="宋体"/>
          <w:color w:val="auto"/>
          <w:szCs w:val="21"/>
          <w:highlight w:val="none"/>
        </w:rPr>
        <w:t>。评分总分</w:t>
      </w:r>
      <w:r>
        <w:rPr>
          <w:rFonts w:hAnsi="宋体"/>
          <w:color w:val="auto"/>
          <w:szCs w:val="21"/>
          <w:highlight w:val="none"/>
        </w:rPr>
        <w:t>100</w:t>
      </w:r>
      <w:r>
        <w:rPr>
          <w:rFonts w:hint="eastAsia" w:hAnsi="宋体"/>
          <w:color w:val="auto"/>
          <w:szCs w:val="21"/>
          <w:highlight w:val="none"/>
        </w:rPr>
        <w:t>分。考核内容见下表</w:t>
      </w:r>
      <w:r>
        <w:rPr>
          <w:rFonts w:hint="eastAsia" w:hAnsi="宋体"/>
          <w:color w:val="auto"/>
          <w:szCs w:val="21"/>
          <w:highlight w:val="none"/>
          <w:lang w:eastAsia="zh-CN"/>
        </w:rPr>
        <w:t>（</w:t>
      </w:r>
      <w:r>
        <w:rPr>
          <w:rFonts w:hint="eastAsia" w:hAnsi="宋体"/>
          <w:color w:val="auto"/>
          <w:szCs w:val="21"/>
          <w:highlight w:val="none"/>
          <w:lang w:val="en-US" w:eastAsia="zh-CN"/>
        </w:rPr>
        <w:t>甲方可根据实际情况增加考核内容，通知乙方后次月执行新考核内容）</w:t>
      </w:r>
      <w:r>
        <w:rPr>
          <w:rFonts w:hint="eastAsia" w:hAnsi="宋体"/>
          <w:color w:val="auto"/>
          <w:szCs w:val="21"/>
          <w:highlight w:val="none"/>
        </w:rPr>
        <w:t>。</w:t>
      </w:r>
    </w:p>
    <w:tbl>
      <w:tblPr>
        <w:tblStyle w:val="88"/>
        <w:tblW w:w="88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2792"/>
        <w:gridCol w:w="651"/>
        <w:gridCol w:w="39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宋体"/>
                <w:bCs/>
                <w:color w:val="auto"/>
                <w:sz w:val="20"/>
                <w:highlight w:val="none"/>
              </w:rPr>
            </w:pPr>
            <w:r>
              <w:rPr>
                <w:rFonts w:hint="eastAsia" w:hAnsi="宋体"/>
                <w:bCs/>
                <w:color w:val="auto"/>
                <w:sz w:val="20"/>
                <w:highlight w:val="none"/>
              </w:rPr>
              <w:t>评分事项</w:t>
            </w:r>
          </w:p>
        </w:tc>
        <w:tc>
          <w:tcPr>
            <w:tcW w:w="279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center"/>
              <w:textAlignment w:val="auto"/>
              <w:rPr>
                <w:rFonts w:hAnsi="宋体"/>
                <w:bCs/>
                <w:color w:val="auto"/>
                <w:sz w:val="20"/>
                <w:highlight w:val="none"/>
              </w:rPr>
            </w:pPr>
            <w:r>
              <w:rPr>
                <w:rFonts w:hint="eastAsia" w:hAnsi="宋体"/>
                <w:bCs/>
                <w:color w:val="auto"/>
                <w:sz w:val="20"/>
                <w:highlight w:val="none"/>
              </w:rPr>
              <w:t>评分细则</w:t>
            </w:r>
          </w:p>
        </w:tc>
        <w:tc>
          <w:tcPr>
            <w:tcW w:w="65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宋体"/>
                <w:bCs/>
                <w:color w:val="auto"/>
                <w:sz w:val="20"/>
                <w:highlight w:val="none"/>
              </w:rPr>
            </w:pPr>
            <w:r>
              <w:rPr>
                <w:rFonts w:hint="eastAsia" w:hAnsi="宋体"/>
                <w:bCs/>
                <w:color w:val="auto"/>
                <w:sz w:val="20"/>
                <w:highlight w:val="none"/>
              </w:rPr>
              <w:t>分项  评分</w:t>
            </w:r>
          </w:p>
        </w:tc>
        <w:tc>
          <w:tcPr>
            <w:tcW w:w="394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宋体"/>
                <w:bCs/>
                <w:color w:val="auto"/>
                <w:sz w:val="20"/>
                <w:highlight w:val="none"/>
              </w:rPr>
            </w:pPr>
            <w:r>
              <w:rPr>
                <w:rFonts w:hint="eastAsia" w:hAnsi="宋体"/>
                <w:bCs/>
                <w:color w:val="auto"/>
                <w:sz w:val="20"/>
                <w:highlight w:val="none"/>
              </w:rPr>
              <w:t>质量要求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43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一、工作质量（80分）</w:t>
            </w:r>
          </w:p>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27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按业主要求，合理调配安排人员。按时</w:t>
            </w:r>
            <w:r>
              <w:rPr>
                <w:rFonts w:hint="eastAsia" w:hAnsi="宋体"/>
                <w:bCs/>
                <w:color w:val="auto"/>
                <w:sz w:val="20"/>
                <w:highlight w:val="none"/>
                <w:lang w:eastAsia="zh-CN"/>
              </w:rPr>
              <w:t>保质</w:t>
            </w:r>
            <w:r>
              <w:rPr>
                <w:rFonts w:hint="eastAsia" w:hAnsi="宋体"/>
                <w:bCs/>
                <w:color w:val="auto"/>
                <w:sz w:val="20"/>
                <w:highlight w:val="none"/>
              </w:rPr>
              <w:t>完成炉渣处置及产品销售业务工作，保证炉渣日产日清。（0-40分）</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color w:val="auto"/>
                <w:highlight w:val="none"/>
              </w:rPr>
            </w:pPr>
            <w:r>
              <w:rPr>
                <w:rFonts w:hint="eastAsia" w:hAnsi="宋体"/>
                <w:bCs/>
                <w:color w:val="auto"/>
                <w:sz w:val="20"/>
                <w:highlight w:val="none"/>
              </w:rPr>
              <w:t>人员持证上岗，搭配合理。设备维护良好，按时保养；及时分拣出生料、大块物料等；炉渣综合处置产品质量优良；因乙方原因造成炉渣不能及时处理每次视严重程度扣5</w:t>
            </w:r>
            <w:r>
              <w:rPr>
                <w:rFonts w:hint="eastAsia" w:hAnsi="宋体"/>
                <w:bCs/>
                <w:color w:val="auto"/>
                <w:sz w:val="20"/>
                <w:highlight w:val="none"/>
                <w:lang w:eastAsia="zh-CN"/>
              </w:rPr>
              <w:t>—</w:t>
            </w:r>
            <w:r>
              <w:rPr>
                <w:rFonts w:hint="eastAsia" w:hAnsi="宋体"/>
                <w:bCs/>
                <w:color w:val="auto"/>
                <w:sz w:val="20"/>
                <w:highlight w:val="none"/>
              </w:rPr>
              <w:t>10分。出现未持证人员操作特种设备，每人次扣2分。出现分拣不彻底、不干净现象，每次扣1分。</w:t>
            </w:r>
            <w:r>
              <w:rPr>
                <w:rFonts w:hint="eastAsia"/>
                <w:color w:val="auto"/>
                <w:highlight w:val="none"/>
              </w:rPr>
              <w:t>项目负责人及安全员擅自离岗未经甲方同意，每次扣2分。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4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279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炉渣综合处置产品及时转运出炉渣厂，库存合理。（0-10分）</w:t>
            </w:r>
          </w:p>
        </w:tc>
        <w:tc>
          <w:tcPr>
            <w:tcW w:w="65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因库存的沙、干化淤泥未及时清理，影响炉渣厂生产或因堆积造成车间环境差，每次视严重程度扣2</w:t>
            </w:r>
            <w:r>
              <w:rPr>
                <w:rFonts w:hint="eastAsia" w:hAnsi="宋体"/>
                <w:bCs/>
                <w:color w:val="auto"/>
                <w:sz w:val="20"/>
                <w:highlight w:val="none"/>
                <w:lang w:eastAsia="zh-CN"/>
              </w:rPr>
              <w:t>—</w:t>
            </w:r>
            <w:r>
              <w:rPr>
                <w:rFonts w:hint="eastAsia" w:hAnsi="宋体"/>
                <w:bCs/>
                <w:color w:val="auto"/>
                <w:sz w:val="20"/>
                <w:highlight w:val="none"/>
              </w:rPr>
              <w:t>5分。转运过程中，因装沙的运输车辆跑冒滴漏造成车间外部道路（含厂区内道路）污染，每次视严重程度扣5</w:t>
            </w:r>
            <w:r>
              <w:rPr>
                <w:rFonts w:hint="eastAsia" w:hAnsi="宋体"/>
                <w:bCs/>
                <w:color w:val="auto"/>
                <w:sz w:val="20"/>
                <w:highlight w:val="none"/>
                <w:lang w:eastAsia="zh-CN"/>
              </w:rPr>
              <w:t>—</w:t>
            </w:r>
            <w:r>
              <w:rPr>
                <w:rFonts w:hint="eastAsia" w:hAnsi="宋体"/>
                <w:bCs/>
                <w:color w:val="auto"/>
                <w:sz w:val="20"/>
                <w:highlight w:val="none"/>
              </w:rPr>
              <w:t>10分。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4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279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设备状态良好，设备出力正常。记录台账完整。（0-10分）</w:t>
            </w:r>
          </w:p>
        </w:tc>
        <w:tc>
          <w:tcPr>
            <w:tcW w:w="65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定期对设备进行维修、保养。设备无明显异常振动、异响及温升。未按规定对设备进行维护保养每次扣2分，设备保养计划以现有设备清单内设备保养周期计划进行，以甲方编制的年度保养计划清单开展工作。台账齐全，记录详尽，安全台账按甲方要求做好记录。台账记录不完备每次扣0.5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4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279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在负责人的领导下，做到安全、规范、高效工作。（0-10分）</w:t>
            </w:r>
          </w:p>
        </w:tc>
        <w:tc>
          <w:tcPr>
            <w:tcW w:w="65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严格按作业标准进行工作，不得发生安全、环保事件。发生人身轻伤以上异常时，每次扣5分。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4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279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服务单位应主动、积极、按时完成业主检查后下达的整改通知。（0-10分）</w:t>
            </w:r>
          </w:p>
        </w:tc>
        <w:tc>
          <w:tcPr>
            <w:tcW w:w="65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在规定时间内完成安全、设备缺陷整改，配合甲方完成接待工作，完成项目各类环保检测，乙方应完成每季度不少于一次的沙料、泥材料检测，未能完成每次扣5分。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43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二、文明生产  （10分）</w:t>
            </w:r>
          </w:p>
        </w:tc>
        <w:tc>
          <w:tcPr>
            <w:tcW w:w="27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现场保持整洁。（0-10分）</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现场干净整洁，无积水、积灰，设备见本色，全部废水回收使用。每天作业完成后，及时清理现场。现场出现明显积水、积灰，每次扣0.5分。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433" w:type="dxa"/>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三、员工工作态度、责任心与积极性（5分）</w:t>
            </w:r>
          </w:p>
        </w:tc>
        <w:tc>
          <w:tcPr>
            <w:tcW w:w="27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工作有责任心，积极主动完成业主</w:t>
            </w:r>
            <w:r>
              <w:rPr>
                <w:rFonts w:hint="eastAsia" w:hAnsi="宋体"/>
                <w:bCs/>
                <w:color w:val="auto"/>
                <w:sz w:val="20"/>
                <w:highlight w:val="none"/>
                <w:lang w:eastAsia="zh-CN"/>
              </w:rPr>
              <w:t>交代的</w:t>
            </w:r>
            <w:r>
              <w:rPr>
                <w:rFonts w:hint="eastAsia" w:hAnsi="宋体"/>
                <w:bCs/>
                <w:color w:val="auto"/>
                <w:sz w:val="20"/>
                <w:highlight w:val="none"/>
              </w:rPr>
              <w:t>各项工作。（0-5分）</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工作人员具有责任心，工作认真负责，服从业主管理。未有合理原因，不服从业主指挥，每人次扣0.5分。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33" w:type="dxa"/>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四、纪律及规章制度的遵守（5分）</w:t>
            </w:r>
          </w:p>
        </w:tc>
        <w:tc>
          <w:tcPr>
            <w:tcW w:w="27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严格按业主公司的规章制度工作。（0-5分）</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不得违反业主各项规章制度。每发生一次扣0.5分/人次。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22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color w:val="auto"/>
                <w:sz w:val="20"/>
                <w:szCs w:val="22"/>
                <w:highlight w:val="none"/>
              </w:rPr>
            </w:pPr>
            <w:r>
              <w:rPr>
                <w:rFonts w:hint="eastAsia"/>
                <w:color w:val="auto"/>
                <w:sz w:val="20"/>
                <w:szCs w:val="22"/>
                <w:highlight w:val="none"/>
              </w:rPr>
              <w:t>月 度 总 评（总 分）：</w:t>
            </w:r>
          </w:p>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eastAsiaTheme="minorEastAsia"/>
                <w:color w:val="auto"/>
                <w:sz w:val="20"/>
                <w:szCs w:val="22"/>
                <w:highlight w:val="none"/>
              </w:rPr>
            </w:pPr>
            <w:r>
              <w:rPr>
                <w:rFonts w:hint="eastAsia" w:hAnsi="宋体"/>
                <w:bCs/>
                <w:color w:val="auto"/>
                <w:sz w:val="20"/>
                <w:highlight w:val="none"/>
              </w:rPr>
              <w:t>日期：　年　月　日—　年　月　　日</w:t>
            </w:r>
          </w:p>
        </w:tc>
        <w:tc>
          <w:tcPr>
            <w:tcW w:w="651" w:type="dxa"/>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r>
    </w:tbl>
    <w:p>
      <w:pPr>
        <w:spacing w:line="360" w:lineRule="auto"/>
        <w:rPr>
          <w:rFonts w:hAnsi="宋体"/>
          <w:color w:val="auto"/>
          <w:szCs w:val="21"/>
          <w:highlight w:val="none"/>
        </w:rPr>
      </w:pPr>
      <w:r>
        <w:rPr>
          <w:rFonts w:hint="eastAsia" w:hAnsi="宋体"/>
          <w:color w:val="auto"/>
          <w:szCs w:val="21"/>
          <w:highlight w:val="none"/>
        </w:rPr>
        <w:t>其中：</w:t>
      </w:r>
    </w:p>
    <w:p>
      <w:pPr>
        <w:spacing w:line="360" w:lineRule="auto"/>
        <w:ind w:firstLine="420" w:firstLineChars="200"/>
        <w:rPr>
          <w:rFonts w:hint="default" w:hAnsi="宋体" w:eastAsia="宋体"/>
          <w:color w:val="auto"/>
          <w:szCs w:val="21"/>
          <w:highlight w:val="none"/>
          <w:lang w:val="en-US" w:eastAsia="zh-CN"/>
        </w:rPr>
      </w:pPr>
      <w:r>
        <w:rPr>
          <w:rFonts w:hint="eastAsia" w:hAnsi="宋体"/>
          <w:color w:val="auto"/>
          <w:szCs w:val="21"/>
          <w:highlight w:val="none"/>
        </w:rPr>
        <w:t>1.1当月考核结果为</w:t>
      </w:r>
      <w:r>
        <w:rPr>
          <w:rFonts w:hAnsi="宋体"/>
          <w:color w:val="auto"/>
          <w:szCs w:val="21"/>
          <w:highlight w:val="none"/>
        </w:rPr>
        <w:t>90</w:t>
      </w:r>
      <w:r>
        <w:rPr>
          <w:rFonts w:hint="eastAsia" w:hAnsi="宋体"/>
          <w:color w:val="auto"/>
          <w:szCs w:val="21"/>
          <w:highlight w:val="none"/>
        </w:rPr>
        <w:t>分（不含90分）以上，评价为优；</w:t>
      </w:r>
      <w:r>
        <w:rPr>
          <w:rFonts w:hint="eastAsia" w:hAnsi="宋体"/>
          <w:color w:val="auto"/>
          <w:szCs w:val="21"/>
          <w:highlight w:val="none"/>
          <w:lang w:val="en-US" w:eastAsia="zh-CN"/>
        </w:rPr>
        <w:t>乙方应立即按要求及时整改，除非甲方要求，否则可不进行二次考评；</w:t>
      </w:r>
    </w:p>
    <w:p>
      <w:pPr>
        <w:spacing w:line="360" w:lineRule="auto"/>
        <w:ind w:firstLine="420" w:firstLineChars="200"/>
        <w:rPr>
          <w:rFonts w:hint="default" w:hAnsi="宋体" w:eastAsia="宋体"/>
          <w:color w:val="auto"/>
          <w:szCs w:val="21"/>
          <w:highlight w:val="none"/>
          <w:lang w:val="en-US" w:eastAsia="zh-CN"/>
        </w:rPr>
      </w:pPr>
      <w:r>
        <w:rPr>
          <w:rFonts w:hint="eastAsia" w:hAnsi="宋体"/>
          <w:color w:val="auto"/>
          <w:szCs w:val="21"/>
          <w:highlight w:val="none"/>
        </w:rPr>
        <w:t>1.2当月考核结果为</w:t>
      </w:r>
      <w:r>
        <w:rPr>
          <w:rFonts w:hAnsi="宋体"/>
          <w:color w:val="auto"/>
          <w:szCs w:val="21"/>
          <w:highlight w:val="none"/>
        </w:rPr>
        <w:t>80</w:t>
      </w:r>
      <w:r>
        <w:rPr>
          <w:rFonts w:hint="eastAsia" w:hAnsi="宋体"/>
          <w:color w:val="auto"/>
          <w:szCs w:val="21"/>
          <w:highlight w:val="none"/>
          <w:lang w:eastAsia="zh-CN"/>
        </w:rPr>
        <w:t>—</w:t>
      </w:r>
      <w:r>
        <w:rPr>
          <w:rFonts w:hint="eastAsia" w:hAnsi="宋体"/>
          <w:color w:val="auto"/>
          <w:szCs w:val="21"/>
          <w:highlight w:val="none"/>
        </w:rPr>
        <w:t>90分，评价为良；</w:t>
      </w:r>
      <w:r>
        <w:rPr>
          <w:rFonts w:hint="eastAsia" w:hAnsi="宋体"/>
          <w:color w:val="auto"/>
          <w:szCs w:val="21"/>
          <w:highlight w:val="none"/>
          <w:lang w:val="en-US" w:eastAsia="zh-CN"/>
        </w:rPr>
        <w:t>乙方应立即按要求及时整改并报甲方二次考评；二次考评仅针对一次考评不合格项目，经二次考评后为优的，不扣款；否则，按照【500】元/分从二次考评结果形成当月费用中扣款；</w:t>
      </w:r>
    </w:p>
    <w:p>
      <w:pPr>
        <w:spacing w:line="360" w:lineRule="auto"/>
        <w:ind w:firstLine="420" w:firstLineChars="200"/>
        <w:rPr>
          <w:rFonts w:hint="eastAsia" w:hAnsi="宋体"/>
          <w:color w:val="auto"/>
          <w:szCs w:val="21"/>
          <w:highlight w:val="none"/>
        </w:rPr>
      </w:pPr>
      <w:r>
        <w:rPr>
          <w:rFonts w:hint="eastAsia" w:hAnsi="宋体"/>
          <w:color w:val="auto"/>
          <w:szCs w:val="21"/>
          <w:highlight w:val="none"/>
        </w:rPr>
        <w:t>1.3当月考核结果为80分以下分，评价为差</w:t>
      </w:r>
      <w:r>
        <w:rPr>
          <w:rFonts w:hint="eastAsia" w:hAnsi="宋体"/>
          <w:color w:val="auto"/>
          <w:szCs w:val="21"/>
          <w:highlight w:val="none"/>
          <w:lang w:eastAsia="zh-CN"/>
        </w:rPr>
        <w:t>，</w:t>
      </w:r>
      <w:r>
        <w:rPr>
          <w:rFonts w:hint="eastAsia" w:hAnsi="宋体"/>
          <w:color w:val="auto"/>
          <w:szCs w:val="21"/>
          <w:highlight w:val="none"/>
          <w:lang w:val="en-US" w:eastAsia="zh-CN"/>
        </w:rPr>
        <w:t>当月</w:t>
      </w:r>
      <w:r>
        <w:rPr>
          <w:rFonts w:hint="eastAsia" w:hAnsi="宋体"/>
          <w:color w:val="auto"/>
          <w:szCs w:val="21"/>
          <w:highlight w:val="none"/>
        </w:rPr>
        <w:t>考核扣款10000元，乙方</w:t>
      </w:r>
      <w:r>
        <w:rPr>
          <w:rFonts w:hint="eastAsia" w:hAnsi="宋体"/>
          <w:color w:val="auto"/>
          <w:szCs w:val="21"/>
          <w:highlight w:val="none"/>
          <w:lang w:val="en-US" w:eastAsia="zh-CN"/>
        </w:rPr>
        <w:t>于收到考评结果后【3】日内</w:t>
      </w:r>
      <w:r>
        <w:rPr>
          <w:rFonts w:hint="eastAsia" w:hAnsi="宋体"/>
          <w:color w:val="auto"/>
          <w:szCs w:val="21"/>
          <w:highlight w:val="none"/>
        </w:rPr>
        <w:t>整改</w:t>
      </w:r>
      <w:r>
        <w:rPr>
          <w:rFonts w:hint="eastAsia" w:hAnsi="宋体"/>
          <w:color w:val="auto"/>
          <w:szCs w:val="21"/>
          <w:highlight w:val="none"/>
          <w:lang w:val="en-US" w:eastAsia="zh-CN"/>
        </w:rPr>
        <w:t>并报甲方二次考评；二次考评原则上针对全部考评内容进行，二次考评结果仍为差的，除要求乙方继续整改外，甲方还有权额外按照【1000】元/分从二次考评结果形成当月费用中扣款，二次考评结果为良的，按【500】元/分从二次考评结果形成当月费用中扣款</w:t>
      </w:r>
      <w:r>
        <w:rPr>
          <w:rFonts w:hint="eastAsia" w:hAnsi="宋体"/>
          <w:color w:val="auto"/>
          <w:szCs w:val="21"/>
          <w:highlight w:val="none"/>
        </w:rPr>
        <w:t>。</w:t>
      </w:r>
    </w:p>
    <w:p>
      <w:pPr>
        <w:spacing w:line="360" w:lineRule="auto"/>
        <w:ind w:firstLine="420" w:firstLineChars="200"/>
        <w:rPr>
          <w:rFonts w:hint="default" w:hAnsi="宋体"/>
          <w:color w:val="auto"/>
          <w:szCs w:val="21"/>
          <w:highlight w:val="none"/>
          <w:lang w:val="en-US" w:eastAsia="zh-CN"/>
        </w:rPr>
      </w:pPr>
      <w:r>
        <w:rPr>
          <w:rFonts w:hint="eastAsia" w:hAnsi="宋体"/>
          <w:color w:val="auto"/>
          <w:szCs w:val="21"/>
          <w:highlight w:val="none"/>
          <w:lang w:val="en-US" w:eastAsia="zh-CN"/>
        </w:rPr>
        <w:t>1.4每次考评结果形成后，甲方应及时告知乙方考评结果（如甲方未告知的，乙方应进行书面催告；乙方未催告但仍然以甲方未告知考评结果为由对甲方扣款提出异议的，此种异议不成立）。乙方应于知道或应当知道考评结果后3日内予以签字确认或提出充分书面证据说明异议内容；逾期未签字或未按要求提出异议的，甲方予以记录，视为乙方已认可考评结果。甲方认为乙方异议成立的，经甲方同意可不予扣款；否则，仍予扣款。</w:t>
      </w:r>
    </w:p>
    <w:p>
      <w:pPr>
        <w:spacing w:line="360" w:lineRule="auto"/>
        <w:ind w:firstLine="420" w:firstLineChars="200"/>
        <w:rPr>
          <w:rFonts w:hint="default" w:hAnsi="宋体"/>
          <w:color w:val="auto"/>
          <w:szCs w:val="21"/>
          <w:highlight w:val="none"/>
          <w:lang w:val="en-US" w:eastAsia="zh-CN"/>
        </w:rPr>
      </w:pPr>
      <w:r>
        <w:rPr>
          <w:rFonts w:hint="eastAsia" w:hAnsi="宋体"/>
          <w:color w:val="auto"/>
          <w:szCs w:val="21"/>
          <w:highlight w:val="none"/>
          <w:lang w:val="en-US" w:eastAsia="zh-CN"/>
        </w:rPr>
        <w:t>1.5由于双方管理人员认识差异，乙方理解甲方的考评结果可能存在主观因素，并同意甲方及其管理人员按其理解进行考评。</w:t>
      </w:r>
    </w:p>
    <w:p>
      <w:pPr>
        <w:spacing w:line="360" w:lineRule="auto"/>
        <w:ind w:firstLine="420" w:firstLineChars="200"/>
        <w:rPr>
          <w:rFonts w:hAnsi="宋体"/>
          <w:color w:val="auto"/>
          <w:szCs w:val="21"/>
          <w:highlight w:val="none"/>
        </w:rPr>
      </w:pPr>
      <w:r>
        <w:rPr>
          <w:rFonts w:hint="eastAsia" w:hAnsi="宋体"/>
          <w:color w:val="auto"/>
          <w:szCs w:val="21"/>
          <w:highlight w:val="none"/>
          <w:lang w:val="en-US" w:eastAsia="zh-CN"/>
        </w:rPr>
        <w:t>1.6在合同履行过程中</w:t>
      </w:r>
      <w:r>
        <w:rPr>
          <w:rFonts w:hint="eastAsia" w:hAnsi="宋体"/>
          <w:color w:val="auto"/>
          <w:szCs w:val="21"/>
          <w:highlight w:val="none"/>
        </w:rPr>
        <w:t>，</w:t>
      </w:r>
      <w:r>
        <w:rPr>
          <w:rFonts w:hint="eastAsia" w:hAnsi="宋体"/>
          <w:color w:val="auto"/>
          <w:szCs w:val="21"/>
          <w:highlight w:val="none"/>
          <w:lang w:val="en-US" w:eastAsia="zh-CN"/>
        </w:rPr>
        <w:t>如出现三个月及以上的考评结果为差评的</w:t>
      </w:r>
      <w:r>
        <w:rPr>
          <w:rFonts w:hint="eastAsia" w:hAnsi="宋体"/>
          <w:color w:val="auto"/>
          <w:szCs w:val="21"/>
          <w:highlight w:val="none"/>
        </w:rPr>
        <w:t>，</w:t>
      </w:r>
      <w:r>
        <w:rPr>
          <w:rFonts w:hint="eastAsia" w:hAnsi="宋体"/>
          <w:color w:val="auto"/>
          <w:szCs w:val="21"/>
          <w:highlight w:val="none"/>
          <w:lang w:val="en-US" w:eastAsia="zh-CN"/>
        </w:rPr>
        <w:t>除要求扣款外，</w:t>
      </w:r>
      <w:r>
        <w:rPr>
          <w:rFonts w:hint="eastAsia" w:hAnsi="宋体"/>
          <w:color w:val="auto"/>
          <w:szCs w:val="21"/>
          <w:highlight w:val="none"/>
        </w:rPr>
        <w:t>甲方</w:t>
      </w:r>
      <w:r>
        <w:rPr>
          <w:rFonts w:hint="eastAsia" w:hAnsi="宋体"/>
          <w:color w:val="auto"/>
          <w:szCs w:val="21"/>
          <w:highlight w:val="none"/>
          <w:lang w:val="en-US" w:eastAsia="zh-CN"/>
        </w:rPr>
        <w:t>还有权</w:t>
      </w:r>
      <w:r>
        <w:rPr>
          <w:rFonts w:hint="eastAsia" w:hAnsi="宋体"/>
          <w:color w:val="auto"/>
          <w:szCs w:val="21"/>
          <w:highlight w:val="none"/>
        </w:rPr>
        <w:t>单方面解除合同，并扣除乙方</w:t>
      </w:r>
      <w:r>
        <w:rPr>
          <w:rFonts w:hint="eastAsia" w:hAnsi="宋体"/>
          <w:color w:val="auto"/>
          <w:kern w:val="44"/>
          <w:szCs w:val="21"/>
          <w:highlight w:val="none"/>
        </w:rPr>
        <w:t>全额</w:t>
      </w:r>
      <w:r>
        <w:rPr>
          <w:rFonts w:hint="eastAsia" w:hAnsi="宋体"/>
          <w:color w:val="auto"/>
          <w:szCs w:val="21"/>
          <w:highlight w:val="none"/>
        </w:rPr>
        <w:t>履约保证金。</w:t>
      </w:r>
    </w:p>
    <w:p>
      <w:pPr>
        <w:spacing w:line="360" w:lineRule="auto"/>
        <w:ind w:firstLine="420" w:firstLineChars="200"/>
        <w:rPr>
          <w:rFonts w:hAnsi="宋体"/>
          <w:color w:val="auto"/>
          <w:szCs w:val="21"/>
          <w:highlight w:val="none"/>
        </w:rPr>
      </w:pPr>
      <w:r>
        <w:rPr>
          <w:rFonts w:hint="eastAsia" w:hAnsi="宋体"/>
          <w:color w:val="auto"/>
          <w:szCs w:val="21"/>
          <w:highlight w:val="none"/>
        </w:rPr>
        <w:t>2.其他检查和处理办法</w:t>
      </w:r>
    </w:p>
    <w:p>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2.</w:t>
      </w:r>
      <w:r>
        <w:rPr>
          <w:rFonts w:hint="eastAsia" w:hAnsi="宋体"/>
          <w:color w:val="auto"/>
          <w:szCs w:val="21"/>
          <w:highlight w:val="none"/>
          <w:lang w:val="en-US" w:eastAsia="zh-CN"/>
        </w:rPr>
        <w:t>1无论因何种原因，</w:t>
      </w:r>
      <w:r>
        <w:rPr>
          <w:rFonts w:hint="eastAsia" w:hAnsi="宋体"/>
          <w:color w:val="auto"/>
          <w:szCs w:val="21"/>
          <w:highlight w:val="none"/>
        </w:rPr>
        <w:t>合同终止时，乙方应及时将废金属、环保砂清运走</w:t>
      </w:r>
      <w:r>
        <w:rPr>
          <w:rFonts w:hint="eastAsia" w:hAnsi="宋体"/>
          <w:color w:val="auto"/>
          <w:szCs w:val="21"/>
          <w:highlight w:val="none"/>
          <w:lang w:eastAsia="zh-CN"/>
        </w:rPr>
        <w:t>（</w:t>
      </w:r>
      <w:r>
        <w:rPr>
          <w:rFonts w:hint="eastAsia" w:hAnsi="宋体"/>
          <w:color w:val="auto"/>
          <w:szCs w:val="21"/>
          <w:highlight w:val="none"/>
          <w:lang w:val="en-US" w:eastAsia="zh-CN"/>
        </w:rPr>
        <w:t>最迟不得迟于合同终止之日起【5】日内）并按甲方要求完成其他退场手续</w:t>
      </w:r>
      <w:r>
        <w:rPr>
          <w:rFonts w:hint="eastAsia" w:hAnsi="宋体"/>
          <w:color w:val="auto"/>
          <w:szCs w:val="21"/>
          <w:highlight w:val="none"/>
        </w:rPr>
        <w:t>。如未及时完成</w:t>
      </w:r>
      <w:r>
        <w:rPr>
          <w:rFonts w:hint="eastAsia" w:hAnsi="宋体"/>
          <w:color w:val="auto"/>
          <w:szCs w:val="21"/>
          <w:highlight w:val="none"/>
          <w:lang w:val="en-US" w:eastAsia="zh-CN"/>
        </w:rPr>
        <w:t>前述义务的</w:t>
      </w:r>
      <w:r>
        <w:rPr>
          <w:rFonts w:hint="eastAsia" w:hAnsi="宋体"/>
          <w:color w:val="auto"/>
          <w:szCs w:val="21"/>
          <w:highlight w:val="none"/>
        </w:rPr>
        <w:t>，则每延迟一天扣除履约保证金10000元，</w:t>
      </w:r>
      <w:r>
        <w:rPr>
          <w:rFonts w:hint="eastAsia" w:hAnsi="宋体"/>
          <w:color w:val="auto"/>
          <w:szCs w:val="21"/>
          <w:highlight w:val="none"/>
          <w:lang w:val="en-US" w:eastAsia="zh-CN"/>
        </w:rPr>
        <w:t>剩余</w:t>
      </w:r>
      <w:r>
        <w:rPr>
          <w:rFonts w:hint="eastAsia" w:hAnsi="宋体"/>
          <w:color w:val="auto"/>
          <w:szCs w:val="21"/>
          <w:highlight w:val="none"/>
        </w:rPr>
        <w:t>履约保证金不足时，</w:t>
      </w:r>
      <w:r>
        <w:rPr>
          <w:rFonts w:hint="eastAsia"/>
          <w:color w:val="auto"/>
          <w:szCs w:val="21"/>
          <w:highlight w:val="none"/>
          <w:lang w:val="en-US" w:eastAsia="zh-CN"/>
        </w:rPr>
        <w:t>乙方还应补足</w:t>
      </w:r>
      <w:r>
        <w:rPr>
          <w:rFonts w:hint="eastAsia" w:hAnsi="宋体"/>
          <w:color w:val="auto"/>
          <w:szCs w:val="21"/>
          <w:highlight w:val="none"/>
        </w:rPr>
        <w:t>。</w:t>
      </w:r>
    </w:p>
    <w:p>
      <w:pPr>
        <w:spacing w:line="360" w:lineRule="auto"/>
        <w:ind w:firstLine="420" w:firstLineChars="200"/>
        <w:rPr>
          <w:rFonts w:hAnsi="宋体"/>
          <w:color w:val="auto"/>
          <w:szCs w:val="21"/>
          <w:highlight w:val="none"/>
        </w:rPr>
      </w:pPr>
      <w:r>
        <w:rPr>
          <w:rFonts w:hint="eastAsia" w:hAnsi="宋体"/>
          <w:color w:val="auto"/>
          <w:szCs w:val="21"/>
          <w:highlight w:val="none"/>
        </w:rPr>
        <w:t>2.</w:t>
      </w:r>
      <w:r>
        <w:rPr>
          <w:rFonts w:hint="eastAsia" w:hAnsi="宋体"/>
          <w:color w:val="auto"/>
          <w:szCs w:val="21"/>
          <w:highlight w:val="none"/>
          <w:lang w:val="en-US" w:eastAsia="zh-CN"/>
        </w:rPr>
        <w:t>2</w:t>
      </w:r>
      <w:r>
        <w:rPr>
          <w:rFonts w:hint="eastAsia" w:hAnsi="宋体"/>
          <w:color w:val="auto"/>
          <w:szCs w:val="21"/>
          <w:highlight w:val="none"/>
        </w:rPr>
        <w:t>甲方将不定期对乙方现场人员及设备数量配置进行抽查，若发现乙方人员及设备配置与服务需求书不匹配，第一次甲方提出整改通知，乙方接甲方整改通知三个工作日内完成整改，第一次甲方扣除乙方履约保证金</w:t>
      </w:r>
      <w:r>
        <w:rPr>
          <w:rFonts w:hAnsi="宋体"/>
          <w:color w:val="auto"/>
          <w:szCs w:val="21"/>
          <w:highlight w:val="none"/>
        </w:rPr>
        <w:t>5</w:t>
      </w:r>
      <w:r>
        <w:rPr>
          <w:rFonts w:hint="eastAsia" w:hAnsi="宋体"/>
          <w:color w:val="auto"/>
          <w:szCs w:val="21"/>
          <w:highlight w:val="none"/>
        </w:rPr>
        <w:t>000元；第二次及以上甲方每次扣除乙方履约保证金</w:t>
      </w:r>
      <w:r>
        <w:rPr>
          <w:rFonts w:hAnsi="宋体"/>
          <w:color w:val="auto"/>
          <w:szCs w:val="21"/>
          <w:highlight w:val="none"/>
        </w:rPr>
        <w:t>1</w:t>
      </w:r>
      <w:r>
        <w:rPr>
          <w:rFonts w:hint="eastAsia" w:hAnsi="宋体"/>
          <w:color w:val="auto"/>
          <w:szCs w:val="21"/>
          <w:highlight w:val="none"/>
        </w:rPr>
        <w:t>0000元。甲方有权对需要资质的人员和设备进行抽查，若乙方安排没有资质人员担任需要资质的岗位或没有特种设备使用证的设备使用，每发现一人或一台设备甲方扣除乙方履约保证金5000元，累积计算。</w:t>
      </w:r>
    </w:p>
    <w:p>
      <w:pPr>
        <w:spacing w:line="360" w:lineRule="auto"/>
        <w:ind w:firstLine="420" w:firstLineChars="200"/>
        <w:rPr>
          <w:rFonts w:hAnsi="宋体"/>
          <w:color w:val="auto"/>
          <w:szCs w:val="21"/>
          <w:highlight w:val="none"/>
        </w:rPr>
      </w:pPr>
      <w:r>
        <w:rPr>
          <w:rFonts w:hint="eastAsia" w:hAnsi="宋体"/>
          <w:color w:val="auto"/>
          <w:szCs w:val="21"/>
          <w:highlight w:val="none"/>
        </w:rPr>
        <w:t>2.</w:t>
      </w:r>
      <w:r>
        <w:rPr>
          <w:rFonts w:hint="eastAsia" w:hAnsi="宋体"/>
          <w:color w:val="auto"/>
          <w:szCs w:val="21"/>
          <w:highlight w:val="none"/>
          <w:lang w:val="en-US" w:eastAsia="zh-CN"/>
        </w:rPr>
        <w:t>3</w:t>
      </w:r>
      <w:r>
        <w:rPr>
          <w:rFonts w:hint="eastAsia" w:hAnsi="宋体"/>
          <w:color w:val="auto"/>
          <w:szCs w:val="21"/>
          <w:highlight w:val="none"/>
        </w:rPr>
        <w:t>乙方不得将服务项目发包或转包，否则，将视乙方违约，甲方可以</w:t>
      </w:r>
      <w:r>
        <w:rPr>
          <w:rFonts w:hint="eastAsia" w:hAnsi="宋体"/>
          <w:color w:val="auto"/>
          <w:szCs w:val="21"/>
          <w:highlight w:val="none"/>
          <w:lang w:val="en-US" w:eastAsia="zh-CN"/>
        </w:rPr>
        <w:t>单方</w:t>
      </w:r>
      <w:r>
        <w:rPr>
          <w:rFonts w:hint="eastAsia" w:hAnsi="宋体"/>
          <w:color w:val="auto"/>
          <w:szCs w:val="21"/>
          <w:highlight w:val="none"/>
        </w:rPr>
        <w:t>解除合同，甲方扣除</w:t>
      </w:r>
      <w:r>
        <w:rPr>
          <w:rFonts w:hint="eastAsia" w:hAnsi="宋体"/>
          <w:color w:val="auto"/>
          <w:kern w:val="44"/>
          <w:szCs w:val="21"/>
          <w:highlight w:val="none"/>
        </w:rPr>
        <w:t>全额</w:t>
      </w:r>
      <w:r>
        <w:rPr>
          <w:rFonts w:hint="eastAsia" w:hAnsi="宋体"/>
          <w:color w:val="auto"/>
          <w:szCs w:val="21"/>
          <w:highlight w:val="none"/>
        </w:rPr>
        <w:t>履约保证金作为违约金。</w:t>
      </w:r>
    </w:p>
    <w:p>
      <w:pPr>
        <w:numPr>
          <w:ilvl w:val="255"/>
          <w:numId w:val="0"/>
        </w:numPr>
        <w:spacing w:line="360" w:lineRule="auto"/>
        <w:rPr>
          <w:b/>
          <w:bCs/>
          <w:color w:val="auto"/>
          <w:szCs w:val="21"/>
          <w:highlight w:val="none"/>
        </w:rPr>
      </w:pPr>
      <w:r>
        <w:rPr>
          <w:rFonts w:hint="eastAsia"/>
          <w:b/>
          <w:bCs/>
          <w:color w:val="auto"/>
          <w:szCs w:val="21"/>
          <w:highlight w:val="none"/>
        </w:rPr>
        <w:t>第七条 违约责任</w:t>
      </w:r>
    </w:p>
    <w:p>
      <w:pPr>
        <w:spacing w:line="360" w:lineRule="auto"/>
        <w:ind w:firstLine="420" w:firstLineChars="200"/>
        <w:rPr>
          <w:rFonts w:hAnsi="宋体"/>
          <w:color w:val="auto"/>
          <w:szCs w:val="21"/>
          <w:highlight w:val="none"/>
        </w:rPr>
      </w:pPr>
      <w:r>
        <w:rPr>
          <w:rFonts w:hint="eastAsia" w:hAnsi="宋体"/>
          <w:color w:val="auto"/>
          <w:szCs w:val="21"/>
          <w:highlight w:val="none"/>
        </w:rPr>
        <w:t>1.乙方逾期向甲方支付炉渣综合处置预付款项</w:t>
      </w:r>
      <w:r>
        <w:rPr>
          <w:rFonts w:hint="eastAsia" w:hAnsi="宋体"/>
          <w:color w:val="auto"/>
          <w:szCs w:val="21"/>
          <w:highlight w:val="none"/>
          <w:lang w:val="en-US" w:eastAsia="zh-CN"/>
        </w:rPr>
        <w:t>或补足差额</w:t>
      </w:r>
      <w:r>
        <w:rPr>
          <w:rFonts w:hint="eastAsia" w:hAnsi="宋体"/>
          <w:color w:val="auto"/>
          <w:szCs w:val="21"/>
          <w:highlight w:val="none"/>
        </w:rPr>
        <w:t>的，每逾期一天，乙方应按照应付未付款项的万分之三承担违约金，且甲方有权将炉渣销售给其他供应商；逾期时间超过30天的，甲方有权</w:t>
      </w:r>
      <w:r>
        <w:rPr>
          <w:rFonts w:hint="eastAsia" w:hAnsi="宋体"/>
          <w:color w:val="auto"/>
          <w:szCs w:val="21"/>
          <w:highlight w:val="none"/>
          <w:lang w:val="en-US" w:eastAsia="zh-CN"/>
        </w:rPr>
        <w:t>单方</w:t>
      </w:r>
      <w:r>
        <w:rPr>
          <w:rFonts w:hint="eastAsia" w:hAnsi="宋体"/>
          <w:color w:val="auto"/>
          <w:szCs w:val="21"/>
          <w:highlight w:val="none"/>
        </w:rPr>
        <w:t>解除合同，并扣除</w:t>
      </w:r>
      <w:r>
        <w:rPr>
          <w:rFonts w:hint="eastAsia" w:hAnsi="宋体"/>
          <w:color w:val="auto"/>
          <w:kern w:val="44"/>
          <w:szCs w:val="21"/>
          <w:highlight w:val="none"/>
        </w:rPr>
        <w:t>全额履约保证金</w:t>
      </w:r>
      <w:r>
        <w:rPr>
          <w:rFonts w:hint="eastAsia" w:hAnsi="宋体"/>
          <w:color w:val="auto"/>
          <w:szCs w:val="21"/>
          <w:highlight w:val="none"/>
        </w:rPr>
        <w:t>。</w:t>
      </w:r>
    </w:p>
    <w:p>
      <w:pPr>
        <w:spacing w:line="360" w:lineRule="auto"/>
        <w:ind w:firstLine="420" w:firstLineChars="200"/>
        <w:rPr>
          <w:rFonts w:hAnsi="宋体"/>
          <w:color w:val="auto"/>
          <w:szCs w:val="21"/>
          <w:highlight w:val="none"/>
        </w:rPr>
      </w:pPr>
      <w:r>
        <w:rPr>
          <w:rFonts w:hint="eastAsia" w:hAnsi="宋体"/>
          <w:color w:val="auto"/>
          <w:szCs w:val="21"/>
          <w:highlight w:val="none"/>
          <w:lang w:val="en-US" w:eastAsia="zh-CN"/>
        </w:rPr>
        <w:t>2</w:t>
      </w:r>
      <w:r>
        <w:rPr>
          <w:rFonts w:hAnsi="宋体"/>
          <w:color w:val="auto"/>
          <w:szCs w:val="21"/>
          <w:highlight w:val="none"/>
        </w:rPr>
        <w:t>.</w:t>
      </w:r>
      <w:r>
        <w:rPr>
          <w:rFonts w:hint="eastAsia" w:hAnsi="宋体"/>
          <w:b/>
          <w:color w:val="auto"/>
          <w:szCs w:val="21"/>
          <w:highlight w:val="none"/>
          <w:u w:val="single"/>
        </w:rPr>
        <w:t>在合同履行过程中，如果甲方发现乙方提供虚假材料骗取中标或不按合同约定全面履行义务等情况的，甲方有权单方面解除本合同，</w:t>
      </w:r>
      <w:r>
        <w:rPr>
          <w:rFonts w:hint="eastAsia" w:hAnsi="宋体"/>
          <w:color w:val="auto"/>
          <w:szCs w:val="21"/>
          <w:highlight w:val="none"/>
        </w:rPr>
        <w:t>扣除</w:t>
      </w:r>
      <w:r>
        <w:rPr>
          <w:rFonts w:hint="eastAsia" w:hAnsi="宋体"/>
          <w:color w:val="auto"/>
          <w:kern w:val="44"/>
          <w:szCs w:val="21"/>
          <w:highlight w:val="none"/>
        </w:rPr>
        <w:t>全额履约保证金</w:t>
      </w:r>
      <w:r>
        <w:rPr>
          <w:rFonts w:hAnsi="宋体"/>
          <w:color w:val="auto"/>
          <w:szCs w:val="21"/>
          <w:highlight w:val="none"/>
        </w:rPr>
        <w:t>，并且赔偿甲方的全部损失。</w:t>
      </w:r>
    </w:p>
    <w:p>
      <w:pPr>
        <w:pStyle w:val="44"/>
        <w:spacing w:line="360" w:lineRule="auto"/>
        <w:ind w:firstLine="420" w:firstLineChars="200"/>
        <w:rPr>
          <w:rFonts w:hAnsi="宋体"/>
          <w:color w:val="auto"/>
          <w:kern w:val="44"/>
          <w:sz w:val="21"/>
          <w:szCs w:val="21"/>
          <w:highlight w:val="none"/>
        </w:rPr>
      </w:pPr>
      <w:r>
        <w:rPr>
          <w:rFonts w:hint="eastAsia" w:hAnsi="宋体"/>
          <w:color w:val="auto"/>
          <w:kern w:val="44"/>
          <w:sz w:val="21"/>
          <w:szCs w:val="21"/>
          <w:highlight w:val="none"/>
          <w:lang w:val="en-US" w:eastAsia="zh-CN"/>
        </w:rPr>
        <w:t>3</w:t>
      </w:r>
      <w:r>
        <w:rPr>
          <w:rFonts w:hint="eastAsia" w:hAnsi="宋体"/>
          <w:color w:val="auto"/>
          <w:kern w:val="44"/>
          <w:sz w:val="21"/>
          <w:szCs w:val="21"/>
          <w:highlight w:val="none"/>
        </w:rPr>
        <w:t>.在合同履行过程中，乙方未按合同约定进行炉渣厂设备（桥吊、空调、除尘除臭、安全、消防设施除外）机务部分及合同约定属于乙方负责的日常保养、定期工作及检修，每发生一次，乙方应当向甲方支付</w:t>
      </w:r>
      <w:r>
        <w:rPr>
          <w:rFonts w:hAnsi="宋体"/>
          <w:color w:val="auto"/>
          <w:kern w:val="44"/>
          <w:sz w:val="21"/>
          <w:szCs w:val="21"/>
          <w:highlight w:val="none"/>
        </w:rPr>
        <w:t>5</w:t>
      </w:r>
      <w:r>
        <w:rPr>
          <w:rFonts w:hint="eastAsia" w:hAnsi="宋体"/>
          <w:color w:val="auto"/>
          <w:kern w:val="44"/>
          <w:sz w:val="21"/>
          <w:szCs w:val="21"/>
          <w:highlight w:val="none"/>
        </w:rPr>
        <w:t>000元的违约金，达10次，甲方可单方面解除合同，并扣除乙方全额履约保证金。</w:t>
      </w:r>
    </w:p>
    <w:p>
      <w:pPr>
        <w:pStyle w:val="44"/>
        <w:spacing w:line="360" w:lineRule="auto"/>
        <w:ind w:firstLine="420" w:firstLineChars="200"/>
        <w:rPr>
          <w:rFonts w:hAnsi="宋体"/>
          <w:color w:val="auto"/>
          <w:kern w:val="44"/>
          <w:sz w:val="21"/>
          <w:szCs w:val="21"/>
          <w:highlight w:val="none"/>
        </w:rPr>
      </w:pPr>
      <w:r>
        <w:rPr>
          <w:rFonts w:hint="eastAsia" w:hAnsi="宋体"/>
          <w:color w:val="auto"/>
          <w:kern w:val="44"/>
          <w:sz w:val="21"/>
          <w:szCs w:val="21"/>
          <w:highlight w:val="none"/>
          <w:lang w:val="en-US" w:eastAsia="zh-CN"/>
        </w:rPr>
        <w:t>4</w:t>
      </w:r>
      <w:r>
        <w:rPr>
          <w:rFonts w:hint="eastAsia" w:hAnsi="宋体"/>
          <w:color w:val="auto"/>
          <w:kern w:val="44"/>
          <w:sz w:val="21"/>
          <w:szCs w:val="21"/>
          <w:highlight w:val="none"/>
        </w:rPr>
        <w:t>.乙方应当承担的违约金、罚款、赔偿金等款项，甲方均有权从乙方提交的履约保证金中扣除。履约保证金不足扣除的，乙方须及时补交至合同约定</w:t>
      </w:r>
      <w:r>
        <w:rPr>
          <w:rFonts w:hint="eastAsia" w:hAnsi="宋体"/>
          <w:color w:val="auto"/>
          <w:kern w:val="44"/>
          <w:sz w:val="21"/>
          <w:szCs w:val="21"/>
          <w:highlight w:val="none"/>
          <w:lang w:val="en-US" w:eastAsia="zh-CN"/>
        </w:rPr>
        <w:t>的履约保证金或违约金</w:t>
      </w:r>
      <w:r>
        <w:rPr>
          <w:rFonts w:hint="eastAsia" w:hAnsi="宋体"/>
          <w:color w:val="auto"/>
          <w:kern w:val="44"/>
          <w:sz w:val="21"/>
          <w:szCs w:val="21"/>
          <w:highlight w:val="none"/>
        </w:rPr>
        <w:t>金额。</w:t>
      </w:r>
    </w:p>
    <w:p>
      <w:pPr>
        <w:pStyle w:val="44"/>
        <w:spacing w:line="360" w:lineRule="auto"/>
        <w:ind w:firstLine="420" w:firstLineChars="200"/>
        <w:rPr>
          <w:rFonts w:hAnsi="宋体"/>
          <w:color w:val="auto"/>
          <w:kern w:val="44"/>
          <w:sz w:val="21"/>
          <w:szCs w:val="21"/>
          <w:highlight w:val="none"/>
        </w:rPr>
      </w:pPr>
      <w:r>
        <w:rPr>
          <w:rFonts w:hint="eastAsia" w:hAnsi="宋体"/>
          <w:color w:val="auto"/>
          <w:kern w:val="44"/>
          <w:sz w:val="21"/>
          <w:szCs w:val="21"/>
          <w:highlight w:val="none"/>
          <w:lang w:val="en-US" w:eastAsia="zh-CN"/>
        </w:rPr>
        <w:t>5</w:t>
      </w:r>
      <w:r>
        <w:rPr>
          <w:rFonts w:hint="eastAsia" w:hAnsi="宋体"/>
          <w:color w:val="auto"/>
          <w:kern w:val="44"/>
          <w:sz w:val="21"/>
          <w:szCs w:val="21"/>
          <w:highlight w:val="none"/>
        </w:rPr>
        <w:t>.乙方私自处置其他地方来源的炉渣，第一次向甲方支付100000元的违约金；第二次及以上的，向甲方支付500000元的违约金且甲方有权单方面解除合同。</w:t>
      </w:r>
    </w:p>
    <w:p>
      <w:pPr>
        <w:pStyle w:val="44"/>
        <w:spacing w:line="360" w:lineRule="auto"/>
        <w:ind w:firstLine="420" w:firstLineChars="200"/>
        <w:rPr>
          <w:rFonts w:hAnsi="宋体"/>
          <w:color w:val="auto"/>
          <w:kern w:val="44"/>
          <w:sz w:val="21"/>
          <w:szCs w:val="21"/>
          <w:highlight w:val="none"/>
        </w:rPr>
      </w:pPr>
      <w:r>
        <w:rPr>
          <w:rFonts w:hint="eastAsia" w:hAnsi="宋体"/>
          <w:color w:val="auto"/>
          <w:kern w:val="44"/>
          <w:sz w:val="21"/>
          <w:szCs w:val="21"/>
          <w:highlight w:val="none"/>
          <w:lang w:val="en-US" w:eastAsia="zh-CN"/>
        </w:rPr>
        <w:t>6</w:t>
      </w:r>
      <w:r>
        <w:rPr>
          <w:rFonts w:hint="eastAsia" w:hAnsi="宋体"/>
          <w:color w:val="auto"/>
          <w:kern w:val="44"/>
          <w:sz w:val="21"/>
          <w:szCs w:val="21"/>
          <w:highlight w:val="none"/>
        </w:rPr>
        <w:t>.乙方私自将本项目炉渣运至其他地方处置，第一次向甲方支付100000元的违约金；第二次及以上的，向甲方支付500000元的违约金且甲方有权单方面解除合同。</w:t>
      </w:r>
    </w:p>
    <w:p>
      <w:pPr>
        <w:pStyle w:val="44"/>
        <w:spacing w:line="360" w:lineRule="auto"/>
        <w:ind w:firstLine="420" w:firstLineChars="200"/>
        <w:rPr>
          <w:rFonts w:hint="eastAsia" w:hAnsi="宋体"/>
          <w:color w:val="auto"/>
          <w:kern w:val="44"/>
          <w:sz w:val="21"/>
          <w:szCs w:val="21"/>
          <w:highlight w:val="none"/>
        </w:rPr>
      </w:pPr>
      <w:r>
        <w:rPr>
          <w:rFonts w:hint="eastAsia" w:hAnsi="宋体"/>
          <w:color w:val="auto"/>
          <w:kern w:val="44"/>
          <w:sz w:val="21"/>
          <w:szCs w:val="21"/>
          <w:highlight w:val="none"/>
          <w:lang w:val="en-US" w:eastAsia="zh-CN"/>
        </w:rPr>
        <w:t>7</w:t>
      </w:r>
      <w:r>
        <w:rPr>
          <w:rFonts w:hint="eastAsia" w:hAnsi="宋体"/>
          <w:color w:val="auto"/>
          <w:kern w:val="44"/>
          <w:sz w:val="21"/>
          <w:szCs w:val="21"/>
          <w:highlight w:val="none"/>
        </w:rPr>
        <w:t>.乙方不得擅自更换和撤离项目负责人，若因项目负责人与乙方公司解除劳务合同的或者自然死亡的或者生病不能到岗履职的，经甲方书面同意后方可更换。经甲方认定项目负责人不能胜任岗位的，接甲方书面通知后，乙方应无条件10日内完成更换，否则甲方有权扣除10000元/天的违约金）。</w:t>
      </w:r>
    </w:p>
    <w:p>
      <w:pPr>
        <w:pStyle w:val="44"/>
        <w:spacing w:line="360" w:lineRule="auto"/>
        <w:ind w:firstLine="420" w:firstLineChars="200"/>
        <w:rPr>
          <w:rFonts w:hint="eastAsia" w:hAnsi="宋体"/>
          <w:color w:val="auto"/>
          <w:kern w:val="44"/>
          <w:sz w:val="21"/>
          <w:szCs w:val="21"/>
          <w:highlight w:val="none"/>
        </w:rPr>
      </w:pPr>
      <w:r>
        <w:rPr>
          <w:rFonts w:hint="eastAsia" w:hAnsi="宋体"/>
          <w:color w:val="auto"/>
          <w:kern w:val="44"/>
          <w:sz w:val="21"/>
          <w:szCs w:val="21"/>
          <w:highlight w:val="none"/>
          <w:lang w:val="en-US" w:eastAsia="zh-CN"/>
        </w:rPr>
        <w:t>8.乙方在运行过程中须控制环保砂日暂存量不超过6000吨，如日暂存量超过6000吨且未超过7000吨的，则甲方向乙方下达抄告单，乙方须在3日内整改直至符合甲方要求，否则自第4日起甲方有权扣除乙方</w:t>
      </w:r>
      <w:r>
        <w:rPr>
          <w:rFonts w:hint="eastAsia" w:hAnsi="宋体"/>
          <w:color w:val="auto"/>
          <w:kern w:val="44"/>
          <w:sz w:val="21"/>
          <w:szCs w:val="21"/>
          <w:highlight w:val="none"/>
        </w:rPr>
        <w:t>履约保证金</w:t>
      </w:r>
      <w:r>
        <w:rPr>
          <w:rFonts w:hint="eastAsia" w:hAnsi="宋体"/>
          <w:color w:val="auto"/>
          <w:kern w:val="44"/>
          <w:sz w:val="21"/>
          <w:szCs w:val="21"/>
          <w:highlight w:val="none"/>
          <w:lang w:val="en-US" w:eastAsia="zh-CN"/>
        </w:rPr>
        <w:t>5</w:t>
      </w:r>
      <w:r>
        <w:rPr>
          <w:rFonts w:hint="eastAsia" w:hAnsi="宋体"/>
          <w:color w:val="auto"/>
          <w:kern w:val="44"/>
          <w:sz w:val="21"/>
          <w:szCs w:val="21"/>
          <w:highlight w:val="none"/>
        </w:rPr>
        <w:t>000元</w:t>
      </w:r>
      <w:r>
        <w:rPr>
          <w:rFonts w:hint="eastAsia" w:hAnsi="宋体"/>
          <w:color w:val="auto"/>
          <w:kern w:val="44"/>
          <w:sz w:val="21"/>
          <w:szCs w:val="21"/>
          <w:highlight w:val="none"/>
          <w:lang w:val="en-US" w:eastAsia="zh-CN"/>
        </w:rPr>
        <w:t>/天</w:t>
      </w:r>
      <w:r>
        <w:rPr>
          <w:rFonts w:hint="eastAsia" w:hAnsi="宋体"/>
          <w:color w:val="auto"/>
          <w:kern w:val="44"/>
          <w:sz w:val="21"/>
          <w:szCs w:val="21"/>
          <w:highlight w:val="none"/>
          <w:lang w:eastAsia="zh-CN"/>
        </w:rPr>
        <w:t>；</w:t>
      </w:r>
      <w:r>
        <w:rPr>
          <w:rFonts w:hint="eastAsia" w:hAnsi="宋体"/>
          <w:color w:val="auto"/>
          <w:kern w:val="44"/>
          <w:sz w:val="21"/>
          <w:szCs w:val="21"/>
          <w:highlight w:val="none"/>
          <w:lang w:val="en-US" w:eastAsia="zh-CN"/>
        </w:rPr>
        <w:t>如日暂存量超过7000吨且未超过8000吨的，</w:t>
      </w:r>
      <w:r>
        <w:rPr>
          <w:rFonts w:hint="eastAsia" w:hAnsi="宋体"/>
          <w:color w:val="auto"/>
          <w:kern w:val="44"/>
          <w:sz w:val="21"/>
          <w:szCs w:val="21"/>
          <w:highlight w:val="none"/>
        </w:rPr>
        <w:t>甲方有权扣除乙方履约保证金</w:t>
      </w:r>
      <w:r>
        <w:rPr>
          <w:rFonts w:hint="eastAsia" w:hAnsi="宋体"/>
          <w:color w:val="auto"/>
          <w:kern w:val="44"/>
          <w:sz w:val="21"/>
          <w:szCs w:val="21"/>
          <w:highlight w:val="none"/>
          <w:lang w:val="en-US" w:eastAsia="zh-CN"/>
        </w:rPr>
        <w:t>8</w:t>
      </w:r>
      <w:r>
        <w:rPr>
          <w:rFonts w:hint="eastAsia" w:hAnsi="宋体"/>
          <w:color w:val="auto"/>
          <w:kern w:val="44"/>
          <w:sz w:val="21"/>
          <w:szCs w:val="21"/>
          <w:highlight w:val="none"/>
        </w:rPr>
        <w:t>000元</w:t>
      </w:r>
      <w:r>
        <w:rPr>
          <w:rFonts w:hint="eastAsia" w:hAnsi="宋体"/>
          <w:color w:val="auto"/>
          <w:kern w:val="44"/>
          <w:sz w:val="21"/>
          <w:szCs w:val="21"/>
          <w:highlight w:val="none"/>
          <w:lang w:val="en-US" w:eastAsia="zh-CN"/>
        </w:rPr>
        <w:t>/天</w:t>
      </w:r>
      <w:r>
        <w:rPr>
          <w:rFonts w:hint="eastAsia" w:hAnsi="宋体"/>
          <w:color w:val="auto"/>
          <w:kern w:val="44"/>
          <w:sz w:val="21"/>
          <w:szCs w:val="21"/>
          <w:highlight w:val="none"/>
          <w:lang w:eastAsia="zh-CN"/>
        </w:rPr>
        <w:t>。</w:t>
      </w:r>
      <w:r>
        <w:rPr>
          <w:rFonts w:hint="eastAsia" w:hAnsi="宋体"/>
          <w:color w:val="auto"/>
          <w:kern w:val="44"/>
          <w:sz w:val="21"/>
          <w:szCs w:val="21"/>
          <w:highlight w:val="none"/>
          <w:lang w:val="en-US" w:eastAsia="zh-CN"/>
        </w:rPr>
        <w:t>如日暂存量超过8000吨，</w:t>
      </w:r>
      <w:r>
        <w:rPr>
          <w:rFonts w:hint="eastAsia" w:hAnsi="宋体"/>
          <w:color w:val="auto"/>
          <w:kern w:val="44"/>
          <w:sz w:val="21"/>
          <w:szCs w:val="21"/>
          <w:highlight w:val="none"/>
        </w:rPr>
        <w:t>甲方有权扣除乙方履约保证金10000元/天。</w:t>
      </w:r>
    </w:p>
    <w:p>
      <w:pPr>
        <w:pStyle w:val="44"/>
        <w:spacing w:line="360" w:lineRule="auto"/>
        <w:ind w:firstLine="420" w:firstLineChars="200"/>
        <w:rPr>
          <w:rFonts w:hint="eastAsia" w:hAnsi="宋体"/>
          <w:color w:val="auto"/>
          <w:kern w:val="44"/>
          <w:sz w:val="21"/>
          <w:szCs w:val="21"/>
          <w:highlight w:val="none"/>
        </w:rPr>
      </w:pPr>
      <w:r>
        <w:rPr>
          <w:rFonts w:hint="eastAsia" w:hAnsi="宋体"/>
          <w:color w:val="auto"/>
          <w:kern w:val="44"/>
          <w:sz w:val="21"/>
          <w:szCs w:val="21"/>
          <w:highlight w:val="none"/>
          <w:lang w:val="en-US" w:eastAsia="zh-CN"/>
        </w:rPr>
        <w:t>9.</w:t>
      </w:r>
      <w:r>
        <w:rPr>
          <w:rFonts w:hint="eastAsia" w:hAnsi="宋体"/>
          <w:color w:val="auto"/>
          <w:kern w:val="44"/>
          <w:sz w:val="21"/>
          <w:szCs w:val="21"/>
          <w:highlight w:val="none"/>
        </w:rPr>
        <w:t>如乙方不能保证废金属、环保砂及时运走，影响到甲方的正常生产（如铁砂库满、碎铁库满或环保砂池满等），甲方有权扣除乙方履约保证金</w:t>
      </w:r>
      <w:r>
        <w:rPr>
          <w:rFonts w:hint="eastAsia" w:hAnsi="宋体"/>
          <w:color w:val="auto"/>
          <w:kern w:val="44"/>
          <w:sz w:val="21"/>
          <w:szCs w:val="21"/>
          <w:highlight w:val="none"/>
          <w:lang w:val="en-US" w:eastAsia="zh-CN"/>
        </w:rPr>
        <w:t>15</w:t>
      </w:r>
      <w:r>
        <w:rPr>
          <w:rFonts w:hint="eastAsia" w:hAnsi="宋体"/>
          <w:color w:val="auto"/>
          <w:kern w:val="44"/>
          <w:sz w:val="21"/>
          <w:szCs w:val="21"/>
          <w:highlight w:val="none"/>
        </w:rPr>
        <w:t>000元</w:t>
      </w:r>
      <w:r>
        <w:rPr>
          <w:rFonts w:hint="eastAsia" w:hAnsi="宋体"/>
          <w:color w:val="auto"/>
          <w:kern w:val="44"/>
          <w:sz w:val="21"/>
          <w:szCs w:val="21"/>
          <w:highlight w:val="none"/>
          <w:lang w:val="en-US" w:eastAsia="zh-CN"/>
        </w:rPr>
        <w:t>/天</w:t>
      </w:r>
      <w:r>
        <w:rPr>
          <w:rFonts w:hint="eastAsia" w:hAnsi="宋体"/>
          <w:color w:val="auto"/>
          <w:kern w:val="44"/>
          <w:sz w:val="21"/>
          <w:szCs w:val="21"/>
          <w:highlight w:val="none"/>
        </w:rPr>
        <w:t>；</w:t>
      </w:r>
      <w:r>
        <w:rPr>
          <w:rFonts w:hint="eastAsia" w:hAnsi="宋体"/>
          <w:color w:val="auto"/>
          <w:kern w:val="44"/>
          <w:sz w:val="21"/>
          <w:szCs w:val="21"/>
          <w:highlight w:val="none"/>
          <w:lang w:val="en-US" w:eastAsia="zh-CN"/>
        </w:rPr>
        <w:t>且</w:t>
      </w:r>
      <w:r>
        <w:rPr>
          <w:rFonts w:hint="eastAsia" w:hAnsi="宋体"/>
          <w:color w:val="auto"/>
          <w:kern w:val="44"/>
          <w:sz w:val="21"/>
          <w:szCs w:val="21"/>
          <w:highlight w:val="none"/>
        </w:rPr>
        <w:t>甲方有权将未及时清运的废金属、环保砂，交给有资质的单位处理，所有费用由乙方承担</w:t>
      </w:r>
      <w:r>
        <w:rPr>
          <w:rFonts w:hint="eastAsia" w:hAnsi="宋体"/>
          <w:b/>
          <w:bCs/>
          <w:color w:val="auto"/>
          <w:kern w:val="44"/>
          <w:sz w:val="21"/>
          <w:szCs w:val="21"/>
          <w:highlight w:val="none"/>
        </w:rPr>
        <w:t>。</w:t>
      </w:r>
      <w:r>
        <w:rPr>
          <w:rFonts w:hint="eastAsia" w:hAnsi="宋体"/>
          <w:b/>
          <w:bCs/>
          <w:color w:val="auto"/>
          <w:kern w:val="44"/>
          <w:sz w:val="21"/>
          <w:szCs w:val="21"/>
          <w:highlight w:val="none"/>
          <w:lang w:val="en-US" w:eastAsia="zh-CN"/>
        </w:rPr>
        <w:t>在合同履行过程中</w:t>
      </w:r>
      <w:r>
        <w:rPr>
          <w:rFonts w:hint="eastAsia" w:hAnsi="宋体"/>
          <w:b/>
          <w:bCs/>
          <w:color w:val="auto"/>
          <w:kern w:val="44"/>
          <w:sz w:val="21"/>
          <w:szCs w:val="21"/>
          <w:highlight w:val="none"/>
        </w:rPr>
        <w:t>，</w:t>
      </w:r>
      <w:r>
        <w:rPr>
          <w:rFonts w:hint="eastAsia" w:hAnsi="宋体"/>
          <w:color w:val="auto"/>
          <w:kern w:val="44"/>
          <w:sz w:val="21"/>
          <w:szCs w:val="21"/>
          <w:highlight w:val="none"/>
        </w:rPr>
        <w:t>若因废金属、环保砂不能及时运走而造成炉渣厂停</w:t>
      </w:r>
      <w:r>
        <w:rPr>
          <w:rFonts w:hint="eastAsia" w:hAnsi="宋体"/>
          <w:color w:val="auto"/>
          <w:kern w:val="44"/>
          <w:sz w:val="21"/>
          <w:szCs w:val="21"/>
          <w:highlight w:val="none"/>
          <w:lang w:val="en-US" w:eastAsia="zh-CN"/>
        </w:rPr>
        <w:t>工或停</w:t>
      </w:r>
      <w:r>
        <w:rPr>
          <w:rFonts w:hint="eastAsia" w:hAnsi="宋体"/>
          <w:color w:val="auto"/>
          <w:kern w:val="44"/>
          <w:sz w:val="21"/>
          <w:szCs w:val="21"/>
          <w:highlight w:val="none"/>
        </w:rPr>
        <w:t>产，甲方</w:t>
      </w:r>
      <w:r>
        <w:rPr>
          <w:rFonts w:hint="eastAsia" w:hAnsi="宋体"/>
          <w:color w:val="auto"/>
          <w:kern w:val="44"/>
          <w:sz w:val="21"/>
          <w:szCs w:val="21"/>
          <w:highlight w:val="none"/>
          <w:lang w:val="en-US" w:eastAsia="zh-CN"/>
        </w:rPr>
        <w:t>有权</w:t>
      </w:r>
      <w:r>
        <w:rPr>
          <w:rFonts w:hint="eastAsia" w:hAnsi="宋体"/>
          <w:color w:val="auto"/>
          <w:kern w:val="44"/>
          <w:sz w:val="21"/>
          <w:szCs w:val="21"/>
          <w:highlight w:val="none"/>
        </w:rPr>
        <w:t>扣除乙方履约保证金</w:t>
      </w:r>
      <w:r>
        <w:rPr>
          <w:rFonts w:hint="eastAsia" w:hAnsi="宋体"/>
          <w:color w:val="auto"/>
          <w:kern w:val="44"/>
          <w:sz w:val="21"/>
          <w:szCs w:val="21"/>
          <w:highlight w:val="none"/>
          <w:lang w:val="en-US" w:eastAsia="zh-CN"/>
        </w:rPr>
        <w:t>2</w:t>
      </w:r>
      <w:r>
        <w:rPr>
          <w:rFonts w:hint="eastAsia" w:hAnsi="宋体"/>
          <w:color w:val="auto"/>
          <w:kern w:val="44"/>
          <w:sz w:val="21"/>
          <w:szCs w:val="21"/>
          <w:highlight w:val="none"/>
        </w:rPr>
        <w:t>0000元</w:t>
      </w:r>
      <w:r>
        <w:rPr>
          <w:rFonts w:hint="eastAsia" w:hAnsi="宋体"/>
          <w:color w:val="auto"/>
          <w:kern w:val="44"/>
          <w:sz w:val="21"/>
          <w:szCs w:val="21"/>
          <w:highlight w:val="none"/>
          <w:lang w:val="en-US" w:eastAsia="zh-CN"/>
        </w:rPr>
        <w:t>/天</w:t>
      </w:r>
      <w:r>
        <w:rPr>
          <w:rFonts w:hint="eastAsia" w:hAnsi="宋体"/>
          <w:color w:val="auto"/>
          <w:kern w:val="44"/>
          <w:sz w:val="21"/>
          <w:szCs w:val="21"/>
          <w:highlight w:val="none"/>
          <w:lang w:eastAsia="zh-CN"/>
        </w:rPr>
        <w:t>，</w:t>
      </w:r>
      <w:r>
        <w:rPr>
          <w:rFonts w:hint="eastAsia" w:hAnsi="宋体"/>
          <w:color w:val="auto"/>
          <w:kern w:val="44"/>
          <w:sz w:val="21"/>
          <w:szCs w:val="21"/>
          <w:highlight w:val="none"/>
          <w:lang w:val="en-US" w:eastAsia="zh-CN"/>
        </w:rPr>
        <w:t>同时乙方应赔偿甲方因停工或停产造成的全部损失；若</w:t>
      </w:r>
      <w:r>
        <w:rPr>
          <w:rFonts w:hint="eastAsia" w:hAnsi="宋体"/>
          <w:color w:val="auto"/>
          <w:kern w:val="44"/>
          <w:sz w:val="21"/>
          <w:szCs w:val="21"/>
          <w:highlight w:val="none"/>
        </w:rPr>
        <w:t>停</w:t>
      </w:r>
      <w:r>
        <w:rPr>
          <w:rFonts w:hint="eastAsia" w:hAnsi="宋体"/>
          <w:color w:val="auto"/>
          <w:kern w:val="44"/>
          <w:sz w:val="21"/>
          <w:szCs w:val="21"/>
          <w:highlight w:val="none"/>
          <w:lang w:val="en-US" w:eastAsia="zh-CN"/>
        </w:rPr>
        <w:t>工或停</w:t>
      </w:r>
      <w:r>
        <w:rPr>
          <w:rFonts w:hint="eastAsia" w:hAnsi="宋体"/>
          <w:color w:val="auto"/>
          <w:kern w:val="44"/>
          <w:sz w:val="21"/>
          <w:szCs w:val="21"/>
          <w:highlight w:val="none"/>
        </w:rPr>
        <w:t>产</w:t>
      </w:r>
      <w:r>
        <w:rPr>
          <w:rFonts w:hint="eastAsia" w:hAnsi="宋体"/>
          <w:color w:val="auto"/>
          <w:kern w:val="44"/>
          <w:sz w:val="21"/>
          <w:szCs w:val="21"/>
          <w:highlight w:val="none"/>
          <w:lang w:val="en-US" w:eastAsia="zh-CN"/>
        </w:rPr>
        <w:t>超过3天的，甲方有权解除合同并没收全部履约保证金</w:t>
      </w:r>
      <w:r>
        <w:rPr>
          <w:rFonts w:hint="eastAsia" w:hAnsi="宋体"/>
          <w:color w:val="auto"/>
          <w:kern w:val="44"/>
          <w:sz w:val="21"/>
          <w:szCs w:val="21"/>
          <w:highlight w:val="none"/>
        </w:rPr>
        <w:t>。</w:t>
      </w:r>
    </w:p>
    <w:p>
      <w:pPr>
        <w:pStyle w:val="44"/>
        <w:spacing w:line="360" w:lineRule="auto"/>
        <w:ind w:firstLine="420" w:firstLineChars="200"/>
        <w:rPr>
          <w:rFonts w:hAnsi="宋体"/>
          <w:color w:val="auto"/>
          <w:kern w:val="44"/>
          <w:sz w:val="21"/>
          <w:szCs w:val="21"/>
          <w:highlight w:val="none"/>
        </w:rPr>
      </w:pPr>
      <w:r>
        <w:rPr>
          <w:rFonts w:hint="eastAsia" w:hAnsi="宋体"/>
          <w:color w:val="auto"/>
          <w:kern w:val="44"/>
          <w:sz w:val="21"/>
          <w:szCs w:val="21"/>
          <w:highlight w:val="none"/>
          <w:lang w:val="en-US" w:eastAsia="zh-CN"/>
        </w:rPr>
        <w:t>10</w:t>
      </w:r>
      <w:r>
        <w:rPr>
          <w:rFonts w:hint="eastAsia" w:hAnsi="宋体"/>
          <w:color w:val="auto"/>
          <w:kern w:val="44"/>
          <w:sz w:val="21"/>
          <w:szCs w:val="21"/>
          <w:highlight w:val="none"/>
        </w:rPr>
        <w:t>.本合同中所写的全部损失皆指所造成的一切实际损失与可得利益损失、甲方另外销售炉渣价格低于本合同约定价格而产生的差额，并包含承担守约方为维护自身权益所产生的一切费用，包括但不限于律师费、诉讼费、保全费、公证费、公告费等。</w:t>
      </w:r>
    </w:p>
    <w:p>
      <w:pPr>
        <w:numPr>
          <w:ilvl w:val="255"/>
          <w:numId w:val="0"/>
        </w:numPr>
        <w:spacing w:line="360" w:lineRule="auto"/>
        <w:rPr>
          <w:b/>
          <w:bCs/>
          <w:color w:val="auto"/>
          <w:szCs w:val="21"/>
          <w:highlight w:val="none"/>
        </w:rPr>
      </w:pPr>
      <w:r>
        <w:rPr>
          <w:rFonts w:hint="eastAsia"/>
          <w:b/>
          <w:bCs/>
          <w:color w:val="auto"/>
          <w:szCs w:val="21"/>
          <w:highlight w:val="none"/>
        </w:rPr>
        <w:t>第八条 合同的解除</w:t>
      </w:r>
    </w:p>
    <w:p>
      <w:pPr>
        <w:numPr>
          <w:ilvl w:val="255"/>
          <w:numId w:val="0"/>
        </w:numPr>
        <w:spacing w:line="360" w:lineRule="auto"/>
        <w:ind w:firstLine="420" w:firstLineChars="200"/>
        <w:rPr>
          <w:rFonts w:hAnsi="宋体"/>
          <w:color w:val="auto"/>
          <w:szCs w:val="21"/>
          <w:highlight w:val="none"/>
        </w:rPr>
      </w:pPr>
      <w:r>
        <w:rPr>
          <w:rFonts w:hint="eastAsia" w:hAnsi="宋体"/>
          <w:color w:val="auto"/>
          <w:szCs w:val="21"/>
          <w:highlight w:val="none"/>
        </w:rPr>
        <w:t>1.乙方有下列情况之一的，甲方有权以书面通知的方式单方面解除合同。甲方解除合同的，本合同自乙方收到甲方的书面通知之时被解除</w:t>
      </w:r>
      <w:r>
        <w:rPr>
          <w:rFonts w:hint="eastAsia" w:hAnsi="宋体"/>
          <w:color w:val="auto"/>
          <w:szCs w:val="21"/>
          <w:highlight w:val="none"/>
          <w:lang w:eastAsia="zh-CN"/>
        </w:rPr>
        <w:t>（</w:t>
      </w:r>
      <w:r>
        <w:rPr>
          <w:rFonts w:hint="eastAsia" w:hAnsi="宋体"/>
          <w:color w:val="auto"/>
          <w:szCs w:val="21"/>
          <w:highlight w:val="none"/>
          <w:lang w:val="en-US" w:eastAsia="zh-CN"/>
        </w:rPr>
        <w:t>本合同下甲方解除权不受一年期限限制）</w:t>
      </w:r>
      <w:r>
        <w:rPr>
          <w:rFonts w:hint="eastAsia" w:hAnsi="宋体"/>
          <w:color w:val="auto"/>
          <w:szCs w:val="21"/>
          <w:highlight w:val="none"/>
        </w:rPr>
        <w:t>：</w:t>
      </w:r>
    </w:p>
    <w:p>
      <w:pPr>
        <w:numPr>
          <w:ilvl w:val="255"/>
          <w:numId w:val="0"/>
        </w:numPr>
        <w:spacing w:line="360" w:lineRule="auto"/>
        <w:ind w:firstLine="420" w:firstLineChars="200"/>
        <w:rPr>
          <w:rFonts w:hAnsi="宋体"/>
          <w:color w:val="auto"/>
          <w:szCs w:val="21"/>
          <w:highlight w:val="none"/>
        </w:rPr>
      </w:pPr>
      <w:r>
        <w:rPr>
          <w:rFonts w:hint="eastAsia" w:hAnsi="宋体"/>
          <w:color w:val="auto"/>
          <w:szCs w:val="21"/>
          <w:highlight w:val="none"/>
        </w:rPr>
        <w:t>1.1存在</w:t>
      </w:r>
      <w:r>
        <w:rPr>
          <w:rFonts w:hint="eastAsia" w:hAnsi="宋体"/>
          <w:color w:val="auto"/>
          <w:szCs w:val="21"/>
          <w:highlight w:val="none"/>
          <w:lang w:val="en-US" w:eastAsia="zh-CN"/>
        </w:rPr>
        <w:t>本合同</w:t>
      </w:r>
      <w:r>
        <w:rPr>
          <w:rFonts w:hint="eastAsia" w:hAnsi="宋体"/>
          <w:color w:val="auto"/>
          <w:szCs w:val="21"/>
          <w:highlight w:val="none"/>
        </w:rPr>
        <w:t>约定的违约情形并且达到</w:t>
      </w:r>
      <w:r>
        <w:rPr>
          <w:rFonts w:hint="eastAsia" w:hAnsi="宋体"/>
          <w:color w:val="auto"/>
          <w:szCs w:val="21"/>
          <w:highlight w:val="none"/>
          <w:lang w:val="en-US" w:eastAsia="zh-CN"/>
        </w:rPr>
        <w:t>约定</w:t>
      </w:r>
      <w:r>
        <w:rPr>
          <w:rFonts w:hint="eastAsia" w:hAnsi="宋体"/>
          <w:color w:val="auto"/>
          <w:szCs w:val="21"/>
          <w:highlight w:val="none"/>
        </w:rPr>
        <w:t>解除合同条件的。</w:t>
      </w:r>
    </w:p>
    <w:p>
      <w:pPr>
        <w:numPr>
          <w:ilvl w:val="255"/>
          <w:numId w:val="0"/>
        </w:numPr>
        <w:tabs>
          <w:tab w:val="left" w:pos="851"/>
        </w:tabs>
        <w:spacing w:line="360" w:lineRule="auto"/>
        <w:ind w:firstLine="420" w:firstLineChars="200"/>
        <w:rPr>
          <w:rFonts w:hAnsi="宋体"/>
          <w:color w:val="auto"/>
          <w:szCs w:val="21"/>
          <w:highlight w:val="none"/>
        </w:rPr>
      </w:pPr>
      <w:r>
        <w:rPr>
          <w:rFonts w:hint="eastAsia" w:hAnsi="宋体"/>
          <w:color w:val="auto"/>
          <w:szCs w:val="21"/>
          <w:highlight w:val="none"/>
        </w:rPr>
        <w:t>1.2未经甲方事先书面同意，停止炉渣综合处置连续3天以上或者一个</w:t>
      </w:r>
      <w:r>
        <w:rPr>
          <w:rFonts w:hint="eastAsia" w:hAnsi="宋体"/>
          <w:color w:val="auto"/>
          <w:szCs w:val="21"/>
          <w:highlight w:val="none"/>
          <w:lang w:val="en-US" w:eastAsia="zh-CN"/>
        </w:rPr>
        <w:t>自然</w:t>
      </w:r>
      <w:r>
        <w:rPr>
          <w:rFonts w:hint="eastAsia" w:hAnsi="宋体"/>
          <w:color w:val="auto"/>
          <w:szCs w:val="21"/>
          <w:highlight w:val="none"/>
        </w:rPr>
        <w:t>年度内累计停止本项目炉渣接收5天以上的。</w:t>
      </w:r>
    </w:p>
    <w:p>
      <w:pPr>
        <w:numPr>
          <w:ilvl w:val="255"/>
          <w:numId w:val="0"/>
        </w:numPr>
        <w:spacing w:line="360" w:lineRule="auto"/>
        <w:ind w:firstLine="420" w:firstLineChars="200"/>
        <w:rPr>
          <w:rFonts w:hAnsi="宋体"/>
          <w:color w:val="auto"/>
          <w:szCs w:val="21"/>
          <w:highlight w:val="none"/>
        </w:rPr>
      </w:pPr>
      <w:r>
        <w:rPr>
          <w:rFonts w:hint="eastAsia" w:hAnsi="宋体"/>
          <w:color w:val="auto"/>
          <w:szCs w:val="21"/>
          <w:highlight w:val="none"/>
        </w:rPr>
        <w:t>1.3因乙方责任造成环境污染被上级主管部门通报两次以上（含）的。</w:t>
      </w:r>
    </w:p>
    <w:p>
      <w:pPr>
        <w:numPr>
          <w:ilvl w:val="255"/>
          <w:numId w:val="0"/>
        </w:numPr>
        <w:spacing w:line="360" w:lineRule="auto"/>
        <w:ind w:firstLine="420" w:firstLineChars="200"/>
        <w:rPr>
          <w:rFonts w:hAnsi="宋体"/>
          <w:color w:val="auto"/>
          <w:szCs w:val="21"/>
          <w:highlight w:val="none"/>
        </w:rPr>
      </w:pPr>
      <w:r>
        <w:rPr>
          <w:rFonts w:hint="eastAsia" w:hAnsi="宋体"/>
          <w:color w:val="auto"/>
          <w:szCs w:val="21"/>
          <w:highlight w:val="none"/>
        </w:rPr>
        <w:t>1.4因乙方责任造成生产安全事故导致人员死亡或者两人及以上重伤或500万及以上的财产损失的。</w:t>
      </w:r>
    </w:p>
    <w:p>
      <w:pPr>
        <w:numPr>
          <w:ilvl w:val="255"/>
          <w:numId w:val="0"/>
        </w:numPr>
        <w:spacing w:line="360" w:lineRule="auto"/>
        <w:ind w:firstLine="420" w:firstLineChars="200"/>
        <w:rPr>
          <w:rFonts w:hAnsi="宋体"/>
          <w:color w:val="auto"/>
          <w:szCs w:val="21"/>
          <w:highlight w:val="none"/>
        </w:rPr>
      </w:pPr>
      <w:r>
        <w:rPr>
          <w:rFonts w:hint="eastAsia" w:hAnsi="宋体"/>
          <w:color w:val="auto"/>
          <w:szCs w:val="21"/>
          <w:highlight w:val="none"/>
        </w:rPr>
        <w:t>1.5营业期限届满，或者被政府部门处以责令停产停业、暂扣或者吊销许可证、暂扣或者吊销执照的处罚，或者被责令关闭、撤销，或者因各种原因依法解散的。</w:t>
      </w:r>
    </w:p>
    <w:p>
      <w:pPr>
        <w:numPr>
          <w:ilvl w:val="255"/>
          <w:numId w:val="0"/>
        </w:numPr>
        <w:tabs>
          <w:tab w:val="left" w:pos="840"/>
        </w:tabs>
        <w:spacing w:line="360" w:lineRule="auto"/>
        <w:ind w:firstLine="420" w:firstLineChars="200"/>
        <w:rPr>
          <w:rFonts w:hAnsi="宋体"/>
          <w:color w:val="auto"/>
          <w:szCs w:val="21"/>
          <w:highlight w:val="none"/>
        </w:rPr>
      </w:pPr>
      <w:r>
        <w:rPr>
          <w:rFonts w:hint="eastAsia" w:hAnsi="宋体"/>
          <w:color w:val="auto"/>
          <w:szCs w:val="21"/>
          <w:highlight w:val="none"/>
        </w:rPr>
        <w:t>1.6因不能清偿到期债务，向人民法院提出重整、和解或者破产清算申请，或者被债权人向人民法院提出对乙方进行重整或者破产清算申请的。</w:t>
      </w:r>
    </w:p>
    <w:p>
      <w:pPr>
        <w:numPr>
          <w:ilvl w:val="255"/>
          <w:numId w:val="0"/>
        </w:numPr>
        <w:spacing w:line="360" w:lineRule="auto"/>
        <w:ind w:firstLine="420" w:firstLineChars="200"/>
        <w:rPr>
          <w:rFonts w:hAnsi="宋体"/>
          <w:color w:val="auto"/>
          <w:szCs w:val="21"/>
          <w:highlight w:val="none"/>
        </w:rPr>
      </w:pPr>
      <w:r>
        <w:rPr>
          <w:rFonts w:hint="eastAsia" w:hAnsi="宋体"/>
          <w:color w:val="auto"/>
          <w:szCs w:val="21"/>
          <w:highlight w:val="none"/>
        </w:rPr>
        <w:t>1.</w:t>
      </w:r>
      <w:r>
        <w:rPr>
          <w:rFonts w:hAnsi="宋体"/>
          <w:color w:val="auto"/>
          <w:szCs w:val="21"/>
          <w:highlight w:val="none"/>
        </w:rPr>
        <w:t>7</w:t>
      </w:r>
      <w:r>
        <w:rPr>
          <w:rFonts w:hint="eastAsia" w:hAnsi="宋体"/>
          <w:color w:val="auto"/>
          <w:szCs w:val="21"/>
          <w:highlight w:val="none"/>
        </w:rPr>
        <w:t>因乙方未能及时运走炉渣或炉渣产品而造成焚烧炉停产事件的。</w:t>
      </w:r>
    </w:p>
    <w:p>
      <w:pPr>
        <w:numPr>
          <w:ilvl w:val="255"/>
          <w:numId w:val="0"/>
        </w:numPr>
        <w:spacing w:line="360" w:lineRule="auto"/>
        <w:ind w:firstLine="420" w:firstLineChars="200"/>
        <w:rPr>
          <w:rFonts w:hAnsi="宋体"/>
          <w:color w:val="auto"/>
          <w:szCs w:val="21"/>
          <w:highlight w:val="none"/>
        </w:rPr>
      </w:pPr>
      <w:r>
        <w:rPr>
          <w:rFonts w:hint="eastAsia" w:hAnsi="宋体"/>
          <w:color w:val="auto"/>
          <w:szCs w:val="21"/>
          <w:highlight w:val="none"/>
        </w:rPr>
        <w:t>1.</w:t>
      </w:r>
      <w:r>
        <w:rPr>
          <w:rFonts w:hAnsi="宋体"/>
          <w:color w:val="auto"/>
          <w:szCs w:val="21"/>
          <w:highlight w:val="none"/>
        </w:rPr>
        <w:t>8</w:t>
      </w:r>
      <w:r>
        <w:rPr>
          <w:rFonts w:hint="eastAsia" w:hAnsi="宋体"/>
          <w:color w:val="auto"/>
          <w:szCs w:val="21"/>
          <w:highlight w:val="none"/>
        </w:rPr>
        <w:t>乙方运输、处理炉渣不符合法定要求或者本合同第三条约定要求的。</w:t>
      </w:r>
    </w:p>
    <w:p>
      <w:pPr>
        <w:spacing w:line="360" w:lineRule="auto"/>
        <w:ind w:firstLine="420" w:firstLineChars="200"/>
        <w:rPr>
          <w:rFonts w:hAnsi="宋体"/>
          <w:color w:val="auto"/>
          <w:szCs w:val="21"/>
          <w:highlight w:val="none"/>
        </w:rPr>
      </w:pPr>
      <w:r>
        <w:rPr>
          <w:rFonts w:hint="eastAsia" w:hAnsi="宋体"/>
          <w:color w:val="auto"/>
          <w:szCs w:val="21"/>
          <w:highlight w:val="none"/>
        </w:rPr>
        <w:t>1.</w:t>
      </w:r>
      <w:r>
        <w:rPr>
          <w:rFonts w:hAnsi="宋体"/>
          <w:color w:val="auto"/>
          <w:szCs w:val="21"/>
          <w:highlight w:val="none"/>
        </w:rPr>
        <w:t>9</w:t>
      </w:r>
      <w:r>
        <w:rPr>
          <w:rFonts w:hint="eastAsia" w:hAnsi="宋体"/>
          <w:color w:val="auto"/>
          <w:szCs w:val="21"/>
          <w:highlight w:val="none"/>
        </w:rPr>
        <w:t>乙方因运输、处理炉渣不符合要求被相关主管部门查处的。</w:t>
      </w:r>
    </w:p>
    <w:p>
      <w:pPr>
        <w:spacing w:line="360" w:lineRule="auto"/>
        <w:ind w:firstLine="420" w:firstLineChars="200"/>
        <w:rPr>
          <w:rFonts w:hAnsi="宋体"/>
          <w:color w:val="auto"/>
          <w:szCs w:val="21"/>
          <w:highlight w:val="none"/>
        </w:rPr>
      </w:pPr>
      <w:r>
        <w:rPr>
          <w:rFonts w:hint="eastAsia" w:hAnsi="宋体"/>
          <w:color w:val="auto"/>
          <w:szCs w:val="21"/>
          <w:highlight w:val="none"/>
        </w:rPr>
        <w:t>1.1</w:t>
      </w:r>
      <w:r>
        <w:rPr>
          <w:rFonts w:hAnsi="宋体"/>
          <w:color w:val="auto"/>
          <w:szCs w:val="21"/>
          <w:highlight w:val="none"/>
        </w:rPr>
        <w:t>0</w:t>
      </w:r>
      <w:r>
        <w:rPr>
          <w:rFonts w:hint="eastAsia" w:hAnsi="宋体"/>
          <w:color w:val="auto"/>
          <w:szCs w:val="21"/>
          <w:highlight w:val="none"/>
        </w:rPr>
        <w:t>乙方将未经处理的炉渣丢弃或者转让给第三方或者委托第三方处理的。</w:t>
      </w:r>
    </w:p>
    <w:p>
      <w:pPr>
        <w:spacing w:line="360" w:lineRule="auto"/>
        <w:ind w:firstLine="420" w:firstLineChars="200"/>
        <w:rPr>
          <w:rFonts w:hAnsi="宋体"/>
          <w:color w:val="auto"/>
          <w:szCs w:val="21"/>
          <w:highlight w:val="none"/>
        </w:rPr>
      </w:pPr>
      <w:r>
        <w:rPr>
          <w:rFonts w:hint="eastAsia" w:hAnsi="宋体"/>
          <w:color w:val="auto"/>
          <w:szCs w:val="21"/>
          <w:highlight w:val="none"/>
        </w:rPr>
        <w:t>1.1</w:t>
      </w:r>
      <w:r>
        <w:rPr>
          <w:rFonts w:hAnsi="宋体"/>
          <w:color w:val="auto"/>
          <w:szCs w:val="21"/>
          <w:highlight w:val="none"/>
        </w:rPr>
        <w:t>1</w:t>
      </w:r>
      <w:r>
        <w:rPr>
          <w:rFonts w:hint="eastAsia" w:hAnsi="宋体"/>
          <w:color w:val="auto"/>
          <w:szCs w:val="21"/>
          <w:highlight w:val="none"/>
        </w:rPr>
        <w:t>因乙方被考核不合格</w:t>
      </w:r>
      <w:r>
        <w:rPr>
          <w:rFonts w:hint="eastAsia" w:hAnsi="宋体"/>
          <w:color w:val="auto"/>
          <w:szCs w:val="21"/>
          <w:highlight w:val="none"/>
          <w:lang w:val="en-US" w:eastAsia="zh-CN"/>
        </w:rPr>
        <w:t>并满足甲方单方解除条件</w:t>
      </w:r>
      <w:r>
        <w:rPr>
          <w:rFonts w:hint="eastAsia" w:hAnsi="宋体"/>
          <w:color w:val="auto"/>
          <w:szCs w:val="21"/>
          <w:highlight w:val="none"/>
        </w:rPr>
        <w:t>，甲方单方面解除合同的。</w:t>
      </w:r>
    </w:p>
    <w:p>
      <w:pPr>
        <w:spacing w:line="360" w:lineRule="auto"/>
        <w:ind w:firstLine="420" w:firstLineChars="200"/>
        <w:rPr>
          <w:rFonts w:hint="default" w:hAnsi="宋体" w:eastAsia="宋体"/>
          <w:color w:val="auto"/>
          <w:szCs w:val="21"/>
          <w:highlight w:val="none"/>
          <w:lang w:val="en-US" w:eastAsia="zh-CN"/>
        </w:rPr>
      </w:pPr>
      <w:r>
        <w:rPr>
          <w:rFonts w:hint="eastAsia" w:hAnsi="宋体"/>
          <w:color w:val="auto"/>
          <w:szCs w:val="21"/>
          <w:highlight w:val="none"/>
        </w:rPr>
        <w:t>1.1</w:t>
      </w:r>
      <w:r>
        <w:rPr>
          <w:rFonts w:hAnsi="宋体"/>
          <w:color w:val="auto"/>
          <w:szCs w:val="21"/>
          <w:highlight w:val="none"/>
        </w:rPr>
        <w:t>2</w:t>
      </w:r>
      <w:r>
        <w:rPr>
          <w:rFonts w:hint="eastAsia" w:hAnsi="宋体"/>
          <w:color w:val="auto"/>
          <w:szCs w:val="21"/>
          <w:highlight w:val="none"/>
        </w:rPr>
        <w:t>合同执行期间，</w:t>
      </w:r>
      <w:r>
        <w:rPr>
          <w:rFonts w:hint="eastAsia" w:hAnsi="宋体"/>
          <w:color w:val="auto"/>
          <w:szCs w:val="21"/>
          <w:highlight w:val="none"/>
          <w:lang w:val="en-US" w:eastAsia="zh-CN"/>
        </w:rPr>
        <w:t>连续【3】个月</w:t>
      </w:r>
      <w:r>
        <w:rPr>
          <w:rFonts w:hint="eastAsia" w:hAnsi="宋体"/>
          <w:color w:val="auto"/>
          <w:szCs w:val="21"/>
          <w:highlight w:val="none"/>
        </w:rPr>
        <w:t>炉渣处置能力</w:t>
      </w:r>
      <w:r>
        <w:rPr>
          <w:rFonts w:hint="eastAsia" w:hAnsi="宋体"/>
          <w:color w:val="auto"/>
          <w:szCs w:val="21"/>
          <w:highlight w:val="none"/>
          <w:lang w:val="en-US" w:eastAsia="zh-CN"/>
        </w:rPr>
        <w:t>不满足本合同约定要求的；</w:t>
      </w:r>
    </w:p>
    <w:p>
      <w:pPr>
        <w:spacing w:line="360" w:lineRule="auto"/>
        <w:ind w:firstLine="420" w:firstLineChars="200"/>
        <w:rPr>
          <w:rFonts w:hAnsi="宋体"/>
          <w:color w:val="auto"/>
          <w:szCs w:val="21"/>
          <w:highlight w:val="none"/>
        </w:rPr>
      </w:pPr>
      <w:r>
        <w:rPr>
          <w:rFonts w:hint="eastAsia" w:hAnsi="宋体"/>
          <w:color w:val="auto"/>
          <w:szCs w:val="21"/>
          <w:highlight w:val="none"/>
          <w:lang w:val="en-US" w:eastAsia="zh-CN"/>
        </w:rPr>
        <w:t>1.13</w:t>
      </w:r>
      <w:r>
        <w:rPr>
          <w:rFonts w:hint="eastAsia" w:hAnsi="宋体"/>
          <w:color w:val="auto"/>
          <w:szCs w:val="21"/>
          <w:highlight w:val="none"/>
        </w:rPr>
        <w:t>有其他违约行为并且在甲方要求的期限内未及时纠正的</w:t>
      </w:r>
    </w:p>
    <w:p>
      <w:pPr>
        <w:spacing w:line="360" w:lineRule="auto"/>
        <w:ind w:firstLine="420" w:firstLineChars="200"/>
        <w:rPr>
          <w:rFonts w:hAnsi="宋体"/>
          <w:color w:val="auto"/>
          <w:szCs w:val="21"/>
          <w:highlight w:val="none"/>
        </w:rPr>
      </w:pPr>
      <w:r>
        <w:rPr>
          <w:rFonts w:hAnsi="宋体"/>
          <w:color w:val="auto"/>
          <w:szCs w:val="21"/>
          <w:highlight w:val="none"/>
        </w:rPr>
        <w:t>1.1</w:t>
      </w:r>
      <w:r>
        <w:rPr>
          <w:rFonts w:hint="eastAsia" w:hAnsi="宋体"/>
          <w:color w:val="auto"/>
          <w:szCs w:val="21"/>
          <w:highlight w:val="none"/>
          <w:lang w:val="en-US" w:eastAsia="zh-CN"/>
        </w:rPr>
        <w:t>4</w:t>
      </w:r>
      <w:r>
        <w:rPr>
          <w:rFonts w:hint="eastAsia" w:hAnsi="宋体"/>
          <w:color w:val="auto"/>
          <w:szCs w:val="21"/>
          <w:highlight w:val="none"/>
        </w:rPr>
        <w:t>法律规定或者本合同约定的其他情形。</w:t>
      </w:r>
    </w:p>
    <w:p>
      <w:pPr>
        <w:spacing w:line="360" w:lineRule="auto"/>
        <w:ind w:firstLine="420" w:firstLineChars="200"/>
        <w:rPr>
          <w:rFonts w:hAnsi="宋体"/>
          <w:color w:val="auto"/>
          <w:szCs w:val="21"/>
          <w:highlight w:val="none"/>
        </w:rPr>
      </w:pPr>
      <w:r>
        <w:rPr>
          <w:rFonts w:hint="eastAsia" w:hAnsi="宋体"/>
          <w:color w:val="auto"/>
          <w:szCs w:val="21"/>
          <w:highlight w:val="none"/>
        </w:rPr>
        <w:t>2.若甲方根据法律规定或者上述约定单方解除合同的，乙方除支付给甲方就上述事件应急处理所付出费用外，甲方有权扣除乙方的全额履约保证金。</w:t>
      </w:r>
    </w:p>
    <w:p>
      <w:pPr>
        <w:numPr>
          <w:ilvl w:val="255"/>
          <w:numId w:val="0"/>
        </w:numPr>
        <w:spacing w:line="360" w:lineRule="auto"/>
        <w:rPr>
          <w:b/>
          <w:bCs/>
          <w:color w:val="auto"/>
          <w:szCs w:val="21"/>
          <w:highlight w:val="none"/>
        </w:rPr>
      </w:pPr>
      <w:r>
        <w:rPr>
          <w:rFonts w:hint="eastAsia"/>
          <w:b/>
          <w:bCs/>
          <w:color w:val="auto"/>
          <w:szCs w:val="21"/>
          <w:highlight w:val="none"/>
        </w:rPr>
        <w:t>第九条 法律适用及争议解决</w:t>
      </w:r>
    </w:p>
    <w:p>
      <w:pPr>
        <w:spacing w:line="360" w:lineRule="auto"/>
        <w:ind w:firstLine="420" w:firstLineChars="200"/>
        <w:rPr>
          <w:rFonts w:hAnsi="宋体"/>
          <w:color w:val="auto"/>
          <w:szCs w:val="21"/>
          <w:highlight w:val="none"/>
        </w:rPr>
      </w:pPr>
      <w:r>
        <w:rPr>
          <w:rFonts w:hAnsi="宋体" w:eastAsiaTheme="minorEastAsia" w:cstheme="minorBidi"/>
          <w:color w:val="auto"/>
          <w:kern w:val="2"/>
          <w:szCs w:val="21"/>
          <w:highlight w:val="none"/>
        </w:rPr>
        <w:t>1.</w:t>
      </w:r>
      <w:r>
        <w:rPr>
          <w:rFonts w:hint="eastAsia" w:hAnsi="宋体"/>
          <w:color w:val="auto"/>
          <w:szCs w:val="21"/>
          <w:highlight w:val="none"/>
        </w:rPr>
        <w:t>本合同的订立、生效、履行、变更、解除、争议解决等一切事宜，均适用中华人民共和国法律。</w:t>
      </w:r>
    </w:p>
    <w:p>
      <w:pPr>
        <w:spacing w:line="360" w:lineRule="auto"/>
        <w:ind w:firstLine="420" w:firstLineChars="200"/>
        <w:rPr>
          <w:color w:val="auto"/>
          <w:szCs w:val="21"/>
          <w:highlight w:val="none"/>
        </w:rPr>
      </w:pPr>
      <w:r>
        <w:rPr>
          <w:rFonts w:asciiTheme="minorHAnsi" w:hAnsiTheme="minorHAnsi" w:eastAsiaTheme="minorEastAsia" w:cstheme="minorBidi"/>
          <w:color w:val="auto"/>
          <w:kern w:val="2"/>
          <w:szCs w:val="21"/>
          <w:highlight w:val="none"/>
        </w:rPr>
        <w:t>2.</w:t>
      </w:r>
      <w:r>
        <w:rPr>
          <w:rFonts w:hint="eastAsia" w:hAnsi="宋体"/>
          <w:color w:val="auto"/>
          <w:szCs w:val="21"/>
          <w:highlight w:val="none"/>
        </w:rPr>
        <w:t>双方因本合同引起的或者</w:t>
      </w:r>
      <w:r>
        <w:rPr>
          <w:rFonts w:hAnsi="宋体"/>
          <w:color w:val="auto"/>
          <w:szCs w:val="21"/>
          <w:highlight w:val="none"/>
        </w:rPr>
        <w:t>在履行本合同中</w:t>
      </w:r>
      <w:r>
        <w:rPr>
          <w:rFonts w:hint="eastAsia" w:hAnsi="宋体"/>
          <w:color w:val="auto"/>
          <w:szCs w:val="21"/>
          <w:highlight w:val="none"/>
        </w:rPr>
        <w:t>产生</w:t>
      </w:r>
      <w:r>
        <w:rPr>
          <w:rFonts w:hAnsi="宋体"/>
          <w:color w:val="auto"/>
          <w:szCs w:val="21"/>
          <w:highlight w:val="none"/>
        </w:rPr>
        <w:t>的争议，双方应通过友好协商的方式解决。如未能协商解决，任何一方均可向</w:t>
      </w:r>
      <w:r>
        <w:rPr>
          <w:rFonts w:hint="eastAsia" w:hAnsi="宋体"/>
          <w:color w:val="auto"/>
          <w:szCs w:val="21"/>
          <w:highlight w:val="none"/>
        </w:rPr>
        <w:t>甲方所在地</w:t>
      </w:r>
      <w:r>
        <w:rPr>
          <w:rFonts w:hAnsi="宋体"/>
          <w:color w:val="auto"/>
          <w:szCs w:val="21"/>
          <w:highlight w:val="none"/>
        </w:rPr>
        <w:t>人民法院提起诉讼。</w:t>
      </w:r>
    </w:p>
    <w:p>
      <w:pPr>
        <w:numPr>
          <w:ilvl w:val="255"/>
          <w:numId w:val="0"/>
        </w:numPr>
        <w:spacing w:line="360" w:lineRule="auto"/>
        <w:rPr>
          <w:b/>
          <w:bCs/>
          <w:color w:val="auto"/>
          <w:szCs w:val="21"/>
          <w:highlight w:val="none"/>
        </w:rPr>
      </w:pPr>
      <w:r>
        <w:rPr>
          <w:rFonts w:hint="eastAsia"/>
          <w:b/>
          <w:bCs/>
          <w:color w:val="auto"/>
          <w:szCs w:val="21"/>
          <w:highlight w:val="none"/>
        </w:rPr>
        <w:t>第十条 不可抗力</w:t>
      </w:r>
    </w:p>
    <w:p>
      <w:pPr>
        <w:spacing w:line="360" w:lineRule="auto"/>
        <w:ind w:firstLine="420" w:firstLineChars="200"/>
        <w:rPr>
          <w:rFonts w:hAnsi="宋体"/>
          <w:color w:val="auto"/>
          <w:szCs w:val="21"/>
          <w:highlight w:val="none"/>
        </w:rPr>
      </w:pPr>
      <w:r>
        <w:rPr>
          <w:rFonts w:hint="eastAsia"/>
          <w:color w:val="auto"/>
          <w:szCs w:val="21"/>
          <w:highlight w:val="none"/>
        </w:rPr>
        <w:t>1.</w:t>
      </w:r>
      <w:r>
        <w:rPr>
          <w:rFonts w:hint="eastAsia" w:hAnsi="宋体"/>
          <w:color w:val="auto"/>
          <w:szCs w:val="21"/>
          <w:highlight w:val="none"/>
        </w:rPr>
        <w:t>不可抗力是指在本合同签署后发生的、本合同签署时不能预见的、其发生与后果是无法避免或克服的、妨碍任何一方全部或部分履约的所有事件。上述事件包括地震、台风、水灾、火灾、战争、国际或国内运输中断、罢工、法律法规及政策变化，以及根据中国法律或一般国际商业惯例认作不可抗力的其他事件。一方缺少资金或者缺乏相应技术不构成不可抗力事件。</w:t>
      </w:r>
    </w:p>
    <w:p>
      <w:pPr>
        <w:spacing w:line="360" w:lineRule="auto"/>
        <w:ind w:firstLine="420" w:firstLineChars="200"/>
        <w:rPr>
          <w:rFonts w:hAnsi="宋体"/>
          <w:color w:val="auto"/>
          <w:szCs w:val="21"/>
          <w:highlight w:val="none"/>
        </w:rPr>
      </w:pPr>
      <w:r>
        <w:rPr>
          <w:rFonts w:hint="eastAsia" w:hAnsi="宋体"/>
          <w:color w:val="auto"/>
          <w:szCs w:val="21"/>
          <w:highlight w:val="none"/>
        </w:rPr>
        <w:t>2.如果发生不可抗力事件，并且不可抗力事件影响一方履行其在本合同项下的义务，则在不可抗力造成的延误期内中止履行不被视为违约。</w:t>
      </w:r>
    </w:p>
    <w:p>
      <w:pPr>
        <w:spacing w:line="360" w:lineRule="auto"/>
        <w:ind w:firstLine="420" w:firstLineChars="200"/>
        <w:rPr>
          <w:rFonts w:hAnsi="宋体"/>
          <w:color w:val="auto"/>
          <w:szCs w:val="21"/>
          <w:highlight w:val="none"/>
        </w:rPr>
      </w:pPr>
      <w:r>
        <w:rPr>
          <w:rFonts w:hint="eastAsia" w:hAnsi="宋体"/>
          <w:color w:val="auto"/>
          <w:szCs w:val="21"/>
          <w:highlight w:val="none"/>
        </w:rPr>
        <w:t>3.主张发生不可抗力的一方应迅速书面通知对方，并在其后的十五天内提供证明不可抗力发生及其持续时间的足够证据。</w:t>
      </w:r>
    </w:p>
    <w:p>
      <w:pPr>
        <w:spacing w:line="360" w:lineRule="auto"/>
        <w:ind w:firstLine="420" w:firstLineChars="200"/>
        <w:rPr>
          <w:rFonts w:hAnsi="宋体"/>
          <w:color w:val="auto"/>
          <w:szCs w:val="21"/>
          <w:highlight w:val="none"/>
        </w:rPr>
      </w:pPr>
      <w:r>
        <w:rPr>
          <w:rFonts w:hint="eastAsia" w:hAnsi="宋体"/>
          <w:color w:val="auto"/>
          <w:szCs w:val="21"/>
          <w:highlight w:val="none"/>
        </w:rPr>
        <w:t>4.如果发生不可抗力事件，各方应立即互相协商，以找到公平的解决办法，并且应尽一切合理努力将不可抗力的影响减少到最低限度。如不可抗力事件的发生或后果对本合同的履行造成重大妨碍时间超过三个月，并且各方没有找到公平的解决办法，则任何一方可解除合同。</w:t>
      </w:r>
    </w:p>
    <w:p>
      <w:pPr>
        <w:spacing w:line="360" w:lineRule="auto"/>
        <w:ind w:firstLine="420" w:firstLineChars="200"/>
        <w:rPr>
          <w:rFonts w:hAnsi="宋体"/>
          <w:color w:val="auto"/>
          <w:szCs w:val="21"/>
          <w:highlight w:val="none"/>
        </w:rPr>
      </w:pPr>
      <w:r>
        <w:rPr>
          <w:rFonts w:hAnsi="宋体"/>
          <w:color w:val="auto"/>
          <w:szCs w:val="21"/>
          <w:highlight w:val="none"/>
        </w:rPr>
        <w:t>5</w:t>
      </w:r>
      <w:r>
        <w:rPr>
          <w:rFonts w:hint="eastAsia" w:hAnsi="宋体"/>
          <w:color w:val="auto"/>
          <w:szCs w:val="21"/>
          <w:highlight w:val="none"/>
        </w:rPr>
        <w:t>.因不可抗力或一方根据前款约定解除合同造成双方损失的，相关损失由损失方自行承担。</w:t>
      </w:r>
    </w:p>
    <w:p>
      <w:pPr>
        <w:numPr>
          <w:ilvl w:val="255"/>
          <w:numId w:val="0"/>
        </w:numPr>
        <w:spacing w:line="360" w:lineRule="auto"/>
        <w:rPr>
          <w:b/>
          <w:bCs/>
          <w:color w:val="auto"/>
          <w:szCs w:val="21"/>
          <w:highlight w:val="none"/>
        </w:rPr>
      </w:pPr>
      <w:r>
        <w:rPr>
          <w:rFonts w:hint="eastAsia"/>
          <w:b/>
          <w:bCs/>
          <w:color w:val="auto"/>
          <w:szCs w:val="21"/>
          <w:highlight w:val="none"/>
        </w:rPr>
        <w:t>第十一条 通知与送达</w:t>
      </w:r>
    </w:p>
    <w:p>
      <w:pPr>
        <w:spacing w:line="360" w:lineRule="auto"/>
        <w:ind w:firstLine="420" w:firstLineChars="200"/>
        <w:rPr>
          <w:rFonts w:hAnsi="宋体"/>
          <w:color w:val="auto"/>
          <w:szCs w:val="21"/>
          <w:highlight w:val="none"/>
        </w:rPr>
      </w:pPr>
      <w:r>
        <w:rPr>
          <w:rFonts w:hint="eastAsia"/>
          <w:color w:val="auto"/>
          <w:szCs w:val="21"/>
          <w:highlight w:val="none"/>
        </w:rPr>
        <w:t>1.</w:t>
      </w:r>
      <w:r>
        <w:rPr>
          <w:rFonts w:hint="eastAsia" w:hAnsi="宋体"/>
          <w:color w:val="auto"/>
          <w:szCs w:val="21"/>
          <w:highlight w:val="none"/>
        </w:rPr>
        <w:t>任何一方向对方发出的通知和文件，应按照本合同记载的对方地址，用EMS特快专递或专人送达的方式发出。如果使用EMS特快专递方式，在发出后第三日视为通知已到达对方；如果使用专人送达方式，则在对方法定代表人或授权代表或收件部门签收之日视为通知已到达对方；如果同时使用几种通知方式的，以其中较快到达接收方者为准。</w:t>
      </w:r>
    </w:p>
    <w:p>
      <w:pPr>
        <w:spacing w:line="360" w:lineRule="auto"/>
        <w:ind w:firstLine="420" w:firstLineChars="200"/>
        <w:rPr>
          <w:rFonts w:hAnsi="宋体"/>
          <w:color w:val="auto"/>
          <w:szCs w:val="21"/>
          <w:highlight w:val="none"/>
        </w:rPr>
      </w:pPr>
      <w:r>
        <w:rPr>
          <w:rFonts w:hint="eastAsia" w:hAnsi="宋体"/>
          <w:color w:val="auto"/>
          <w:szCs w:val="21"/>
          <w:highlight w:val="none"/>
        </w:rPr>
        <w:t>2.任何一方联络方法发生变更的，应当及时书面通知另一方。在另一方收到对方变更通讯地址的通知之前，另一方根据变更前的地址所发出的通知应视为有效。</w:t>
      </w:r>
    </w:p>
    <w:p>
      <w:pPr>
        <w:numPr>
          <w:ilvl w:val="255"/>
          <w:numId w:val="0"/>
        </w:numPr>
        <w:spacing w:line="360" w:lineRule="auto"/>
        <w:rPr>
          <w:b/>
          <w:bCs/>
          <w:color w:val="auto"/>
          <w:szCs w:val="21"/>
          <w:highlight w:val="none"/>
        </w:rPr>
      </w:pPr>
      <w:r>
        <w:rPr>
          <w:rFonts w:hint="eastAsia"/>
          <w:b/>
          <w:bCs/>
          <w:color w:val="auto"/>
          <w:szCs w:val="21"/>
          <w:highlight w:val="none"/>
        </w:rPr>
        <w:t>第十二条 其他</w:t>
      </w:r>
    </w:p>
    <w:p>
      <w:pPr>
        <w:spacing w:line="360" w:lineRule="auto"/>
        <w:ind w:firstLine="420" w:firstLineChars="200"/>
        <w:rPr>
          <w:rFonts w:hAnsi="宋体"/>
          <w:color w:val="auto"/>
          <w:szCs w:val="21"/>
          <w:highlight w:val="none"/>
        </w:rPr>
      </w:pPr>
      <w:r>
        <w:rPr>
          <w:rFonts w:hint="eastAsia" w:hAnsi="宋体"/>
          <w:color w:val="auto"/>
          <w:szCs w:val="21"/>
          <w:highlight w:val="none"/>
        </w:rPr>
        <w:t>1.本合同未尽事项，由甲、乙双方另行议定并签订补充协议。补充协议与本合同具有同等效力。</w:t>
      </w:r>
    </w:p>
    <w:p>
      <w:pPr>
        <w:pStyle w:val="44"/>
        <w:snapToGrid w:val="0"/>
        <w:spacing w:line="360" w:lineRule="auto"/>
        <w:ind w:firstLine="420" w:firstLineChars="200"/>
        <w:rPr>
          <w:rFonts w:hAnsi="宋体"/>
          <w:color w:val="auto"/>
          <w:szCs w:val="21"/>
          <w:highlight w:val="none"/>
        </w:rPr>
      </w:pPr>
      <w:r>
        <w:rPr>
          <w:rFonts w:hint="eastAsia" w:hAnsi="宋体" w:cs="宋体"/>
          <w:color w:val="auto"/>
          <w:sz w:val="21"/>
          <w:szCs w:val="21"/>
          <w:highlight w:val="none"/>
        </w:rPr>
        <w:t>2.本合同一式</w:t>
      </w:r>
      <w:r>
        <w:rPr>
          <w:rFonts w:hint="eastAsia" w:hAnsi="宋体" w:cs="宋体"/>
          <w:b/>
          <w:color w:val="auto"/>
          <w:sz w:val="21"/>
          <w:szCs w:val="21"/>
          <w:highlight w:val="none"/>
          <w:u w:val="single"/>
        </w:rPr>
        <w:t>陆</w:t>
      </w:r>
      <w:r>
        <w:rPr>
          <w:rFonts w:hint="eastAsia" w:hAnsi="宋体" w:cs="宋体"/>
          <w:color w:val="auto"/>
          <w:sz w:val="21"/>
          <w:szCs w:val="21"/>
          <w:highlight w:val="none"/>
        </w:rPr>
        <w:t>份，甲方执</w:t>
      </w:r>
      <w:r>
        <w:rPr>
          <w:rFonts w:hint="eastAsia" w:hAnsi="宋体" w:cs="宋体"/>
          <w:b/>
          <w:color w:val="auto"/>
          <w:sz w:val="21"/>
          <w:szCs w:val="21"/>
          <w:highlight w:val="none"/>
          <w:u w:val="single"/>
        </w:rPr>
        <w:t>肆</w:t>
      </w:r>
      <w:r>
        <w:rPr>
          <w:rFonts w:hint="eastAsia" w:hAnsi="宋体" w:cs="宋体"/>
          <w:color w:val="auto"/>
          <w:sz w:val="21"/>
          <w:szCs w:val="21"/>
          <w:highlight w:val="none"/>
        </w:rPr>
        <w:t>份，乙方执</w:t>
      </w:r>
      <w:r>
        <w:rPr>
          <w:rFonts w:hint="eastAsia" w:hAnsi="宋体" w:cs="宋体"/>
          <w:b/>
          <w:bCs/>
          <w:color w:val="auto"/>
          <w:sz w:val="21"/>
          <w:szCs w:val="21"/>
          <w:highlight w:val="none"/>
          <w:u w:val="single"/>
        </w:rPr>
        <w:t>贰</w:t>
      </w:r>
      <w:r>
        <w:rPr>
          <w:rFonts w:hint="eastAsia" w:hAnsi="宋体" w:cs="宋体"/>
          <w:color w:val="auto"/>
          <w:sz w:val="21"/>
          <w:szCs w:val="21"/>
          <w:highlight w:val="none"/>
        </w:rPr>
        <w:t>份，均具有相同法律效力。本合同经甲方、乙方盖章后生效。</w:t>
      </w:r>
    </w:p>
    <w:p>
      <w:pPr>
        <w:spacing w:line="360" w:lineRule="auto"/>
        <w:ind w:firstLine="420" w:firstLineChars="200"/>
        <w:rPr>
          <w:rFonts w:hAnsi="宋体"/>
          <w:color w:val="auto"/>
          <w:szCs w:val="21"/>
          <w:highlight w:val="none"/>
        </w:rPr>
      </w:pPr>
      <w:r>
        <w:rPr>
          <w:rFonts w:hint="eastAsia" w:hAnsi="宋体"/>
          <w:color w:val="auto"/>
          <w:szCs w:val="21"/>
          <w:highlight w:val="none"/>
        </w:rPr>
        <w:t>3.</w:t>
      </w:r>
      <w:r>
        <w:rPr>
          <w:rFonts w:hint="eastAsia" w:hAnsi="宋体" w:cs="宋体"/>
          <w:color w:val="auto"/>
          <w:szCs w:val="21"/>
          <w:highlight w:val="none"/>
        </w:rPr>
        <w:t>招标文件、招标答疑、投标文件、技术澄清、询标答复和中标通知书的所有内容</w:t>
      </w:r>
      <w:r>
        <w:rPr>
          <w:rFonts w:hint="eastAsia" w:hAnsi="宋体" w:cs="宋体"/>
          <w:color w:val="auto"/>
          <w:szCs w:val="21"/>
          <w:highlight w:val="none"/>
          <w:lang w:val="en-US" w:eastAsia="zh-CN"/>
        </w:rPr>
        <w:t>以及本合同附件</w:t>
      </w:r>
      <w:r>
        <w:rPr>
          <w:rFonts w:hint="eastAsia" w:hAnsi="宋体" w:cs="宋体"/>
          <w:color w:val="auto"/>
          <w:szCs w:val="21"/>
          <w:highlight w:val="none"/>
        </w:rPr>
        <w:t>是构成合同不可分割</w:t>
      </w:r>
      <w:r>
        <w:rPr>
          <w:rFonts w:hint="eastAsia" w:hAnsi="宋体" w:cs="宋体"/>
          <w:color w:val="auto"/>
          <w:szCs w:val="21"/>
          <w:highlight w:val="none"/>
          <w:lang w:eastAsia="zh-CN"/>
        </w:rPr>
        <w:t>的部分</w:t>
      </w:r>
      <w:r>
        <w:rPr>
          <w:rFonts w:hint="eastAsia" w:hAnsi="宋体" w:cs="宋体"/>
          <w:color w:val="auto"/>
          <w:szCs w:val="21"/>
          <w:highlight w:val="none"/>
        </w:rPr>
        <w:t>，与本合同具有同等法律效力，当文件有矛盾之处，以时间后者为准甲乙双方应严格执行合同约定，如有未尽事宜，经双方协商后以补充协议形式书面确认，并作为本合同不可分割部分。</w:t>
      </w:r>
    </w:p>
    <w:p>
      <w:pPr>
        <w:spacing w:line="360" w:lineRule="auto"/>
        <w:ind w:firstLine="420" w:firstLineChars="200"/>
        <w:rPr>
          <w:rFonts w:hAnsi="宋体"/>
          <w:color w:val="auto"/>
          <w:szCs w:val="21"/>
          <w:highlight w:val="none"/>
        </w:rPr>
      </w:pPr>
      <w:r>
        <w:rPr>
          <w:rFonts w:hint="eastAsia" w:hAnsi="宋体"/>
          <w:color w:val="auto"/>
          <w:szCs w:val="21"/>
          <w:highlight w:val="none"/>
        </w:rPr>
        <w:t>4.双方在签署本合同前已经认真研究了合同各条内容，</w:t>
      </w:r>
      <w:r>
        <w:rPr>
          <w:rFonts w:hint="eastAsia" w:hAnsi="宋体"/>
          <w:color w:val="auto"/>
          <w:szCs w:val="21"/>
          <w:highlight w:val="none"/>
          <w:lang w:val="en-US" w:eastAsia="zh-CN"/>
        </w:rPr>
        <w:t>认可本合同不存在格式条款，</w:t>
      </w:r>
      <w:r>
        <w:rPr>
          <w:rFonts w:hint="eastAsia" w:hAnsi="宋体"/>
          <w:color w:val="auto"/>
          <w:szCs w:val="21"/>
          <w:highlight w:val="none"/>
        </w:rPr>
        <w:t>对合同内容无异议，同意签署。</w:t>
      </w:r>
    </w:p>
    <w:p>
      <w:pPr>
        <w:spacing w:line="360" w:lineRule="auto"/>
        <w:ind w:firstLine="420" w:firstLineChars="200"/>
        <w:rPr>
          <w:rFonts w:hAnsi="宋体"/>
          <w:color w:val="auto"/>
          <w:szCs w:val="21"/>
          <w:highlight w:val="none"/>
        </w:rPr>
      </w:pPr>
      <w:r>
        <w:rPr>
          <w:rFonts w:hint="eastAsia" w:hAnsi="宋体"/>
          <w:color w:val="auto"/>
          <w:szCs w:val="21"/>
          <w:highlight w:val="none"/>
        </w:rPr>
        <w:t>5.当月度掺烧污泥重量达到当月生活垃圾焚烧重量的5%以上时，双方另行商议炉渣价格调整事宜。双方达成共识方可调整</w:t>
      </w:r>
      <w:r>
        <w:rPr>
          <w:rFonts w:hint="eastAsia" w:hAnsi="宋体"/>
          <w:color w:val="auto"/>
          <w:szCs w:val="21"/>
          <w:highlight w:val="none"/>
          <w:lang w:eastAsia="zh-CN"/>
        </w:rPr>
        <w:t>；</w:t>
      </w:r>
      <w:r>
        <w:rPr>
          <w:rFonts w:hint="eastAsia" w:hAnsi="宋体"/>
          <w:color w:val="auto"/>
          <w:szCs w:val="21"/>
          <w:highlight w:val="none"/>
          <w:lang w:val="en-US" w:eastAsia="zh-CN"/>
        </w:rPr>
        <w:t>否则，仍按本合同约定执行</w:t>
      </w:r>
      <w:r>
        <w:rPr>
          <w:rFonts w:hint="eastAsia" w:hAnsi="宋体"/>
          <w:color w:val="auto"/>
          <w:szCs w:val="21"/>
          <w:highlight w:val="none"/>
        </w:rPr>
        <w:t>。</w:t>
      </w:r>
    </w:p>
    <w:p>
      <w:pPr>
        <w:spacing w:line="360" w:lineRule="auto"/>
        <w:ind w:firstLine="420" w:firstLineChars="200"/>
        <w:rPr>
          <w:color w:val="auto"/>
          <w:highlight w:val="none"/>
        </w:rPr>
      </w:pPr>
      <w:r>
        <w:rPr>
          <w:rFonts w:hint="eastAsia" w:hAnsi="宋体"/>
          <w:color w:val="auto"/>
          <w:szCs w:val="21"/>
          <w:highlight w:val="none"/>
        </w:rPr>
        <w:t>6.乙方应安排相对固定的人员参加本合同要求工作范围内的运行操作及设备检修维护工作，保证本合同要求工作范围内的设备处于良好健康水平，合同执行期间，炉渣处置能力不低于100吨/小时。在乙方退场交接时，双方按照乙方进场时交接清单进行清点验收，乙方须保障甲方炉渣厂范围内的所有设备（设施）正常运转，在甲方测试单条生产线炉渣处置能力不低于800吨/天（有效处置工作时数不超过8小时）的情况下通过验收。否则甲方不予验收，乙方应按要求在3日内完成整改。如超过3日未整改完成则按10000元/天向甲方支付违约金。如出现设备设施损坏或缺失的情况，乙方相应赔偿甲方。</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szCs w:val="21"/>
          <w:highlight w:val="none"/>
        </w:rPr>
      </w:pPr>
      <w:r>
        <w:rPr>
          <w:rFonts w:hint="eastAsia" w:hAnsi="宋体" w:cs="宋体"/>
          <w:color w:val="auto"/>
          <w:szCs w:val="21"/>
          <w:highlight w:val="none"/>
        </w:rPr>
        <w:t>甲  方（盖章）：                          乙  方（盖章）：</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szCs w:val="21"/>
          <w:highlight w:val="none"/>
        </w:rPr>
      </w:pPr>
      <w:r>
        <w:rPr>
          <w:rFonts w:hint="eastAsia" w:hAnsi="宋体" w:cs="宋体"/>
          <w:color w:val="auto"/>
          <w:szCs w:val="21"/>
          <w:highlight w:val="none"/>
        </w:rPr>
        <w:t>法定代表人或</w:t>
      </w:r>
      <w:r>
        <w:rPr>
          <w:rFonts w:hint="eastAsia" w:hAnsi="宋体" w:cs="宋体"/>
          <w:snapToGrid w:val="0"/>
          <w:color w:val="auto"/>
          <w:szCs w:val="21"/>
          <w:highlight w:val="none"/>
        </w:rPr>
        <w:t>其委托代理人</w:t>
      </w:r>
      <w:r>
        <w:rPr>
          <w:rFonts w:hint="eastAsia" w:hAnsi="宋体" w:cs="宋体"/>
          <w:color w:val="auto"/>
          <w:szCs w:val="21"/>
          <w:highlight w:val="none"/>
        </w:rPr>
        <w:t>（签字）：        法定代表人或</w:t>
      </w:r>
      <w:r>
        <w:rPr>
          <w:rFonts w:hint="eastAsia" w:hAnsi="宋体" w:cs="宋体"/>
          <w:snapToGrid w:val="0"/>
          <w:color w:val="auto"/>
          <w:szCs w:val="21"/>
          <w:highlight w:val="none"/>
        </w:rPr>
        <w:t>其委托代理人</w:t>
      </w:r>
      <w:r>
        <w:rPr>
          <w:rFonts w:hint="eastAsia" w:hAnsi="宋体" w:cs="宋体"/>
          <w:color w:val="auto"/>
          <w:szCs w:val="21"/>
          <w:highlight w:val="none"/>
        </w:rPr>
        <w:t>（签字）：</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szCs w:val="21"/>
          <w:highlight w:val="none"/>
        </w:rPr>
      </w:pPr>
      <w:r>
        <w:rPr>
          <w:rFonts w:hint="eastAsia" w:hAnsi="宋体" w:cs="宋体"/>
          <w:color w:val="auto"/>
          <w:szCs w:val="21"/>
          <w:highlight w:val="none"/>
        </w:rPr>
        <w:t xml:space="preserve">地 址：                                   地 址： </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bCs/>
          <w:color w:val="auto"/>
          <w:szCs w:val="21"/>
          <w:highlight w:val="none"/>
        </w:rPr>
      </w:pPr>
      <w:r>
        <w:rPr>
          <w:rFonts w:hint="eastAsia" w:hAnsi="宋体" w:cs="宋体"/>
          <w:color w:val="auto"/>
          <w:szCs w:val="21"/>
          <w:highlight w:val="none"/>
        </w:rPr>
        <w:t xml:space="preserve">电 话：                                   电 话：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outlineLvl w:val="9"/>
        <w:rPr>
          <w:rFonts w:hAnsi="宋体" w:cs="宋体"/>
          <w:color w:val="auto"/>
          <w:szCs w:val="21"/>
          <w:highlight w:val="none"/>
        </w:rPr>
      </w:pPr>
      <w:r>
        <w:rPr>
          <w:rFonts w:hint="eastAsia" w:hAnsi="宋体" w:cs="宋体"/>
          <w:bCs/>
          <w:color w:val="auto"/>
          <w:szCs w:val="21"/>
          <w:highlight w:val="none"/>
        </w:rPr>
        <w:t>签订时间：</w:t>
      </w:r>
      <w:bookmarkEnd w:id="134"/>
      <w:bookmarkEnd w:id="135"/>
    </w:p>
    <w:p>
      <w:pPr>
        <w:snapToGrid w:val="0"/>
        <w:outlineLvl w:val="1"/>
        <w:rPr>
          <w:rFonts w:hint="eastAsia" w:hAnsi="宋体" w:cs="宋体"/>
          <w:color w:val="auto"/>
          <w:szCs w:val="21"/>
          <w:highlight w:val="none"/>
        </w:rPr>
      </w:pPr>
    </w:p>
    <w:p>
      <w:pPr>
        <w:snapToGrid w:val="0"/>
        <w:outlineLvl w:val="1"/>
        <w:rPr>
          <w:rFonts w:hAnsi="宋体" w:cs="宋体"/>
          <w:color w:val="auto"/>
          <w:highlight w:val="none"/>
        </w:rPr>
      </w:pPr>
      <w:r>
        <w:rPr>
          <w:rFonts w:hint="eastAsia" w:hAnsi="宋体" w:cs="宋体"/>
          <w:color w:val="auto"/>
          <w:szCs w:val="21"/>
          <w:highlight w:val="none"/>
          <w:lang w:val="en-US" w:eastAsia="zh-CN"/>
        </w:rPr>
        <w:t>附件1：</w:t>
      </w:r>
      <w:r>
        <w:rPr>
          <w:rFonts w:hint="eastAsia" w:hAnsi="宋体" w:cs="宋体"/>
          <w:color w:val="auto"/>
          <w:szCs w:val="21"/>
          <w:highlight w:val="none"/>
        </w:rPr>
        <w:t>廉政协议</w:t>
      </w:r>
    </w:p>
    <w:p>
      <w:pPr>
        <w:spacing w:line="360" w:lineRule="auto"/>
        <w:ind w:firstLine="562" w:firstLineChars="200"/>
        <w:jc w:val="center"/>
        <w:rPr>
          <w:rFonts w:hAnsi="宋体" w:cs="宋体"/>
          <w:b/>
          <w:bCs/>
          <w:color w:val="auto"/>
          <w:sz w:val="28"/>
          <w:szCs w:val="28"/>
          <w:highlight w:val="none"/>
        </w:rPr>
      </w:pPr>
      <w:r>
        <w:rPr>
          <w:rFonts w:hAnsi="宋体" w:cs="宋体"/>
          <w:b/>
          <w:bCs/>
          <w:color w:val="auto"/>
          <w:sz w:val="28"/>
          <w:szCs w:val="28"/>
          <w:highlight w:val="none"/>
        </w:rPr>
        <w:t>廉 政 协 议</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甲方：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乙方：</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Ansi="宋体"/>
          <w:color w:val="auto"/>
          <w:szCs w:val="21"/>
          <w:highlight w:val="none"/>
        </w:rPr>
      </w:pPr>
      <w:r>
        <w:rPr>
          <w:rFonts w:hint="eastAsia" w:hAnsi="宋体"/>
          <w:color w:val="auto"/>
          <w:szCs w:val="21"/>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第一条 甲、乙双方约定</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（一）甲、乙双方应共同严格遵守国家和省市以及招标人主管部门关于市场准入、项目招标投标、市场经济活动等有关法律、法规和相关政策，以及项目廉政建设的各项规定。</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（二）甲、乙双方应认真执行双方签订的合同文件，自觉按合同约定履行责任。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（三）甲、乙双方的业务活动必须坚持公开、公平、公正、诚信、透明的原则（除法律法规另有规定者外）。不得为获取不正当的利益，损害国家、集体和对方利益；不得违反管理相关规章制度。</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（四）甲、乙双方有对本方人员开展廉政告知、廉政教育和职业道德教育的义务。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（五）甲、乙双方应加强对本方人员廉政监督，建立健全廉政制度，认真严肃查处本方人员违法违纪行为。</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（六）甲、乙双方如发现对方人员在业务活动中有违规、违纪、违法行为的，应及时提醒对方并督促其纠正，或直接向对方法人代表、纪检监察部门及检察机关如实反映情况。</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第二条 甲方（含甲方人员）廉政责任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（一）不得接受乙方或向乙方索取或以借用为名占用乙方的任何财物；不得接受乙方的礼金、</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礼品和各种有价证券、支付凭证及其他贵重物品；不得接受乙方的以任何名义支付的回扣、好处费、感谢费或其他经济利益。</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二）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（三）不得利用职务便利向乙方介绍或指定工程分包单位（或个人）、物资供应商；不得利用职务便利向乙方推销或指定使用物资设备等。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（四）不得接受乙方购置的或长期提供的通信工具、交通工具等。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（五）对无法拒绝的乙方及其个人所送的钱物，受礼者自收受之日起一个月内上交至甲方监察审计部门。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（六）对乙方提供的有关信息，应及时调查处理并反馈结果。</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第三条 乙方（含乙方人员）廉政责任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（一）不得以任何形式向甲方行贿；不得向甲方送礼金、礼品和各种有价证券、支付凭证及其他贵重物品；不得以任何名义向甲方及其工作人员支付回扣、好处费、感谢费或其他经济利益。</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二）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（三）不得接受甲方介绍或指定的工程分包单位和物资供应商；不得接受甲方推销或指定使用的物资设备。</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（四）不得以任何理由为甲方及其工作人员购置或长期提供通信工具、交通工具等。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（五）对甲方及其个人索要钱物、介绍或指定工程分包单位和物资供应商、推销或指定使用物资设备、借用占用车辆等行为予以拒绝，并及时主动向乙方上级纪检监察组织报告。</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（六）对甲方提供的乙方（含乙方人员）违纪违规有关信息，应及时调查处理并反馈结果。</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（七）乙方不得以任何理由为甲方及其工作人员组织有可能影响公正执行公务的宴请和各类休闲娱乐等活动。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（八）乙方及其工作人员必须严格按照有关规程办事，不得与其他单位互相串通，损害甲方利益。</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第四条 违约责任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一）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（二）乙方贿赂甲方人员的，被纪检监察部门或检察机关立案查处的，甲方有权</w:t>
      </w:r>
      <w:r>
        <w:rPr>
          <w:rFonts w:hint="eastAsia" w:hAnsi="宋体"/>
          <w:color w:val="auto"/>
          <w:szCs w:val="21"/>
          <w:highlight w:val="none"/>
          <w:lang w:eastAsia="zh-CN"/>
        </w:rPr>
        <w:t>终止</w:t>
      </w:r>
      <w:r>
        <w:rPr>
          <w:rFonts w:hint="eastAsia" w:hAnsi="宋体"/>
          <w:color w:val="auto"/>
          <w:szCs w:val="21"/>
          <w:highlight w:val="none"/>
        </w:rPr>
        <w:t>项目合同，由此造成甲方的损失以及一切费用均由乙方承担。</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（三）甲方双方不履行协议约定义务的，应将责任人调离本项目并按规定予以处理，且双方有义务将有关责任人的责任追究情况通报对方。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（四）甲乙双方自觉履行本协议并互相监督，一方不履行协议的，另一方有权利和义务进行举报。一方主动举报另一方，举报方不承担上述约定的违约责任，全部由被举报方承担，但不免除各自应负的法纪责任。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（五）由于甲乙双方单位或工作人员个人行为造成违约的，双方承担上述违约责任。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（六）甲乙双方在履行协议中发生争议，一方有权向对方上级单位主管部门和纪检监察部门反映情况并要求帮助解决争议。</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color w:val="auto"/>
          <w:szCs w:val="21"/>
          <w:highlight w:val="none"/>
        </w:rPr>
      </w:pPr>
      <w:r>
        <w:rPr>
          <w:rFonts w:hint="eastAsia" w:hAnsi="宋体"/>
          <w:color w:val="auto"/>
          <w:szCs w:val="21"/>
          <w:highlight w:val="none"/>
        </w:rPr>
        <w:t>第五条 本协议有效期为双方签署之日起至双方权利义务履行完毕为止。有效期内发生的违约事实，有效期后发现的适用本协议。</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甲方单位（盖章）：                                               乙方单位（盖章）：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甲方代表（签字）：                                               乙方代表（签字）：</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eastAsia="宋体" w:cs="仿宋_GB2312"/>
          <w:color w:val="auto"/>
          <w:sz w:val="24"/>
          <w:highlight w:val="none"/>
          <w:lang w:eastAsia="zh-CN"/>
        </w:rPr>
        <w:sectPr>
          <w:pgSz w:w="11906" w:h="16838"/>
          <w:pgMar w:top="1213" w:right="1344" w:bottom="1270" w:left="1344" w:header="397"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Ansi="宋体"/>
          <w:color w:val="auto"/>
          <w:szCs w:val="21"/>
          <w:highlight w:val="none"/>
        </w:rPr>
        <w:t>电    话：                                                       电    话</w:t>
      </w:r>
      <w:r>
        <w:rPr>
          <w:rFonts w:hint="eastAsia" w:hAnsi="宋体"/>
          <w:color w:val="auto"/>
          <w:szCs w:val="21"/>
          <w:highlight w:val="none"/>
          <w:lang w:eastAsia="zh-CN"/>
        </w:rPr>
        <w:t>：</w:t>
      </w:r>
    </w:p>
    <w:p>
      <w:pPr>
        <w:spacing w:line="320" w:lineRule="exact"/>
        <w:jc w:val="both"/>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附件2：安全生产协议书</w:t>
      </w:r>
    </w:p>
    <w:p>
      <w:pPr>
        <w:spacing w:line="360" w:lineRule="auto"/>
        <w:ind w:firstLine="562" w:firstLineChars="200"/>
        <w:jc w:val="center"/>
        <w:rPr>
          <w:rFonts w:hint="eastAsia" w:hAnsi="宋体" w:cs="宋体"/>
          <w:b/>
          <w:bCs/>
          <w:color w:val="auto"/>
          <w:sz w:val="28"/>
          <w:szCs w:val="28"/>
          <w:highlight w:val="none"/>
        </w:rPr>
      </w:pPr>
      <w:r>
        <w:rPr>
          <w:rFonts w:hint="eastAsia" w:hAnsi="宋体" w:cs="宋体"/>
          <w:b/>
          <w:bCs/>
          <w:color w:val="auto"/>
          <w:sz w:val="28"/>
          <w:szCs w:val="28"/>
          <w:highlight w:val="none"/>
        </w:rPr>
        <w:t>安全生产协议书</w:t>
      </w:r>
    </w:p>
    <w:p>
      <w:pPr>
        <w:spacing w:line="400" w:lineRule="exact"/>
        <w:jc w:val="center"/>
        <w:rPr>
          <w:rFonts w:hint="eastAsia" w:asciiTheme="minorEastAsia" w:hAnsiTheme="minorEastAsia" w:eastAsiaTheme="minorEastAsia" w:cstheme="minorEastAsia"/>
          <w:color w:val="auto"/>
          <w:sz w:val="21"/>
          <w:szCs w:val="21"/>
          <w:highlight w:val="none"/>
        </w:rPr>
      </w:pPr>
    </w:p>
    <w:p>
      <w:pPr>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p>
    <w:p>
      <w:pPr>
        <w:spacing w:line="500" w:lineRule="exac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乙方：</w:t>
      </w:r>
    </w:p>
    <w:p>
      <w:pPr>
        <w:spacing w:line="400" w:lineRule="exact"/>
        <w:ind w:firstLine="52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为加强</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现场的安全生产、文明作业管理工作，根据有关法律、法规要求，结合我公司实际情况，甲方特与乙方签订本协议书，具体条款如下：</w:t>
      </w:r>
    </w:p>
    <w:p>
      <w:pPr>
        <w:spacing w:line="400" w:lineRule="exact"/>
        <w:ind w:firstLine="527" w:firstLineChars="25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一、甲方职责</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1.甲方对乙方资质进行审查，确保符合要求，并为乙方正常</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服务场所工作提供便利，</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实施前就各实施区域的现状及周边情况向乙方进行交底。如：实施项目周边的电缆线、消防管道及排水沟及周边车辆行驶情况等。</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2.为本项目指定专人负责具体的联系沟通工作。</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3.做好与本项目有关的其他各级单位的沟通协调工作。</w:t>
      </w:r>
    </w:p>
    <w:p>
      <w:pPr>
        <w:spacing w:line="4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二、乙方职责</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1.建立健全本单位该项目的安全生产责任制度和安全生产管理制度，健全组织机构，落实本现场专职安全管理人员。</w:t>
      </w:r>
    </w:p>
    <w:p>
      <w:pPr>
        <w:spacing w:line="400" w:lineRule="exact"/>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2.乙方要按规定提取本项目运行安全生产费用并投入使用，并无条件接受甲方对该项目安全费用使用情况的检查。</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.乙方在</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服务期间，必须对工作人员进行安全生产教育，落实安全技术交底工作，确保各类专业技术人员持证上岗。</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.乙方应遵守甲方相关的安全生产管理制度，在禁烟区内严禁吸烟以及擅自动用各类明火（动用需经审批），并在现场设置灭火器材及警示标识。</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.乙方在</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服务期间应严格按照用电规范要求，严禁私拉乱接电线，各类电器、照明设备必须使用防爆产品或设置防爆装置。</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.乙方内部要建立安全生产检查制度、落实自查自检，按“定人、定时间、定措施”的隐患整改原则，消除现场不安全因素。</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．安全、规范、文明、科学作业，不损坏甲方的地上地下各类设施，确保</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实施区域安全有序。</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.接受甲方的监督检查。</w:t>
      </w:r>
    </w:p>
    <w:p>
      <w:pPr>
        <w:spacing w:line="400" w:lineRule="exact"/>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三、违约责任</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1.在</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服务过程中，乙方必须做到安全生产，并服从甲方管理人员的调度指挥，有下列行为的，乙方扣罚履约保证金500-1000元/次：</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1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①</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不服从甲方指挥，强令冒险作业；</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2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②</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未按要求参加甲方组织的各项安全检查、会议活动；</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3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③</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工作人员在禁烟区擅自动火、吸烟；</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4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④</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工作人员未按规定穿戴劳动防护用品，经劝说不听或不服从管理的；</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5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⑤</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服务过程造成环境影响。</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2.乙方在</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服务过程中有下列行为的，扣罚履约保证金5000元/次：</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1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①</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由于乙方原因造成甲方被主管单位、新闻媒体、12345公开电话投诉或其他上级有关部门书面警告等通报批评的；</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2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②</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乙方未履行职责，经甲方三次书面警告的，进行停业整顿的，每次停业整顿。</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服务人员无证驾驶车辆（设备）、特殊工种无证上岗、消防器材配置缺损已提醒二十四小时无改进措施等现象，扣罚保证金2000元/人·次。</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4.乙方在</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服务过程中，对甲方的设施、绿化道路造成影响，由乙方应按甲方要求及时进行原貌恢复或清理，如乙方未能及时进行处理的，甲方有权委托相关部门执行，相应费用在乙方履约保证金中扣除。</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5.乙方在</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6.发生紧急情况，乙方应及时向上级主管和甲方报告，同时向相关领导或值班人员汇报。如发生人员伤亡应迅速抢救伤员，并在第一时间送就近医院。</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7.在</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服务期间，乙方发生的安全事故以及造成的人员或财产损失由乙方全额负责。</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8.其他违反甲方相关安全规章制度的现象，根据违规情况每次酌情扣罚履约保证金200—1000元。</w:t>
      </w:r>
    </w:p>
    <w:p>
      <w:pPr>
        <w:spacing w:line="4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四、其他</w:t>
      </w:r>
    </w:p>
    <w:p>
      <w:pPr>
        <w:widowControl/>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本协议有效期为双方签署之日起至双方权利义务履行完毕为止。有效期内发生的违约事实，有效期后发现的适用本协议。</w:t>
      </w:r>
    </w:p>
    <w:p>
      <w:pPr>
        <w:spacing w:line="400" w:lineRule="exact"/>
        <w:ind w:firstLine="435"/>
        <w:rPr>
          <w:rFonts w:hint="eastAsia" w:asciiTheme="minorEastAsia" w:hAnsiTheme="minorEastAsia" w:eastAsiaTheme="minorEastAsia" w:cstheme="minorEastAsia"/>
          <w:color w:val="auto"/>
          <w:sz w:val="21"/>
          <w:szCs w:val="21"/>
          <w:highlight w:val="none"/>
        </w:rPr>
      </w:pPr>
    </w:p>
    <w:p>
      <w:pPr>
        <w:widowControl/>
        <w:spacing w:line="38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甲方单位（盖章）：                                    乙方单位（盖章）：</w:t>
      </w:r>
    </w:p>
    <w:p>
      <w:pPr>
        <w:widowControl/>
        <w:spacing w:line="380" w:lineRule="exact"/>
        <w:jc w:val="left"/>
        <w:rPr>
          <w:rFonts w:ascii="仿宋_GB2312" w:hAnsi="宋体" w:eastAsia="仿宋_GB2312"/>
          <w:color w:val="auto"/>
          <w:kern w:val="0"/>
          <w:sz w:val="24"/>
          <w:szCs w:val="24"/>
          <w:highlight w:val="none"/>
        </w:rPr>
      </w:pPr>
      <w:r>
        <w:rPr>
          <w:rFonts w:hint="eastAsia" w:asciiTheme="minorEastAsia" w:hAnsiTheme="minorEastAsia" w:eastAsiaTheme="minorEastAsia" w:cstheme="minorEastAsia"/>
          <w:color w:val="auto"/>
          <w:kern w:val="0"/>
          <w:sz w:val="21"/>
          <w:szCs w:val="21"/>
          <w:highlight w:val="none"/>
        </w:rPr>
        <w:t>甲方代表（签字）：                                    乙方代表（签字）：</w:t>
      </w:r>
    </w:p>
    <w:p>
      <w:pPr>
        <w:rPr>
          <w:color w:val="auto"/>
          <w:highlight w:val="none"/>
        </w:rPr>
      </w:pPr>
    </w:p>
    <w:p>
      <w:pPr>
        <w:rPr>
          <w:rFonts w:hint="default" w:eastAsia="宋体"/>
          <w:color w:val="auto"/>
          <w:highlight w:val="none"/>
          <w:lang w:val="en-US" w:eastAsia="zh-CN"/>
        </w:rPr>
      </w:pPr>
    </w:p>
    <w:sectPr>
      <w:headerReference r:id="rId20" w:type="first"/>
      <w:footerReference r:id="rId21" w:type="default"/>
      <w:footerReference r:id="rId22" w:type="even"/>
      <w:pgSz w:w="11906" w:h="16838"/>
      <w:pgMar w:top="1440" w:right="1361" w:bottom="1440" w:left="1361" w:header="850"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S?o｡ﾀ?">
    <w:altName w:val="Yu Gothic UI"/>
    <w:panose1 w:val="020B0604020202020204"/>
    <w:charset w:val="80"/>
    <w:family w:val="modern"/>
    <w:pitch w:val="default"/>
    <w:sig w:usb0="00000000" w:usb1="00000000" w:usb2="00000010" w:usb3="00000000" w:csb0="00020000" w:csb1="00000000"/>
  </w:font>
  <w:font w:name="Arial Unicode MS">
    <w:altName w:val="Arial"/>
    <w:panose1 w:val="020B0604020202020204"/>
    <w:charset w:val="80"/>
    <w:family w:val="swiss"/>
    <w:pitch w:val="default"/>
    <w:sig w:usb0="00000000" w:usb1="00000000" w:usb2="0000003F" w:usb3="00000000" w:csb0="603F01FF" w:csb1="FFFF0000"/>
  </w:font>
  <w:font w:name="楷体_GB2312">
    <w:altName w:val="楷体"/>
    <w:panose1 w:val="020B0604020202020204"/>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Tms Rmn">
    <w:altName w:val="Segoe Print"/>
    <w:panose1 w:val="020B0604020202020204"/>
    <w:charset w:val="00"/>
    <w:family w:val="roman"/>
    <w:pitch w:val="default"/>
    <w:sig w:usb0="00000000" w:usb1="00000000" w:usb2="00000000" w:usb3="00000000" w:csb0="00000001" w:csb1="00000000"/>
  </w:font>
  <w:font w:name="Ari">
    <w:altName w:val="Microsoft YaHei UI"/>
    <w:panose1 w:val="020B0604020202020204"/>
    <w:charset w:val="00"/>
    <w:family w:val="auto"/>
    <w:pitch w:val="default"/>
    <w:sig w:usb0="00000000" w:usb1="00000000" w:usb2="00000000" w:usb3="00000000" w:csb0="00040001" w:csb1="00000000"/>
  </w:font>
  <w:font w:name="仿宋体">
    <w:altName w:val="仿宋"/>
    <w:panose1 w:val="020B0604020202020204"/>
    <w:charset w:val="86"/>
    <w:family w:val="roman"/>
    <w:pitch w:val="default"/>
    <w:sig w:usb0="00000000" w:usb1="00000000" w:usb2="00000010" w:usb3="00000000" w:csb0="00040000"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5"/>
                            <w:jc w:val="center"/>
                          </w:pPr>
                        </w:p>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o+Gc8BAACqAwAADgAAAGRycy9lMm9Eb2MueG1srVPNjtMwEL4j8Q6W&#10;7zRpB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kjMnLD345fu3y49fl59f2bJc&#10;vUo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kej4ZzwEAAKoDAAAOAAAAAAAAAAEAIAAAAB4BAABkcnMv&#10;ZTJvRG9jLnhtbFBLBQYAAAAABgAGAFkBAABfBQAAAAA=&#10;">
              <v:fill on="f" focussize="0,0"/>
              <v:stroke on="f"/>
              <v:imagedata o:title=""/>
              <o:lock v:ext="edit" aspectratio="f"/>
              <v:textbox inset="0mm,0mm,0mm,0mm" style="mso-fit-shape-to-text:t;">
                <w:txbxContent>
                  <w:p>
                    <w:pPr>
                      <w:pStyle w:val="55"/>
                      <w:jc w:val="center"/>
                    </w:pPr>
                  </w:p>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5"/>
                            <w:jc w:val="center"/>
                          </w:pPr>
                        </w:p>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bc5d3NABAACqAwAADgAAAAAAAAABACAAAAAeAQAAZHJz&#10;L2Uyb0RvYy54bWxQSwUGAAAAAAYABgBZAQAAYAUAAAAA&#10;">
              <v:fill on="f" focussize="0,0"/>
              <v:stroke on="f"/>
              <v:imagedata o:title=""/>
              <o:lock v:ext="edit" aspectratio="f"/>
              <v:textbox inset="0mm,0mm,0mm,0mm" style="mso-fit-shape-to-text:t;">
                <w:txbxContent>
                  <w:p>
                    <w:pPr>
                      <w:pStyle w:val="55"/>
                      <w:jc w:val="center"/>
                    </w:pPr>
                  </w:p>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5"/>
                            <w:jc w:val="center"/>
                          </w:pPr>
                        </w:p>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Sf7/IdABAACqAwAADgAAAAAAAAABACAAAAAeAQAAZHJz&#10;L2Uyb0RvYy54bWxQSwUGAAAAAAYABgBZAQAAYAUAAAAA&#10;">
              <v:fill on="f" focussize="0,0"/>
              <v:stroke on="f"/>
              <v:imagedata o:title=""/>
              <o:lock v:ext="edit" aspectratio="f"/>
              <v:textbox inset="0mm,0mm,0mm,0mm" style="mso-fit-shape-to-text:t;">
                <w:txbxContent>
                  <w:p>
                    <w:pPr>
                      <w:pStyle w:val="55"/>
                      <w:jc w:val="center"/>
                    </w:pPr>
                  </w:p>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line="14" w:lineRule="auto"/>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33</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5"/>
                          </w:pP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0HSIDOAQAAqAMAAA4AAAAAAAAAAQAgAAAAHgEAAGRycy9l&#10;Mm9Eb2MueG1sUEsFBgAAAAAGAAYAWQEAAF4FAAAAAA==&#10;">
              <v:fill on="f" focussize="0,0"/>
              <v:stroke on="f"/>
              <v:imagedata o:title=""/>
              <o:lock v:ext="edit" aspectratio="f"/>
              <v:textbox inset="0mm,0mm,0mm,0mm" style="mso-fit-shape-to-text:t;">
                <w:txbxContent>
                  <w:p>
                    <w:pPr>
                      <w:pStyle w:val="55"/>
                    </w:pPr>
                  </w:p>
                </w:txbxContent>
              </v:textbox>
            </v:shape>
          </w:pict>
        </mc:Fallback>
      </mc:AlternateContent>
    </w:r>
  </w:p>
  <w:p>
    <w:pPr>
      <w:pStyle w:val="5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end"/>
    </w:r>
  </w:p>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end"/>
    </w:r>
  </w:p>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7" w:lineRule="auto"/>
      <w:ind w:left="2"/>
      <w:rPr>
        <w:rFonts w:ascii="微软雅黑" w:hAnsi="微软雅黑" w:eastAsia="微软雅黑" w:cs="微软雅黑"/>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Fonts w:ascii="仿宋_GB2312" w:eastAsia="仿宋_GB2312"/>
        <w:szCs w:val="24"/>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Fonts w:ascii="仿宋_GB2312" w:eastAsia="仿宋_GB2312"/>
        <w:szCs w:val="24"/>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Fonts w:ascii="仿宋_GB2312" w:eastAsia="仿宋_GB2312"/>
        <w:szCs w:val="24"/>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Fonts w:ascii="仿宋_GB2312" w:eastAsia="仿宋_GB2312"/>
        <w:szCs w:val="24"/>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right" w:pos="11700"/>
        <w:tab w:val="clear"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right"/>
      <w:rPr>
        <w:szCs w:val="18"/>
      </w:rPr>
    </w:pPr>
    <w:r>
      <w:rPr>
        <w:rFonts w:hint="eastAsia"/>
        <w:szCs w:val="21"/>
      </w:rPr>
      <w:t>2022年轮胎材料采购项目</w:t>
    </w:r>
    <w:r>
      <w:rPr>
        <w:rStyle w:val="174"/>
        <w:rFonts w:hint="eastAsia"/>
        <w:szCs w:val="18"/>
      </w:rPr>
      <w:t xml:space="preserve">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single" w:color="auto" w:sz="6" w:space="0"/>
      </w:pBdr>
      <w:wordWrap w:val="0"/>
      <w:jc w:val="right"/>
      <w:rPr>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single" w:color="auto" w:sz="4" w:space="1"/>
      </w:pBdr>
      <w:rPr>
        <w:rFonts w:hint="eastAsia"/>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pBdr>
        <w:bottom w:val="single" w:color="auto" w:sz="4" w:space="0"/>
      </w:pBdr>
      <w:tabs>
        <w:tab w:val="left" w:pos="10907"/>
        <w:tab w:val="right" w:pos="18648"/>
      </w:tabs>
      <w:jc w:val="right"/>
      <w:rPr>
        <w:rFonts w:asciiTheme="minorEastAsia" w:hAnsiTheme="minorEastAsia" w:eastAsiaTheme="minorEastAsia" w:cstheme="minorEastAsia"/>
        <w:b w:val="0"/>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left"/>
    </w:pPr>
    <w:r>
      <w:rPr>
        <w:rFonts w:hint="eastAsia"/>
      </w:rPr>
      <w:t xml:space="preserve">采购招标文件                                                           浙江省成套招标代理有限公司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551E0"/>
    <w:multiLevelType w:val="singleLevel"/>
    <w:tmpl w:val="8A4551E0"/>
    <w:lvl w:ilvl="0" w:tentative="0">
      <w:start w:val="1"/>
      <w:numFmt w:val="decimal"/>
      <w:suff w:val="nothing"/>
      <w:lvlText w:val="%1）"/>
      <w:lvlJc w:val="left"/>
    </w:lvl>
  </w:abstractNum>
  <w:abstractNum w:abstractNumId="1">
    <w:nsid w:val="9533E698"/>
    <w:multiLevelType w:val="singleLevel"/>
    <w:tmpl w:val="9533E698"/>
    <w:lvl w:ilvl="0" w:tentative="0">
      <w:start w:val="1"/>
      <w:numFmt w:val="decimalEnclosedCircleChinese"/>
      <w:suff w:val="nothing"/>
      <w:lvlText w:val="%1　"/>
      <w:lvlJc w:val="left"/>
      <w:pPr>
        <w:ind w:left="0" w:firstLine="400"/>
      </w:pPr>
      <w:rPr>
        <w:rFonts w:hint="eastAsia"/>
      </w:rPr>
    </w:lvl>
  </w:abstractNum>
  <w:abstractNum w:abstractNumId="2">
    <w:nsid w:val="A1C48F00"/>
    <w:multiLevelType w:val="singleLevel"/>
    <w:tmpl w:val="A1C48F00"/>
    <w:lvl w:ilvl="0" w:tentative="0">
      <w:start w:val="1"/>
      <w:numFmt w:val="decimalEnclosedCircleChinese"/>
      <w:suff w:val="nothing"/>
      <w:lvlText w:val="%1　"/>
      <w:lvlJc w:val="left"/>
      <w:pPr>
        <w:ind w:left="0" w:firstLine="400"/>
      </w:pPr>
      <w:rPr>
        <w:rFonts w:hint="eastAsia"/>
      </w:rPr>
    </w:lvl>
  </w:abstractNum>
  <w:abstractNum w:abstractNumId="3">
    <w:nsid w:val="B2C01BC1"/>
    <w:multiLevelType w:val="singleLevel"/>
    <w:tmpl w:val="B2C01BC1"/>
    <w:lvl w:ilvl="0" w:tentative="0">
      <w:start w:val="2"/>
      <w:numFmt w:val="chineseCounting"/>
      <w:suff w:val="nothing"/>
      <w:lvlText w:val="%1、"/>
      <w:lvlJc w:val="left"/>
      <w:rPr>
        <w:rFonts w:hint="eastAsia"/>
      </w:rPr>
    </w:lvl>
  </w:abstractNum>
  <w:abstractNum w:abstractNumId="4">
    <w:nsid w:val="BC5A142E"/>
    <w:multiLevelType w:val="singleLevel"/>
    <w:tmpl w:val="BC5A142E"/>
    <w:lvl w:ilvl="0" w:tentative="0">
      <w:start w:val="1"/>
      <w:numFmt w:val="decimalEnclosedCircleChinese"/>
      <w:suff w:val="nothing"/>
      <w:lvlText w:val="%1　"/>
      <w:lvlJc w:val="left"/>
      <w:pPr>
        <w:ind w:left="0" w:firstLine="400"/>
      </w:pPr>
      <w:rPr>
        <w:rFonts w:hint="eastAsia"/>
      </w:rPr>
    </w:lvl>
  </w:abstractNum>
  <w:abstractNum w:abstractNumId="5">
    <w:nsid w:val="BD81510E"/>
    <w:multiLevelType w:val="singleLevel"/>
    <w:tmpl w:val="BD81510E"/>
    <w:lvl w:ilvl="0" w:tentative="0">
      <w:start w:val="1"/>
      <w:numFmt w:val="decimalEnclosedCircleChinese"/>
      <w:suff w:val="nothing"/>
      <w:lvlText w:val="%1　"/>
      <w:lvlJc w:val="left"/>
      <w:pPr>
        <w:ind w:left="0" w:firstLine="400"/>
      </w:pPr>
      <w:rPr>
        <w:rFonts w:hint="eastAsia"/>
      </w:rPr>
    </w:lvl>
  </w:abstractNum>
  <w:abstractNum w:abstractNumId="6">
    <w:nsid w:val="BE69063B"/>
    <w:multiLevelType w:val="singleLevel"/>
    <w:tmpl w:val="BE69063B"/>
    <w:lvl w:ilvl="0" w:tentative="0">
      <w:start w:val="1"/>
      <w:numFmt w:val="decimalEnclosedCircleChinese"/>
      <w:suff w:val="nothing"/>
      <w:lvlText w:val="%1　"/>
      <w:lvlJc w:val="left"/>
      <w:pPr>
        <w:ind w:left="0" w:firstLine="400"/>
      </w:pPr>
      <w:rPr>
        <w:rFonts w:hint="eastAsia"/>
      </w:rPr>
    </w:lvl>
  </w:abstractNum>
  <w:abstractNum w:abstractNumId="7">
    <w:nsid w:val="C171892D"/>
    <w:multiLevelType w:val="singleLevel"/>
    <w:tmpl w:val="C171892D"/>
    <w:lvl w:ilvl="0" w:tentative="0">
      <w:start w:val="1"/>
      <w:numFmt w:val="decimal"/>
      <w:suff w:val="nothing"/>
      <w:lvlText w:val="（%1）"/>
      <w:lvlJc w:val="left"/>
    </w:lvl>
  </w:abstractNum>
  <w:abstractNum w:abstractNumId="8">
    <w:nsid w:val="CBAD6108"/>
    <w:multiLevelType w:val="singleLevel"/>
    <w:tmpl w:val="CBAD6108"/>
    <w:lvl w:ilvl="0" w:tentative="0">
      <w:start w:val="1"/>
      <w:numFmt w:val="decimalEnclosedCircleChinese"/>
      <w:suff w:val="nothing"/>
      <w:lvlText w:val="%1　"/>
      <w:lvlJc w:val="left"/>
      <w:pPr>
        <w:ind w:left="0" w:firstLine="400"/>
      </w:pPr>
      <w:rPr>
        <w:rFonts w:hint="eastAsia"/>
      </w:rPr>
    </w:lvl>
  </w:abstractNum>
  <w:abstractNum w:abstractNumId="9">
    <w:nsid w:val="0000000A"/>
    <w:multiLevelType w:val="multilevel"/>
    <w:tmpl w:val="0000000A"/>
    <w:lvl w:ilvl="0" w:tentative="0">
      <w:start w:val="1"/>
      <w:numFmt w:val="none"/>
      <w:pStyle w:val="36"/>
      <w:lvlText w:val=""/>
      <w:lvlJc w:val="left"/>
      <w:pPr>
        <w:tabs>
          <w:tab w:val="left" w:pos="587"/>
        </w:tabs>
        <w:ind w:left="432" w:hanging="205"/>
      </w:pPr>
      <w:rPr>
        <w:rFonts w:hint="eastAsia"/>
      </w:rPr>
    </w:lvl>
    <w:lvl w:ilvl="1" w:tentative="0">
      <w:start w:val="1"/>
      <w:numFmt w:val="none"/>
      <w:lvlText w:val=""/>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w:lvlJc w:val="left"/>
      <w:pPr>
        <w:tabs>
          <w:tab w:val="left" w:pos="864"/>
        </w:tabs>
        <w:ind w:left="864" w:hanging="864"/>
      </w:pPr>
      <w:rPr>
        <w:rFonts w:hint="eastAsia"/>
      </w:rPr>
    </w:lvl>
    <w:lvl w:ilvl="4" w:tentative="0">
      <w:start w:val="1"/>
      <w:numFmt w:val="decimal"/>
      <w:lvlText w:val="%1.%2.%3.%4.%5"/>
      <w:lvlJc w:val="left"/>
      <w:pPr>
        <w:tabs>
          <w:tab w:val="left" w:pos="1323"/>
        </w:tabs>
        <w:ind w:left="1323"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0000000B"/>
    <w:multiLevelType w:val="multilevel"/>
    <w:tmpl w:val="0000000B"/>
    <w:lvl w:ilvl="0" w:tentative="0">
      <w:start w:val="1"/>
      <w:numFmt w:val="bullet"/>
      <w:pStyle w:val="3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000000C"/>
    <w:multiLevelType w:val="multilevel"/>
    <w:tmpl w:val="0000000C"/>
    <w:lvl w:ilvl="0" w:tentative="0">
      <w:start w:val="1"/>
      <w:numFmt w:val="bullet"/>
      <w:pStyle w:val="1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000000D"/>
    <w:multiLevelType w:val="multilevel"/>
    <w:tmpl w:val="0000000D"/>
    <w:lvl w:ilvl="0" w:tentative="0">
      <w:start w:val="1"/>
      <w:numFmt w:val="bullet"/>
      <w:pStyle w:val="46"/>
      <w:lvlText w:val=""/>
      <w:lvlJc w:val="left"/>
      <w:pPr>
        <w:tabs>
          <w:tab w:val="left" w:pos="1265"/>
        </w:tabs>
        <w:ind w:left="1265" w:hanging="420"/>
      </w:pPr>
      <w:rPr>
        <w:rFonts w:hint="default" w:ascii="Symbol" w:hAnsi="Symbol"/>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0F"/>
    <w:multiLevelType w:val="multilevel"/>
    <w:tmpl w:val="0000000F"/>
    <w:lvl w:ilvl="0" w:tentative="0">
      <w:start w:val="1"/>
      <w:numFmt w:val="bullet"/>
      <w:pStyle w:val="23"/>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00000010"/>
    <w:multiLevelType w:val="multilevel"/>
    <w:tmpl w:val="00000010"/>
    <w:lvl w:ilvl="0" w:tentative="0">
      <w:start w:val="1"/>
      <w:numFmt w:val="bullet"/>
      <w:pStyle w:val="334"/>
      <w:lvlText w:val=""/>
      <w:lvlJc w:val="left"/>
      <w:pPr>
        <w:tabs>
          <w:tab w:val="left" w:pos="1265"/>
        </w:tabs>
        <w:ind w:left="1265" w:hanging="420"/>
      </w:pPr>
      <w:rPr>
        <w:rFonts w:hint="default" w:ascii="Symbol" w:hAnsi="Symbol"/>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0000011"/>
    <w:multiLevelType w:val="multilevel"/>
    <w:tmpl w:val="00000011"/>
    <w:lvl w:ilvl="0" w:tentative="0">
      <w:start w:val="1"/>
      <w:numFmt w:val="bullet"/>
      <w:pStyle w:val="1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336"/>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00000012"/>
    <w:multiLevelType w:val="singleLevel"/>
    <w:tmpl w:val="00000012"/>
    <w:lvl w:ilvl="0" w:tentative="0">
      <w:start w:val="4"/>
      <w:numFmt w:val="decimal"/>
      <w:pStyle w:val="14"/>
      <w:suff w:val="nothing"/>
      <w:lvlText w:val="（%1）"/>
      <w:lvlJc w:val="left"/>
    </w:lvl>
  </w:abstractNum>
  <w:abstractNum w:abstractNumId="17">
    <w:nsid w:val="00000013"/>
    <w:multiLevelType w:val="multilevel"/>
    <w:tmpl w:val="00000013"/>
    <w:lvl w:ilvl="0" w:tentative="0">
      <w:start w:val="1"/>
      <w:numFmt w:val="bullet"/>
      <w:pStyle w:val="29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00000014"/>
    <w:multiLevelType w:val="multilevel"/>
    <w:tmpl w:val="00000014"/>
    <w:lvl w:ilvl="0" w:tentative="0">
      <w:start w:val="1"/>
      <w:numFmt w:val="bullet"/>
      <w:pStyle w:val="4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00000015"/>
    <w:multiLevelType w:val="singleLevel"/>
    <w:tmpl w:val="00000015"/>
    <w:lvl w:ilvl="0" w:tentative="0">
      <w:start w:val="1"/>
      <w:numFmt w:val="decimal"/>
      <w:pStyle w:val="65"/>
      <w:lvlText w:val="%1."/>
      <w:lvlJc w:val="left"/>
      <w:pPr>
        <w:tabs>
          <w:tab w:val="left" w:pos="780"/>
        </w:tabs>
        <w:ind w:left="780" w:hanging="360"/>
      </w:pPr>
    </w:lvl>
  </w:abstractNum>
  <w:abstractNum w:abstractNumId="20">
    <w:nsid w:val="0FA48D0D"/>
    <w:multiLevelType w:val="singleLevel"/>
    <w:tmpl w:val="0FA48D0D"/>
    <w:lvl w:ilvl="0" w:tentative="0">
      <w:start w:val="1"/>
      <w:numFmt w:val="decimal"/>
      <w:suff w:val="nothing"/>
      <w:lvlText w:val="（%1）"/>
      <w:lvlJc w:val="left"/>
    </w:lvl>
  </w:abstractNum>
  <w:abstractNum w:abstractNumId="21">
    <w:nsid w:val="1CCC718C"/>
    <w:multiLevelType w:val="singleLevel"/>
    <w:tmpl w:val="1CCC718C"/>
    <w:lvl w:ilvl="0" w:tentative="0">
      <w:start w:val="1"/>
      <w:numFmt w:val="decimalEnclosedCircleChinese"/>
      <w:suff w:val="nothing"/>
      <w:lvlText w:val="%1　"/>
      <w:lvlJc w:val="left"/>
      <w:pPr>
        <w:ind w:left="0" w:firstLine="400"/>
      </w:pPr>
      <w:rPr>
        <w:rFonts w:hint="eastAsia"/>
      </w:rPr>
    </w:lvl>
  </w:abstractNum>
  <w:abstractNum w:abstractNumId="22">
    <w:nsid w:val="3A03AF77"/>
    <w:multiLevelType w:val="singleLevel"/>
    <w:tmpl w:val="3A03AF77"/>
    <w:lvl w:ilvl="0" w:tentative="0">
      <w:start w:val="1"/>
      <w:numFmt w:val="decimalEnclosedCircleChinese"/>
      <w:suff w:val="nothing"/>
      <w:lvlText w:val="%1　"/>
      <w:lvlJc w:val="left"/>
      <w:pPr>
        <w:ind w:left="0" w:firstLine="400"/>
      </w:pPr>
      <w:rPr>
        <w:rFonts w:hint="eastAsia"/>
      </w:rPr>
    </w:lvl>
  </w:abstractNum>
  <w:abstractNum w:abstractNumId="23">
    <w:nsid w:val="551BE896"/>
    <w:multiLevelType w:val="singleLevel"/>
    <w:tmpl w:val="551BE896"/>
    <w:lvl w:ilvl="0" w:tentative="0">
      <w:start w:val="1"/>
      <w:numFmt w:val="decimalEnclosedCircleChinese"/>
      <w:suff w:val="nothing"/>
      <w:lvlText w:val="%1　"/>
      <w:lvlJc w:val="left"/>
      <w:pPr>
        <w:ind w:left="0" w:firstLine="400"/>
      </w:pPr>
      <w:rPr>
        <w:rFonts w:hint="eastAsia"/>
      </w:rPr>
    </w:lvl>
  </w:abstractNum>
  <w:num w:numId="1">
    <w:abstractNumId w:val="12"/>
  </w:num>
  <w:num w:numId="2">
    <w:abstractNumId w:val="16"/>
  </w:num>
  <w:num w:numId="3">
    <w:abstractNumId w:val="15"/>
  </w:num>
  <w:num w:numId="4">
    <w:abstractNumId w:val="11"/>
  </w:num>
  <w:num w:numId="5">
    <w:abstractNumId w:val="13"/>
  </w:num>
  <w:num w:numId="6">
    <w:abstractNumId w:val="10"/>
  </w:num>
  <w:num w:numId="7">
    <w:abstractNumId w:val="9"/>
  </w:num>
  <w:num w:numId="8">
    <w:abstractNumId w:val="18"/>
  </w:num>
  <w:num w:numId="9">
    <w:abstractNumId w:val="19"/>
  </w:num>
  <w:num w:numId="10">
    <w:abstractNumId w:val="17"/>
  </w:num>
  <w:num w:numId="11">
    <w:abstractNumId w:val="14"/>
  </w:num>
  <w:num w:numId="12">
    <w:abstractNumId w:val="7"/>
  </w:num>
  <w:num w:numId="13">
    <w:abstractNumId w:val="8"/>
  </w:num>
  <w:num w:numId="14">
    <w:abstractNumId w:val="20"/>
  </w:num>
  <w:num w:numId="15">
    <w:abstractNumId w:val="6"/>
  </w:num>
  <w:num w:numId="16">
    <w:abstractNumId w:val="2"/>
  </w:num>
  <w:num w:numId="17">
    <w:abstractNumId w:val="5"/>
  </w:num>
  <w:num w:numId="18">
    <w:abstractNumId w:val="1"/>
  </w:num>
  <w:num w:numId="19">
    <w:abstractNumId w:val="22"/>
  </w:num>
  <w:num w:numId="20">
    <w:abstractNumId w:val="21"/>
  </w:num>
  <w:num w:numId="21">
    <w:abstractNumId w:val="4"/>
  </w:num>
  <w:num w:numId="22">
    <w:abstractNumId w:val="23"/>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5YWIxZTc1NGEzMmM3OWI3NGFhNjliOGZmOGE4MWIifQ=="/>
  </w:docVars>
  <w:rsids>
    <w:rsidRoot w:val="00172A27"/>
    <w:rsid w:val="00000F62"/>
    <w:rsid w:val="00002714"/>
    <w:rsid w:val="00006A90"/>
    <w:rsid w:val="00007AAF"/>
    <w:rsid w:val="00010BCF"/>
    <w:rsid w:val="00013DBE"/>
    <w:rsid w:val="000150B9"/>
    <w:rsid w:val="00015A9A"/>
    <w:rsid w:val="000168C0"/>
    <w:rsid w:val="00016A12"/>
    <w:rsid w:val="00022463"/>
    <w:rsid w:val="00024E69"/>
    <w:rsid w:val="00025B75"/>
    <w:rsid w:val="00026F5B"/>
    <w:rsid w:val="00027795"/>
    <w:rsid w:val="00030257"/>
    <w:rsid w:val="00031304"/>
    <w:rsid w:val="00035884"/>
    <w:rsid w:val="00036ADC"/>
    <w:rsid w:val="0004026A"/>
    <w:rsid w:val="00040515"/>
    <w:rsid w:val="000406FA"/>
    <w:rsid w:val="000412EA"/>
    <w:rsid w:val="00044CCF"/>
    <w:rsid w:val="00044DB7"/>
    <w:rsid w:val="00045973"/>
    <w:rsid w:val="00051FF8"/>
    <w:rsid w:val="0005249B"/>
    <w:rsid w:val="00053B6E"/>
    <w:rsid w:val="00056531"/>
    <w:rsid w:val="00056C36"/>
    <w:rsid w:val="000571F7"/>
    <w:rsid w:val="0005725C"/>
    <w:rsid w:val="00061231"/>
    <w:rsid w:val="000628AB"/>
    <w:rsid w:val="00062E1F"/>
    <w:rsid w:val="00063F09"/>
    <w:rsid w:val="00064AEE"/>
    <w:rsid w:val="000657DA"/>
    <w:rsid w:val="00065DF1"/>
    <w:rsid w:val="000676C5"/>
    <w:rsid w:val="000706C2"/>
    <w:rsid w:val="0007332E"/>
    <w:rsid w:val="000742B4"/>
    <w:rsid w:val="0007476D"/>
    <w:rsid w:val="00074A92"/>
    <w:rsid w:val="00074D01"/>
    <w:rsid w:val="00075F16"/>
    <w:rsid w:val="00077DC1"/>
    <w:rsid w:val="00081A11"/>
    <w:rsid w:val="00082EA3"/>
    <w:rsid w:val="0008317D"/>
    <w:rsid w:val="000837EB"/>
    <w:rsid w:val="00085B29"/>
    <w:rsid w:val="000874F6"/>
    <w:rsid w:val="00087EDA"/>
    <w:rsid w:val="00091AC2"/>
    <w:rsid w:val="00092B44"/>
    <w:rsid w:val="00095AC0"/>
    <w:rsid w:val="00096927"/>
    <w:rsid w:val="0009760F"/>
    <w:rsid w:val="00097686"/>
    <w:rsid w:val="000978BC"/>
    <w:rsid w:val="00097C01"/>
    <w:rsid w:val="000A0920"/>
    <w:rsid w:val="000A10EF"/>
    <w:rsid w:val="000A25AD"/>
    <w:rsid w:val="000A59F3"/>
    <w:rsid w:val="000A66E9"/>
    <w:rsid w:val="000A68DF"/>
    <w:rsid w:val="000A728B"/>
    <w:rsid w:val="000B65B5"/>
    <w:rsid w:val="000B6EA2"/>
    <w:rsid w:val="000B7D62"/>
    <w:rsid w:val="000C1FA0"/>
    <w:rsid w:val="000C22DC"/>
    <w:rsid w:val="000C39B0"/>
    <w:rsid w:val="000C3B13"/>
    <w:rsid w:val="000C56C8"/>
    <w:rsid w:val="000D4B2E"/>
    <w:rsid w:val="000D6029"/>
    <w:rsid w:val="000D6755"/>
    <w:rsid w:val="000D7039"/>
    <w:rsid w:val="000D76EF"/>
    <w:rsid w:val="000E0965"/>
    <w:rsid w:val="000E2D0E"/>
    <w:rsid w:val="000E459A"/>
    <w:rsid w:val="000E53FE"/>
    <w:rsid w:val="000E7225"/>
    <w:rsid w:val="000F16DF"/>
    <w:rsid w:val="000F179F"/>
    <w:rsid w:val="000F1A4A"/>
    <w:rsid w:val="000F1DE7"/>
    <w:rsid w:val="000F1FEC"/>
    <w:rsid w:val="000F25B3"/>
    <w:rsid w:val="000F400E"/>
    <w:rsid w:val="000F660D"/>
    <w:rsid w:val="000F7B42"/>
    <w:rsid w:val="00100391"/>
    <w:rsid w:val="001018CE"/>
    <w:rsid w:val="00102AEF"/>
    <w:rsid w:val="00103B86"/>
    <w:rsid w:val="00107547"/>
    <w:rsid w:val="00107673"/>
    <w:rsid w:val="001109A3"/>
    <w:rsid w:val="0011266D"/>
    <w:rsid w:val="001144FF"/>
    <w:rsid w:val="001146F4"/>
    <w:rsid w:val="001151D9"/>
    <w:rsid w:val="001156C7"/>
    <w:rsid w:val="00117472"/>
    <w:rsid w:val="00120F8C"/>
    <w:rsid w:val="0012170E"/>
    <w:rsid w:val="00121A8B"/>
    <w:rsid w:val="00122607"/>
    <w:rsid w:val="00133EBB"/>
    <w:rsid w:val="00134833"/>
    <w:rsid w:val="00135340"/>
    <w:rsid w:val="00136A00"/>
    <w:rsid w:val="00140847"/>
    <w:rsid w:val="001409B2"/>
    <w:rsid w:val="0014156F"/>
    <w:rsid w:val="0014391B"/>
    <w:rsid w:val="00144BBF"/>
    <w:rsid w:val="0014613E"/>
    <w:rsid w:val="001461EF"/>
    <w:rsid w:val="0015076F"/>
    <w:rsid w:val="001517EA"/>
    <w:rsid w:val="00151A02"/>
    <w:rsid w:val="00152403"/>
    <w:rsid w:val="0015358E"/>
    <w:rsid w:val="0015452C"/>
    <w:rsid w:val="001545A5"/>
    <w:rsid w:val="0015578D"/>
    <w:rsid w:val="00155A3F"/>
    <w:rsid w:val="00156F35"/>
    <w:rsid w:val="001603F6"/>
    <w:rsid w:val="00160AC4"/>
    <w:rsid w:val="0016176E"/>
    <w:rsid w:val="0016334E"/>
    <w:rsid w:val="00164930"/>
    <w:rsid w:val="00164DBB"/>
    <w:rsid w:val="0016525E"/>
    <w:rsid w:val="00167EEB"/>
    <w:rsid w:val="0017267F"/>
    <w:rsid w:val="00172A27"/>
    <w:rsid w:val="001771BB"/>
    <w:rsid w:val="00177F0D"/>
    <w:rsid w:val="00181480"/>
    <w:rsid w:val="00181B30"/>
    <w:rsid w:val="001841FB"/>
    <w:rsid w:val="00187D3D"/>
    <w:rsid w:val="00190FDD"/>
    <w:rsid w:val="00191F43"/>
    <w:rsid w:val="00193CF9"/>
    <w:rsid w:val="00196E61"/>
    <w:rsid w:val="001A2BFD"/>
    <w:rsid w:val="001A2F48"/>
    <w:rsid w:val="001A3510"/>
    <w:rsid w:val="001A5F29"/>
    <w:rsid w:val="001B16F0"/>
    <w:rsid w:val="001B1925"/>
    <w:rsid w:val="001B2652"/>
    <w:rsid w:val="001B4923"/>
    <w:rsid w:val="001B6EAB"/>
    <w:rsid w:val="001B76C2"/>
    <w:rsid w:val="001C027A"/>
    <w:rsid w:val="001C3560"/>
    <w:rsid w:val="001C5F9B"/>
    <w:rsid w:val="001C6B6F"/>
    <w:rsid w:val="001C7420"/>
    <w:rsid w:val="001D105F"/>
    <w:rsid w:val="001D6948"/>
    <w:rsid w:val="001E0107"/>
    <w:rsid w:val="001E1B52"/>
    <w:rsid w:val="001E2041"/>
    <w:rsid w:val="001E4C57"/>
    <w:rsid w:val="001E61A4"/>
    <w:rsid w:val="001F00C7"/>
    <w:rsid w:val="001F1D80"/>
    <w:rsid w:val="001F33E5"/>
    <w:rsid w:val="001F3CDD"/>
    <w:rsid w:val="001F5618"/>
    <w:rsid w:val="001F6C78"/>
    <w:rsid w:val="001F7094"/>
    <w:rsid w:val="001F741D"/>
    <w:rsid w:val="001F79A8"/>
    <w:rsid w:val="002036E9"/>
    <w:rsid w:val="002041EF"/>
    <w:rsid w:val="00205B2C"/>
    <w:rsid w:val="00206406"/>
    <w:rsid w:val="00206CC2"/>
    <w:rsid w:val="00210215"/>
    <w:rsid w:val="00212740"/>
    <w:rsid w:val="00215315"/>
    <w:rsid w:val="00220DE6"/>
    <w:rsid w:val="002234A4"/>
    <w:rsid w:val="00231868"/>
    <w:rsid w:val="00235228"/>
    <w:rsid w:val="00237ACE"/>
    <w:rsid w:val="00241F34"/>
    <w:rsid w:val="00242EBF"/>
    <w:rsid w:val="00243E60"/>
    <w:rsid w:val="002442DC"/>
    <w:rsid w:val="00245C2B"/>
    <w:rsid w:val="00247811"/>
    <w:rsid w:val="00247C20"/>
    <w:rsid w:val="0025132A"/>
    <w:rsid w:val="00252C95"/>
    <w:rsid w:val="00254792"/>
    <w:rsid w:val="00256D20"/>
    <w:rsid w:val="0025757A"/>
    <w:rsid w:val="002600FA"/>
    <w:rsid w:val="00260C57"/>
    <w:rsid w:val="00260E20"/>
    <w:rsid w:val="00261434"/>
    <w:rsid w:val="002633D2"/>
    <w:rsid w:val="0026475D"/>
    <w:rsid w:val="00264B3A"/>
    <w:rsid w:val="00270096"/>
    <w:rsid w:val="002711F8"/>
    <w:rsid w:val="00272CF2"/>
    <w:rsid w:val="00273576"/>
    <w:rsid w:val="002753AA"/>
    <w:rsid w:val="00275EA9"/>
    <w:rsid w:val="00276C83"/>
    <w:rsid w:val="00281CD5"/>
    <w:rsid w:val="00281DD5"/>
    <w:rsid w:val="00282FE0"/>
    <w:rsid w:val="002832AF"/>
    <w:rsid w:val="002836E9"/>
    <w:rsid w:val="00284F69"/>
    <w:rsid w:val="00297B18"/>
    <w:rsid w:val="002A0A8B"/>
    <w:rsid w:val="002B15D6"/>
    <w:rsid w:val="002B3056"/>
    <w:rsid w:val="002B3FA8"/>
    <w:rsid w:val="002B5D6F"/>
    <w:rsid w:val="002B6D0E"/>
    <w:rsid w:val="002B71A7"/>
    <w:rsid w:val="002B7475"/>
    <w:rsid w:val="002C043D"/>
    <w:rsid w:val="002C09E2"/>
    <w:rsid w:val="002C172B"/>
    <w:rsid w:val="002C2DD2"/>
    <w:rsid w:val="002C399F"/>
    <w:rsid w:val="002C3C10"/>
    <w:rsid w:val="002C51AE"/>
    <w:rsid w:val="002C7A6B"/>
    <w:rsid w:val="002D1FB4"/>
    <w:rsid w:val="002D2E1C"/>
    <w:rsid w:val="002D499D"/>
    <w:rsid w:val="002D5707"/>
    <w:rsid w:val="002D6F88"/>
    <w:rsid w:val="002E01A5"/>
    <w:rsid w:val="002E08F0"/>
    <w:rsid w:val="002E186B"/>
    <w:rsid w:val="002E279D"/>
    <w:rsid w:val="002E302D"/>
    <w:rsid w:val="002E55D8"/>
    <w:rsid w:val="002E7159"/>
    <w:rsid w:val="002E7199"/>
    <w:rsid w:val="002F0894"/>
    <w:rsid w:val="002F4334"/>
    <w:rsid w:val="002F4909"/>
    <w:rsid w:val="002F5644"/>
    <w:rsid w:val="002F739C"/>
    <w:rsid w:val="00300296"/>
    <w:rsid w:val="00300ABF"/>
    <w:rsid w:val="00301C3A"/>
    <w:rsid w:val="00301D24"/>
    <w:rsid w:val="003039C3"/>
    <w:rsid w:val="00315D16"/>
    <w:rsid w:val="0031660F"/>
    <w:rsid w:val="00316674"/>
    <w:rsid w:val="003201ED"/>
    <w:rsid w:val="00320224"/>
    <w:rsid w:val="00322EB1"/>
    <w:rsid w:val="003242CC"/>
    <w:rsid w:val="003266B6"/>
    <w:rsid w:val="003266B9"/>
    <w:rsid w:val="00326E1A"/>
    <w:rsid w:val="0032745B"/>
    <w:rsid w:val="003276F1"/>
    <w:rsid w:val="0032789A"/>
    <w:rsid w:val="003327BD"/>
    <w:rsid w:val="003400F9"/>
    <w:rsid w:val="00340A61"/>
    <w:rsid w:val="00340BEB"/>
    <w:rsid w:val="003412F8"/>
    <w:rsid w:val="003449F1"/>
    <w:rsid w:val="00351F95"/>
    <w:rsid w:val="0035258C"/>
    <w:rsid w:val="00352CF7"/>
    <w:rsid w:val="003531B3"/>
    <w:rsid w:val="00353B8E"/>
    <w:rsid w:val="0035737A"/>
    <w:rsid w:val="00357D05"/>
    <w:rsid w:val="00360694"/>
    <w:rsid w:val="003645A7"/>
    <w:rsid w:val="00365B0B"/>
    <w:rsid w:val="00366D6B"/>
    <w:rsid w:val="00370DF6"/>
    <w:rsid w:val="0037311F"/>
    <w:rsid w:val="00374BD1"/>
    <w:rsid w:val="003818E7"/>
    <w:rsid w:val="00381BAF"/>
    <w:rsid w:val="00384213"/>
    <w:rsid w:val="00387125"/>
    <w:rsid w:val="00387981"/>
    <w:rsid w:val="00390790"/>
    <w:rsid w:val="00391A2A"/>
    <w:rsid w:val="003941B4"/>
    <w:rsid w:val="00395EE2"/>
    <w:rsid w:val="003976C6"/>
    <w:rsid w:val="003A0673"/>
    <w:rsid w:val="003A1FE9"/>
    <w:rsid w:val="003A279D"/>
    <w:rsid w:val="003A32FD"/>
    <w:rsid w:val="003A6A3A"/>
    <w:rsid w:val="003A7FB6"/>
    <w:rsid w:val="003B0047"/>
    <w:rsid w:val="003B1DB3"/>
    <w:rsid w:val="003B211E"/>
    <w:rsid w:val="003B2901"/>
    <w:rsid w:val="003B3695"/>
    <w:rsid w:val="003B3B1B"/>
    <w:rsid w:val="003B6D7F"/>
    <w:rsid w:val="003C24F5"/>
    <w:rsid w:val="003C4A3B"/>
    <w:rsid w:val="003C7AF4"/>
    <w:rsid w:val="003D0D23"/>
    <w:rsid w:val="003D2872"/>
    <w:rsid w:val="003D2A52"/>
    <w:rsid w:val="003E0C53"/>
    <w:rsid w:val="003E0FBB"/>
    <w:rsid w:val="003E7325"/>
    <w:rsid w:val="003F00D3"/>
    <w:rsid w:val="003F00E2"/>
    <w:rsid w:val="003F0F3D"/>
    <w:rsid w:val="003F284D"/>
    <w:rsid w:val="003F2CBF"/>
    <w:rsid w:val="003F3D1C"/>
    <w:rsid w:val="003F47FE"/>
    <w:rsid w:val="003F4911"/>
    <w:rsid w:val="003F7D5D"/>
    <w:rsid w:val="004059FD"/>
    <w:rsid w:val="0040639C"/>
    <w:rsid w:val="00413DB5"/>
    <w:rsid w:val="0041505F"/>
    <w:rsid w:val="00415FF0"/>
    <w:rsid w:val="00416653"/>
    <w:rsid w:val="004216B8"/>
    <w:rsid w:val="00424ACF"/>
    <w:rsid w:val="00425630"/>
    <w:rsid w:val="004273AA"/>
    <w:rsid w:val="00430D3A"/>
    <w:rsid w:val="00431F23"/>
    <w:rsid w:val="00436BFC"/>
    <w:rsid w:val="004379FE"/>
    <w:rsid w:val="00446287"/>
    <w:rsid w:val="004505F0"/>
    <w:rsid w:val="00450777"/>
    <w:rsid w:val="00450A63"/>
    <w:rsid w:val="00451509"/>
    <w:rsid w:val="004522ED"/>
    <w:rsid w:val="00453043"/>
    <w:rsid w:val="004539C0"/>
    <w:rsid w:val="0045434A"/>
    <w:rsid w:val="0045589C"/>
    <w:rsid w:val="00457492"/>
    <w:rsid w:val="0045773B"/>
    <w:rsid w:val="00463DBC"/>
    <w:rsid w:val="004655D3"/>
    <w:rsid w:val="00465627"/>
    <w:rsid w:val="004660AB"/>
    <w:rsid w:val="00470106"/>
    <w:rsid w:val="0047074F"/>
    <w:rsid w:val="004717C6"/>
    <w:rsid w:val="00472405"/>
    <w:rsid w:val="004732EC"/>
    <w:rsid w:val="00475888"/>
    <w:rsid w:val="004774C0"/>
    <w:rsid w:val="004823B5"/>
    <w:rsid w:val="00484C5F"/>
    <w:rsid w:val="00485ACE"/>
    <w:rsid w:val="004870FB"/>
    <w:rsid w:val="00490037"/>
    <w:rsid w:val="00492363"/>
    <w:rsid w:val="004949C4"/>
    <w:rsid w:val="00494B95"/>
    <w:rsid w:val="0049595A"/>
    <w:rsid w:val="00496474"/>
    <w:rsid w:val="00497EFC"/>
    <w:rsid w:val="004A1876"/>
    <w:rsid w:val="004A1C37"/>
    <w:rsid w:val="004A246D"/>
    <w:rsid w:val="004A3DE4"/>
    <w:rsid w:val="004A58E9"/>
    <w:rsid w:val="004A6BF8"/>
    <w:rsid w:val="004A6EBE"/>
    <w:rsid w:val="004B0431"/>
    <w:rsid w:val="004B3A83"/>
    <w:rsid w:val="004B48CA"/>
    <w:rsid w:val="004B7057"/>
    <w:rsid w:val="004B72FF"/>
    <w:rsid w:val="004C0DC1"/>
    <w:rsid w:val="004C1A6C"/>
    <w:rsid w:val="004C20BA"/>
    <w:rsid w:val="004C478D"/>
    <w:rsid w:val="004C7CB2"/>
    <w:rsid w:val="004D1393"/>
    <w:rsid w:val="004D2872"/>
    <w:rsid w:val="004D2FFE"/>
    <w:rsid w:val="004D4BB3"/>
    <w:rsid w:val="004D6AFF"/>
    <w:rsid w:val="004D72A9"/>
    <w:rsid w:val="004D7686"/>
    <w:rsid w:val="004E05FA"/>
    <w:rsid w:val="004E0BAC"/>
    <w:rsid w:val="004E36EA"/>
    <w:rsid w:val="004E5558"/>
    <w:rsid w:val="004F0813"/>
    <w:rsid w:val="004F1990"/>
    <w:rsid w:val="004F23F9"/>
    <w:rsid w:val="004F3A65"/>
    <w:rsid w:val="004F45D4"/>
    <w:rsid w:val="004F4F41"/>
    <w:rsid w:val="004F7484"/>
    <w:rsid w:val="004F7627"/>
    <w:rsid w:val="004F7EA1"/>
    <w:rsid w:val="00500696"/>
    <w:rsid w:val="00501368"/>
    <w:rsid w:val="0050197A"/>
    <w:rsid w:val="00501D2D"/>
    <w:rsid w:val="0050244E"/>
    <w:rsid w:val="00502D1A"/>
    <w:rsid w:val="00504FCF"/>
    <w:rsid w:val="00505072"/>
    <w:rsid w:val="0050722C"/>
    <w:rsid w:val="00510845"/>
    <w:rsid w:val="00511E09"/>
    <w:rsid w:val="005143BB"/>
    <w:rsid w:val="005167AE"/>
    <w:rsid w:val="00520699"/>
    <w:rsid w:val="00520A11"/>
    <w:rsid w:val="00520AF9"/>
    <w:rsid w:val="005210B7"/>
    <w:rsid w:val="00521743"/>
    <w:rsid w:val="005219D4"/>
    <w:rsid w:val="00521F78"/>
    <w:rsid w:val="005223C2"/>
    <w:rsid w:val="00523DBA"/>
    <w:rsid w:val="00524967"/>
    <w:rsid w:val="00525BE0"/>
    <w:rsid w:val="00525F4F"/>
    <w:rsid w:val="00526D88"/>
    <w:rsid w:val="00527DE8"/>
    <w:rsid w:val="00533A57"/>
    <w:rsid w:val="00540176"/>
    <w:rsid w:val="005426E3"/>
    <w:rsid w:val="00543FEF"/>
    <w:rsid w:val="005467BC"/>
    <w:rsid w:val="00546968"/>
    <w:rsid w:val="00546971"/>
    <w:rsid w:val="00550C99"/>
    <w:rsid w:val="005515F9"/>
    <w:rsid w:val="00551DD9"/>
    <w:rsid w:val="00553766"/>
    <w:rsid w:val="005544D1"/>
    <w:rsid w:val="00554F5B"/>
    <w:rsid w:val="00554F9B"/>
    <w:rsid w:val="00555BA8"/>
    <w:rsid w:val="00557656"/>
    <w:rsid w:val="00561892"/>
    <w:rsid w:val="00562891"/>
    <w:rsid w:val="00562AFE"/>
    <w:rsid w:val="00563E85"/>
    <w:rsid w:val="00563F79"/>
    <w:rsid w:val="005641E5"/>
    <w:rsid w:val="00564D3F"/>
    <w:rsid w:val="0056599C"/>
    <w:rsid w:val="005666B5"/>
    <w:rsid w:val="0057123E"/>
    <w:rsid w:val="005725D8"/>
    <w:rsid w:val="005726FD"/>
    <w:rsid w:val="00572AE1"/>
    <w:rsid w:val="00574A03"/>
    <w:rsid w:val="00574D3D"/>
    <w:rsid w:val="00582CC3"/>
    <w:rsid w:val="005837C9"/>
    <w:rsid w:val="00587BF4"/>
    <w:rsid w:val="00590560"/>
    <w:rsid w:val="00590C6E"/>
    <w:rsid w:val="005921FB"/>
    <w:rsid w:val="00593612"/>
    <w:rsid w:val="00593737"/>
    <w:rsid w:val="005958D9"/>
    <w:rsid w:val="00595C32"/>
    <w:rsid w:val="00596AC5"/>
    <w:rsid w:val="005A0727"/>
    <w:rsid w:val="005A1192"/>
    <w:rsid w:val="005A1A4D"/>
    <w:rsid w:val="005A2BE7"/>
    <w:rsid w:val="005A31FE"/>
    <w:rsid w:val="005A3D4C"/>
    <w:rsid w:val="005A7695"/>
    <w:rsid w:val="005B4250"/>
    <w:rsid w:val="005B4971"/>
    <w:rsid w:val="005B55F7"/>
    <w:rsid w:val="005C0FC1"/>
    <w:rsid w:val="005C39C7"/>
    <w:rsid w:val="005C3CC1"/>
    <w:rsid w:val="005C4A1A"/>
    <w:rsid w:val="005C60B1"/>
    <w:rsid w:val="005D000D"/>
    <w:rsid w:val="005D0845"/>
    <w:rsid w:val="005D0C9A"/>
    <w:rsid w:val="005D2697"/>
    <w:rsid w:val="005D4D9E"/>
    <w:rsid w:val="005F3441"/>
    <w:rsid w:val="005F3BFD"/>
    <w:rsid w:val="005F6F17"/>
    <w:rsid w:val="005F7235"/>
    <w:rsid w:val="005F75B5"/>
    <w:rsid w:val="00600915"/>
    <w:rsid w:val="006052EF"/>
    <w:rsid w:val="006059EC"/>
    <w:rsid w:val="0060609D"/>
    <w:rsid w:val="006069D0"/>
    <w:rsid w:val="00615739"/>
    <w:rsid w:val="00615C75"/>
    <w:rsid w:val="0061636D"/>
    <w:rsid w:val="00620A9F"/>
    <w:rsid w:val="00620BC9"/>
    <w:rsid w:val="00622A82"/>
    <w:rsid w:val="00622FCB"/>
    <w:rsid w:val="00626955"/>
    <w:rsid w:val="00627DBF"/>
    <w:rsid w:val="00627F74"/>
    <w:rsid w:val="00631319"/>
    <w:rsid w:val="006322C4"/>
    <w:rsid w:val="00633A4B"/>
    <w:rsid w:val="006377EC"/>
    <w:rsid w:val="00637FB4"/>
    <w:rsid w:val="00643AC4"/>
    <w:rsid w:val="00645FCF"/>
    <w:rsid w:val="006509D1"/>
    <w:rsid w:val="00651846"/>
    <w:rsid w:val="00651B94"/>
    <w:rsid w:val="00653078"/>
    <w:rsid w:val="00656F60"/>
    <w:rsid w:val="006573FD"/>
    <w:rsid w:val="00657CCE"/>
    <w:rsid w:val="00661702"/>
    <w:rsid w:val="00661A2E"/>
    <w:rsid w:val="00663A2F"/>
    <w:rsid w:val="00665BB4"/>
    <w:rsid w:val="006702B1"/>
    <w:rsid w:val="00674400"/>
    <w:rsid w:val="0067465A"/>
    <w:rsid w:val="00675AFE"/>
    <w:rsid w:val="00680680"/>
    <w:rsid w:val="00683D8D"/>
    <w:rsid w:val="00683EF4"/>
    <w:rsid w:val="00684920"/>
    <w:rsid w:val="00685256"/>
    <w:rsid w:val="00685527"/>
    <w:rsid w:val="006862EF"/>
    <w:rsid w:val="00687E25"/>
    <w:rsid w:val="00690686"/>
    <w:rsid w:val="006921F7"/>
    <w:rsid w:val="00693241"/>
    <w:rsid w:val="00693582"/>
    <w:rsid w:val="006935DA"/>
    <w:rsid w:val="00697131"/>
    <w:rsid w:val="006A2483"/>
    <w:rsid w:val="006A5CE7"/>
    <w:rsid w:val="006B3985"/>
    <w:rsid w:val="006B3DC4"/>
    <w:rsid w:val="006B52A9"/>
    <w:rsid w:val="006B5E44"/>
    <w:rsid w:val="006B6637"/>
    <w:rsid w:val="006B7611"/>
    <w:rsid w:val="006D052E"/>
    <w:rsid w:val="006D08A8"/>
    <w:rsid w:val="006D14DC"/>
    <w:rsid w:val="006D26B4"/>
    <w:rsid w:val="006D4835"/>
    <w:rsid w:val="006D4D03"/>
    <w:rsid w:val="006D5104"/>
    <w:rsid w:val="006D5F70"/>
    <w:rsid w:val="006D6E14"/>
    <w:rsid w:val="006E08EF"/>
    <w:rsid w:val="006E0A8D"/>
    <w:rsid w:val="006E113E"/>
    <w:rsid w:val="006E2764"/>
    <w:rsid w:val="006E4BE5"/>
    <w:rsid w:val="006E5A7F"/>
    <w:rsid w:val="006E624C"/>
    <w:rsid w:val="006E712C"/>
    <w:rsid w:val="006F3139"/>
    <w:rsid w:val="006F333D"/>
    <w:rsid w:val="006F6343"/>
    <w:rsid w:val="006F78C1"/>
    <w:rsid w:val="006F7B73"/>
    <w:rsid w:val="0070021D"/>
    <w:rsid w:val="00701CCA"/>
    <w:rsid w:val="007033CC"/>
    <w:rsid w:val="007048AC"/>
    <w:rsid w:val="00704D39"/>
    <w:rsid w:val="00707F95"/>
    <w:rsid w:val="00713918"/>
    <w:rsid w:val="007152EB"/>
    <w:rsid w:val="007206D3"/>
    <w:rsid w:val="00721223"/>
    <w:rsid w:val="00721491"/>
    <w:rsid w:val="00721826"/>
    <w:rsid w:val="007223A4"/>
    <w:rsid w:val="00722DE6"/>
    <w:rsid w:val="00723352"/>
    <w:rsid w:val="00723C14"/>
    <w:rsid w:val="00724212"/>
    <w:rsid w:val="00725BFA"/>
    <w:rsid w:val="00725C87"/>
    <w:rsid w:val="007304D8"/>
    <w:rsid w:val="00731520"/>
    <w:rsid w:val="0073204E"/>
    <w:rsid w:val="007369FE"/>
    <w:rsid w:val="0073739E"/>
    <w:rsid w:val="00740CB4"/>
    <w:rsid w:val="007415F6"/>
    <w:rsid w:val="00741750"/>
    <w:rsid w:val="00743366"/>
    <w:rsid w:val="00745977"/>
    <w:rsid w:val="0074727E"/>
    <w:rsid w:val="00754BFD"/>
    <w:rsid w:val="00760162"/>
    <w:rsid w:val="00760B83"/>
    <w:rsid w:val="007617C8"/>
    <w:rsid w:val="00761CD8"/>
    <w:rsid w:val="00762D89"/>
    <w:rsid w:val="00763110"/>
    <w:rsid w:val="00763A21"/>
    <w:rsid w:val="00763ED2"/>
    <w:rsid w:val="007658D6"/>
    <w:rsid w:val="007664D1"/>
    <w:rsid w:val="00767739"/>
    <w:rsid w:val="00770C0C"/>
    <w:rsid w:val="00771485"/>
    <w:rsid w:val="0077211B"/>
    <w:rsid w:val="007725F9"/>
    <w:rsid w:val="007745A3"/>
    <w:rsid w:val="00774D36"/>
    <w:rsid w:val="007808D2"/>
    <w:rsid w:val="00782AAC"/>
    <w:rsid w:val="00783C20"/>
    <w:rsid w:val="00784B35"/>
    <w:rsid w:val="00784EDB"/>
    <w:rsid w:val="00785EE2"/>
    <w:rsid w:val="00787474"/>
    <w:rsid w:val="00787598"/>
    <w:rsid w:val="00787842"/>
    <w:rsid w:val="007938BB"/>
    <w:rsid w:val="0079397D"/>
    <w:rsid w:val="007943E4"/>
    <w:rsid w:val="007972F2"/>
    <w:rsid w:val="007A05EF"/>
    <w:rsid w:val="007A1A3E"/>
    <w:rsid w:val="007A2440"/>
    <w:rsid w:val="007A3D52"/>
    <w:rsid w:val="007A47E5"/>
    <w:rsid w:val="007A5F76"/>
    <w:rsid w:val="007A7C8A"/>
    <w:rsid w:val="007B0A7D"/>
    <w:rsid w:val="007B1AC9"/>
    <w:rsid w:val="007B1F41"/>
    <w:rsid w:val="007B263F"/>
    <w:rsid w:val="007B453C"/>
    <w:rsid w:val="007B4B3E"/>
    <w:rsid w:val="007B713C"/>
    <w:rsid w:val="007C072A"/>
    <w:rsid w:val="007C0977"/>
    <w:rsid w:val="007C21D8"/>
    <w:rsid w:val="007C2779"/>
    <w:rsid w:val="007C3A7D"/>
    <w:rsid w:val="007C4F6A"/>
    <w:rsid w:val="007D0B18"/>
    <w:rsid w:val="007D16E5"/>
    <w:rsid w:val="007D2580"/>
    <w:rsid w:val="007D281E"/>
    <w:rsid w:val="007D3135"/>
    <w:rsid w:val="007D46F8"/>
    <w:rsid w:val="007E1D17"/>
    <w:rsid w:val="007E6F01"/>
    <w:rsid w:val="007E6F05"/>
    <w:rsid w:val="007F0D1B"/>
    <w:rsid w:val="007F13E2"/>
    <w:rsid w:val="007F1657"/>
    <w:rsid w:val="007F1FFB"/>
    <w:rsid w:val="007F321C"/>
    <w:rsid w:val="007F51B1"/>
    <w:rsid w:val="007F5912"/>
    <w:rsid w:val="007F5DC1"/>
    <w:rsid w:val="007F6A0C"/>
    <w:rsid w:val="007F7008"/>
    <w:rsid w:val="00800921"/>
    <w:rsid w:val="00802B94"/>
    <w:rsid w:val="0080465D"/>
    <w:rsid w:val="0080517E"/>
    <w:rsid w:val="008059CF"/>
    <w:rsid w:val="00810287"/>
    <w:rsid w:val="00810729"/>
    <w:rsid w:val="00812EFE"/>
    <w:rsid w:val="00813861"/>
    <w:rsid w:val="0081457B"/>
    <w:rsid w:val="00815204"/>
    <w:rsid w:val="00815611"/>
    <w:rsid w:val="00815D81"/>
    <w:rsid w:val="00815EF0"/>
    <w:rsid w:val="008174FC"/>
    <w:rsid w:val="00823A8B"/>
    <w:rsid w:val="00824629"/>
    <w:rsid w:val="00826605"/>
    <w:rsid w:val="008314B1"/>
    <w:rsid w:val="00833CD7"/>
    <w:rsid w:val="00836F66"/>
    <w:rsid w:val="008376A8"/>
    <w:rsid w:val="00840F62"/>
    <w:rsid w:val="00843AD0"/>
    <w:rsid w:val="00844A7B"/>
    <w:rsid w:val="008454AA"/>
    <w:rsid w:val="0084608F"/>
    <w:rsid w:val="00846599"/>
    <w:rsid w:val="00846B07"/>
    <w:rsid w:val="008477B9"/>
    <w:rsid w:val="00847BB0"/>
    <w:rsid w:val="00853232"/>
    <w:rsid w:val="00854BA7"/>
    <w:rsid w:val="008557D4"/>
    <w:rsid w:val="00857DB0"/>
    <w:rsid w:val="00863403"/>
    <w:rsid w:val="00864278"/>
    <w:rsid w:val="0086433F"/>
    <w:rsid w:val="00870CC2"/>
    <w:rsid w:val="00872D90"/>
    <w:rsid w:val="008734D0"/>
    <w:rsid w:val="00873CB0"/>
    <w:rsid w:val="0087458A"/>
    <w:rsid w:val="008757A4"/>
    <w:rsid w:val="00875E24"/>
    <w:rsid w:val="00876F23"/>
    <w:rsid w:val="008859DA"/>
    <w:rsid w:val="0088674E"/>
    <w:rsid w:val="008869D0"/>
    <w:rsid w:val="00890300"/>
    <w:rsid w:val="00890584"/>
    <w:rsid w:val="00892736"/>
    <w:rsid w:val="00892B17"/>
    <w:rsid w:val="008A0C41"/>
    <w:rsid w:val="008A0CBE"/>
    <w:rsid w:val="008A22A9"/>
    <w:rsid w:val="008A2736"/>
    <w:rsid w:val="008A36DC"/>
    <w:rsid w:val="008A6282"/>
    <w:rsid w:val="008B041B"/>
    <w:rsid w:val="008B5103"/>
    <w:rsid w:val="008B7F28"/>
    <w:rsid w:val="008C586E"/>
    <w:rsid w:val="008C6778"/>
    <w:rsid w:val="008C6E9F"/>
    <w:rsid w:val="008C77EA"/>
    <w:rsid w:val="008D0070"/>
    <w:rsid w:val="008D072A"/>
    <w:rsid w:val="008D0E21"/>
    <w:rsid w:val="008D110D"/>
    <w:rsid w:val="008D397D"/>
    <w:rsid w:val="008D51D0"/>
    <w:rsid w:val="008D6DB7"/>
    <w:rsid w:val="008E05EF"/>
    <w:rsid w:val="008E06DD"/>
    <w:rsid w:val="008E1F78"/>
    <w:rsid w:val="008E339D"/>
    <w:rsid w:val="008F2813"/>
    <w:rsid w:val="008F4DB2"/>
    <w:rsid w:val="008F5D3C"/>
    <w:rsid w:val="009001AB"/>
    <w:rsid w:val="00900F97"/>
    <w:rsid w:val="009016AA"/>
    <w:rsid w:val="0090226F"/>
    <w:rsid w:val="00906677"/>
    <w:rsid w:val="00913008"/>
    <w:rsid w:val="00913781"/>
    <w:rsid w:val="009150A4"/>
    <w:rsid w:val="0091537D"/>
    <w:rsid w:val="00916537"/>
    <w:rsid w:val="0092533C"/>
    <w:rsid w:val="00925377"/>
    <w:rsid w:val="0092580A"/>
    <w:rsid w:val="00925974"/>
    <w:rsid w:val="00925B4C"/>
    <w:rsid w:val="0092720C"/>
    <w:rsid w:val="00927307"/>
    <w:rsid w:val="0092735D"/>
    <w:rsid w:val="009313FF"/>
    <w:rsid w:val="00933410"/>
    <w:rsid w:val="00933CF5"/>
    <w:rsid w:val="009343C1"/>
    <w:rsid w:val="0093450D"/>
    <w:rsid w:val="0093539C"/>
    <w:rsid w:val="00937AE1"/>
    <w:rsid w:val="00943837"/>
    <w:rsid w:val="00943A77"/>
    <w:rsid w:val="00945858"/>
    <w:rsid w:val="009524B0"/>
    <w:rsid w:val="00954173"/>
    <w:rsid w:val="00957D70"/>
    <w:rsid w:val="00960F7C"/>
    <w:rsid w:val="009622A4"/>
    <w:rsid w:val="00962800"/>
    <w:rsid w:val="009632DB"/>
    <w:rsid w:val="00964320"/>
    <w:rsid w:val="00974B77"/>
    <w:rsid w:val="00976C4A"/>
    <w:rsid w:val="00980802"/>
    <w:rsid w:val="00981433"/>
    <w:rsid w:val="009822BE"/>
    <w:rsid w:val="009825D4"/>
    <w:rsid w:val="009829B7"/>
    <w:rsid w:val="009832E5"/>
    <w:rsid w:val="009833BF"/>
    <w:rsid w:val="009838F8"/>
    <w:rsid w:val="00985B96"/>
    <w:rsid w:val="00992B41"/>
    <w:rsid w:val="00993AEB"/>
    <w:rsid w:val="00993D89"/>
    <w:rsid w:val="00994E19"/>
    <w:rsid w:val="009A1792"/>
    <w:rsid w:val="009A1950"/>
    <w:rsid w:val="009A311F"/>
    <w:rsid w:val="009A4A29"/>
    <w:rsid w:val="009A4CE5"/>
    <w:rsid w:val="009A4E3B"/>
    <w:rsid w:val="009A5327"/>
    <w:rsid w:val="009A7B5D"/>
    <w:rsid w:val="009B0992"/>
    <w:rsid w:val="009B173D"/>
    <w:rsid w:val="009B2EEA"/>
    <w:rsid w:val="009B32CB"/>
    <w:rsid w:val="009B76E3"/>
    <w:rsid w:val="009C1714"/>
    <w:rsid w:val="009C356F"/>
    <w:rsid w:val="009C7021"/>
    <w:rsid w:val="009D41E6"/>
    <w:rsid w:val="009D5197"/>
    <w:rsid w:val="009D52ED"/>
    <w:rsid w:val="009D766E"/>
    <w:rsid w:val="009D7FEB"/>
    <w:rsid w:val="009E1A88"/>
    <w:rsid w:val="009E3B67"/>
    <w:rsid w:val="009E65D2"/>
    <w:rsid w:val="009E712C"/>
    <w:rsid w:val="009F002B"/>
    <w:rsid w:val="009F3090"/>
    <w:rsid w:val="009F696C"/>
    <w:rsid w:val="009F725F"/>
    <w:rsid w:val="00A03944"/>
    <w:rsid w:val="00A207B4"/>
    <w:rsid w:val="00A243E9"/>
    <w:rsid w:val="00A271BC"/>
    <w:rsid w:val="00A319A4"/>
    <w:rsid w:val="00A32797"/>
    <w:rsid w:val="00A32815"/>
    <w:rsid w:val="00A32C42"/>
    <w:rsid w:val="00A32D61"/>
    <w:rsid w:val="00A33DEF"/>
    <w:rsid w:val="00A348C7"/>
    <w:rsid w:val="00A404CF"/>
    <w:rsid w:val="00A40548"/>
    <w:rsid w:val="00A40A9E"/>
    <w:rsid w:val="00A43645"/>
    <w:rsid w:val="00A4586C"/>
    <w:rsid w:val="00A45B1D"/>
    <w:rsid w:val="00A47828"/>
    <w:rsid w:val="00A50BD8"/>
    <w:rsid w:val="00A50D79"/>
    <w:rsid w:val="00A51418"/>
    <w:rsid w:val="00A51A2A"/>
    <w:rsid w:val="00A52878"/>
    <w:rsid w:val="00A54433"/>
    <w:rsid w:val="00A6077A"/>
    <w:rsid w:val="00A61491"/>
    <w:rsid w:val="00A6467B"/>
    <w:rsid w:val="00A6611B"/>
    <w:rsid w:val="00A67939"/>
    <w:rsid w:val="00A714C2"/>
    <w:rsid w:val="00A81BEF"/>
    <w:rsid w:val="00A84B7A"/>
    <w:rsid w:val="00A87497"/>
    <w:rsid w:val="00A90B88"/>
    <w:rsid w:val="00A90DAE"/>
    <w:rsid w:val="00A937B1"/>
    <w:rsid w:val="00A9407C"/>
    <w:rsid w:val="00A95200"/>
    <w:rsid w:val="00A96177"/>
    <w:rsid w:val="00A97351"/>
    <w:rsid w:val="00AA0B6B"/>
    <w:rsid w:val="00AA0FA8"/>
    <w:rsid w:val="00AA1066"/>
    <w:rsid w:val="00AA12D8"/>
    <w:rsid w:val="00AA2977"/>
    <w:rsid w:val="00AA3924"/>
    <w:rsid w:val="00AB0896"/>
    <w:rsid w:val="00AB20B5"/>
    <w:rsid w:val="00AB317F"/>
    <w:rsid w:val="00AB38BF"/>
    <w:rsid w:val="00AB4A7B"/>
    <w:rsid w:val="00AB56CB"/>
    <w:rsid w:val="00AB7BC2"/>
    <w:rsid w:val="00AC0268"/>
    <w:rsid w:val="00AC191A"/>
    <w:rsid w:val="00AC4F24"/>
    <w:rsid w:val="00AC7238"/>
    <w:rsid w:val="00AC7C47"/>
    <w:rsid w:val="00AD3D0A"/>
    <w:rsid w:val="00AD492D"/>
    <w:rsid w:val="00AD5162"/>
    <w:rsid w:val="00AD6141"/>
    <w:rsid w:val="00AD6F3A"/>
    <w:rsid w:val="00AE3693"/>
    <w:rsid w:val="00AE55F8"/>
    <w:rsid w:val="00AE7956"/>
    <w:rsid w:val="00AF17AA"/>
    <w:rsid w:val="00AF43B6"/>
    <w:rsid w:val="00AF43FE"/>
    <w:rsid w:val="00AF54F7"/>
    <w:rsid w:val="00AF7485"/>
    <w:rsid w:val="00AF7E25"/>
    <w:rsid w:val="00B009D1"/>
    <w:rsid w:val="00B01E92"/>
    <w:rsid w:val="00B047C9"/>
    <w:rsid w:val="00B060CC"/>
    <w:rsid w:val="00B07658"/>
    <w:rsid w:val="00B079BF"/>
    <w:rsid w:val="00B10994"/>
    <w:rsid w:val="00B1133B"/>
    <w:rsid w:val="00B1171D"/>
    <w:rsid w:val="00B11E38"/>
    <w:rsid w:val="00B1352C"/>
    <w:rsid w:val="00B144CA"/>
    <w:rsid w:val="00B154C8"/>
    <w:rsid w:val="00B16C76"/>
    <w:rsid w:val="00B248DD"/>
    <w:rsid w:val="00B2583B"/>
    <w:rsid w:val="00B26099"/>
    <w:rsid w:val="00B30254"/>
    <w:rsid w:val="00B306D8"/>
    <w:rsid w:val="00B30C32"/>
    <w:rsid w:val="00B3175C"/>
    <w:rsid w:val="00B332FB"/>
    <w:rsid w:val="00B333DB"/>
    <w:rsid w:val="00B33AE5"/>
    <w:rsid w:val="00B3543D"/>
    <w:rsid w:val="00B35630"/>
    <w:rsid w:val="00B364BC"/>
    <w:rsid w:val="00B36715"/>
    <w:rsid w:val="00B36F86"/>
    <w:rsid w:val="00B3765C"/>
    <w:rsid w:val="00B40C47"/>
    <w:rsid w:val="00B41D67"/>
    <w:rsid w:val="00B47E33"/>
    <w:rsid w:val="00B51963"/>
    <w:rsid w:val="00B538FC"/>
    <w:rsid w:val="00B53F83"/>
    <w:rsid w:val="00B56111"/>
    <w:rsid w:val="00B56A86"/>
    <w:rsid w:val="00B56D00"/>
    <w:rsid w:val="00B56F83"/>
    <w:rsid w:val="00B57003"/>
    <w:rsid w:val="00B60B21"/>
    <w:rsid w:val="00B642CD"/>
    <w:rsid w:val="00B65274"/>
    <w:rsid w:val="00B65B0C"/>
    <w:rsid w:val="00B67E46"/>
    <w:rsid w:val="00B703C1"/>
    <w:rsid w:val="00B70BE9"/>
    <w:rsid w:val="00B71296"/>
    <w:rsid w:val="00B72AF9"/>
    <w:rsid w:val="00B7557A"/>
    <w:rsid w:val="00B84920"/>
    <w:rsid w:val="00B84B3B"/>
    <w:rsid w:val="00B87801"/>
    <w:rsid w:val="00B87C29"/>
    <w:rsid w:val="00B93DEA"/>
    <w:rsid w:val="00B94E07"/>
    <w:rsid w:val="00B965AB"/>
    <w:rsid w:val="00BA0AF8"/>
    <w:rsid w:val="00BA23C3"/>
    <w:rsid w:val="00BA2DF9"/>
    <w:rsid w:val="00BA538C"/>
    <w:rsid w:val="00BA70A5"/>
    <w:rsid w:val="00BA7910"/>
    <w:rsid w:val="00BB1566"/>
    <w:rsid w:val="00BB306B"/>
    <w:rsid w:val="00BB61B6"/>
    <w:rsid w:val="00BC2179"/>
    <w:rsid w:val="00BC319F"/>
    <w:rsid w:val="00BC481C"/>
    <w:rsid w:val="00BC5B6B"/>
    <w:rsid w:val="00BC6ACC"/>
    <w:rsid w:val="00BD0F7B"/>
    <w:rsid w:val="00BD2BCE"/>
    <w:rsid w:val="00BD5823"/>
    <w:rsid w:val="00BD7D3B"/>
    <w:rsid w:val="00BE16A2"/>
    <w:rsid w:val="00BE29E5"/>
    <w:rsid w:val="00BE3BEB"/>
    <w:rsid w:val="00BE62A0"/>
    <w:rsid w:val="00BF34B5"/>
    <w:rsid w:val="00BF5EF1"/>
    <w:rsid w:val="00BF7F35"/>
    <w:rsid w:val="00C0030F"/>
    <w:rsid w:val="00C030B6"/>
    <w:rsid w:val="00C05EC5"/>
    <w:rsid w:val="00C06273"/>
    <w:rsid w:val="00C06D71"/>
    <w:rsid w:val="00C07997"/>
    <w:rsid w:val="00C116F3"/>
    <w:rsid w:val="00C1597C"/>
    <w:rsid w:val="00C20DE5"/>
    <w:rsid w:val="00C23FFB"/>
    <w:rsid w:val="00C252A9"/>
    <w:rsid w:val="00C31870"/>
    <w:rsid w:val="00C33514"/>
    <w:rsid w:val="00C33725"/>
    <w:rsid w:val="00C3533F"/>
    <w:rsid w:val="00C35C2E"/>
    <w:rsid w:val="00C43602"/>
    <w:rsid w:val="00C44B3B"/>
    <w:rsid w:val="00C453C6"/>
    <w:rsid w:val="00C454F9"/>
    <w:rsid w:val="00C456E7"/>
    <w:rsid w:val="00C45C84"/>
    <w:rsid w:val="00C477AF"/>
    <w:rsid w:val="00C503FF"/>
    <w:rsid w:val="00C50B2F"/>
    <w:rsid w:val="00C52FC6"/>
    <w:rsid w:val="00C5638A"/>
    <w:rsid w:val="00C57092"/>
    <w:rsid w:val="00C579D0"/>
    <w:rsid w:val="00C6004A"/>
    <w:rsid w:val="00C6147C"/>
    <w:rsid w:val="00C61ECD"/>
    <w:rsid w:val="00C63DF2"/>
    <w:rsid w:val="00C706BE"/>
    <w:rsid w:val="00C73D81"/>
    <w:rsid w:val="00C743CE"/>
    <w:rsid w:val="00C7619A"/>
    <w:rsid w:val="00C8067D"/>
    <w:rsid w:val="00C80EE6"/>
    <w:rsid w:val="00C83509"/>
    <w:rsid w:val="00C8488F"/>
    <w:rsid w:val="00C84C36"/>
    <w:rsid w:val="00C8521D"/>
    <w:rsid w:val="00C8775C"/>
    <w:rsid w:val="00C91799"/>
    <w:rsid w:val="00C91B74"/>
    <w:rsid w:val="00C91E04"/>
    <w:rsid w:val="00C92744"/>
    <w:rsid w:val="00C96B41"/>
    <w:rsid w:val="00C9789F"/>
    <w:rsid w:val="00CA06B0"/>
    <w:rsid w:val="00CA0B15"/>
    <w:rsid w:val="00CA2552"/>
    <w:rsid w:val="00CA3ACB"/>
    <w:rsid w:val="00CA5365"/>
    <w:rsid w:val="00CA7162"/>
    <w:rsid w:val="00CA7716"/>
    <w:rsid w:val="00CA78AF"/>
    <w:rsid w:val="00CA7B3B"/>
    <w:rsid w:val="00CB0720"/>
    <w:rsid w:val="00CB07B6"/>
    <w:rsid w:val="00CB5395"/>
    <w:rsid w:val="00CB6949"/>
    <w:rsid w:val="00CB7D8E"/>
    <w:rsid w:val="00CC0A9D"/>
    <w:rsid w:val="00CC4545"/>
    <w:rsid w:val="00CC5ED8"/>
    <w:rsid w:val="00CC6BE9"/>
    <w:rsid w:val="00CC74E2"/>
    <w:rsid w:val="00CD16CD"/>
    <w:rsid w:val="00CD28A4"/>
    <w:rsid w:val="00CD61CF"/>
    <w:rsid w:val="00CE0820"/>
    <w:rsid w:val="00CE0CD4"/>
    <w:rsid w:val="00CE254A"/>
    <w:rsid w:val="00CE3655"/>
    <w:rsid w:val="00CE5408"/>
    <w:rsid w:val="00CE6B93"/>
    <w:rsid w:val="00CF0200"/>
    <w:rsid w:val="00CF0F16"/>
    <w:rsid w:val="00CF2DB4"/>
    <w:rsid w:val="00CF3524"/>
    <w:rsid w:val="00CF3D72"/>
    <w:rsid w:val="00CF4AAE"/>
    <w:rsid w:val="00D0050B"/>
    <w:rsid w:val="00D0069D"/>
    <w:rsid w:val="00D01B9F"/>
    <w:rsid w:val="00D03FC0"/>
    <w:rsid w:val="00D04B84"/>
    <w:rsid w:val="00D04F81"/>
    <w:rsid w:val="00D070EF"/>
    <w:rsid w:val="00D104AC"/>
    <w:rsid w:val="00D12445"/>
    <w:rsid w:val="00D149D0"/>
    <w:rsid w:val="00D1528A"/>
    <w:rsid w:val="00D15F3F"/>
    <w:rsid w:val="00D17A49"/>
    <w:rsid w:val="00D20382"/>
    <w:rsid w:val="00D20949"/>
    <w:rsid w:val="00D21656"/>
    <w:rsid w:val="00D2341A"/>
    <w:rsid w:val="00D24455"/>
    <w:rsid w:val="00D26728"/>
    <w:rsid w:val="00D27411"/>
    <w:rsid w:val="00D27DFF"/>
    <w:rsid w:val="00D308B6"/>
    <w:rsid w:val="00D324DA"/>
    <w:rsid w:val="00D327B2"/>
    <w:rsid w:val="00D3393D"/>
    <w:rsid w:val="00D34CAE"/>
    <w:rsid w:val="00D34FE5"/>
    <w:rsid w:val="00D352F6"/>
    <w:rsid w:val="00D375F0"/>
    <w:rsid w:val="00D40FBA"/>
    <w:rsid w:val="00D445E8"/>
    <w:rsid w:val="00D44664"/>
    <w:rsid w:val="00D46F50"/>
    <w:rsid w:val="00D47D8A"/>
    <w:rsid w:val="00D50C99"/>
    <w:rsid w:val="00D54AB6"/>
    <w:rsid w:val="00D559CE"/>
    <w:rsid w:val="00D5639C"/>
    <w:rsid w:val="00D61B15"/>
    <w:rsid w:val="00D636DD"/>
    <w:rsid w:val="00D649B9"/>
    <w:rsid w:val="00D64EF0"/>
    <w:rsid w:val="00D65DD9"/>
    <w:rsid w:val="00D67CB5"/>
    <w:rsid w:val="00D706F9"/>
    <w:rsid w:val="00D70F20"/>
    <w:rsid w:val="00D741A9"/>
    <w:rsid w:val="00D77181"/>
    <w:rsid w:val="00D7753A"/>
    <w:rsid w:val="00D77E86"/>
    <w:rsid w:val="00D82D6A"/>
    <w:rsid w:val="00D84996"/>
    <w:rsid w:val="00D85834"/>
    <w:rsid w:val="00D86C84"/>
    <w:rsid w:val="00D86D1D"/>
    <w:rsid w:val="00D870C5"/>
    <w:rsid w:val="00D90138"/>
    <w:rsid w:val="00D90C11"/>
    <w:rsid w:val="00D90EDC"/>
    <w:rsid w:val="00D92C85"/>
    <w:rsid w:val="00D93BB7"/>
    <w:rsid w:val="00D96FD3"/>
    <w:rsid w:val="00DA1209"/>
    <w:rsid w:val="00DA1F01"/>
    <w:rsid w:val="00DA2D89"/>
    <w:rsid w:val="00DA3E62"/>
    <w:rsid w:val="00DA48E5"/>
    <w:rsid w:val="00DA55EA"/>
    <w:rsid w:val="00DA5DFD"/>
    <w:rsid w:val="00DA71EE"/>
    <w:rsid w:val="00DB0BD1"/>
    <w:rsid w:val="00DB666B"/>
    <w:rsid w:val="00DC0EB8"/>
    <w:rsid w:val="00DC68EB"/>
    <w:rsid w:val="00DC7CA8"/>
    <w:rsid w:val="00DD0385"/>
    <w:rsid w:val="00DD219D"/>
    <w:rsid w:val="00DD29D5"/>
    <w:rsid w:val="00DD316F"/>
    <w:rsid w:val="00DD4394"/>
    <w:rsid w:val="00DD442D"/>
    <w:rsid w:val="00DD53CD"/>
    <w:rsid w:val="00DD6C35"/>
    <w:rsid w:val="00DE393A"/>
    <w:rsid w:val="00DE4276"/>
    <w:rsid w:val="00DE4F6A"/>
    <w:rsid w:val="00DE69A8"/>
    <w:rsid w:val="00DF45ED"/>
    <w:rsid w:val="00DF479F"/>
    <w:rsid w:val="00E01203"/>
    <w:rsid w:val="00E03357"/>
    <w:rsid w:val="00E03BDD"/>
    <w:rsid w:val="00E0796E"/>
    <w:rsid w:val="00E1031B"/>
    <w:rsid w:val="00E10FED"/>
    <w:rsid w:val="00E17EAA"/>
    <w:rsid w:val="00E2063E"/>
    <w:rsid w:val="00E21BE5"/>
    <w:rsid w:val="00E21E1E"/>
    <w:rsid w:val="00E228E8"/>
    <w:rsid w:val="00E23623"/>
    <w:rsid w:val="00E238F7"/>
    <w:rsid w:val="00E2521A"/>
    <w:rsid w:val="00E2745D"/>
    <w:rsid w:val="00E30D5F"/>
    <w:rsid w:val="00E327D0"/>
    <w:rsid w:val="00E36496"/>
    <w:rsid w:val="00E36905"/>
    <w:rsid w:val="00E36A72"/>
    <w:rsid w:val="00E40BDE"/>
    <w:rsid w:val="00E41A39"/>
    <w:rsid w:val="00E41A8D"/>
    <w:rsid w:val="00E41D20"/>
    <w:rsid w:val="00E43673"/>
    <w:rsid w:val="00E44ACC"/>
    <w:rsid w:val="00E4579D"/>
    <w:rsid w:val="00E45927"/>
    <w:rsid w:val="00E465AC"/>
    <w:rsid w:val="00E46715"/>
    <w:rsid w:val="00E51C9D"/>
    <w:rsid w:val="00E52C45"/>
    <w:rsid w:val="00E579AE"/>
    <w:rsid w:val="00E604C5"/>
    <w:rsid w:val="00E6197F"/>
    <w:rsid w:val="00E64625"/>
    <w:rsid w:val="00E66CCE"/>
    <w:rsid w:val="00E66F63"/>
    <w:rsid w:val="00E71525"/>
    <w:rsid w:val="00E72B1A"/>
    <w:rsid w:val="00E73627"/>
    <w:rsid w:val="00E73652"/>
    <w:rsid w:val="00E8242F"/>
    <w:rsid w:val="00E85A1E"/>
    <w:rsid w:val="00E90CC4"/>
    <w:rsid w:val="00E91C32"/>
    <w:rsid w:val="00E923E2"/>
    <w:rsid w:val="00E92FAB"/>
    <w:rsid w:val="00E937DA"/>
    <w:rsid w:val="00E94560"/>
    <w:rsid w:val="00E950E8"/>
    <w:rsid w:val="00E96B5D"/>
    <w:rsid w:val="00E97EFB"/>
    <w:rsid w:val="00EA262B"/>
    <w:rsid w:val="00EA6F88"/>
    <w:rsid w:val="00EA7070"/>
    <w:rsid w:val="00EA7EAE"/>
    <w:rsid w:val="00EB0E14"/>
    <w:rsid w:val="00EB0E8C"/>
    <w:rsid w:val="00EB2016"/>
    <w:rsid w:val="00EB57D8"/>
    <w:rsid w:val="00EB5A94"/>
    <w:rsid w:val="00EB6757"/>
    <w:rsid w:val="00EC00E8"/>
    <w:rsid w:val="00EC0B43"/>
    <w:rsid w:val="00EC1F80"/>
    <w:rsid w:val="00EC2809"/>
    <w:rsid w:val="00EC2D6E"/>
    <w:rsid w:val="00EC4A83"/>
    <w:rsid w:val="00EC62A7"/>
    <w:rsid w:val="00ED3575"/>
    <w:rsid w:val="00ED3767"/>
    <w:rsid w:val="00ED46B3"/>
    <w:rsid w:val="00ED470E"/>
    <w:rsid w:val="00ED6D9B"/>
    <w:rsid w:val="00ED7F10"/>
    <w:rsid w:val="00EE147A"/>
    <w:rsid w:val="00EE22B6"/>
    <w:rsid w:val="00EE23C2"/>
    <w:rsid w:val="00EE3E67"/>
    <w:rsid w:val="00EE42CE"/>
    <w:rsid w:val="00EE4FE9"/>
    <w:rsid w:val="00EE5BC0"/>
    <w:rsid w:val="00EE5FAF"/>
    <w:rsid w:val="00EF0149"/>
    <w:rsid w:val="00EF021F"/>
    <w:rsid w:val="00EF0521"/>
    <w:rsid w:val="00EF0699"/>
    <w:rsid w:val="00EF0B04"/>
    <w:rsid w:val="00EF0B20"/>
    <w:rsid w:val="00EF299A"/>
    <w:rsid w:val="00EF494E"/>
    <w:rsid w:val="00EF63CD"/>
    <w:rsid w:val="00EF66FB"/>
    <w:rsid w:val="00EF692E"/>
    <w:rsid w:val="00EF783F"/>
    <w:rsid w:val="00F0067D"/>
    <w:rsid w:val="00F038F7"/>
    <w:rsid w:val="00F05773"/>
    <w:rsid w:val="00F10CE3"/>
    <w:rsid w:val="00F111FB"/>
    <w:rsid w:val="00F11308"/>
    <w:rsid w:val="00F11DF5"/>
    <w:rsid w:val="00F1510B"/>
    <w:rsid w:val="00F17BF4"/>
    <w:rsid w:val="00F17EFB"/>
    <w:rsid w:val="00F21394"/>
    <w:rsid w:val="00F21D40"/>
    <w:rsid w:val="00F25BD9"/>
    <w:rsid w:val="00F307B9"/>
    <w:rsid w:val="00F30922"/>
    <w:rsid w:val="00F313CC"/>
    <w:rsid w:val="00F31E90"/>
    <w:rsid w:val="00F32515"/>
    <w:rsid w:val="00F32D5D"/>
    <w:rsid w:val="00F33E32"/>
    <w:rsid w:val="00F355B2"/>
    <w:rsid w:val="00F377C9"/>
    <w:rsid w:val="00F40282"/>
    <w:rsid w:val="00F41CC3"/>
    <w:rsid w:val="00F42352"/>
    <w:rsid w:val="00F428E3"/>
    <w:rsid w:val="00F43A29"/>
    <w:rsid w:val="00F45E6A"/>
    <w:rsid w:val="00F47995"/>
    <w:rsid w:val="00F531DE"/>
    <w:rsid w:val="00F542A8"/>
    <w:rsid w:val="00F55B4B"/>
    <w:rsid w:val="00F55BD3"/>
    <w:rsid w:val="00F60A3E"/>
    <w:rsid w:val="00F611C9"/>
    <w:rsid w:val="00F624FE"/>
    <w:rsid w:val="00F630B3"/>
    <w:rsid w:val="00F632EF"/>
    <w:rsid w:val="00F6470B"/>
    <w:rsid w:val="00F657DC"/>
    <w:rsid w:val="00F659F4"/>
    <w:rsid w:val="00F67B8A"/>
    <w:rsid w:val="00F72105"/>
    <w:rsid w:val="00F7213B"/>
    <w:rsid w:val="00F7290B"/>
    <w:rsid w:val="00F76805"/>
    <w:rsid w:val="00F774BE"/>
    <w:rsid w:val="00F77D18"/>
    <w:rsid w:val="00F84564"/>
    <w:rsid w:val="00F855A6"/>
    <w:rsid w:val="00F86539"/>
    <w:rsid w:val="00F86E90"/>
    <w:rsid w:val="00F87EEE"/>
    <w:rsid w:val="00F900B9"/>
    <w:rsid w:val="00F9012D"/>
    <w:rsid w:val="00F92E13"/>
    <w:rsid w:val="00F93D7E"/>
    <w:rsid w:val="00F94298"/>
    <w:rsid w:val="00F95228"/>
    <w:rsid w:val="00F970CF"/>
    <w:rsid w:val="00FA09DD"/>
    <w:rsid w:val="00FA337B"/>
    <w:rsid w:val="00FA493B"/>
    <w:rsid w:val="00FB11BE"/>
    <w:rsid w:val="00FC45BB"/>
    <w:rsid w:val="00FC4B02"/>
    <w:rsid w:val="00FC509F"/>
    <w:rsid w:val="00FC50A9"/>
    <w:rsid w:val="00FC7E78"/>
    <w:rsid w:val="00FD21BC"/>
    <w:rsid w:val="00FD2A2C"/>
    <w:rsid w:val="00FD35F6"/>
    <w:rsid w:val="00FD3B51"/>
    <w:rsid w:val="00FE078F"/>
    <w:rsid w:val="00FE0846"/>
    <w:rsid w:val="00FE0E05"/>
    <w:rsid w:val="00FE3056"/>
    <w:rsid w:val="00FE35C6"/>
    <w:rsid w:val="00FE4E5C"/>
    <w:rsid w:val="00FE54D7"/>
    <w:rsid w:val="00FE5E38"/>
    <w:rsid w:val="00FE64B4"/>
    <w:rsid w:val="00FE715B"/>
    <w:rsid w:val="00FE7401"/>
    <w:rsid w:val="00FE74C0"/>
    <w:rsid w:val="00FF2B07"/>
    <w:rsid w:val="00FF344D"/>
    <w:rsid w:val="01780E46"/>
    <w:rsid w:val="01842A1A"/>
    <w:rsid w:val="01A17B26"/>
    <w:rsid w:val="023C0542"/>
    <w:rsid w:val="023F3F5B"/>
    <w:rsid w:val="029370A2"/>
    <w:rsid w:val="02A808EE"/>
    <w:rsid w:val="02E64D83"/>
    <w:rsid w:val="02ED1C6E"/>
    <w:rsid w:val="034D4E02"/>
    <w:rsid w:val="03515DC8"/>
    <w:rsid w:val="037010D7"/>
    <w:rsid w:val="03715163"/>
    <w:rsid w:val="037542C7"/>
    <w:rsid w:val="04552DBC"/>
    <w:rsid w:val="04605150"/>
    <w:rsid w:val="047C4C36"/>
    <w:rsid w:val="04872646"/>
    <w:rsid w:val="04BF79C1"/>
    <w:rsid w:val="05096EF6"/>
    <w:rsid w:val="053736E6"/>
    <w:rsid w:val="055960B5"/>
    <w:rsid w:val="060C68AF"/>
    <w:rsid w:val="06236D1F"/>
    <w:rsid w:val="066C0C0D"/>
    <w:rsid w:val="06AA0ED4"/>
    <w:rsid w:val="06AC0092"/>
    <w:rsid w:val="06D061CA"/>
    <w:rsid w:val="06D73361"/>
    <w:rsid w:val="06E05BA5"/>
    <w:rsid w:val="06E23AB3"/>
    <w:rsid w:val="07376DDB"/>
    <w:rsid w:val="073B4157"/>
    <w:rsid w:val="074E2EF7"/>
    <w:rsid w:val="07D57174"/>
    <w:rsid w:val="07DB29DD"/>
    <w:rsid w:val="07F86538"/>
    <w:rsid w:val="07F92E63"/>
    <w:rsid w:val="08E547A1"/>
    <w:rsid w:val="08F25E4A"/>
    <w:rsid w:val="091552F7"/>
    <w:rsid w:val="0951207A"/>
    <w:rsid w:val="097117F1"/>
    <w:rsid w:val="09D07536"/>
    <w:rsid w:val="0A03621B"/>
    <w:rsid w:val="0A151154"/>
    <w:rsid w:val="0A165952"/>
    <w:rsid w:val="0A5D44E4"/>
    <w:rsid w:val="0A9E7CF1"/>
    <w:rsid w:val="0AFA2B69"/>
    <w:rsid w:val="0B1B0DE9"/>
    <w:rsid w:val="0B795E8A"/>
    <w:rsid w:val="0B7D289A"/>
    <w:rsid w:val="0C006F51"/>
    <w:rsid w:val="0C1A3A69"/>
    <w:rsid w:val="0C426F60"/>
    <w:rsid w:val="0C5A1621"/>
    <w:rsid w:val="0C8A2C23"/>
    <w:rsid w:val="0CAA1833"/>
    <w:rsid w:val="0CAB407B"/>
    <w:rsid w:val="0CB16C35"/>
    <w:rsid w:val="0CC8638E"/>
    <w:rsid w:val="0CCC0CD1"/>
    <w:rsid w:val="0CDF2FE6"/>
    <w:rsid w:val="0CF06F2A"/>
    <w:rsid w:val="0D156E41"/>
    <w:rsid w:val="0D3D1A44"/>
    <w:rsid w:val="0D3F756A"/>
    <w:rsid w:val="0D6D5659"/>
    <w:rsid w:val="0D6F0DE5"/>
    <w:rsid w:val="0DCB52A1"/>
    <w:rsid w:val="0DD02025"/>
    <w:rsid w:val="0E0B5E42"/>
    <w:rsid w:val="0E145D78"/>
    <w:rsid w:val="0E45220C"/>
    <w:rsid w:val="0E485DE6"/>
    <w:rsid w:val="0E5A03D3"/>
    <w:rsid w:val="0EA87746"/>
    <w:rsid w:val="0EFF6322"/>
    <w:rsid w:val="0F225395"/>
    <w:rsid w:val="0F7727B0"/>
    <w:rsid w:val="0F933B9D"/>
    <w:rsid w:val="0FD9204B"/>
    <w:rsid w:val="0FE341AB"/>
    <w:rsid w:val="104C425C"/>
    <w:rsid w:val="105E1EE4"/>
    <w:rsid w:val="10612472"/>
    <w:rsid w:val="10AA0ABF"/>
    <w:rsid w:val="10B826C9"/>
    <w:rsid w:val="10BE4C49"/>
    <w:rsid w:val="10CE48D2"/>
    <w:rsid w:val="117805D6"/>
    <w:rsid w:val="11BB73DB"/>
    <w:rsid w:val="11CE0A39"/>
    <w:rsid w:val="12371C8A"/>
    <w:rsid w:val="128C5363"/>
    <w:rsid w:val="12C66C81"/>
    <w:rsid w:val="12E978BD"/>
    <w:rsid w:val="1316658C"/>
    <w:rsid w:val="13324897"/>
    <w:rsid w:val="136900A8"/>
    <w:rsid w:val="13A9462C"/>
    <w:rsid w:val="13C55189"/>
    <w:rsid w:val="14353679"/>
    <w:rsid w:val="1447044A"/>
    <w:rsid w:val="145E6E6F"/>
    <w:rsid w:val="14693E95"/>
    <w:rsid w:val="146A073B"/>
    <w:rsid w:val="149E726C"/>
    <w:rsid w:val="14CF1C7E"/>
    <w:rsid w:val="15593193"/>
    <w:rsid w:val="156C461A"/>
    <w:rsid w:val="15BD6FF9"/>
    <w:rsid w:val="15D078F9"/>
    <w:rsid w:val="16581664"/>
    <w:rsid w:val="16611AA2"/>
    <w:rsid w:val="16F22989"/>
    <w:rsid w:val="171871CA"/>
    <w:rsid w:val="175017C2"/>
    <w:rsid w:val="175B5DE6"/>
    <w:rsid w:val="17995577"/>
    <w:rsid w:val="17D76532"/>
    <w:rsid w:val="184B56C7"/>
    <w:rsid w:val="188A2952"/>
    <w:rsid w:val="18AE3605"/>
    <w:rsid w:val="18C354F3"/>
    <w:rsid w:val="18D17201"/>
    <w:rsid w:val="19231A56"/>
    <w:rsid w:val="19337F27"/>
    <w:rsid w:val="194B7296"/>
    <w:rsid w:val="19694623"/>
    <w:rsid w:val="197B2F04"/>
    <w:rsid w:val="1999240A"/>
    <w:rsid w:val="19C57049"/>
    <w:rsid w:val="1AD6527C"/>
    <w:rsid w:val="1B0D480C"/>
    <w:rsid w:val="1B3428D1"/>
    <w:rsid w:val="1B3B4D94"/>
    <w:rsid w:val="1B642E00"/>
    <w:rsid w:val="1B6E20CD"/>
    <w:rsid w:val="1BF63E31"/>
    <w:rsid w:val="1BFC2EDD"/>
    <w:rsid w:val="1BFF6FD1"/>
    <w:rsid w:val="1C444640"/>
    <w:rsid w:val="1CBF4223"/>
    <w:rsid w:val="1CE415A8"/>
    <w:rsid w:val="1CFC67A8"/>
    <w:rsid w:val="1D606EC5"/>
    <w:rsid w:val="1D8A6BD4"/>
    <w:rsid w:val="1DA95742"/>
    <w:rsid w:val="1DFC34BE"/>
    <w:rsid w:val="1E0C6A30"/>
    <w:rsid w:val="1F2E720B"/>
    <w:rsid w:val="1F4B4494"/>
    <w:rsid w:val="1F7E044C"/>
    <w:rsid w:val="1FC20893"/>
    <w:rsid w:val="1FF561AE"/>
    <w:rsid w:val="20355637"/>
    <w:rsid w:val="2073120C"/>
    <w:rsid w:val="20E8494B"/>
    <w:rsid w:val="211114FC"/>
    <w:rsid w:val="21221225"/>
    <w:rsid w:val="2142458D"/>
    <w:rsid w:val="216629BA"/>
    <w:rsid w:val="216E5E94"/>
    <w:rsid w:val="21932898"/>
    <w:rsid w:val="219922DF"/>
    <w:rsid w:val="21D038DE"/>
    <w:rsid w:val="21DA0EB4"/>
    <w:rsid w:val="21F87EC6"/>
    <w:rsid w:val="220A266F"/>
    <w:rsid w:val="2221619E"/>
    <w:rsid w:val="226C2221"/>
    <w:rsid w:val="22743767"/>
    <w:rsid w:val="22D52C87"/>
    <w:rsid w:val="23257274"/>
    <w:rsid w:val="2369138D"/>
    <w:rsid w:val="238E4F7C"/>
    <w:rsid w:val="23907664"/>
    <w:rsid w:val="239A4DC6"/>
    <w:rsid w:val="239E2A51"/>
    <w:rsid w:val="23E22D8A"/>
    <w:rsid w:val="23E35E8B"/>
    <w:rsid w:val="23EE6C29"/>
    <w:rsid w:val="241F3308"/>
    <w:rsid w:val="244E0474"/>
    <w:rsid w:val="246B2198"/>
    <w:rsid w:val="24C83E91"/>
    <w:rsid w:val="25761ED8"/>
    <w:rsid w:val="25B928ED"/>
    <w:rsid w:val="25C47705"/>
    <w:rsid w:val="25C805EC"/>
    <w:rsid w:val="261D27BF"/>
    <w:rsid w:val="263725E4"/>
    <w:rsid w:val="264B566E"/>
    <w:rsid w:val="2678032E"/>
    <w:rsid w:val="269668A6"/>
    <w:rsid w:val="26D16674"/>
    <w:rsid w:val="27180375"/>
    <w:rsid w:val="272E0923"/>
    <w:rsid w:val="27541A0C"/>
    <w:rsid w:val="27A75FE0"/>
    <w:rsid w:val="27DC212D"/>
    <w:rsid w:val="27F60945"/>
    <w:rsid w:val="28463A4A"/>
    <w:rsid w:val="286B4347"/>
    <w:rsid w:val="28A16434"/>
    <w:rsid w:val="28B9421C"/>
    <w:rsid w:val="28D314EE"/>
    <w:rsid w:val="29464EE7"/>
    <w:rsid w:val="2984482A"/>
    <w:rsid w:val="29CE18B9"/>
    <w:rsid w:val="29DE4DFE"/>
    <w:rsid w:val="29DF4765"/>
    <w:rsid w:val="2A077209"/>
    <w:rsid w:val="2A1831C5"/>
    <w:rsid w:val="2A2601A3"/>
    <w:rsid w:val="2A4E3723"/>
    <w:rsid w:val="2A5B3BBD"/>
    <w:rsid w:val="2A8E3487"/>
    <w:rsid w:val="2AC1112B"/>
    <w:rsid w:val="2AC26F94"/>
    <w:rsid w:val="2ACC7239"/>
    <w:rsid w:val="2AFC6642"/>
    <w:rsid w:val="2B032830"/>
    <w:rsid w:val="2B513C00"/>
    <w:rsid w:val="2B7F799F"/>
    <w:rsid w:val="2BA524BA"/>
    <w:rsid w:val="2BBA2B50"/>
    <w:rsid w:val="2BBD33CA"/>
    <w:rsid w:val="2BDF2CF9"/>
    <w:rsid w:val="2BF612E4"/>
    <w:rsid w:val="2CA148A8"/>
    <w:rsid w:val="2CB60944"/>
    <w:rsid w:val="2CFA79C3"/>
    <w:rsid w:val="2D0C78C6"/>
    <w:rsid w:val="2D281D80"/>
    <w:rsid w:val="2D3A32F4"/>
    <w:rsid w:val="2DA71ABC"/>
    <w:rsid w:val="2DD27428"/>
    <w:rsid w:val="2DEC299E"/>
    <w:rsid w:val="2E0561D6"/>
    <w:rsid w:val="2E400F3C"/>
    <w:rsid w:val="2E4F1804"/>
    <w:rsid w:val="2E5D5353"/>
    <w:rsid w:val="2ECB0835"/>
    <w:rsid w:val="2EE01D85"/>
    <w:rsid w:val="2F3213BF"/>
    <w:rsid w:val="2F440E7E"/>
    <w:rsid w:val="2F6503C3"/>
    <w:rsid w:val="2F7B45E5"/>
    <w:rsid w:val="2F7B4F4F"/>
    <w:rsid w:val="2F7C4CA6"/>
    <w:rsid w:val="2F8D6244"/>
    <w:rsid w:val="2FBE7365"/>
    <w:rsid w:val="2FC05568"/>
    <w:rsid w:val="2FD52FA8"/>
    <w:rsid w:val="2FE91781"/>
    <w:rsid w:val="30104E4D"/>
    <w:rsid w:val="30484985"/>
    <w:rsid w:val="304D1074"/>
    <w:rsid w:val="30986E0D"/>
    <w:rsid w:val="30DA5678"/>
    <w:rsid w:val="30DD166B"/>
    <w:rsid w:val="310D77FB"/>
    <w:rsid w:val="312147E6"/>
    <w:rsid w:val="3154183D"/>
    <w:rsid w:val="31831655"/>
    <w:rsid w:val="31A14B28"/>
    <w:rsid w:val="31B93B12"/>
    <w:rsid w:val="31BA7564"/>
    <w:rsid w:val="31D147EF"/>
    <w:rsid w:val="32073A86"/>
    <w:rsid w:val="320A5A7F"/>
    <w:rsid w:val="321B5F48"/>
    <w:rsid w:val="323F1C36"/>
    <w:rsid w:val="327D7F74"/>
    <w:rsid w:val="32B21864"/>
    <w:rsid w:val="32CE2FBA"/>
    <w:rsid w:val="332D4CD5"/>
    <w:rsid w:val="333B14EF"/>
    <w:rsid w:val="33471235"/>
    <w:rsid w:val="337D0136"/>
    <w:rsid w:val="338661A8"/>
    <w:rsid w:val="33BC22C8"/>
    <w:rsid w:val="33F754AE"/>
    <w:rsid w:val="344D4295"/>
    <w:rsid w:val="347F0890"/>
    <w:rsid w:val="34853663"/>
    <w:rsid w:val="349B6D41"/>
    <w:rsid w:val="34A575B3"/>
    <w:rsid w:val="34B582B8"/>
    <w:rsid w:val="34E81C4F"/>
    <w:rsid w:val="34EE34A0"/>
    <w:rsid w:val="35020CF9"/>
    <w:rsid w:val="352F44F9"/>
    <w:rsid w:val="35C414C5"/>
    <w:rsid w:val="36253AD0"/>
    <w:rsid w:val="3661269F"/>
    <w:rsid w:val="36877651"/>
    <w:rsid w:val="36FA7868"/>
    <w:rsid w:val="37190EB1"/>
    <w:rsid w:val="37817877"/>
    <w:rsid w:val="3797D3C9"/>
    <w:rsid w:val="37AC3A3B"/>
    <w:rsid w:val="37B17954"/>
    <w:rsid w:val="37C04CDC"/>
    <w:rsid w:val="37D72911"/>
    <w:rsid w:val="381F1A6C"/>
    <w:rsid w:val="38595320"/>
    <w:rsid w:val="38650FBF"/>
    <w:rsid w:val="38A65E3F"/>
    <w:rsid w:val="38E15968"/>
    <w:rsid w:val="38E76B84"/>
    <w:rsid w:val="38FA3EAE"/>
    <w:rsid w:val="39373AE6"/>
    <w:rsid w:val="393C6ED0"/>
    <w:rsid w:val="394B4D43"/>
    <w:rsid w:val="39951A13"/>
    <w:rsid w:val="39AD1B7B"/>
    <w:rsid w:val="39C04397"/>
    <w:rsid w:val="3A133E02"/>
    <w:rsid w:val="3A5126D0"/>
    <w:rsid w:val="3ACE1CFF"/>
    <w:rsid w:val="3AD4138A"/>
    <w:rsid w:val="3B3C5F31"/>
    <w:rsid w:val="3B3E378D"/>
    <w:rsid w:val="3B7B1FDF"/>
    <w:rsid w:val="3B7F625B"/>
    <w:rsid w:val="3B9D42D6"/>
    <w:rsid w:val="3BD35D93"/>
    <w:rsid w:val="3BEE623F"/>
    <w:rsid w:val="3BFD5ADD"/>
    <w:rsid w:val="3C4816E7"/>
    <w:rsid w:val="3C496C28"/>
    <w:rsid w:val="3C6244A4"/>
    <w:rsid w:val="3C7778DD"/>
    <w:rsid w:val="3CB72D11"/>
    <w:rsid w:val="3D384CFC"/>
    <w:rsid w:val="3D4178D9"/>
    <w:rsid w:val="3DB6587F"/>
    <w:rsid w:val="3DFC4E7F"/>
    <w:rsid w:val="3E2B12C1"/>
    <w:rsid w:val="3E502AD5"/>
    <w:rsid w:val="3E6060E3"/>
    <w:rsid w:val="3E682515"/>
    <w:rsid w:val="3EB5FAAB"/>
    <w:rsid w:val="3EBD08E6"/>
    <w:rsid w:val="3EEA4C73"/>
    <w:rsid w:val="3F167058"/>
    <w:rsid w:val="3F2D3037"/>
    <w:rsid w:val="3F3101D7"/>
    <w:rsid w:val="3F5636D0"/>
    <w:rsid w:val="3F7453DF"/>
    <w:rsid w:val="3F910C43"/>
    <w:rsid w:val="3FC306D0"/>
    <w:rsid w:val="3FCB6897"/>
    <w:rsid w:val="40DD067B"/>
    <w:rsid w:val="40EF498B"/>
    <w:rsid w:val="41020E86"/>
    <w:rsid w:val="415345BC"/>
    <w:rsid w:val="418315E1"/>
    <w:rsid w:val="41A20586"/>
    <w:rsid w:val="41DA1731"/>
    <w:rsid w:val="41F359D7"/>
    <w:rsid w:val="41FB71FC"/>
    <w:rsid w:val="42061A59"/>
    <w:rsid w:val="422B2B74"/>
    <w:rsid w:val="428364F0"/>
    <w:rsid w:val="42864CD9"/>
    <w:rsid w:val="42A01A39"/>
    <w:rsid w:val="42D27F5D"/>
    <w:rsid w:val="42D97272"/>
    <w:rsid w:val="437B17DF"/>
    <w:rsid w:val="43B565A7"/>
    <w:rsid w:val="43BB27F3"/>
    <w:rsid w:val="43C96041"/>
    <w:rsid w:val="43E67120"/>
    <w:rsid w:val="43EA175F"/>
    <w:rsid w:val="44130188"/>
    <w:rsid w:val="4436364D"/>
    <w:rsid w:val="44980DE4"/>
    <w:rsid w:val="44C10070"/>
    <w:rsid w:val="44C71617"/>
    <w:rsid w:val="44E01F2C"/>
    <w:rsid w:val="44FA6BE7"/>
    <w:rsid w:val="450B5DDB"/>
    <w:rsid w:val="451717D2"/>
    <w:rsid w:val="45211A73"/>
    <w:rsid w:val="45446495"/>
    <w:rsid w:val="456B4699"/>
    <w:rsid w:val="456F28C6"/>
    <w:rsid w:val="461551BA"/>
    <w:rsid w:val="46873754"/>
    <w:rsid w:val="46A50B8D"/>
    <w:rsid w:val="47050DA9"/>
    <w:rsid w:val="4715367F"/>
    <w:rsid w:val="473B7B8F"/>
    <w:rsid w:val="477813E9"/>
    <w:rsid w:val="479E6272"/>
    <w:rsid w:val="47C4797F"/>
    <w:rsid w:val="47C6268F"/>
    <w:rsid w:val="487D1E08"/>
    <w:rsid w:val="489C55CA"/>
    <w:rsid w:val="48B931F7"/>
    <w:rsid w:val="48CB1236"/>
    <w:rsid w:val="48FE7098"/>
    <w:rsid w:val="49465E6B"/>
    <w:rsid w:val="495C67D2"/>
    <w:rsid w:val="49795D3F"/>
    <w:rsid w:val="49946F44"/>
    <w:rsid w:val="49A07007"/>
    <w:rsid w:val="49B36206"/>
    <w:rsid w:val="49CA4DB4"/>
    <w:rsid w:val="49E90D3C"/>
    <w:rsid w:val="4A5847A2"/>
    <w:rsid w:val="4A680B4B"/>
    <w:rsid w:val="4B126FF9"/>
    <w:rsid w:val="4B133808"/>
    <w:rsid w:val="4B155BCD"/>
    <w:rsid w:val="4B251E78"/>
    <w:rsid w:val="4B26617E"/>
    <w:rsid w:val="4B5B4246"/>
    <w:rsid w:val="4B5F07FC"/>
    <w:rsid w:val="4B7903D6"/>
    <w:rsid w:val="4B83098E"/>
    <w:rsid w:val="4BBCB95C"/>
    <w:rsid w:val="4BDD1930"/>
    <w:rsid w:val="4BF70A34"/>
    <w:rsid w:val="4C4A0F83"/>
    <w:rsid w:val="4C4F7915"/>
    <w:rsid w:val="4C751205"/>
    <w:rsid w:val="4C992410"/>
    <w:rsid w:val="4CDB614C"/>
    <w:rsid w:val="4CDC6B41"/>
    <w:rsid w:val="4CFC5F91"/>
    <w:rsid w:val="4D143974"/>
    <w:rsid w:val="4D1979EC"/>
    <w:rsid w:val="4D3E5D28"/>
    <w:rsid w:val="4DB73CF5"/>
    <w:rsid w:val="4DFF123F"/>
    <w:rsid w:val="4E0C4101"/>
    <w:rsid w:val="4E1138D1"/>
    <w:rsid w:val="4E1C5F15"/>
    <w:rsid w:val="4E2B4419"/>
    <w:rsid w:val="4E4463D1"/>
    <w:rsid w:val="4E54385B"/>
    <w:rsid w:val="4E69282A"/>
    <w:rsid w:val="4E784329"/>
    <w:rsid w:val="4E8E2E21"/>
    <w:rsid w:val="4E974A31"/>
    <w:rsid w:val="4EA35323"/>
    <w:rsid w:val="4EC1202C"/>
    <w:rsid w:val="4ECD5728"/>
    <w:rsid w:val="4EE205EF"/>
    <w:rsid w:val="4EF74E7E"/>
    <w:rsid w:val="4F7277CD"/>
    <w:rsid w:val="4FC65588"/>
    <w:rsid w:val="4FE27DE6"/>
    <w:rsid w:val="4FE87012"/>
    <w:rsid w:val="4FF0236A"/>
    <w:rsid w:val="503D6393"/>
    <w:rsid w:val="504475E0"/>
    <w:rsid w:val="50E34E82"/>
    <w:rsid w:val="50F460DB"/>
    <w:rsid w:val="50F702B8"/>
    <w:rsid w:val="51311994"/>
    <w:rsid w:val="51394709"/>
    <w:rsid w:val="514A5AAA"/>
    <w:rsid w:val="51761991"/>
    <w:rsid w:val="517725FE"/>
    <w:rsid w:val="517761E1"/>
    <w:rsid w:val="51D6323D"/>
    <w:rsid w:val="51F83CC3"/>
    <w:rsid w:val="5253741E"/>
    <w:rsid w:val="529C2B62"/>
    <w:rsid w:val="52D146F8"/>
    <w:rsid w:val="52EE341E"/>
    <w:rsid w:val="531538F8"/>
    <w:rsid w:val="53191081"/>
    <w:rsid w:val="53464D0F"/>
    <w:rsid w:val="53593E62"/>
    <w:rsid w:val="53C5071C"/>
    <w:rsid w:val="53C63622"/>
    <w:rsid w:val="53D8114B"/>
    <w:rsid w:val="53FA37B7"/>
    <w:rsid w:val="5404363F"/>
    <w:rsid w:val="54CB2FD1"/>
    <w:rsid w:val="55203D5A"/>
    <w:rsid w:val="55807CEC"/>
    <w:rsid w:val="55954245"/>
    <w:rsid w:val="55AE0100"/>
    <w:rsid w:val="55C010BF"/>
    <w:rsid w:val="55EA4E82"/>
    <w:rsid w:val="55F166AD"/>
    <w:rsid w:val="5630062A"/>
    <w:rsid w:val="567B0C76"/>
    <w:rsid w:val="567D2165"/>
    <w:rsid w:val="56813BEC"/>
    <w:rsid w:val="568A5CD4"/>
    <w:rsid w:val="56E469AE"/>
    <w:rsid w:val="56FA2416"/>
    <w:rsid w:val="570566FB"/>
    <w:rsid w:val="57216695"/>
    <w:rsid w:val="572E5E5C"/>
    <w:rsid w:val="578C2978"/>
    <w:rsid w:val="57AD3631"/>
    <w:rsid w:val="58284D37"/>
    <w:rsid w:val="582C30D8"/>
    <w:rsid w:val="583524DB"/>
    <w:rsid w:val="583C305E"/>
    <w:rsid w:val="584F68A5"/>
    <w:rsid w:val="58B07B38"/>
    <w:rsid w:val="58D520FD"/>
    <w:rsid w:val="58EA5D0A"/>
    <w:rsid w:val="59091DA7"/>
    <w:rsid w:val="5952275C"/>
    <w:rsid w:val="597C1AC8"/>
    <w:rsid w:val="599109DB"/>
    <w:rsid w:val="5993090C"/>
    <w:rsid w:val="59FD6443"/>
    <w:rsid w:val="5A13169F"/>
    <w:rsid w:val="5A136748"/>
    <w:rsid w:val="5A3E6318"/>
    <w:rsid w:val="5A406255"/>
    <w:rsid w:val="5A68488B"/>
    <w:rsid w:val="5A734D30"/>
    <w:rsid w:val="5AD8760C"/>
    <w:rsid w:val="5ADC0439"/>
    <w:rsid w:val="5AE9470C"/>
    <w:rsid w:val="5AEB50F0"/>
    <w:rsid w:val="5B26684A"/>
    <w:rsid w:val="5B4F2426"/>
    <w:rsid w:val="5BCD258B"/>
    <w:rsid w:val="5BD349AA"/>
    <w:rsid w:val="5BE27F99"/>
    <w:rsid w:val="5BE70AC5"/>
    <w:rsid w:val="5C2345C3"/>
    <w:rsid w:val="5C604FD2"/>
    <w:rsid w:val="5C74387D"/>
    <w:rsid w:val="5C744B24"/>
    <w:rsid w:val="5C9B6195"/>
    <w:rsid w:val="5CBC3D00"/>
    <w:rsid w:val="5CC71DD7"/>
    <w:rsid w:val="5CF771DE"/>
    <w:rsid w:val="5D1F428F"/>
    <w:rsid w:val="5D22030C"/>
    <w:rsid w:val="5D345E08"/>
    <w:rsid w:val="5D355860"/>
    <w:rsid w:val="5D762150"/>
    <w:rsid w:val="5D960986"/>
    <w:rsid w:val="5DB00FBD"/>
    <w:rsid w:val="5DCF6160"/>
    <w:rsid w:val="5DFD19ED"/>
    <w:rsid w:val="5E053485"/>
    <w:rsid w:val="5E3A4CF1"/>
    <w:rsid w:val="5E6A6347"/>
    <w:rsid w:val="5E7417D6"/>
    <w:rsid w:val="5E8F491D"/>
    <w:rsid w:val="5EA93C63"/>
    <w:rsid w:val="5EB92959"/>
    <w:rsid w:val="5EE17BB9"/>
    <w:rsid w:val="5EEE958C"/>
    <w:rsid w:val="5F2D560A"/>
    <w:rsid w:val="5F7A755A"/>
    <w:rsid w:val="5FFA6EF4"/>
    <w:rsid w:val="602E6876"/>
    <w:rsid w:val="60786190"/>
    <w:rsid w:val="60D11081"/>
    <w:rsid w:val="60E07891"/>
    <w:rsid w:val="60E267A2"/>
    <w:rsid w:val="61232A67"/>
    <w:rsid w:val="613507FE"/>
    <w:rsid w:val="616234C7"/>
    <w:rsid w:val="616B1315"/>
    <w:rsid w:val="616E7593"/>
    <w:rsid w:val="61816ECD"/>
    <w:rsid w:val="61BC3E5A"/>
    <w:rsid w:val="61E72AC7"/>
    <w:rsid w:val="61F57230"/>
    <w:rsid w:val="621E4077"/>
    <w:rsid w:val="624A5B08"/>
    <w:rsid w:val="625523F1"/>
    <w:rsid w:val="625C2463"/>
    <w:rsid w:val="628C5D62"/>
    <w:rsid w:val="6296522C"/>
    <w:rsid w:val="62BB0D81"/>
    <w:rsid w:val="62D60A4B"/>
    <w:rsid w:val="6327307F"/>
    <w:rsid w:val="63941C0D"/>
    <w:rsid w:val="63B06FCC"/>
    <w:rsid w:val="63D44C0F"/>
    <w:rsid w:val="6463431F"/>
    <w:rsid w:val="647A523C"/>
    <w:rsid w:val="648852CB"/>
    <w:rsid w:val="64995843"/>
    <w:rsid w:val="64A4067F"/>
    <w:rsid w:val="64BF2A26"/>
    <w:rsid w:val="65155B65"/>
    <w:rsid w:val="65186DDB"/>
    <w:rsid w:val="6532354B"/>
    <w:rsid w:val="65736FDA"/>
    <w:rsid w:val="65C05C11"/>
    <w:rsid w:val="65FE5399"/>
    <w:rsid w:val="661A1072"/>
    <w:rsid w:val="66AE348D"/>
    <w:rsid w:val="66ED4F80"/>
    <w:rsid w:val="67277A9A"/>
    <w:rsid w:val="675114E9"/>
    <w:rsid w:val="682B7A3B"/>
    <w:rsid w:val="68B636DB"/>
    <w:rsid w:val="68F77D59"/>
    <w:rsid w:val="694F7BF9"/>
    <w:rsid w:val="695E3B7C"/>
    <w:rsid w:val="69714D21"/>
    <w:rsid w:val="69BD9520"/>
    <w:rsid w:val="69CB7AF4"/>
    <w:rsid w:val="69E1F2A2"/>
    <w:rsid w:val="6A10568B"/>
    <w:rsid w:val="6A5C75EE"/>
    <w:rsid w:val="6A691080"/>
    <w:rsid w:val="6A760AA0"/>
    <w:rsid w:val="6A9A436A"/>
    <w:rsid w:val="6ACB7DDF"/>
    <w:rsid w:val="6B2454C0"/>
    <w:rsid w:val="6B3B2294"/>
    <w:rsid w:val="6B402F34"/>
    <w:rsid w:val="6B5217E5"/>
    <w:rsid w:val="6B5C4944"/>
    <w:rsid w:val="6B6E3662"/>
    <w:rsid w:val="6BA42CAF"/>
    <w:rsid w:val="6BF453B7"/>
    <w:rsid w:val="6BFB604B"/>
    <w:rsid w:val="6C282092"/>
    <w:rsid w:val="6C465394"/>
    <w:rsid w:val="6C7AFCAF"/>
    <w:rsid w:val="6C9D768E"/>
    <w:rsid w:val="6D013069"/>
    <w:rsid w:val="6D4215BF"/>
    <w:rsid w:val="6D5253F3"/>
    <w:rsid w:val="6D7F3300"/>
    <w:rsid w:val="6DA22612"/>
    <w:rsid w:val="6DC5053A"/>
    <w:rsid w:val="6DE5124D"/>
    <w:rsid w:val="6DE55872"/>
    <w:rsid w:val="6DE98397"/>
    <w:rsid w:val="6DFE4749"/>
    <w:rsid w:val="6E0A3E57"/>
    <w:rsid w:val="6E291C74"/>
    <w:rsid w:val="6E6715F2"/>
    <w:rsid w:val="6E712470"/>
    <w:rsid w:val="6E91712E"/>
    <w:rsid w:val="6EBE073C"/>
    <w:rsid w:val="6ECE3C1E"/>
    <w:rsid w:val="6ED064F7"/>
    <w:rsid w:val="6EEA46FD"/>
    <w:rsid w:val="6F425459"/>
    <w:rsid w:val="6F69573D"/>
    <w:rsid w:val="6F9E5808"/>
    <w:rsid w:val="6FA34739"/>
    <w:rsid w:val="6FA42B02"/>
    <w:rsid w:val="6FBCAECA"/>
    <w:rsid w:val="6FC17E4F"/>
    <w:rsid w:val="6FD94274"/>
    <w:rsid w:val="6FE535B5"/>
    <w:rsid w:val="70686038"/>
    <w:rsid w:val="707310A5"/>
    <w:rsid w:val="707B5371"/>
    <w:rsid w:val="709C5F6F"/>
    <w:rsid w:val="70A15E85"/>
    <w:rsid w:val="70F17700"/>
    <w:rsid w:val="70F81CF7"/>
    <w:rsid w:val="710878EB"/>
    <w:rsid w:val="71B62385"/>
    <w:rsid w:val="71B66B87"/>
    <w:rsid w:val="71D55CAA"/>
    <w:rsid w:val="71E06679"/>
    <w:rsid w:val="71EE1FF4"/>
    <w:rsid w:val="722F7E04"/>
    <w:rsid w:val="725B6A51"/>
    <w:rsid w:val="726F6F19"/>
    <w:rsid w:val="72785E81"/>
    <w:rsid w:val="72C356FB"/>
    <w:rsid w:val="73190412"/>
    <w:rsid w:val="733F1C47"/>
    <w:rsid w:val="73641849"/>
    <w:rsid w:val="73A53BE5"/>
    <w:rsid w:val="73B92E8D"/>
    <w:rsid w:val="745B3F99"/>
    <w:rsid w:val="746D6072"/>
    <w:rsid w:val="74802DAB"/>
    <w:rsid w:val="749424C9"/>
    <w:rsid w:val="74A569D0"/>
    <w:rsid w:val="74AB56FA"/>
    <w:rsid w:val="74B97595"/>
    <w:rsid w:val="74BF519E"/>
    <w:rsid w:val="74CB0B2C"/>
    <w:rsid w:val="74D20D69"/>
    <w:rsid w:val="74D472B5"/>
    <w:rsid w:val="74F256BB"/>
    <w:rsid w:val="74FF4413"/>
    <w:rsid w:val="7506589B"/>
    <w:rsid w:val="75606BFF"/>
    <w:rsid w:val="75EA076B"/>
    <w:rsid w:val="761521AE"/>
    <w:rsid w:val="764057D2"/>
    <w:rsid w:val="7646582E"/>
    <w:rsid w:val="769431A0"/>
    <w:rsid w:val="76A33A6B"/>
    <w:rsid w:val="771327DC"/>
    <w:rsid w:val="77350C46"/>
    <w:rsid w:val="776344A5"/>
    <w:rsid w:val="77676E2F"/>
    <w:rsid w:val="777BEA9E"/>
    <w:rsid w:val="77D17107"/>
    <w:rsid w:val="77DF669D"/>
    <w:rsid w:val="78106E20"/>
    <w:rsid w:val="78701E4A"/>
    <w:rsid w:val="787B64D2"/>
    <w:rsid w:val="788E0C98"/>
    <w:rsid w:val="78967382"/>
    <w:rsid w:val="78EF0956"/>
    <w:rsid w:val="78F543CA"/>
    <w:rsid w:val="7907447D"/>
    <w:rsid w:val="79150400"/>
    <w:rsid w:val="79294BA1"/>
    <w:rsid w:val="79515378"/>
    <w:rsid w:val="795F3426"/>
    <w:rsid w:val="79BE284B"/>
    <w:rsid w:val="79BF1097"/>
    <w:rsid w:val="79D7762B"/>
    <w:rsid w:val="79DF9581"/>
    <w:rsid w:val="79FB4BCD"/>
    <w:rsid w:val="79FE4490"/>
    <w:rsid w:val="7A1B5579"/>
    <w:rsid w:val="7A2111EE"/>
    <w:rsid w:val="7A6A5FCE"/>
    <w:rsid w:val="7AABA67F"/>
    <w:rsid w:val="7AF91263"/>
    <w:rsid w:val="7B173B51"/>
    <w:rsid w:val="7B2E5919"/>
    <w:rsid w:val="7B6E5D6D"/>
    <w:rsid w:val="7B77600D"/>
    <w:rsid w:val="7BB87DCD"/>
    <w:rsid w:val="7BBA8E5F"/>
    <w:rsid w:val="7BBD4F47"/>
    <w:rsid w:val="7BCFAC26"/>
    <w:rsid w:val="7BDB082A"/>
    <w:rsid w:val="7BF55241"/>
    <w:rsid w:val="7C1000CF"/>
    <w:rsid w:val="7C3366AE"/>
    <w:rsid w:val="7C8C5230"/>
    <w:rsid w:val="7C9F874A"/>
    <w:rsid w:val="7CD76D10"/>
    <w:rsid w:val="7D4D082B"/>
    <w:rsid w:val="7D5B67C5"/>
    <w:rsid w:val="7D710254"/>
    <w:rsid w:val="7D8424BF"/>
    <w:rsid w:val="7DB65AD1"/>
    <w:rsid w:val="7DB85A82"/>
    <w:rsid w:val="7DBBE3CC"/>
    <w:rsid w:val="7DD65E4C"/>
    <w:rsid w:val="7DF12970"/>
    <w:rsid w:val="7DF34C50"/>
    <w:rsid w:val="7E0636E9"/>
    <w:rsid w:val="7E3477A3"/>
    <w:rsid w:val="7E7486F8"/>
    <w:rsid w:val="7EB45CB2"/>
    <w:rsid w:val="7EBEECDB"/>
    <w:rsid w:val="7EDAF573"/>
    <w:rsid w:val="7EDFB32D"/>
    <w:rsid w:val="7EEF15A5"/>
    <w:rsid w:val="7EFD4670"/>
    <w:rsid w:val="7F0437CE"/>
    <w:rsid w:val="7F143D06"/>
    <w:rsid w:val="7F2E7C02"/>
    <w:rsid w:val="7F343772"/>
    <w:rsid w:val="7F803161"/>
    <w:rsid w:val="7F8C0707"/>
    <w:rsid w:val="7FABF009"/>
    <w:rsid w:val="7FB7E800"/>
    <w:rsid w:val="7FCB5E6B"/>
    <w:rsid w:val="7FCF34A9"/>
    <w:rsid w:val="7FDD5BB8"/>
    <w:rsid w:val="7FF3167C"/>
    <w:rsid w:val="7FF4A3BE"/>
    <w:rsid w:val="7FFB8E50"/>
    <w:rsid w:val="7FFC2AFD"/>
    <w:rsid w:val="7FFC30B1"/>
    <w:rsid w:val="9F1F8F99"/>
    <w:rsid w:val="ABEF307A"/>
    <w:rsid w:val="ADB7B36C"/>
    <w:rsid w:val="ADFFE298"/>
    <w:rsid w:val="B1FF272B"/>
    <w:rsid w:val="BE7E9B6F"/>
    <w:rsid w:val="BEBFAE1C"/>
    <w:rsid w:val="BFDBFEEE"/>
    <w:rsid w:val="BFFD382B"/>
    <w:rsid w:val="BFFE49C3"/>
    <w:rsid w:val="BFFEDB7B"/>
    <w:rsid w:val="CA9F4EBD"/>
    <w:rsid w:val="D3ADA1B5"/>
    <w:rsid w:val="D3CD714A"/>
    <w:rsid w:val="D6FF6B87"/>
    <w:rsid w:val="DAFF3585"/>
    <w:rsid w:val="DB7F805B"/>
    <w:rsid w:val="E5B3F513"/>
    <w:rsid w:val="EB3911B1"/>
    <w:rsid w:val="ECEF8E70"/>
    <w:rsid w:val="EF371F50"/>
    <w:rsid w:val="EF575CEC"/>
    <w:rsid w:val="EFCEAB7A"/>
    <w:rsid w:val="EFE5BA66"/>
    <w:rsid w:val="F3DF2608"/>
    <w:rsid w:val="F5FF7CC6"/>
    <w:rsid w:val="F77DB339"/>
    <w:rsid w:val="F8FB8389"/>
    <w:rsid w:val="F9AE10D0"/>
    <w:rsid w:val="FACF3AB7"/>
    <w:rsid w:val="FAFDF652"/>
    <w:rsid w:val="FB65E4A0"/>
    <w:rsid w:val="FDA56B81"/>
    <w:rsid w:val="FE4E3C93"/>
    <w:rsid w:val="FE6AC136"/>
    <w:rsid w:val="FE9AE949"/>
    <w:rsid w:val="FEF9AC28"/>
    <w:rsid w:val="FEFDF865"/>
    <w:rsid w:val="FEFE4411"/>
    <w:rsid w:val="FEFFB725"/>
    <w:rsid w:val="FFCFB7FE"/>
    <w:rsid w:val="FFF77A97"/>
    <w:rsid w:val="FFF7DA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Calibri" w:eastAsia="宋体" w:cs="Times New Roman"/>
      <w:sz w:val="21"/>
      <w:lang w:val="en-US" w:eastAsia="zh-CN" w:bidi="ar-SA"/>
    </w:rPr>
  </w:style>
  <w:style w:type="paragraph" w:styleId="3">
    <w:name w:val="heading 1"/>
    <w:basedOn w:val="1"/>
    <w:next w:val="1"/>
    <w:link w:val="116"/>
    <w:autoRedefine/>
    <w:qFormat/>
    <w:uiPriority w:val="0"/>
    <w:pPr>
      <w:keepNext/>
      <w:jc w:val="center"/>
      <w:outlineLvl w:val="0"/>
    </w:pPr>
    <w:rPr>
      <w:rFonts w:ascii="Times New Roman" w:hAnsi="Times New Roman"/>
      <w:sz w:val="28"/>
      <w:szCs w:val="24"/>
    </w:rPr>
  </w:style>
  <w:style w:type="paragraph" w:styleId="4">
    <w:name w:val="heading 2"/>
    <w:basedOn w:val="1"/>
    <w:next w:val="1"/>
    <w:link w:val="140"/>
    <w:autoRedefine/>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105"/>
    <w:autoRedefine/>
    <w:qFormat/>
    <w:uiPriority w:val="0"/>
    <w:pPr>
      <w:keepNext/>
      <w:keepLines/>
      <w:numPr>
        <w:ilvl w:val="2"/>
        <w:numId w:val="1"/>
      </w:numPr>
      <w:spacing w:line="540" w:lineRule="atLeast"/>
      <w:outlineLvl w:val="2"/>
    </w:pPr>
    <w:rPr>
      <w:rFonts w:ascii="黑体" w:hAnsi="Times New Roman" w:eastAsia="黑体"/>
      <w:b/>
      <w:spacing w:val="8"/>
      <w:sz w:val="28"/>
    </w:rPr>
  </w:style>
  <w:style w:type="paragraph" w:styleId="6">
    <w:name w:val="heading 4"/>
    <w:basedOn w:val="1"/>
    <w:next w:val="1"/>
    <w:link w:val="115"/>
    <w:autoRedefine/>
    <w:qFormat/>
    <w:uiPriority w:val="0"/>
    <w:pPr>
      <w:keepNext/>
      <w:keepLines/>
      <w:tabs>
        <w:tab w:val="left" w:pos="1680"/>
      </w:tabs>
      <w:spacing w:line="540" w:lineRule="atLeast"/>
      <w:ind w:left="1680" w:hanging="420"/>
      <w:jc w:val="left"/>
      <w:textAlignment w:val="baseline"/>
      <w:outlineLvl w:val="3"/>
    </w:pPr>
    <w:rPr>
      <w:rFonts w:ascii="Times New Roman" w:hAnsi="Times New Roman"/>
      <w:spacing w:val="8"/>
      <w:sz w:val="28"/>
    </w:rPr>
  </w:style>
  <w:style w:type="paragraph" w:styleId="7">
    <w:name w:val="heading 5"/>
    <w:basedOn w:val="1"/>
    <w:next w:val="1"/>
    <w:link w:val="128"/>
    <w:autoRedefine/>
    <w:qFormat/>
    <w:uiPriority w:val="0"/>
    <w:pPr>
      <w:keepNext/>
      <w:keepLines/>
      <w:tabs>
        <w:tab w:val="left" w:pos="1323"/>
      </w:tabs>
      <w:adjustRightInd w:val="0"/>
      <w:spacing w:before="120" w:after="60" w:line="0" w:lineRule="atLeast"/>
      <w:jc w:val="left"/>
      <w:textAlignment w:val="baseline"/>
      <w:outlineLvl w:val="4"/>
    </w:pPr>
    <w:rPr>
      <w:rFonts w:hAnsi="Times New Roman"/>
      <w:b/>
      <w:spacing w:val="20"/>
      <w:sz w:val="24"/>
    </w:rPr>
  </w:style>
  <w:style w:type="paragraph" w:styleId="8">
    <w:name w:val="heading 6"/>
    <w:basedOn w:val="1"/>
    <w:next w:val="1"/>
    <w:link w:val="176"/>
    <w:autoRedefine/>
    <w:qFormat/>
    <w:uiPriority w:val="0"/>
    <w:pPr>
      <w:keepNext/>
      <w:keepLines/>
      <w:tabs>
        <w:tab w:val="left" w:pos="1152"/>
      </w:tabs>
      <w:adjustRightInd w:val="0"/>
      <w:spacing w:before="120" w:after="60" w:line="0" w:lineRule="atLeast"/>
      <w:ind w:left="1151" w:hanging="1151"/>
      <w:jc w:val="left"/>
      <w:textAlignment w:val="baseline"/>
      <w:outlineLvl w:val="5"/>
    </w:pPr>
    <w:rPr>
      <w:rFonts w:ascii="Arial" w:hAnsi="Arial" w:eastAsia="黑体"/>
      <w:b/>
      <w:spacing w:val="20"/>
      <w:sz w:val="24"/>
    </w:rPr>
  </w:style>
  <w:style w:type="paragraph" w:styleId="9">
    <w:name w:val="heading 7"/>
    <w:basedOn w:val="1"/>
    <w:next w:val="1"/>
    <w:link w:val="184"/>
    <w:autoRedefine/>
    <w:qFormat/>
    <w:uiPriority w:val="0"/>
    <w:pPr>
      <w:keepNext/>
      <w:keepLines/>
      <w:tabs>
        <w:tab w:val="left" w:pos="1296"/>
      </w:tabs>
      <w:adjustRightInd w:val="0"/>
      <w:spacing w:before="120" w:after="60" w:line="0" w:lineRule="atLeast"/>
      <w:ind w:left="1298" w:hanging="1298"/>
      <w:jc w:val="left"/>
      <w:textAlignment w:val="baseline"/>
      <w:outlineLvl w:val="6"/>
    </w:pPr>
    <w:rPr>
      <w:rFonts w:hAnsi="Times New Roman"/>
      <w:b/>
      <w:spacing w:val="20"/>
      <w:sz w:val="24"/>
    </w:rPr>
  </w:style>
  <w:style w:type="paragraph" w:styleId="10">
    <w:name w:val="heading 8"/>
    <w:basedOn w:val="1"/>
    <w:next w:val="1"/>
    <w:link w:val="131"/>
    <w:autoRedefine/>
    <w:qFormat/>
    <w:uiPriority w:val="0"/>
    <w:pPr>
      <w:keepNext/>
      <w:keepLines/>
      <w:tabs>
        <w:tab w:val="left" w:pos="1440"/>
      </w:tabs>
      <w:adjustRightInd w:val="0"/>
      <w:spacing w:before="120" w:after="60" w:line="0" w:lineRule="atLeast"/>
      <w:jc w:val="left"/>
      <w:textAlignment w:val="baseline"/>
      <w:outlineLvl w:val="7"/>
    </w:pPr>
    <w:rPr>
      <w:rFonts w:ascii="Arial" w:hAnsi="Arial" w:eastAsia="黑体"/>
      <w:spacing w:val="20"/>
      <w:sz w:val="24"/>
    </w:rPr>
  </w:style>
  <w:style w:type="paragraph" w:styleId="11">
    <w:name w:val="heading 9"/>
    <w:basedOn w:val="1"/>
    <w:next w:val="1"/>
    <w:link w:val="147"/>
    <w:autoRedefine/>
    <w:qFormat/>
    <w:uiPriority w:val="0"/>
    <w:pPr>
      <w:keepNext/>
      <w:keepLines/>
      <w:spacing w:before="240" w:after="64" w:line="317" w:lineRule="auto"/>
      <w:outlineLvl w:val="8"/>
    </w:pPr>
    <w:rPr>
      <w:rFonts w:ascii="Arial" w:hAnsi="Arial" w:eastAsia="黑体"/>
      <w:sz w:val="20"/>
      <w:szCs w:val="21"/>
    </w:rPr>
  </w:style>
  <w:style w:type="character" w:default="1" w:styleId="91">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41"/>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Times New Roman"/>
      <w:sz w:val="24"/>
      <w:lang w:val="en-US" w:eastAsia="zh-CN" w:bidi="ar-SA"/>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39"/>
    <w:pPr>
      <w:ind w:left="2520" w:leftChars="1200"/>
    </w:pPr>
  </w:style>
  <w:style w:type="paragraph" w:styleId="14">
    <w:name w:val="List Number 2"/>
    <w:basedOn w:val="1"/>
    <w:autoRedefine/>
    <w:qFormat/>
    <w:uiPriority w:val="0"/>
    <w:pPr>
      <w:numPr>
        <w:ilvl w:val="0"/>
        <w:numId w:val="2"/>
      </w:numPr>
      <w:tabs>
        <w:tab w:val="left" w:pos="780"/>
      </w:tabs>
      <w:adjustRightInd w:val="0"/>
      <w:spacing w:line="360" w:lineRule="atLeast"/>
      <w:jc w:val="left"/>
      <w:textAlignment w:val="baseline"/>
    </w:pPr>
    <w:rPr>
      <w:rFonts w:ascii="Calibri"/>
      <w:sz w:val="24"/>
    </w:rPr>
  </w:style>
  <w:style w:type="paragraph" w:styleId="15">
    <w:name w:val="table of authorities"/>
    <w:basedOn w:val="1"/>
    <w:next w:val="1"/>
    <w:autoRedefine/>
    <w:qFormat/>
    <w:uiPriority w:val="0"/>
    <w:pPr>
      <w:adjustRightInd w:val="0"/>
      <w:spacing w:line="360" w:lineRule="atLeast"/>
      <w:ind w:left="420"/>
      <w:jc w:val="left"/>
      <w:textAlignment w:val="baseline"/>
    </w:pPr>
    <w:rPr>
      <w:rFonts w:ascii="Calibri"/>
      <w:sz w:val="24"/>
    </w:rPr>
  </w:style>
  <w:style w:type="paragraph" w:styleId="16">
    <w:name w:val="Note Heading"/>
    <w:basedOn w:val="1"/>
    <w:next w:val="1"/>
    <w:link w:val="121"/>
    <w:autoRedefine/>
    <w:qFormat/>
    <w:uiPriority w:val="0"/>
    <w:pPr>
      <w:adjustRightInd w:val="0"/>
      <w:spacing w:line="360" w:lineRule="atLeast"/>
      <w:jc w:val="center"/>
      <w:textAlignment w:val="baseline"/>
    </w:pPr>
    <w:rPr>
      <w:rFonts w:ascii="Calibri"/>
      <w:sz w:val="24"/>
    </w:rPr>
  </w:style>
  <w:style w:type="paragraph" w:styleId="17">
    <w:name w:val="List Bullet 4"/>
    <w:basedOn w:val="1"/>
    <w:autoRedefine/>
    <w:qFormat/>
    <w:uiPriority w:val="0"/>
    <w:pPr>
      <w:numPr>
        <w:ilvl w:val="0"/>
        <w:numId w:val="3"/>
      </w:numPr>
      <w:tabs>
        <w:tab w:val="left" w:pos="1620"/>
      </w:tabs>
      <w:adjustRightInd w:val="0"/>
      <w:spacing w:line="360" w:lineRule="atLeast"/>
      <w:jc w:val="left"/>
      <w:textAlignment w:val="baseline"/>
    </w:pPr>
    <w:rPr>
      <w:rFonts w:ascii="Calibri"/>
      <w:sz w:val="24"/>
    </w:rPr>
  </w:style>
  <w:style w:type="paragraph" w:styleId="18">
    <w:name w:val="index 8"/>
    <w:basedOn w:val="1"/>
    <w:next w:val="1"/>
    <w:autoRedefine/>
    <w:qFormat/>
    <w:uiPriority w:val="0"/>
    <w:pPr>
      <w:adjustRightInd w:val="0"/>
      <w:spacing w:line="360" w:lineRule="atLeast"/>
      <w:ind w:left="2940"/>
      <w:jc w:val="left"/>
      <w:textAlignment w:val="baseline"/>
    </w:pPr>
    <w:rPr>
      <w:rFonts w:ascii="Calibri"/>
      <w:sz w:val="24"/>
    </w:rPr>
  </w:style>
  <w:style w:type="paragraph" w:styleId="19">
    <w:name w:val="List Number"/>
    <w:basedOn w:val="1"/>
    <w:autoRedefine/>
    <w:qFormat/>
    <w:uiPriority w:val="0"/>
    <w:pPr>
      <w:numPr>
        <w:ilvl w:val="0"/>
        <w:numId w:val="4"/>
      </w:numPr>
      <w:tabs>
        <w:tab w:val="left" w:pos="360"/>
      </w:tabs>
      <w:adjustRightInd w:val="0"/>
      <w:spacing w:line="360" w:lineRule="atLeast"/>
      <w:jc w:val="left"/>
      <w:textAlignment w:val="baseline"/>
    </w:pPr>
    <w:rPr>
      <w:rFonts w:ascii="Calibri"/>
      <w:sz w:val="24"/>
    </w:rPr>
  </w:style>
  <w:style w:type="paragraph" w:styleId="20">
    <w:name w:val="Normal Indent"/>
    <w:basedOn w:val="1"/>
    <w:autoRedefine/>
    <w:qFormat/>
    <w:uiPriority w:val="0"/>
    <w:pPr>
      <w:ind w:firstLine="420"/>
    </w:pPr>
  </w:style>
  <w:style w:type="paragraph" w:styleId="21">
    <w:name w:val="caption"/>
    <w:basedOn w:val="1"/>
    <w:next w:val="1"/>
    <w:autoRedefine/>
    <w:qFormat/>
    <w:uiPriority w:val="0"/>
    <w:pPr>
      <w:adjustRightInd w:val="0"/>
      <w:spacing w:before="152" w:after="160" w:line="360" w:lineRule="atLeast"/>
      <w:jc w:val="left"/>
      <w:textAlignment w:val="baseline"/>
    </w:pPr>
    <w:rPr>
      <w:rFonts w:ascii="Arial" w:hAnsi="Arial" w:eastAsia="黑体"/>
      <w:sz w:val="24"/>
    </w:rPr>
  </w:style>
  <w:style w:type="paragraph" w:styleId="22">
    <w:name w:val="index 5"/>
    <w:basedOn w:val="1"/>
    <w:next w:val="1"/>
    <w:autoRedefine/>
    <w:qFormat/>
    <w:uiPriority w:val="0"/>
    <w:pPr>
      <w:adjustRightInd w:val="0"/>
      <w:spacing w:line="360" w:lineRule="atLeast"/>
      <w:ind w:left="1680"/>
      <w:jc w:val="left"/>
      <w:textAlignment w:val="baseline"/>
    </w:pPr>
    <w:rPr>
      <w:rFonts w:ascii="Calibri"/>
      <w:sz w:val="24"/>
    </w:rPr>
  </w:style>
  <w:style w:type="paragraph" w:styleId="23">
    <w:name w:val="List Bullet"/>
    <w:basedOn w:val="1"/>
    <w:autoRedefine/>
    <w:qFormat/>
    <w:uiPriority w:val="0"/>
    <w:pPr>
      <w:numPr>
        <w:ilvl w:val="0"/>
        <w:numId w:val="5"/>
      </w:numPr>
      <w:tabs>
        <w:tab w:val="left" w:pos="360"/>
      </w:tabs>
      <w:adjustRightInd w:val="0"/>
      <w:spacing w:line="360" w:lineRule="atLeast"/>
      <w:jc w:val="left"/>
      <w:textAlignment w:val="baseline"/>
    </w:pPr>
    <w:rPr>
      <w:rFonts w:ascii="Calibri"/>
      <w:sz w:val="24"/>
    </w:rPr>
  </w:style>
  <w:style w:type="paragraph" w:styleId="24">
    <w:name w:val="envelope address"/>
    <w:basedOn w:val="1"/>
    <w:autoRedefine/>
    <w:qFormat/>
    <w:uiPriority w:val="0"/>
    <w:pPr>
      <w:adjustRightInd w:val="0"/>
      <w:snapToGrid w:val="0"/>
      <w:spacing w:line="360" w:lineRule="atLeast"/>
      <w:ind w:left="2880"/>
      <w:jc w:val="left"/>
      <w:textAlignment w:val="baseline"/>
    </w:pPr>
    <w:rPr>
      <w:rFonts w:ascii="Arial" w:hAnsi="Arial"/>
      <w:sz w:val="24"/>
    </w:rPr>
  </w:style>
  <w:style w:type="paragraph" w:styleId="25">
    <w:name w:val="Document Map"/>
    <w:basedOn w:val="1"/>
    <w:link w:val="154"/>
    <w:autoRedefine/>
    <w:qFormat/>
    <w:uiPriority w:val="0"/>
    <w:pPr>
      <w:shd w:val="clear" w:color="auto" w:fill="000080"/>
    </w:pPr>
    <w:rPr>
      <w:rFonts w:ascii="Calibri"/>
      <w:sz w:val="20"/>
      <w:shd w:val="clear" w:color="auto" w:fill="000080"/>
    </w:rPr>
  </w:style>
  <w:style w:type="paragraph" w:styleId="26">
    <w:name w:val="toa heading"/>
    <w:basedOn w:val="1"/>
    <w:next w:val="1"/>
    <w:autoRedefine/>
    <w:qFormat/>
    <w:uiPriority w:val="0"/>
    <w:pPr>
      <w:adjustRightInd w:val="0"/>
      <w:spacing w:before="120" w:line="360" w:lineRule="atLeast"/>
      <w:jc w:val="left"/>
      <w:textAlignment w:val="baseline"/>
    </w:pPr>
    <w:rPr>
      <w:rFonts w:ascii="Arial" w:hAnsi="Arial"/>
      <w:sz w:val="24"/>
    </w:rPr>
  </w:style>
  <w:style w:type="paragraph" w:styleId="27">
    <w:name w:val="annotation text"/>
    <w:basedOn w:val="1"/>
    <w:link w:val="135"/>
    <w:autoRedefine/>
    <w:qFormat/>
    <w:uiPriority w:val="0"/>
    <w:pPr>
      <w:jc w:val="left"/>
    </w:pPr>
  </w:style>
  <w:style w:type="paragraph" w:styleId="28">
    <w:name w:val="index 6"/>
    <w:basedOn w:val="1"/>
    <w:next w:val="1"/>
    <w:autoRedefine/>
    <w:qFormat/>
    <w:uiPriority w:val="0"/>
    <w:pPr>
      <w:adjustRightInd w:val="0"/>
      <w:spacing w:line="360" w:lineRule="atLeast"/>
      <w:ind w:left="2100"/>
      <w:jc w:val="left"/>
      <w:textAlignment w:val="baseline"/>
    </w:pPr>
    <w:rPr>
      <w:rFonts w:ascii="Calibri"/>
      <w:sz w:val="24"/>
    </w:rPr>
  </w:style>
  <w:style w:type="paragraph" w:styleId="29">
    <w:name w:val="Salutation"/>
    <w:basedOn w:val="1"/>
    <w:next w:val="1"/>
    <w:link w:val="104"/>
    <w:autoRedefine/>
    <w:qFormat/>
    <w:uiPriority w:val="0"/>
    <w:pPr>
      <w:adjustRightInd w:val="0"/>
      <w:spacing w:line="360" w:lineRule="atLeast"/>
      <w:jc w:val="left"/>
      <w:textAlignment w:val="baseline"/>
    </w:pPr>
    <w:rPr>
      <w:rFonts w:ascii="Calibri"/>
      <w:sz w:val="24"/>
    </w:rPr>
  </w:style>
  <w:style w:type="paragraph" w:styleId="30">
    <w:name w:val="Body Text 3"/>
    <w:basedOn w:val="1"/>
    <w:link w:val="102"/>
    <w:autoRedefine/>
    <w:qFormat/>
    <w:uiPriority w:val="0"/>
    <w:pPr>
      <w:jc w:val="center"/>
    </w:pPr>
    <w:rPr>
      <w:rFonts w:ascii="Calibri"/>
      <w:b/>
      <w:bCs/>
      <w:color w:val="000000"/>
      <w:sz w:val="20"/>
      <w:szCs w:val="24"/>
    </w:rPr>
  </w:style>
  <w:style w:type="paragraph" w:styleId="31">
    <w:name w:val="Closing"/>
    <w:basedOn w:val="1"/>
    <w:next w:val="1"/>
    <w:link w:val="192"/>
    <w:autoRedefine/>
    <w:qFormat/>
    <w:uiPriority w:val="0"/>
    <w:pPr>
      <w:adjustRightInd w:val="0"/>
      <w:spacing w:line="360" w:lineRule="atLeast"/>
      <w:ind w:left="4320"/>
      <w:jc w:val="left"/>
      <w:textAlignment w:val="baseline"/>
    </w:pPr>
    <w:rPr>
      <w:rFonts w:ascii="Times New Roman" w:hAnsi="Times New Roman"/>
      <w:sz w:val="30"/>
    </w:rPr>
  </w:style>
  <w:style w:type="paragraph" w:styleId="32">
    <w:name w:val="List Bullet 3"/>
    <w:basedOn w:val="1"/>
    <w:autoRedefine/>
    <w:qFormat/>
    <w:uiPriority w:val="0"/>
    <w:pPr>
      <w:numPr>
        <w:ilvl w:val="0"/>
        <w:numId w:val="6"/>
      </w:numPr>
      <w:tabs>
        <w:tab w:val="left" w:pos="1200"/>
      </w:tabs>
      <w:adjustRightInd w:val="0"/>
      <w:spacing w:line="360" w:lineRule="atLeast"/>
      <w:jc w:val="left"/>
      <w:textAlignment w:val="baseline"/>
    </w:pPr>
    <w:rPr>
      <w:rFonts w:ascii="Calibri"/>
      <w:sz w:val="24"/>
    </w:rPr>
  </w:style>
  <w:style w:type="paragraph" w:styleId="33">
    <w:name w:val="Body Text"/>
    <w:basedOn w:val="1"/>
    <w:link w:val="148"/>
    <w:autoRedefine/>
    <w:qFormat/>
    <w:uiPriority w:val="0"/>
    <w:pPr>
      <w:spacing w:after="120"/>
    </w:pPr>
  </w:style>
  <w:style w:type="paragraph" w:styleId="34">
    <w:name w:val="Body Text Indent"/>
    <w:basedOn w:val="1"/>
    <w:next w:val="35"/>
    <w:link w:val="134"/>
    <w:autoRedefine/>
    <w:qFormat/>
    <w:uiPriority w:val="0"/>
    <w:pPr>
      <w:spacing w:line="300" w:lineRule="auto"/>
      <w:ind w:firstLine="540" w:firstLineChars="257"/>
    </w:pPr>
    <w:rPr>
      <w:rFonts w:ascii="Calibri" w:hAnsi="宋体"/>
      <w:sz w:val="20"/>
    </w:rPr>
  </w:style>
  <w:style w:type="paragraph" w:customStyle="1" w:styleId="35">
    <w:name w:val="toc 73"/>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36">
    <w:name w:val="List Number 3"/>
    <w:basedOn w:val="1"/>
    <w:autoRedefine/>
    <w:qFormat/>
    <w:uiPriority w:val="0"/>
    <w:pPr>
      <w:numPr>
        <w:ilvl w:val="0"/>
        <w:numId w:val="7"/>
      </w:numPr>
      <w:tabs>
        <w:tab w:val="left" w:pos="1200"/>
        <w:tab w:val="clear" w:pos="587"/>
      </w:tabs>
      <w:adjustRightInd w:val="0"/>
      <w:spacing w:line="360" w:lineRule="atLeast"/>
      <w:jc w:val="left"/>
      <w:textAlignment w:val="baseline"/>
    </w:pPr>
    <w:rPr>
      <w:rFonts w:ascii="Calibri"/>
      <w:sz w:val="24"/>
    </w:rPr>
  </w:style>
  <w:style w:type="paragraph" w:styleId="37">
    <w:name w:val="List 2"/>
    <w:basedOn w:val="1"/>
    <w:autoRedefine/>
    <w:qFormat/>
    <w:uiPriority w:val="0"/>
    <w:pPr>
      <w:adjustRightInd w:val="0"/>
      <w:spacing w:line="360" w:lineRule="atLeast"/>
      <w:ind w:left="100" w:leftChars="200" w:hanging="200" w:hangingChars="200"/>
      <w:jc w:val="left"/>
      <w:textAlignment w:val="baseline"/>
    </w:pPr>
    <w:rPr>
      <w:sz w:val="24"/>
    </w:rPr>
  </w:style>
  <w:style w:type="paragraph" w:styleId="38">
    <w:name w:val="List Continue"/>
    <w:basedOn w:val="1"/>
    <w:autoRedefine/>
    <w:qFormat/>
    <w:uiPriority w:val="0"/>
    <w:pPr>
      <w:adjustRightInd w:val="0"/>
      <w:spacing w:after="120" w:line="360" w:lineRule="atLeast"/>
      <w:ind w:left="420"/>
      <w:jc w:val="left"/>
      <w:textAlignment w:val="baseline"/>
    </w:pPr>
    <w:rPr>
      <w:rFonts w:ascii="Calibri"/>
      <w:sz w:val="24"/>
    </w:rPr>
  </w:style>
  <w:style w:type="paragraph" w:styleId="39">
    <w:name w:val="Block Text"/>
    <w:basedOn w:val="1"/>
    <w:autoRedefine/>
    <w:qFormat/>
    <w:uiPriority w:val="0"/>
    <w:pPr>
      <w:adjustRightInd w:val="0"/>
      <w:spacing w:after="120" w:line="360" w:lineRule="atLeast"/>
      <w:ind w:left="1440" w:right="1440"/>
      <w:jc w:val="left"/>
      <w:textAlignment w:val="baseline"/>
    </w:pPr>
    <w:rPr>
      <w:rFonts w:ascii="Calibri"/>
      <w:sz w:val="24"/>
    </w:rPr>
  </w:style>
  <w:style w:type="paragraph" w:styleId="40">
    <w:name w:val="List Bullet 2"/>
    <w:basedOn w:val="1"/>
    <w:autoRedefine/>
    <w:qFormat/>
    <w:uiPriority w:val="0"/>
    <w:pPr>
      <w:numPr>
        <w:ilvl w:val="0"/>
        <w:numId w:val="8"/>
      </w:numPr>
      <w:tabs>
        <w:tab w:val="left" w:pos="780"/>
      </w:tabs>
      <w:adjustRightInd w:val="0"/>
      <w:spacing w:line="360" w:lineRule="atLeast"/>
      <w:jc w:val="left"/>
      <w:textAlignment w:val="baseline"/>
    </w:pPr>
    <w:rPr>
      <w:rFonts w:ascii="Calibri"/>
      <w:sz w:val="24"/>
    </w:rPr>
  </w:style>
  <w:style w:type="paragraph" w:styleId="41">
    <w:name w:val="index 4"/>
    <w:basedOn w:val="1"/>
    <w:next w:val="1"/>
    <w:autoRedefine/>
    <w:qFormat/>
    <w:uiPriority w:val="0"/>
    <w:pPr>
      <w:adjustRightInd w:val="0"/>
      <w:spacing w:line="360" w:lineRule="atLeast"/>
      <w:ind w:left="1260"/>
      <w:jc w:val="left"/>
      <w:textAlignment w:val="baseline"/>
    </w:pPr>
    <w:rPr>
      <w:rFonts w:ascii="Calibri"/>
      <w:sz w:val="24"/>
    </w:rPr>
  </w:style>
  <w:style w:type="paragraph" w:styleId="42">
    <w:name w:val="toc 5"/>
    <w:basedOn w:val="1"/>
    <w:next w:val="1"/>
    <w:autoRedefine/>
    <w:qFormat/>
    <w:uiPriority w:val="39"/>
    <w:pPr>
      <w:ind w:left="1680" w:leftChars="800"/>
    </w:pPr>
  </w:style>
  <w:style w:type="paragraph" w:styleId="43">
    <w:name w:val="toc 3"/>
    <w:basedOn w:val="1"/>
    <w:next w:val="1"/>
    <w:autoRedefine/>
    <w:qFormat/>
    <w:uiPriority w:val="39"/>
    <w:pPr>
      <w:ind w:left="840" w:leftChars="400"/>
    </w:pPr>
    <w:rPr>
      <w:sz w:val="28"/>
    </w:rPr>
  </w:style>
  <w:style w:type="paragraph" w:styleId="44">
    <w:name w:val="Plain Text"/>
    <w:basedOn w:val="1"/>
    <w:next w:val="1"/>
    <w:link w:val="136"/>
    <w:autoRedefine/>
    <w:qFormat/>
    <w:uiPriority w:val="0"/>
    <w:rPr>
      <w:rFonts w:hAnsi="Courier New"/>
      <w:sz w:val="20"/>
    </w:rPr>
  </w:style>
  <w:style w:type="paragraph" w:styleId="45">
    <w:name w:val="List Bullet 5"/>
    <w:basedOn w:val="1"/>
    <w:autoRedefine/>
    <w:qFormat/>
    <w:uiPriority w:val="0"/>
    <w:pPr>
      <w:tabs>
        <w:tab w:val="left" w:pos="2040"/>
      </w:tabs>
      <w:adjustRightInd w:val="0"/>
      <w:spacing w:line="360" w:lineRule="atLeast"/>
      <w:ind w:left="1265" w:hanging="420"/>
      <w:jc w:val="left"/>
      <w:textAlignment w:val="baseline"/>
    </w:pPr>
    <w:rPr>
      <w:rFonts w:ascii="Calibri"/>
      <w:sz w:val="24"/>
    </w:rPr>
  </w:style>
  <w:style w:type="paragraph" w:styleId="46">
    <w:name w:val="List Number 4"/>
    <w:basedOn w:val="1"/>
    <w:autoRedefine/>
    <w:qFormat/>
    <w:uiPriority w:val="0"/>
    <w:pPr>
      <w:numPr>
        <w:ilvl w:val="0"/>
        <w:numId w:val="1"/>
      </w:numPr>
      <w:tabs>
        <w:tab w:val="left" w:pos="1620"/>
        <w:tab w:val="clear" w:pos="1265"/>
      </w:tabs>
      <w:adjustRightInd w:val="0"/>
      <w:spacing w:line="360" w:lineRule="atLeast"/>
      <w:jc w:val="left"/>
      <w:textAlignment w:val="baseline"/>
    </w:pPr>
    <w:rPr>
      <w:rFonts w:ascii="Calibri"/>
      <w:sz w:val="24"/>
    </w:rPr>
  </w:style>
  <w:style w:type="paragraph" w:styleId="47">
    <w:name w:val="toc 8"/>
    <w:basedOn w:val="1"/>
    <w:next w:val="1"/>
    <w:autoRedefine/>
    <w:qFormat/>
    <w:uiPriority w:val="39"/>
    <w:pPr>
      <w:ind w:left="2940" w:leftChars="1400"/>
    </w:pPr>
  </w:style>
  <w:style w:type="paragraph" w:styleId="48">
    <w:name w:val="index 3"/>
    <w:basedOn w:val="1"/>
    <w:next w:val="1"/>
    <w:autoRedefine/>
    <w:qFormat/>
    <w:uiPriority w:val="0"/>
    <w:pPr>
      <w:adjustRightInd w:val="0"/>
      <w:spacing w:line="360" w:lineRule="atLeast"/>
      <w:ind w:left="840"/>
      <w:jc w:val="left"/>
      <w:textAlignment w:val="baseline"/>
    </w:pPr>
    <w:rPr>
      <w:rFonts w:ascii="Calibri"/>
      <w:sz w:val="24"/>
    </w:rPr>
  </w:style>
  <w:style w:type="paragraph" w:styleId="49">
    <w:name w:val="Date"/>
    <w:basedOn w:val="50"/>
    <w:next w:val="1"/>
    <w:link w:val="166"/>
    <w:autoRedefine/>
    <w:qFormat/>
    <w:uiPriority w:val="0"/>
    <w:rPr>
      <w:color w:val="auto"/>
      <w:sz w:val="20"/>
    </w:rPr>
  </w:style>
  <w:style w:type="paragraph" w:customStyle="1" w:styleId="50">
    <w:name w:val="Default"/>
    <w:autoRedefine/>
    <w:qFormat/>
    <w:uiPriority w:val="0"/>
    <w:pPr>
      <w:widowControl w:val="0"/>
      <w:autoSpaceDE w:val="0"/>
      <w:autoSpaceDN w:val="0"/>
      <w:adjustRightInd w:val="0"/>
    </w:pPr>
    <w:rPr>
      <w:rFonts w:ascii="黑体" w:hAnsi="Calibri" w:eastAsia="黑体" w:cs="Times New Roman"/>
      <w:color w:val="000000"/>
      <w:sz w:val="24"/>
      <w:lang w:val="en-US" w:eastAsia="zh-CN" w:bidi="ar-SA"/>
    </w:rPr>
  </w:style>
  <w:style w:type="paragraph" w:styleId="51">
    <w:name w:val="Body Text Indent 2"/>
    <w:basedOn w:val="1"/>
    <w:link w:val="171"/>
    <w:autoRedefine/>
    <w:qFormat/>
    <w:uiPriority w:val="0"/>
    <w:pPr>
      <w:tabs>
        <w:tab w:val="left" w:pos="1365"/>
      </w:tabs>
      <w:adjustRightInd w:val="0"/>
      <w:snapToGrid w:val="0"/>
      <w:spacing w:line="360" w:lineRule="auto"/>
      <w:ind w:left="420" w:leftChars="200"/>
    </w:pPr>
    <w:rPr>
      <w:rFonts w:hAnsi="宋体"/>
      <w:color w:val="000000"/>
      <w:sz w:val="20"/>
    </w:rPr>
  </w:style>
  <w:style w:type="paragraph" w:styleId="52">
    <w:name w:val="endnote text"/>
    <w:basedOn w:val="1"/>
    <w:link w:val="110"/>
    <w:autoRedefine/>
    <w:qFormat/>
    <w:uiPriority w:val="0"/>
    <w:pPr>
      <w:adjustRightInd w:val="0"/>
      <w:snapToGrid w:val="0"/>
      <w:spacing w:line="360" w:lineRule="atLeast"/>
      <w:jc w:val="left"/>
      <w:textAlignment w:val="baseline"/>
    </w:pPr>
    <w:rPr>
      <w:rFonts w:ascii="Calibri"/>
      <w:sz w:val="24"/>
    </w:rPr>
  </w:style>
  <w:style w:type="paragraph" w:styleId="53">
    <w:name w:val="List Continue 5"/>
    <w:basedOn w:val="1"/>
    <w:autoRedefine/>
    <w:qFormat/>
    <w:uiPriority w:val="0"/>
    <w:pPr>
      <w:adjustRightInd w:val="0"/>
      <w:spacing w:after="120" w:line="360" w:lineRule="atLeast"/>
      <w:ind w:left="2100"/>
      <w:jc w:val="left"/>
      <w:textAlignment w:val="baseline"/>
    </w:pPr>
    <w:rPr>
      <w:rFonts w:ascii="Calibri"/>
      <w:sz w:val="24"/>
    </w:rPr>
  </w:style>
  <w:style w:type="paragraph" w:styleId="54">
    <w:name w:val="Balloon Text"/>
    <w:basedOn w:val="1"/>
    <w:link w:val="183"/>
    <w:autoRedefine/>
    <w:qFormat/>
    <w:uiPriority w:val="0"/>
    <w:rPr>
      <w:rFonts w:ascii="Calibri"/>
      <w:sz w:val="18"/>
    </w:rPr>
  </w:style>
  <w:style w:type="paragraph" w:styleId="55">
    <w:name w:val="footer"/>
    <w:basedOn w:val="1"/>
    <w:link w:val="186"/>
    <w:autoRedefine/>
    <w:qFormat/>
    <w:uiPriority w:val="0"/>
    <w:pPr>
      <w:tabs>
        <w:tab w:val="center" w:pos="4153"/>
        <w:tab w:val="right" w:pos="8306"/>
      </w:tabs>
      <w:snapToGrid w:val="0"/>
      <w:jc w:val="left"/>
    </w:pPr>
    <w:rPr>
      <w:rFonts w:ascii="Calibri"/>
      <w:sz w:val="18"/>
    </w:rPr>
  </w:style>
  <w:style w:type="paragraph" w:styleId="56">
    <w:name w:val="envelope return"/>
    <w:basedOn w:val="1"/>
    <w:autoRedefine/>
    <w:qFormat/>
    <w:uiPriority w:val="0"/>
    <w:pPr>
      <w:adjustRightInd w:val="0"/>
      <w:snapToGrid w:val="0"/>
      <w:spacing w:line="360" w:lineRule="atLeast"/>
      <w:jc w:val="left"/>
      <w:textAlignment w:val="baseline"/>
    </w:pPr>
    <w:rPr>
      <w:rFonts w:ascii="Arial" w:hAnsi="Arial"/>
      <w:sz w:val="24"/>
    </w:rPr>
  </w:style>
  <w:style w:type="paragraph" w:styleId="57">
    <w:name w:val="header"/>
    <w:basedOn w:val="1"/>
    <w:link w:val="180"/>
    <w:autoRedefine/>
    <w:qFormat/>
    <w:uiPriority w:val="99"/>
    <w:pPr>
      <w:pBdr>
        <w:bottom w:val="single" w:color="auto" w:sz="6" w:space="1"/>
      </w:pBdr>
      <w:tabs>
        <w:tab w:val="center" w:pos="4153"/>
        <w:tab w:val="right" w:pos="8306"/>
      </w:tabs>
      <w:snapToGrid w:val="0"/>
      <w:jc w:val="center"/>
    </w:pPr>
    <w:rPr>
      <w:rFonts w:ascii="Calibri"/>
      <w:sz w:val="18"/>
    </w:rPr>
  </w:style>
  <w:style w:type="paragraph" w:styleId="58">
    <w:name w:val="Signature"/>
    <w:basedOn w:val="1"/>
    <w:link w:val="111"/>
    <w:autoRedefine/>
    <w:qFormat/>
    <w:uiPriority w:val="0"/>
    <w:pPr>
      <w:adjustRightInd w:val="0"/>
      <w:spacing w:line="360" w:lineRule="atLeast"/>
      <w:ind w:left="4320"/>
      <w:jc w:val="left"/>
      <w:textAlignment w:val="baseline"/>
    </w:pPr>
    <w:rPr>
      <w:rFonts w:ascii="Calibri"/>
      <w:sz w:val="24"/>
    </w:rPr>
  </w:style>
  <w:style w:type="paragraph" w:styleId="59">
    <w:name w:val="toc 1"/>
    <w:basedOn w:val="1"/>
    <w:next w:val="1"/>
    <w:autoRedefine/>
    <w:qFormat/>
    <w:uiPriority w:val="39"/>
    <w:pPr>
      <w:adjustRightInd w:val="0"/>
      <w:snapToGrid w:val="0"/>
      <w:spacing w:line="360" w:lineRule="auto"/>
    </w:pPr>
  </w:style>
  <w:style w:type="paragraph" w:styleId="60">
    <w:name w:val="List Continue 4"/>
    <w:basedOn w:val="1"/>
    <w:autoRedefine/>
    <w:qFormat/>
    <w:uiPriority w:val="0"/>
    <w:pPr>
      <w:adjustRightInd w:val="0"/>
      <w:spacing w:after="120" w:line="360" w:lineRule="atLeast"/>
      <w:ind w:left="1680"/>
      <w:jc w:val="left"/>
      <w:textAlignment w:val="baseline"/>
    </w:pPr>
    <w:rPr>
      <w:rFonts w:ascii="Calibri"/>
      <w:sz w:val="24"/>
    </w:rPr>
  </w:style>
  <w:style w:type="paragraph" w:styleId="61">
    <w:name w:val="toc 4"/>
    <w:basedOn w:val="1"/>
    <w:next w:val="1"/>
    <w:autoRedefine/>
    <w:qFormat/>
    <w:uiPriority w:val="39"/>
    <w:pPr>
      <w:ind w:left="1260" w:leftChars="600"/>
    </w:pPr>
  </w:style>
  <w:style w:type="paragraph" w:styleId="62">
    <w:name w:val="index heading"/>
    <w:basedOn w:val="1"/>
    <w:next w:val="63"/>
    <w:autoRedefine/>
    <w:qFormat/>
    <w:uiPriority w:val="0"/>
    <w:pPr>
      <w:adjustRightInd w:val="0"/>
      <w:spacing w:line="360" w:lineRule="atLeast"/>
      <w:jc w:val="left"/>
      <w:textAlignment w:val="baseline"/>
    </w:pPr>
    <w:rPr>
      <w:rFonts w:ascii="Arial" w:hAnsi="Arial"/>
      <w:b/>
      <w:sz w:val="24"/>
    </w:rPr>
  </w:style>
  <w:style w:type="paragraph" w:styleId="63">
    <w:name w:val="index 1"/>
    <w:basedOn w:val="1"/>
    <w:next w:val="1"/>
    <w:autoRedefine/>
    <w:qFormat/>
    <w:uiPriority w:val="0"/>
    <w:pPr>
      <w:adjustRightInd w:val="0"/>
      <w:spacing w:line="360" w:lineRule="atLeast"/>
      <w:jc w:val="left"/>
      <w:textAlignment w:val="baseline"/>
    </w:pPr>
    <w:rPr>
      <w:rFonts w:ascii="Calibri"/>
      <w:sz w:val="24"/>
    </w:rPr>
  </w:style>
  <w:style w:type="paragraph" w:styleId="64">
    <w:name w:val="Subtitle"/>
    <w:basedOn w:val="1"/>
    <w:link w:val="194"/>
    <w:autoRedefine/>
    <w:qFormat/>
    <w:uiPriority w:val="0"/>
    <w:pPr>
      <w:adjustRightInd w:val="0"/>
      <w:spacing w:before="240" w:after="60" w:line="312" w:lineRule="atLeast"/>
      <w:jc w:val="center"/>
      <w:textAlignment w:val="baseline"/>
      <w:outlineLvl w:val="1"/>
    </w:pPr>
    <w:rPr>
      <w:rFonts w:ascii="Arial" w:hAnsi="Arial"/>
      <w:b/>
      <w:kern w:val="28"/>
      <w:sz w:val="32"/>
    </w:rPr>
  </w:style>
  <w:style w:type="paragraph" w:styleId="65">
    <w:name w:val="List Number 5"/>
    <w:basedOn w:val="1"/>
    <w:autoRedefine/>
    <w:qFormat/>
    <w:uiPriority w:val="0"/>
    <w:pPr>
      <w:numPr>
        <w:ilvl w:val="0"/>
        <w:numId w:val="9"/>
      </w:numPr>
      <w:tabs>
        <w:tab w:val="left" w:pos="2040"/>
        <w:tab w:val="clear" w:pos="780"/>
      </w:tabs>
      <w:adjustRightInd w:val="0"/>
      <w:spacing w:line="360" w:lineRule="atLeast"/>
      <w:jc w:val="left"/>
      <w:textAlignment w:val="baseline"/>
    </w:pPr>
    <w:rPr>
      <w:rFonts w:ascii="Calibri"/>
      <w:sz w:val="24"/>
    </w:rPr>
  </w:style>
  <w:style w:type="paragraph" w:styleId="66">
    <w:name w:val="List"/>
    <w:basedOn w:val="1"/>
    <w:autoRedefine/>
    <w:qFormat/>
    <w:uiPriority w:val="0"/>
    <w:pPr>
      <w:ind w:left="200" w:hanging="200" w:hangingChars="200"/>
    </w:pPr>
    <w:rPr>
      <w:szCs w:val="24"/>
    </w:rPr>
  </w:style>
  <w:style w:type="paragraph" w:styleId="67">
    <w:name w:val="footnote text"/>
    <w:basedOn w:val="1"/>
    <w:link w:val="132"/>
    <w:autoRedefine/>
    <w:qFormat/>
    <w:uiPriority w:val="0"/>
    <w:pPr>
      <w:adjustRightInd w:val="0"/>
      <w:snapToGrid w:val="0"/>
      <w:spacing w:line="360" w:lineRule="atLeast"/>
      <w:jc w:val="left"/>
      <w:textAlignment w:val="baseline"/>
    </w:pPr>
    <w:rPr>
      <w:rFonts w:ascii="Calibri"/>
      <w:sz w:val="18"/>
    </w:rPr>
  </w:style>
  <w:style w:type="paragraph" w:styleId="68">
    <w:name w:val="toc 6"/>
    <w:basedOn w:val="1"/>
    <w:next w:val="1"/>
    <w:autoRedefine/>
    <w:qFormat/>
    <w:uiPriority w:val="39"/>
    <w:pPr>
      <w:ind w:left="2100" w:leftChars="1000"/>
    </w:pPr>
  </w:style>
  <w:style w:type="paragraph" w:styleId="69">
    <w:name w:val="List 5"/>
    <w:basedOn w:val="1"/>
    <w:autoRedefine/>
    <w:qFormat/>
    <w:uiPriority w:val="0"/>
    <w:pPr>
      <w:adjustRightInd w:val="0"/>
      <w:spacing w:line="360" w:lineRule="atLeast"/>
      <w:ind w:left="2100" w:hanging="420"/>
      <w:jc w:val="left"/>
      <w:textAlignment w:val="baseline"/>
    </w:pPr>
    <w:rPr>
      <w:rFonts w:ascii="Calibri"/>
      <w:sz w:val="24"/>
    </w:rPr>
  </w:style>
  <w:style w:type="paragraph" w:styleId="70">
    <w:name w:val="Body Text Indent 3"/>
    <w:basedOn w:val="1"/>
    <w:link w:val="200"/>
    <w:autoRedefine/>
    <w:qFormat/>
    <w:uiPriority w:val="0"/>
    <w:pPr>
      <w:spacing w:line="360" w:lineRule="auto"/>
      <w:ind w:left="960" w:hanging="480"/>
      <w:jc w:val="left"/>
    </w:pPr>
    <w:rPr>
      <w:rFonts w:hAnsi="宋体"/>
      <w:sz w:val="20"/>
    </w:rPr>
  </w:style>
  <w:style w:type="paragraph" w:styleId="71">
    <w:name w:val="index 7"/>
    <w:basedOn w:val="1"/>
    <w:next w:val="1"/>
    <w:autoRedefine/>
    <w:qFormat/>
    <w:uiPriority w:val="0"/>
    <w:pPr>
      <w:adjustRightInd w:val="0"/>
      <w:spacing w:line="360" w:lineRule="atLeast"/>
      <w:ind w:left="2520"/>
      <w:jc w:val="left"/>
      <w:textAlignment w:val="baseline"/>
    </w:pPr>
    <w:rPr>
      <w:rFonts w:ascii="Calibri"/>
      <w:sz w:val="24"/>
    </w:rPr>
  </w:style>
  <w:style w:type="paragraph" w:styleId="72">
    <w:name w:val="index 9"/>
    <w:basedOn w:val="1"/>
    <w:next w:val="1"/>
    <w:autoRedefine/>
    <w:qFormat/>
    <w:uiPriority w:val="0"/>
    <w:pPr>
      <w:adjustRightInd w:val="0"/>
      <w:spacing w:line="360" w:lineRule="atLeast"/>
      <w:ind w:left="3360"/>
      <w:jc w:val="left"/>
      <w:textAlignment w:val="baseline"/>
    </w:pPr>
    <w:rPr>
      <w:rFonts w:ascii="Calibri"/>
      <w:sz w:val="24"/>
    </w:rPr>
  </w:style>
  <w:style w:type="paragraph" w:styleId="73">
    <w:name w:val="table of figures"/>
    <w:basedOn w:val="1"/>
    <w:next w:val="1"/>
    <w:autoRedefine/>
    <w:qFormat/>
    <w:uiPriority w:val="0"/>
    <w:pPr>
      <w:adjustRightInd w:val="0"/>
      <w:spacing w:line="360" w:lineRule="atLeast"/>
      <w:ind w:left="840" w:hanging="420"/>
      <w:jc w:val="left"/>
      <w:textAlignment w:val="baseline"/>
    </w:pPr>
    <w:rPr>
      <w:rFonts w:ascii="Calibri"/>
      <w:sz w:val="24"/>
    </w:rPr>
  </w:style>
  <w:style w:type="paragraph" w:styleId="74">
    <w:name w:val="toc 2"/>
    <w:basedOn w:val="1"/>
    <w:next w:val="1"/>
    <w:autoRedefine/>
    <w:qFormat/>
    <w:uiPriority w:val="39"/>
    <w:pPr>
      <w:ind w:left="420" w:leftChars="200"/>
    </w:pPr>
  </w:style>
  <w:style w:type="paragraph" w:styleId="75">
    <w:name w:val="toc 9"/>
    <w:basedOn w:val="1"/>
    <w:next w:val="1"/>
    <w:autoRedefine/>
    <w:qFormat/>
    <w:uiPriority w:val="39"/>
    <w:pPr>
      <w:ind w:left="3360" w:leftChars="1600"/>
    </w:pPr>
  </w:style>
  <w:style w:type="paragraph" w:styleId="76">
    <w:name w:val="Body Text 2"/>
    <w:basedOn w:val="1"/>
    <w:link w:val="168"/>
    <w:autoRedefine/>
    <w:qFormat/>
    <w:uiPriority w:val="0"/>
    <w:pPr>
      <w:spacing w:after="120" w:line="480" w:lineRule="auto"/>
    </w:pPr>
  </w:style>
  <w:style w:type="paragraph" w:styleId="77">
    <w:name w:val="List 4"/>
    <w:basedOn w:val="1"/>
    <w:autoRedefine/>
    <w:qFormat/>
    <w:uiPriority w:val="0"/>
    <w:pPr>
      <w:adjustRightInd w:val="0"/>
      <w:spacing w:line="360" w:lineRule="atLeast"/>
      <w:ind w:left="1680" w:hanging="420"/>
      <w:jc w:val="left"/>
      <w:textAlignment w:val="baseline"/>
    </w:pPr>
    <w:rPr>
      <w:rFonts w:ascii="Calibri"/>
      <w:sz w:val="24"/>
    </w:rPr>
  </w:style>
  <w:style w:type="paragraph" w:styleId="78">
    <w:name w:val="List Continue 2"/>
    <w:basedOn w:val="1"/>
    <w:autoRedefine/>
    <w:qFormat/>
    <w:uiPriority w:val="0"/>
    <w:pPr>
      <w:adjustRightInd w:val="0"/>
      <w:spacing w:after="120" w:line="360" w:lineRule="atLeast"/>
      <w:ind w:left="840"/>
      <w:jc w:val="left"/>
      <w:textAlignment w:val="baseline"/>
    </w:pPr>
    <w:rPr>
      <w:rFonts w:ascii="Calibri"/>
      <w:sz w:val="24"/>
    </w:rPr>
  </w:style>
  <w:style w:type="paragraph" w:styleId="79">
    <w:name w:val="Message Header"/>
    <w:basedOn w:val="1"/>
    <w:link w:val="130"/>
    <w:autoRedefine/>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60" w:lineRule="atLeast"/>
      <w:ind w:left="1080" w:hanging="1080"/>
      <w:jc w:val="left"/>
      <w:textAlignment w:val="baseline"/>
    </w:pPr>
    <w:rPr>
      <w:rFonts w:ascii="Arial" w:hAnsi="Arial"/>
      <w:sz w:val="24"/>
      <w:shd w:val="pct20" w:color="auto" w:fill="auto"/>
    </w:rPr>
  </w:style>
  <w:style w:type="paragraph" w:styleId="80">
    <w:name w:val="HTML Preformatted"/>
    <w:basedOn w:val="1"/>
    <w:link w:val="15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81">
    <w:name w:val="Normal (Web)"/>
    <w:basedOn w:val="1"/>
    <w:autoRedefine/>
    <w:qFormat/>
    <w:uiPriority w:val="0"/>
    <w:pPr>
      <w:widowControl/>
      <w:spacing w:before="100" w:beforeAutospacing="1" w:after="100" w:afterAutospacing="1"/>
      <w:jc w:val="left"/>
    </w:pPr>
    <w:rPr>
      <w:rFonts w:hAnsi="宋体"/>
      <w:sz w:val="24"/>
      <w:szCs w:val="24"/>
    </w:rPr>
  </w:style>
  <w:style w:type="paragraph" w:styleId="82">
    <w:name w:val="List Continue 3"/>
    <w:basedOn w:val="1"/>
    <w:autoRedefine/>
    <w:qFormat/>
    <w:uiPriority w:val="0"/>
    <w:pPr>
      <w:adjustRightInd w:val="0"/>
      <w:spacing w:after="120" w:line="360" w:lineRule="atLeast"/>
      <w:ind w:left="1260"/>
      <w:jc w:val="left"/>
      <w:textAlignment w:val="baseline"/>
    </w:pPr>
    <w:rPr>
      <w:rFonts w:ascii="Calibri"/>
      <w:sz w:val="24"/>
    </w:rPr>
  </w:style>
  <w:style w:type="paragraph" w:styleId="83">
    <w:name w:val="index 2"/>
    <w:basedOn w:val="1"/>
    <w:next w:val="1"/>
    <w:autoRedefine/>
    <w:qFormat/>
    <w:uiPriority w:val="0"/>
    <w:pPr>
      <w:adjustRightInd w:val="0"/>
      <w:spacing w:line="360" w:lineRule="atLeast"/>
      <w:ind w:left="420"/>
      <w:jc w:val="left"/>
      <w:textAlignment w:val="baseline"/>
    </w:pPr>
    <w:rPr>
      <w:rFonts w:ascii="Calibri"/>
      <w:sz w:val="24"/>
    </w:rPr>
  </w:style>
  <w:style w:type="paragraph" w:styleId="84">
    <w:name w:val="Title"/>
    <w:basedOn w:val="1"/>
    <w:next w:val="1"/>
    <w:link w:val="170"/>
    <w:autoRedefine/>
    <w:qFormat/>
    <w:uiPriority w:val="0"/>
    <w:pPr>
      <w:spacing w:before="240" w:after="60"/>
      <w:jc w:val="center"/>
      <w:outlineLvl w:val="0"/>
    </w:pPr>
    <w:rPr>
      <w:rFonts w:ascii="Cambria" w:hAnsi="Cambria"/>
      <w:b/>
      <w:bCs/>
      <w:sz w:val="32"/>
      <w:szCs w:val="32"/>
    </w:rPr>
  </w:style>
  <w:style w:type="paragraph" w:styleId="85">
    <w:name w:val="annotation subject"/>
    <w:basedOn w:val="27"/>
    <w:next w:val="27"/>
    <w:link w:val="119"/>
    <w:autoRedefine/>
    <w:qFormat/>
    <w:uiPriority w:val="0"/>
    <w:rPr>
      <w:rFonts w:ascii="Calibri"/>
      <w:b/>
      <w:bCs/>
      <w:sz w:val="20"/>
    </w:rPr>
  </w:style>
  <w:style w:type="paragraph" w:styleId="86">
    <w:name w:val="Body Text First Indent"/>
    <w:basedOn w:val="33"/>
    <w:next w:val="1"/>
    <w:link w:val="175"/>
    <w:autoRedefine/>
    <w:qFormat/>
    <w:uiPriority w:val="0"/>
    <w:pPr>
      <w:ind w:firstLine="420" w:firstLineChars="100"/>
    </w:pPr>
    <w:rPr>
      <w:rFonts w:ascii="Calibri"/>
      <w:sz w:val="20"/>
      <w:szCs w:val="24"/>
    </w:rPr>
  </w:style>
  <w:style w:type="paragraph" w:styleId="87">
    <w:name w:val="Body Text First Indent 2"/>
    <w:basedOn w:val="34"/>
    <w:link w:val="189"/>
    <w:autoRedefine/>
    <w:qFormat/>
    <w:uiPriority w:val="0"/>
    <w:pPr>
      <w:adjustRightInd w:val="0"/>
      <w:spacing w:after="120" w:line="360" w:lineRule="atLeast"/>
      <w:ind w:left="420" w:firstLine="210" w:firstLineChars="0"/>
      <w:jc w:val="left"/>
      <w:textAlignment w:val="baseline"/>
    </w:pPr>
    <w:rPr>
      <w:rFonts w:ascii="Times New Roman" w:hAnsi="Times New Roman"/>
      <w:kern w:val="2"/>
      <w:sz w:val="24"/>
      <w:szCs w:val="22"/>
    </w:rPr>
  </w:style>
  <w:style w:type="table" w:styleId="89">
    <w:name w:val="Table Grid"/>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Elegant"/>
    <w:basedOn w:val="88"/>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92">
    <w:name w:val="Strong"/>
    <w:autoRedefine/>
    <w:qFormat/>
    <w:uiPriority w:val="0"/>
    <w:rPr>
      <w:b/>
      <w:bCs/>
    </w:rPr>
  </w:style>
  <w:style w:type="character" w:styleId="93">
    <w:name w:val="page number"/>
    <w:basedOn w:val="91"/>
    <w:autoRedefine/>
    <w:qFormat/>
    <w:uiPriority w:val="0"/>
  </w:style>
  <w:style w:type="character" w:styleId="94">
    <w:name w:val="FollowedHyperlink"/>
    <w:autoRedefine/>
    <w:qFormat/>
    <w:uiPriority w:val="0"/>
    <w:rPr>
      <w:color w:val="800080"/>
      <w:u w:val="single"/>
    </w:rPr>
  </w:style>
  <w:style w:type="character" w:styleId="95">
    <w:name w:val="line number"/>
    <w:autoRedefine/>
    <w:qFormat/>
    <w:uiPriority w:val="0"/>
    <w:rPr>
      <w:rFonts w:ascii="仿宋_GB2312" w:eastAsia="仿宋_GB2312"/>
      <w:sz w:val="32"/>
      <w:szCs w:val="32"/>
    </w:rPr>
  </w:style>
  <w:style w:type="character" w:styleId="96">
    <w:name w:val="Hyperlink"/>
    <w:autoRedefine/>
    <w:qFormat/>
    <w:uiPriority w:val="99"/>
    <w:rPr>
      <w:color w:val="0000FF"/>
      <w:u w:val="single"/>
    </w:rPr>
  </w:style>
  <w:style w:type="character" w:styleId="97">
    <w:name w:val="annotation reference"/>
    <w:basedOn w:val="91"/>
    <w:autoRedefine/>
    <w:qFormat/>
    <w:uiPriority w:val="0"/>
    <w:rPr>
      <w:sz w:val="21"/>
      <w:szCs w:val="21"/>
    </w:rPr>
  </w:style>
  <w:style w:type="character" w:styleId="98">
    <w:name w:val="footnote reference"/>
    <w:autoRedefine/>
    <w:qFormat/>
    <w:uiPriority w:val="0"/>
    <w:rPr>
      <w:vertAlign w:val="superscript"/>
    </w:rPr>
  </w:style>
  <w:style w:type="paragraph" w:customStyle="1" w:styleId="99">
    <w:name w:val="样式 标题 1 + 四号 加粗"/>
    <w:basedOn w:val="3"/>
    <w:autoRedefine/>
    <w:qFormat/>
    <w:uiPriority w:val="0"/>
  </w:style>
  <w:style w:type="character" w:customStyle="1" w:styleId="100">
    <w:name w:val="文档结构图 Char1"/>
    <w:autoRedefine/>
    <w:qFormat/>
    <w:uiPriority w:val="0"/>
    <w:rPr>
      <w:rFonts w:ascii="宋体" w:hAnsi="Times New Roman" w:eastAsia="宋体" w:cs="Times New Roman"/>
      <w:sz w:val="18"/>
      <w:szCs w:val="18"/>
    </w:rPr>
  </w:style>
  <w:style w:type="character" w:customStyle="1" w:styleId="101">
    <w:name w:val="+正文 Char8"/>
    <w:autoRedefine/>
    <w:qFormat/>
    <w:uiPriority w:val="0"/>
    <w:rPr>
      <w:kern w:val="2"/>
      <w:sz w:val="24"/>
      <w:szCs w:val="28"/>
    </w:rPr>
  </w:style>
  <w:style w:type="character" w:customStyle="1" w:styleId="102">
    <w:name w:val="正文文本 3 字符"/>
    <w:link w:val="30"/>
    <w:autoRedefine/>
    <w:qFormat/>
    <w:uiPriority w:val="0"/>
    <w:rPr>
      <w:b/>
      <w:bCs/>
      <w:color w:val="000000"/>
      <w:szCs w:val="24"/>
    </w:rPr>
  </w:style>
  <w:style w:type="character" w:customStyle="1" w:styleId="103">
    <w:name w:val="Char Char6"/>
    <w:autoRedefine/>
    <w:qFormat/>
    <w:uiPriority w:val="0"/>
    <w:rPr>
      <w:rFonts w:ascii="Cambria" w:hAnsi="Cambria" w:eastAsia="宋体"/>
      <w:b/>
      <w:kern w:val="2"/>
      <w:sz w:val="32"/>
    </w:rPr>
  </w:style>
  <w:style w:type="character" w:customStyle="1" w:styleId="104">
    <w:name w:val="称呼 字符"/>
    <w:link w:val="29"/>
    <w:autoRedefine/>
    <w:qFormat/>
    <w:uiPriority w:val="0"/>
    <w:rPr>
      <w:sz w:val="24"/>
    </w:rPr>
  </w:style>
  <w:style w:type="character" w:customStyle="1" w:styleId="105">
    <w:name w:val="标题 3 字符"/>
    <w:link w:val="5"/>
    <w:autoRedefine/>
    <w:qFormat/>
    <w:uiPriority w:val="0"/>
    <w:rPr>
      <w:rFonts w:ascii="黑体" w:hAnsi="Times New Roman" w:eastAsia="黑体"/>
      <w:b/>
      <w:snapToGrid/>
      <w:spacing w:val="8"/>
      <w:sz w:val="28"/>
    </w:rPr>
  </w:style>
  <w:style w:type="character" w:customStyle="1" w:styleId="106">
    <w:name w:val="标题 Char1"/>
    <w:autoRedefine/>
    <w:qFormat/>
    <w:uiPriority w:val="0"/>
    <w:rPr>
      <w:rFonts w:ascii="Cambria" w:hAnsi="Cambria" w:cs="Times New Roman"/>
      <w:b/>
      <w:bCs/>
      <w:kern w:val="2"/>
      <w:sz w:val="32"/>
      <w:szCs w:val="32"/>
    </w:rPr>
  </w:style>
  <w:style w:type="character" w:customStyle="1" w:styleId="107">
    <w:name w:val="纯文本 Char2"/>
    <w:autoRedefine/>
    <w:qFormat/>
    <w:uiPriority w:val="0"/>
    <w:rPr>
      <w:rFonts w:ascii="宋体" w:hAnsi="Courier New" w:eastAsia="宋体" w:cs="Courier New"/>
      <w:szCs w:val="21"/>
    </w:rPr>
  </w:style>
  <w:style w:type="character" w:customStyle="1" w:styleId="108">
    <w:name w:val="江建权 Char Char"/>
    <w:link w:val="109"/>
    <w:autoRedefine/>
    <w:qFormat/>
    <w:uiPriority w:val="0"/>
    <w:rPr>
      <w:rFonts w:ascii="宋体" w:hAnsi="宋体"/>
      <w:sz w:val="24"/>
      <w:szCs w:val="24"/>
    </w:rPr>
  </w:style>
  <w:style w:type="paragraph" w:customStyle="1" w:styleId="109">
    <w:name w:val="江建权"/>
    <w:basedOn w:val="1"/>
    <w:link w:val="108"/>
    <w:autoRedefine/>
    <w:qFormat/>
    <w:uiPriority w:val="0"/>
    <w:pPr>
      <w:spacing w:line="440" w:lineRule="exact"/>
      <w:ind w:firstLine="200" w:firstLineChars="200"/>
    </w:pPr>
    <w:rPr>
      <w:rFonts w:hAnsi="宋体"/>
      <w:sz w:val="24"/>
      <w:szCs w:val="24"/>
    </w:rPr>
  </w:style>
  <w:style w:type="character" w:customStyle="1" w:styleId="110">
    <w:name w:val="尾注文本 字符"/>
    <w:link w:val="52"/>
    <w:autoRedefine/>
    <w:qFormat/>
    <w:uiPriority w:val="0"/>
    <w:rPr>
      <w:sz w:val="24"/>
    </w:rPr>
  </w:style>
  <w:style w:type="character" w:customStyle="1" w:styleId="111">
    <w:name w:val="签名 字符"/>
    <w:link w:val="58"/>
    <w:autoRedefine/>
    <w:qFormat/>
    <w:uiPriority w:val="0"/>
    <w:rPr>
      <w:sz w:val="24"/>
    </w:rPr>
  </w:style>
  <w:style w:type="character" w:customStyle="1" w:styleId="112">
    <w:name w:val="编号1 Char"/>
    <w:link w:val="113"/>
    <w:autoRedefine/>
    <w:qFormat/>
    <w:uiPriority w:val="0"/>
    <w:rPr>
      <w:rFonts w:ascii="宋体"/>
      <w:sz w:val="24"/>
      <w:szCs w:val="24"/>
    </w:rPr>
  </w:style>
  <w:style w:type="paragraph" w:customStyle="1" w:styleId="113">
    <w:name w:val="编号1"/>
    <w:basedOn w:val="114"/>
    <w:next w:val="114"/>
    <w:link w:val="112"/>
    <w:autoRedefine/>
    <w:qFormat/>
    <w:uiPriority w:val="0"/>
    <w:pPr>
      <w:ind w:firstLine="0" w:firstLineChars="0"/>
    </w:pPr>
  </w:style>
  <w:style w:type="paragraph" w:customStyle="1" w:styleId="114">
    <w:name w:val="C"/>
    <w:basedOn w:val="1"/>
    <w:link w:val="203"/>
    <w:autoRedefine/>
    <w:qFormat/>
    <w:uiPriority w:val="0"/>
    <w:pPr>
      <w:spacing w:line="360" w:lineRule="auto"/>
      <w:ind w:firstLine="480" w:firstLineChars="200"/>
    </w:pPr>
    <w:rPr>
      <w:sz w:val="24"/>
      <w:szCs w:val="24"/>
    </w:rPr>
  </w:style>
  <w:style w:type="character" w:customStyle="1" w:styleId="115">
    <w:name w:val="标题 4 字符"/>
    <w:link w:val="6"/>
    <w:autoRedefine/>
    <w:qFormat/>
    <w:uiPriority w:val="0"/>
    <w:rPr>
      <w:rFonts w:ascii="Times New Roman" w:hAnsi="Times New Roman" w:eastAsia="宋体" w:cs="Times New Roman"/>
      <w:spacing w:val="8"/>
      <w:kern w:val="0"/>
      <w:sz w:val="28"/>
      <w:szCs w:val="20"/>
    </w:rPr>
  </w:style>
  <w:style w:type="character" w:customStyle="1" w:styleId="116">
    <w:name w:val="标题 1 字符"/>
    <w:link w:val="3"/>
    <w:autoRedefine/>
    <w:qFormat/>
    <w:uiPriority w:val="0"/>
    <w:rPr>
      <w:rFonts w:ascii="Times New Roman" w:hAnsi="Times New Roman" w:eastAsia="宋体" w:cs="Times New Roman"/>
      <w:sz w:val="28"/>
      <w:szCs w:val="24"/>
    </w:rPr>
  </w:style>
  <w:style w:type="character" w:customStyle="1" w:styleId="117">
    <w:name w:val="10"/>
    <w:autoRedefine/>
    <w:qFormat/>
    <w:uiPriority w:val="0"/>
    <w:rPr>
      <w:rFonts w:hint="default" w:ascii="Times New Roman" w:hAnsi="Times New Roman" w:cs="Times New Roman"/>
    </w:rPr>
  </w:style>
  <w:style w:type="character" w:customStyle="1" w:styleId="118">
    <w:name w:val="title_emph1"/>
    <w:autoRedefine/>
    <w:qFormat/>
    <w:uiPriority w:val="0"/>
    <w:rPr>
      <w:rFonts w:hint="default" w:ascii="Arial" w:hAnsi="Arial" w:cs="Arial"/>
      <w:b/>
      <w:bCs/>
      <w:sz w:val="18"/>
      <w:szCs w:val="18"/>
    </w:rPr>
  </w:style>
  <w:style w:type="character" w:customStyle="1" w:styleId="119">
    <w:name w:val="批注主题 字符1"/>
    <w:link w:val="85"/>
    <w:autoRedefine/>
    <w:qFormat/>
    <w:uiPriority w:val="0"/>
    <w:rPr>
      <w:b/>
      <w:bCs/>
    </w:rPr>
  </w:style>
  <w:style w:type="character" w:customStyle="1" w:styleId="120">
    <w:name w:val="批注框文本 字符"/>
    <w:autoRedefine/>
    <w:qFormat/>
    <w:uiPriority w:val="0"/>
    <w:rPr>
      <w:kern w:val="2"/>
      <w:sz w:val="18"/>
      <w:szCs w:val="18"/>
    </w:rPr>
  </w:style>
  <w:style w:type="character" w:customStyle="1" w:styleId="121">
    <w:name w:val="注释标题 字符"/>
    <w:link w:val="16"/>
    <w:autoRedefine/>
    <w:qFormat/>
    <w:uiPriority w:val="0"/>
    <w:rPr>
      <w:sz w:val="24"/>
    </w:rPr>
  </w:style>
  <w:style w:type="character" w:customStyle="1" w:styleId="122">
    <w:name w:val="日期 Char1"/>
    <w:autoRedefine/>
    <w:qFormat/>
    <w:uiPriority w:val="0"/>
    <w:rPr>
      <w:rFonts w:ascii="Times New Roman" w:hAnsi="Times New Roman" w:eastAsia="宋体" w:cs="Times New Roman"/>
      <w:szCs w:val="20"/>
    </w:rPr>
  </w:style>
  <w:style w:type="character" w:customStyle="1" w:styleId="123">
    <w:name w:val="编号A Char"/>
    <w:link w:val="124"/>
    <w:autoRedefine/>
    <w:qFormat/>
    <w:uiPriority w:val="0"/>
    <w:rPr>
      <w:rFonts w:ascii="宋体"/>
      <w:sz w:val="24"/>
      <w:szCs w:val="24"/>
    </w:rPr>
  </w:style>
  <w:style w:type="paragraph" w:customStyle="1" w:styleId="124">
    <w:name w:val="编号A"/>
    <w:basedOn w:val="114"/>
    <w:next w:val="114"/>
    <w:link w:val="123"/>
    <w:autoRedefine/>
    <w:qFormat/>
    <w:uiPriority w:val="0"/>
    <w:pPr>
      <w:ind w:firstLine="0" w:firstLineChars="0"/>
    </w:pPr>
  </w:style>
  <w:style w:type="character" w:customStyle="1" w:styleId="125">
    <w:name w:val="批注主题 字符"/>
    <w:autoRedefine/>
    <w:qFormat/>
    <w:uiPriority w:val="0"/>
    <w:rPr>
      <w:b/>
      <w:bCs/>
      <w:sz w:val="28"/>
      <w:szCs w:val="28"/>
    </w:rPr>
  </w:style>
  <w:style w:type="character" w:customStyle="1" w:styleId="126">
    <w:name w:val="正文文本 Char1"/>
    <w:autoRedefine/>
    <w:qFormat/>
    <w:uiPriority w:val="0"/>
    <w:rPr>
      <w:rFonts w:ascii="Times New Roman" w:hAnsi="Times New Roman" w:eastAsia="宋体" w:cs="Times New Roman"/>
      <w:szCs w:val="20"/>
    </w:rPr>
  </w:style>
  <w:style w:type="character" w:customStyle="1" w:styleId="127">
    <w:name w:val="批注框文本 Char1"/>
    <w:autoRedefine/>
    <w:qFormat/>
    <w:uiPriority w:val="0"/>
    <w:rPr>
      <w:rFonts w:ascii="Times New Roman" w:hAnsi="Times New Roman" w:eastAsia="宋体" w:cs="Times New Roman"/>
      <w:sz w:val="18"/>
      <w:szCs w:val="18"/>
    </w:rPr>
  </w:style>
  <w:style w:type="character" w:customStyle="1" w:styleId="128">
    <w:name w:val="标题 5 字符"/>
    <w:link w:val="7"/>
    <w:autoRedefine/>
    <w:qFormat/>
    <w:uiPriority w:val="0"/>
    <w:rPr>
      <w:rFonts w:ascii="宋体" w:hAnsi="Times New Roman" w:eastAsia="宋体" w:cs="Times New Roman"/>
      <w:b/>
      <w:spacing w:val="20"/>
      <w:kern w:val="0"/>
      <w:sz w:val="24"/>
      <w:szCs w:val="20"/>
    </w:rPr>
  </w:style>
  <w:style w:type="character" w:customStyle="1" w:styleId="129">
    <w:name w:val="标题 Char2"/>
    <w:autoRedefine/>
    <w:qFormat/>
    <w:uiPriority w:val="0"/>
    <w:rPr>
      <w:rFonts w:ascii="Cambria" w:hAnsi="Cambria" w:eastAsia="宋体" w:cs="Times New Roman"/>
      <w:b/>
      <w:bCs/>
      <w:sz w:val="32"/>
      <w:szCs w:val="32"/>
    </w:rPr>
  </w:style>
  <w:style w:type="character" w:customStyle="1" w:styleId="130">
    <w:name w:val="信息标题 字符"/>
    <w:link w:val="79"/>
    <w:autoRedefine/>
    <w:qFormat/>
    <w:uiPriority w:val="0"/>
    <w:rPr>
      <w:rFonts w:ascii="Arial" w:hAnsi="Arial"/>
      <w:sz w:val="24"/>
      <w:shd w:val="pct20" w:color="auto" w:fill="auto"/>
    </w:rPr>
  </w:style>
  <w:style w:type="character" w:customStyle="1" w:styleId="131">
    <w:name w:val="标题 8 字符"/>
    <w:link w:val="10"/>
    <w:autoRedefine/>
    <w:qFormat/>
    <w:uiPriority w:val="0"/>
    <w:rPr>
      <w:rFonts w:ascii="Arial" w:hAnsi="Arial" w:eastAsia="黑体" w:cs="Times New Roman"/>
      <w:spacing w:val="20"/>
      <w:kern w:val="0"/>
      <w:sz w:val="24"/>
      <w:szCs w:val="20"/>
    </w:rPr>
  </w:style>
  <w:style w:type="character" w:customStyle="1" w:styleId="132">
    <w:name w:val="脚注文本 字符"/>
    <w:link w:val="67"/>
    <w:autoRedefine/>
    <w:qFormat/>
    <w:uiPriority w:val="0"/>
    <w:rPr>
      <w:sz w:val="18"/>
    </w:rPr>
  </w:style>
  <w:style w:type="character" w:customStyle="1" w:styleId="133">
    <w:name w:val="批注主题 Char1"/>
    <w:autoRedefine/>
    <w:qFormat/>
    <w:uiPriority w:val="0"/>
    <w:rPr>
      <w:b/>
      <w:bCs/>
      <w:kern w:val="2"/>
      <w:sz w:val="21"/>
      <w:szCs w:val="24"/>
    </w:rPr>
  </w:style>
  <w:style w:type="character" w:customStyle="1" w:styleId="134">
    <w:name w:val="正文文本缩进 字符"/>
    <w:link w:val="34"/>
    <w:autoRedefine/>
    <w:qFormat/>
    <w:uiPriority w:val="0"/>
    <w:rPr>
      <w:rFonts w:hAnsi="宋体" w:eastAsia="宋体"/>
    </w:rPr>
  </w:style>
  <w:style w:type="character" w:customStyle="1" w:styleId="135">
    <w:name w:val="批注文字 字符1"/>
    <w:link w:val="27"/>
    <w:autoRedefine/>
    <w:qFormat/>
    <w:uiPriority w:val="0"/>
  </w:style>
  <w:style w:type="character" w:customStyle="1" w:styleId="136">
    <w:name w:val="纯文本 字符"/>
    <w:link w:val="44"/>
    <w:autoRedefine/>
    <w:qFormat/>
    <w:uiPriority w:val="0"/>
    <w:rPr>
      <w:rFonts w:ascii="宋体" w:hAnsi="Courier New" w:eastAsia="宋体"/>
    </w:rPr>
  </w:style>
  <w:style w:type="character" w:customStyle="1" w:styleId="137">
    <w:name w:val="span1"/>
    <w:basedOn w:val="91"/>
    <w:autoRedefine/>
    <w:qFormat/>
    <w:uiPriority w:val="0"/>
  </w:style>
  <w:style w:type="character" w:customStyle="1" w:styleId="138">
    <w:name w:val="+标题3 Char1"/>
    <w:link w:val="139"/>
    <w:autoRedefine/>
    <w:qFormat/>
    <w:uiPriority w:val="0"/>
    <w:rPr>
      <w:rFonts w:ascii="Times New Roman"/>
      <w:b/>
      <w:bCs/>
      <w:sz w:val="24"/>
      <w:szCs w:val="24"/>
    </w:rPr>
  </w:style>
  <w:style w:type="paragraph" w:customStyle="1" w:styleId="139">
    <w:name w:val="+标题3"/>
    <w:basedOn w:val="5"/>
    <w:link w:val="138"/>
    <w:autoRedefine/>
    <w:qFormat/>
    <w:uiPriority w:val="0"/>
    <w:pPr>
      <w:numPr>
        <w:numId w:val="0"/>
      </w:numPr>
      <w:autoSpaceDE w:val="0"/>
      <w:spacing w:before="120" w:after="120" w:line="360" w:lineRule="auto"/>
      <w:ind w:left="833" w:hanging="833"/>
    </w:pPr>
    <w:rPr>
      <w:rFonts w:ascii="Times New Roman" w:hAnsi="Calibri" w:eastAsia="宋体"/>
      <w:bCs/>
      <w:spacing w:val="0"/>
      <w:sz w:val="24"/>
      <w:szCs w:val="24"/>
    </w:rPr>
  </w:style>
  <w:style w:type="character" w:customStyle="1" w:styleId="140">
    <w:name w:val="标题 2 字符"/>
    <w:link w:val="4"/>
    <w:autoRedefine/>
    <w:qFormat/>
    <w:uiPriority w:val="0"/>
    <w:rPr>
      <w:rFonts w:ascii="Arial" w:hAnsi="Arial" w:eastAsia="黑体" w:cs="Times New Roman"/>
      <w:b/>
      <w:bCs/>
      <w:sz w:val="32"/>
      <w:szCs w:val="32"/>
    </w:rPr>
  </w:style>
  <w:style w:type="character" w:customStyle="1" w:styleId="141">
    <w:name w:val="宏文本 字符"/>
    <w:link w:val="2"/>
    <w:autoRedefine/>
    <w:qFormat/>
    <w:uiPriority w:val="0"/>
    <w:rPr>
      <w:rFonts w:ascii="Courier New" w:hAnsi="Courier New"/>
      <w:sz w:val="24"/>
      <w:lang w:val="en-US" w:eastAsia="zh-CN" w:bidi="ar-SA"/>
    </w:rPr>
  </w:style>
  <w:style w:type="character" w:customStyle="1" w:styleId="142">
    <w:name w:val="正文文本缩进 3 Char1"/>
    <w:autoRedefine/>
    <w:qFormat/>
    <w:uiPriority w:val="0"/>
    <w:rPr>
      <w:rFonts w:ascii="Times New Roman" w:hAnsi="Times New Roman" w:eastAsia="宋体" w:cs="Times New Roman"/>
      <w:sz w:val="16"/>
      <w:szCs w:val="16"/>
    </w:rPr>
  </w:style>
  <w:style w:type="character" w:customStyle="1" w:styleId="143">
    <w:name w:val="big14"/>
    <w:basedOn w:val="91"/>
    <w:autoRedefine/>
    <w:qFormat/>
    <w:uiPriority w:val="0"/>
  </w:style>
  <w:style w:type="character" w:customStyle="1" w:styleId="144">
    <w:name w:val="纯文本 Char1"/>
    <w:link w:val="145"/>
    <w:autoRedefine/>
    <w:qFormat/>
    <w:uiPriority w:val="0"/>
    <w:rPr>
      <w:rFonts w:ascii="宋体" w:hAnsi="Courier New" w:eastAsia="宋体"/>
    </w:rPr>
  </w:style>
  <w:style w:type="paragraph" w:customStyle="1" w:styleId="145">
    <w:name w:val="纯文本1"/>
    <w:basedOn w:val="1"/>
    <w:link w:val="144"/>
    <w:autoRedefine/>
    <w:qFormat/>
    <w:uiPriority w:val="0"/>
    <w:rPr>
      <w:rFonts w:hAnsi="Courier New"/>
      <w:sz w:val="20"/>
    </w:rPr>
  </w:style>
  <w:style w:type="character" w:customStyle="1" w:styleId="146">
    <w:name w:val="批注主题 Char2"/>
    <w:autoRedefine/>
    <w:qFormat/>
    <w:uiPriority w:val="0"/>
    <w:rPr>
      <w:rFonts w:ascii="Times New Roman" w:hAnsi="Times New Roman" w:eastAsia="宋体" w:cs="Times New Roman"/>
      <w:b/>
      <w:bCs/>
      <w:szCs w:val="20"/>
    </w:rPr>
  </w:style>
  <w:style w:type="character" w:customStyle="1" w:styleId="147">
    <w:name w:val="标题 9 字符"/>
    <w:link w:val="11"/>
    <w:autoRedefine/>
    <w:qFormat/>
    <w:uiPriority w:val="0"/>
    <w:rPr>
      <w:rFonts w:ascii="Arial" w:hAnsi="Arial" w:eastAsia="黑体" w:cs="Times New Roman"/>
      <w:szCs w:val="21"/>
    </w:rPr>
  </w:style>
  <w:style w:type="character" w:customStyle="1" w:styleId="148">
    <w:name w:val="正文文本 字符"/>
    <w:link w:val="33"/>
    <w:autoRedefine/>
    <w:qFormat/>
    <w:uiPriority w:val="0"/>
  </w:style>
  <w:style w:type="character" w:customStyle="1" w:styleId="149">
    <w:name w:val="结束语 Char1"/>
    <w:autoRedefine/>
    <w:qFormat/>
    <w:uiPriority w:val="99"/>
    <w:rPr>
      <w:rFonts w:ascii="Times New Roman" w:hAnsi="Times New Roman"/>
      <w:kern w:val="2"/>
      <w:sz w:val="21"/>
    </w:rPr>
  </w:style>
  <w:style w:type="character" w:customStyle="1" w:styleId="150">
    <w:name w:val="批注文字 字符"/>
    <w:autoRedefine/>
    <w:qFormat/>
    <w:uiPriority w:val="0"/>
    <w:rPr>
      <w:kern w:val="2"/>
      <w:sz w:val="21"/>
      <w:szCs w:val="24"/>
    </w:rPr>
  </w:style>
  <w:style w:type="character" w:customStyle="1" w:styleId="151">
    <w:name w:val="black14px1"/>
    <w:autoRedefine/>
    <w:qFormat/>
    <w:uiPriority w:val="0"/>
    <w:rPr>
      <w:sz w:val="21"/>
      <w:szCs w:val="21"/>
    </w:rPr>
  </w:style>
  <w:style w:type="character" w:customStyle="1" w:styleId="152">
    <w:name w:val="批注文字 Char1"/>
    <w:autoRedefine/>
    <w:qFormat/>
    <w:uiPriority w:val="0"/>
    <w:rPr>
      <w:rFonts w:ascii="Times New Roman" w:hAnsi="Times New Roman" w:eastAsia="宋体" w:cs="Times New Roman"/>
      <w:szCs w:val="20"/>
    </w:rPr>
  </w:style>
  <w:style w:type="character" w:customStyle="1" w:styleId="153">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154">
    <w:name w:val="文档结构图 字符"/>
    <w:link w:val="25"/>
    <w:autoRedefine/>
    <w:qFormat/>
    <w:uiPriority w:val="0"/>
    <w:rPr>
      <w:shd w:val="clear" w:color="auto" w:fill="000080"/>
    </w:rPr>
  </w:style>
  <w:style w:type="character" w:customStyle="1" w:styleId="155">
    <w:name w:val="Char Char16"/>
    <w:autoRedefine/>
    <w:qFormat/>
    <w:uiPriority w:val="0"/>
    <w:rPr>
      <w:rFonts w:eastAsia="宋体"/>
      <w:kern w:val="2"/>
      <w:sz w:val="21"/>
      <w:szCs w:val="24"/>
      <w:lang w:val="en-US" w:eastAsia="zh-CN" w:bidi="ar-SA"/>
    </w:rPr>
  </w:style>
  <w:style w:type="character" w:customStyle="1" w:styleId="156">
    <w:name w:val="+正文 Char Char5 Char Char Char"/>
    <w:link w:val="157"/>
    <w:autoRedefine/>
    <w:qFormat/>
    <w:uiPriority w:val="0"/>
    <w:rPr>
      <w:sz w:val="24"/>
      <w:szCs w:val="24"/>
    </w:rPr>
  </w:style>
  <w:style w:type="paragraph" w:customStyle="1" w:styleId="157">
    <w:name w:val="+正文 Char Char5 Char"/>
    <w:basedOn w:val="1"/>
    <w:link w:val="156"/>
    <w:autoRedefine/>
    <w:qFormat/>
    <w:uiPriority w:val="0"/>
    <w:pPr>
      <w:spacing w:line="360" w:lineRule="auto"/>
      <w:ind w:firstLine="200" w:firstLineChars="200"/>
    </w:pPr>
    <w:rPr>
      <w:rFonts w:ascii="Calibri"/>
      <w:sz w:val="24"/>
      <w:szCs w:val="24"/>
    </w:rPr>
  </w:style>
  <w:style w:type="character" w:customStyle="1" w:styleId="158">
    <w:name w:val="HTML 预设格式 字符"/>
    <w:link w:val="80"/>
    <w:autoRedefine/>
    <w:qFormat/>
    <w:uiPriority w:val="0"/>
    <w:rPr>
      <w:rFonts w:ascii="宋体" w:hAnsi="宋体"/>
      <w:sz w:val="24"/>
      <w:szCs w:val="24"/>
    </w:rPr>
  </w:style>
  <w:style w:type="character" w:customStyle="1" w:styleId="159">
    <w:name w:val="16"/>
    <w:autoRedefine/>
    <w:qFormat/>
    <w:uiPriority w:val="0"/>
    <w:rPr>
      <w:rFonts w:hint="eastAsia" w:ascii="宋体" w:hAnsi="宋体" w:eastAsia="宋体"/>
      <w:color w:val="000000"/>
      <w:sz w:val="20"/>
      <w:szCs w:val="20"/>
    </w:rPr>
  </w:style>
  <w:style w:type="character" w:customStyle="1" w:styleId="160">
    <w:name w:val="17"/>
    <w:autoRedefine/>
    <w:qFormat/>
    <w:uiPriority w:val="0"/>
    <w:rPr>
      <w:rFonts w:hint="eastAsia" w:ascii="宋体" w:hAnsi="宋体" w:eastAsia="宋体"/>
      <w:color w:val="000000"/>
      <w:sz w:val="24"/>
      <w:szCs w:val="24"/>
    </w:rPr>
  </w:style>
  <w:style w:type="character" w:customStyle="1" w:styleId="161">
    <w:name w:val="正文文本 3 Char1"/>
    <w:autoRedefine/>
    <w:qFormat/>
    <w:uiPriority w:val="0"/>
    <w:rPr>
      <w:rFonts w:ascii="Times New Roman" w:hAnsi="Times New Roman" w:eastAsia="宋体" w:cs="Times New Roman"/>
      <w:sz w:val="16"/>
      <w:szCs w:val="16"/>
    </w:rPr>
  </w:style>
  <w:style w:type="character" w:customStyle="1" w:styleId="162">
    <w:name w:val="正文文本缩进 Char1"/>
    <w:autoRedefine/>
    <w:qFormat/>
    <w:uiPriority w:val="0"/>
    <w:rPr>
      <w:rFonts w:ascii="Times New Roman" w:hAnsi="Times New Roman" w:eastAsia="宋体" w:cs="Times New Roman"/>
      <w:szCs w:val="20"/>
    </w:rPr>
  </w:style>
  <w:style w:type="character" w:customStyle="1" w:styleId="163">
    <w:name w:val="18"/>
    <w:autoRedefine/>
    <w:qFormat/>
    <w:uiPriority w:val="0"/>
    <w:rPr>
      <w:rFonts w:hint="default" w:ascii="Calibri" w:hAnsi="Calibri" w:cs="Calibri"/>
      <w:color w:val="000000"/>
      <w:sz w:val="24"/>
      <w:szCs w:val="24"/>
    </w:rPr>
  </w:style>
  <w:style w:type="character" w:customStyle="1" w:styleId="164">
    <w:name w:val="页脚 Char1"/>
    <w:autoRedefine/>
    <w:qFormat/>
    <w:uiPriority w:val="0"/>
    <w:rPr>
      <w:rFonts w:ascii="Times New Roman" w:hAnsi="Times New Roman" w:eastAsia="宋体" w:cs="Times New Roman"/>
      <w:sz w:val="18"/>
      <w:szCs w:val="18"/>
    </w:rPr>
  </w:style>
  <w:style w:type="character" w:customStyle="1" w:styleId="165">
    <w:name w:val="Char Char5"/>
    <w:autoRedefine/>
    <w:qFormat/>
    <w:uiPriority w:val="0"/>
    <w:rPr>
      <w:b/>
      <w:kern w:val="2"/>
      <w:sz w:val="32"/>
    </w:rPr>
  </w:style>
  <w:style w:type="character" w:customStyle="1" w:styleId="166">
    <w:name w:val="日期 字符"/>
    <w:link w:val="49"/>
    <w:autoRedefine/>
    <w:qFormat/>
    <w:uiPriority w:val="0"/>
    <w:rPr>
      <w:rFonts w:ascii="黑体" w:eastAsia="黑体"/>
    </w:rPr>
  </w:style>
  <w:style w:type="character" w:customStyle="1" w:styleId="167">
    <w:name w:val="para1"/>
    <w:autoRedefine/>
    <w:qFormat/>
    <w:uiPriority w:val="0"/>
    <w:rPr>
      <w:rFonts w:hint="default" w:ascii="Arial" w:hAnsi="Arial" w:cs="Arial"/>
      <w:sz w:val="18"/>
      <w:szCs w:val="18"/>
    </w:rPr>
  </w:style>
  <w:style w:type="character" w:customStyle="1" w:styleId="168">
    <w:name w:val="正文文本 2 字符"/>
    <w:link w:val="76"/>
    <w:autoRedefine/>
    <w:qFormat/>
    <w:uiPriority w:val="0"/>
  </w:style>
  <w:style w:type="character" w:customStyle="1" w:styleId="169">
    <w:name w:val="页码1"/>
    <w:basedOn w:val="91"/>
    <w:autoRedefine/>
    <w:qFormat/>
    <w:uiPriority w:val="0"/>
  </w:style>
  <w:style w:type="character" w:customStyle="1" w:styleId="170">
    <w:name w:val="标题 字符"/>
    <w:link w:val="84"/>
    <w:autoRedefine/>
    <w:qFormat/>
    <w:uiPriority w:val="0"/>
    <w:rPr>
      <w:rFonts w:ascii="Cambria" w:hAnsi="Cambria"/>
      <w:b/>
      <w:bCs/>
      <w:sz w:val="32"/>
      <w:szCs w:val="32"/>
    </w:rPr>
  </w:style>
  <w:style w:type="character" w:customStyle="1" w:styleId="171">
    <w:name w:val="正文文本缩进 2 字符"/>
    <w:link w:val="51"/>
    <w:autoRedefine/>
    <w:qFormat/>
    <w:uiPriority w:val="0"/>
    <w:rPr>
      <w:rFonts w:ascii="宋体" w:hAnsi="宋体"/>
      <w:color w:val="000000"/>
    </w:rPr>
  </w:style>
  <w:style w:type="character" w:customStyle="1" w:styleId="172">
    <w:name w:val="正文首行缩进 Char1"/>
    <w:autoRedefine/>
    <w:qFormat/>
    <w:uiPriority w:val="0"/>
    <w:rPr>
      <w:rFonts w:ascii="Times New Roman" w:hAnsi="Times New Roman" w:eastAsia="宋体" w:cs="Times New Roman"/>
      <w:szCs w:val="20"/>
    </w:rPr>
  </w:style>
  <w:style w:type="character" w:customStyle="1" w:styleId="173">
    <w:name w:val="15"/>
    <w:autoRedefine/>
    <w:qFormat/>
    <w:uiPriority w:val="0"/>
    <w:rPr>
      <w:rFonts w:hint="eastAsia" w:ascii="宋体" w:hAnsi="宋体" w:eastAsia="宋体"/>
      <w:color w:val="000000"/>
      <w:sz w:val="24"/>
      <w:szCs w:val="24"/>
    </w:rPr>
  </w:style>
  <w:style w:type="character" w:customStyle="1" w:styleId="174">
    <w:name w:val="zbggmain style9"/>
    <w:basedOn w:val="91"/>
    <w:autoRedefine/>
    <w:qFormat/>
    <w:uiPriority w:val="0"/>
  </w:style>
  <w:style w:type="character" w:customStyle="1" w:styleId="175">
    <w:name w:val="正文文本首行缩进 字符"/>
    <w:link w:val="86"/>
    <w:autoRedefine/>
    <w:qFormat/>
    <w:uiPriority w:val="0"/>
    <w:rPr>
      <w:szCs w:val="24"/>
    </w:rPr>
  </w:style>
  <w:style w:type="character" w:customStyle="1" w:styleId="176">
    <w:name w:val="标题 6 字符"/>
    <w:link w:val="8"/>
    <w:autoRedefine/>
    <w:qFormat/>
    <w:uiPriority w:val="0"/>
    <w:rPr>
      <w:rFonts w:ascii="Arial" w:hAnsi="Arial" w:eastAsia="黑体" w:cs="Times New Roman"/>
      <w:b/>
      <w:spacing w:val="20"/>
      <w:kern w:val="0"/>
      <w:sz w:val="24"/>
      <w:szCs w:val="20"/>
    </w:rPr>
  </w:style>
  <w:style w:type="character" w:customStyle="1" w:styleId="177">
    <w:name w:val="普通文字 Char Char2"/>
    <w:autoRedefine/>
    <w:qFormat/>
    <w:uiPriority w:val="0"/>
    <w:rPr>
      <w:rFonts w:ascii="宋体" w:hAnsi="Courier New" w:eastAsia="宋体"/>
      <w:kern w:val="2"/>
      <w:sz w:val="21"/>
      <w:lang w:val="en-US" w:eastAsia="zh-CN" w:bidi="ar-SA"/>
    </w:rPr>
  </w:style>
  <w:style w:type="character" w:customStyle="1" w:styleId="178">
    <w:name w:val="！正文 Char Char"/>
    <w:link w:val="179"/>
    <w:autoRedefine/>
    <w:qFormat/>
    <w:uiPriority w:val="0"/>
    <w:rPr>
      <w:sz w:val="24"/>
      <w:szCs w:val="24"/>
    </w:rPr>
  </w:style>
  <w:style w:type="paragraph" w:customStyle="1" w:styleId="179">
    <w:name w:val="！正文"/>
    <w:basedOn w:val="1"/>
    <w:link w:val="178"/>
    <w:autoRedefine/>
    <w:qFormat/>
    <w:uiPriority w:val="0"/>
    <w:pPr>
      <w:spacing w:line="360" w:lineRule="auto"/>
      <w:ind w:firstLine="200" w:firstLineChars="200"/>
    </w:pPr>
    <w:rPr>
      <w:rFonts w:ascii="Calibri"/>
      <w:sz w:val="24"/>
      <w:szCs w:val="24"/>
    </w:rPr>
  </w:style>
  <w:style w:type="character" w:customStyle="1" w:styleId="180">
    <w:name w:val="页眉 字符"/>
    <w:link w:val="57"/>
    <w:autoRedefine/>
    <w:qFormat/>
    <w:uiPriority w:val="99"/>
    <w:rPr>
      <w:sz w:val="18"/>
    </w:rPr>
  </w:style>
  <w:style w:type="character" w:customStyle="1" w:styleId="181">
    <w:name w:val="+正文 Char Char Char4"/>
    <w:link w:val="182"/>
    <w:autoRedefine/>
    <w:qFormat/>
    <w:uiPriority w:val="0"/>
    <w:rPr>
      <w:sz w:val="24"/>
      <w:szCs w:val="24"/>
    </w:rPr>
  </w:style>
  <w:style w:type="paragraph" w:customStyle="1" w:styleId="182">
    <w:name w:val="+正文 Char Char7"/>
    <w:basedOn w:val="1"/>
    <w:link w:val="181"/>
    <w:autoRedefine/>
    <w:qFormat/>
    <w:uiPriority w:val="0"/>
    <w:pPr>
      <w:spacing w:line="360" w:lineRule="auto"/>
      <w:ind w:firstLine="200" w:firstLineChars="200"/>
    </w:pPr>
    <w:rPr>
      <w:rFonts w:ascii="Calibri"/>
      <w:sz w:val="24"/>
      <w:szCs w:val="24"/>
    </w:rPr>
  </w:style>
  <w:style w:type="character" w:customStyle="1" w:styleId="183">
    <w:name w:val="批注框文本 字符1"/>
    <w:link w:val="54"/>
    <w:autoRedefine/>
    <w:qFormat/>
    <w:uiPriority w:val="0"/>
    <w:rPr>
      <w:sz w:val="18"/>
    </w:rPr>
  </w:style>
  <w:style w:type="character" w:customStyle="1" w:styleId="184">
    <w:name w:val="标题 7 字符"/>
    <w:link w:val="9"/>
    <w:autoRedefine/>
    <w:qFormat/>
    <w:uiPriority w:val="0"/>
    <w:rPr>
      <w:rFonts w:ascii="宋体" w:hAnsi="Times New Roman" w:eastAsia="宋体" w:cs="Times New Roman"/>
      <w:b/>
      <w:spacing w:val="20"/>
      <w:kern w:val="0"/>
      <w:sz w:val="24"/>
      <w:szCs w:val="20"/>
    </w:rPr>
  </w:style>
  <w:style w:type="character" w:customStyle="1" w:styleId="185">
    <w:name w:val="HTML 预设格式 Char1"/>
    <w:autoRedefine/>
    <w:qFormat/>
    <w:uiPriority w:val="0"/>
    <w:rPr>
      <w:rFonts w:ascii="Courier New" w:hAnsi="Courier New" w:cs="Courier New"/>
      <w:kern w:val="2"/>
    </w:rPr>
  </w:style>
  <w:style w:type="character" w:customStyle="1" w:styleId="186">
    <w:name w:val="页脚 字符"/>
    <w:link w:val="55"/>
    <w:autoRedefine/>
    <w:qFormat/>
    <w:uiPriority w:val="0"/>
    <w:rPr>
      <w:sz w:val="18"/>
    </w:rPr>
  </w:style>
  <w:style w:type="character" w:customStyle="1" w:styleId="187">
    <w:name w:val="HTML 预设格式 Char2"/>
    <w:autoRedefine/>
    <w:qFormat/>
    <w:uiPriority w:val="0"/>
    <w:rPr>
      <w:rFonts w:ascii="Courier New" w:hAnsi="Courier New" w:eastAsia="宋体" w:cs="Courier New"/>
      <w:sz w:val="20"/>
      <w:szCs w:val="20"/>
    </w:rPr>
  </w:style>
  <w:style w:type="character" w:customStyle="1" w:styleId="188">
    <w:name w:val="Char Char161"/>
    <w:autoRedefine/>
    <w:qFormat/>
    <w:uiPriority w:val="0"/>
    <w:rPr>
      <w:rFonts w:eastAsia="宋体"/>
      <w:kern w:val="2"/>
      <w:sz w:val="21"/>
      <w:szCs w:val="24"/>
      <w:lang w:val="en-US" w:eastAsia="zh-CN" w:bidi="ar-SA"/>
    </w:rPr>
  </w:style>
  <w:style w:type="character" w:customStyle="1" w:styleId="189">
    <w:name w:val="正文文本首行缩进 2 字符"/>
    <w:link w:val="87"/>
    <w:autoRedefine/>
    <w:qFormat/>
    <w:uiPriority w:val="0"/>
    <w:rPr>
      <w:rFonts w:ascii="Times New Roman" w:hAnsi="Times New Roman" w:eastAsia="宋体"/>
      <w:kern w:val="2"/>
      <w:sz w:val="24"/>
      <w:szCs w:val="22"/>
    </w:rPr>
  </w:style>
  <w:style w:type="character" w:customStyle="1" w:styleId="190">
    <w:name w:val="apple-converted-space"/>
    <w:autoRedefine/>
    <w:qFormat/>
    <w:uiPriority w:val="0"/>
    <w:rPr>
      <w:rFonts w:ascii="仿宋_GB2312" w:eastAsia="仿宋_GB2312"/>
      <w:b/>
      <w:sz w:val="32"/>
      <w:szCs w:val="32"/>
    </w:rPr>
  </w:style>
  <w:style w:type="character" w:customStyle="1" w:styleId="191">
    <w:name w:val="19"/>
    <w:autoRedefine/>
    <w:qFormat/>
    <w:uiPriority w:val="0"/>
    <w:rPr>
      <w:rFonts w:hint="default" w:ascii="Times New Roman" w:hAnsi="Times New Roman" w:cs="Times New Roman"/>
      <w:color w:val="000000"/>
      <w:sz w:val="20"/>
      <w:szCs w:val="20"/>
    </w:rPr>
  </w:style>
  <w:style w:type="character" w:customStyle="1" w:styleId="192">
    <w:name w:val="结束语 字符"/>
    <w:link w:val="31"/>
    <w:autoRedefine/>
    <w:qFormat/>
    <w:uiPriority w:val="0"/>
    <w:rPr>
      <w:rFonts w:ascii="Times New Roman" w:hAnsi="Times New Roman"/>
      <w:sz w:val="30"/>
    </w:rPr>
  </w:style>
  <w:style w:type="character" w:customStyle="1" w:styleId="193">
    <w:name w:val="px1233"/>
    <w:basedOn w:val="91"/>
    <w:autoRedefine/>
    <w:qFormat/>
    <w:uiPriority w:val="0"/>
  </w:style>
  <w:style w:type="character" w:customStyle="1" w:styleId="194">
    <w:name w:val="副标题 字符"/>
    <w:link w:val="64"/>
    <w:autoRedefine/>
    <w:qFormat/>
    <w:uiPriority w:val="0"/>
    <w:rPr>
      <w:rFonts w:ascii="Arial" w:hAnsi="Arial"/>
      <w:b/>
      <w:kern w:val="28"/>
      <w:sz w:val="32"/>
    </w:rPr>
  </w:style>
  <w:style w:type="character" w:customStyle="1" w:styleId="195">
    <w:name w:val="+正文 Char"/>
    <w:link w:val="196"/>
    <w:autoRedefine/>
    <w:qFormat/>
    <w:uiPriority w:val="0"/>
    <w:rPr>
      <w:sz w:val="24"/>
      <w:szCs w:val="28"/>
    </w:rPr>
  </w:style>
  <w:style w:type="paragraph" w:customStyle="1" w:styleId="196">
    <w:name w:val="+正文"/>
    <w:basedOn w:val="1"/>
    <w:link w:val="195"/>
    <w:autoRedefine/>
    <w:qFormat/>
    <w:uiPriority w:val="0"/>
    <w:pPr>
      <w:spacing w:line="360" w:lineRule="auto"/>
      <w:ind w:firstLine="200" w:firstLineChars="200"/>
    </w:pPr>
    <w:rPr>
      <w:rFonts w:ascii="Calibri"/>
      <w:sz w:val="24"/>
      <w:szCs w:val="28"/>
    </w:rPr>
  </w:style>
  <w:style w:type="character" w:customStyle="1" w:styleId="197">
    <w:name w:val="正文文本缩进 2 Char1"/>
    <w:autoRedefine/>
    <w:qFormat/>
    <w:uiPriority w:val="0"/>
    <w:rPr>
      <w:rFonts w:ascii="Times New Roman" w:hAnsi="Times New Roman" w:eastAsia="宋体" w:cs="Times New Roman"/>
      <w:szCs w:val="20"/>
    </w:rPr>
  </w:style>
  <w:style w:type="character" w:customStyle="1" w:styleId="198">
    <w:name w:val="+● Char"/>
    <w:autoRedefine/>
    <w:qFormat/>
    <w:uiPriority w:val="0"/>
    <w:rPr>
      <w:rFonts w:hint="eastAsia" w:ascii="宋体" w:hAnsi="宋体" w:eastAsia="宋体"/>
      <w:kern w:val="2"/>
      <w:sz w:val="24"/>
      <w:lang w:val="en-US" w:eastAsia="zh-CN"/>
    </w:rPr>
  </w:style>
  <w:style w:type="character" w:customStyle="1" w:styleId="199">
    <w:name w:val="正文文本 2 Char1"/>
    <w:autoRedefine/>
    <w:qFormat/>
    <w:uiPriority w:val="0"/>
    <w:rPr>
      <w:rFonts w:ascii="Times New Roman" w:hAnsi="Times New Roman" w:eastAsia="宋体" w:cs="Times New Roman"/>
      <w:szCs w:val="20"/>
    </w:rPr>
  </w:style>
  <w:style w:type="character" w:customStyle="1" w:styleId="200">
    <w:name w:val="正文文本缩进 3 字符"/>
    <w:link w:val="70"/>
    <w:autoRedefine/>
    <w:qFormat/>
    <w:uiPriority w:val="0"/>
    <w:rPr>
      <w:rFonts w:ascii="宋体" w:hAnsi="宋体"/>
    </w:rPr>
  </w:style>
  <w:style w:type="character" w:customStyle="1" w:styleId="201">
    <w:name w:val="style9"/>
    <w:basedOn w:val="91"/>
    <w:autoRedefine/>
    <w:qFormat/>
    <w:uiPriority w:val="0"/>
  </w:style>
  <w:style w:type="character" w:customStyle="1" w:styleId="202">
    <w:name w:val="页眉 Char1"/>
    <w:autoRedefine/>
    <w:qFormat/>
    <w:uiPriority w:val="0"/>
    <w:rPr>
      <w:rFonts w:ascii="Times New Roman" w:hAnsi="Times New Roman" w:eastAsia="宋体" w:cs="Times New Roman"/>
      <w:sz w:val="18"/>
      <w:szCs w:val="18"/>
    </w:rPr>
  </w:style>
  <w:style w:type="character" w:customStyle="1" w:styleId="203">
    <w:name w:val="C Char"/>
    <w:link w:val="114"/>
    <w:autoRedefine/>
    <w:qFormat/>
    <w:uiPriority w:val="0"/>
    <w:rPr>
      <w:rFonts w:ascii="宋体"/>
      <w:sz w:val="24"/>
      <w:szCs w:val="24"/>
    </w:rPr>
  </w:style>
  <w:style w:type="paragraph" w:customStyle="1" w:styleId="204">
    <w:name w:val="p0"/>
    <w:basedOn w:val="1"/>
    <w:autoRedefine/>
    <w:qFormat/>
    <w:uiPriority w:val="0"/>
    <w:pPr>
      <w:widowControl/>
    </w:pPr>
    <w:rPr>
      <w:szCs w:val="21"/>
    </w:rPr>
  </w:style>
  <w:style w:type="paragraph" w:customStyle="1" w:styleId="205">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206">
    <w:name w:val="_正文"/>
    <w:basedOn w:val="1"/>
    <w:autoRedefine/>
    <w:qFormat/>
    <w:uiPriority w:val="0"/>
    <w:pPr>
      <w:tabs>
        <w:tab w:val="left" w:pos="540"/>
      </w:tabs>
      <w:spacing w:line="360" w:lineRule="auto"/>
      <w:ind w:firstLine="200" w:firstLineChars="200"/>
    </w:pPr>
    <w:rPr>
      <w:rFonts w:cs="Arial"/>
      <w:sz w:val="24"/>
      <w:szCs w:val="24"/>
    </w:rPr>
  </w:style>
  <w:style w:type="paragraph" w:customStyle="1" w:styleId="207">
    <w:name w:val="ÕýÎÄ"/>
    <w:autoRedefine/>
    <w:qFormat/>
    <w:uiPriority w:val="0"/>
    <w:pPr>
      <w:widowControl w:val="0"/>
    </w:pPr>
    <w:rPr>
      <w:rFonts w:ascii="Courier New" w:hAnsi="Courier New" w:eastAsia="宋体" w:cs="Times New Roman"/>
      <w:sz w:val="24"/>
      <w:lang w:val="en-US" w:eastAsia="en-US" w:bidi="ar-SA"/>
    </w:rPr>
  </w:style>
  <w:style w:type="paragraph" w:customStyle="1" w:styleId="208">
    <w:name w:val="+●"/>
    <w:autoRedefine/>
    <w:qFormat/>
    <w:uiPriority w:val="0"/>
    <w:pPr>
      <w:tabs>
        <w:tab w:val="left" w:pos="958"/>
      </w:tabs>
    </w:pPr>
    <w:rPr>
      <w:rFonts w:ascii="Calibri" w:hAnsi="Calibri" w:eastAsia="宋体" w:cs="Times New Roman"/>
      <w:lang w:val="en-US" w:eastAsia="zh-CN" w:bidi="ar-SA"/>
    </w:rPr>
  </w:style>
  <w:style w:type="paragraph" w:customStyle="1" w:styleId="209">
    <w:name w:val="表格内文字"/>
    <w:basedOn w:val="1"/>
    <w:autoRedefine/>
    <w:qFormat/>
    <w:uiPriority w:val="0"/>
    <w:pPr>
      <w:adjustRightInd w:val="0"/>
      <w:snapToGrid w:val="0"/>
      <w:spacing w:before="80" w:line="240" w:lineRule="exact"/>
      <w:jc w:val="center"/>
    </w:pPr>
    <w:rPr>
      <w:snapToGrid w:val="0"/>
      <w:spacing w:val="6"/>
      <w:sz w:val="24"/>
    </w:rPr>
  </w:style>
  <w:style w:type="paragraph" w:customStyle="1" w:styleId="210">
    <w:name w:val="列出段落2"/>
    <w:basedOn w:val="1"/>
    <w:autoRedefine/>
    <w:qFormat/>
    <w:uiPriority w:val="0"/>
    <w:pPr>
      <w:spacing w:line="600" w:lineRule="atLeast"/>
      <w:ind w:firstLine="420" w:firstLineChars="200"/>
      <w:jc w:val="left"/>
    </w:pPr>
    <w:rPr>
      <w:sz w:val="28"/>
      <w:szCs w:val="22"/>
    </w:rPr>
  </w:style>
  <w:style w:type="paragraph" w:customStyle="1" w:styleId="211">
    <w:name w:val="正文1"/>
    <w:autoRedefine/>
    <w:qFormat/>
    <w:uiPriority w:val="0"/>
    <w:pPr>
      <w:widowControl w:val="0"/>
      <w:adjustRightInd w:val="0"/>
      <w:spacing w:line="315" w:lineRule="atLeast"/>
      <w:jc w:val="both"/>
      <w:textAlignment w:val="baseline"/>
    </w:pPr>
    <w:rPr>
      <w:rFonts w:ascii="宋体" w:hAnsi="Calibri" w:eastAsia="宋体" w:cs="Times New Roman"/>
      <w:sz w:val="21"/>
      <w:lang w:val="en-US" w:eastAsia="zh-CN" w:bidi="ar-SA"/>
    </w:rPr>
  </w:style>
  <w:style w:type="paragraph" w:customStyle="1" w:styleId="212">
    <w:name w:val="样式5"/>
    <w:basedOn w:val="20"/>
    <w:autoRedefine/>
    <w:qFormat/>
    <w:uiPriority w:val="0"/>
    <w:pPr>
      <w:adjustRightInd w:val="0"/>
      <w:spacing w:line="360" w:lineRule="auto"/>
      <w:ind w:firstLine="567"/>
      <w:jc w:val="left"/>
      <w:textAlignment w:val="baseline"/>
    </w:pPr>
    <w:rPr>
      <w:sz w:val="28"/>
    </w:rPr>
  </w:style>
  <w:style w:type="paragraph" w:customStyle="1" w:styleId="213">
    <w:name w:val="4号宋体"/>
    <w:basedOn w:val="7"/>
    <w:autoRedefine/>
    <w:qFormat/>
    <w:uiPriority w:val="0"/>
    <w:pPr>
      <w:keepNext w:val="0"/>
      <w:keepLines w:val="0"/>
      <w:tabs>
        <w:tab w:val="left" w:pos="1008"/>
        <w:tab w:val="clear" w:pos="1323"/>
      </w:tabs>
      <w:snapToGrid w:val="0"/>
      <w:spacing w:before="0" w:after="0" w:line="360" w:lineRule="auto"/>
      <w:ind w:left="1008"/>
      <w:jc w:val="both"/>
      <w:textAlignment w:val="auto"/>
    </w:pPr>
    <w:rPr>
      <w:rFonts w:ascii="Arial Unicode MS" w:hAnsi="Arial Unicode MS" w:cs="Arial Unicode MS"/>
      <w:b w:val="0"/>
      <w:spacing w:val="0"/>
      <w:kern w:val="2"/>
      <w:sz w:val="28"/>
      <w:szCs w:val="28"/>
    </w:rPr>
  </w:style>
  <w:style w:type="paragraph" w:customStyle="1" w:styleId="214">
    <w:name w:val="F00 Char"/>
    <w:basedOn w:val="1"/>
    <w:autoRedefine/>
    <w:qFormat/>
    <w:uiPriority w:val="0"/>
    <w:pPr>
      <w:spacing w:beforeLines="50" w:line="0" w:lineRule="atLeast"/>
      <w:ind w:firstLine="200" w:firstLineChars="200"/>
    </w:pPr>
    <w:rPr>
      <w:rFonts w:eastAsia="仿宋_GB2312"/>
      <w:kern w:val="21"/>
      <w:sz w:val="28"/>
      <w:szCs w:val="28"/>
    </w:rPr>
  </w:style>
  <w:style w:type="paragraph" w:customStyle="1" w:styleId="215">
    <w:name w:val="_"/>
    <w:autoRedefine/>
    <w:qFormat/>
    <w:uiPriority w:val="0"/>
    <w:pPr>
      <w:widowControl w:val="0"/>
      <w:autoSpaceDE w:val="0"/>
      <w:autoSpaceDN w:val="0"/>
      <w:adjustRightInd w:val="0"/>
      <w:spacing w:line="600" w:lineRule="exact"/>
      <w:jc w:val="both"/>
      <w:textAlignment w:val="baseline"/>
    </w:pPr>
    <w:rPr>
      <w:rFonts w:ascii="Calibri" w:hAnsi="Calibri" w:eastAsia="宋体" w:cs="Times New Roman"/>
      <w:kern w:val="2"/>
      <w:sz w:val="28"/>
      <w:lang w:val="en-US" w:eastAsia="zh-CN" w:bidi="ar-SA"/>
    </w:rPr>
  </w:style>
  <w:style w:type="paragraph" w:customStyle="1" w:styleId="216">
    <w:name w:val="Char"/>
    <w:basedOn w:val="1"/>
    <w:autoRedefine/>
    <w:qFormat/>
    <w:uiPriority w:val="0"/>
  </w:style>
  <w:style w:type="paragraph" w:customStyle="1" w:styleId="217">
    <w:name w:val="Char1 Char Char"/>
    <w:basedOn w:val="1"/>
    <w:autoRedefine/>
    <w:qFormat/>
    <w:uiPriority w:val="0"/>
    <w:rPr>
      <w:rFonts w:ascii="仿宋_GB2312" w:eastAsia="仿宋_GB2312"/>
      <w:b/>
      <w:sz w:val="32"/>
    </w:rPr>
  </w:style>
  <w:style w:type="paragraph" w:customStyle="1" w:styleId="218">
    <w:name w:val="+标题2"/>
    <w:basedOn w:val="4"/>
    <w:autoRedefine/>
    <w:qFormat/>
    <w:uiPriority w:val="0"/>
    <w:pPr>
      <w:tabs>
        <w:tab w:val="left" w:pos="431"/>
      </w:tabs>
      <w:spacing w:before="100" w:beforeAutospacing="1" w:after="100" w:afterAutospacing="1" w:line="360" w:lineRule="auto"/>
      <w:ind w:left="431" w:hanging="431"/>
    </w:pPr>
    <w:rPr>
      <w:rFonts w:ascii="Times New Roman" w:hAnsi="Times New Roman" w:eastAsia="宋体"/>
      <w:bCs w:val="0"/>
      <w:szCs w:val="24"/>
    </w:rPr>
  </w:style>
  <w:style w:type="paragraph" w:customStyle="1" w:styleId="219">
    <w:name w:val="样式 标题 3头 + 宋体 小四 行距: 固定值 25 磅"/>
    <w:basedOn w:val="5"/>
    <w:autoRedefine/>
    <w:qFormat/>
    <w:uiPriority w:val="0"/>
    <w:pPr>
      <w:numPr>
        <w:numId w:val="0"/>
      </w:numPr>
      <w:adjustRightInd w:val="0"/>
      <w:spacing w:before="120" w:after="160" w:line="500" w:lineRule="exact"/>
      <w:jc w:val="left"/>
      <w:textAlignment w:val="baseline"/>
    </w:pPr>
    <w:rPr>
      <w:rFonts w:ascii="宋体" w:hAnsi="宋体" w:eastAsia="宋体" w:cs="宋体"/>
      <w:bCs/>
      <w:spacing w:val="14"/>
      <w:kern w:val="2"/>
      <w:sz w:val="24"/>
      <w:szCs w:val="24"/>
    </w:rPr>
  </w:style>
  <w:style w:type="paragraph" w:customStyle="1" w:styleId="220">
    <w:name w:val="样式 列表 3 + 左侧:  4 字符 悬挂缩进: 2 字符1"/>
    <w:basedOn w:val="12"/>
    <w:autoRedefine/>
    <w:qFormat/>
    <w:uiPriority w:val="0"/>
    <w:pPr>
      <w:spacing w:line="360" w:lineRule="auto"/>
      <w:ind w:left="0" w:leftChars="0" w:firstLine="0" w:firstLineChars="0"/>
      <w:jc w:val="center"/>
    </w:pPr>
  </w:style>
  <w:style w:type="paragraph" w:customStyle="1" w:styleId="221">
    <w:name w:val="+列表编号"/>
    <w:basedOn w:val="1"/>
    <w:autoRedefine/>
    <w:qFormat/>
    <w:uiPriority w:val="0"/>
    <w:pPr>
      <w:tabs>
        <w:tab w:val="center" w:pos="4200"/>
        <w:tab w:val="right" w:pos="8400"/>
      </w:tabs>
      <w:spacing w:line="360" w:lineRule="auto"/>
      <w:ind w:right="658"/>
      <w:jc w:val="center"/>
    </w:pPr>
    <w:rPr>
      <w:rFonts w:hAnsi="宋体"/>
      <w:b/>
      <w:spacing w:val="8"/>
      <w:sz w:val="24"/>
      <w:szCs w:val="24"/>
    </w:rPr>
  </w:style>
  <w:style w:type="paragraph" w:customStyle="1" w:styleId="222">
    <w:name w:val="－列表2"/>
    <w:basedOn w:val="1"/>
    <w:autoRedefine/>
    <w:qFormat/>
    <w:uiPriority w:val="0"/>
    <w:pPr>
      <w:jc w:val="left"/>
    </w:pPr>
    <w:rPr>
      <w:rFonts w:hAnsi="Arial"/>
      <w:sz w:val="24"/>
    </w:rPr>
  </w:style>
  <w:style w:type="paragraph" w:customStyle="1" w:styleId="223">
    <w:name w:val="纯文本2"/>
    <w:basedOn w:val="1"/>
    <w:autoRedefine/>
    <w:qFormat/>
    <w:uiPriority w:val="0"/>
    <w:pPr>
      <w:adjustRightInd w:val="0"/>
      <w:textAlignment w:val="baseline"/>
    </w:pPr>
    <w:rPr>
      <w:rFonts w:hAnsi="Courier New" w:eastAsia="楷体_GB2312"/>
      <w:sz w:val="26"/>
    </w:rPr>
  </w:style>
  <w:style w:type="paragraph" w:customStyle="1" w:styleId="224">
    <w:name w:val="b-b3"/>
    <w:basedOn w:val="5"/>
    <w:next w:val="1"/>
    <w:autoRedefine/>
    <w:qFormat/>
    <w:uiPriority w:val="0"/>
    <w:pPr>
      <w:keepNext w:val="0"/>
      <w:keepLines w:val="0"/>
      <w:numPr>
        <w:numId w:val="0"/>
      </w:numPr>
      <w:adjustRightInd w:val="0"/>
      <w:spacing w:line="240" w:lineRule="auto"/>
      <w:jc w:val="center"/>
      <w:textAlignment w:val="baseline"/>
      <w:outlineLvl w:val="0"/>
    </w:pPr>
    <w:rPr>
      <w:rFonts w:ascii="Arial" w:hAnsi="Arial" w:eastAsia="宋体" w:cs="Arial"/>
      <w:b w:val="0"/>
      <w:spacing w:val="0"/>
      <w:sz w:val="24"/>
      <w:szCs w:val="24"/>
    </w:rPr>
  </w:style>
  <w:style w:type="paragraph" w:customStyle="1" w:styleId="225">
    <w:name w:val="标题 31"/>
    <w:basedOn w:val="1"/>
    <w:next w:val="1"/>
    <w:autoRedefine/>
    <w:qFormat/>
    <w:uiPriority w:val="0"/>
    <w:pPr>
      <w:outlineLvl w:val="2"/>
    </w:pPr>
    <w:rPr>
      <w:rFonts w:hint="eastAsia"/>
    </w:rPr>
  </w:style>
  <w:style w:type="paragraph" w:customStyle="1" w:styleId="226">
    <w:name w:val="样式 普通文字 + (符号) Times New Roman 小四 首行缩进:  1.05 厘米 行距: 1.5 倍行距"/>
    <w:basedOn w:val="44"/>
    <w:autoRedefine/>
    <w:qFormat/>
    <w:uiPriority w:val="0"/>
    <w:pPr>
      <w:spacing w:line="360" w:lineRule="auto"/>
      <w:ind w:firstLine="567"/>
    </w:pPr>
    <w:rPr>
      <w:rFonts w:ascii="Times New Roman" w:hAnsi="Times New Roman"/>
      <w:kern w:val="20"/>
    </w:rPr>
  </w:style>
  <w:style w:type="paragraph" w:customStyle="1" w:styleId="227">
    <w:name w:val="我的正文 Char"/>
    <w:basedOn w:val="1"/>
    <w:next w:val="1"/>
    <w:autoRedefine/>
    <w:qFormat/>
    <w:uiPriority w:val="0"/>
    <w:pPr>
      <w:spacing w:line="520" w:lineRule="exact"/>
      <w:ind w:firstLine="540" w:firstLineChars="225"/>
    </w:pPr>
    <w:rPr>
      <w:sz w:val="24"/>
      <w:szCs w:val="24"/>
    </w:rPr>
  </w:style>
  <w:style w:type="paragraph" w:customStyle="1" w:styleId="228">
    <w:name w:val="+标题1"/>
    <w:basedOn w:val="3"/>
    <w:next w:val="1"/>
    <w:autoRedefine/>
    <w:qFormat/>
    <w:uiPriority w:val="0"/>
    <w:pPr>
      <w:keepLines/>
      <w:pageBreakBefore/>
      <w:spacing w:beforeLines="100" w:afterLines="100" w:line="360" w:lineRule="auto"/>
      <w:ind w:left="432" w:hanging="632"/>
    </w:pPr>
    <w:rPr>
      <w:rFonts w:eastAsia="黑体"/>
      <w:b/>
      <w:bCs/>
      <w:kern w:val="44"/>
      <w:sz w:val="32"/>
      <w:szCs w:val="32"/>
    </w:rPr>
  </w:style>
  <w:style w:type="paragraph" w:customStyle="1" w:styleId="229">
    <w:name w:val="项目符号1"/>
    <w:basedOn w:val="1"/>
    <w:autoRedefine/>
    <w:qFormat/>
    <w:uiPriority w:val="0"/>
    <w:pPr>
      <w:tabs>
        <w:tab w:val="left" w:pos="845"/>
      </w:tabs>
      <w:ind w:left="576" w:hanging="576"/>
    </w:pPr>
  </w:style>
  <w:style w:type="paragraph" w:customStyle="1" w:styleId="230">
    <w:name w:val="Char Char Char Char1 Char Char Char Char Char Char Char Char Char"/>
    <w:basedOn w:val="1"/>
    <w:autoRedefine/>
    <w:qFormat/>
    <w:uiPriority w:val="0"/>
    <w:rPr>
      <w:szCs w:val="24"/>
    </w:rPr>
  </w:style>
  <w:style w:type="paragraph" w:customStyle="1" w:styleId="231">
    <w:name w:val="xl38"/>
    <w:basedOn w:val="1"/>
    <w:autoRedefine/>
    <w:qFormat/>
    <w:uiPriority w:val="0"/>
    <w:pPr>
      <w:widowControl/>
      <w:pBdr>
        <w:left w:val="single" w:color="auto" w:sz="4" w:space="0"/>
        <w:right w:val="single" w:color="auto" w:sz="4" w:space="0"/>
      </w:pBdr>
      <w:spacing w:before="100" w:after="100"/>
      <w:ind w:firstLine="200" w:firstLineChars="200"/>
      <w:jc w:val="center"/>
    </w:pPr>
    <w:rPr>
      <w:rFonts w:hint="eastAsia" w:hAnsi="宋体"/>
      <w:sz w:val="24"/>
    </w:rPr>
  </w:style>
  <w:style w:type="paragraph" w:customStyle="1" w:styleId="232">
    <w:name w:val="样式2"/>
    <w:basedOn w:val="1"/>
    <w:autoRedefine/>
    <w:qFormat/>
    <w:uiPriority w:val="0"/>
    <w:pPr>
      <w:tabs>
        <w:tab w:val="left" w:pos="720"/>
      </w:tabs>
      <w:adjustRightInd w:val="0"/>
      <w:spacing w:after="120" w:line="360" w:lineRule="auto"/>
      <w:ind w:left="425" w:hanging="425"/>
      <w:jc w:val="left"/>
      <w:textAlignment w:val="baseline"/>
    </w:pPr>
    <w:rPr>
      <w:rFonts w:ascii="Calibri"/>
      <w:b/>
      <w:sz w:val="28"/>
    </w:rPr>
  </w:style>
  <w:style w:type="paragraph" w:customStyle="1" w:styleId="233">
    <w:name w:val="段"/>
    <w:basedOn w:val="1"/>
    <w:autoRedefine/>
    <w:qFormat/>
    <w:uiPriority w:val="0"/>
    <w:pPr>
      <w:widowControl/>
      <w:autoSpaceDE w:val="0"/>
      <w:autoSpaceDN w:val="0"/>
      <w:ind w:firstLine="420" w:firstLineChars="200"/>
    </w:pPr>
    <w:rPr>
      <w:rFonts w:cs="宋体"/>
      <w:szCs w:val="21"/>
    </w:rPr>
  </w:style>
  <w:style w:type="paragraph" w:customStyle="1" w:styleId="234">
    <w:name w:val="标题1"/>
    <w:basedOn w:val="84"/>
    <w:next w:val="4"/>
    <w:autoRedefine/>
    <w:qFormat/>
    <w:uiPriority w:val="0"/>
    <w:pPr>
      <w:adjustRightInd w:val="0"/>
      <w:snapToGrid w:val="0"/>
      <w:spacing w:beforeLines="100" w:afterLines="100" w:line="360" w:lineRule="auto"/>
      <w:jc w:val="left"/>
    </w:pPr>
    <w:rPr>
      <w:rFonts w:ascii="Arial" w:hAnsi="Arial" w:cs="宋体"/>
      <w:sz w:val="28"/>
      <w:szCs w:val="28"/>
    </w:rPr>
  </w:style>
  <w:style w:type="paragraph" w:customStyle="1" w:styleId="235">
    <w:name w:val="默认段落字体 Para Char"/>
    <w:basedOn w:val="1"/>
    <w:autoRedefine/>
    <w:qFormat/>
    <w:uiPriority w:val="0"/>
    <w:pPr>
      <w:tabs>
        <w:tab w:val="left" w:pos="1265"/>
      </w:tabs>
      <w:ind w:left="1265" w:hanging="420"/>
    </w:pPr>
    <w:rPr>
      <w:szCs w:val="24"/>
    </w:rPr>
  </w:style>
  <w:style w:type="paragraph" w:customStyle="1" w:styleId="236">
    <w:name w:val="1.1"/>
    <w:basedOn w:val="1"/>
    <w:autoRedefine/>
    <w:qFormat/>
    <w:uiPriority w:val="0"/>
    <w:pPr>
      <w:adjustRightInd w:val="0"/>
      <w:spacing w:before="120" w:after="120" w:line="500" w:lineRule="exact"/>
      <w:textAlignment w:val="baseline"/>
      <w:outlineLvl w:val="1"/>
    </w:pPr>
    <w:rPr>
      <w:rFonts w:ascii="黑体" w:eastAsia="黑体"/>
      <w:sz w:val="27"/>
    </w:rPr>
  </w:style>
  <w:style w:type="paragraph" w:customStyle="1" w:styleId="237">
    <w:name w:val="正文一"/>
    <w:basedOn w:val="1"/>
    <w:autoRedefine/>
    <w:qFormat/>
    <w:uiPriority w:val="0"/>
    <w:rPr>
      <w:rFonts w:ascii="Calibri"/>
      <w:sz w:val="22"/>
    </w:rPr>
  </w:style>
  <w:style w:type="paragraph" w:customStyle="1" w:styleId="238">
    <w:name w:val="스타일"/>
    <w:autoRedefine/>
    <w:qFormat/>
    <w:uiPriority w:val="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370" w:lineRule="auto"/>
      <w:jc w:val="both"/>
    </w:pPr>
    <w:rPr>
      <w:rFonts w:ascii="Batang" w:hAnsi="Calibri" w:eastAsia="Batang" w:cs="Times New Roman"/>
      <w:b/>
      <w:color w:val="000000"/>
      <w:sz w:val="32"/>
      <w:lang w:val="en-US" w:eastAsia="ko-KR" w:bidi="ar-SA"/>
    </w:rPr>
  </w:style>
  <w:style w:type="paragraph" w:customStyle="1" w:styleId="239">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240">
    <w:name w:val="Text"/>
    <w:autoRedefine/>
    <w:qFormat/>
    <w:uiPriority w:val="0"/>
    <w:pPr>
      <w:spacing w:line="360" w:lineRule="auto"/>
      <w:jc w:val="both"/>
    </w:pPr>
    <w:rPr>
      <w:rFonts w:ascii="Arial" w:hAnsi="Arial" w:eastAsia="宋体" w:cs="Times New Roman"/>
      <w:color w:val="000000"/>
      <w:sz w:val="24"/>
      <w:lang w:val="en-US" w:eastAsia="zh-CN" w:bidi="ar-SA"/>
    </w:rPr>
  </w:style>
  <w:style w:type="paragraph" w:customStyle="1" w:styleId="241">
    <w:name w:val="样式 首行缩进:  1.02 厘米"/>
    <w:basedOn w:val="1"/>
    <w:autoRedefine/>
    <w:qFormat/>
    <w:uiPriority w:val="0"/>
    <w:pPr>
      <w:spacing w:line="440" w:lineRule="exact"/>
      <w:ind w:firstLine="578"/>
    </w:pPr>
    <w:rPr>
      <w:rFonts w:cs="宋体"/>
      <w:spacing w:val="6"/>
      <w:sz w:val="24"/>
      <w:szCs w:val="24"/>
    </w:rPr>
  </w:style>
  <w:style w:type="paragraph" w:customStyle="1" w:styleId="242">
    <w:name w:val="文本正文"/>
    <w:basedOn w:val="1"/>
    <w:autoRedefine/>
    <w:qFormat/>
    <w:uiPriority w:val="0"/>
    <w:pPr>
      <w:adjustRightInd w:val="0"/>
      <w:snapToGrid w:val="0"/>
      <w:spacing w:line="360" w:lineRule="auto"/>
      <w:ind w:firstLine="200" w:firstLineChars="200"/>
      <w:jc w:val="left"/>
    </w:pPr>
    <w:rPr>
      <w:rFonts w:cs="宋体"/>
      <w:sz w:val="24"/>
      <w:szCs w:val="24"/>
    </w:rPr>
  </w:style>
  <w:style w:type="paragraph" w:customStyle="1" w:styleId="243">
    <w:name w:val="_Style 149"/>
    <w:next w:val="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44">
    <w:name w:val="Char Char2 Char Char Char Char"/>
    <w:basedOn w:val="1"/>
    <w:autoRedefine/>
    <w:qFormat/>
    <w:uiPriority w:val="0"/>
    <w:rPr>
      <w:rFonts w:ascii="仿宋_GB2312" w:eastAsia="仿宋_GB2312"/>
      <w:b/>
      <w:sz w:val="32"/>
      <w:szCs w:val="32"/>
    </w:rPr>
  </w:style>
  <w:style w:type="paragraph" w:customStyle="1" w:styleId="245">
    <w:name w:val="修订1"/>
    <w:autoRedefine/>
    <w:qFormat/>
    <w:uiPriority w:val="0"/>
    <w:rPr>
      <w:rFonts w:ascii="Calibri" w:hAnsi="Calibri" w:eastAsia="宋体" w:cs="Times New Roman"/>
      <w:kern w:val="2"/>
      <w:sz w:val="21"/>
      <w:lang w:val="en-US" w:eastAsia="zh-CN" w:bidi="ar-SA"/>
    </w:rPr>
  </w:style>
  <w:style w:type="paragraph" w:customStyle="1" w:styleId="246">
    <w:name w:val="03"/>
    <w:basedOn w:val="1"/>
    <w:autoRedefine/>
    <w:qFormat/>
    <w:uiPriority w:val="0"/>
    <w:pPr>
      <w:spacing w:line="500" w:lineRule="exact"/>
      <w:ind w:firstLine="567"/>
    </w:pPr>
    <w:rPr>
      <w:spacing w:val="20"/>
      <w:sz w:val="28"/>
    </w:rPr>
  </w:style>
  <w:style w:type="paragraph" w:customStyle="1" w:styleId="247">
    <w:name w:val="Char Char Char"/>
    <w:basedOn w:val="1"/>
    <w:autoRedefine/>
    <w:qFormat/>
    <w:uiPriority w:val="0"/>
    <w:rPr>
      <w:rFonts w:ascii="仿宋_GB2312" w:eastAsia="仿宋_GB2312"/>
      <w:b/>
      <w:sz w:val="32"/>
      <w:szCs w:val="32"/>
    </w:rPr>
  </w:style>
  <w:style w:type="paragraph" w:customStyle="1" w:styleId="248">
    <w:name w:val="+列表1"/>
    <w:basedOn w:val="1"/>
    <w:autoRedefine/>
    <w:qFormat/>
    <w:uiPriority w:val="0"/>
    <w:pPr>
      <w:jc w:val="center"/>
    </w:pPr>
    <w:rPr>
      <w:szCs w:val="24"/>
    </w:rPr>
  </w:style>
  <w:style w:type="paragraph" w:customStyle="1" w:styleId="249">
    <w:name w:val="Char Char1"/>
    <w:basedOn w:val="1"/>
    <w:autoRedefine/>
    <w:qFormat/>
    <w:uiPriority w:val="0"/>
    <w:rPr>
      <w:rFonts w:ascii="仿宋_GB2312" w:eastAsia="仿宋_GB2312"/>
      <w:b/>
      <w:sz w:val="32"/>
    </w:rPr>
  </w:style>
  <w:style w:type="paragraph" w:customStyle="1" w:styleId="250">
    <w:name w:val="注"/>
    <w:basedOn w:val="1"/>
    <w:autoRedefine/>
    <w:qFormat/>
    <w:uiPriority w:val="0"/>
    <w:pPr>
      <w:adjustRightInd w:val="0"/>
      <w:spacing w:line="360" w:lineRule="atLeast"/>
      <w:ind w:left="840" w:hanging="420"/>
      <w:textAlignment w:val="baseline"/>
    </w:pPr>
  </w:style>
  <w:style w:type="paragraph" w:customStyle="1" w:styleId="251">
    <w:name w:val="Char Char11"/>
    <w:basedOn w:val="1"/>
    <w:autoRedefine/>
    <w:qFormat/>
    <w:uiPriority w:val="0"/>
    <w:rPr>
      <w:rFonts w:ascii="仿宋_GB2312" w:eastAsia="仿宋_GB2312"/>
      <w:b/>
      <w:sz w:val="32"/>
    </w:rPr>
  </w:style>
  <w:style w:type="paragraph" w:customStyle="1" w:styleId="252">
    <w:name w:val="Char Char1 Char Char Char Char Char Char Char Char Char"/>
    <w:basedOn w:val="1"/>
    <w:autoRedefine/>
    <w:qFormat/>
    <w:uiPriority w:val="0"/>
    <w:rPr>
      <w:szCs w:val="24"/>
    </w:rPr>
  </w:style>
  <w:style w:type="paragraph" w:customStyle="1" w:styleId="253">
    <w:name w:val="样式3"/>
    <w:basedOn w:val="44"/>
    <w:autoRedefine/>
    <w:qFormat/>
    <w:uiPriority w:val="0"/>
    <w:pPr>
      <w:spacing w:line="0" w:lineRule="atLeast"/>
      <w:outlineLvl w:val="0"/>
    </w:pPr>
    <w:rPr>
      <w:sz w:val="28"/>
    </w:rPr>
  </w:style>
  <w:style w:type="paragraph" w:customStyle="1" w:styleId="254">
    <w:name w:val="Char Char"/>
    <w:basedOn w:val="1"/>
    <w:autoRedefine/>
    <w:qFormat/>
    <w:uiPriority w:val="0"/>
    <w:rPr>
      <w:rFonts w:ascii="仿宋_GB2312" w:eastAsia="仿宋_GB2312"/>
      <w:b/>
      <w:sz w:val="32"/>
    </w:rPr>
  </w:style>
  <w:style w:type="paragraph" w:customStyle="1" w:styleId="255">
    <w:name w:val="Char Char3 Char"/>
    <w:basedOn w:val="1"/>
    <w:autoRedefine/>
    <w:qFormat/>
    <w:uiPriority w:val="0"/>
    <w:rPr>
      <w:rFonts w:ascii="仿宋_GB2312" w:eastAsia="仿宋_GB2312"/>
      <w:b/>
      <w:sz w:val="32"/>
      <w:szCs w:val="32"/>
    </w:rPr>
  </w:style>
  <w:style w:type="paragraph" w:customStyle="1" w:styleId="256">
    <w:name w:val="正文文字2"/>
    <w:basedOn w:val="33"/>
    <w:autoRedefine/>
    <w:qFormat/>
    <w:uiPriority w:val="0"/>
    <w:pPr>
      <w:adjustRightInd w:val="0"/>
      <w:spacing w:after="60" w:line="360" w:lineRule="atLeast"/>
      <w:ind w:left="72" w:leftChars="30" w:right="72" w:rightChars="30"/>
      <w:jc w:val="center"/>
      <w:textAlignment w:val="baseline"/>
    </w:pPr>
    <w:rPr>
      <w:rFonts w:ascii="Arial" w:eastAsia="黑体"/>
    </w:rPr>
  </w:style>
  <w:style w:type="paragraph" w:customStyle="1" w:styleId="257">
    <w:name w:val="Char Char2 Char"/>
    <w:basedOn w:val="1"/>
    <w:autoRedefine/>
    <w:qFormat/>
    <w:uiPriority w:val="0"/>
    <w:rPr>
      <w:rFonts w:ascii="仿宋_GB2312" w:eastAsia="仿宋_GB2312"/>
      <w:b/>
      <w:sz w:val="32"/>
      <w:szCs w:val="32"/>
    </w:rPr>
  </w:style>
  <w:style w:type="paragraph" w:customStyle="1" w:styleId="258">
    <w:name w:val="样式 华文细黑 四号 行距: 1.5 倍行距"/>
    <w:basedOn w:val="1"/>
    <w:autoRedefine/>
    <w:qFormat/>
    <w:uiPriority w:val="0"/>
    <w:pPr>
      <w:adjustRightInd w:val="0"/>
      <w:spacing w:line="360" w:lineRule="auto"/>
      <w:ind w:left="600" w:leftChars="600" w:firstLine="98" w:firstLineChars="35"/>
    </w:pPr>
    <w:rPr>
      <w:rFonts w:ascii="华文细黑" w:hAnsi="华文细黑" w:cs="华文细黑"/>
      <w:sz w:val="28"/>
      <w:szCs w:val="28"/>
    </w:rPr>
  </w:style>
  <w:style w:type="paragraph" w:customStyle="1" w:styleId="259">
    <w:name w:val="样式1"/>
    <w:basedOn w:val="33"/>
    <w:autoRedefine/>
    <w:qFormat/>
    <w:uiPriority w:val="0"/>
    <w:pPr>
      <w:snapToGrid w:val="0"/>
      <w:spacing w:line="540" w:lineRule="atLeast"/>
    </w:pPr>
    <w:rPr>
      <w:spacing w:val="16"/>
      <w:sz w:val="28"/>
    </w:rPr>
  </w:style>
  <w:style w:type="paragraph" w:customStyle="1" w:styleId="260">
    <w:name w:val="Char Char Char Char Char Char Char"/>
    <w:basedOn w:val="1"/>
    <w:autoRedefine/>
    <w:qFormat/>
    <w:uiPriority w:val="0"/>
    <w:rPr>
      <w:rFonts w:ascii="仿宋_GB2312" w:eastAsia="仿宋_GB2312"/>
      <w:b/>
      <w:sz w:val="32"/>
    </w:rPr>
  </w:style>
  <w:style w:type="paragraph" w:customStyle="1" w:styleId="261">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62">
    <w:name w:val="Char Char1 Char Char Char"/>
    <w:basedOn w:val="1"/>
    <w:autoRedefine/>
    <w:qFormat/>
    <w:uiPriority w:val="0"/>
    <w:rPr>
      <w:rFonts w:ascii="仿宋_GB2312" w:eastAsia="仿宋_GB2312"/>
      <w:b/>
      <w:sz w:val="32"/>
      <w:szCs w:val="32"/>
    </w:rPr>
  </w:style>
  <w:style w:type="paragraph" w:customStyle="1" w:styleId="263">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264">
    <w:name w:val="样式 样式4 + 行距: 固定值 20 磅"/>
    <w:autoRedefine/>
    <w:qFormat/>
    <w:uiPriority w:val="0"/>
    <w:pPr>
      <w:widowControl w:val="0"/>
      <w:spacing w:line="400" w:lineRule="exact"/>
      <w:ind w:left="200" w:leftChars="200"/>
    </w:pPr>
    <w:rPr>
      <w:rFonts w:ascii="Calibri" w:hAnsi="Calibri" w:eastAsia="宋体" w:cs="宋体"/>
      <w:kern w:val="2"/>
      <w:sz w:val="21"/>
      <w:lang w:val="en-US" w:eastAsia="zh-CN" w:bidi="ar-SA"/>
    </w:rPr>
  </w:style>
  <w:style w:type="paragraph" w:customStyle="1" w:styleId="265">
    <w:name w:val="标题 51"/>
    <w:basedOn w:val="1"/>
    <w:autoRedefine/>
    <w:qFormat/>
    <w:uiPriority w:val="0"/>
    <w:pPr>
      <w:outlineLvl w:val="4"/>
    </w:pPr>
    <w:rPr>
      <w:rFonts w:hint="eastAsia"/>
    </w:rPr>
  </w:style>
  <w:style w:type="paragraph" w:customStyle="1" w:styleId="266">
    <w:name w:val="标题3"/>
    <w:basedOn w:val="1"/>
    <w:autoRedefine/>
    <w:qFormat/>
    <w:uiPriority w:val="0"/>
    <w:pPr>
      <w:keepNext/>
      <w:overflowPunct w:val="0"/>
      <w:autoSpaceDE w:val="0"/>
      <w:autoSpaceDN w:val="0"/>
      <w:spacing w:beforeLines="50" w:afterLines="50" w:line="360" w:lineRule="auto"/>
      <w:textAlignment w:val="baseline"/>
      <w:outlineLvl w:val="2"/>
    </w:pPr>
    <w:rPr>
      <w:b/>
      <w:bCs/>
      <w:sz w:val="24"/>
      <w:szCs w:val="24"/>
    </w:rPr>
  </w:style>
  <w:style w:type="paragraph" w:customStyle="1" w:styleId="267">
    <w:name w:val="正文C表格"/>
    <w:basedOn w:val="1"/>
    <w:autoRedefine/>
    <w:qFormat/>
    <w:uiPriority w:val="0"/>
    <w:pPr>
      <w:keepNext/>
      <w:jc w:val="center"/>
    </w:pPr>
    <w:rPr>
      <w:sz w:val="24"/>
      <w:szCs w:val="24"/>
    </w:rPr>
  </w:style>
  <w:style w:type="paragraph" w:customStyle="1" w:styleId="268">
    <w:name w:val="惠书敬悉，迟复为歉。"/>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69">
    <w:name w:val="标准"/>
    <w:basedOn w:val="1"/>
    <w:autoRedefine/>
    <w:qFormat/>
    <w:uiPriority w:val="0"/>
    <w:pPr>
      <w:adjustRightInd w:val="0"/>
      <w:spacing w:line="312" w:lineRule="atLeast"/>
      <w:textAlignment w:val="baseline"/>
    </w:pPr>
    <w:rPr>
      <w:sz w:val="24"/>
    </w:rPr>
  </w:style>
  <w:style w:type="paragraph" w:customStyle="1" w:styleId="270">
    <w:name w:val="Char Char2 Char1"/>
    <w:basedOn w:val="1"/>
    <w:autoRedefine/>
    <w:qFormat/>
    <w:uiPriority w:val="0"/>
    <w:rPr>
      <w:rFonts w:ascii="仿宋_GB2312" w:eastAsia="仿宋_GB2312"/>
      <w:b/>
      <w:sz w:val="32"/>
      <w:szCs w:val="32"/>
    </w:rPr>
  </w:style>
  <w:style w:type="paragraph" w:customStyle="1" w:styleId="271">
    <w:name w:val="样式 标题 3h33rd level3H3标题 3(节)l3CTsect1.2.3Heading 3 - ol...1"/>
    <w:basedOn w:val="5"/>
    <w:autoRedefine/>
    <w:qFormat/>
    <w:uiPriority w:val="0"/>
    <w:pPr>
      <w:numPr>
        <w:numId w:val="0"/>
      </w:numPr>
      <w:spacing w:beforeLines="50" w:afterLines="50" w:line="520" w:lineRule="exact"/>
      <w:jc w:val="left"/>
    </w:pPr>
    <w:rPr>
      <w:rFonts w:hAnsi="Arial"/>
      <w:bCs/>
      <w:kern w:val="24"/>
      <w:sz w:val="24"/>
      <w:szCs w:val="24"/>
    </w:rPr>
  </w:style>
  <w:style w:type="paragraph" w:customStyle="1" w:styleId="272">
    <w:name w:val="TOC 标题1"/>
    <w:basedOn w:val="3"/>
    <w:next w:val="1"/>
    <w:autoRedefine/>
    <w:qFormat/>
    <w:uiPriority w:val="0"/>
    <w:pPr>
      <w:keepLines/>
      <w:spacing w:before="340" w:after="330" w:line="576" w:lineRule="auto"/>
      <w:jc w:val="both"/>
      <w:outlineLvl w:val="9"/>
    </w:pPr>
    <w:rPr>
      <w:b/>
      <w:bCs/>
      <w:kern w:val="44"/>
      <w:sz w:val="44"/>
      <w:szCs w:val="44"/>
    </w:rPr>
  </w:style>
  <w:style w:type="paragraph" w:customStyle="1" w:styleId="273">
    <w:name w:val="样式 标题 4 + 段前: 0 磅 段后: 0 磅 行距: 最小值 27 磅"/>
    <w:basedOn w:val="6"/>
    <w:autoRedefine/>
    <w:qFormat/>
    <w:uiPriority w:val="0"/>
    <w:pPr>
      <w:ind w:left="0" w:firstLine="578"/>
      <w:jc w:val="both"/>
      <w:textAlignment w:val="auto"/>
    </w:pPr>
    <w:rPr>
      <w:rFonts w:ascii="宋体" w:hAnsi="Arial"/>
      <w:bCs/>
      <w:kern w:val="2"/>
      <w:szCs w:val="28"/>
    </w:rPr>
  </w:style>
  <w:style w:type="paragraph" w:customStyle="1" w:styleId="274">
    <w:name w:val="_Style 10"/>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75">
    <w:name w:val="样式 标题 5 + 华文细黑 非加粗 段前: 0 磅 段后: 0 磅 行距: 1.5 倍行距"/>
    <w:basedOn w:val="7"/>
    <w:autoRedefine/>
    <w:qFormat/>
    <w:uiPriority w:val="0"/>
    <w:pPr>
      <w:keepNext w:val="0"/>
      <w:keepLines w:val="0"/>
      <w:snapToGrid w:val="0"/>
      <w:spacing w:before="0" w:after="120" w:line="360" w:lineRule="auto"/>
      <w:ind w:left="599" w:leftChars="599" w:firstLine="20" w:firstLineChars="7"/>
      <w:jc w:val="both"/>
      <w:textAlignment w:val="auto"/>
    </w:pPr>
    <w:rPr>
      <w:rFonts w:hAnsi="宋体" w:cs="宋体"/>
      <w:b w:val="0"/>
      <w:spacing w:val="0"/>
      <w:kern w:val="2"/>
      <w:sz w:val="28"/>
      <w:szCs w:val="28"/>
    </w:rPr>
  </w:style>
  <w:style w:type="paragraph" w:customStyle="1" w:styleId="276">
    <w:name w:val="Char Char Char Char Char Char"/>
    <w:basedOn w:val="1"/>
    <w:autoRedefine/>
    <w:qFormat/>
    <w:uiPriority w:val="0"/>
    <w:rPr>
      <w:rFonts w:ascii="仿宋_GB2312" w:eastAsia="仿宋_GB2312"/>
      <w:b/>
      <w:sz w:val="32"/>
      <w:szCs w:val="32"/>
    </w:rPr>
  </w:style>
  <w:style w:type="paragraph" w:customStyle="1" w:styleId="277">
    <w:name w:val="肖正"/>
    <w:basedOn w:val="1"/>
    <w:autoRedefine/>
    <w:qFormat/>
    <w:uiPriority w:val="0"/>
    <w:pPr>
      <w:ind w:firstLine="567"/>
    </w:pPr>
    <w:rPr>
      <w:sz w:val="24"/>
      <w:szCs w:val="18"/>
    </w:rPr>
  </w:style>
  <w:style w:type="paragraph" w:customStyle="1" w:styleId="278">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279">
    <w:name w:val="纯文本21"/>
    <w:basedOn w:val="1"/>
    <w:autoRedefine/>
    <w:qFormat/>
    <w:uiPriority w:val="0"/>
    <w:pPr>
      <w:adjustRightInd w:val="0"/>
      <w:textAlignment w:val="baseline"/>
    </w:pPr>
    <w:rPr>
      <w:rFonts w:hAnsi="Courier New" w:eastAsia="楷体_GB2312"/>
      <w:sz w:val="26"/>
    </w:rPr>
  </w:style>
  <w:style w:type="paragraph" w:customStyle="1" w:styleId="280">
    <w:name w:val="Char Char1 Char Char Char Char Char Char"/>
    <w:basedOn w:val="1"/>
    <w:autoRedefine/>
    <w:qFormat/>
    <w:uiPriority w:val="0"/>
    <w:rPr>
      <w:rFonts w:ascii="仿宋_GB2312" w:eastAsia="仿宋_GB2312"/>
      <w:b/>
      <w:sz w:val="32"/>
    </w:rPr>
  </w:style>
  <w:style w:type="paragraph" w:customStyle="1" w:styleId="281">
    <w:name w:val="Char Char2"/>
    <w:basedOn w:val="1"/>
    <w:autoRedefine/>
    <w:qFormat/>
    <w:uiPriority w:val="0"/>
    <w:rPr>
      <w:rFonts w:ascii="仿宋_GB2312" w:eastAsia="仿宋_GB2312"/>
      <w:b/>
      <w:sz w:val="32"/>
    </w:rPr>
  </w:style>
  <w:style w:type="paragraph" w:customStyle="1" w:styleId="282">
    <w:name w:val="d"/>
    <w:basedOn w:val="1"/>
    <w:autoRedefine/>
    <w:qFormat/>
    <w:uiPriority w:val="0"/>
    <w:pPr>
      <w:tabs>
        <w:tab w:val="left" w:pos="3915"/>
      </w:tabs>
      <w:snapToGrid w:val="0"/>
      <w:spacing w:line="520" w:lineRule="atLeast"/>
      <w:ind w:firstLine="720" w:firstLineChars="300"/>
    </w:pPr>
    <w:rPr>
      <w:sz w:val="24"/>
    </w:rPr>
  </w:style>
  <w:style w:type="paragraph" w:customStyle="1" w:styleId="283">
    <w:name w:val="F01-0"/>
    <w:autoRedefine/>
    <w:qFormat/>
    <w:uiPriority w:val="0"/>
    <w:pPr>
      <w:widowControl w:val="0"/>
      <w:spacing w:beforeLines="100" w:afterLines="50"/>
      <w:jc w:val="both"/>
    </w:pPr>
    <w:rPr>
      <w:rFonts w:ascii="Calibri" w:hAnsi="Calibri" w:eastAsia="黑体" w:cs="Times New Roman"/>
      <w:kern w:val="52"/>
      <w:sz w:val="21"/>
      <w:szCs w:val="21"/>
      <w:lang w:val="en-US" w:eastAsia="zh-CN" w:bidi="ar-SA"/>
    </w:rPr>
  </w:style>
  <w:style w:type="paragraph" w:customStyle="1" w:styleId="284">
    <w:name w:val="样式 正文缩进 + 首行缩进:  2 字符 Char"/>
    <w:basedOn w:val="20"/>
    <w:autoRedefine/>
    <w:qFormat/>
    <w:uiPriority w:val="0"/>
    <w:pPr>
      <w:widowControl/>
      <w:overflowPunct w:val="0"/>
      <w:autoSpaceDE w:val="0"/>
      <w:autoSpaceDN w:val="0"/>
      <w:adjustRightInd w:val="0"/>
      <w:spacing w:line="360" w:lineRule="auto"/>
      <w:ind w:firstLine="560"/>
      <w:textAlignment w:val="baseline"/>
    </w:pPr>
    <w:rPr>
      <w:sz w:val="28"/>
      <w:szCs w:val="24"/>
    </w:rPr>
  </w:style>
  <w:style w:type="paragraph" w:customStyle="1" w:styleId="285">
    <w:name w:val="Char Char2 Char Char Char Char1"/>
    <w:basedOn w:val="1"/>
    <w:autoRedefine/>
    <w:qFormat/>
    <w:uiPriority w:val="0"/>
    <w:rPr>
      <w:rFonts w:ascii="仿宋_GB2312" w:eastAsia="仿宋_GB2312"/>
      <w:b/>
      <w:sz w:val="32"/>
      <w:szCs w:val="32"/>
    </w:rPr>
  </w:style>
  <w:style w:type="paragraph" w:customStyle="1" w:styleId="286">
    <w:name w:val="Char1 Char Char1"/>
    <w:basedOn w:val="1"/>
    <w:autoRedefine/>
    <w:qFormat/>
    <w:uiPriority w:val="0"/>
    <w:rPr>
      <w:rFonts w:ascii="仿宋_GB2312" w:eastAsia="仿宋_GB2312"/>
      <w:b/>
      <w:sz w:val="32"/>
    </w:rPr>
  </w:style>
  <w:style w:type="paragraph" w:customStyle="1" w:styleId="287">
    <w:name w:val="Char Char1 Char Char Char1"/>
    <w:basedOn w:val="1"/>
    <w:autoRedefine/>
    <w:qFormat/>
    <w:uiPriority w:val="0"/>
    <w:rPr>
      <w:rFonts w:ascii="仿宋_GB2312" w:eastAsia="仿宋_GB2312"/>
      <w:b/>
      <w:sz w:val="32"/>
      <w:szCs w:val="32"/>
    </w:rPr>
  </w:style>
  <w:style w:type="paragraph" w:customStyle="1" w:styleId="288">
    <w:name w:val="F00"/>
    <w:basedOn w:val="1"/>
    <w:autoRedefine/>
    <w:qFormat/>
    <w:uiPriority w:val="0"/>
    <w:pPr>
      <w:spacing w:beforeLines="50" w:line="0" w:lineRule="atLeast"/>
    </w:pPr>
    <w:rPr>
      <w:rFonts w:eastAsia="仿宋_GB2312"/>
      <w:kern w:val="24"/>
      <w:szCs w:val="28"/>
    </w:rPr>
  </w:style>
  <w:style w:type="paragraph" w:customStyle="1" w:styleId="289">
    <w:name w:val="CM83"/>
    <w:basedOn w:val="1"/>
    <w:next w:val="1"/>
    <w:autoRedefine/>
    <w:qFormat/>
    <w:uiPriority w:val="0"/>
    <w:pPr>
      <w:autoSpaceDE w:val="0"/>
      <w:autoSpaceDN w:val="0"/>
      <w:adjustRightInd w:val="0"/>
      <w:spacing w:after="70"/>
      <w:jc w:val="left"/>
    </w:pPr>
    <w:rPr>
      <w:sz w:val="24"/>
      <w:szCs w:val="24"/>
    </w:rPr>
  </w:style>
  <w:style w:type="paragraph" w:customStyle="1" w:styleId="290">
    <w:name w:val="Char Char3 Char1"/>
    <w:basedOn w:val="1"/>
    <w:autoRedefine/>
    <w:qFormat/>
    <w:uiPriority w:val="0"/>
    <w:rPr>
      <w:rFonts w:ascii="仿宋_GB2312" w:eastAsia="仿宋_GB2312"/>
      <w:b/>
      <w:sz w:val="32"/>
      <w:szCs w:val="32"/>
    </w:rPr>
  </w:style>
  <w:style w:type="paragraph" w:customStyle="1" w:styleId="291">
    <w:name w:val="Char2"/>
    <w:basedOn w:val="1"/>
    <w:autoRedefine/>
    <w:qFormat/>
    <w:uiPriority w:val="0"/>
    <w:rPr>
      <w:rFonts w:ascii="Tahoma" w:hAnsi="Tahoma"/>
      <w:sz w:val="24"/>
      <w:szCs w:val="24"/>
    </w:rPr>
  </w:style>
  <w:style w:type="paragraph" w:customStyle="1" w:styleId="292">
    <w:name w:val="Char11"/>
    <w:basedOn w:val="1"/>
    <w:autoRedefine/>
    <w:qFormat/>
    <w:uiPriority w:val="0"/>
  </w:style>
  <w:style w:type="paragraph" w:customStyle="1" w:styleId="293">
    <w:name w:val="Char Char Char Char Char Char1"/>
    <w:basedOn w:val="1"/>
    <w:autoRedefine/>
    <w:qFormat/>
    <w:uiPriority w:val="0"/>
    <w:rPr>
      <w:rFonts w:ascii="仿宋_GB2312" w:eastAsia="仿宋_GB2312"/>
      <w:b/>
      <w:sz w:val="32"/>
      <w:szCs w:val="32"/>
    </w:rPr>
  </w:style>
  <w:style w:type="paragraph" w:customStyle="1" w:styleId="294">
    <w:name w:val="Normal Indent1"/>
    <w:basedOn w:val="1"/>
    <w:autoRedefine/>
    <w:qFormat/>
    <w:uiPriority w:val="0"/>
    <w:pPr>
      <w:ind w:firstLine="420" w:firstLineChars="200"/>
    </w:pPr>
  </w:style>
  <w:style w:type="paragraph" w:customStyle="1" w:styleId="295">
    <w:name w:val="样式4"/>
    <w:basedOn w:val="7"/>
    <w:next w:val="7"/>
    <w:autoRedefine/>
    <w:qFormat/>
    <w:uiPriority w:val="0"/>
    <w:pPr>
      <w:keepLines w:val="0"/>
      <w:widowControl/>
      <w:tabs>
        <w:tab w:val="left" w:pos="0"/>
        <w:tab w:val="clear" w:pos="1323"/>
      </w:tabs>
      <w:autoSpaceDE w:val="0"/>
      <w:autoSpaceDN w:val="0"/>
      <w:spacing w:before="0" w:after="0" w:line="324" w:lineRule="auto"/>
      <w:textAlignment w:val="bottom"/>
    </w:pPr>
    <w:rPr>
      <w:rFonts w:ascii="Times New Roman"/>
      <w:b w:val="0"/>
      <w:spacing w:val="0"/>
      <w:kern w:val="2"/>
    </w:rPr>
  </w:style>
  <w:style w:type="paragraph" w:customStyle="1" w:styleId="296">
    <w:name w:val="Char Char Char Char"/>
    <w:basedOn w:val="1"/>
    <w:autoRedefine/>
    <w:qFormat/>
    <w:uiPriority w:val="0"/>
    <w:pPr>
      <w:numPr>
        <w:ilvl w:val="0"/>
        <w:numId w:val="10"/>
      </w:numPr>
      <w:adjustRightInd w:val="0"/>
      <w:spacing w:line="300" w:lineRule="auto"/>
      <w:ind w:firstLine="200" w:firstLineChars="200"/>
      <w:jc w:val="left"/>
      <w:textAlignment w:val="baseline"/>
    </w:pPr>
    <w:rPr>
      <w:sz w:val="24"/>
    </w:rPr>
  </w:style>
  <w:style w:type="paragraph" w:customStyle="1" w:styleId="297">
    <w:name w:val="ST20_15"/>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宋体" w:hAnsi="Tms Rmn" w:eastAsia="宋体" w:cs="Times New Roman"/>
      <w:sz w:val="24"/>
      <w:lang w:val="en-US" w:eastAsia="zh-CN" w:bidi="ar-SA"/>
    </w:rPr>
  </w:style>
  <w:style w:type="paragraph" w:customStyle="1" w:styleId="298">
    <w:name w:val="不缩进"/>
    <w:basedOn w:val="1"/>
    <w:autoRedefine/>
    <w:qFormat/>
    <w:uiPriority w:val="0"/>
    <w:pPr>
      <w:jc w:val="center"/>
    </w:pPr>
    <w:rPr>
      <w:rFonts w:hAnsi="宋体"/>
    </w:rPr>
  </w:style>
  <w:style w:type="paragraph" w:customStyle="1" w:styleId="299">
    <w:name w:val="列表项目符号[858D7CFB-ED40-4347-BF05-701D383B685F][858D7CFB-ED40-4347-BF05-701D383B685F]"/>
    <w:basedOn w:val="1"/>
    <w:autoRedefine/>
    <w:qFormat/>
    <w:uiPriority w:val="0"/>
    <w:pPr>
      <w:ind w:left="100" w:leftChars="200" w:hanging="200" w:hangingChars="200"/>
    </w:pPr>
    <w:rPr>
      <w:szCs w:val="24"/>
    </w:rPr>
  </w:style>
  <w:style w:type="paragraph" w:customStyle="1" w:styleId="300">
    <w:name w:val="Char Char1 Char Char Char Char Char Char1"/>
    <w:basedOn w:val="1"/>
    <w:autoRedefine/>
    <w:qFormat/>
    <w:uiPriority w:val="0"/>
    <w:rPr>
      <w:rFonts w:ascii="仿宋_GB2312" w:eastAsia="仿宋_GB2312"/>
      <w:b/>
      <w:sz w:val="32"/>
    </w:rPr>
  </w:style>
  <w:style w:type="paragraph" w:customStyle="1" w:styleId="301">
    <w:name w:val="Char Char2 Char Char Char1"/>
    <w:basedOn w:val="1"/>
    <w:autoRedefine/>
    <w:qFormat/>
    <w:uiPriority w:val="0"/>
    <w:rPr>
      <w:rFonts w:ascii="仿宋_GB2312" w:eastAsia="仿宋_GB2312"/>
      <w:b/>
      <w:sz w:val="32"/>
      <w:szCs w:val="32"/>
    </w:rPr>
  </w:style>
  <w:style w:type="paragraph" w:customStyle="1" w:styleId="302">
    <w:name w:val="F00_03"/>
    <w:basedOn w:val="1"/>
    <w:autoRedefine/>
    <w:qFormat/>
    <w:uiPriority w:val="0"/>
    <w:pPr>
      <w:spacing w:before="156" w:line="0" w:lineRule="atLeast"/>
      <w:ind w:firstLine="560"/>
      <w:outlineLvl w:val="0"/>
    </w:pPr>
    <w:rPr>
      <w:rFonts w:ascii="Calibri"/>
      <w:kern w:val="21"/>
      <w:sz w:val="28"/>
    </w:rPr>
  </w:style>
  <w:style w:type="paragraph" w:customStyle="1" w:styleId="303">
    <w:name w:val="Char1"/>
    <w:basedOn w:val="1"/>
    <w:autoRedefine/>
    <w:qFormat/>
    <w:uiPriority w:val="0"/>
    <w:pPr>
      <w:ind w:firstLine="360" w:firstLineChars="150"/>
    </w:pPr>
    <w:rPr>
      <w:rFonts w:ascii="Tahoma" w:hAnsi="Tahoma"/>
      <w:snapToGrid w:val="0"/>
      <w:sz w:val="24"/>
      <w:szCs w:val="24"/>
    </w:rPr>
  </w:style>
  <w:style w:type="paragraph" w:customStyle="1" w:styleId="304">
    <w:name w:val="样式 普通文字 + Times New Roman 小四 两端对齐1"/>
    <w:basedOn w:val="1"/>
    <w:next w:val="1"/>
    <w:autoRedefine/>
    <w:qFormat/>
    <w:uiPriority w:val="0"/>
    <w:pPr>
      <w:snapToGrid w:val="0"/>
      <w:spacing w:line="600" w:lineRule="atLeast"/>
      <w:ind w:firstLine="552" w:firstLineChars="200"/>
    </w:pPr>
    <w:rPr>
      <w:spacing w:val="-2"/>
      <w:sz w:val="28"/>
    </w:rPr>
  </w:style>
  <w:style w:type="paragraph" w:customStyle="1" w:styleId="305">
    <w:name w:val="Char Char3"/>
    <w:basedOn w:val="1"/>
    <w:autoRedefine/>
    <w:qFormat/>
    <w:uiPriority w:val="0"/>
    <w:rPr>
      <w:rFonts w:ascii="仿宋_GB2312" w:eastAsia="仿宋_GB2312"/>
      <w:b/>
      <w:sz w:val="32"/>
      <w:szCs w:val="32"/>
    </w:rPr>
  </w:style>
  <w:style w:type="paragraph" w:customStyle="1" w:styleId="306">
    <w:name w:val="！表格左"/>
    <w:basedOn w:val="1"/>
    <w:autoRedefine/>
    <w:qFormat/>
    <w:uiPriority w:val="0"/>
    <w:pPr>
      <w:jc w:val="left"/>
    </w:pPr>
    <w:rPr>
      <w:rFonts w:hAnsi="宋体" w:eastAsia="仿宋_GB2312"/>
      <w:sz w:val="24"/>
      <w:szCs w:val="24"/>
    </w:rPr>
  </w:style>
  <w:style w:type="paragraph" w:customStyle="1" w:styleId="307">
    <w:name w:val="样式 标题 2 + 行距: 最小值 27 磅"/>
    <w:basedOn w:val="4"/>
    <w:autoRedefine/>
    <w:qFormat/>
    <w:uiPriority w:val="0"/>
    <w:pPr>
      <w:tabs>
        <w:tab w:val="left" w:pos="6551"/>
      </w:tabs>
      <w:spacing w:before="0" w:after="0" w:line="540" w:lineRule="atLeast"/>
    </w:pPr>
    <w:rPr>
      <w:rFonts w:ascii="黑体"/>
      <w:spacing w:val="8"/>
    </w:rPr>
  </w:style>
  <w:style w:type="paragraph" w:customStyle="1" w:styleId="308">
    <w:name w:val="Char Char2 Char Char Char11"/>
    <w:basedOn w:val="1"/>
    <w:autoRedefine/>
    <w:qFormat/>
    <w:uiPriority w:val="0"/>
    <w:rPr>
      <w:rFonts w:ascii="仿宋_GB2312" w:eastAsia="仿宋_GB2312"/>
      <w:b/>
      <w:sz w:val="32"/>
      <w:szCs w:val="32"/>
    </w:rPr>
  </w:style>
  <w:style w:type="paragraph" w:customStyle="1" w:styleId="309">
    <w:name w:val="_Style 1"/>
    <w:basedOn w:val="1"/>
    <w:autoRedefine/>
    <w:qFormat/>
    <w:uiPriority w:val="34"/>
    <w:pPr>
      <w:ind w:firstLine="420" w:firstLineChars="200"/>
    </w:pPr>
  </w:style>
  <w:style w:type="paragraph" w:customStyle="1" w:styleId="310">
    <w:name w:val="Char Char1 Char Char Char Char"/>
    <w:basedOn w:val="1"/>
    <w:autoRedefine/>
    <w:qFormat/>
    <w:uiPriority w:val="0"/>
    <w:rPr>
      <w:rFonts w:ascii="仿宋_GB2312" w:eastAsia="仿宋_GB2312"/>
      <w:b/>
      <w:sz w:val="32"/>
      <w:szCs w:val="32"/>
    </w:rPr>
  </w:style>
  <w:style w:type="paragraph" w:customStyle="1" w:styleId="311">
    <w:name w:val="样式 标题 3 + (中文) 黑体 小四 非加粗 段前: 7.8 磅 段后: 0 磅 行距: 固定值 20 磅"/>
    <w:basedOn w:val="5"/>
    <w:autoRedefine/>
    <w:qFormat/>
    <w:uiPriority w:val="0"/>
    <w:pPr>
      <w:numPr>
        <w:numId w:val="0"/>
      </w:numPr>
      <w:spacing w:line="400" w:lineRule="exact"/>
    </w:pPr>
    <w:rPr>
      <w:rFonts w:ascii="Times New Roman" w:cs="宋体"/>
      <w:b w:val="0"/>
      <w:spacing w:val="0"/>
      <w:kern w:val="2"/>
      <w:sz w:val="24"/>
    </w:rPr>
  </w:style>
  <w:style w:type="paragraph" w:customStyle="1" w:styleId="312">
    <w:name w:val="正文文字3"/>
    <w:basedOn w:val="33"/>
    <w:autoRedefine/>
    <w:qFormat/>
    <w:uiPriority w:val="0"/>
    <w:pPr>
      <w:adjustRightInd w:val="0"/>
      <w:spacing w:after="0" w:line="360" w:lineRule="atLeast"/>
      <w:ind w:left="72" w:leftChars="30" w:right="30" w:rightChars="30"/>
      <w:textAlignment w:val="baseline"/>
    </w:pPr>
  </w:style>
  <w:style w:type="paragraph" w:customStyle="1" w:styleId="313">
    <w:name w:val="首缩"/>
    <w:basedOn w:val="1"/>
    <w:autoRedefine/>
    <w:qFormat/>
    <w:uiPriority w:val="0"/>
    <w:pPr>
      <w:adjustRightInd w:val="0"/>
      <w:spacing w:line="312" w:lineRule="atLeast"/>
      <w:ind w:firstLine="454"/>
      <w:textAlignment w:val="baseline"/>
    </w:pPr>
  </w:style>
  <w:style w:type="paragraph" w:customStyle="1" w:styleId="314">
    <w:name w:val="列出段落1"/>
    <w:basedOn w:val="1"/>
    <w:autoRedefine/>
    <w:qFormat/>
    <w:uiPriority w:val="0"/>
    <w:pPr>
      <w:adjustRightInd w:val="0"/>
      <w:spacing w:line="360" w:lineRule="atLeast"/>
      <w:ind w:left="720"/>
      <w:jc w:val="left"/>
      <w:textAlignment w:val="baseline"/>
    </w:pPr>
    <w:rPr>
      <w:rFonts w:ascii="Calibri"/>
      <w:sz w:val="24"/>
    </w:rPr>
  </w:style>
  <w:style w:type="paragraph" w:customStyle="1" w:styleId="315">
    <w:name w:val="_Style 14"/>
    <w:basedOn w:val="1"/>
    <w:autoRedefine/>
    <w:qFormat/>
    <w:uiPriority w:val="0"/>
  </w:style>
  <w:style w:type="paragraph" w:customStyle="1" w:styleId="316">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sz w:val="24"/>
    </w:rPr>
  </w:style>
  <w:style w:type="paragraph" w:customStyle="1" w:styleId="317">
    <w:name w:val="Char Char4"/>
    <w:basedOn w:val="1"/>
    <w:autoRedefine/>
    <w:qFormat/>
    <w:uiPriority w:val="0"/>
    <w:rPr>
      <w:rFonts w:ascii="仿宋_GB2312" w:eastAsia="仿宋_GB2312"/>
      <w:b/>
      <w:sz w:val="32"/>
    </w:rPr>
  </w:style>
  <w:style w:type="paragraph" w:customStyle="1" w:styleId="318">
    <w:name w:val="_Style 10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19">
    <w:name w:val="样式 (中文) 仿宋_GB2312 右"/>
    <w:basedOn w:val="1"/>
    <w:autoRedefine/>
    <w:qFormat/>
    <w:uiPriority w:val="0"/>
    <w:pPr>
      <w:tabs>
        <w:tab w:val="left" w:pos="1021"/>
      </w:tabs>
      <w:adjustRightInd w:val="0"/>
      <w:spacing w:line="540" w:lineRule="atLeast"/>
      <w:ind w:left="1021" w:right="-34" w:rightChars="-34" w:hanging="420"/>
      <w:jc w:val="left"/>
      <w:textAlignment w:val="baseline"/>
    </w:pPr>
    <w:rPr>
      <w:sz w:val="28"/>
    </w:rPr>
  </w:style>
  <w:style w:type="paragraph" w:customStyle="1" w:styleId="320">
    <w:name w:val="A."/>
    <w:basedOn w:val="1"/>
    <w:autoRedefine/>
    <w:qFormat/>
    <w:uiPriority w:val="0"/>
    <w:pPr>
      <w:widowControl/>
      <w:tabs>
        <w:tab w:val="left" w:pos="859"/>
        <w:tab w:val="left" w:pos="1200"/>
      </w:tabs>
      <w:spacing w:before="240" w:line="240" w:lineRule="atLeast"/>
      <w:ind w:left="859" w:hanging="453"/>
    </w:pPr>
    <w:rPr>
      <w:sz w:val="24"/>
      <w:szCs w:val="24"/>
    </w:rPr>
  </w:style>
  <w:style w:type="paragraph" w:customStyle="1" w:styleId="321">
    <w:name w:val="标题 311"/>
    <w:basedOn w:val="1"/>
    <w:next w:val="1"/>
    <w:autoRedefine/>
    <w:qFormat/>
    <w:uiPriority w:val="0"/>
    <w:pPr>
      <w:outlineLvl w:val="2"/>
    </w:pPr>
    <w:rPr>
      <w:rFonts w:hint="eastAsia"/>
    </w:rPr>
  </w:style>
  <w:style w:type="paragraph" w:customStyle="1" w:styleId="322">
    <w:name w:val="无间隔1"/>
    <w:basedOn w:val="1"/>
    <w:autoRedefine/>
    <w:qFormat/>
    <w:uiPriority w:val="0"/>
    <w:pPr>
      <w:spacing w:beforeLines="50" w:afterLines="50"/>
      <w:jc w:val="center"/>
    </w:pPr>
    <w:rPr>
      <w:rFonts w:hAnsi="宋体" w:cs="黑体"/>
      <w:szCs w:val="21"/>
    </w:rPr>
  </w:style>
  <w:style w:type="paragraph" w:customStyle="1" w:styleId="323">
    <w:name w:val="Char Char Char Char Char Char Char Char Char Char Char"/>
    <w:autoRedefine/>
    <w:qFormat/>
    <w:uiPriority w:val="0"/>
    <w:pPr>
      <w:widowControl w:val="0"/>
      <w:spacing w:line="300" w:lineRule="auto"/>
      <w:ind w:firstLine="480" w:firstLineChars="200"/>
      <w:jc w:val="both"/>
    </w:pPr>
    <w:rPr>
      <w:rFonts w:ascii="Calibri" w:hAnsi="Calibri" w:eastAsia="仿宋_GB2312" w:cs="Times New Roman"/>
      <w:kern w:val="2"/>
      <w:sz w:val="24"/>
      <w:szCs w:val="24"/>
      <w:lang w:val="en-US" w:eastAsia="zh-CN" w:bidi="ar-SA"/>
    </w:rPr>
  </w:style>
  <w:style w:type="paragraph" w:customStyle="1" w:styleId="324">
    <w:name w:val="Char Char Char Char1 Char Char Char Char Char Char Char Char Char1"/>
    <w:basedOn w:val="1"/>
    <w:autoRedefine/>
    <w:qFormat/>
    <w:uiPriority w:val="0"/>
    <w:rPr>
      <w:szCs w:val="24"/>
    </w:rPr>
  </w:style>
  <w:style w:type="paragraph" w:customStyle="1" w:styleId="325">
    <w:name w:val="样式 样式 样式 小四 左 首行缩进:  2 字符 + 首行缩进:  2 字符 Char + 右  0 字符1"/>
    <w:basedOn w:val="1"/>
    <w:autoRedefine/>
    <w:qFormat/>
    <w:uiPriority w:val="0"/>
    <w:pPr>
      <w:adjustRightInd w:val="0"/>
      <w:spacing w:line="360" w:lineRule="auto"/>
      <w:ind w:firstLine="200" w:firstLineChars="200"/>
      <w:jc w:val="left"/>
      <w:textAlignment w:val="baseline"/>
    </w:pPr>
    <w:rPr>
      <w:sz w:val="24"/>
    </w:rPr>
  </w:style>
  <w:style w:type="paragraph" w:customStyle="1" w:styleId="326">
    <w:name w:val="表内文字"/>
    <w:basedOn w:val="1"/>
    <w:autoRedefine/>
    <w:qFormat/>
    <w:uiPriority w:val="0"/>
    <w:pPr>
      <w:widowControl/>
      <w:ind w:firstLine="120" w:firstLineChars="50"/>
      <w:jc w:val="center"/>
    </w:pPr>
    <w:rPr>
      <w:rFonts w:hAnsi="宋体"/>
      <w:sz w:val="24"/>
    </w:rPr>
  </w:style>
  <w:style w:type="paragraph" w:customStyle="1" w:styleId="327">
    <w:name w:val="msolistparagraph"/>
    <w:basedOn w:val="1"/>
    <w:autoRedefine/>
    <w:qFormat/>
    <w:uiPriority w:val="0"/>
    <w:pPr>
      <w:widowControl/>
      <w:adjustRightInd w:val="0"/>
      <w:spacing w:before="100" w:beforeAutospacing="1" w:after="100" w:afterAutospacing="1" w:line="360" w:lineRule="atLeast"/>
      <w:jc w:val="left"/>
      <w:textAlignment w:val="baseline"/>
    </w:pPr>
    <w:rPr>
      <w:rFonts w:hAnsi="宋体"/>
      <w:sz w:val="24"/>
      <w:szCs w:val="24"/>
    </w:rPr>
  </w:style>
  <w:style w:type="paragraph" w:customStyle="1" w:styleId="328">
    <w:name w:val="ST20_2"/>
    <w:basedOn w:val="1"/>
    <w:autoRedefine/>
    <w:qFormat/>
    <w:uiPriority w:val="0"/>
    <w:pPr>
      <w:autoSpaceDE w:val="0"/>
      <w:autoSpaceDN w:val="0"/>
      <w:adjustRightInd w:val="0"/>
      <w:ind w:left="840" w:hanging="420"/>
      <w:jc w:val="left"/>
    </w:pPr>
    <w:rPr>
      <w:rFonts w:hAnsi="Tms Rmn"/>
      <w:sz w:val="24"/>
    </w:rPr>
  </w:style>
  <w:style w:type="paragraph" w:customStyle="1" w:styleId="329">
    <w:name w:val="正文缩进1"/>
    <w:basedOn w:val="1"/>
    <w:next w:val="34"/>
    <w:autoRedefine/>
    <w:qFormat/>
    <w:uiPriority w:val="0"/>
    <w:pPr>
      <w:adjustRightInd w:val="0"/>
      <w:spacing w:line="360" w:lineRule="atLeast"/>
      <w:ind w:firstLine="420" w:firstLineChars="200"/>
      <w:jc w:val="left"/>
      <w:textAlignment w:val="baseline"/>
    </w:pPr>
    <w:rPr>
      <w:rFonts w:ascii="Calibri"/>
      <w:sz w:val="24"/>
    </w:rPr>
  </w:style>
  <w:style w:type="paragraph" w:customStyle="1" w:styleId="330">
    <w:name w:val="_Style 26"/>
    <w:basedOn w:val="1"/>
    <w:next w:val="44"/>
    <w:autoRedefine/>
    <w:qFormat/>
    <w:uiPriority w:val="0"/>
    <w:rPr>
      <w:rFonts w:hAnsi="Courier New"/>
    </w:rPr>
  </w:style>
  <w:style w:type="paragraph" w:customStyle="1" w:styleId="331">
    <w:name w:val="标题 12"/>
    <w:basedOn w:val="1"/>
    <w:autoRedefine/>
    <w:qFormat/>
    <w:uiPriority w:val="0"/>
    <w:pPr>
      <w:widowControl/>
      <w:pBdr>
        <w:bottom w:val="single" w:color="E8E8E8" w:sz="6" w:space="6"/>
      </w:pBdr>
      <w:spacing w:before="100" w:beforeAutospacing="1" w:after="100" w:afterAutospacing="1"/>
      <w:jc w:val="center"/>
      <w:outlineLvl w:val="1"/>
    </w:pPr>
    <w:rPr>
      <w:rFonts w:hAnsi="宋体"/>
      <w:b/>
      <w:color w:val="FF6600"/>
      <w:kern w:val="36"/>
      <w:sz w:val="24"/>
    </w:rPr>
  </w:style>
  <w:style w:type="paragraph" w:customStyle="1" w:styleId="332">
    <w:name w:val="WPSOffice手动目录 1"/>
    <w:autoRedefine/>
    <w:qFormat/>
    <w:uiPriority w:val="0"/>
    <w:rPr>
      <w:rFonts w:ascii="Calibri" w:hAnsi="Calibri" w:eastAsia="宋体" w:cs="Times New Roman"/>
      <w:lang w:val="en-US" w:eastAsia="zh-CN" w:bidi="ar-SA"/>
    </w:rPr>
  </w:style>
  <w:style w:type="paragraph" w:styleId="333">
    <w:name w:val="List Paragraph"/>
    <w:basedOn w:val="1"/>
    <w:autoRedefine/>
    <w:qFormat/>
    <w:uiPriority w:val="0"/>
    <w:pPr>
      <w:ind w:firstLine="420" w:firstLineChars="200"/>
    </w:pPr>
    <w:rPr>
      <w:rFonts w:ascii="Calibri"/>
      <w:szCs w:val="22"/>
    </w:rPr>
  </w:style>
  <w:style w:type="paragraph" w:customStyle="1" w:styleId="334">
    <w:name w:val="alt+s"/>
    <w:autoRedefine/>
    <w:qFormat/>
    <w:uiPriority w:val="0"/>
    <w:pPr>
      <w:numPr>
        <w:ilvl w:val="0"/>
        <w:numId w:val="11"/>
      </w:numPr>
      <w:tabs>
        <w:tab w:val="left" w:pos="1582"/>
        <w:tab w:val="clear" w:pos="1265"/>
      </w:tabs>
      <w:ind w:left="1918" w:hanging="336"/>
    </w:pPr>
    <w:rPr>
      <w:rFonts w:ascii="Calibri" w:hAnsi="Calibri" w:eastAsia="宋体" w:cs="Times New Roman"/>
      <w:lang w:val="en-US" w:eastAsia="zh-CN" w:bidi="ar-SA"/>
    </w:rPr>
  </w:style>
  <w:style w:type="paragraph" w:customStyle="1" w:styleId="335">
    <w:name w:val="Char Char Char1"/>
    <w:basedOn w:val="1"/>
    <w:autoRedefine/>
    <w:qFormat/>
    <w:uiPriority w:val="0"/>
    <w:rPr>
      <w:rFonts w:ascii="仿宋_GB2312" w:eastAsia="仿宋_GB2312"/>
      <w:b/>
      <w:sz w:val="32"/>
      <w:szCs w:val="32"/>
    </w:rPr>
  </w:style>
  <w:style w:type="paragraph" w:customStyle="1" w:styleId="336">
    <w:name w:val="标题 52"/>
    <w:basedOn w:val="1"/>
    <w:autoRedefine/>
    <w:qFormat/>
    <w:uiPriority w:val="0"/>
    <w:pPr>
      <w:numPr>
        <w:ilvl w:val="4"/>
        <w:numId w:val="3"/>
      </w:numPr>
      <w:outlineLvl w:val="4"/>
    </w:pPr>
    <w:rPr>
      <w:rFonts w:hint="eastAsia"/>
    </w:rPr>
  </w:style>
  <w:style w:type="paragraph" w:customStyle="1" w:styleId="337">
    <w:name w:val="样式 列表 + 左侧:  0 厘米 悬挂缩进: 2 字符"/>
    <w:basedOn w:val="66"/>
    <w:autoRedefine/>
    <w:qFormat/>
    <w:uiPriority w:val="0"/>
    <w:pPr>
      <w:autoSpaceDE w:val="0"/>
      <w:autoSpaceDN w:val="0"/>
      <w:snapToGrid w:val="0"/>
      <w:spacing w:before="100" w:beforeAutospacing="1" w:after="100" w:afterAutospacing="1" w:line="440" w:lineRule="atLeast"/>
      <w:ind w:left="0" w:firstLine="0" w:firstLineChars="0"/>
      <w:jc w:val="center"/>
    </w:pPr>
    <w:rPr>
      <w:szCs w:val="21"/>
    </w:rPr>
  </w:style>
  <w:style w:type="paragraph" w:customStyle="1" w:styleId="338">
    <w:name w:val="Char Char2 Char Char Char Char Char Char1 Char"/>
    <w:basedOn w:val="1"/>
    <w:autoRedefine/>
    <w:qFormat/>
    <w:uiPriority w:val="0"/>
    <w:rPr>
      <w:rFonts w:ascii="仿宋_GB2312" w:eastAsia="仿宋_GB2312"/>
      <w:b/>
      <w:sz w:val="32"/>
      <w:szCs w:val="32"/>
    </w:rPr>
  </w:style>
  <w:style w:type="paragraph" w:customStyle="1" w:styleId="339">
    <w:name w:val="正文缩进11"/>
    <w:basedOn w:val="1"/>
    <w:next w:val="34"/>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40">
    <w:name w:val="_Style 54"/>
    <w:next w:val="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1">
    <w:name w:val="Char Char Char Char Char Char Char Char Char Char Char1"/>
    <w:autoRedefine/>
    <w:qFormat/>
    <w:uiPriority w:val="0"/>
    <w:pPr>
      <w:widowControl w:val="0"/>
      <w:spacing w:line="300" w:lineRule="auto"/>
      <w:ind w:firstLine="480" w:firstLineChars="200"/>
      <w:jc w:val="both"/>
    </w:pPr>
    <w:rPr>
      <w:rFonts w:ascii="Calibri" w:hAnsi="Calibri" w:eastAsia="仿宋_GB2312" w:cs="Times New Roman"/>
      <w:kern w:val="2"/>
      <w:sz w:val="24"/>
      <w:szCs w:val="24"/>
      <w:lang w:val="en-US" w:eastAsia="zh-CN" w:bidi="ar-SA"/>
    </w:rPr>
  </w:style>
  <w:style w:type="paragraph" w:customStyle="1" w:styleId="342">
    <w:name w:val="1."/>
    <w:basedOn w:val="1"/>
    <w:autoRedefine/>
    <w:qFormat/>
    <w:uiPriority w:val="0"/>
    <w:pPr>
      <w:widowControl/>
      <w:tabs>
        <w:tab w:val="left" w:pos="1134"/>
      </w:tabs>
      <w:spacing w:before="240" w:line="240" w:lineRule="atLeast"/>
      <w:ind w:left="1134" w:hanging="454"/>
    </w:pPr>
    <w:rPr>
      <w:sz w:val="24"/>
      <w:szCs w:val="24"/>
    </w:rPr>
  </w:style>
  <w:style w:type="paragraph" w:customStyle="1" w:styleId="343">
    <w:name w:val="Char Char21"/>
    <w:basedOn w:val="1"/>
    <w:autoRedefine/>
    <w:qFormat/>
    <w:uiPriority w:val="0"/>
    <w:rPr>
      <w:rFonts w:ascii="仿宋_GB2312" w:eastAsia="仿宋_GB2312"/>
      <w:b/>
      <w:sz w:val="32"/>
    </w:rPr>
  </w:style>
  <w:style w:type="paragraph" w:customStyle="1" w:styleId="344">
    <w:name w:val="ST20_3"/>
    <w:basedOn w:val="1"/>
    <w:autoRedefine/>
    <w:qFormat/>
    <w:uiPriority w:val="0"/>
    <w:pPr>
      <w:autoSpaceDE w:val="0"/>
      <w:autoSpaceDN w:val="0"/>
      <w:adjustRightInd w:val="0"/>
      <w:ind w:left="1260" w:hanging="420"/>
      <w:jc w:val="left"/>
    </w:pPr>
    <w:rPr>
      <w:rFonts w:hAnsi="Tms Rmn"/>
      <w:sz w:val="24"/>
    </w:rPr>
  </w:style>
  <w:style w:type="paragraph" w:customStyle="1" w:styleId="345">
    <w:name w:val="Bullet"/>
    <w:basedOn w:val="33"/>
    <w:autoRedefine/>
    <w:qFormat/>
    <w:uiPriority w:val="0"/>
    <w:pPr>
      <w:widowControl/>
      <w:tabs>
        <w:tab w:val="left" w:pos="624"/>
      </w:tabs>
      <w:adjustRightInd w:val="0"/>
      <w:spacing w:afterLines="50" w:line="360" w:lineRule="atLeast"/>
      <w:ind w:left="454" w:hanging="454"/>
      <w:jc w:val="left"/>
    </w:pPr>
    <w:rPr>
      <w:rFonts w:ascii="Arial" w:hAnsi="Arial" w:cs="Arial"/>
      <w:sz w:val="22"/>
      <w:lang w:val="en-GB" w:eastAsia="zh-TW"/>
    </w:rPr>
  </w:style>
  <w:style w:type="paragraph" w:customStyle="1" w:styleId="346">
    <w:name w:val="Char Char2 Char Char Char Char Char Char1 Char1"/>
    <w:basedOn w:val="1"/>
    <w:autoRedefine/>
    <w:qFormat/>
    <w:uiPriority w:val="0"/>
    <w:rPr>
      <w:rFonts w:ascii="仿宋_GB2312" w:eastAsia="仿宋_GB2312"/>
      <w:b/>
      <w:sz w:val="32"/>
      <w:szCs w:val="32"/>
    </w:rPr>
  </w:style>
  <w:style w:type="paragraph" w:customStyle="1" w:styleId="347">
    <w:name w:val="ST20_12"/>
    <w:basedOn w:val="1"/>
    <w:autoRedefine/>
    <w:qFormat/>
    <w:uiPriority w:val="0"/>
    <w:pPr>
      <w:autoSpaceDE w:val="0"/>
      <w:autoSpaceDN w:val="0"/>
      <w:adjustRightInd w:val="0"/>
      <w:spacing w:after="120"/>
      <w:ind w:left="426" w:firstLine="425"/>
    </w:pPr>
    <w:rPr>
      <w:rFonts w:hAnsi="Tms Rmn"/>
      <w:sz w:val="24"/>
    </w:rPr>
  </w:style>
  <w:style w:type="paragraph" w:customStyle="1" w:styleId="348">
    <w:name w:val="Char Char1 Char Char Char Char Char Char Char Char Char1"/>
    <w:basedOn w:val="1"/>
    <w:autoRedefine/>
    <w:qFormat/>
    <w:uiPriority w:val="0"/>
    <w:rPr>
      <w:szCs w:val="24"/>
    </w:rPr>
  </w:style>
  <w:style w:type="paragraph" w:customStyle="1" w:styleId="349">
    <w:name w:val="表格"/>
    <w:next w:val="1"/>
    <w:autoRedefine/>
    <w:qFormat/>
    <w:uiPriority w:val="0"/>
    <w:pPr>
      <w:widowControl w:val="0"/>
      <w:spacing w:line="360" w:lineRule="auto"/>
    </w:pPr>
    <w:rPr>
      <w:rFonts w:ascii="Calibri" w:hAnsi="Calibri" w:eastAsia="宋体" w:cs="Times New Roman"/>
      <w:kern w:val="2"/>
      <w:sz w:val="21"/>
      <w:szCs w:val="22"/>
      <w:lang w:val="en-US" w:eastAsia="zh-CN" w:bidi="ar-SA"/>
    </w:rPr>
  </w:style>
  <w:style w:type="paragraph" w:customStyle="1" w:styleId="350">
    <w:name w:val="文档正文"/>
    <w:basedOn w:val="1"/>
    <w:autoRedefine/>
    <w:qFormat/>
    <w:uiPriority w:val="0"/>
    <w:pPr>
      <w:adjustRightInd w:val="0"/>
      <w:spacing w:line="480" w:lineRule="atLeast"/>
      <w:ind w:firstLine="567" w:firstLineChars="200"/>
      <w:textAlignment w:val="baseline"/>
    </w:pPr>
    <w:rPr>
      <w:rFonts w:ascii="Ari" w:eastAsia="Ari"/>
      <w:sz w:val="28"/>
    </w:rPr>
  </w:style>
  <w:style w:type="paragraph" w:customStyle="1" w:styleId="351">
    <w:name w:val="样式 标题 3节，一列表编号3二级节名头小节标题Heading 3 - oldh33rd levelH3l3..."/>
    <w:basedOn w:val="5"/>
    <w:autoRedefine/>
    <w:qFormat/>
    <w:uiPriority w:val="0"/>
    <w:pPr>
      <w:numPr>
        <w:numId w:val="0"/>
      </w:numPr>
      <w:spacing w:line="360" w:lineRule="auto"/>
      <w:ind w:firstLine="200" w:firstLineChars="200"/>
      <w:jc w:val="left"/>
    </w:pPr>
    <w:rPr>
      <w:rFonts w:ascii="Times New Roman" w:eastAsia="宋体" w:cs="宋体"/>
      <w:bCs/>
      <w:spacing w:val="0"/>
      <w:sz w:val="30"/>
    </w:rPr>
  </w:style>
  <w:style w:type="paragraph" w:customStyle="1" w:styleId="352">
    <w:name w:val="标书正文"/>
    <w:basedOn w:val="1"/>
    <w:autoRedefine/>
    <w:qFormat/>
    <w:uiPriority w:val="0"/>
    <w:pPr>
      <w:adjustRightInd w:val="0"/>
      <w:spacing w:line="360" w:lineRule="auto"/>
      <w:ind w:firstLine="200" w:firstLineChars="200"/>
      <w:jc w:val="left"/>
      <w:textAlignment w:val="baseline"/>
    </w:pPr>
    <w:rPr>
      <w:rFonts w:ascii="Calibri"/>
      <w:sz w:val="24"/>
      <w:szCs w:val="24"/>
    </w:rPr>
  </w:style>
  <w:style w:type="paragraph" w:customStyle="1" w:styleId="353">
    <w:name w:val="Char12"/>
    <w:basedOn w:val="1"/>
    <w:autoRedefine/>
    <w:qFormat/>
    <w:uiPriority w:val="0"/>
    <w:pPr>
      <w:ind w:firstLine="360" w:firstLineChars="150"/>
    </w:pPr>
    <w:rPr>
      <w:rFonts w:ascii="Tahoma" w:hAnsi="Tahoma"/>
      <w:snapToGrid w:val="0"/>
      <w:sz w:val="24"/>
      <w:szCs w:val="24"/>
    </w:rPr>
  </w:style>
  <w:style w:type="paragraph" w:customStyle="1" w:styleId="354">
    <w:name w:val="Referanselinje"/>
    <w:basedOn w:val="33"/>
    <w:autoRedefine/>
    <w:qFormat/>
    <w:uiPriority w:val="0"/>
    <w:pPr>
      <w:widowControl/>
      <w:overflowPunct w:val="0"/>
      <w:autoSpaceDE w:val="0"/>
      <w:autoSpaceDN w:val="0"/>
      <w:adjustRightInd w:val="0"/>
      <w:spacing w:after="160"/>
      <w:jc w:val="left"/>
      <w:textAlignment w:val="baseline"/>
    </w:pPr>
  </w:style>
  <w:style w:type="paragraph" w:customStyle="1" w:styleId="355">
    <w:name w:val="列出段落11"/>
    <w:basedOn w:val="1"/>
    <w:autoRedefine/>
    <w:qFormat/>
    <w:uiPriority w:val="0"/>
    <w:pPr>
      <w:ind w:firstLine="420" w:firstLineChars="200"/>
    </w:pPr>
  </w:style>
  <w:style w:type="paragraph" w:customStyle="1" w:styleId="356">
    <w:name w:val="样式 样式 标题 2 + 行距: 最小值 27 磅 + 小三"/>
    <w:basedOn w:val="307"/>
    <w:autoRedefine/>
    <w:qFormat/>
    <w:uiPriority w:val="0"/>
    <w:rPr>
      <w:sz w:val="30"/>
      <w:szCs w:val="30"/>
    </w:rPr>
  </w:style>
  <w:style w:type="paragraph" w:customStyle="1" w:styleId="357">
    <w:name w:val="正文-宋4行25"/>
    <w:basedOn w:val="1"/>
    <w:autoRedefine/>
    <w:qFormat/>
    <w:uiPriority w:val="0"/>
    <w:pPr>
      <w:adjustRightInd w:val="0"/>
      <w:snapToGrid w:val="0"/>
      <w:spacing w:before="100" w:beforeAutospacing="1" w:after="100" w:afterAutospacing="1" w:line="400" w:lineRule="exact"/>
      <w:ind w:left="169" w:leftChars="169" w:firstLine="480" w:firstLineChars="200"/>
      <w:textAlignment w:val="baseline"/>
    </w:pPr>
    <w:rPr>
      <w:rFonts w:cs="宋体"/>
      <w:sz w:val="24"/>
      <w:szCs w:val="24"/>
    </w:rPr>
  </w:style>
  <w:style w:type="paragraph" w:customStyle="1" w:styleId="358">
    <w:name w:val="样式 四号 首行缩进:  1.06 厘米"/>
    <w:basedOn w:val="1"/>
    <w:autoRedefine/>
    <w:qFormat/>
    <w:uiPriority w:val="0"/>
    <w:pPr>
      <w:spacing w:line="540" w:lineRule="atLeast"/>
      <w:ind w:firstLine="578" w:firstLineChars="200"/>
    </w:pPr>
    <w:rPr>
      <w:rFonts w:cs="宋体"/>
      <w:spacing w:val="8"/>
      <w:sz w:val="28"/>
      <w:szCs w:val="28"/>
    </w:rPr>
  </w:style>
  <w:style w:type="paragraph" w:customStyle="1" w:styleId="359">
    <w:name w:val="样式 样式 正文缩进表正文特点框图图表标题正文不缩进首行缩进两字正文非缩进 + 首行缩进:  2 字符 + 首行缩进:  2 字符"/>
    <w:basedOn w:val="1"/>
    <w:autoRedefine/>
    <w:qFormat/>
    <w:uiPriority w:val="0"/>
    <w:pPr>
      <w:spacing w:line="540" w:lineRule="exact"/>
      <w:ind w:firstLine="200" w:firstLineChars="200"/>
    </w:pPr>
    <w:rPr>
      <w:rFonts w:cs="宋体"/>
      <w:sz w:val="24"/>
    </w:rPr>
  </w:style>
  <w:style w:type="paragraph" w:customStyle="1" w:styleId="360">
    <w:name w:val="Char Char Char Char Char Char Char1"/>
    <w:basedOn w:val="1"/>
    <w:autoRedefine/>
    <w:qFormat/>
    <w:uiPriority w:val="0"/>
    <w:rPr>
      <w:rFonts w:ascii="仿宋_GB2312" w:eastAsia="仿宋_GB2312"/>
      <w:b/>
      <w:sz w:val="32"/>
    </w:rPr>
  </w:style>
  <w:style w:type="paragraph" w:customStyle="1" w:styleId="361">
    <w:name w:val="无间隔11"/>
    <w:basedOn w:val="1"/>
    <w:autoRedefine/>
    <w:qFormat/>
    <w:uiPriority w:val="0"/>
    <w:pPr>
      <w:spacing w:beforeLines="50" w:afterLines="50"/>
      <w:jc w:val="center"/>
    </w:pPr>
    <w:rPr>
      <w:rFonts w:hAnsi="宋体" w:cs="黑体"/>
      <w:szCs w:val="21"/>
    </w:rPr>
  </w:style>
  <w:style w:type="paragraph" w:styleId="362">
    <w:name w:val="No Spacing"/>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63">
    <w:name w:val="Char Char1 Char Char Char Char1"/>
    <w:basedOn w:val="1"/>
    <w:autoRedefine/>
    <w:qFormat/>
    <w:uiPriority w:val="0"/>
    <w:rPr>
      <w:rFonts w:ascii="仿宋_GB2312" w:eastAsia="仿宋_GB2312"/>
      <w:b/>
      <w:sz w:val="32"/>
      <w:szCs w:val="32"/>
    </w:rPr>
  </w:style>
  <w:style w:type="paragraph" w:customStyle="1" w:styleId="364">
    <w:name w:val="正文11"/>
    <w:autoRedefine/>
    <w:qFormat/>
    <w:uiPriority w:val="0"/>
    <w:pPr>
      <w:widowControl w:val="0"/>
      <w:adjustRightInd w:val="0"/>
      <w:spacing w:line="315" w:lineRule="atLeast"/>
      <w:jc w:val="both"/>
      <w:textAlignment w:val="baseline"/>
    </w:pPr>
    <w:rPr>
      <w:rFonts w:ascii="宋体" w:hAnsi="Calibri" w:eastAsia="宋体" w:cs="Times New Roman"/>
      <w:sz w:val="21"/>
      <w:lang w:val="en-US" w:eastAsia="zh-CN" w:bidi="ar-SA"/>
    </w:rPr>
  </w:style>
  <w:style w:type="paragraph" w:customStyle="1" w:styleId="365">
    <w:name w:val="Char Char31"/>
    <w:basedOn w:val="1"/>
    <w:autoRedefine/>
    <w:qFormat/>
    <w:uiPriority w:val="0"/>
    <w:rPr>
      <w:rFonts w:ascii="仿宋_GB2312" w:eastAsia="仿宋_GB2312"/>
      <w:b/>
      <w:sz w:val="32"/>
      <w:szCs w:val="32"/>
    </w:rPr>
  </w:style>
  <w:style w:type="paragraph" w:customStyle="1" w:styleId="366">
    <w:name w:val="表格文字"/>
    <w:basedOn w:val="1"/>
    <w:next w:val="1"/>
    <w:autoRedefine/>
    <w:qFormat/>
    <w:uiPriority w:val="0"/>
    <w:pPr>
      <w:adjustRightInd w:val="0"/>
      <w:snapToGrid w:val="0"/>
      <w:jc w:val="left"/>
    </w:pPr>
    <w:rPr>
      <w:rFonts w:hAnsi="Arial" w:cs="Arial"/>
      <w:szCs w:val="21"/>
    </w:rPr>
  </w:style>
  <w:style w:type="paragraph" w:customStyle="1" w:styleId="367">
    <w:name w:val="表内容"/>
    <w:basedOn w:val="1"/>
    <w:autoRedefine/>
    <w:qFormat/>
    <w:uiPriority w:val="0"/>
    <w:pPr>
      <w:autoSpaceDE w:val="0"/>
      <w:autoSpaceDN w:val="0"/>
      <w:adjustRightInd w:val="0"/>
      <w:spacing w:before="60" w:after="60" w:line="288" w:lineRule="auto"/>
      <w:jc w:val="center"/>
      <w:textAlignment w:val="baseline"/>
    </w:pPr>
    <w:rPr>
      <w:rFonts w:ascii="Arial" w:hAnsi="Arial"/>
    </w:rPr>
  </w:style>
  <w:style w:type="paragraph" w:customStyle="1" w:styleId="368">
    <w:name w:val="zbggmain"/>
    <w:basedOn w:val="1"/>
    <w:autoRedefine/>
    <w:qFormat/>
    <w:uiPriority w:val="0"/>
    <w:pPr>
      <w:widowControl/>
      <w:spacing w:before="100" w:beforeAutospacing="1" w:after="100" w:afterAutospacing="1" w:line="360" w:lineRule="auto"/>
      <w:jc w:val="left"/>
    </w:pPr>
    <w:rPr>
      <w:color w:val="000000"/>
      <w:sz w:val="24"/>
      <w:szCs w:val="24"/>
    </w:rPr>
  </w:style>
  <w:style w:type="character" w:customStyle="1" w:styleId="369">
    <w:name w:val="图表 Char Char"/>
    <w:link w:val="370"/>
    <w:autoRedefine/>
    <w:qFormat/>
    <w:uiPriority w:val="0"/>
    <w:rPr>
      <w:rFonts w:ascii="宋体" w:cs="宋体"/>
      <w:color w:val="000000"/>
      <w:szCs w:val="21"/>
    </w:rPr>
  </w:style>
  <w:style w:type="paragraph" w:customStyle="1" w:styleId="370">
    <w:name w:val="图表"/>
    <w:basedOn w:val="1"/>
    <w:link w:val="369"/>
    <w:autoRedefine/>
    <w:qFormat/>
    <w:uiPriority w:val="0"/>
    <w:pPr>
      <w:autoSpaceDE w:val="0"/>
      <w:autoSpaceDN w:val="0"/>
      <w:adjustRightInd w:val="0"/>
    </w:pPr>
    <w:rPr>
      <w:rFonts w:hAnsi="Times New Roman" w:cs="宋体"/>
      <w:color w:val="000000"/>
      <w:sz w:val="20"/>
      <w:szCs w:val="21"/>
    </w:rPr>
  </w:style>
  <w:style w:type="paragraph" w:customStyle="1" w:styleId="371">
    <w:name w:val="正文2"/>
    <w:basedOn w:val="1"/>
    <w:autoRedefine/>
    <w:qFormat/>
    <w:uiPriority w:val="0"/>
    <w:pPr>
      <w:spacing w:before="156" w:line="360" w:lineRule="auto"/>
      <w:ind w:firstLine="510" w:firstLineChars="200"/>
    </w:pPr>
    <w:rPr>
      <w:sz w:val="24"/>
    </w:rPr>
  </w:style>
  <w:style w:type="character" w:customStyle="1" w:styleId="372">
    <w:name w:val="标题 1 Char Char"/>
    <w:autoRedefine/>
    <w:qFormat/>
    <w:uiPriority w:val="0"/>
    <w:rPr>
      <w:rFonts w:eastAsia="宋体"/>
      <w:b/>
      <w:spacing w:val="-2"/>
      <w:sz w:val="24"/>
      <w:lang w:val="en-US" w:eastAsia="zh-CN"/>
    </w:rPr>
  </w:style>
  <w:style w:type="paragraph" w:customStyle="1" w:styleId="373">
    <w:name w:val="纯文本3"/>
    <w:basedOn w:val="1"/>
    <w:autoRedefine/>
    <w:qFormat/>
    <w:uiPriority w:val="0"/>
    <w:rPr>
      <w:rFonts w:hAnsi="Courier New"/>
      <w:sz w:val="20"/>
      <w:szCs w:val="21"/>
    </w:rPr>
  </w:style>
  <w:style w:type="paragraph" w:customStyle="1" w:styleId="37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5">
    <w:name w:val="Table Paragraph"/>
    <w:basedOn w:val="1"/>
    <w:autoRedefine/>
    <w:qFormat/>
    <w:uiPriority w:val="1"/>
    <w:pPr>
      <w:jc w:val="left"/>
    </w:pPr>
    <w:rPr>
      <w:rFonts w:hAnsi="宋体" w:cs="宋体"/>
      <w:sz w:val="22"/>
      <w:szCs w:val="22"/>
      <w:lang w:eastAsia="en-US"/>
    </w:rPr>
  </w:style>
  <w:style w:type="paragraph" w:customStyle="1" w:styleId="376">
    <w:name w:val="font8"/>
    <w:basedOn w:val="1"/>
    <w:autoRedefine/>
    <w:qFormat/>
    <w:uiPriority w:val="0"/>
    <w:pPr>
      <w:widowControl/>
      <w:spacing w:before="100" w:beforeAutospacing="1" w:after="100" w:afterAutospacing="1"/>
      <w:jc w:val="left"/>
    </w:pPr>
    <w:rPr>
      <w:sz w:val="22"/>
      <w:szCs w:val="22"/>
    </w:rPr>
  </w:style>
  <w:style w:type="paragraph" w:customStyle="1" w:styleId="377">
    <w:name w:val="正文段"/>
    <w:basedOn w:val="1"/>
    <w:autoRedefine/>
    <w:qFormat/>
    <w:uiPriority w:val="0"/>
    <w:pPr>
      <w:widowControl/>
      <w:snapToGrid w:val="0"/>
      <w:spacing w:afterLines="50"/>
      <w:ind w:firstLine="200" w:firstLineChars="200"/>
    </w:pPr>
    <w:rPr>
      <w:sz w:val="24"/>
    </w:rPr>
  </w:style>
  <w:style w:type="table" w:customStyle="1" w:styleId="378">
    <w:name w:val="Table Normal"/>
    <w:autoRedefine/>
    <w:semiHidden/>
    <w:unhideWhenUsed/>
    <w:qFormat/>
    <w:uiPriority w:val="0"/>
    <w:tblPr>
      <w:tblCellMar>
        <w:top w:w="0" w:type="dxa"/>
        <w:left w:w="0" w:type="dxa"/>
        <w:bottom w:w="0" w:type="dxa"/>
        <w:right w:w="0" w:type="dxa"/>
      </w:tblCellMar>
    </w:tblPr>
  </w:style>
  <w:style w:type="paragraph" w:customStyle="1" w:styleId="379">
    <w:name w:val="纯文本4"/>
    <w:basedOn w:val="1"/>
    <w:autoRedefine/>
    <w:qFormat/>
    <w:uiPriority w:val="0"/>
    <w:rPr>
      <w:rFonts w:hAnsi="Courier New"/>
      <w:sz w:val="20"/>
      <w:szCs w:val="21"/>
    </w:rPr>
  </w:style>
  <w:style w:type="paragraph" w:customStyle="1" w:styleId="380">
    <w:name w:val="Body text|1"/>
    <w:basedOn w:val="1"/>
    <w:autoRedefine/>
    <w:qFormat/>
    <w:uiPriority w:val="0"/>
    <w:pPr>
      <w:spacing w:line="437" w:lineRule="auto"/>
      <w:ind w:firstLine="400"/>
    </w:pPr>
    <w:rPr>
      <w:rFonts w:hAnsi="宋体" w:cs="宋体"/>
      <w:sz w:val="22"/>
      <w:lang w:val="zh-TW" w:eastAsia="zh-TW" w:bidi="zh-TW"/>
    </w:rPr>
  </w:style>
  <w:style w:type="paragraph" w:customStyle="1" w:styleId="381">
    <w:name w:val="Other|1"/>
    <w:basedOn w:val="1"/>
    <w:autoRedefine/>
    <w:qFormat/>
    <w:uiPriority w:val="0"/>
    <w:pPr>
      <w:spacing w:line="437" w:lineRule="auto"/>
      <w:ind w:firstLine="400"/>
    </w:pPr>
    <w:rPr>
      <w:rFonts w:hAnsi="宋体" w:cs="宋体"/>
      <w:sz w:val="22"/>
      <w:lang w:val="zh-TW" w:eastAsia="zh-TW" w:bidi="zh-TW"/>
    </w:rPr>
  </w:style>
  <w:style w:type="paragraph" w:customStyle="1" w:styleId="382">
    <w:name w:val="修订2"/>
    <w:autoRedefine/>
    <w:hidden/>
    <w:unhideWhenUsed/>
    <w:qFormat/>
    <w:uiPriority w:val="99"/>
    <w:rPr>
      <w:rFonts w:ascii="宋体" w:hAnsi="Calibri" w:eastAsia="宋体" w:cs="Times New Roman"/>
      <w:sz w:val="21"/>
      <w:lang w:val="en-US" w:eastAsia="zh-CN" w:bidi="ar-SA"/>
    </w:rPr>
  </w:style>
  <w:style w:type="paragraph" w:customStyle="1" w:styleId="383">
    <w:name w:val="table"/>
    <w:basedOn w:val="1"/>
    <w:autoRedefine/>
    <w:qFormat/>
    <w:uiPriority w:val="0"/>
    <w:pPr>
      <w:widowControl/>
      <w:overflowPunct w:val="0"/>
      <w:autoSpaceDE w:val="0"/>
      <w:autoSpaceDN w:val="0"/>
      <w:adjustRightInd w:val="0"/>
      <w:spacing w:before="60" w:after="60"/>
      <w:jc w:val="center"/>
      <w:textAlignment w:val="baseline"/>
    </w:pPr>
    <w:rPr>
      <w:rFonts w:ascii="仿宋体" w:eastAsia="仿宋体"/>
      <w:sz w:val="24"/>
    </w:rPr>
  </w:style>
  <w:style w:type="paragraph" w:customStyle="1" w:styleId="384">
    <w:name w:val="样式 (西文) 宋体 行距: 1.5 倍行距"/>
    <w:basedOn w:val="1"/>
    <w:autoRedefine/>
    <w:qFormat/>
    <w:uiPriority w:val="0"/>
    <w:pPr>
      <w:spacing w:line="360" w:lineRule="auto"/>
    </w:pPr>
    <w:rPr>
      <w:rFonts w:hAnsi="宋体" w:cs="宋体"/>
    </w:rPr>
  </w:style>
  <w:style w:type="paragraph" w:customStyle="1" w:styleId="385">
    <w:name w:val="修订3"/>
    <w:autoRedefine/>
    <w:hidden/>
    <w:unhideWhenUsed/>
    <w:qFormat/>
    <w:uiPriority w:val="99"/>
    <w:rPr>
      <w:rFonts w:ascii="宋体" w:hAnsi="Calibri" w:eastAsia="宋体" w:cs="Times New Roman"/>
      <w:sz w:val="21"/>
      <w:lang w:val="en-US" w:eastAsia="zh-CN" w:bidi="ar-SA"/>
    </w:rPr>
  </w:style>
  <w:style w:type="character" w:customStyle="1" w:styleId="386">
    <w:name w:val="font51"/>
    <w:basedOn w:val="91"/>
    <w:autoRedefine/>
    <w:qFormat/>
    <w:uiPriority w:val="0"/>
    <w:rPr>
      <w:rFonts w:hint="eastAsia" w:ascii="宋体" w:hAnsi="宋体" w:eastAsia="宋体" w:cs="宋体"/>
      <w:color w:val="FF0000"/>
      <w:sz w:val="28"/>
      <w:szCs w:val="28"/>
      <w:u w:val="none"/>
    </w:rPr>
  </w:style>
  <w:style w:type="paragraph" w:customStyle="1" w:styleId="387">
    <w:name w:val="Heading #1|1"/>
    <w:basedOn w:val="1"/>
    <w:autoRedefine/>
    <w:qFormat/>
    <w:uiPriority w:val="0"/>
    <w:pPr>
      <w:widowControl w:val="0"/>
      <w:shd w:val="clear" w:color="auto" w:fill="auto"/>
      <w:spacing w:after="150"/>
      <w:jc w:val="center"/>
      <w:outlineLvl w:val="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jpeg"/><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杭州水务</Company>
  <Pages>91</Pages>
  <Words>7149</Words>
  <Characters>40754</Characters>
  <Lines>339</Lines>
  <Paragraphs>95</Paragraphs>
  <TotalTime>21</TotalTime>
  <ScaleCrop>false</ScaleCrop>
  <LinksUpToDate>false</LinksUpToDate>
  <CharactersWithSpaces>47808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李晓倩</dc:creator>
  <cp:lastModifiedBy>陈天丰</cp:lastModifiedBy>
  <cp:lastPrinted>2024-04-01T16:54:00Z</cp:lastPrinted>
  <dcterms:modified xsi:type="dcterms:W3CDTF">2024-04-30T06:35:53Z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80A97AFFD2044AE983A5AD19A74A30B8_13</vt:lpwstr>
  </property>
</Properties>
</file>