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hint="default" w:eastAsiaTheme="minorEastAsia"/>
          <w:lang w:val="en-US" w:eastAsia="zh-CN"/>
        </w:rPr>
      </w:pPr>
      <w:bookmarkStart w:id="520" w:name="_GoBack"/>
      <w:r>
        <w:rPr>
          <w:rFonts w:hint="eastAsia" w:cs="宋体" w:asciiTheme="minorEastAsia" w:hAnsiTheme="minorEastAsia"/>
          <w:sz w:val="48"/>
          <w:szCs w:val="48"/>
          <w:u w:val="single"/>
          <w:lang w:eastAsia="zh-CN"/>
        </w:rPr>
        <w:t>2024年临江公司费斯托备件采购项目（重新询价）</w:t>
      </w:r>
    </w:p>
    <w:bookmarkEnd w:id="520"/>
    <w:p>
      <w:pPr>
        <w:adjustRightInd w:val="0"/>
        <w:snapToGrid w:val="0"/>
        <w:spacing w:line="360" w:lineRule="auto"/>
        <w:jc w:val="center"/>
        <w:rPr>
          <w:rFonts w:cs="宋体" w:asciiTheme="minorEastAsia" w:hAnsiTheme="minorEastAsia"/>
          <w:sz w:val="48"/>
          <w:szCs w:val="48"/>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cs="宋体" w:asciiTheme="minorEastAsia" w:hAnsiTheme="minorEastAsia"/>
          <w:sz w:val="30"/>
          <w:szCs w:val="30"/>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202404035-1</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32"/>
          <w:szCs w:val="32"/>
        </w:rPr>
        <w:sectPr>
          <w:footerReference r:id="rId5" w:type="first"/>
          <w:headerReference r:id="rId3" w:type="default"/>
          <w:footerReference r:id="rId4"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lang w:eastAsia="zh-CN"/>
        </w:rPr>
        <w:t>2024年5月9日</w:t>
      </w: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 xml:space="preserve">第一部分 </w:t>
      </w:r>
      <w:bookmarkStart w:id="1" w:name="_Hlk152939184"/>
      <w:r>
        <w:rPr>
          <w:rFonts w:hint="eastAsia" w:cs="仿宋" w:asciiTheme="minorEastAsia" w:hAnsiTheme="minorEastAsia"/>
          <w:b/>
          <w:sz w:val="36"/>
          <w:szCs w:val="36"/>
        </w:rPr>
        <w:t>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2" w:name="_Toc28359079"/>
      <w:bookmarkStart w:id="3" w:name="_Toc28359002"/>
      <w:bookmarkStart w:id="4" w:name="_Toc35393790"/>
      <w:bookmarkStart w:id="5" w:name="_Toc35393621"/>
      <w:bookmarkStart w:id="6"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2024年临江公司费斯托备件采购项目（重新询价）</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2"/>
      <w:bookmarkEnd w:id="3"/>
      <w:bookmarkEnd w:id="4"/>
      <w:bookmarkEnd w:id="5"/>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202404035-1</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2024年临江公司费斯托备件</w:t>
      </w:r>
      <w:r>
        <w:rPr>
          <w:rFonts w:hint="eastAsia" w:cs="仿宋" w:asciiTheme="minorEastAsia" w:hAnsiTheme="minorEastAsia"/>
          <w:sz w:val="24"/>
          <w:u w:val="single"/>
        </w:rPr>
        <w:t>采购</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6"/>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lang w:val="en-US" w:eastAsia="zh-CN"/>
        </w:rPr>
        <w:t>6.6</w:t>
      </w:r>
      <w:r>
        <w:rPr>
          <w:rFonts w:hint="eastAsia" w:cs="仿宋" w:asciiTheme="minorEastAsia" w:hAnsiTheme="minorEastAsia"/>
          <w:sz w:val="24"/>
          <w:u w:val="single"/>
          <w:lang w:eastAsia="zh-CN"/>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u w:val="single"/>
        </w:rPr>
      </w:pPr>
      <w:r>
        <w:rPr>
          <w:rFonts w:hint="eastAsia" w:hAnsi="宋体" w:cs="宋体"/>
          <w:bCs/>
          <w:sz w:val="24"/>
          <w:u w:val="single"/>
        </w:rPr>
        <w:t>杭州临江环境能源有限公司因日常生产需要，需</w:t>
      </w:r>
      <w:r>
        <w:rPr>
          <w:rFonts w:hint="eastAsia" w:hAnsi="宋体" w:cs="宋体"/>
          <w:bCs/>
          <w:sz w:val="24"/>
          <w:u w:val="single"/>
          <w:lang w:eastAsia="zh-CN"/>
        </w:rPr>
        <w:t>采购费斯托备件</w:t>
      </w:r>
      <w:r>
        <w:rPr>
          <w:rFonts w:hint="eastAsia" w:hAnsi="宋体" w:cs="宋体"/>
          <w:bCs/>
          <w:sz w:val="24"/>
          <w:u w:val="single"/>
        </w:rPr>
        <w:t>一批。</w:t>
      </w:r>
      <w:r>
        <w:rPr>
          <w:rFonts w:hint="eastAsia" w:cs="仿宋" w:asciiTheme="minorEastAsia" w:hAnsiTheme="minorEastAsia"/>
          <w:sz w:val="24"/>
          <w:u w:val="single"/>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hAnsi="宋体" w:cs="宋体"/>
          <w:bCs/>
          <w:sz w:val="24"/>
          <w:u w:val="single"/>
          <w:lang w:eastAsia="zh-CN"/>
        </w:rPr>
        <w:t>分批供货</w:t>
      </w:r>
      <w:r>
        <w:rPr>
          <w:rFonts w:hint="eastAsia" w:hAnsi="宋体" w:cs="宋体"/>
          <w:bCs/>
          <w:sz w:val="24"/>
          <w:u w:val="single"/>
        </w:rPr>
        <w:t>。在采购人发出送货通知后，成交人</w:t>
      </w:r>
      <w:r>
        <w:rPr>
          <w:rFonts w:hint="eastAsia" w:hAnsi="宋体" w:cs="宋体"/>
          <w:bCs/>
          <w:sz w:val="24"/>
          <w:u w:val="single"/>
          <w:lang w:eastAsia="zh-CN"/>
        </w:rPr>
        <w:t>30个工作日内将货物</w:t>
      </w:r>
      <w:r>
        <w:rPr>
          <w:rFonts w:hint="eastAsia" w:hAnsi="宋体" w:cs="宋体"/>
          <w:bCs/>
          <w:sz w:val="24"/>
          <w:u w:val="single"/>
        </w:rPr>
        <w:t>如数送至采购人指定地点。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7" w:name="_Toc28359080"/>
      <w:bookmarkStart w:id="8" w:name="_Toc28359003"/>
      <w:bookmarkStart w:id="9" w:name="_Toc35393791"/>
      <w:bookmarkStart w:id="10" w:name="_Toc35393622"/>
      <w:r>
        <w:rPr>
          <w:rFonts w:hint="eastAsia" w:cs="仿宋" w:asciiTheme="minorEastAsia" w:hAnsiTheme="minorEastAsia"/>
          <w:b/>
          <w:bCs/>
          <w:sz w:val="24"/>
        </w:rPr>
        <w:t>二、供应商的资格要求：</w:t>
      </w:r>
      <w:bookmarkEnd w:id="7"/>
      <w:bookmarkEnd w:id="8"/>
      <w:bookmarkEnd w:id="9"/>
      <w:bookmarkEnd w:id="10"/>
      <w:bookmarkStart w:id="11" w:name="_Toc28359004"/>
      <w:bookmarkStart w:id="12" w:name="_Toc35393623"/>
      <w:bookmarkStart w:id="13" w:name="_Toc28359081"/>
      <w:bookmarkStart w:id="14" w:name="_Toc35393792"/>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等其他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rPr>
      </w:pPr>
      <w:r>
        <w:rPr>
          <w:rFonts w:cs="仿宋" w:asciiTheme="minorEastAsia" w:hAnsiTheme="minorEastAsia"/>
          <w:bCs/>
          <w:sz w:val="24"/>
        </w:rPr>
        <w:t>3</w:t>
      </w:r>
      <w:r>
        <w:rPr>
          <w:rFonts w:hint="eastAsia" w:cs="仿宋" w:asciiTheme="minorEastAsia" w:hAnsiTheme="minorEastAsia"/>
          <w:bCs/>
          <w:sz w:val="24"/>
        </w:rPr>
        <w:t>.供应商不得为杭州市环境集团有限公司或杭州临江环境能源有限公司不合格供应商或者在黑名单之内。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cs="仿宋" w:asciiTheme="minorEastAsia" w:hAnsiTheme="minorEastAsia"/>
          <w:bCs/>
          <w:sz w:val="24"/>
        </w:rPr>
        <w:t>4</w:t>
      </w:r>
      <w:r>
        <w:rPr>
          <w:rFonts w:hint="eastAsia" w:cs="仿宋" w:asciiTheme="minorEastAsia" w:hAnsiTheme="minorEastAsia"/>
          <w:bCs/>
          <w:sz w:val="24"/>
        </w:rPr>
        <w:t xml:space="preserve">.供应商负责人为同一人或者存在控股、管理关系的不同单位，不得同时参加本项目。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cs="仿宋" w:asciiTheme="minorEastAsia" w:hAnsiTheme="minorEastAsia"/>
          <w:bCs/>
          <w:sz w:val="24"/>
        </w:rPr>
        <w:t>5</w:t>
      </w:r>
      <w:r>
        <w:rPr>
          <w:rFonts w:hint="eastAsia" w:cs="仿宋" w:asciiTheme="minorEastAsia" w:hAnsiTheme="minorEastAsia"/>
          <w:bCs/>
          <w:sz w:val="24"/>
        </w:rPr>
        <w:t>.供应商须提供其股东信息及出资比例信息。</w:t>
      </w:r>
    </w:p>
    <w:p>
      <w:pPr>
        <w:spacing w:line="360" w:lineRule="auto"/>
        <w:ind w:firstLine="480" w:firstLineChars="200"/>
        <w:rPr>
          <w:rFonts w:hint="eastAsia" w:cs="仿宋" w:asciiTheme="minorEastAsia" w:hAnsiTheme="minorEastAsia" w:eastAsiaTheme="minorEastAsia"/>
          <w:bCs/>
          <w:sz w:val="24"/>
          <w:u w:val="single"/>
          <w:lang w:val="en-US" w:eastAsia="zh-CN"/>
        </w:rPr>
      </w:pPr>
      <w:r>
        <w:rPr>
          <w:rFonts w:cs="仿宋" w:asciiTheme="minorEastAsia" w:hAnsiTheme="minorEastAsia"/>
          <w:bCs/>
          <w:sz w:val="24"/>
        </w:rPr>
        <w:t>6.</w:t>
      </w:r>
      <w:r>
        <w:rPr>
          <w:rFonts w:hint="eastAsia" w:cs="仿宋" w:asciiTheme="minorEastAsia" w:hAnsiTheme="minorEastAsia"/>
          <w:bCs/>
          <w:sz w:val="24"/>
        </w:rPr>
        <w:t>本项目特定资格要求：</w:t>
      </w:r>
      <w:r>
        <w:rPr>
          <w:rFonts w:hint="eastAsia" w:cs="仿宋" w:asciiTheme="minorEastAsia" w:hAnsiTheme="minorEastAsia"/>
          <w:bCs/>
          <w:sz w:val="24"/>
          <w:u w:val="single"/>
          <w:lang w:val="en-US" w:eastAsia="zh-CN"/>
        </w:rPr>
        <w:t>无</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1"/>
      <w:bookmarkEnd w:id="12"/>
      <w:bookmarkEnd w:id="13"/>
      <w:bookmarkEnd w:id="14"/>
      <w:r>
        <w:rPr>
          <w:rFonts w:hint="eastAsia" w:cs="仿宋" w:asciiTheme="minorEastAsia" w:hAnsiTheme="minorEastAsia"/>
          <w:b/>
          <w:bCs/>
          <w:sz w:val="24"/>
        </w:rPr>
        <w:t>获取（下载）询价采购文件</w:t>
      </w:r>
    </w:p>
    <w:p>
      <w:pPr>
        <w:spacing w:line="360" w:lineRule="auto"/>
        <w:ind w:firstLine="480" w:firstLineChars="200"/>
        <w:rPr>
          <w:rFonts w:cs="仿宋" w:asciiTheme="minorEastAsia" w:hAnsiTheme="minorEastAsia"/>
          <w:sz w:val="24"/>
        </w:rPr>
      </w:pPr>
      <w:bookmarkStart w:id="15" w:name="_Toc28359082"/>
      <w:bookmarkStart w:id="16" w:name="_Toc35393793"/>
      <w:bookmarkStart w:id="17" w:name="_Toc35393624"/>
      <w:bookmarkStart w:id="18" w:name="_Toc28359005"/>
      <w:r>
        <w:rPr>
          <w:rFonts w:hint="eastAsia" w:cs="仿宋" w:asciiTheme="minorEastAsia" w:hAnsiTheme="minorEastAsia"/>
          <w:sz w:val="24"/>
        </w:rPr>
        <w:t xml:space="preserve">1.时间：报价截止时间前。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2.地点（网址）：杭州临江环境能源有限公司网站（https://www.ljhjny.com/notice.html）。</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3.方式：网站附件免费下载。</w:t>
      </w:r>
    </w:p>
    <w:bookmarkEnd w:id="15"/>
    <w:bookmarkEnd w:id="16"/>
    <w:bookmarkEnd w:id="17"/>
    <w:bookmarkEnd w:id="18"/>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rPr>
        <w:t>2024年</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rPr>
        <w:t>月</w:t>
      </w:r>
      <w:r>
        <w:rPr>
          <w:rFonts w:hint="eastAsia" w:cs="仿宋" w:asciiTheme="minorEastAsia" w:hAnsiTheme="minorEastAsia"/>
          <w:bCs/>
          <w:sz w:val="24"/>
          <w:u w:val="single"/>
          <w:lang w:val="en-US" w:eastAsia="zh-CN"/>
        </w:rPr>
        <w:t>16</w:t>
      </w:r>
      <w:r>
        <w:rPr>
          <w:rFonts w:hint="eastAsia" w:cs="仿宋" w:asciiTheme="minorEastAsia" w:hAnsiTheme="minorEastAsia"/>
          <w:bCs/>
          <w:sz w:val="24"/>
          <w:u w:val="single"/>
        </w:rPr>
        <w:t>日</w:t>
      </w:r>
      <w:r>
        <w:rPr>
          <w:rFonts w:cs="仿宋" w:asciiTheme="minorEastAsia" w:hAnsiTheme="minorEastAsia"/>
          <w:bCs/>
          <w:sz w:val="24"/>
          <w:u w:val="single"/>
        </w:rPr>
        <w:t>10</w:t>
      </w:r>
      <w:r>
        <w:rPr>
          <w:rFonts w:hint="eastAsia" w:cs="仿宋" w:asciiTheme="minorEastAsia" w:hAnsiTheme="minorEastAsia"/>
          <w:bCs/>
          <w:sz w:val="24"/>
          <w:u w:val="single"/>
        </w:rPr>
        <w:t>点</w:t>
      </w:r>
      <w:r>
        <w:rPr>
          <w:rFonts w:cs="仿宋" w:asciiTheme="minorEastAsia" w:hAnsiTheme="minorEastAsia"/>
          <w:bCs/>
          <w:sz w:val="24"/>
          <w:u w:val="single"/>
        </w:rPr>
        <w:t>30</w:t>
      </w:r>
      <w:r>
        <w:rPr>
          <w:rFonts w:hint="eastAsia" w:cs="仿宋" w:asciiTheme="minorEastAsia" w:hAnsiTheme="minorEastAsia"/>
          <w:bCs/>
          <w:sz w:val="24"/>
          <w:u w:val="single"/>
        </w:rPr>
        <w:t>分</w:t>
      </w:r>
      <w:r>
        <w:rPr>
          <w:rFonts w:cs="仿宋" w:asciiTheme="minorEastAsia" w:hAnsiTheme="minorEastAsia"/>
          <w:bCs/>
          <w:sz w:val="24"/>
          <w:u w:val="single"/>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）响应文件邮递递交截止时间：以邮寄签收时间为准，因邮寄原因导致响应文件不能如期送达等风险由供应商自行承担。</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rPr>
        <w:t>2024年</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rPr>
        <w:t>月</w:t>
      </w:r>
      <w:r>
        <w:rPr>
          <w:rFonts w:hint="eastAsia" w:cs="仿宋" w:asciiTheme="minorEastAsia" w:hAnsiTheme="minorEastAsia"/>
          <w:bCs/>
          <w:sz w:val="24"/>
          <w:u w:val="single"/>
          <w:lang w:val="en-US" w:eastAsia="zh-CN"/>
        </w:rPr>
        <w:t>16</w:t>
      </w:r>
      <w:r>
        <w:rPr>
          <w:rFonts w:hint="eastAsia" w:cs="仿宋" w:asciiTheme="minorEastAsia" w:hAnsiTheme="minorEastAsia"/>
          <w:bCs/>
          <w:sz w:val="24"/>
          <w:u w:val="single"/>
        </w:rPr>
        <w:t>日</w:t>
      </w:r>
      <w:r>
        <w:rPr>
          <w:rFonts w:cs="仿宋" w:asciiTheme="minorEastAsia" w:hAnsiTheme="minorEastAsia"/>
          <w:bCs/>
          <w:sz w:val="24"/>
          <w:u w:val="single"/>
        </w:rPr>
        <w:t>10</w:t>
      </w:r>
      <w:r>
        <w:rPr>
          <w:rFonts w:hint="eastAsia" w:cs="仿宋" w:asciiTheme="minorEastAsia" w:hAnsiTheme="minorEastAsia"/>
          <w:bCs/>
          <w:sz w:val="24"/>
          <w:u w:val="single"/>
        </w:rPr>
        <w:t>点</w:t>
      </w:r>
      <w:r>
        <w:rPr>
          <w:rFonts w:cs="仿宋" w:asciiTheme="minorEastAsia" w:hAnsiTheme="minorEastAsia"/>
          <w:bCs/>
          <w:sz w:val="24"/>
          <w:u w:val="single"/>
        </w:rPr>
        <w:t>30</w:t>
      </w:r>
      <w:r>
        <w:rPr>
          <w:rFonts w:hint="eastAsia" w:cs="仿宋" w:asciiTheme="minorEastAsia" w:hAnsiTheme="minorEastAsia"/>
          <w:bCs/>
          <w:sz w:val="24"/>
          <w:u w:val="single"/>
        </w:rPr>
        <w:t>分</w:t>
      </w:r>
      <w:r>
        <w:rPr>
          <w:rFonts w:cs="仿宋" w:asciiTheme="minorEastAsia" w:hAnsiTheme="minorEastAsia"/>
          <w:bCs/>
          <w:sz w:val="24"/>
          <w:u w:val="single"/>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启采用线上和线下同时进行的方式，供应商可参与现场开启，或者线上参加“腾讯会议”形式参与线上现场开启。开启期间供应商代表通过“腾讯会议”保持全程在线直至开启结束。腾讯会议号在开启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（3）结果确认：在结果确认阶段，本项目采购人通过“腾讯会议”直播间要求各供应商确认开启</w:t>
      </w:r>
      <w:r>
        <w:rPr>
          <w:rFonts w:hint="eastAsia" w:cs="仿宋" w:asciiTheme="minorEastAsia" w:hAnsiTheme="minorEastAsia"/>
          <w:sz w:val="24"/>
          <w:lang w:eastAsia="zh-CN"/>
        </w:rPr>
        <w:t>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结果的，默认供应商已确认开启结果），采购人打印开启</w:t>
      </w:r>
      <w:r>
        <w:rPr>
          <w:rFonts w:hint="eastAsia" w:cs="仿宋" w:asciiTheme="minorEastAsia" w:hAnsiTheme="minorEastAsia"/>
          <w:sz w:val="24"/>
          <w:lang w:eastAsia="zh-CN"/>
        </w:rPr>
        <w:t>记录</w:t>
      </w:r>
      <w:r>
        <w:rPr>
          <w:rFonts w:hint="eastAsia" w:cs="仿宋" w:asciiTheme="minorEastAsia" w:hAnsiTheme="minorEastAsia"/>
          <w:sz w:val="24"/>
        </w:rPr>
        <w:t>，宣布开启会议结束，并负责保存“腾讯会议”录像。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（4）见证要求：开启期间供应商因未参与现场开启或者未参加线上直播，视为认可全过程和结果，不得提出异议。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（5）异议处理：供应商对开启过程有异议的，应在开启会议结束前通过“腾讯会议”在线上提出，采购人应现场予以答复，并做好记录。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ljgsbjzy@163.com质疑</w:t>
      </w:r>
      <w:r>
        <w:rPr>
          <w:rFonts w:hint="eastAsia" w:cs="仿宋" w:asciiTheme="minorEastAsia" w:hAnsiTheme="minorEastAsia"/>
          <w:sz w:val="24"/>
        </w:rPr>
        <w:t>，同时联系本项目采购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联系人：华 </w:t>
      </w:r>
      <w:r>
        <w:rPr>
          <w:rFonts w:cs="仿宋" w:asciiTheme="minorEastAsia" w:hAnsiTheme="minorEastAsia"/>
          <w:sz w:val="24"/>
        </w:rPr>
        <w:t xml:space="preserve"> </w:t>
      </w:r>
      <w:r>
        <w:rPr>
          <w:rFonts w:hint="eastAsia" w:cs="仿宋" w:asciiTheme="minorEastAsia" w:hAnsiTheme="minorEastAsia"/>
          <w:sz w:val="24"/>
        </w:rPr>
        <w:t xml:space="preserve">亮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cs="仿宋" w:asciiTheme="minorEastAsia" w:hAnsiTheme="minorEastAsia"/>
          <w:sz w:val="24"/>
        </w:rPr>
        <w:t>15857174171</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3840" w:firstLineChars="1600"/>
        <w:rPr>
          <w:rFonts w:hint="eastAsia" w:cs="仿宋" w:asciiTheme="minorEastAsia" w:hAnsiTheme="minorEastAsia"/>
          <w:sz w:val="24"/>
        </w:rPr>
      </w:pPr>
    </w:p>
    <w:p>
      <w:pPr>
        <w:spacing w:line="360" w:lineRule="auto"/>
        <w:ind w:firstLine="4560" w:firstLineChars="1900"/>
        <w:rPr>
          <w:rFonts w:cs="仿宋" w:asciiTheme="minorEastAsia" w:hAnsiTheme="minorEastAsia"/>
          <w:sz w:val="24"/>
        </w:rPr>
      </w:pPr>
      <w:r>
        <w:rPr>
          <w:rFonts w:hint="eastAsia" w:cs="仿宋" w:asciiTheme="minorEastAsia" w:hAnsiTheme="minorEastAsia"/>
          <w:sz w:val="24"/>
        </w:rPr>
        <w:t>杭州临江环境能源有限公司</w:t>
      </w:r>
    </w:p>
    <w:bookmarkEnd w:id="1"/>
    <w:p>
      <w:pPr>
        <w:spacing w:line="360" w:lineRule="auto"/>
        <w:ind w:firstLine="5520" w:firstLineChars="2300"/>
        <w:rPr>
          <w:rFonts w:hint="eastAsia" w:cs="仿宋" w:asciiTheme="minorEastAsia" w:hAnsiTheme="minorEastAsia" w:eastAsiaTheme="minorEastAsia"/>
          <w:sz w:val="24"/>
          <w:lang w:eastAsia="zh-CN"/>
        </w:rPr>
      </w:pPr>
      <w:r>
        <w:rPr>
          <w:rFonts w:hint="eastAsia" w:cs="仿宋" w:asciiTheme="minorEastAsia" w:hAnsiTheme="minorEastAsia"/>
          <w:sz w:val="24"/>
          <w:lang w:eastAsia="zh-CN"/>
        </w:rPr>
        <w:t>2024年5月9日</w:t>
      </w:r>
    </w:p>
    <w:p>
      <w:pPr>
        <w:spacing w:line="360" w:lineRule="auto"/>
        <w:ind w:firstLine="6505" w:firstLineChars="1800"/>
        <w:rPr>
          <w:rFonts w:cs="仿宋" w:asciiTheme="minorEastAsia" w:hAnsiTheme="minorEastAsia"/>
          <w:b/>
          <w:bCs/>
          <w:sz w:val="36"/>
          <w:szCs w:val="36"/>
        </w:rPr>
      </w:pPr>
      <w:r>
        <w:rPr>
          <w:rFonts w:cs="仿宋" w:asciiTheme="minorEastAsia" w:hAnsiTheme="minorEastAsia"/>
          <w:b/>
          <w:bCs/>
          <w:sz w:val="36"/>
          <w:szCs w:val="36"/>
        </w:rPr>
        <w:br w:type="page"/>
      </w: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8"/>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8"/>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2" w:char="0052"/>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rPr>
              <w:t>元，供应商应在投标截止日前以电汇或网银转账方式缴纳至杭州临江环境能源有限公司。同时将银行缴款凭证复印件作为投标文件组成部分。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ascii="宋体" w:hAnsi="宋体" w:eastAsia="宋体" w:cs="宋体"/>
                <w:b/>
                <w:bCs/>
                <w:szCs w:val="21"/>
                <w:u w:val="single"/>
              </w:rPr>
              <w:t xml:space="preserve"> </w:t>
            </w:r>
            <w:r>
              <w:rPr>
                <w:rFonts w:hint="eastAsia" w:ascii="宋体" w:hAnsi="宋体" w:eastAsia="宋体" w:cs="宋体"/>
                <w:b/>
                <w:bCs/>
                <w:szCs w:val="21"/>
                <w:u w:val="single"/>
                <w:lang w:val="en-US" w:eastAsia="zh-CN"/>
              </w:rPr>
              <w:t xml:space="preserve"> /  </w:t>
            </w:r>
            <w:r>
              <w:rPr>
                <w:rFonts w:hint="eastAsia" w:ascii="宋体" w:hAnsi="宋体" w:eastAsia="宋体" w:cs="宋体"/>
                <w:b/>
                <w:bCs/>
                <w:szCs w:val="21"/>
              </w:rPr>
              <w:t>询价保证金</w:t>
            </w:r>
          </w:p>
          <w:p>
            <w:pPr>
              <w:pStyle w:val="19"/>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19"/>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推荐成交候选人的人数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20"/>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20"/>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20"/>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20"/>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履约保证金有效期限：履约保证金将在本项目合同到期或终止后，扣除成交人应承担的违约金、损失赔偿金等款项后经成交人申请30个工作日后无息退还。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是否分册装订：</w:t>
            </w:r>
          </w:p>
          <w:p>
            <w:pPr>
              <w:pStyle w:val="18"/>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8"/>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8"/>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widowControl/>
        <w:jc w:val="left"/>
        <w:rPr>
          <w:rFonts w:cs="仿宋" w:asciiTheme="minorEastAsia" w:hAnsiTheme="minorEastAsia"/>
          <w:b/>
          <w:sz w:val="32"/>
          <w:szCs w:val="20"/>
        </w:rPr>
      </w:pPr>
      <w:r>
        <w:rPr>
          <w:rFonts w:cs="仿宋" w:asciiTheme="minorEastAsia" w:hAnsiTheme="minorEastAsia"/>
          <w:b/>
          <w:sz w:val="32"/>
          <w:szCs w:val="20"/>
        </w:rPr>
        <w:br w:type="page"/>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w:t>
      </w:r>
      <w:r>
        <w:rPr>
          <w:rFonts w:hint="eastAsia" w:cs="仿宋" w:asciiTheme="minorEastAsia" w:hAnsiTheme="minorEastAsia"/>
          <w:sz w:val="24"/>
          <w:lang w:eastAsia="zh-CN"/>
        </w:rPr>
        <w:t>法律法规</w:t>
      </w:r>
      <w:r>
        <w:rPr>
          <w:rFonts w:hint="eastAsia" w:cs="仿宋" w:asciiTheme="minorEastAsia" w:hAnsiTheme="minorEastAsia"/>
          <w:sz w:val="24"/>
        </w:rPr>
        <w:t>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“成交人”系指是指经采购人确定的本项目供应商。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eastAsia="zh-CN"/>
        </w:rPr>
        <w:t>截止前</w:t>
      </w:r>
      <w:r>
        <w:rPr>
          <w:rFonts w:hint="eastAsia" w:cs="仿宋" w:asciiTheme="minorEastAsia" w:hAnsiTheme="minorEastAsia"/>
          <w:b/>
          <w:sz w:val="24"/>
          <w:szCs w:val="24"/>
        </w:rPr>
        <w:t>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napToGrid w:val="0"/>
        <w:spacing w:before="0"/>
        <w:ind w:firstLine="482"/>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rPr>
      </w:pPr>
    </w:p>
    <w:p>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15.1采购人按照询价采购文件规定的时间组织响应文件的开启，邀请所有供应商参加开启。供应商不足3家或者缴纳询价保证金少于3家（若有要求）的，不得开启拆封响应文件。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1"/>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9"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napToGrid w:val="0"/>
        <w:spacing w:before="0"/>
        <w:ind w:firstLine="482"/>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napToGrid w:val="0"/>
        <w:spacing w:before="0"/>
        <w:ind w:firstLine="482"/>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个工作日内，与成交供应商按照询价采购文件确定的事项签订采购合同。</w:t>
      </w:r>
    </w:p>
    <w:p>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widowControl/>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供应商的询价保证金将在采购人与成交人签订合同并按要求缴纳履约保证金后全额无息退还。退保证金前，供应商必须提供加盖公章或财务专用章的收款收据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26.4法律法规规定的其他情形。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2"/>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9"/>
    </w:p>
    <w:p>
      <w:pPr>
        <w:rPr>
          <w:rFonts w:cs="仿宋" w:asciiTheme="minorEastAsia" w:hAnsiTheme="minorEastAsia"/>
          <w:kern w:val="0"/>
          <w:sz w:val="24"/>
        </w:rPr>
      </w:pPr>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2"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rFonts w:hint="eastAsia"/>
          <w:lang w:val="en-US"/>
        </w:rPr>
      </w:pPr>
      <w:r>
        <w:rPr>
          <w:rFonts w:hint="eastAsia"/>
          <w:lang w:val="en-US"/>
        </w:rPr>
        <w:t>杭州临江环境能源有限公司因日常生产需要，需</w:t>
      </w:r>
      <w:r>
        <w:rPr>
          <w:rFonts w:hint="eastAsia"/>
          <w:lang w:val="en-US" w:eastAsia="zh-CN"/>
        </w:rPr>
        <w:t>采购费斯托备件</w:t>
      </w:r>
      <w:r>
        <w:rPr>
          <w:rFonts w:hint="eastAsia"/>
          <w:lang w:val="en-US"/>
        </w:rPr>
        <w:t>一批，具体如下：</w:t>
      </w:r>
    </w:p>
    <w:tbl>
      <w:tblPr>
        <w:tblStyle w:val="15"/>
        <w:tblW w:w="9012"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847"/>
        <w:gridCol w:w="1127"/>
        <w:gridCol w:w="1045"/>
        <w:gridCol w:w="4243"/>
        <w:gridCol w:w="1000"/>
        <w:gridCol w:w="75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5" w:hRule="atLeast"/>
        </w:trPr>
        <w:tc>
          <w:tcPr>
            <w:tcW w:w="847" w:type="dxa"/>
            <w:tcBorders>
              <w:tl2br w:val="nil"/>
              <w:tr2bl w:val="nil"/>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序号</w:t>
            </w:r>
          </w:p>
        </w:tc>
        <w:tc>
          <w:tcPr>
            <w:tcW w:w="112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名称</w:t>
            </w:r>
          </w:p>
        </w:tc>
        <w:tc>
          <w:tcPr>
            <w:tcW w:w="10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品牌</w:t>
            </w:r>
          </w:p>
        </w:tc>
        <w:tc>
          <w:tcPr>
            <w:tcW w:w="424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规格型号</w:t>
            </w:r>
          </w:p>
        </w:tc>
        <w:tc>
          <w:tcPr>
            <w:tcW w:w="10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单位</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数量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15" w:hRule="atLeast"/>
        </w:trPr>
        <w:tc>
          <w:tcPr>
            <w:tcW w:w="84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气源维护套装</w:t>
            </w:r>
          </w:p>
        </w:tc>
        <w:tc>
          <w:tcPr>
            <w:tcW w:w="10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费斯托</w:t>
            </w:r>
          </w:p>
        </w:tc>
        <w:tc>
          <w:tcPr>
            <w:tcW w:w="4243"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PDAD-09-SP-12000，8齿，P=200 1.05MPa，抗冻软管</w:t>
            </w:r>
          </w:p>
        </w:tc>
        <w:tc>
          <w:tcPr>
            <w:tcW w:w="10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725" w:hRule="atLeast"/>
        </w:trPr>
        <w:tc>
          <w:tcPr>
            <w:tcW w:w="84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2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气源处理装置</w:t>
            </w:r>
          </w:p>
        </w:tc>
        <w:tc>
          <w:tcPr>
            <w:tcW w:w="10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费斯托</w:t>
            </w:r>
          </w:p>
        </w:tc>
        <w:tc>
          <w:tcPr>
            <w:tcW w:w="4243"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PDAD-09-13-22，带过滤阀组，</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阀组1：MS4-LF-1/4-E-R-M，MS4-LF-1/4-C-R-M，MS4-LFM-1/4-B-R-M，</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阀组2：MS6-LFM-3/8-AR-DA:*W</w:t>
            </w:r>
          </w:p>
        </w:tc>
        <w:tc>
          <w:tcPr>
            <w:tcW w:w="10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bl>
    <w:p>
      <w:pPr>
        <w:rPr>
          <w:rFonts w:hint="eastAsia"/>
          <w:lang w:val="en-US"/>
        </w:rPr>
      </w:pPr>
    </w:p>
    <w:p>
      <w:pPr>
        <w:pStyle w:val="7"/>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7"/>
        <w:ind w:firstLine="480" w:firstLineChars="200"/>
        <w:rPr>
          <w:lang w:val="en-US"/>
        </w:rPr>
      </w:pPr>
      <w:r>
        <w:rPr>
          <w:rFonts w:hint="eastAsia"/>
          <w:lang w:val="en-US"/>
        </w:rPr>
        <w:t>1.合同期限：自合同签订后12个月；</w:t>
      </w:r>
    </w:p>
    <w:p>
      <w:pPr>
        <w:pStyle w:val="7"/>
        <w:ind w:firstLine="480" w:firstLineChars="200"/>
        <w:rPr>
          <w:rFonts w:hAnsi="宋体" w:cs="宋体"/>
          <w:highlight w:val="yellow"/>
        </w:rPr>
      </w:pPr>
      <w:r>
        <w:rPr>
          <w:rFonts w:hint="eastAsia"/>
          <w:lang w:val="en-US"/>
        </w:rPr>
        <w:t>2.履约方式：</w:t>
      </w:r>
      <w:r>
        <w:rPr>
          <w:rFonts w:hint="eastAsia"/>
          <w:lang w:val="en-US" w:eastAsia="zh-CN"/>
        </w:rPr>
        <w:t>分批</w:t>
      </w:r>
      <w:r>
        <w:rPr>
          <w:rFonts w:hint="eastAsia"/>
          <w:lang w:val="en-US"/>
        </w:rPr>
        <w:t>供货。在采购人发出送货通知后，成交人</w:t>
      </w:r>
      <w:r>
        <w:rPr>
          <w:rFonts w:hint="eastAsia"/>
          <w:lang w:val="en-US" w:eastAsia="zh-CN"/>
        </w:rPr>
        <w:t>30个工作日内将货物</w:t>
      </w:r>
      <w:r>
        <w:rPr>
          <w:rFonts w:hint="eastAsia"/>
          <w:lang w:val="en-US"/>
        </w:rPr>
        <w:t>如数送至采购人指定地点；</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7"/>
        <w:ind w:firstLine="480" w:firstLineChars="200"/>
        <w:rPr>
          <w:lang w:val="en-US"/>
        </w:rPr>
      </w:pPr>
      <w:r>
        <w:rPr>
          <w:rFonts w:hint="eastAsia"/>
          <w:lang w:val="en-US"/>
        </w:rPr>
        <w:t>1.型号等技术参数满足采购内容中的规格型号/技术要求</w:t>
      </w:r>
      <w:r>
        <w:rPr>
          <w:rFonts w:hint="eastAsia" w:hAnsi="宋体" w:cs="宋体"/>
          <w:color w:val="000000"/>
          <w:kern w:val="0"/>
        </w:rPr>
        <w:t>。</w:t>
      </w:r>
    </w:p>
    <w:p>
      <w:pPr>
        <w:pStyle w:val="7"/>
        <w:ind w:firstLine="480" w:firstLineChars="200"/>
        <w:rPr>
          <w:lang w:val="en-US"/>
        </w:rPr>
      </w:pPr>
      <w:r>
        <w:rPr>
          <w:rFonts w:hint="eastAsia"/>
          <w:lang w:val="en-US"/>
        </w:rPr>
        <w:t>2.</w:t>
      </w:r>
      <w:r>
        <w:rPr>
          <w:rFonts w:hint="eastAsia" w:cs="仿宋" w:asciiTheme="minorEastAsia" w:hAnsiTheme="minorEastAsia"/>
        </w:rPr>
        <w:t>供应商</w:t>
      </w:r>
      <w:r>
        <w:rPr>
          <w:rFonts w:hint="eastAsia"/>
          <w:lang w:val="en-US"/>
        </w:rPr>
        <w:t>提供的</w:t>
      </w:r>
      <w:r>
        <w:rPr>
          <w:rFonts w:hint="eastAsia"/>
          <w:lang w:val="en-US" w:eastAsia="zh-CN"/>
        </w:rPr>
        <w:t>费斯托备件</w:t>
      </w:r>
      <w:r>
        <w:rPr>
          <w:rFonts w:hint="eastAsia"/>
          <w:lang w:val="en-US"/>
        </w:rPr>
        <w:t>必须为原厂正品，不得为假冒伪劣产品。</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7"/>
        <w:ind w:firstLine="480" w:firstLineChars="200"/>
        <w:rPr>
          <w:lang w:val="en-US"/>
        </w:rPr>
      </w:pPr>
      <w:r>
        <w:rPr>
          <w:rFonts w:hint="eastAsia"/>
          <w:lang w:val="en-US"/>
        </w:rPr>
        <w:t>1.</w:t>
      </w:r>
      <w:r>
        <w:rPr>
          <w:rFonts w:hint="eastAsia" w:cs="仿宋" w:asciiTheme="minorEastAsia" w:hAnsiTheme="minorEastAsia"/>
        </w:rPr>
        <w:t>供应商</w:t>
      </w:r>
      <w:r>
        <w:rPr>
          <w:rFonts w:hint="eastAsia"/>
          <w:lang w:val="en-US"/>
        </w:rPr>
        <w:t>须提供该批次货物出厂检验合格报告或合格证或原厂质量证明和送货单，配合采购人做好货物的到货数量验收工作，将货物运达采购人指定交货地点后及时书面通知采购人。</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7"/>
        <w:ind w:firstLine="480" w:firstLineChars="200"/>
        <w:rPr>
          <w:lang w:val="en-US"/>
        </w:rPr>
      </w:pPr>
      <w:r>
        <w:rPr>
          <w:rFonts w:hint="eastAsia"/>
          <w:lang w:val="en-US"/>
        </w:rPr>
        <w:t>1</w:t>
      </w:r>
      <w:r>
        <w:rPr>
          <w:lang w:val="en-US"/>
        </w:rPr>
        <w:t>.</w:t>
      </w:r>
      <w:r>
        <w:rPr>
          <w:rFonts w:hint="eastAsia"/>
          <w:lang w:val="en-US"/>
        </w:rPr>
        <w:t>在采购人发出送货通知后，成交人</w:t>
      </w:r>
      <w:r>
        <w:rPr>
          <w:rFonts w:hint="eastAsia"/>
          <w:lang w:val="en-US" w:eastAsia="zh-CN"/>
        </w:rPr>
        <w:t>30个工作日内将货物</w:t>
      </w:r>
      <w:r>
        <w:rPr>
          <w:rFonts w:hint="eastAsia"/>
          <w:lang w:val="en-US"/>
        </w:rPr>
        <w:t>如数送至采购人指定地点。</w:t>
      </w:r>
    </w:p>
    <w:p>
      <w:pPr>
        <w:pStyle w:val="8"/>
        <w:rPr>
          <w:rFonts w:hAnsi="Arial" w:cs="Arial"/>
          <w:snapToGrid w:val="0"/>
          <w:szCs w:val="21"/>
          <w:lang w:val="en-US"/>
        </w:rPr>
      </w:pPr>
      <w:r>
        <w:rPr>
          <w:rFonts w:hint="eastAsia" w:hAnsi="Arial" w:cs="Arial"/>
          <w:snapToGrid w:val="0"/>
          <w:szCs w:val="21"/>
          <w:lang w:val="en-US"/>
        </w:rPr>
        <w:t>2</w:t>
      </w:r>
      <w:r>
        <w:rPr>
          <w:rFonts w:hAnsi="Arial" w:cs="Arial"/>
          <w:snapToGrid w:val="0"/>
          <w:szCs w:val="21"/>
          <w:lang w:val="en-US"/>
        </w:rPr>
        <w:t>.</w:t>
      </w:r>
      <w:r>
        <w:rPr>
          <w:rFonts w:hint="eastAsia" w:hAnsi="Arial" w:cs="Arial"/>
          <w:snapToGrid w:val="0"/>
          <w:szCs w:val="21"/>
          <w:lang w:val="en-US"/>
        </w:rPr>
        <w:t>质保期：验收合格后1年。</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8"/>
        <w:ind w:firstLine="480" w:firstLineChars="200"/>
        <w:rPr>
          <w:lang w:val="en-US"/>
        </w:rPr>
      </w:pPr>
      <w:r>
        <w:rPr>
          <w:rFonts w:hint="eastAsia"/>
          <w:lang w:val="en-US"/>
        </w:rPr>
        <w:t>以本询价采购文件中的合同条款为准。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7"/>
        <w:ind w:firstLine="480" w:firstLineChars="200"/>
        <w:rPr>
          <w:lang w:val="en-US"/>
        </w:rPr>
      </w:pPr>
      <w:r>
        <w:rPr>
          <w:rFonts w:hint="eastAsia"/>
          <w:lang w:val="en-US"/>
        </w:rPr>
        <w:t>1.成交人必须满足采购人售后服务要求。如使用过程发生问题，成交人须在接到采购人通知后必须4小时内赶到现场进行处理，12小时内做出书面答复并提供解决方案。若需要派遣技术人员，则应在接到采购人通知后</w:t>
      </w:r>
      <w:r>
        <w:rPr>
          <w:rFonts w:hint="eastAsia"/>
          <w:lang w:val="en-US" w:eastAsia="zh-CN"/>
        </w:rPr>
        <w:t>，</w:t>
      </w:r>
      <w:r>
        <w:rPr>
          <w:rFonts w:hint="eastAsia"/>
          <w:lang w:val="en-US"/>
        </w:rPr>
        <w:t>24小时内派人员到达现场进行免费指导解决问题。</w:t>
      </w:r>
    </w:p>
    <w:p>
      <w:pPr>
        <w:pStyle w:val="7"/>
        <w:ind w:firstLine="480" w:firstLineChars="200"/>
        <w:rPr>
          <w:lang w:val="en-US"/>
        </w:rPr>
      </w:pPr>
      <w:r>
        <w:rPr>
          <w:rFonts w:hint="eastAsia"/>
          <w:lang w:val="en-US"/>
        </w:rPr>
        <w:t>2.采购人不再对任何售后服务进行付费。成交人的派遣人员产生的一切费用由供应商承担。</w:t>
      </w: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20" w:name="_Toc184308037"/>
      <w:bookmarkEnd w:id="20"/>
      <w:bookmarkStart w:id="21" w:name="_Toc184313259"/>
      <w:bookmarkEnd w:id="21"/>
      <w:bookmarkStart w:id="22" w:name="_Toc184310337"/>
      <w:bookmarkEnd w:id="22"/>
      <w:bookmarkStart w:id="23" w:name="_Toc184313250"/>
      <w:bookmarkEnd w:id="23"/>
      <w:bookmarkStart w:id="24" w:name="_Toc184314466"/>
      <w:bookmarkEnd w:id="24"/>
      <w:bookmarkStart w:id="25" w:name="_Toc184314467"/>
      <w:bookmarkEnd w:id="25"/>
      <w:bookmarkStart w:id="26" w:name="_Toc184308065"/>
      <w:bookmarkEnd w:id="26"/>
      <w:bookmarkStart w:id="27" w:name="_Toc184314449"/>
      <w:bookmarkEnd w:id="27"/>
      <w:bookmarkStart w:id="28" w:name="_Toc184314430"/>
      <w:bookmarkEnd w:id="28"/>
      <w:bookmarkStart w:id="29" w:name="_Toc184313296"/>
      <w:bookmarkEnd w:id="29"/>
      <w:bookmarkStart w:id="30" w:name="_Toc184313256"/>
      <w:bookmarkEnd w:id="30"/>
      <w:bookmarkStart w:id="31" w:name="_Toc184312108"/>
      <w:bookmarkEnd w:id="31"/>
      <w:bookmarkStart w:id="32" w:name="_Toc184313254"/>
      <w:bookmarkEnd w:id="32"/>
      <w:bookmarkStart w:id="33" w:name="_Toc184314477"/>
      <w:bookmarkEnd w:id="33"/>
      <w:bookmarkStart w:id="34" w:name="_Toc184312119"/>
      <w:bookmarkEnd w:id="34"/>
      <w:bookmarkStart w:id="35" w:name="_Toc184308087"/>
      <w:bookmarkEnd w:id="35"/>
      <w:bookmarkStart w:id="36" w:name="_Toc184310278"/>
      <w:bookmarkEnd w:id="36"/>
      <w:bookmarkStart w:id="37" w:name="_Toc184312103"/>
      <w:bookmarkEnd w:id="37"/>
      <w:bookmarkStart w:id="38" w:name="_Toc184310342"/>
      <w:bookmarkEnd w:id="38"/>
      <w:bookmarkStart w:id="39" w:name="_Toc184312069"/>
      <w:bookmarkEnd w:id="39"/>
      <w:bookmarkStart w:id="40" w:name="_Toc184308057"/>
      <w:bookmarkEnd w:id="40"/>
      <w:bookmarkStart w:id="41" w:name="_Toc184312139"/>
      <w:bookmarkEnd w:id="41"/>
      <w:bookmarkStart w:id="42" w:name="_Toc184310280"/>
      <w:bookmarkEnd w:id="42"/>
      <w:bookmarkStart w:id="43" w:name="_Toc184310328"/>
      <w:bookmarkEnd w:id="43"/>
      <w:bookmarkStart w:id="44" w:name="_Toc184314429"/>
      <w:bookmarkEnd w:id="44"/>
      <w:bookmarkStart w:id="45" w:name="_Toc184308097"/>
      <w:bookmarkEnd w:id="45"/>
      <w:bookmarkStart w:id="46" w:name="_Toc184314416"/>
      <w:bookmarkEnd w:id="46"/>
      <w:bookmarkStart w:id="47" w:name="_Toc184312095"/>
      <w:bookmarkEnd w:id="47"/>
      <w:bookmarkStart w:id="48" w:name="_Toc184308101"/>
      <w:bookmarkEnd w:id="48"/>
      <w:bookmarkStart w:id="49" w:name="_Toc184310321"/>
      <w:bookmarkEnd w:id="49"/>
      <w:bookmarkStart w:id="50" w:name="_Toc184314438"/>
      <w:bookmarkEnd w:id="50"/>
      <w:bookmarkStart w:id="51" w:name="_Toc184310276"/>
      <w:bookmarkEnd w:id="51"/>
      <w:bookmarkStart w:id="52" w:name="_Toc184310304"/>
      <w:bookmarkEnd w:id="52"/>
      <w:bookmarkStart w:id="53" w:name="_Toc184314410"/>
      <w:bookmarkEnd w:id="53"/>
      <w:bookmarkStart w:id="54" w:name="_Toc184314475"/>
      <w:bookmarkEnd w:id="54"/>
      <w:bookmarkStart w:id="55" w:name="_Toc184312120"/>
      <w:bookmarkEnd w:id="55"/>
      <w:bookmarkStart w:id="56" w:name="_Toc184313244"/>
      <w:bookmarkEnd w:id="56"/>
      <w:bookmarkStart w:id="57" w:name="_Toc184312085"/>
      <w:bookmarkEnd w:id="57"/>
      <w:bookmarkStart w:id="58" w:name="_Toc184312131"/>
      <w:bookmarkEnd w:id="58"/>
      <w:bookmarkStart w:id="59" w:name="_Toc184308100"/>
      <w:bookmarkEnd w:id="59"/>
      <w:bookmarkStart w:id="60" w:name="_Toc184308075"/>
      <w:bookmarkEnd w:id="60"/>
      <w:bookmarkStart w:id="61" w:name="_Toc184312075"/>
      <w:bookmarkEnd w:id="61"/>
      <w:bookmarkStart w:id="62" w:name="_Toc184313297"/>
      <w:bookmarkEnd w:id="62"/>
      <w:bookmarkStart w:id="63" w:name="_Toc184312129"/>
      <w:bookmarkEnd w:id="63"/>
      <w:bookmarkStart w:id="64" w:name="_Toc184308054"/>
      <w:bookmarkEnd w:id="64"/>
      <w:bookmarkStart w:id="65" w:name="_Toc184310315"/>
      <w:bookmarkEnd w:id="65"/>
      <w:bookmarkStart w:id="66" w:name="_Toc184313300"/>
      <w:bookmarkEnd w:id="66"/>
      <w:bookmarkStart w:id="67" w:name="_Toc184314460"/>
      <w:bookmarkEnd w:id="67"/>
      <w:bookmarkStart w:id="68" w:name="_Toc184308099"/>
      <w:bookmarkEnd w:id="68"/>
      <w:bookmarkStart w:id="69" w:name="_Toc184314453"/>
      <w:bookmarkEnd w:id="69"/>
      <w:bookmarkStart w:id="70" w:name="_Toc184310289"/>
      <w:bookmarkEnd w:id="70"/>
      <w:bookmarkStart w:id="71" w:name="_Toc184313271"/>
      <w:bookmarkEnd w:id="71"/>
      <w:bookmarkStart w:id="72" w:name="_Toc184312113"/>
      <w:bookmarkEnd w:id="72"/>
      <w:bookmarkStart w:id="73" w:name="_Toc184314482"/>
      <w:bookmarkEnd w:id="73"/>
      <w:bookmarkStart w:id="74" w:name="_Toc184312078"/>
      <w:bookmarkEnd w:id="74"/>
      <w:bookmarkStart w:id="75" w:name="_Toc184312090"/>
      <w:bookmarkEnd w:id="75"/>
      <w:bookmarkStart w:id="76" w:name="_Toc184313281"/>
      <w:bookmarkEnd w:id="76"/>
      <w:bookmarkStart w:id="77" w:name="_Toc184310336"/>
      <w:bookmarkEnd w:id="77"/>
      <w:bookmarkStart w:id="78" w:name="_Toc184314465"/>
      <w:bookmarkEnd w:id="78"/>
      <w:bookmarkStart w:id="79" w:name="_Toc184313290"/>
      <w:bookmarkEnd w:id="79"/>
      <w:bookmarkStart w:id="80" w:name="_Toc184313304"/>
      <w:bookmarkEnd w:id="80"/>
      <w:bookmarkStart w:id="81" w:name="_Toc184313262"/>
      <w:bookmarkEnd w:id="81"/>
      <w:bookmarkStart w:id="82" w:name="_Toc184310294"/>
      <w:bookmarkEnd w:id="82"/>
      <w:bookmarkStart w:id="83" w:name="_Toc184312121"/>
      <w:bookmarkEnd w:id="83"/>
      <w:bookmarkStart w:id="84" w:name="_Toc184313306"/>
      <w:bookmarkEnd w:id="84"/>
      <w:bookmarkStart w:id="85" w:name="_Toc184314469"/>
      <w:bookmarkEnd w:id="85"/>
      <w:bookmarkStart w:id="86" w:name="_Toc184308080"/>
      <w:bookmarkEnd w:id="86"/>
      <w:bookmarkStart w:id="87" w:name="_Toc184314415"/>
      <w:bookmarkEnd w:id="87"/>
      <w:bookmarkStart w:id="88" w:name="_Toc184308096"/>
      <w:bookmarkEnd w:id="88"/>
      <w:bookmarkStart w:id="89" w:name="_Toc184314437"/>
      <w:bookmarkEnd w:id="89"/>
      <w:bookmarkStart w:id="90" w:name="_Toc184313302"/>
      <w:bookmarkEnd w:id="90"/>
      <w:bookmarkStart w:id="91" w:name="_Toc184313309"/>
      <w:bookmarkEnd w:id="91"/>
      <w:bookmarkStart w:id="92" w:name="_Toc184312137"/>
      <w:bookmarkEnd w:id="92"/>
      <w:bookmarkStart w:id="93" w:name="_Toc184308103"/>
      <w:bookmarkEnd w:id="93"/>
      <w:bookmarkStart w:id="94" w:name="_Toc184314441"/>
      <w:bookmarkEnd w:id="94"/>
      <w:bookmarkStart w:id="95" w:name="_Toc184308067"/>
      <w:bookmarkEnd w:id="95"/>
      <w:bookmarkStart w:id="96" w:name="_Toc184313308"/>
      <w:bookmarkEnd w:id="96"/>
      <w:bookmarkStart w:id="97" w:name="_Toc184313242"/>
      <w:bookmarkEnd w:id="97"/>
      <w:bookmarkStart w:id="98" w:name="_Toc184310308"/>
      <w:bookmarkEnd w:id="98"/>
      <w:bookmarkStart w:id="99" w:name="_Toc184312106"/>
      <w:bookmarkEnd w:id="99"/>
      <w:bookmarkStart w:id="100" w:name="_Toc184308085"/>
      <w:bookmarkEnd w:id="100"/>
      <w:bookmarkStart w:id="101" w:name="_Toc184310316"/>
      <w:bookmarkEnd w:id="101"/>
      <w:bookmarkStart w:id="102" w:name="_Toc184308102"/>
      <w:bookmarkEnd w:id="102"/>
      <w:bookmarkStart w:id="103" w:name="_Toc184313286"/>
      <w:bookmarkEnd w:id="103"/>
      <w:bookmarkStart w:id="104" w:name="_Toc184310284"/>
      <w:bookmarkEnd w:id="104"/>
      <w:bookmarkStart w:id="105" w:name="_Toc184314412"/>
      <w:bookmarkEnd w:id="105"/>
      <w:bookmarkStart w:id="106" w:name="_Toc184312073"/>
      <w:bookmarkEnd w:id="106"/>
      <w:bookmarkStart w:id="107" w:name="_Toc184314424"/>
      <w:bookmarkEnd w:id="107"/>
      <w:bookmarkStart w:id="108" w:name="_Toc184310283"/>
      <w:bookmarkEnd w:id="108"/>
      <w:bookmarkStart w:id="109" w:name="_Toc184310286"/>
      <w:bookmarkEnd w:id="109"/>
      <w:bookmarkStart w:id="110" w:name="_Toc184314480"/>
      <w:bookmarkEnd w:id="110"/>
      <w:bookmarkStart w:id="111" w:name="_Toc184312134"/>
      <w:bookmarkEnd w:id="111"/>
      <w:bookmarkStart w:id="112" w:name="_Toc184313240"/>
      <w:bookmarkEnd w:id="112"/>
      <w:bookmarkStart w:id="113" w:name="_Toc184312098"/>
      <w:bookmarkEnd w:id="113"/>
      <w:bookmarkStart w:id="114" w:name="_Toc184308062"/>
      <w:bookmarkEnd w:id="114"/>
      <w:bookmarkStart w:id="115" w:name="_Toc184312135"/>
      <w:bookmarkEnd w:id="115"/>
      <w:bookmarkStart w:id="116" w:name="_Toc184310311"/>
      <w:bookmarkEnd w:id="116"/>
      <w:bookmarkStart w:id="117" w:name="_Toc184314423"/>
      <w:bookmarkEnd w:id="117"/>
      <w:bookmarkStart w:id="118" w:name="_Toc184308083"/>
      <w:bookmarkEnd w:id="118"/>
      <w:bookmarkStart w:id="119" w:name="_Toc184314471"/>
      <w:bookmarkEnd w:id="119"/>
      <w:bookmarkStart w:id="120" w:name="_Toc184314434"/>
      <w:bookmarkEnd w:id="120"/>
      <w:bookmarkStart w:id="121" w:name="_Toc184313248"/>
      <w:bookmarkEnd w:id="121"/>
      <w:bookmarkStart w:id="122" w:name="_Toc184314411"/>
      <w:bookmarkEnd w:id="122"/>
      <w:bookmarkStart w:id="123" w:name="_Toc184314459"/>
      <w:bookmarkEnd w:id="123"/>
      <w:bookmarkStart w:id="124" w:name="_Toc184312118"/>
      <w:bookmarkEnd w:id="124"/>
      <w:bookmarkStart w:id="125" w:name="_Toc184312109"/>
      <w:bookmarkEnd w:id="125"/>
      <w:bookmarkStart w:id="126" w:name="_Toc184314472"/>
      <w:bookmarkEnd w:id="126"/>
      <w:bookmarkStart w:id="127" w:name="_Toc184313266"/>
      <w:bookmarkEnd w:id="127"/>
      <w:bookmarkStart w:id="128" w:name="_Toc184313282"/>
      <w:bookmarkEnd w:id="128"/>
      <w:bookmarkStart w:id="129" w:name="_Toc184314458"/>
      <w:bookmarkEnd w:id="129"/>
      <w:bookmarkStart w:id="130" w:name="_Toc184310338"/>
      <w:bookmarkEnd w:id="130"/>
      <w:bookmarkStart w:id="131" w:name="_Toc184312079"/>
      <w:bookmarkEnd w:id="131"/>
      <w:bookmarkStart w:id="132" w:name="_Toc184314418"/>
      <w:bookmarkEnd w:id="132"/>
      <w:bookmarkStart w:id="133" w:name="_Toc184310314"/>
      <w:bookmarkEnd w:id="133"/>
      <w:bookmarkStart w:id="134" w:name="_Toc184314446"/>
      <w:bookmarkEnd w:id="134"/>
      <w:bookmarkStart w:id="135" w:name="_Toc184313295"/>
      <w:bookmarkEnd w:id="135"/>
      <w:bookmarkStart w:id="136" w:name="_Toc184310292"/>
      <w:bookmarkEnd w:id="136"/>
      <w:bookmarkStart w:id="137" w:name="_Toc184312082"/>
      <w:bookmarkEnd w:id="137"/>
      <w:bookmarkStart w:id="138" w:name="_Toc184310324"/>
      <w:bookmarkEnd w:id="138"/>
      <w:bookmarkStart w:id="139" w:name="_Toc184310334"/>
      <w:bookmarkEnd w:id="139"/>
      <w:bookmarkStart w:id="140" w:name="_Toc184312086"/>
      <w:bookmarkEnd w:id="140"/>
      <w:bookmarkStart w:id="141" w:name="_Toc184314440"/>
      <w:bookmarkEnd w:id="141"/>
      <w:bookmarkStart w:id="142" w:name="_Toc184313255"/>
      <w:bookmarkEnd w:id="142"/>
      <w:bookmarkStart w:id="143" w:name="_Toc184310287"/>
      <w:bookmarkEnd w:id="143"/>
      <w:bookmarkStart w:id="144" w:name="_Toc184308051"/>
      <w:bookmarkEnd w:id="144"/>
      <w:bookmarkStart w:id="145" w:name="_Toc184314476"/>
      <w:bookmarkEnd w:id="145"/>
      <w:bookmarkStart w:id="146" w:name="_Toc184310303"/>
      <w:bookmarkEnd w:id="146"/>
      <w:bookmarkStart w:id="147" w:name="_Toc184314463"/>
      <w:bookmarkEnd w:id="147"/>
      <w:bookmarkStart w:id="148" w:name="_Toc184313310"/>
      <w:bookmarkEnd w:id="148"/>
      <w:bookmarkStart w:id="149" w:name="_Toc184310296"/>
      <w:bookmarkEnd w:id="149"/>
      <w:bookmarkStart w:id="150" w:name="_Toc184310293"/>
      <w:bookmarkEnd w:id="150"/>
      <w:bookmarkStart w:id="151" w:name="_Toc184314457"/>
      <w:bookmarkEnd w:id="151"/>
      <w:bookmarkStart w:id="152" w:name="_Toc184314445"/>
      <w:bookmarkEnd w:id="152"/>
      <w:bookmarkStart w:id="153" w:name="_Toc184308044"/>
      <w:bookmarkEnd w:id="153"/>
      <w:bookmarkStart w:id="154" w:name="_Toc184312133"/>
      <w:bookmarkEnd w:id="154"/>
      <w:bookmarkStart w:id="155" w:name="_Toc184308064"/>
      <w:bookmarkEnd w:id="155"/>
      <w:bookmarkStart w:id="156" w:name="_Toc184314436"/>
      <w:bookmarkEnd w:id="156"/>
      <w:bookmarkStart w:id="157" w:name="_Toc184312099"/>
      <w:bookmarkEnd w:id="157"/>
      <w:bookmarkStart w:id="158" w:name="_Toc184308088"/>
      <w:bookmarkEnd w:id="158"/>
      <w:bookmarkStart w:id="159" w:name="_Toc184313280"/>
      <w:bookmarkEnd w:id="159"/>
      <w:bookmarkStart w:id="160" w:name="_Toc184312112"/>
      <w:bookmarkEnd w:id="160"/>
      <w:bookmarkStart w:id="161" w:name="_Toc184310332"/>
      <w:bookmarkEnd w:id="161"/>
      <w:bookmarkStart w:id="162" w:name="_Toc184313239"/>
      <w:bookmarkEnd w:id="162"/>
      <w:bookmarkStart w:id="163" w:name="_Toc184308086"/>
      <w:bookmarkEnd w:id="163"/>
      <w:bookmarkStart w:id="164" w:name="_Toc184308098"/>
      <w:bookmarkEnd w:id="164"/>
      <w:bookmarkStart w:id="165" w:name="_Toc184308082"/>
      <w:bookmarkEnd w:id="165"/>
      <w:bookmarkStart w:id="166" w:name="_Toc184313243"/>
      <w:bookmarkEnd w:id="166"/>
      <w:bookmarkStart w:id="167" w:name="_Toc184310327"/>
      <w:bookmarkEnd w:id="167"/>
      <w:bookmarkStart w:id="168" w:name="_Toc184310309"/>
      <w:bookmarkEnd w:id="168"/>
      <w:bookmarkStart w:id="169" w:name="_Toc184313279"/>
      <w:bookmarkEnd w:id="169"/>
      <w:bookmarkStart w:id="170" w:name="_Toc184313287"/>
      <w:bookmarkEnd w:id="170"/>
      <w:bookmarkStart w:id="171" w:name="_Toc184312089"/>
      <w:bookmarkEnd w:id="171"/>
      <w:bookmarkStart w:id="172" w:name="_Toc184312124"/>
      <w:bookmarkEnd w:id="172"/>
      <w:bookmarkStart w:id="173" w:name="_Toc184313276"/>
      <w:bookmarkEnd w:id="173"/>
      <w:bookmarkStart w:id="174" w:name="_Toc184312107"/>
      <w:bookmarkEnd w:id="174"/>
      <w:bookmarkStart w:id="175" w:name="_Toc184313298"/>
      <w:bookmarkEnd w:id="175"/>
      <w:bookmarkStart w:id="176" w:name="_Toc184314464"/>
      <w:bookmarkEnd w:id="176"/>
      <w:bookmarkStart w:id="177" w:name="_Toc184308063"/>
      <w:bookmarkEnd w:id="177"/>
      <w:bookmarkStart w:id="178" w:name="_Toc184310279"/>
      <w:bookmarkEnd w:id="178"/>
      <w:bookmarkStart w:id="179" w:name="_Toc184312096"/>
      <w:bookmarkEnd w:id="179"/>
      <w:bookmarkStart w:id="180" w:name="_Toc184310344"/>
      <w:bookmarkEnd w:id="180"/>
      <w:bookmarkStart w:id="181" w:name="_Toc184312128"/>
      <w:bookmarkEnd w:id="181"/>
      <w:bookmarkStart w:id="182" w:name="_Toc184308038"/>
      <w:bookmarkEnd w:id="182"/>
      <w:bookmarkStart w:id="183" w:name="_Toc184314454"/>
      <w:bookmarkEnd w:id="183"/>
      <w:bookmarkStart w:id="184" w:name="_Toc184314422"/>
      <w:bookmarkEnd w:id="184"/>
      <w:bookmarkStart w:id="185" w:name="_Toc184313270"/>
      <w:bookmarkEnd w:id="185"/>
      <w:bookmarkStart w:id="186" w:name="_Toc184313303"/>
      <w:bookmarkEnd w:id="186"/>
      <w:bookmarkStart w:id="187" w:name="_Toc184308074"/>
      <w:bookmarkEnd w:id="187"/>
      <w:bookmarkStart w:id="188" w:name="_Toc184314448"/>
      <w:bookmarkEnd w:id="188"/>
      <w:bookmarkStart w:id="189" w:name="_Toc184308061"/>
      <w:bookmarkEnd w:id="189"/>
      <w:bookmarkStart w:id="190" w:name="_Toc184310299"/>
      <w:bookmarkEnd w:id="190"/>
      <w:bookmarkStart w:id="191" w:name="_Toc184308060"/>
      <w:bookmarkEnd w:id="191"/>
      <w:bookmarkStart w:id="192" w:name="_Toc184312088"/>
      <w:bookmarkEnd w:id="192"/>
      <w:bookmarkStart w:id="193" w:name="_Toc184308091"/>
      <w:bookmarkEnd w:id="193"/>
      <w:bookmarkStart w:id="194" w:name="_Toc184308094"/>
      <w:bookmarkEnd w:id="194"/>
      <w:bookmarkStart w:id="195" w:name="_Toc184310305"/>
      <w:bookmarkEnd w:id="195"/>
      <w:bookmarkStart w:id="196" w:name="_Toc184310341"/>
      <w:bookmarkEnd w:id="196"/>
      <w:bookmarkStart w:id="197" w:name="_Toc184312116"/>
      <w:bookmarkEnd w:id="197"/>
      <w:bookmarkStart w:id="198" w:name="_Toc184314442"/>
      <w:bookmarkEnd w:id="198"/>
      <w:bookmarkStart w:id="199" w:name="_Toc184310329"/>
      <w:bookmarkEnd w:id="199"/>
      <w:bookmarkStart w:id="200" w:name="_Toc184308070"/>
      <w:bookmarkEnd w:id="200"/>
      <w:bookmarkStart w:id="201" w:name="_Toc184310318"/>
      <w:bookmarkEnd w:id="201"/>
      <w:bookmarkStart w:id="202" w:name="_Toc184308072"/>
      <w:bookmarkEnd w:id="202"/>
      <w:bookmarkStart w:id="203" w:name="_Toc184312081"/>
      <w:bookmarkEnd w:id="203"/>
      <w:bookmarkStart w:id="204" w:name="_Toc184313265"/>
      <w:bookmarkEnd w:id="204"/>
      <w:bookmarkStart w:id="205" w:name="_Toc184314481"/>
      <w:bookmarkEnd w:id="205"/>
      <w:bookmarkStart w:id="206" w:name="_Toc184308053"/>
      <w:bookmarkEnd w:id="206"/>
      <w:bookmarkStart w:id="207" w:name="_Toc184308055"/>
      <w:bookmarkEnd w:id="207"/>
      <w:bookmarkStart w:id="208" w:name="_Toc184314478"/>
      <w:bookmarkEnd w:id="208"/>
      <w:bookmarkStart w:id="209" w:name="_Toc184313294"/>
      <w:bookmarkEnd w:id="209"/>
      <w:bookmarkStart w:id="210" w:name="_Toc184313274"/>
      <w:bookmarkEnd w:id="210"/>
      <w:bookmarkStart w:id="211" w:name="_Toc184312123"/>
      <w:bookmarkEnd w:id="211"/>
      <w:bookmarkStart w:id="212" w:name="_Toc184314414"/>
      <w:bookmarkEnd w:id="212"/>
      <w:bookmarkStart w:id="213" w:name="_Toc184308071"/>
      <w:bookmarkEnd w:id="213"/>
      <w:bookmarkStart w:id="214" w:name="_Toc184313289"/>
      <w:bookmarkEnd w:id="214"/>
      <w:bookmarkStart w:id="215" w:name="_Toc184312071"/>
      <w:bookmarkEnd w:id="215"/>
      <w:bookmarkStart w:id="216" w:name="_Toc184313267"/>
      <w:bookmarkEnd w:id="216"/>
      <w:bookmarkStart w:id="217" w:name="_Toc184312074"/>
      <w:bookmarkEnd w:id="217"/>
      <w:bookmarkStart w:id="218" w:name="_Toc184312087"/>
      <w:bookmarkEnd w:id="218"/>
      <w:bookmarkStart w:id="219" w:name="_Toc184314451"/>
      <w:bookmarkEnd w:id="219"/>
      <w:bookmarkStart w:id="220" w:name="_Toc184310340"/>
      <w:bookmarkEnd w:id="220"/>
      <w:bookmarkStart w:id="221" w:name="_Toc184312101"/>
      <w:bookmarkEnd w:id="221"/>
      <w:bookmarkStart w:id="222" w:name="_Toc184314419"/>
      <w:bookmarkEnd w:id="222"/>
      <w:bookmarkStart w:id="223" w:name="_Toc184314455"/>
      <w:bookmarkEnd w:id="223"/>
      <w:bookmarkStart w:id="224" w:name="_Toc184312092"/>
      <w:bookmarkEnd w:id="224"/>
      <w:bookmarkStart w:id="225" w:name="_Toc184314425"/>
      <w:bookmarkEnd w:id="225"/>
      <w:bookmarkStart w:id="226" w:name="_Toc184312100"/>
      <w:bookmarkEnd w:id="226"/>
      <w:bookmarkStart w:id="227" w:name="_Toc184314473"/>
      <w:bookmarkEnd w:id="227"/>
      <w:bookmarkStart w:id="228" w:name="_Toc184313299"/>
      <w:bookmarkEnd w:id="228"/>
      <w:bookmarkStart w:id="229" w:name="_Toc184313285"/>
      <w:bookmarkEnd w:id="229"/>
      <w:bookmarkStart w:id="230" w:name="_Toc184308068"/>
      <w:bookmarkEnd w:id="230"/>
      <w:bookmarkStart w:id="231" w:name="_Toc184314444"/>
      <w:bookmarkEnd w:id="231"/>
      <w:bookmarkStart w:id="232" w:name="_Toc184310282"/>
      <w:bookmarkEnd w:id="232"/>
      <w:bookmarkStart w:id="233" w:name="_Toc184312114"/>
      <w:bookmarkEnd w:id="233"/>
      <w:bookmarkStart w:id="234" w:name="_Toc184313249"/>
      <w:bookmarkEnd w:id="234"/>
      <w:bookmarkStart w:id="235" w:name="_Toc184308041"/>
      <w:bookmarkEnd w:id="235"/>
      <w:bookmarkStart w:id="236" w:name="_Toc184314435"/>
      <w:bookmarkEnd w:id="236"/>
      <w:bookmarkStart w:id="237" w:name="_Toc184308050"/>
      <w:bookmarkEnd w:id="237"/>
      <w:bookmarkStart w:id="238" w:name="_Toc184308073"/>
      <w:bookmarkEnd w:id="238"/>
      <w:bookmarkStart w:id="239" w:name="_Toc184314479"/>
      <w:bookmarkEnd w:id="239"/>
      <w:bookmarkStart w:id="240" w:name="_Toc184313277"/>
      <w:bookmarkEnd w:id="240"/>
      <w:bookmarkStart w:id="241" w:name="_Toc184308084"/>
      <w:bookmarkEnd w:id="241"/>
      <w:bookmarkStart w:id="242" w:name="_Toc184314421"/>
      <w:bookmarkEnd w:id="242"/>
      <w:bookmarkStart w:id="243" w:name="_Toc184310326"/>
      <w:bookmarkEnd w:id="243"/>
      <w:bookmarkStart w:id="244" w:name="_Toc184312077"/>
      <w:bookmarkEnd w:id="244"/>
      <w:bookmarkStart w:id="245" w:name="_Toc184312111"/>
      <w:bookmarkEnd w:id="245"/>
      <w:bookmarkStart w:id="246" w:name="_Toc184308104"/>
      <w:bookmarkEnd w:id="246"/>
      <w:bookmarkStart w:id="247" w:name="_Toc184310319"/>
      <w:bookmarkEnd w:id="247"/>
      <w:bookmarkStart w:id="248" w:name="_Toc184313273"/>
      <w:bookmarkEnd w:id="248"/>
      <w:bookmarkStart w:id="249" w:name="_Toc184314443"/>
      <w:bookmarkEnd w:id="249"/>
      <w:bookmarkStart w:id="250" w:name="_Toc184313291"/>
      <w:bookmarkEnd w:id="250"/>
      <w:bookmarkStart w:id="251" w:name="_Toc184308108"/>
      <w:bookmarkEnd w:id="251"/>
      <w:bookmarkStart w:id="252" w:name="_Toc184314420"/>
      <w:bookmarkEnd w:id="252"/>
      <w:bookmarkStart w:id="253" w:name="_Toc184312067"/>
      <w:bookmarkEnd w:id="253"/>
      <w:bookmarkStart w:id="254" w:name="_Toc184310325"/>
      <w:bookmarkEnd w:id="254"/>
      <w:bookmarkStart w:id="255" w:name="_Toc184308106"/>
      <w:bookmarkEnd w:id="255"/>
      <w:bookmarkStart w:id="256" w:name="_Toc184308095"/>
      <w:bookmarkEnd w:id="256"/>
      <w:bookmarkStart w:id="257" w:name="_Toc184314427"/>
      <w:bookmarkEnd w:id="257"/>
      <w:bookmarkStart w:id="258" w:name="_Toc184313305"/>
      <w:bookmarkEnd w:id="258"/>
      <w:bookmarkStart w:id="259" w:name="_Toc184310291"/>
      <w:bookmarkEnd w:id="259"/>
      <w:bookmarkStart w:id="260" w:name="_Toc184308047"/>
      <w:bookmarkEnd w:id="260"/>
      <w:bookmarkStart w:id="261" w:name="_Toc184313301"/>
      <w:bookmarkEnd w:id="261"/>
      <w:bookmarkStart w:id="262" w:name="_Toc184308107"/>
      <w:bookmarkEnd w:id="262"/>
      <w:bookmarkStart w:id="263" w:name="_Toc184308049"/>
      <w:bookmarkEnd w:id="263"/>
      <w:bookmarkStart w:id="264" w:name="_Toc184310322"/>
      <w:bookmarkEnd w:id="264"/>
      <w:bookmarkStart w:id="265" w:name="_Toc184314426"/>
      <w:bookmarkEnd w:id="265"/>
      <w:bookmarkStart w:id="266" w:name="_Toc184313263"/>
      <w:bookmarkEnd w:id="266"/>
      <w:bookmarkStart w:id="267" w:name="_Toc184312083"/>
      <w:bookmarkEnd w:id="267"/>
      <w:bookmarkStart w:id="268" w:name="_Toc184312076"/>
      <w:bookmarkEnd w:id="268"/>
      <w:bookmarkStart w:id="269" w:name="_Toc184313275"/>
      <w:bookmarkEnd w:id="269"/>
      <w:bookmarkStart w:id="270" w:name="_Toc184308089"/>
      <w:bookmarkEnd w:id="270"/>
      <w:bookmarkStart w:id="271" w:name="_Toc184310273"/>
      <w:bookmarkEnd w:id="271"/>
      <w:bookmarkStart w:id="272" w:name="_Toc184313293"/>
      <w:bookmarkEnd w:id="272"/>
      <w:bookmarkStart w:id="273" w:name="_Toc184308052"/>
      <w:bookmarkEnd w:id="273"/>
      <w:bookmarkStart w:id="274" w:name="_Toc184308069"/>
      <w:bookmarkEnd w:id="274"/>
      <w:bookmarkStart w:id="275" w:name="_Toc184313292"/>
      <w:bookmarkEnd w:id="275"/>
      <w:bookmarkStart w:id="276" w:name="_Toc184308048"/>
      <w:bookmarkEnd w:id="276"/>
      <w:bookmarkStart w:id="277" w:name="_Toc184308059"/>
      <w:bookmarkEnd w:id="277"/>
      <w:bookmarkStart w:id="278" w:name="_Toc184314413"/>
      <w:bookmarkEnd w:id="278"/>
      <w:bookmarkStart w:id="279" w:name="_Toc184310312"/>
      <w:bookmarkEnd w:id="279"/>
      <w:bookmarkStart w:id="280" w:name="_Toc184312091"/>
      <w:bookmarkEnd w:id="280"/>
      <w:bookmarkStart w:id="281" w:name="_Toc184312068"/>
      <w:bookmarkEnd w:id="281"/>
      <w:bookmarkStart w:id="282" w:name="_Toc184310335"/>
      <w:bookmarkEnd w:id="282"/>
      <w:bookmarkStart w:id="283" w:name="_Toc184314431"/>
      <w:bookmarkEnd w:id="283"/>
      <w:bookmarkStart w:id="284" w:name="_Toc184314462"/>
      <w:bookmarkEnd w:id="284"/>
      <w:bookmarkStart w:id="285" w:name="_Toc184313260"/>
      <w:bookmarkEnd w:id="285"/>
      <w:bookmarkStart w:id="286" w:name="_Toc184308046"/>
      <w:bookmarkEnd w:id="286"/>
      <w:bookmarkStart w:id="287" w:name="_Toc184312132"/>
      <w:bookmarkEnd w:id="287"/>
      <w:bookmarkStart w:id="288" w:name="_Toc184310306"/>
      <w:bookmarkEnd w:id="288"/>
      <w:bookmarkStart w:id="289" w:name="_Toc184314474"/>
      <w:bookmarkEnd w:id="289"/>
      <w:bookmarkStart w:id="290" w:name="_Toc184313261"/>
      <w:bookmarkEnd w:id="290"/>
      <w:bookmarkStart w:id="291" w:name="_Toc184308058"/>
      <w:bookmarkEnd w:id="291"/>
      <w:bookmarkStart w:id="292" w:name="_Toc184312115"/>
      <w:bookmarkEnd w:id="292"/>
      <w:bookmarkStart w:id="293" w:name="_Toc184310288"/>
      <w:bookmarkEnd w:id="293"/>
      <w:bookmarkStart w:id="294" w:name="_Toc184308079"/>
      <w:bookmarkEnd w:id="294"/>
      <w:bookmarkStart w:id="295" w:name="_Toc184312127"/>
      <w:bookmarkEnd w:id="295"/>
      <w:bookmarkStart w:id="296" w:name="_Toc184308081"/>
      <w:bookmarkEnd w:id="296"/>
      <w:bookmarkStart w:id="297" w:name="_Toc184313258"/>
      <w:bookmarkEnd w:id="297"/>
      <w:bookmarkStart w:id="298" w:name="_Toc184310310"/>
      <w:bookmarkEnd w:id="298"/>
      <w:bookmarkStart w:id="299" w:name="_Toc184308045"/>
      <w:bookmarkEnd w:id="299"/>
      <w:bookmarkStart w:id="300" w:name="_Toc184314470"/>
      <w:bookmarkEnd w:id="300"/>
      <w:bookmarkStart w:id="301" w:name="_Toc184308039"/>
      <w:bookmarkEnd w:id="301"/>
      <w:bookmarkStart w:id="302" w:name="_Toc184312130"/>
      <w:bookmarkEnd w:id="302"/>
      <w:bookmarkStart w:id="303" w:name="_Toc184312072"/>
      <w:bookmarkEnd w:id="303"/>
      <w:bookmarkStart w:id="304" w:name="_Toc184312070"/>
      <w:bookmarkEnd w:id="304"/>
      <w:bookmarkStart w:id="305" w:name="_Toc184308093"/>
      <w:bookmarkEnd w:id="305"/>
      <w:bookmarkStart w:id="306" w:name="_Toc184314461"/>
      <w:bookmarkEnd w:id="306"/>
      <w:bookmarkStart w:id="307" w:name="_Toc184308056"/>
      <w:bookmarkEnd w:id="307"/>
      <w:bookmarkStart w:id="308" w:name="_Toc184314450"/>
      <w:bookmarkEnd w:id="308"/>
      <w:bookmarkStart w:id="309" w:name="_Toc184310300"/>
      <w:bookmarkEnd w:id="309"/>
      <w:bookmarkStart w:id="310" w:name="_Toc184312094"/>
      <w:bookmarkEnd w:id="310"/>
      <w:bookmarkStart w:id="311" w:name="_Toc184310307"/>
      <w:bookmarkEnd w:id="311"/>
      <w:bookmarkStart w:id="312" w:name="_Toc184313283"/>
      <w:bookmarkEnd w:id="312"/>
      <w:bookmarkStart w:id="313" w:name="_Toc184310320"/>
      <w:bookmarkEnd w:id="313"/>
      <w:bookmarkStart w:id="314" w:name="_Toc184310275"/>
      <w:bookmarkEnd w:id="314"/>
      <w:bookmarkStart w:id="315" w:name="_Toc184312097"/>
      <w:bookmarkEnd w:id="315"/>
      <w:bookmarkStart w:id="316" w:name="_Toc184313246"/>
      <w:bookmarkEnd w:id="316"/>
      <w:bookmarkStart w:id="317" w:name="_Toc184314432"/>
      <w:bookmarkEnd w:id="317"/>
      <w:bookmarkStart w:id="318" w:name="_Toc184314456"/>
      <w:bookmarkEnd w:id="318"/>
      <w:bookmarkStart w:id="319" w:name="_Toc184313257"/>
      <w:bookmarkEnd w:id="319"/>
      <w:bookmarkStart w:id="320" w:name="_Toc184314439"/>
      <w:bookmarkEnd w:id="320"/>
      <w:bookmarkStart w:id="321" w:name="_Toc184310290"/>
      <w:bookmarkEnd w:id="321"/>
      <w:bookmarkStart w:id="322" w:name="_Toc184310331"/>
      <w:bookmarkEnd w:id="322"/>
      <w:bookmarkStart w:id="323" w:name="_Toc184314447"/>
      <w:bookmarkEnd w:id="323"/>
      <w:bookmarkStart w:id="324" w:name="_Toc184312117"/>
      <w:bookmarkEnd w:id="324"/>
      <w:bookmarkStart w:id="325" w:name="_Toc184308105"/>
      <w:bookmarkEnd w:id="325"/>
      <w:bookmarkStart w:id="326" w:name="_Toc184308066"/>
      <w:bookmarkEnd w:id="326"/>
      <w:bookmarkStart w:id="327" w:name="_Toc184308076"/>
      <w:bookmarkEnd w:id="327"/>
      <w:bookmarkStart w:id="328" w:name="_Toc184310281"/>
      <w:bookmarkEnd w:id="328"/>
      <w:bookmarkStart w:id="329" w:name="_Toc184313241"/>
      <w:bookmarkEnd w:id="329"/>
      <w:bookmarkStart w:id="330" w:name="_Toc184312136"/>
      <w:bookmarkEnd w:id="330"/>
      <w:bookmarkStart w:id="331" w:name="_Toc184313268"/>
      <w:bookmarkEnd w:id="331"/>
      <w:bookmarkStart w:id="332" w:name="_Toc184312080"/>
      <w:bookmarkEnd w:id="332"/>
      <w:bookmarkStart w:id="333" w:name="_Toc184310297"/>
      <w:bookmarkEnd w:id="333"/>
      <w:bookmarkStart w:id="334" w:name="_Toc184313245"/>
      <w:bookmarkEnd w:id="334"/>
      <w:bookmarkStart w:id="335" w:name="_Toc184313264"/>
      <w:bookmarkEnd w:id="335"/>
      <w:bookmarkStart w:id="336" w:name="_Toc184308040"/>
      <w:bookmarkEnd w:id="336"/>
      <w:bookmarkStart w:id="337" w:name="_Toc184310339"/>
      <w:bookmarkEnd w:id="337"/>
      <w:bookmarkStart w:id="338" w:name="_Toc184312126"/>
      <w:bookmarkEnd w:id="338"/>
      <w:bookmarkStart w:id="339" w:name="_Toc184308090"/>
      <w:bookmarkEnd w:id="339"/>
      <w:bookmarkStart w:id="340" w:name="_Toc184308077"/>
      <w:bookmarkEnd w:id="340"/>
      <w:bookmarkStart w:id="341" w:name="_Toc184312138"/>
      <w:bookmarkEnd w:id="341"/>
      <w:bookmarkStart w:id="342" w:name="_Toc184312122"/>
      <w:bookmarkEnd w:id="342"/>
      <w:bookmarkStart w:id="343" w:name="_Toc184313307"/>
      <w:bookmarkEnd w:id="343"/>
      <w:bookmarkStart w:id="344" w:name="_Toc184313288"/>
      <w:bookmarkEnd w:id="344"/>
      <w:bookmarkStart w:id="345" w:name="_Toc184314452"/>
      <w:bookmarkEnd w:id="345"/>
      <w:bookmarkStart w:id="346" w:name="_Toc184310317"/>
      <w:bookmarkEnd w:id="346"/>
      <w:bookmarkStart w:id="347" w:name="_Toc184312102"/>
      <w:bookmarkEnd w:id="347"/>
      <w:bookmarkStart w:id="348" w:name="_Toc184310313"/>
      <w:bookmarkEnd w:id="348"/>
      <w:bookmarkStart w:id="349" w:name="_Toc184314417"/>
      <w:bookmarkEnd w:id="349"/>
      <w:bookmarkStart w:id="350" w:name="_Toc184314428"/>
      <w:bookmarkEnd w:id="350"/>
      <w:bookmarkStart w:id="351" w:name="_Toc184308042"/>
      <w:bookmarkEnd w:id="351"/>
      <w:bookmarkStart w:id="352" w:name="_Toc184310295"/>
      <w:bookmarkEnd w:id="352"/>
      <w:bookmarkStart w:id="353" w:name="_Toc184310330"/>
      <w:bookmarkEnd w:id="353"/>
      <w:bookmarkStart w:id="354" w:name="_Toc184308078"/>
      <w:bookmarkEnd w:id="354"/>
      <w:bookmarkStart w:id="355" w:name="_Toc184313247"/>
      <w:bookmarkEnd w:id="355"/>
      <w:bookmarkStart w:id="356" w:name="_Toc184314468"/>
      <w:bookmarkEnd w:id="356"/>
      <w:bookmarkStart w:id="357" w:name="_Toc184313238"/>
      <w:bookmarkEnd w:id="357"/>
      <w:bookmarkStart w:id="358" w:name="_Toc184310333"/>
      <w:bookmarkEnd w:id="358"/>
      <w:bookmarkStart w:id="359" w:name="_Toc184310298"/>
      <w:bookmarkEnd w:id="359"/>
      <w:bookmarkStart w:id="360" w:name="_Toc184308036"/>
      <w:bookmarkEnd w:id="360"/>
      <w:bookmarkStart w:id="361" w:name="_Toc184310343"/>
      <w:bookmarkEnd w:id="361"/>
      <w:bookmarkStart w:id="362" w:name="_Toc184312093"/>
      <w:bookmarkEnd w:id="362"/>
      <w:bookmarkStart w:id="363" w:name="_Toc184312104"/>
      <w:bookmarkEnd w:id="363"/>
      <w:bookmarkStart w:id="364" w:name="_Toc184314433"/>
      <w:bookmarkEnd w:id="364"/>
      <w:bookmarkStart w:id="365" w:name="_Toc184313252"/>
      <w:bookmarkEnd w:id="365"/>
      <w:bookmarkStart w:id="366" w:name="_Toc184308092"/>
      <w:bookmarkEnd w:id="366"/>
      <w:bookmarkStart w:id="367" w:name="_Toc184310285"/>
      <w:bookmarkEnd w:id="367"/>
      <w:bookmarkStart w:id="368" w:name="_Toc184313269"/>
      <w:bookmarkEnd w:id="368"/>
      <w:bookmarkStart w:id="369" w:name="_Toc184310274"/>
      <w:bookmarkEnd w:id="369"/>
      <w:bookmarkStart w:id="370" w:name="_Toc184312084"/>
      <w:bookmarkEnd w:id="370"/>
      <w:bookmarkStart w:id="371" w:name="_Toc184313272"/>
      <w:bookmarkEnd w:id="371"/>
      <w:bookmarkStart w:id="372" w:name="_Toc184313251"/>
      <w:bookmarkEnd w:id="372"/>
      <w:bookmarkStart w:id="373" w:name="_Toc184308043"/>
      <w:bookmarkEnd w:id="373"/>
      <w:bookmarkStart w:id="374" w:name="_Toc184310323"/>
      <w:bookmarkEnd w:id="374"/>
      <w:bookmarkStart w:id="375" w:name="_Toc184310301"/>
      <w:bookmarkEnd w:id="375"/>
      <w:bookmarkStart w:id="376" w:name="_Toc184313278"/>
      <w:bookmarkEnd w:id="376"/>
      <w:bookmarkStart w:id="377" w:name="_Toc184313284"/>
      <w:bookmarkEnd w:id="377"/>
      <w:bookmarkStart w:id="378" w:name="_Toc184310272"/>
      <w:bookmarkEnd w:id="378"/>
      <w:bookmarkStart w:id="379" w:name="_Toc184312105"/>
      <w:bookmarkEnd w:id="379"/>
      <w:bookmarkStart w:id="380" w:name="_Toc184313253"/>
      <w:bookmarkEnd w:id="380"/>
      <w:bookmarkStart w:id="381" w:name="_Toc184312125"/>
      <w:bookmarkEnd w:id="381"/>
      <w:bookmarkStart w:id="382" w:name="_Toc184312110"/>
      <w:bookmarkEnd w:id="382"/>
      <w:bookmarkStart w:id="383" w:name="_Toc184310302"/>
      <w:bookmarkEnd w:id="383"/>
      <w:bookmarkStart w:id="384" w:name="_Toc184310277"/>
      <w:bookmarkEnd w:id="384"/>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J.响应文件不满足询价采购文件的其他实质性要求的；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M未按要求缴纳询价保证金的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7"/>
        <w:ind w:firstLine="480" w:firstLineChars="200"/>
      </w:pPr>
      <w:r>
        <w:rPr>
          <w:lang w:val="en-US"/>
        </w:rPr>
        <w:t>1.1</w:t>
      </w:r>
      <w:r>
        <w:rPr>
          <w:rFonts w:hint="eastAsia"/>
        </w:rPr>
        <w:t>若出现税率不一致的情况，以除税总金额相对比。</w:t>
      </w:r>
    </w:p>
    <w:p>
      <w:pPr>
        <w:pStyle w:val="7"/>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7"/>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LJGS-2024-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rPr>
          <w:rFonts w:ascii="宋体" w:hAnsi="宋体" w:cs="宋体"/>
          <w:szCs w:val="24"/>
        </w:rPr>
      </w:pPr>
    </w:p>
    <w:p>
      <w:pPr>
        <w:spacing w:before="120" w:line="22" w:lineRule="atLeast"/>
        <w:ind w:left="960"/>
        <w:rPr>
          <w:rFonts w:ascii="宋体" w:hAnsi="宋体" w:eastAsia="宋体" w:cs="宋体"/>
        </w:rPr>
      </w:pPr>
      <w:r>
        <w:rPr>
          <w:rFonts w:hint="eastAsia" w:ascii="宋体" w:hAnsi="宋体" w:cs="宋体"/>
          <w:sz w:val="24"/>
        </w:rPr>
        <w:t>项目名称：</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lang w:eastAsia="zh-CN"/>
        </w:rPr>
        <w:t>2024年临江公司费斯托备件</w:t>
      </w:r>
      <w:r>
        <w:rPr>
          <w:rFonts w:hint="eastAsia" w:ascii="宋体" w:hAnsi="宋体" w:cs="宋体"/>
          <w:sz w:val="24"/>
          <w:u w:val="single"/>
        </w:rPr>
        <w:t xml:space="preserve"> </w:t>
      </w:r>
      <w:r>
        <w:rPr>
          <w:rFonts w:ascii="宋体" w:hAnsi="宋体" w:cs="宋体"/>
          <w:sz w:val="24"/>
          <w:u w:val="single"/>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杭州临江环境能源有限公司  </w:t>
      </w:r>
      <w:r>
        <w:rPr>
          <w:rFonts w:ascii="宋体" w:hAnsi="宋体" w:cs="宋体"/>
          <w:sz w:val="24"/>
          <w:u w:val="single"/>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日</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23"/>
        <w:ind w:left="0" w:leftChars="0" w:firstLine="0" w:firstLineChars="0"/>
        <w:rPr>
          <w:rFonts w:hint="eastAsia" w:ascii="宋体" w:hAnsi="宋体" w:eastAsia="宋体" w:cs="宋体"/>
          <w:b/>
          <w:sz w:val="24"/>
          <w:szCs w:val="24"/>
        </w:rPr>
      </w:pPr>
    </w:p>
    <w:sdt>
      <w:sdtPr>
        <w:rPr>
          <w:rFonts w:hint="eastAsia" w:ascii="宋体" w:hAnsi="宋体" w:eastAsia="宋体" w:cs="宋体"/>
          <w:kern w:val="2"/>
          <w:sz w:val="24"/>
          <w:szCs w:val="24"/>
          <w:lang w:val="en-US" w:eastAsia="zh-CN" w:bidi="ar-SA"/>
        </w:rPr>
        <w:id w:val="147467511"/>
        <w15:color w:val="DBDBDB"/>
        <w:docPartObj>
          <w:docPartGallery w:val="Table of Contents"/>
          <w:docPartUnique/>
        </w:docPartObj>
      </w:sdtPr>
      <w:sdtEndPr>
        <w:rPr>
          <w:rFonts w:hint="eastAsia" w:ascii="宋体" w:hAnsi="宋体" w:eastAsia="宋体" w:cs="宋体"/>
          <w:kern w:val="2"/>
          <w:sz w:val="32"/>
          <w:szCs w:val="32"/>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目</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录</w:t>
          </w:r>
        </w:p>
        <w:p>
          <w:pPr>
            <w:pStyle w:val="13"/>
            <w:tabs>
              <w:tab w:val="right" w:leader="dot" w:pos="8306"/>
            </w:tabs>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"1-1" \h \u </w:instrText>
          </w:r>
          <w:r>
            <w:rPr>
              <w:rFonts w:hint="eastAsia" w:ascii="宋体" w:hAnsi="宋体" w:eastAsia="宋体" w:cs="宋体"/>
              <w:sz w:val="24"/>
              <w:szCs w:val="24"/>
            </w:rPr>
            <w:fldChar w:fldCharType="separate"/>
          </w:r>
          <w:r>
            <w:rPr>
              <w:rFonts w:hint="eastAsia" w:ascii="宋体" w:hAnsi="宋体" w:eastAsia="宋体" w:cs="宋体"/>
              <w:szCs w:val="24"/>
            </w:rPr>
            <w:fldChar w:fldCharType="begin"/>
          </w:r>
          <w:r>
            <w:rPr>
              <w:rFonts w:hint="eastAsia" w:ascii="宋体" w:hAnsi="宋体" w:eastAsia="宋体" w:cs="宋体"/>
              <w:szCs w:val="24"/>
            </w:rPr>
            <w:instrText xml:space="preserve"> HYPERLINK \l _Toc20141 </w:instrText>
          </w:r>
          <w:r>
            <w:rPr>
              <w:rFonts w:hint="eastAsia" w:ascii="宋体" w:hAnsi="宋体" w:eastAsia="宋体" w:cs="宋体"/>
              <w:szCs w:val="24"/>
            </w:rPr>
            <w:fldChar w:fldCharType="separate"/>
          </w:r>
          <w:r>
            <w:rPr>
              <w:rFonts w:hint="eastAsia" w:ascii="宋体" w:hAnsi="宋体" w:eastAsia="宋体" w:cs="宋体"/>
            </w:rPr>
            <w:t>第一章 合同书</w:t>
          </w:r>
          <w:r>
            <w:tab/>
          </w:r>
          <w:r>
            <w:fldChar w:fldCharType="begin"/>
          </w:r>
          <w:r>
            <w:instrText xml:space="preserve"> PAGEREF _Toc20141 \h </w:instrText>
          </w:r>
          <w:r>
            <w:fldChar w:fldCharType="separate"/>
          </w:r>
          <w:r>
            <w:t>3</w:t>
          </w:r>
          <w:r>
            <w:fldChar w:fldCharType="end"/>
          </w:r>
          <w:r>
            <w:rPr>
              <w:rFonts w:hint="eastAsia" w:ascii="宋体" w:hAnsi="宋体" w:eastAsia="宋体" w:cs="宋体"/>
              <w:szCs w:val="24"/>
            </w:rPr>
            <w:fldChar w:fldCharType="end"/>
          </w:r>
        </w:p>
        <w:p>
          <w:pPr>
            <w:pStyle w:val="13"/>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_Toc17221 </w:instrText>
          </w:r>
          <w:r>
            <w:rPr>
              <w:rFonts w:hint="eastAsia" w:ascii="宋体" w:hAnsi="宋体" w:eastAsia="宋体" w:cs="宋体"/>
              <w:szCs w:val="24"/>
            </w:rPr>
            <w:fldChar w:fldCharType="separate"/>
          </w:r>
          <w:r>
            <w:rPr>
              <w:rFonts w:hint="eastAsia" w:ascii="宋体" w:hAnsi="宋体" w:cs="宋体"/>
              <w:szCs w:val="24"/>
            </w:rPr>
            <w:t>第二章 合同一般条款</w:t>
          </w:r>
          <w:r>
            <w:tab/>
          </w:r>
          <w:r>
            <w:fldChar w:fldCharType="begin"/>
          </w:r>
          <w:r>
            <w:instrText xml:space="preserve"> PAGEREF _Toc17221 \h </w:instrText>
          </w:r>
          <w:r>
            <w:fldChar w:fldCharType="separate"/>
          </w:r>
          <w:r>
            <w:t>10</w:t>
          </w:r>
          <w:r>
            <w:fldChar w:fldCharType="end"/>
          </w:r>
          <w:r>
            <w:rPr>
              <w:rFonts w:hint="eastAsia" w:ascii="宋体" w:hAnsi="宋体" w:eastAsia="宋体" w:cs="宋体"/>
              <w:szCs w:val="24"/>
            </w:rPr>
            <w:fldChar w:fldCharType="end"/>
          </w:r>
        </w:p>
        <w:p>
          <w:pPr>
            <w:pStyle w:val="13"/>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_Toc27135 </w:instrText>
          </w:r>
          <w:r>
            <w:rPr>
              <w:rFonts w:hint="eastAsia" w:ascii="宋体" w:hAnsi="宋体" w:eastAsia="宋体" w:cs="宋体"/>
              <w:szCs w:val="24"/>
            </w:rPr>
            <w:fldChar w:fldCharType="separate"/>
          </w:r>
          <w:r>
            <w:rPr>
              <w:rFonts w:hint="eastAsia" w:ascii="宋体" w:hAnsi="宋体" w:cs="Times New Roman"/>
              <w:szCs w:val="24"/>
            </w:rPr>
            <w:t xml:space="preserve">第三章 </w:t>
          </w:r>
          <w:r>
            <w:rPr>
              <w:rFonts w:hint="eastAsia" w:ascii="宋体" w:hAnsi="宋体"/>
              <w:szCs w:val="24"/>
            </w:rPr>
            <w:t>廉洁协议</w:t>
          </w:r>
          <w:r>
            <w:tab/>
          </w:r>
          <w:r>
            <w:fldChar w:fldCharType="begin"/>
          </w:r>
          <w:r>
            <w:instrText xml:space="preserve"> PAGEREF _Toc27135 \h </w:instrText>
          </w:r>
          <w:r>
            <w:fldChar w:fldCharType="separate"/>
          </w:r>
          <w:r>
            <w:t>15</w:t>
          </w:r>
          <w:r>
            <w:fldChar w:fldCharType="end"/>
          </w:r>
          <w:r>
            <w:rPr>
              <w:rFonts w:hint="eastAsia" w:ascii="宋体" w:hAnsi="宋体" w:eastAsia="宋体" w:cs="宋体"/>
              <w:szCs w:val="24"/>
            </w:rPr>
            <w:fldChar w:fldCharType="end"/>
          </w:r>
        </w:p>
        <w:p>
          <w:pPr>
            <w:pStyle w:val="23"/>
            <w:rPr>
              <w:rFonts w:hint="eastAsia" w:ascii="宋体" w:hAnsi="宋体" w:eastAsia="宋体" w:cs="宋体"/>
              <w:sz w:val="32"/>
              <w:szCs w:val="32"/>
            </w:rPr>
          </w:pPr>
          <w:r>
            <w:rPr>
              <w:rFonts w:hint="eastAsia" w:ascii="宋体" w:hAnsi="宋体" w:eastAsia="宋体" w:cs="宋体"/>
              <w:szCs w:val="24"/>
            </w:rPr>
            <w:fldChar w:fldCharType="end"/>
          </w:r>
        </w:p>
      </w:sdtContent>
    </w:sdt>
    <w:p>
      <w:pPr>
        <w:pStyle w:val="9"/>
        <w:rPr>
          <w:rFonts w:hint="eastAsia" w:ascii="宋体" w:hAnsi="宋体" w:eastAsia="宋体" w:cs="宋体"/>
          <w:sz w:val="32"/>
          <w:szCs w:val="32"/>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3"/>
        <w:ind w:left="0" w:leftChars="0" w:firstLine="0" w:firstLineChars="0"/>
        <w:rPr>
          <w:rFonts w:ascii="宋体" w:hAnsi="宋体" w:cs="宋体"/>
          <w:szCs w:val="24"/>
        </w:rPr>
      </w:pPr>
    </w:p>
    <w:p>
      <w:pPr>
        <w:pStyle w:val="23"/>
        <w:ind w:left="0" w:leftChars="0" w:firstLine="0" w:firstLineChars="0"/>
        <w:jc w:val="center"/>
        <w:rPr>
          <w:rFonts w:ascii="宋体" w:hAnsi="宋体" w:cs="宋体"/>
          <w:b/>
          <w:szCs w:val="24"/>
        </w:rPr>
      </w:pPr>
    </w:p>
    <w:p>
      <w:pPr>
        <w:rPr>
          <w:rFonts w:hint="eastAsia" w:ascii="宋体" w:hAnsi="宋体" w:eastAsia="宋体" w:cs="宋体"/>
          <w:b/>
          <w:sz w:val="24"/>
        </w:rPr>
      </w:pPr>
      <w:r>
        <w:rPr>
          <w:rFonts w:hint="eastAsia" w:ascii="宋体" w:hAnsi="宋体" w:eastAsia="宋体" w:cs="宋体"/>
          <w:b/>
          <w:sz w:val="24"/>
        </w:rPr>
        <w:br w:type="page"/>
      </w:r>
    </w:p>
    <w:p>
      <w:pPr>
        <w:spacing w:line="360" w:lineRule="auto"/>
        <w:ind w:firstLine="482" w:firstLineChars="200"/>
        <w:jc w:val="center"/>
        <w:outlineLvl w:val="0"/>
        <w:rPr>
          <w:rFonts w:ascii="宋体" w:hAnsi="宋体" w:eastAsia="宋体" w:cs="宋体"/>
          <w:b/>
          <w:sz w:val="24"/>
        </w:rPr>
      </w:pPr>
      <w:bookmarkStart w:id="385" w:name="_Toc20141"/>
      <w:r>
        <w:rPr>
          <w:rFonts w:hint="eastAsia" w:ascii="宋体" w:hAnsi="宋体" w:eastAsia="宋体" w:cs="宋体"/>
          <w:b/>
          <w:sz w:val="24"/>
        </w:rPr>
        <w:t>第一章 合同书</w:t>
      </w:r>
      <w:bookmarkEnd w:id="385"/>
    </w:p>
    <w:p>
      <w:pPr>
        <w:spacing w:line="360" w:lineRule="auto"/>
        <w:ind w:firstLine="480" w:firstLineChars="200"/>
        <w:rPr>
          <w:rFonts w:ascii="宋体" w:hAnsi="宋体" w:cs="宋体"/>
          <w:sz w:val="24"/>
        </w:rPr>
      </w:pPr>
      <w:r>
        <w:rPr>
          <w:rFonts w:hint="eastAsia" w:ascii="宋体" w:hAnsi="宋体" w:cs="宋体"/>
          <w:sz w:val="24"/>
          <w:u w:val="single"/>
        </w:rPr>
        <w:t>2024年</w:t>
      </w:r>
      <w:r>
        <w:rPr>
          <w:rFonts w:hint="eastAsia" w:ascii="宋体" w:hAnsi="宋体" w:cs="宋体"/>
          <w:sz w:val="24"/>
          <w:u w:val="single"/>
          <w:lang w:val="en-US" w:eastAsia="zh-CN"/>
        </w:rPr>
        <w:t xml:space="preserve">  </w:t>
      </w:r>
      <w:r>
        <w:rPr>
          <w:rFonts w:hint="eastAsia" w:ascii="宋体" w:hAnsi="宋体" w:cs="宋体"/>
          <w:sz w:val="24"/>
          <w:u w:val="single"/>
        </w:rPr>
        <w:t>月</w:t>
      </w:r>
      <w:r>
        <w:rPr>
          <w:rFonts w:hint="eastAsia" w:ascii="宋体" w:hAnsi="宋体" w:cs="宋体"/>
          <w:sz w:val="24"/>
          <w:u w:val="single"/>
          <w:lang w:val="en-US" w:eastAsia="zh-CN"/>
        </w:rPr>
        <w:t xml:space="preserve">   </w:t>
      </w:r>
      <w:r>
        <w:rPr>
          <w:rFonts w:hint="eastAsia" w:ascii="宋体" w:hAnsi="宋体" w:cs="宋体"/>
          <w:sz w:val="24"/>
          <w:u w:val="single"/>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2024年临江公司费斯托备件采购</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评审小组</w:t>
      </w:r>
      <w:r>
        <w:rPr>
          <w:rFonts w:hint="eastAsia" w:ascii="宋体" w:hAnsi="宋体" w:cs="宋体"/>
          <w:sz w:val="24"/>
        </w:rPr>
        <w:t>评定，</w:t>
      </w:r>
      <w:r>
        <w:rPr>
          <w:rFonts w:hint="eastAsia" w:ascii="宋体" w:hAnsi="宋体" w:cs="宋体"/>
          <w:sz w:val="24"/>
          <w:u w:val="single"/>
          <w:lang w:val="en-US" w:eastAsia="zh-CN"/>
        </w:rPr>
        <w:t xml:space="preserve">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w:t>
      </w:r>
      <w:r>
        <w:rPr>
          <w:rFonts w:hint="eastAsia" w:ascii="宋体" w:hAnsi="宋体" w:cs="宋体"/>
          <w:sz w:val="24"/>
        </w:rPr>
        <w:t>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u w:val="single"/>
          <w:lang w:eastAsia="zh-CN"/>
        </w:rPr>
        <w:t>（</w:t>
      </w:r>
      <w:r>
        <w:rPr>
          <w:rFonts w:hint="eastAsia" w:ascii="宋体" w:hAnsi="宋体" w:cs="宋体"/>
          <w:sz w:val="24"/>
          <w:lang w:val="zh-CN"/>
        </w:rPr>
        <w:t>以下简称：甲方）和</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rPr>
          <w:rFonts w:ascii="宋体" w:hAnsi="宋体" w:cs="宋体"/>
          <w:b/>
          <w:sz w:val="24"/>
        </w:rPr>
      </w:pPr>
      <w:bookmarkStart w:id="386" w:name="_Toc2232"/>
      <w:bookmarkStart w:id="387" w:name="_Toc3029"/>
      <w:bookmarkStart w:id="388" w:name="_Toc24059"/>
      <w:r>
        <w:rPr>
          <w:rFonts w:hint="eastAsia" w:ascii="宋体" w:hAnsi="宋体" w:cs="宋体"/>
          <w:b/>
          <w:sz w:val="24"/>
        </w:rPr>
        <w:t>一、合同组成部分</w:t>
      </w:r>
      <w:bookmarkEnd w:id="386"/>
      <w:bookmarkEnd w:id="387"/>
      <w:bookmarkEnd w:id="388"/>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rPr>
          <w:rFonts w:ascii="宋体" w:hAnsi="宋体" w:cs="宋体"/>
          <w:b/>
          <w:sz w:val="24"/>
        </w:rPr>
      </w:pPr>
      <w:bookmarkStart w:id="389" w:name="_Toc24300"/>
      <w:bookmarkStart w:id="390" w:name="_Toc27126"/>
      <w:bookmarkStart w:id="391" w:name="_Toc21295"/>
      <w:r>
        <w:rPr>
          <w:rFonts w:hint="eastAsia" w:ascii="宋体" w:hAnsi="宋体" w:cs="宋体"/>
          <w:b/>
          <w:sz w:val="24"/>
        </w:rPr>
        <w:t xml:space="preserve">二、 </w:t>
      </w:r>
      <w:bookmarkEnd w:id="389"/>
      <w:bookmarkEnd w:id="390"/>
      <w:bookmarkEnd w:id="391"/>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w:t>
      </w:r>
      <w:r>
        <w:rPr>
          <w:rFonts w:hint="eastAsia" w:ascii="宋体" w:hAnsi="宋体"/>
          <w:sz w:val="24"/>
          <w:lang w:val="en-US" w:eastAsia="zh-CN"/>
        </w:rPr>
        <w:t>其中能源</w:t>
      </w:r>
      <w:r>
        <w:rPr>
          <w:rFonts w:hint="eastAsia" w:ascii="宋体" w:hAnsi="宋体"/>
          <w:sz w:val="24"/>
          <w:u w:val="single"/>
          <w:lang w:val="en-US" w:eastAsia="zh-CN"/>
        </w:rPr>
        <w:t xml:space="preserve">       </w:t>
      </w:r>
      <w:r>
        <w:rPr>
          <w:rFonts w:hint="eastAsia" w:ascii="宋体" w:hAnsi="宋体"/>
          <w:sz w:val="24"/>
          <w:lang w:val="en-US" w:eastAsia="zh-CN"/>
        </w:rPr>
        <w:t>元，三固</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lang w:val="en-US" w:eastAsia="zh-CN"/>
        </w:rPr>
        <w:t xml:space="preserve">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如有）、售后服务费及税费等全部费用。除非甲方有额外采购需求且经甲方书面同意，否则，本合同下总价不予调整。</w:t>
      </w:r>
    </w:p>
    <w:p>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费用已包含在货物单价中，甲方不再另外支付费用。</w:t>
      </w:r>
    </w:p>
    <w:p>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tbl>
      <w:tblPr>
        <w:tblStyle w:val="15"/>
        <w:tblW w:w="9650"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672"/>
        <w:gridCol w:w="1233"/>
        <w:gridCol w:w="888"/>
        <w:gridCol w:w="3082"/>
        <w:gridCol w:w="737"/>
        <w:gridCol w:w="663"/>
        <w:gridCol w:w="650"/>
        <w:gridCol w:w="862"/>
        <w:gridCol w:w="86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16" w:hRule="atLeast"/>
          <w:jc w:val="center"/>
        </w:trPr>
        <w:tc>
          <w:tcPr>
            <w:tcW w:w="67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3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w:t>
            </w:r>
          </w:p>
        </w:tc>
        <w:tc>
          <w:tcPr>
            <w:tcW w:w="88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品牌</w:t>
            </w:r>
          </w:p>
        </w:tc>
        <w:tc>
          <w:tcPr>
            <w:tcW w:w="308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7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需求部门</w:t>
            </w:r>
          </w:p>
        </w:tc>
        <w:tc>
          <w:tcPr>
            <w:tcW w:w="66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65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86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单价</w:t>
            </w:r>
          </w:p>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（元）</w:t>
            </w:r>
          </w:p>
        </w:tc>
        <w:tc>
          <w:tcPr>
            <w:tcW w:w="86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金额</w:t>
            </w:r>
          </w:p>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0" w:hRule="atLeast"/>
          <w:jc w:val="center"/>
        </w:trPr>
        <w:tc>
          <w:tcPr>
            <w:tcW w:w="67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3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88"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82"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7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62" w:type="dxa"/>
            <w:tcBorders>
              <w:tl2br w:val="nil"/>
              <w:tr2bl w:val="nil"/>
            </w:tcBorders>
            <w:noWrap w:val="0"/>
            <w:vAlign w:val="center"/>
          </w:tcPr>
          <w:p>
            <w:pPr>
              <w:jc w:val="center"/>
              <w:rPr>
                <w:rFonts w:hint="default" w:ascii="宋体" w:hAnsi="宋体" w:eastAsia="宋体" w:cs="宋体"/>
                <w:i w:val="0"/>
                <w:iCs w:val="0"/>
                <w:color w:val="000000"/>
                <w:sz w:val="18"/>
                <w:szCs w:val="18"/>
                <w:u w:val="none"/>
                <w:lang w:val="en-US" w:eastAsia="zh-CN"/>
              </w:rPr>
            </w:pPr>
          </w:p>
        </w:tc>
        <w:tc>
          <w:tcPr>
            <w:tcW w:w="863" w:type="dxa"/>
            <w:tcBorders>
              <w:tl2br w:val="nil"/>
              <w:tr2bl w:val="nil"/>
            </w:tcBorders>
            <w:noWrap w:val="0"/>
            <w:vAlign w:val="center"/>
          </w:tcPr>
          <w:p>
            <w:pPr>
              <w:jc w:val="center"/>
              <w:rPr>
                <w:rFonts w:hint="default" w:ascii="宋体" w:hAnsi="宋体" w:eastAsia="宋体" w:cs="宋体"/>
                <w:i w:val="0"/>
                <w:iCs w:val="0"/>
                <w:color w:val="000000"/>
                <w:sz w:val="18"/>
                <w:szCs w:val="18"/>
                <w:u w:val="none"/>
                <w:lang w:val="en-US" w:eastAsia="zh-CN"/>
              </w:rPr>
            </w:pPr>
          </w:p>
        </w:tc>
      </w:tr>
    </w:tbl>
    <w:p>
      <w:pPr>
        <w:spacing w:line="360" w:lineRule="auto"/>
        <w:ind w:firstLine="480" w:firstLineChars="200"/>
        <w:rPr>
          <w:rFonts w:hint="eastAsia" w:ascii="宋体" w:hAnsi="宋体" w:cs="宋体"/>
          <w:sz w:val="24"/>
        </w:rPr>
      </w:pPr>
    </w:p>
    <w:p>
      <w:pPr>
        <w:spacing w:line="360" w:lineRule="auto"/>
        <w:ind w:firstLine="482" w:firstLineChars="200"/>
        <w:rPr>
          <w:rFonts w:ascii="宋体" w:hAnsi="宋体" w:cs="宋体"/>
          <w:b/>
          <w:sz w:val="24"/>
        </w:rPr>
      </w:pPr>
      <w:bookmarkStart w:id="392" w:name="_Toc10340"/>
      <w:bookmarkStart w:id="393" w:name="_Toc1814"/>
      <w:bookmarkStart w:id="394" w:name="_Toc22618"/>
      <w:r>
        <w:rPr>
          <w:rFonts w:hint="eastAsia" w:ascii="宋体" w:hAnsi="宋体" w:cs="宋体"/>
          <w:b/>
          <w:sz w:val="24"/>
        </w:rPr>
        <w:t>三、合同期限、货物交付期限、地点和联系方式、交付方式</w:t>
      </w:r>
    </w:p>
    <w:p>
      <w:pPr>
        <w:pStyle w:val="7"/>
        <w:ind w:firstLine="480" w:firstLineChars="200"/>
        <w:rPr>
          <w:lang w:val="en-US"/>
        </w:rPr>
      </w:pPr>
      <w:r>
        <w:rPr>
          <w:rFonts w:hint="eastAsia" w:hAnsi="宋体" w:cs="宋体"/>
        </w:rPr>
        <w:t>1.合同期限：</w:t>
      </w:r>
      <w:r>
        <w:rPr>
          <w:rFonts w:hint="eastAsia"/>
          <w:lang w:val="en-US"/>
        </w:rPr>
        <w:t>供货期限一年；</w:t>
      </w:r>
    </w:p>
    <w:p>
      <w:pPr>
        <w:pStyle w:val="7"/>
        <w:ind w:firstLine="480" w:firstLineChars="200"/>
        <w:rPr>
          <w:rFonts w:hint="eastAsia" w:hAnsi="宋体" w:cs="宋体"/>
        </w:rPr>
      </w:pPr>
      <w:r>
        <w:rPr>
          <w:rFonts w:hint="eastAsia" w:hAnsi="宋体" w:cs="宋体"/>
        </w:rPr>
        <w:t>2.</w:t>
      </w:r>
      <w:r>
        <w:rPr>
          <w:rFonts w:hint="eastAsia" w:hAnsi="宋体" w:cs="宋体"/>
          <w:lang w:val="zh-CN" w:eastAsia="zh-CN"/>
        </w:rPr>
        <w:t>履约方式：</w:t>
      </w:r>
      <w:r>
        <w:rPr>
          <w:rFonts w:hint="eastAsia" w:hAnsi="宋体" w:cs="宋体"/>
        </w:rPr>
        <w:t>按需分批次送货。在供货有效期内，单价不变，采购量可根据实际调整，最终按实际供货数量结算。合同清单数量仅为甲方暂定数量，乙方须按照甲方的采购订单数量供货，不得以超过合同暂定数量为由停止供货。在</w:t>
      </w:r>
      <w:r>
        <w:rPr>
          <w:rFonts w:hint="eastAsia" w:hAnsi="宋体" w:cs="宋体"/>
          <w:lang w:eastAsia="zh-CN"/>
        </w:rPr>
        <w:t>甲方</w:t>
      </w:r>
      <w:r>
        <w:rPr>
          <w:rFonts w:hint="eastAsia" w:hAnsi="宋体" w:cs="宋体"/>
        </w:rPr>
        <w:t>发出送货通知后，</w:t>
      </w:r>
      <w:r>
        <w:rPr>
          <w:rFonts w:hint="eastAsia" w:hAnsi="宋体" w:cs="宋体"/>
          <w:lang w:eastAsia="zh-CN"/>
        </w:rPr>
        <w:t>乙方</w:t>
      </w:r>
      <w:r>
        <w:rPr>
          <w:rFonts w:hint="eastAsia" w:hAnsi="宋体" w:cs="宋体"/>
        </w:rPr>
        <w:t>30个工作日内将货物如数送至</w:t>
      </w:r>
      <w:r>
        <w:rPr>
          <w:rFonts w:hint="eastAsia" w:hAnsi="宋体" w:cs="宋体"/>
          <w:lang w:eastAsia="zh-CN"/>
        </w:rPr>
        <w:t>甲方</w:t>
      </w:r>
      <w:r>
        <w:rPr>
          <w:rFonts w:hint="eastAsia" w:hAnsi="宋体" w:cs="宋体"/>
        </w:rPr>
        <w:t>指定地点；</w:t>
      </w:r>
    </w:p>
    <w:p>
      <w:pPr>
        <w:pStyle w:val="7"/>
        <w:ind w:firstLine="480" w:firstLineChars="200"/>
        <w:rPr>
          <w:rFonts w:hAnsi="宋体" w:cs="宋体"/>
        </w:rPr>
      </w:pPr>
      <w:r>
        <w:rPr>
          <w:rFonts w:hint="eastAsia" w:hAnsi="宋体" w:cs="宋体"/>
        </w:rPr>
        <w:t>3.交付地点：浙江省杭州市钱塘区临江街道红十五路10388-123号，杭州临江环境能源有限公司厂区内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pPr>
      <w:r>
        <w:rPr>
          <w:rFonts w:hint="eastAsia" w:ascii="宋体" w:hAnsi="宋体" w:cs="宋体"/>
          <w:sz w:val="24"/>
        </w:rPr>
        <w:t>5.乙方联系人及联系方式：</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spacing w:line="360" w:lineRule="auto"/>
        <w:ind w:firstLine="482" w:firstLineChars="200"/>
        <w:rPr>
          <w:rFonts w:hint="eastAsia" w:ascii="宋体" w:hAnsi="宋体" w:cs="宋体"/>
          <w:b/>
          <w:sz w:val="24"/>
        </w:rPr>
      </w:pPr>
      <w:r>
        <w:rPr>
          <w:rFonts w:hint="eastAsia" w:ascii="宋体" w:hAnsi="宋体" w:cs="宋体"/>
          <w:b/>
          <w:sz w:val="24"/>
        </w:rPr>
        <w:t>四、技术和质量要求</w:t>
      </w:r>
    </w:p>
    <w:p>
      <w:pPr>
        <w:pStyle w:val="24"/>
        <w:spacing w:before="0" w:beforeAutospacing="0" w:after="0" w:afterAutospacing="0" w:line="360" w:lineRule="auto"/>
        <w:ind w:firstLine="480" w:firstLineChars="200"/>
      </w:pPr>
      <w:r>
        <w:rPr>
          <w:rFonts w:hint="eastAsia"/>
        </w:rPr>
        <w:t xml:space="preserve">1.品牌和型号等技术参数满足采购内容中的规格型号/技术要求，有国家、地方、行业标准、规范（含强制适用标准、规范和推荐适用标准、规范）的，按相应标准、规范执行（不同标准、规范之间要求不一的，按要求较高者执行）。 </w:t>
      </w:r>
    </w:p>
    <w:p>
      <w:pPr>
        <w:pStyle w:val="24"/>
        <w:spacing w:before="0" w:beforeAutospacing="0" w:after="0" w:afterAutospacing="0" w:line="360" w:lineRule="auto"/>
        <w:ind w:firstLine="480" w:firstLineChars="200"/>
        <w:rPr>
          <w:rFonts w:hint="eastAsia"/>
        </w:rPr>
      </w:pPr>
      <w:r>
        <w:rPr>
          <w:rFonts w:hint="eastAsia"/>
        </w:rPr>
        <w:t>2.乙方提供的</w:t>
      </w:r>
      <w:r>
        <w:rPr>
          <w:rFonts w:hint="eastAsia"/>
          <w:lang w:val="en-US" w:eastAsia="zh-CN"/>
        </w:rPr>
        <w:t>备件</w:t>
      </w:r>
      <w:r>
        <w:rPr>
          <w:rFonts w:hint="eastAsia"/>
        </w:rPr>
        <w:t>必须为原厂正品，不得为假冒伪劣产品。</w:t>
      </w:r>
    </w:p>
    <w:p>
      <w:pPr>
        <w:pStyle w:val="8"/>
        <w:rPr>
          <w:lang w:val="en-US"/>
        </w:rPr>
      </w:pPr>
      <w:r>
        <w:rPr>
          <w:rFonts w:hint="eastAsia"/>
          <w:lang w:val="en-US" w:eastAsia="zh-CN"/>
        </w:rPr>
        <w:t>3.</w:t>
      </w:r>
      <w:r>
        <w:rPr>
          <w:rFonts w:hint="eastAsia"/>
          <w:lang w:val="en-US"/>
        </w:rPr>
        <w:t>质保期：验收合格后1年。</w:t>
      </w:r>
    </w:p>
    <w:p>
      <w:pPr>
        <w:spacing w:line="360" w:lineRule="auto"/>
        <w:ind w:firstLine="482" w:firstLineChars="200"/>
        <w:rPr>
          <w:rFonts w:ascii="宋体" w:hAnsi="宋体" w:cs="宋体"/>
          <w:b/>
          <w:sz w:val="24"/>
        </w:rPr>
      </w:pPr>
      <w:bookmarkStart w:id="395" w:name="_Toc1125"/>
      <w:bookmarkStart w:id="396" w:name="_Toc6596"/>
      <w:bookmarkStart w:id="397" w:name="_Toc14563"/>
      <w:r>
        <w:rPr>
          <w:rFonts w:hint="eastAsia" w:ascii="宋体" w:hAnsi="宋体" w:cs="宋体"/>
          <w:b/>
          <w:sz w:val="24"/>
        </w:rPr>
        <w:t>五、服务要求</w:t>
      </w:r>
    </w:p>
    <w:p>
      <w:pPr>
        <w:pStyle w:val="7"/>
        <w:ind w:firstLine="480" w:firstLineChars="200"/>
        <w:rPr>
          <w:b/>
          <w:bCs/>
          <w:lang w:val="en-US"/>
        </w:rPr>
      </w:pPr>
      <w:r>
        <w:rPr>
          <w:rFonts w:hint="eastAsia"/>
          <w:lang w:val="en-US"/>
        </w:rPr>
        <w:t>1.根据甲方生产计划，</w:t>
      </w:r>
      <w:r>
        <w:rPr>
          <w:rFonts w:hint="eastAsia"/>
          <w:lang w:val="en-US" w:eastAsia="zh-CN"/>
        </w:rPr>
        <w:t>乙方</w:t>
      </w:r>
      <w:r>
        <w:rPr>
          <w:rFonts w:hint="eastAsia"/>
          <w:lang w:val="en-US"/>
        </w:rPr>
        <w:t>负责在接到</w:t>
      </w:r>
      <w:r>
        <w:rPr>
          <w:rFonts w:hint="eastAsia"/>
          <w:lang w:val="en-US" w:eastAsia="zh-CN"/>
        </w:rPr>
        <w:t>甲方</w:t>
      </w:r>
      <w:r>
        <w:rPr>
          <w:rFonts w:hint="eastAsia"/>
          <w:lang w:val="en-US"/>
        </w:rPr>
        <w:t>电话或书面通知后在</w:t>
      </w:r>
      <w:r>
        <w:rPr>
          <w:rFonts w:hint="eastAsia"/>
          <w:lang w:val="en-US" w:eastAsia="zh-CN"/>
        </w:rPr>
        <w:t>1</w:t>
      </w:r>
      <w:r>
        <w:rPr>
          <w:rFonts w:hint="eastAsia"/>
          <w:lang w:val="en-US"/>
        </w:rPr>
        <w:t>5个工作日内完成供货。乙方负责卸货，人工费由乙方承担，甲方可免费提供叉车服务。</w:t>
      </w:r>
    </w:p>
    <w:p>
      <w:pPr>
        <w:pStyle w:val="7"/>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w:t>
      </w:r>
      <w:r>
        <w:rPr>
          <w:rFonts w:hint="eastAsia"/>
          <w:lang w:val="en-US" w:eastAsia="zh-CN"/>
        </w:rPr>
        <w:t>，</w:t>
      </w:r>
      <w:r>
        <w:rPr>
          <w:rFonts w:hint="eastAsia"/>
          <w:lang w:val="en-US"/>
        </w:rPr>
        <w:t>24小时内派人员到达现场进行免费指导解决问题。</w:t>
      </w:r>
    </w:p>
    <w:p>
      <w:pPr>
        <w:pStyle w:val="7"/>
        <w:ind w:firstLine="480" w:firstLineChars="200"/>
        <w:rPr>
          <w:lang w:val="en-US"/>
        </w:rPr>
      </w:pPr>
      <w:r>
        <w:rPr>
          <w:rFonts w:hint="eastAsia"/>
          <w:lang w:val="en-US"/>
        </w:rPr>
        <w:t>3.甲方不再对任何售后服务进行付费。乙方的派遣人员产生的一切费用由供应商承担。</w:t>
      </w:r>
    </w:p>
    <w:p>
      <w:pPr>
        <w:pStyle w:val="7"/>
        <w:ind w:firstLine="480" w:firstLineChars="200"/>
        <w:rPr>
          <w:lang w:val="en-US"/>
        </w:rPr>
      </w:pPr>
      <w:r>
        <w:rPr>
          <w:lang w:val="en-US"/>
        </w:rPr>
        <w:t>4</w:t>
      </w:r>
      <w:r>
        <w:rPr>
          <w:rFonts w:hint="eastAsia"/>
          <w:lang w:val="en-US"/>
        </w:rPr>
        <w:t>.在乙方所供的货物使用过程中，经甲方检测不合格的，乙方应在12小时内更换合格货物，如造成甲方机械设备故障或货物损坏，由乙方承担甲方的一切损失，包括直接和间接损失。</w:t>
      </w:r>
    </w:p>
    <w:p>
      <w:pPr>
        <w:spacing w:line="360" w:lineRule="auto"/>
        <w:ind w:firstLine="482" w:firstLineChars="200"/>
        <w:rPr>
          <w:rFonts w:ascii="宋体" w:hAnsi="宋体" w:cs="宋体"/>
          <w:b/>
          <w:sz w:val="24"/>
        </w:rPr>
      </w:pPr>
      <w:r>
        <w:rPr>
          <w:rFonts w:hint="eastAsia" w:ascii="宋体" w:hAnsi="宋体" w:cs="宋体"/>
          <w:b/>
          <w:sz w:val="24"/>
        </w:rPr>
        <w:t>六、检验和验收</w:t>
      </w:r>
      <w:bookmarkEnd w:id="395"/>
      <w:bookmarkEnd w:id="396"/>
      <w:bookmarkEnd w:id="397"/>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rPr>
      </w:pPr>
      <w:r>
        <w:rPr>
          <w:rFonts w:hint="eastAsia" w:ascii="宋体" w:hAnsi="宋体" w:cs="宋体"/>
          <w:sz w:val="24"/>
        </w:rPr>
        <w:t>5.检验和验收标准、程序等具体内容以及前述验收书的效力如下：</w:t>
      </w:r>
    </w:p>
    <w:p>
      <w:pPr>
        <w:tabs>
          <w:tab w:val="left" w:pos="360"/>
          <w:tab w:val="left" w:pos="540"/>
          <w:tab w:val="left" w:pos="1080"/>
        </w:tabs>
        <w:spacing w:line="360" w:lineRule="auto"/>
        <w:ind w:firstLine="480" w:firstLineChars="200"/>
        <w:rPr>
          <w:rFonts w:ascii="宋体" w:hAnsi="宋体"/>
          <w:b/>
          <w:sz w:val="24"/>
        </w:rPr>
      </w:pPr>
      <w:r>
        <w:rPr>
          <w:rFonts w:hint="eastAsia" w:ascii="宋体" w:hAnsi="宋体"/>
          <w:sz w:val="24"/>
          <w:u w:val="single"/>
        </w:rPr>
        <w:t>有合法资质第三方机构验收单或者验收报告效力&gt;甲方的验收单或者验收报告&gt;合格证或出厂检测报告。</w:t>
      </w:r>
      <w:r>
        <w:rPr>
          <w:rFonts w:hint="eastAsia" w:ascii="宋体" w:hAnsi="宋体"/>
          <w:b/>
          <w:sz w:val="24"/>
        </w:rPr>
        <w:t xml:space="preserve"> </w:t>
      </w:r>
    </w:p>
    <w:p>
      <w:pPr>
        <w:spacing w:line="360" w:lineRule="auto"/>
        <w:ind w:firstLine="482" w:firstLineChars="200"/>
        <w:rPr>
          <w:rFonts w:ascii="宋体" w:hAnsi="宋体" w:cs="宋体"/>
          <w:b/>
          <w:sz w:val="24"/>
        </w:rPr>
      </w:pPr>
      <w:r>
        <w:rPr>
          <w:rFonts w:hint="eastAsia" w:ascii="宋体" w:hAnsi="宋体" w:cs="宋体"/>
          <w:b/>
          <w:sz w:val="24"/>
        </w:rPr>
        <w:t>七、验收特别约定条款</w:t>
      </w:r>
    </w:p>
    <w:p>
      <w:pPr>
        <w:spacing w:line="360" w:lineRule="auto"/>
        <w:ind w:firstLine="482" w:firstLineChars="200"/>
        <w:rPr>
          <w:rFonts w:hint="eastAsia" w:ascii="宋体" w:hAnsi="宋体" w:cs="宋体"/>
          <w:b/>
          <w:sz w:val="24"/>
          <w:lang w:val="en-US" w:eastAsia="zh-CN"/>
        </w:rPr>
      </w:pPr>
      <w:r>
        <w:rPr>
          <w:rFonts w:hint="eastAsia" w:ascii="宋体" w:hAnsi="宋体" w:cs="宋体"/>
          <w:b/>
          <w:sz w:val="24"/>
          <w:lang w:val="en-US" w:eastAsia="zh-CN"/>
        </w:rPr>
        <w:t>无。</w:t>
      </w:r>
    </w:p>
    <w:p>
      <w:pPr>
        <w:spacing w:line="360" w:lineRule="auto"/>
        <w:ind w:firstLine="482" w:firstLineChars="200"/>
        <w:rPr>
          <w:rFonts w:ascii="宋体" w:hAnsi="宋体" w:cs="宋体"/>
          <w:b/>
          <w:sz w:val="24"/>
        </w:rPr>
      </w:pPr>
      <w:r>
        <w:rPr>
          <w:rFonts w:hint="eastAsia" w:ascii="宋体" w:hAnsi="宋体" w:cs="宋体"/>
          <w:b/>
          <w:sz w:val="24"/>
        </w:rPr>
        <w:t>八、履约保证金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pStyle w:val="7"/>
        <w:ind w:firstLine="480" w:firstLineChars="200"/>
        <w:rPr>
          <w:lang w:val="en-US"/>
        </w:rPr>
      </w:pPr>
      <w:r>
        <w:rPr>
          <w:rFonts w:hint="eastAsia"/>
          <w:lang w:val="en-US"/>
        </w:rPr>
        <w:t>1.履约保证金的比例为合同金额的</w:t>
      </w:r>
      <w:r>
        <w:rPr>
          <w:rFonts w:hint="eastAsia"/>
          <w:u w:val="single"/>
          <w:lang w:val="en-US"/>
        </w:rPr>
        <w:t xml:space="preserve">  5   </w:t>
      </w:r>
      <w:r>
        <w:rPr>
          <w:rFonts w:hint="eastAsia"/>
          <w:lang w:val="en-US"/>
        </w:rPr>
        <w:t>%，金额为</w:t>
      </w:r>
      <w:r>
        <w:rPr>
          <w:rFonts w:hint="eastAsia"/>
          <w:u w:val="single"/>
          <w:lang w:val="en-US"/>
        </w:rPr>
        <w:t xml:space="preserve">  </w:t>
      </w:r>
      <w:r>
        <w:rPr>
          <w:rFonts w:hint="eastAsia"/>
          <w:u w:val="single"/>
          <w:lang w:val="en-US" w:eastAsia="zh-CN"/>
        </w:rPr>
        <w:t xml:space="preserve">    </w:t>
      </w:r>
      <w:r>
        <w:rPr>
          <w:rFonts w:hint="eastAsia"/>
          <w:u w:val="single"/>
          <w:lang w:val="en-US"/>
        </w:rPr>
        <w:t xml:space="preserve">  </w:t>
      </w:r>
      <w:r>
        <w:rPr>
          <w:rFonts w:hint="eastAsia"/>
          <w:lang w:val="en-US"/>
        </w:rPr>
        <w:t>元；</w:t>
      </w:r>
    </w:p>
    <w:p>
      <w:pPr>
        <w:pStyle w:val="7"/>
        <w:ind w:firstLine="480" w:firstLineChars="200"/>
        <w:rPr>
          <w:lang w:val="en-US"/>
        </w:rPr>
      </w:pPr>
      <w:r>
        <w:rPr>
          <w:rFonts w:hint="eastAsia"/>
          <w:lang w:val="en-US"/>
        </w:rPr>
        <w:t>2.履约保证金支付时间：乙方应于本合同签订前按招标文件和本合同约定的支付履约保证金；</w:t>
      </w:r>
    </w:p>
    <w:p>
      <w:pPr>
        <w:pStyle w:val="7"/>
        <w:ind w:firstLine="480" w:firstLineChars="200"/>
        <w:rPr>
          <w:lang w:val="en-US"/>
        </w:rPr>
      </w:pPr>
      <w:r>
        <w:rPr>
          <w:lang w:val="en-US"/>
        </w:rPr>
        <w:t>3.</w:t>
      </w:r>
      <w:r>
        <w:rPr>
          <w:rFonts w:hint="eastAsia"/>
          <w:lang w:val="en-US"/>
        </w:rPr>
        <w:t>履约保证金支付方式： 电汇/转账 ；账户信息如下：</w:t>
      </w:r>
    </w:p>
    <w:p>
      <w:pPr>
        <w:pStyle w:val="7"/>
        <w:ind w:firstLine="480" w:firstLineChars="200"/>
        <w:rPr>
          <w:lang w:val="en-US"/>
        </w:rPr>
      </w:pPr>
      <w:r>
        <w:rPr>
          <w:rFonts w:hint="eastAsia"/>
          <w:lang w:val="en-US"/>
        </w:rPr>
        <w:t xml:space="preserve">名称：杭州临江环境能源有限公司   </w:t>
      </w:r>
    </w:p>
    <w:p>
      <w:pPr>
        <w:pStyle w:val="7"/>
        <w:ind w:firstLine="480" w:firstLineChars="200"/>
        <w:rPr>
          <w:lang w:val="en-US"/>
        </w:rPr>
      </w:pPr>
      <w:r>
        <w:rPr>
          <w:rFonts w:hint="eastAsia"/>
          <w:lang w:val="en-US"/>
        </w:rPr>
        <w:t>税号：91330100MA2B02NX2L</w:t>
      </w:r>
    </w:p>
    <w:p>
      <w:pPr>
        <w:pStyle w:val="7"/>
        <w:ind w:firstLine="480" w:firstLineChars="200"/>
        <w:rPr>
          <w:lang w:val="en-US"/>
        </w:rPr>
      </w:pPr>
      <w:r>
        <w:rPr>
          <w:rFonts w:hint="eastAsia"/>
          <w:lang w:val="en-US"/>
        </w:rPr>
        <w:t>地址电话：浙江省杭州市钱塘区临江街道红十五路10388-123号 0571-81997919</w:t>
      </w:r>
    </w:p>
    <w:p>
      <w:pPr>
        <w:pStyle w:val="7"/>
        <w:ind w:firstLine="480" w:firstLineChars="200"/>
        <w:rPr>
          <w:lang w:val="en-US"/>
        </w:rPr>
      </w:pPr>
      <w:r>
        <w:rPr>
          <w:rFonts w:hint="eastAsia"/>
          <w:lang w:val="en-US"/>
        </w:rPr>
        <w:t>开户行及账号：杭州银行大江东支行 3301040160008775754</w:t>
      </w:r>
    </w:p>
    <w:p>
      <w:pPr>
        <w:pStyle w:val="7"/>
        <w:ind w:firstLine="480" w:firstLineChars="200"/>
        <w:rPr>
          <w:lang w:val="en-US"/>
        </w:rPr>
      </w:pPr>
      <w:r>
        <w:rPr>
          <w:lang w:val="en-US"/>
        </w:rPr>
        <w:t>4</w:t>
      </w:r>
      <w:r>
        <w:rPr>
          <w:rFonts w:hint="eastAsia"/>
          <w:lang w:val="en-US"/>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pStyle w:val="7"/>
        <w:ind w:firstLine="480" w:firstLineChars="200"/>
        <w:rPr>
          <w:lang w:val="en-US"/>
        </w:rPr>
      </w:pPr>
      <w:r>
        <w:rPr>
          <w:lang w:val="en-US"/>
        </w:rPr>
        <w:t>5</w:t>
      </w:r>
      <w:r>
        <w:rPr>
          <w:rFonts w:hint="eastAsia"/>
          <w:lang w:val="en-US"/>
        </w:rPr>
        <w:t>.甲方在项目验收结束后及时退还履约保证金。甲方在项目通过验收之日起   30 个工作日内将履约保证金无息退还乙方。</w:t>
      </w:r>
    </w:p>
    <w:p>
      <w:pPr>
        <w:pStyle w:val="7"/>
        <w:ind w:firstLine="480" w:firstLineChars="200"/>
        <w:rPr>
          <w:lang w:val="en-US"/>
        </w:rPr>
      </w:pPr>
      <w:r>
        <w:rPr>
          <w:lang w:val="en-US"/>
        </w:rPr>
        <w:t>6</w:t>
      </w:r>
      <w:r>
        <w:rPr>
          <w:rFonts w:hint="eastAsia"/>
          <w:lang w:val="en-US"/>
        </w:rPr>
        <w:t>.乙方提前完成合同约定内容且无任何遗留问题，双方可提前终止合同（按第二章合同一般条款中的合同中止、终止条款执行），甲方应在终止合同之后提前退还乙方履约保证金。</w:t>
      </w:r>
    </w:p>
    <w:bookmarkEnd w:id="392"/>
    <w:bookmarkEnd w:id="393"/>
    <w:bookmarkEnd w:id="394"/>
    <w:p>
      <w:pPr>
        <w:spacing w:line="360" w:lineRule="auto"/>
        <w:ind w:firstLine="482" w:firstLineChars="200"/>
        <w:rPr>
          <w:rFonts w:ascii="宋体" w:hAnsi="宋体" w:cs="宋体"/>
          <w:b/>
          <w:sz w:val="24"/>
        </w:rPr>
      </w:pPr>
      <w:r>
        <w:rPr>
          <w:rFonts w:hint="eastAsia" w:ascii="宋体" w:hAnsi="宋体" w:cs="宋体"/>
          <w:b/>
          <w:sz w:val="24"/>
        </w:rPr>
        <w:t>九、预付款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spacing w:line="360" w:lineRule="auto"/>
        <w:ind w:firstLine="482" w:firstLineChars="200"/>
        <w:rPr>
          <w:rFonts w:ascii="宋体" w:hAnsi="宋体" w:cs="宋体"/>
          <w:b/>
          <w:sz w:val="24"/>
        </w:rPr>
      </w:pPr>
      <w:r>
        <w:rPr>
          <w:rFonts w:hint="eastAsia" w:ascii="宋体" w:hAnsi="宋体" w:cs="宋体"/>
          <w:b/>
          <w:sz w:val="24"/>
        </w:rPr>
        <w:t>十、资金支付</w:t>
      </w:r>
    </w:p>
    <w:p>
      <w:pPr>
        <w:pStyle w:val="24"/>
        <w:spacing w:before="0" w:beforeAutospacing="0" w:after="0" w:afterAutospacing="0" w:line="360" w:lineRule="auto"/>
        <w:ind w:firstLine="480"/>
      </w:pPr>
      <w:bookmarkStart w:id="398" w:name="_Toc19304"/>
      <w:bookmarkStart w:id="399" w:name="_Toc32071"/>
      <w:bookmarkStart w:id="400" w:name="_Toc2846"/>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  </w:t>
      </w:r>
      <w:r>
        <w:rPr>
          <w:rFonts w:hint="eastAsia"/>
        </w:rPr>
        <w:t>%；</w:t>
      </w:r>
    </w:p>
    <w:p>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u w:val="single"/>
        </w:rPr>
        <w:t>1</w:t>
      </w:r>
      <w:r>
        <w:rPr>
          <w:rFonts w:hint="eastAsia"/>
          <w:u w:val="single"/>
        </w:rPr>
        <w:t xml:space="preserve">）   </w:t>
      </w:r>
      <w:r>
        <w:rPr>
          <w:rFonts w:hint="eastAsia"/>
        </w:rPr>
        <w:t>条款规定：</w:t>
      </w:r>
    </w:p>
    <w:p>
      <w:pPr>
        <w:pStyle w:val="24"/>
        <w:spacing w:before="0" w:beforeAutospacing="0" w:after="0" w:afterAutospacing="0" w:line="360" w:lineRule="auto"/>
        <w:ind w:firstLine="480"/>
        <w:rPr>
          <w:rFonts w:hint="default" w:eastAsiaTheme="minorEastAsia"/>
          <w:color w:val="auto"/>
          <w:u w:val="single"/>
          <w:lang w:val="en-US" w:eastAsia="zh-CN"/>
        </w:rPr>
      </w:pPr>
      <w:r>
        <w:rPr>
          <w:rFonts w:hint="eastAsia"/>
          <w:u w:val="single"/>
        </w:rPr>
        <w:t>（1） 按月支</w:t>
      </w:r>
      <w:r>
        <w:rPr>
          <w:rFonts w:hint="eastAsia"/>
          <w:color w:val="auto"/>
          <w:u w:val="single"/>
        </w:rPr>
        <w:t>付，本月</w:t>
      </w:r>
      <w:r>
        <w:rPr>
          <w:rFonts w:hint="eastAsia"/>
          <w:color w:val="auto"/>
          <w:u w:val="single"/>
          <w:lang w:val="en-US" w:eastAsia="zh-CN"/>
        </w:rPr>
        <w:t>验收合格的</w:t>
      </w:r>
      <w:r>
        <w:rPr>
          <w:rFonts w:hint="eastAsia"/>
          <w:color w:val="auto"/>
          <w:u w:val="single"/>
        </w:rPr>
        <w:t>货款次月结算，甲方收到乙方提供的增值税专用发票后，甲方在本合同约定时间内完成支付 ；</w:t>
      </w:r>
      <w:r>
        <w:rPr>
          <w:rFonts w:hint="eastAsia"/>
          <w:color w:val="auto"/>
          <w:u w:val="single"/>
          <w:lang w:val="en-US" w:eastAsia="zh-CN"/>
        </w:rPr>
        <w:t>未验收合格的，货款不予支付，乙方按本合同约定承担违约责任；</w:t>
      </w:r>
    </w:p>
    <w:p>
      <w:pPr>
        <w:pStyle w:val="24"/>
        <w:spacing w:before="0" w:beforeAutospacing="0" w:after="0" w:afterAutospacing="0" w:line="360" w:lineRule="auto"/>
        <w:ind w:firstLine="480"/>
      </w:pPr>
      <w:r>
        <w:rPr>
          <w:rFonts w:hint="eastAsia"/>
        </w:rPr>
        <w:t>（2）按季度支付，本季度货款次季度结算，甲方收到乙方提供的增值税专用发票后，甲方在本合同约定时间内完成支付 ；</w:t>
      </w:r>
    </w:p>
    <w:p>
      <w:pPr>
        <w:pStyle w:val="24"/>
        <w:spacing w:before="0" w:beforeAutospacing="0" w:after="0" w:afterAutospacing="0" w:line="360" w:lineRule="auto"/>
        <w:ind w:firstLine="480"/>
      </w:pPr>
      <w:r>
        <w:rPr>
          <w:rFonts w:hint="eastAsia"/>
        </w:rPr>
        <w:t xml:space="preserve">（3）一次性付款，经甲方验收合格后，甲方收到乙方提供的增值税专用发票后，甲方在本合同约定时间内完成支付。  </w:t>
      </w:r>
    </w:p>
    <w:p>
      <w:pPr>
        <w:pStyle w:val="24"/>
        <w:spacing w:before="0" w:beforeAutospacing="0" w:after="0" w:afterAutospacing="0" w:line="360" w:lineRule="auto"/>
        <w:ind w:firstLine="480" w:firstLineChars="200"/>
        <w:rPr>
          <w:b/>
          <w:kern w:val="2"/>
        </w:rPr>
      </w:pPr>
      <w:r>
        <w:rPr>
          <w:rFonts w:hint="eastAsia"/>
        </w:rPr>
        <w:t>（4）其他付款方式：</w:t>
      </w:r>
      <w:r>
        <w:rPr>
          <w:rFonts w:hint="eastAsia"/>
          <w:b/>
          <w:kern w:val="2"/>
          <w:u w:val="single"/>
        </w:rPr>
        <w:t xml:space="preserve">      </w:t>
      </w:r>
      <w:r>
        <w:rPr>
          <w:rFonts w:hint="eastAsia"/>
          <w:b/>
          <w:kern w:val="2"/>
          <w:u w:val="single"/>
          <w:lang w:val="en-US" w:eastAsia="zh-CN"/>
        </w:rPr>
        <w:t>/</w:t>
      </w:r>
      <w:r>
        <w:rPr>
          <w:rFonts w:hint="eastAsia"/>
          <w:b/>
          <w:kern w:val="2"/>
          <w:u w:val="single"/>
        </w:rPr>
        <w:t xml:space="preserve">   </w:t>
      </w:r>
      <w:r>
        <w:rPr>
          <w:rFonts w:hint="eastAsia"/>
          <w:b/>
          <w:kern w:val="2"/>
        </w:rPr>
        <w:t xml:space="preserve"> 。         </w:t>
      </w:r>
    </w:p>
    <w:bookmarkEnd w:id="398"/>
    <w:bookmarkEnd w:id="399"/>
    <w:bookmarkEnd w:id="400"/>
    <w:p>
      <w:pPr>
        <w:spacing w:line="360" w:lineRule="auto"/>
        <w:ind w:firstLine="482" w:firstLineChars="200"/>
        <w:rPr>
          <w:rFonts w:ascii="宋体" w:hAnsi="宋体" w:cs="宋体"/>
          <w:b/>
          <w:sz w:val="24"/>
        </w:rPr>
      </w:pPr>
      <w:bookmarkStart w:id="401" w:name="_Toc21423"/>
      <w:bookmarkStart w:id="402" w:name="_Toc19554"/>
      <w:bookmarkStart w:id="403" w:name="_Toc27250"/>
      <w:r>
        <w:rPr>
          <w:rFonts w:hint="eastAsia" w:ascii="宋体" w:hAnsi="宋体" w:cs="宋体"/>
          <w:b/>
          <w:sz w:val="24"/>
        </w:rPr>
        <w:t>十一、违约责任</w:t>
      </w:r>
      <w:bookmarkEnd w:id="401"/>
      <w:bookmarkEnd w:id="402"/>
      <w:bookmarkEnd w:id="403"/>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%计算，迟延交付货物</w:t>
      </w:r>
      <w:r>
        <w:rPr>
          <w:rFonts w:ascii="宋体" w:hAnsi="宋体" w:cs="宋体"/>
          <w:sz w:val="24"/>
        </w:rPr>
        <w:t>30</w:t>
      </w:r>
      <w:r>
        <w:rPr>
          <w:rFonts w:hint="eastAsia" w:ascii="宋体" w:hAnsi="宋体" w:cs="宋体"/>
          <w:sz w:val="24"/>
        </w:rPr>
        <w:t>天的，甲方有权单方解除本合同，并要求乙方一次性承担（</w:t>
      </w:r>
      <w:r>
        <w:rPr>
          <w:rFonts w:ascii="宋体" w:hAnsi="宋体" w:cs="宋体"/>
          <w:sz w:val="24"/>
        </w:rPr>
        <w:sym w:font="Wingdings" w:char="00A8"/>
      </w:r>
      <w:r>
        <w:rPr>
          <w:rFonts w:hint="eastAsia" w:ascii="宋体" w:hAnsi="宋体" w:cs="宋体"/>
          <w:sz w:val="24"/>
        </w:rPr>
        <w:t>本合同累计已发生金额/</w:t>
      </w:r>
      <w:r>
        <w:rPr>
          <w:rFonts w:ascii="宋体" w:hAnsi="宋体" w:cs="宋体"/>
          <w:sz w:val="24"/>
        </w:rPr>
        <w:sym w:font="Wingdings" w:char="00FE"/>
      </w:r>
      <w:r>
        <w:rPr>
          <w:rFonts w:hint="eastAsia" w:ascii="宋体" w:hAnsi="宋体" w:cs="宋体"/>
          <w:sz w:val="24"/>
        </w:rPr>
        <w:t>合同约定总金额）30%的违约；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%计算，迟延付款</w:t>
      </w:r>
      <w:r>
        <w:rPr>
          <w:rFonts w:ascii="宋体" w:hAnsi="宋体" w:cs="宋体"/>
          <w:sz w:val="24"/>
        </w:rPr>
        <w:t>30</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rPr>
      </w:pPr>
      <w:r>
        <w:rPr>
          <w:rFonts w:hint="eastAsia" w:ascii="宋体" w:hAnsi="宋体" w:cs="宋体"/>
          <w:sz w:val="24"/>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rPr>
      </w:pPr>
      <w:r>
        <w:rPr>
          <w:rFonts w:hint="eastAsia" w:ascii="宋体" w:hAnsi="宋体" w:cs="宋体"/>
          <w:sz w:val="24"/>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rPr>
      </w:pPr>
      <w:r>
        <w:rPr>
          <w:rFonts w:hint="eastAsia" w:ascii="宋体" w:hAnsi="宋体" w:cs="宋体"/>
          <w:sz w:val="24"/>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rPr>
        <w:t>（4）若质保期内出现质量问题，甲方有权从质保金中扣除违约金，同时乙方应免费维修或更换。</w:t>
      </w:r>
    </w:p>
    <w:p>
      <w:pPr>
        <w:spacing w:line="360" w:lineRule="auto"/>
        <w:ind w:firstLine="482" w:firstLineChars="200"/>
        <w:rPr>
          <w:rFonts w:ascii="宋体" w:hAnsi="宋体" w:cs="宋体"/>
          <w:b/>
          <w:sz w:val="24"/>
        </w:rPr>
      </w:pPr>
      <w:bookmarkStart w:id="404" w:name="_Toc15583"/>
      <w:bookmarkStart w:id="405" w:name="_Toc28375"/>
      <w:bookmarkStart w:id="406" w:name="_Toc16021"/>
      <w:r>
        <w:rPr>
          <w:rFonts w:hint="eastAsia" w:ascii="宋体" w:hAnsi="宋体" w:cs="宋体"/>
          <w:b/>
          <w:sz w:val="24"/>
        </w:rPr>
        <w:t>十二、合同争议的解决</w:t>
      </w:r>
      <w:bookmarkEnd w:id="404"/>
      <w:bookmarkEnd w:id="405"/>
      <w:bookmarkEnd w:id="406"/>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7" w:name="_Toc7245"/>
      <w:bookmarkStart w:id="408" w:name="_Toc11173"/>
      <w:bookmarkStart w:id="409" w:name="_Toc15322"/>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7"/>
    <w:bookmarkEnd w:id="408"/>
    <w:bookmarkEnd w:id="409"/>
    <w:p>
      <w:pPr>
        <w:spacing w:line="360" w:lineRule="auto"/>
        <w:ind w:firstLine="482" w:firstLineChars="200"/>
        <w:rPr>
          <w:rFonts w:ascii="宋体" w:hAnsi="宋体" w:cs="宋体"/>
          <w:b/>
          <w:sz w:val="24"/>
        </w:rPr>
      </w:pPr>
      <w:r>
        <w:rPr>
          <w:rFonts w:hint="eastAsia" w:ascii="宋体" w:hAnsi="宋体" w:cs="宋体"/>
          <w:b/>
          <w:sz w:val="24"/>
        </w:rPr>
        <w:t>十三、合同生效</w:t>
      </w:r>
    </w:p>
    <w:p>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pPr>
        <w:rPr>
          <w:rFonts w:hint="eastAsia" w:ascii="宋体" w:hAnsi="宋体" w:cs="宋体"/>
          <w:b/>
          <w:szCs w:val="24"/>
        </w:rPr>
      </w:pPr>
      <w:r>
        <w:rPr>
          <w:rFonts w:hint="eastAsia" w:ascii="宋体" w:hAnsi="宋体" w:cs="宋体"/>
          <w:b/>
          <w:szCs w:val="24"/>
        </w:rPr>
        <w:br w:type="page"/>
      </w:r>
    </w:p>
    <w:p>
      <w:pPr>
        <w:pStyle w:val="23"/>
        <w:ind w:left="0" w:leftChars="0" w:firstLine="0" w:firstLineChars="0"/>
        <w:jc w:val="center"/>
        <w:outlineLvl w:val="0"/>
        <w:rPr>
          <w:rFonts w:ascii="宋体" w:hAnsi="宋体" w:cs="宋体"/>
          <w:b/>
          <w:szCs w:val="24"/>
        </w:rPr>
      </w:pPr>
      <w:bookmarkStart w:id="410" w:name="_Toc17221"/>
      <w:r>
        <w:rPr>
          <w:rFonts w:hint="eastAsia" w:ascii="宋体" w:hAnsi="宋体" w:cs="宋体"/>
          <w:b/>
          <w:szCs w:val="24"/>
        </w:rPr>
        <w:t>第二章 合同一般条款</w:t>
      </w:r>
      <w:bookmarkEnd w:id="410"/>
    </w:p>
    <w:p>
      <w:pPr>
        <w:spacing w:line="360" w:lineRule="auto"/>
        <w:ind w:firstLine="482" w:firstLineChars="200"/>
        <w:rPr>
          <w:rFonts w:ascii="宋体" w:hAnsi="宋体" w:cs="宋体"/>
          <w:b/>
          <w:sz w:val="24"/>
        </w:rPr>
      </w:pPr>
      <w:bookmarkStart w:id="411" w:name="_Ref467379205"/>
      <w:bookmarkStart w:id="412" w:name="_Ref467379214"/>
      <w:bookmarkStart w:id="413" w:name="_Toc487900349"/>
      <w:bookmarkStart w:id="414" w:name="_Ref467378499"/>
      <w:bookmarkStart w:id="415" w:name="_Toc28763"/>
      <w:bookmarkStart w:id="416" w:name="_Toc19614"/>
      <w:bookmarkStart w:id="417" w:name="_Ref467378404"/>
      <w:bookmarkStart w:id="418" w:name="_Toc259093669"/>
      <w:bookmarkStart w:id="419" w:name="_Toc16917"/>
      <w:bookmarkStart w:id="420" w:name="_Ref467379094"/>
      <w:bookmarkStart w:id="421" w:name="_Ref467379195"/>
      <w:bookmarkStart w:id="422" w:name="_Ref467379225"/>
      <w:bookmarkStart w:id="423" w:name="_Ref467378463"/>
      <w:bookmarkStart w:id="424" w:name="_Ref467379101"/>
      <w:bookmarkStart w:id="425" w:name="_Toc279701240"/>
      <w:bookmarkStart w:id="426" w:name="_Ref467379109"/>
      <w:r>
        <w:rPr>
          <w:rFonts w:hint="eastAsia" w:ascii="宋体" w:hAnsi="宋体" w:cs="宋体"/>
          <w:b/>
          <w:sz w:val="24"/>
        </w:rPr>
        <w:t>一、 定义</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7" w:name="_Ref467378840"/>
      <w:r>
        <w:rPr>
          <w:rFonts w:hint="eastAsia" w:ascii="宋体" w:hAnsi="宋体" w:cs="宋体"/>
          <w:sz w:val="24"/>
        </w:rPr>
        <w:t>4.“甲方”系指与中标或成交供应商签署合同的采购人</w:t>
      </w:r>
      <w:bookmarkEnd w:id="427"/>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8" w:name="_Ref467379400"/>
      <w:r>
        <w:rPr>
          <w:rFonts w:hint="eastAsia" w:ascii="宋体" w:hAnsi="宋体" w:cs="宋体"/>
          <w:sz w:val="24"/>
        </w:rPr>
        <w:t>5.“乙方”系指根据合同约定交付货物的中标或成交供应商</w:t>
      </w:r>
      <w:bookmarkEnd w:id="428"/>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9" w:name="_Ref467379436"/>
      <w:r>
        <w:rPr>
          <w:rFonts w:hint="eastAsia" w:ascii="宋体" w:hAnsi="宋体" w:cs="宋体"/>
          <w:sz w:val="24"/>
        </w:rPr>
        <w:t>6.“现场”系指合同约定货物将要运至或者安装的地点。</w:t>
      </w:r>
      <w:bookmarkEnd w:id="429"/>
    </w:p>
    <w:p>
      <w:pPr>
        <w:spacing w:line="360" w:lineRule="auto"/>
        <w:ind w:firstLine="482" w:firstLineChars="200"/>
        <w:rPr>
          <w:rFonts w:ascii="宋体" w:hAnsi="宋体" w:cs="宋体"/>
          <w:b/>
          <w:sz w:val="24"/>
        </w:rPr>
      </w:pPr>
      <w:bookmarkStart w:id="430" w:name="_Toc32504"/>
      <w:bookmarkStart w:id="431" w:name="_Toc27635"/>
      <w:bookmarkStart w:id="432" w:name="_Toc13336"/>
      <w:bookmarkStart w:id="433" w:name="_Toc487900350"/>
      <w:bookmarkStart w:id="434" w:name="_Toc279701241"/>
      <w:bookmarkStart w:id="435" w:name="_Toc259093670"/>
      <w:r>
        <w:rPr>
          <w:rFonts w:hint="eastAsia" w:ascii="宋体" w:hAnsi="宋体" w:cs="宋体"/>
          <w:b/>
          <w:sz w:val="24"/>
        </w:rPr>
        <w:t>二、技术规范</w:t>
      </w:r>
      <w:bookmarkEnd w:id="430"/>
      <w:bookmarkEnd w:id="431"/>
      <w:bookmarkEnd w:id="432"/>
      <w:bookmarkEnd w:id="433"/>
      <w:bookmarkEnd w:id="434"/>
      <w:bookmarkEnd w:id="435"/>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rPr>
          <w:rFonts w:ascii="宋体" w:hAnsi="宋体" w:cs="宋体"/>
          <w:b/>
          <w:sz w:val="24"/>
        </w:rPr>
      </w:pPr>
      <w:bookmarkStart w:id="436" w:name="_Toc279701242"/>
      <w:bookmarkStart w:id="437" w:name="_Toc259093671"/>
      <w:bookmarkStart w:id="438" w:name="_Toc27853"/>
      <w:bookmarkStart w:id="439" w:name="_Toc9829"/>
      <w:bookmarkStart w:id="440" w:name="_Toc31634"/>
      <w:bookmarkStart w:id="441" w:name="_Toc487900351"/>
      <w:r>
        <w:rPr>
          <w:rFonts w:hint="eastAsia" w:ascii="宋体" w:hAnsi="宋体" w:cs="宋体"/>
          <w:b/>
          <w:sz w:val="24"/>
        </w:rPr>
        <w:t>三、知识产权</w:t>
      </w:r>
      <w:bookmarkEnd w:id="436"/>
      <w:bookmarkEnd w:id="437"/>
      <w:bookmarkEnd w:id="438"/>
      <w:bookmarkEnd w:id="439"/>
      <w:bookmarkEnd w:id="440"/>
      <w:bookmarkEnd w:id="441"/>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rPr>
          <w:rFonts w:ascii="宋体" w:hAnsi="宋体" w:eastAsia="宋体" w:cs="宋体"/>
          <w:b/>
          <w:sz w:val="24"/>
        </w:rPr>
      </w:pPr>
      <w:bookmarkStart w:id="442" w:name="_Toc11932"/>
      <w:bookmarkStart w:id="443" w:name="_Toc4194"/>
      <w:bookmarkStart w:id="444" w:name="_Toc29149"/>
      <w:r>
        <w:rPr>
          <w:rFonts w:hint="eastAsia" w:ascii="宋体" w:hAnsi="宋体" w:cs="宋体"/>
          <w:b/>
          <w:sz w:val="24"/>
        </w:rPr>
        <w:t>四、装运包装</w:t>
      </w:r>
      <w:bookmarkEnd w:id="442"/>
      <w:bookmarkEnd w:id="443"/>
      <w:bookmarkEnd w:id="444"/>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（1）乙方送货每批物资必须要附甲方采购订单、送货单、合格证或者检测报告，否则甲方有权拒收；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rPr>
          <w:rFonts w:ascii="宋体" w:hAnsi="宋体" w:cs="宋体"/>
          <w:b/>
          <w:sz w:val="24"/>
        </w:rPr>
      </w:pPr>
      <w:bookmarkStart w:id="445" w:name="_Toc30272"/>
      <w:bookmarkStart w:id="446" w:name="_Toc26182"/>
      <w:bookmarkStart w:id="447" w:name="_Toc19074"/>
      <w:r>
        <w:rPr>
          <w:rFonts w:hint="eastAsia" w:ascii="宋体" w:hAnsi="宋体" w:cs="宋体"/>
          <w:b/>
          <w:sz w:val="24"/>
        </w:rPr>
        <w:t>五、 履约检查和问题反馈</w:t>
      </w:r>
      <w:bookmarkEnd w:id="445"/>
      <w:bookmarkEnd w:id="446"/>
      <w:bookmarkEnd w:id="447"/>
    </w:p>
    <w:p>
      <w:pPr>
        <w:spacing w:line="360" w:lineRule="auto"/>
        <w:ind w:firstLine="480" w:firstLineChars="200"/>
        <w:rPr>
          <w:rFonts w:ascii="宋体" w:hAnsi="宋体" w:cs="宋体"/>
          <w:sz w:val="24"/>
        </w:rPr>
      </w:pPr>
      <w:bookmarkStart w:id="448" w:name="_Toc186431854"/>
      <w:bookmarkStart w:id="449" w:name="_Toc279701247"/>
      <w:bookmarkStart w:id="450" w:name="_Toc487900357"/>
      <w:bookmarkStart w:id="451" w:name="_Ref467379807"/>
      <w:bookmarkStart w:id="452" w:name="_Toc259093676"/>
      <w:bookmarkStart w:id="453" w:name="_Ref467379793"/>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8"/>
      <w:bookmarkStart w:id="454" w:name="_Toc186431855"/>
      <w:r>
        <w:rPr>
          <w:rFonts w:hint="eastAsia" w:ascii="宋体" w:hAnsi="宋体" w:cs="宋体"/>
          <w:sz w:val="24"/>
        </w:rPr>
        <w:t>。</w:t>
      </w:r>
    </w:p>
    <w:bookmarkEnd w:id="449"/>
    <w:bookmarkEnd w:id="450"/>
    <w:bookmarkEnd w:id="451"/>
    <w:bookmarkEnd w:id="452"/>
    <w:bookmarkEnd w:id="453"/>
    <w:bookmarkEnd w:id="454"/>
    <w:p>
      <w:pPr>
        <w:spacing w:line="360" w:lineRule="auto"/>
        <w:ind w:firstLine="482" w:firstLineChars="200"/>
        <w:rPr>
          <w:rFonts w:ascii="宋体" w:hAnsi="宋体" w:cs="宋体"/>
          <w:b/>
          <w:sz w:val="24"/>
        </w:rPr>
      </w:pPr>
      <w:bookmarkStart w:id="455" w:name="_Toc487900358"/>
      <w:bookmarkStart w:id="456" w:name="_Toc259093677"/>
      <w:bookmarkStart w:id="457" w:name="_Ref467379863"/>
      <w:bookmarkStart w:id="458" w:name="_Ref467379852"/>
      <w:bookmarkStart w:id="459" w:name="_Toc279701248"/>
      <w:bookmarkStart w:id="460" w:name="_Ref467379923"/>
      <w:bookmarkStart w:id="461" w:name="_Toc774"/>
      <w:bookmarkStart w:id="462" w:name="_Toc3225"/>
      <w:bookmarkStart w:id="463" w:name="_Toc16110"/>
      <w:r>
        <w:rPr>
          <w:rFonts w:hint="eastAsia" w:ascii="宋体" w:hAnsi="宋体" w:cs="宋体"/>
          <w:b/>
          <w:sz w:val="24"/>
        </w:rPr>
        <w:t>六、技术资料</w:t>
      </w:r>
      <w:bookmarkEnd w:id="455"/>
      <w:bookmarkEnd w:id="456"/>
      <w:bookmarkEnd w:id="457"/>
      <w:bookmarkEnd w:id="458"/>
      <w:bookmarkEnd w:id="459"/>
      <w:bookmarkEnd w:id="460"/>
      <w:r>
        <w:rPr>
          <w:rFonts w:hint="eastAsia" w:ascii="宋体" w:hAnsi="宋体" w:cs="宋体"/>
          <w:b/>
          <w:sz w:val="24"/>
        </w:rPr>
        <w:t>和保密义务</w:t>
      </w:r>
      <w:bookmarkEnd w:id="461"/>
      <w:bookmarkEnd w:id="462"/>
      <w:bookmarkEnd w:id="463"/>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rPr>
          <w:rFonts w:ascii="宋体" w:hAnsi="宋体" w:cs="宋体"/>
          <w:b/>
          <w:sz w:val="24"/>
        </w:rPr>
      </w:pPr>
      <w:bookmarkStart w:id="464" w:name="_Toc7860"/>
      <w:r>
        <w:rPr>
          <w:rFonts w:hint="eastAsia" w:ascii="宋体" w:hAnsi="宋体" w:cs="宋体"/>
          <w:b/>
          <w:sz w:val="24"/>
        </w:rPr>
        <w:t>七、质量保证</w:t>
      </w:r>
      <w:bookmarkEnd w:id="464"/>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rPr>
          <w:rFonts w:ascii="宋体" w:hAnsi="宋体" w:cs="宋体"/>
          <w:b/>
          <w:sz w:val="24"/>
        </w:rPr>
      </w:pPr>
      <w:bookmarkStart w:id="465" w:name="_Toc17244"/>
      <w:bookmarkStart w:id="466" w:name="_Toc279701252"/>
      <w:bookmarkStart w:id="467" w:name="_Toc259093681"/>
      <w:bookmarkStart w:id="468" w:name="_Toc487900362"/>
      <w:r>
        <w:rPr>
          <w:rFonts w:hint="eastAsia" w:ascii="宋体" w:hAnsi="宋体" w:cs="宋体"/>
          <w:b/>
          <w:sz w:val="24"/>
        </w:rPr>
        <w:t>八、货物的风险负担</w:t>
      </w:r>
      <w:bookmarkEnd w:id="465"/>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rPr>
          <w:rFonts w:ascii="宋体" w:hAnsi="宋体" w:cs="宋体"/>
          <w:b/>
          <w:sz w:val="24"/>
        </w:rPr>
      </w:pPr>
      <w:bookmarkStart w:id="469" w:name="_Toc14055"/>
      <w:r>
        <w:rPr>
          <w:rFonts w:hint="eastAsia" w:ascii="宋体" w:hAnsi="宋体" w:cs="宋体"/>
          <w:b/>
          <w:sz w:val="24"/>
        </w:rPr>
        <w:t>九、延迟交货</w:t>
      </w:r>
      <w:bookmarkEnd w:id="466"/>
      <w:bookmarkEnd w:id="467"/>
      <w:bookmarkEnd w:id="468"/>
      <w:bookmarkEnd w:id="469"/>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rPr>
          <w:rFonts w:ascii="宋体" w:hAnsi="宋体" w:eastAsia="宋体" w:cs="宋体"/>
          <w:b/>
          <w:sz w:val="24"/>
        </w:rPr>
      </w:pPr>
      <w:bookmarkStart w:id="470" w:name="_Toc7502"/>
      <w:bookmarkStart w:id="471" w:name="_Toc487900364"/>
      <w:bookmarkStart w:id="472" w:name="_Toc279701254"/>
      <w:bookmarkStart w:id="473" w:name="_Toc259093683"/>
      <w:bookmarkStart w:id="474" w:name="_Ref467378121"/>
      <w:r>
        <w:rPr>
          <w:rFonts w:hint="eastAsia" w:ascii="宋体" w:hAnsi="宋体" w:cs="宋体"/>
          <w:b/>
          <w:sz w:val="24"/>
        </w:rPr>
        <w:t>十、合同变更</w:t>
      </w:r>
      <w:bookmarkEnd w:id="470"/>
      <w:r>
        <w:rPr>
          <w:rFonts w:hint="eastAsia" w:ascii="宋体" w:hAnsi="宋体" w:cs="宋体"/>
          <w:b/>
          <w:sz w:val="24"/>
        </w:rPr>
        <w:t>或补充</w:t>
      </w:r>
    </w:p>
    <w:p>
      <w:pPr>
        <w:spacing w:line="360" w:lineRule="auto"/>
        <w:ind w:firstLine="480" w:firstLineChars="200"/>
        <w:rPr>
          <w:rFonts w:ascii="宋体" w:hAnsi="宋体"/>
          <w:sz w:val="24"/>
        </w:rPr>
      </w:pPr>
      <w:bookmarkStart w:id="475" w:name="_Toc259093688"/>
      <w:bookmarkStart w:id="476" w:name="_Toc279701259"/>
      <w:bookmarkStart w:id="477" w:name="_Toc487900369"/>
      <w:bookmarkStart w:id="478" w:name="_Toc15237"/>
      <w:bookmarkStart w:id="479" w:name="_Toc10366"/>
      <w:bookmarkStart w:id="480"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rPr>
          <w:rFonts w:ascii="宋体" w:hAnsi="宋体" w:cs="宋体"/>
          <w:b/>
          <w:sz w:val="24"/>
        </w:rPr>
      </w:pPr>
      <w:r>
        <w:rPr>
          <w:rFonts w:hint="eastAsia" w:ascii="宋体" w:hAnsi="宋体" w:cs="宋体"/>
          <w:b/>
          <w:sz w:val="24"/>
        </w:rPr>
        <w:t>十一、 合同转让</w:t>
      </w:r>
      <w:bookmarkEnd w:id="475"/>
      <w:bookmarkEnd w:id="476"/>
      <w:bookmarkEnd w:id="477"/>
      <w:r>
        <w:rPr>
          <w:rFonts w:hint="eastAsia" w:ascii="宋体" w:hAnsi="宋体" w:cs="宋体"/>
          <w:b/>
          <w:sz w:val="24"/>
        </w:rPr>
        <w:t>和分包</w:t>
      </w:r>
      <w:bookmarkEnd w:id="478"/>
      <w:bookmarkEnd w:id="479"/>
      <w:bookmarkEnd w:id="480"/>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rPr>
          <w:rFonts w:ascii="宋体" w:hAnsi="宋体" w:cs="宋体"/>
          <w:b/>
          <w:sz w:val="24"/>
        </w:rPr>
      </w:pPr>
      <w:bookmarkStart w:id="481" w:name="_Toc13566"/>
      <w:bookmarkStart w:id="482" w:name="_Toc16508"/>
      <w:bookmarkStart w:id="483" w:name="_Toc14066"/>
      <w:r>
        <w:rPr>
          <w:rFonts w:hint="eastAsia" w:ascii="宋体" w:hAnsi="宋体" w:cs="宋体"/>
          <w:b/>
          <w:sz w:val="24"/>
        </w:rPr>
        <w:t>十二、不可抗力</w:t>
      </w:r>
      <w:bookmarkEnd w:id="481"/>
      <w:bookmarkEnd w:id="482"/>
      <w:bookmarkEnd w:id="483"/>
    </w:p>
    <w:p>
      <w:pPr>
        <w:spacing w:line="360" w:lineRule="auto"/>
        <w:ind w:firstLine="480" w:firstLineChars="200"/>
        <w:rPr>
          <w:rFonts w:ascii="宋体" w:hAnsi="宋体"/>
          <w:sz w:val="24"/>
        </w:rPr>
      </w:pPr>
      <w:bookmarkStart w:id="484" w:name="_Toc259093684"/>
      <w:bookmarkStart w:id="485" w:name="_Toc279701255"/>
      <w:bookmarkStart w:id="486" w:name="_Toc487900365"/>
      <w:bookmarkStart w:id="487" w:name="_Toc689"/>
      <w:bookmarkStart w:id="488" w:name="_Toc6969"/>
      <w:bookmarkStart w:id="489" w:name="_Toc30676"/>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rPr>
          <w:rFonts w:ascii="宋体" w:hAnsi="宋体" w:cs="宋体"/>
          <w:b/>
          <w:sz w:val="24"/>
        </w:rPr>
      </w:pPr>
      <w:r>
        <w:rPr>
          <w:rFonts w:hint="eastAsia" w:ascii="宋体" w:hAnsi="宋体" w:cs="宋体"/>
          <w:b/>
          <w:sz w:val="24"/>
        </w:rPr>
        <w:t>十三、 税费</w:t>
      </w:r>
      <w:bookmarkEnd w:id="484"/>
      <w:bookmarkEnd w:id="485"/>
      <w:bookmarkEnd w:id="486"/>
      <w:bookmarkEnd w:id="487"/>
      <w:bookmarkEnd w:id="488"/>
      <w:bookmarkEnd w:id="489"/>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rPr>
          <w:rFonts w:ascii="宋体" w:hAnsi="宋体" w:cs="宋体"/>
          <w:b/>
          <w:sz w:val="24"/>
        </w:rPr>
      </w:pPr>
      <w:bookmarkStart w:id="490" w:name="_Toc259093687"/>
      <w:bookmarkStart w:id="491" w:name="_Toc487900368"/>
      <w:bookmarkStart w:id="492" w:name="_Toc279701258"/>
      <w:bookmarkStart w:id="493" w:name="_Toc8298"/>
      <w:bookmarkStart w:id="494" w:name="_Toc7102"/>
      <w:bookmarkStart w:id="495" w:name="_Toc16959"/>
      <w:r>
        <w:rPr>
          <w:rFonts w:hint="eastAsia" w:ascii="宋体" w:hAnsi="宋体" w:cs="宋体"/>
          <w:b/>
          <w:sz w:val="24"/>
        </w:rPr>
        <w:t>十四、乙方破产</w:t>
      </w:r>
      <w:bookmarkEnd w:id="490"/>
      <w:bookmarkEnd w:id="491"/>
      <w:bookmarkEnd w:id="492"/>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rPr>
          <w:rFonts w:ascii="宋体" w:hAnsi="宋体" w:cs="宋体"/>
          <w:b/>
          <w:sz w:val="24"/>
        </w:rPr>
      </w:pPr>
      <w:bookmarkStart w:id="496" w:name="_Toc29333"/>
      <w:bookmarkStart w:id="497" w:name="_Toc15387"/>
      <w:bookmarkStart w:id="498" w:name="_Toc6134"/>
      <w:r>
        <w:rPr>
          <w:rFonts w:hint="eastAsia" w:ascii="宋体" w:hAnsi="宋体" w:cs="宋体"/>
          <w:b/>
          <w:sz w:val="24"/>
        </w:rPr>
        <w:t>十五、合同中止、终止</w:t>
      </w:r>
      <w:bookmarkEnd w:id="496"/>
      <w:bookmarkEnd w:id="497"/>
      <w:bookmarkEnd w:id="498"/>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71"/>
    <w:bookmarkEnd w:id="472"/>
    <w:bookmarkEnd w:id="473"/>
    <w:bookmarkEnd w:id="474"/>
    <w:p>
      <w:pPr>
        <w:spacing w:line="360" w:lineRule="auto"/>
        <w:ind w:firstLine="482" w:firstLineChars="200"/>
        <w:rPr>
          <w:rFonts w:ascii="宋体" w:hAnsi="宋体" w:cs="宋体"/>
          <w:b/>
          <w:sz w:val="24"/>
        </w:rPr>
      </w:pPr>
      <w:bookmarkStart w:id="499" w:name="_Toc279701261"/>
      <w:bookmarkStart w:id="500" w:name="_Toc259093690"/>
      <w:bookmarkStart w:id="501" w:name="_Toc487900371"/>
      <w:bookmarkStart w:id="502" w:name="_Toc19604"/>
      <w:bookmarkStart w:id="503" w:name="_Toc11284"/>
      <w:bookmarkStart w:id="504" w:name="_Toc25182"/>
      <w:r>
        <w:rPr>
          <w:rFonts w:hint="eastAsia" w:ascii="宋体" w:hAnsi="宋体" w:cs="宋体"/>
          <w:b/>
          <w:sz w:val="24"/>
        </w:rPr>
        <w:t>十六、 通知</w:t>
      </w:r>
      <w:bookmarkEnd w:id="499"/>
      <w:bookmarkEnd w:id="500"/>
      <w:bookmarkEnd w:id="501"/>
      <w:r>
        <w:rPr>
          <w:rFonts w:hint="eastAsia" w:ascii="宋体" w:hAnsi="宋体" w:cs="宋体"/>
          <w:b/>
          <w:sz w:val="24"/>
        </w:rPr>
        <w:t>和送达</w:t>
      </w:r>
      <w:bookmarkEnd w:id="502"/>
      <w:bookmarkEnd w:id="503"/>
      <w:bookmarkEnd w:id="504"/>
    </w:p>
    <w:p>
      <w:pPr>
        <w:spacing w:line="360" w:lineRule="auto"/>
        <w:ind w:firstLine="480" w:firstLineChars="200"/>
        <w:rPr>
          <w:rFonts w:ascii="宋体" w:hAnsi="宋体"/>
          <w:sz w:val="24"/>
        </w:rPr>
      </w:pPr>
      <w:bookmarkStart w:id="505" w:name="_Toc18401"/>
      <w:bookmarkStart w:id="506" w:name="_Toc27674"/>
      <w:bookmarkStart w:id="507" w:name="_Toc279701262"/>
      <w:bookmarkStart w:id="508" w:name="_Toc30599"/>
      <w:bookmarkStart w:id="509" w:name="_Toc259093691"/>
      <w:bookmarkStart w:id="510" w:name="_Toc4355"/>
      <w:bookmarkStart w:id="511" w:name="_Toc487900372"/>
      <w:bookmarkStart w:id="512" w:name="_Toc18540"/>
      <w:r>
        <w:rPr>
          <w:rFonts w:hint="eastAsia" w:ascii="宋体" w:hAnsi="宋体"/>
          <w:sz w:val="24"/>
        </w:rPr>
        <w:t>1.任何一方因履行合同而以合同第一章尾部所列明的电子邮件发出的所有通知、文件、材料，均视为已向对方当事人送达；任何一方变更上述送达方式或者地址的，应于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5"/>
      <w:bookmarkEnd w:id="506"/>
    </w:p>
    <w:p>
      <w:pPr>
        <w:spacing w:line="360" w:lineRule="auto"/>
        <w:ind w:firstLine="482" w:firstLineChars="200"/>
        <w:rPr>
          <w:rFonts w:ascii="宋体" w:hAnsi="宋体" w:cs="宋体"/>
          <w:b/>
          <w:sz w:val="24"/>
        </w:rPr>
      </w:pPr>
      <w:r>
        <w:rPr>
          <w:rFonts w:hint="eastAsia" w:ascii="宋体" w:hAnsi="宋体" w:cs="宋体"/>
          <w:b/>
          <w:sz w:val="24"/>
        </w:rPr>
        <w:t>十七、 计量单位</w:t>
      </w:r>
      <w:bookmarkEnd w:id="507"/>
      <w:bookmarkEnd w:id="508"/>
      <w:bookmarkEnd w:id="509"/>
      <w:bookmarkEnd w:id="510"/>
      <w:bookmarkEnd w:id="511"/>
      <w:bookmarkEnd w:id="512"/>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rPr>
          <w:rFonts w:ascii="宋体" w:hAnsi="宋体" w:cs="宋体"/>
          <w:b/>
          <w:sz w:val="24"/>
        </w:rPr>
      </w:pPr>
      <w:bookmarkStart w:id="513" w:name="_Toc18567"/>
      <w:bookmarkStart w:id="514" w:name="_Toc279701263"/>
      <w:bookmarkStart w:id="515" w:name="_Toc10330"/>
      <w:bookmarkStart w:id="516" w:name="_Toc12773"/>
      <w:bookmarkStart w:id="517" w:name="_Toc259093692"/>
      <w:bookmarkStart w:id="518" w:name="_Toc487900373"/>
      <w:r>
        <w:rPr>
          <w:rFonts w:hint="eastAsia" w:ascii="宋体" w:hAnsi="宋体" w:cs="宋体"/>
          <w:b/>
          <w:sz w:val="24"/>
        </w:rPr>
        <w:t>十八、合同使用的文字和适用的法律</w:t>
      </w:r>
      <w:bookmarkEnd w:id="513"/>
      <w:bookmarkEnd w:id="514"/>
      <w:bookmarkEnd w:id="515"/>
      <w:bookmarkEnd w:id="516"/>
      <w:bookmarkEnd w:id="517"/>
      <w:bookmarkEnd w:id="518"/>
    </w:p>
    <w:p>
      <w:pPr>
        <w:spacing w:line="360" w:lineRule="auto"/>
        <w:ind w:firstLine="480" w:firstLineChars="200"/>
        <w:rPr>
          <w:rFonts w:ascii="宋体" w:hAnsi="宋体" w:cs="宋体"/>
          <w:sz w:val="24"/>
        </w:rPr>
      </w:pPr>
      <w:r>
        <w:rPr>
          <w:rFonts w:hint="eastAsia" w:ascii="宋体" w:hAnsi="宋体" w:cs="宋体"/>
          <w:sz w:val="24"/>
        </w:rPr>
        <w:t>1.合同使用汉语书就、变更和解释；</w:t>
      </w:r>
    </w:p>
    <w:p>
      <w:pPr>
        <w:spacing w:line="360" w:lineRule="auto"/>
        <w:ind w:firstLine="480" w:firstLineChars="200"/>
        <w:rPr>
          <w:rFonts w:hint="eastAsia" w:ascii="宋体" w:hAnsi="宋体" w:cs="宋体"/>
          <w:sz w:val="24"/>
        </w:rPr>
      </w:pPr>
      <w:r>
        <w:rPr>
          <w:rFonts w:hint="eastAsia" w:ascii="宋体" w:hAnsi="宋体" w:cs="宋体"/>
          <w:sz w:val="24"/>
        </w:rPr>
        <w:t>2.合同适用中华人民共和国法律。</w:t>
      </w:r>
    </w:p>
    <w:p>
      <w:pPr>
        <w:spacing w:line="360" w:lineRule="auto"/>
        <w:ind w:firstLine="482" w:firstLineChars="200"/>
        <w:rPr>
          <w:rFonts w:ascii="宋体" w:hAnsi="宋体"/>
          <w:b/>
          <w:sz w:val="24"/>
        </w:rPr>
      </w:pPr>
      <w:r>
        <w:rPr>
          <w:rFonts w:hint="eastAsia" w:ascii="宋体" w:hAnsi="宋体"/>
          <w:b/>
          <w:sz w:val="24"/>
        </w:rPr>
        <w:t>十九、特别提示</w:t>
      </w:r>
    </w:p>
    <w:p>
      <w:pPr>
        <w:spacing w:line="360" w:lineRule="auto"/>
        <w:ind w:firstLine="480" w:firstLineChars="200"/>
        <w:rPr>
          <w:rFonts w:hint="eastAsia" w:ascii="宋体" w:hAnsi="宋体" w:cs="宋体"/>
          <w:sz w:val="24"/>
        </w:rPr>
      </w:pPr>
      <w:r>
        <w:rPr>
          <w:rFonts w:hint="eastAsia" w:ascii="宋体" w:hAnsi="宋体" w:cs="宋体"/>
          <w:sz w:val="24"/>
        </w:rPr>
        <w:t>甲乙双方共同确认：本合同系经双方协商后订立，双方已就本合同（包括但不</w:t>
      </w:r>
      <w:r>
        <w:rPr>
          <w:rFonts w:hint="eastAsia" w:ascii="宋体" w:hAnsi="宋体" w:cs="宋体"/>
          <w:sz w:val="24"/>
          <w:lang w:eastAsia="zh-CN"/>
        </w:rPr>
        <w:t>限</w:t>
      </w:r>
      <w:r>
        <w:rPr>
          <w:rFonts w:hint="eastAsia" w:ascii="宋体" w:hAnsi="宋体" w:cs="宋体"/>
          <w:sz w:val="24"/>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center"/>
        <w:rPr>
          <w:rFonts w:ascii="宋体" w:hAnsi="宋体" w:eastAsia="宋体" w:cs="Times New Roman"/>
          <w:b/>
        </w:rPr>
      </w:pPr>
    </w:p>
    <w:p>
      <w:pPr>
        <w:jc w:val="center"/>
        <w:rPr>
          <w:rFonts w:ascii="宋体" w:hAnsi="宋体" w:eastAsia="宋体" w:cs="Times New Roman"/>
          <w:b/>
        </w:rPr>
      </w:pPr>
    </w:p>
    <w:p>
      <w:pPr>
        <w:autoSpaceDE w:val="0"/>
        <w:autoSpaceDN w:val="0"/>
        <w:spacing w:line="360" w:lineRule="auto"/>
        <w:rPr>
          <w:rFonts w:ascii="宋体" w:hAnsi="宋体"/>
          <w:sz w:val="24"/>
          <w:lang w:val="zh-CN"/>
        </w:rPr>
      </w:pPr>
      <w:r>
        <w:rPr>
          <w:rFonts w:hint="eastAsia" w:ascii="宋体" w:hAnsi="宋体"/>
          <w:b/>
          <w:sz w:val="24"/>
          <w:lang w:val="zh-CN"/>
        </w:rPr>
        <w:t>甲方</w:t>
      </w:r>
      <w:r>
        <w:rPr>
          <w:rFonts w:hint="eastAsia" w:ascii="宋体" w:hAnsi="宋体"/>
          <w:sz w:val="24"/>
          <w:lang w:val="zh-CN"/>
        </w:rPr>
        <w:t>：杭州临江环境能源有限公司</w:t>
      </w:r>
      <w:r>
        <w:rPr>
          <w:rFonts w:ascii="宋体" w:hAnsi="宋体"/>
          <w:sz w:val="24"/>
          <w:lang w:val="zh-CN"/>
        </w:rPr>
        <w:t xml:space="preserve">          </w:t>
      </w:r>
      <w:r>
        <w:rPr>
          <w:rFonts w:ascii="宋体" w:hAnsi="宋体"/>
          <w:b/>
          <w:sz w:val="24"/>
          <w:lang w:val="zh-CN"/>
        </w:rPr>
        <w:t xml:space="preserve"> 乙方</w:t>
      </w:r>
      <w:r>
        <w:rPr>
          <w:rFonts w:hint="eastAsia" w:ascii="宋体" w:hAnsi="宋体"/>
          <w:sz w:val="24"/>
          <w:lang w:val="zh-CN"/>
        </w:rPr>
        <w:t>：</w:t>
      </w:r>
    </w:p>
    <w:p>
      <w:pPr>
        <w:autoSpaceDE w:val="0"/>
        <w:autoSpaceDN w:val="0"/>
        <w:spacing w:line="360" w:lineRule="auto"/>
        <w:rPr>
          <w:rFonts w:ascii="宋体" w:hAnsi="宋体"/>
          <w:sz w:val="24"/>
          <w:lang w:val="zh-CN"/>
        </w:rPr>
      </w:pPr>
      <w:r>
        <w:rPr>
          <w:rFonts w:hint="eastAsia" w:ascii="宋体" w:hAnsi="宋体"/>
          <w:sz w:val="24"/>
          <w:lang w:val="zh-CN"/>
        </w:rPr>
        <w:t>统一社会信用代码：</w:t>
      </w:r>
      <w:r>
        <w:rPr>
          <w:rFonts w:ascii="宋体" w:hAnsi="宋体"/>
          <w:sz w:val="24"/>
          <w:lang w:val="zh-CN"/>
        </w:rPr>
        <w:t xml:space="preserve">                       </w:t>
      </w:r>
      <w:r>
        <w:rPr>
          <w:rFonts w:hint="eastAsia" w:ascii="宋体" w:hAnsi="宋体"/>
          <w:sz w:val="24"/>
          <w:lang w:val="zh-CN"/>
        </w:rPr>
        <w:t>统一社会信用代码或身份证号码：91330100MA2B02NX2L</w:t>
      </w:r>
    </w:p>
    <w:p>
      <w:pPr>
        <w:autoSpaceDE w:val="0"/>
        <w:autoSpaceDN w:val="0"/>
        <w:spacing w:line="360" w:lineRule="auto"/>
        <w:rPr>
          <w:rFonts w:ascii="宋体" w:hAnsi="宋体"/>
          <w:sz w:val="24"/>
          <w:lang w:val="zh-CN"/>
        </w:rPr>
      </w:pPr>
      <w:r>
        <w:rPr>
          <w:rFonts w:hint="eastAsia" w:ascii="宋体" w:hAnsi="宋体"/>
          <w:sz w:val="24"/>
          <w:lang w:val="zh-CN"/>
        </w:rPr>
        <w:t>地址：浙江省杭州市钱塘区</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地址：</w:t>
      </w:r>
    </w:p>
    <w:p>
      <w:pPr>
        <w:autoSpaceDE w:val="0"/>
        <w:autoSpaceDN w:val="0"/>
        <w:spacing w:line="360" w:lineRule="auto"/>
        <w:rPr>
          <w:rFonts w:ascii="宋体" w:hAnsi="宋体"/>
          <w:sz w:val="24"/>
          <w:lang w:val="zh-CN"/>
        </w:rPr>
      </w:pPr>
      <w:r>
        <w:rPr>
          <w:rFonts w:hint="eastAsia" w:ascii="宋体" w:hAnsi="宋体"/>
          <w:sz w:val="24"/>
          <w:lang w:val="zh-CN"/>
        </w:rPr>
        <w:t>临江街道红十五路10388-123号</w:t>
      </w:r>
    </w:p>
    <w:p>
      <w:pPr>
        <w:autoSpaceDE w:val="0"/>
        <w:autoSpaceDN w:val="0"/>
        <w:spacing w:line="360" w:lineRule="auto"/>
        <w:rPr>
          <w:rFonts w:ascii="宋体" w:hAnsi="宋体"/>
          <w:sz w:val="24"/>
          <w:lang w:val="zh-CN"/>
        </w:rPr>
      </w:pPr>
      <w:r>
        <w:rPr>
          <w:rFonts w:hint="eastAsia" w:ascii="宋体" w:hAnsi="宋体"/>
          <w:sz w:val="24"/>
          <w:lang w:val="zh-CN"/>
        </w:rPr>
        <w:t>电子邮箱：</w:t>
      </w:r>
      <w:r>
        <w:rPr>
          <w:rFonts w:hint="eastAsia" w:ascii="宋体" w:hAnsi="宋体"/>
          <w:sz w:val="24"/>
          <w:u w:val="single"/>
          <w:lang w:val="en-US" w:eastAsia="zh-CN"/>
        </w:rPr>
        <w:t>43536191@qq.com</w:t>
      </w:r>
      <w:r>
        <w:rPr>
          <w:rFonts w:ascii="宋体" w:hAnsi="宋体"/>
          <w:sz w:val="24"/>
          <w:u w:val="single"/>
        </w:rPr>
        <w:t xml:space="preserve"> </w:t>
      </w:r>
      <w:r>
        <w:rPr>
          <w:rFonts w:ascii="宋体" w:hAnsi="宋体"/>
          <w:sz w:val="24"/>
          <w:lang w:val="zh-CN"/>
        </w:rPr>
        <w:t xml:space="preserve">                   </w:t>
      </w:r>
      <w:r>
        <w:rPr>
          <w:rFonts w:hint="eastAsia" w:ascii="宋体" w:hAnsi="宋体"/>
          <w:sz w:val="24"/>
          <w:lang w:val="zh-CN"/>
        </w:rPr>
        <w:t>电子邮箱：</w:t>
      </w:r>
    </w:p>
    <w:p>
      <w:pPr>
        <w:autoSpaceDE w:val="0"/>
        <w:autoSpaceDN w:val="0"/>
        <w:spacing w:line="360" w:lineRule="auto"/>
        <w:rPr>
          <w:rFonts w:ascii="宋体" w:hAnsi="宋体"/>
          <w:sz w:val="24"/>
          <w:lang w:val="zh-CN"/>
        </w:rPr>
      </w:pPr>
      <w:r>
        <w:rPr>
          <w:rFonts w:hint="eastAsia" w:ascii="宋体" w:hAnsi="宋体"/>
          <w:sz w:val="24"/>
          <w:lang w:val="zh-CN"/>
        </w:rPr>
        <w:t>法定代表人或授权代表</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法定代表人或</w:t>
      </w:r>
      <w:r>
        <w:rPr>
          <w:rFonts w:ascii="宋体" w:hAnsi="宋体"/>
          <w:sz w:val="24"/>
          <w:lang w:val="zh-CN"/>
        </w:rPr>
        <w:t>授权代表</w:t>
      </w:r>
    </w:p>
    <w:p>
      <w:pPr>
        <w:autoSpaceDE w:val="0"/>
        <w:autoSpaceDN w:val="0"/>
        <w:spacing w:line="360" w:lineRule="auto"/>
        <w:rPr>
          <w:rFonts w:ascii="宋体" w:hAnsi="宋体"/>
          <w:sz w:val="24"/>
          <w:lang w:val="zh-CN"/>
        </w:rPr>
      </w:pPr>
      <w:r>
        <w:rPr>
          <w:rFonts w:hint="eastAsia" w:ascii="宋体" w:hAnsi="宋体"/>
          <w:sz w:val="24"/>
          <w:lang w:val="zh-CN"/>
        </w:rPr>
        <w:t>（签字）：</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（签字）</w:t>
      </w:r>
      <w:r>
        <w:rPr>
          <w:rFonts w:hint="eastAsia" w:ascii="宋体" w:hAnsi="宋体"/>
          <w:sz w:val="24"/>
          <w:lang w:val="zh-CN"/>
        </w:rPr>
        <w:t>：</w:t>
      </w:r>
      <w:r>
        <w:rPr>
          <w:rFonts w:ascii="宋体" w:hAnsi="宋体"/>
          <w:sz w:val="24"/>
          <w:lang w:val="zh-CN"/>
        </w:rPr>
        <w:t xml:space="preserve"> </w:t>
      </w:r>
    </w:p>
    <w:p>
      <w:pPr>
        <w:autoSpaceDE w:val="0"/>
        <w:autoSpaceDN w:val="0"/>
        <w:spacing w:line="360" w:lineRule="auto"/>
        <w:rPr>
          <w:rFonts w:ascii="宋体" w:hAnsi="宋体"/>
          <w:sz w:val="24"/>
        </w:rPr>
      </w:pPr>
      <w:r>
        <w:rPr>
          <w:rFonts w:hint="eastAsia" w:ascii="宋体" w:hAnsi="宋体"/>
          <w:sz w:val="24"/>
        </w:rPr>
        <w:t>开户银行：杭州银行大江东支行：</w:t>
      </w:r>
      <w:r>
        <w:rPr>
          <w:rFonts w:ascii="宋体" w:hAnsi="宋体"/>
          <w:sz w:val="24"/>
        </w:rPr>
        <w:t xml:space="preserve">          开户银行： </w:t>
      </w:r>
    </w:p>
    <w:p>
      <w:pPr>
        <w:autoSpaceDE w:val="0"/>
        <w:autoSpaceDN w:val="0"/>
        <w:spacing w:line="360" w:lineRule="auto"/>
        <w:rPr>
          <w:rFonts w:ascii="宋体" w:hAnsi="宋体"/>
          <w:sz w:val="24"/>
        </w:rPr>
      </w:pPr>
      <w:r>
        <w:rPr>
          <w:rFonts w:hint="eastAsia" w:ascii="宋体" w:hAnsi="宋体"/>
          <w:sz w:val="24"/>
        </w:rPr>
        <w:t>开户账号：3301040160008775754</w:t>
      </w:r>
      <w:r>
        <w:rPr>
          <w:rFonts w:ascii="宋体" w:hAnsi="宋体"/>
          <w:sz w:val="24"/>
          <w:lang w:val="zh-CN"/>
        </w:rPr>
        <w:t xml:space="preserve">           </w:t>
      </w:r>
      <w:r>
        <w:rPr>
          <w:rFonts w:hint="eastAsia" w:ascii="宋体" w:hAnsi="宋体"/>
          <w:sz w:val="24"/>
        </w:rPr>
        <w:t>开户账号：</w:t>
      </w:r>
    </w:p>
    <w:p>
      <w:pPr>
        <w:widowControl/>
        <w:jc w:val="left"/>
        <w:rPr>
          <w:rFonts w:ascii="宋体" w:hAnsi="宋体" w:cs="Times New Roman"/>
          <w:b/>
          <w:sz w:val="24"/>
        </w:rPr>
      </w:pPr>
      <w:r>
        <w:rPr>
          <w:rFonts w:ascii="宋体" w:hAnsi="宋体" w:cs="Times New Roman"/>
          <w:b/>
        </w:rPr>
        <w:br w:type="page"/>
      </w:r>
    </w:p>
    <w:p>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r>
        <w:rPr>
          <w:rFonts w:ascii="宋体" w:hAnsi="宋体" w:cs="宋体"/>
          <w:color w:val="000000"/>
          <w:sz w:val="24"/>
          <w:u w:val="single"/>
        </w:rPr>
        <w:t xml:space="preserve">           </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甲、乙双方应共同严格遵守国家和省市以及招标人主管部门关于市场准入、项目招标投标、市场经济活动等有关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Pr>
        <w:rPr>
          <w:rFonts w:hint="eastAsia" w:eastAsiaTheme="minorEastAsia"/>
          <w:lang w:eastAsia="zh-CN"/>
        </w:rPr>
      </w:pPr>
      <w:r>
        <w:rPr>
          <w:rFonts w:hint="eastAsia" w:ascii="宋体" w:hAnsi="宋体" w:eastAsia="宋体" w:cs="宋体"/>
          <w:b/>
          <w:bCs/>
          <w:color w:val="000000"/>
          <w:sz w:val="24"/>
          <w:lang w:val="en-US" w:eastAsia="zh-CN"/>
        </w:rPr>
        <w:t xml:space="preserve"> </w:t>
      </w:r>
    </w:p>
    <w:p/>
    <w:p>
      <w:pPr>
        <w:pStyle w:val="7"/>
      </w:pPr>
    </w:p>
    <w:p/>
    <w:p>
      <w:pPr>
        <w:pStyle w:val="7"/>
      </w:pPr>
    </w:p>
    <w:p/>
    <w:p>
      <w:pPr>
        <w:pStyle w:val="7"/>
      </w:pPr>
    </w:p>
    <w:p>
      <w:pPr>
        <w:pStyle w:val="8"/>
        <w:ind w:firstLine="0"/>
      </w:pPr>
    </w:p>
    <w:p/>
    <w:p/>
    <w:p>
      <w:pPr>
        <w:rPr>
          <w:rFonts w:hint="eastAsia" w:cs="仿宋" w:asciiTheme="minorEastAsia" w:hAnsiTheme="minorEastAsia"/>
          <w:b/>
          <w:sz w:val="36"/>
          <w:szCs w:val="36"/>
        </w:rPr>
      </w:pPr>
      <w:r>
        <w:rPr>
          <w:rFonts w:hint="eastAsia" w:cs="仿宋" w:asciiTheme="minorEastAsia" w:hAnsiTheme="minorEastAsia"/>
          <w:b/>
          <w:sz w:val="36"/>
          <w:szCs w:val="36"/>
        </w:rPr>
        <w:br w:type="page"/>
      </w:r>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3360"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3360;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开启时启封</w:t>
      </w:r>
    </w:p>
    <w:p>
      <w:pPr>
        <w:snapToGrid w:val="0"/>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2024年临江公司费斯托备件</w:t>
      </w:r>
      <w:r>
        <w:rPr>
          <w:rFonts w:hint="eastAsia" w:ascii="宋体" w:hAnsi="宋体" w:eastAsia="宋体" w:cs="宋体"/>
          <w:sz w:val="28"/>
          <w:szCs w:val="22"/>
          <w:u w:val="single"/>
        </w:rPr>
        <w:t xml:space="preserve">采购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w:t>
      </w:r>
      <w:r>
        <w:rPr>
          <w:rFonts w:ascii="宋体" w:hAnsi="宋体" w:eastAsia="宋体" w:cs="宋体"/>
          <w:sz w:val="28"/>
          <w:szCs w:val="22"/>
          <w:u w:val="single"/>
        </w:rPr>
        <w:t xml:space="preserve">     </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r>
        <w:rPr>
          <w:rFonts w:ascii="宋体" w:hAnsi="宋体" w:eastAsia="宋体" w:cs="宋体"/>
          <w:sz w:val="28"/>
          <w:szCs w:val="22"/>
          <w:u w:val="single"/>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r>
        <w:rPr>
          <w:rFonts w:ascii="宋体" w:hAnsi="宋体" w:eastAsia="宋体" w:cs="宋体"/>
          <w:sz w:val="28"/>
          <w:szCs w:val="22"/>
          <w:u w:val="single"/>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宋体"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napToGrid w:val="0"/>
        <w:spacing w:line="360" w:lineRule="auto"/>
        <w:rPr>
          <w:rFonts w:cs="仿宋" w:asciiTheme="minorEastAsia" w:hAnsiTheme="minorEastAsia"/>
          <w:b/>
          <w:kern w:val="0"/>
          <w:sz w:val="36"/>
          <w:szCs w:val="36"/>
        </w:rPr>
      </w:pPr>
    </w:p>
    <w:p>
      <w:pPr>
        <w:snapToGrid w:val="0"/>
        <w:spacing w:line="360" w:lineRule="auto"/>
        <w:rPr>
          <w:rFonts w:cs="仿宋" w:asciiTheme="minorEastAsia" w:hAnsiTheme="minorEastAsia"/>
          <w:b/>
          <w:kern w:val="0"/>
          <w:sz w:val="36"/>
          <w:szCs w:val="36"/>
        </w:rPr>
      </w:pPr>
    </w:p>
    <w:p>
      <w:pPr>
        <w:snapToGrid w:val="0"/>
        <w:spacing w:line="360" w:lineRule="auto"/>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napToGrid w:val="0"/>
        <w:spacing w:line="360" w:lineRule="auto"/>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napToGrid w:val="0"/>
        <w:spacing w:line="360" w:lineRule="auto"/>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14"/>
      </w:pPr>
    </w:p>
    <w:p/>
    <w:p>
      <w:pPr>
        <w:pStyle w:val="2"/>
        <w:rPr>
          <w:color w:val="auto"/>
        </w:rPr>
      </w:pPr>
    </w:p>
    <w:p/>
    <w:p>
      <w:pPr>
        <w:pStyle w:val="2"/>
      </w:pPr>
    </w:p>
    <w:p>
      <w:pPr>
        <w:pStyle w:val="7"/>
      </w:pPr>
    </w:p>
    <w:p/>
    <w:p>
      <w:pPr>
        <w:pStyle w:val="7"/>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2024年临江公司费斯托备件</w:t>
      </w:r>
      <w:r>
        <w:rPr>
          <w:rFonts w:hint="eastAsia" w:cs="仿宋" w:asciiTheme="minorEastAsia" w:hAnsiTheme="minorEastAsia"/>
          <w:sz w:val="24"/>
        </w:rPr>
        <w:t>【项目编号：</w:t>
      </w:r>
      <w:r>
        <w:rPr>
          <w:rFonts w:hint="eastAsia" w:cs="仿宋" w:asciiTheme="minorEastAsia" w:hAnsiTheme="minorEastAsia"/>
          <w:sz w:val="24"/>
          <w:u w:val="single"/>
          <w:lang w:eastAsia="zh-CN"/>
        </w:rPr>
        <w:t>202404035-1</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w:t>
      </w:r>
      <w:r>
        <w:rPr>
          <w:rFonts w:hint="eastAsia" w:cs="仿宋" w:asciiTheme="minorEastAsia" w:hAnsiTheme="minorEastAsia"/>
          <w:sz w:val="24"/>
          <w:lang w:eastAsia="zh-CN"/>
        </w:rPr>
        <w:t>）</w:t>
      </w:r>
      <w:r>
        <w:rPr>
          <w:rFonts w:hint="eastAsia" w:cs="仿宋" w:asciiTheme="minorEastAsia" w:hAnsiTheme="minorEastAsia"/>
          <w:sz w:val="24"/>
        </w:rPr>
        <w:t>、中国政府采购网（www.ccgp.gov.cn）列入失信被执行人、重大税收违法案件当事人名单、政府采购严重违法失信行为记录名单。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8"/>
      </w:pPr>
    </w:p>
    <w:p/>
    <w:p>
      <w:pPr>
        <w:pStyle w:val="7"/>
      </w:pPr>
    </w:p>
    <w:p>
      <w:pPr>
        <w:pStyle w:val="8"/>
      </w:pPr>
    </w:p>
    <w:p/>
    <w:p>
      <w:pPr>
        <w:pStyle w:val="7"/>
      </w:pPr>
    </w:p>
    <w:p>
      <w:pPr>
        <w:pStyle w:val="8"/>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8"/>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lang w:eastAsia="zh-CN"/>
        </w:rPr>
        <w:t>2024年临江公司费斯托备件</w:t>
      </w:r>
      <w:r>
        <w:rPr>
          <w:rFonts w:hint="eastAsia" w:cs="仿宋" w:asciiTheme="minorEastAsia" w:hAnsiTheme="minorEastAsia"/>
          <w:sz w:val="24"/>
        </w:rPr>
        <w:t>【项目编号：</w:t>
      </w:r>
      <w:r>
        <w:rPr>
          <w:rFonts w:hint="eastAsia" w:cs="仿宋" w:asciiTheme="minorEastAsia" w:hAnsiTheme="minorEastAsia"/>
          <w:sz w:val="24"/>
          <w:lang w:eastAsia="zh-CN"/>
        </w:rPr>
        <w:t>202404035-1</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7"/>
      </w:pPr>
    </w:p>
    <w:p>
      <w:pPr>
        <w:pStyle w:val="8"/>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rPr>
        <w:t xml:space="preserve">（采购项目名称、采购编号）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w:t>
      </w:r>
      <w:r>
        <w:rPr>
          <w:rFonts w:hint="eastAsia" w:cs="仿宋" w:asciiTheme="minorEastAsia" w:hAnsiTheme="minorEastAsia"/>
          <w:kern w:val="0"/>
          <w:sz w:val="24"/>
          <w:lang w:val="en-US" w:eastAsia="zh-CN"/>
        </w:rPr>
        <w:t>及合同签订、履行</w:t>
      </w:r>
      <w:r>
        <w:rPr>
          <w:rFonts w:hint="eastAsia" w:cs="仿宋" w:asciiTheme="minorEastAsia" w:hAnsiTheme="minorEastAsia"/>
          <w:kern w:val="0"/>
          <w:sz w:val="24"/>
        </w:rPr>
        <w:t>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响应文件满足询价采购文件的其他实质性要求。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8"/>
        <w:rPr>
          <w:rFonts w:cs="仿宋" w:asciiTheme="minorEastAsia" w:hAnsiTheme="minorEastAsia"/>
          <w:lang w:val="en-US"/>
        </w:rPr>
      </w:pPr>
    </w:p>
    <w:tbl>
      <w:tblPr>
        <w:tblStyle w:val="15"/>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7"/>
        <w:rPr>
          <w:lang w:val="en-US"/>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13"/>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存在管理</w:t>
            </w:r>
            <w:r>
              <w:rPr>
                <w:rFonts w:hint="eastAsia" w:ascii="宋体" w:hAnsi="宋体" w:eastAsia="宋体" w:cs="宋体"/>
                <w:sz w:val="24"/>
                <w:lang w:val="en-US" w:eastAsia="zh-CN"/>
              </w:rPr>
              <w:t>关系</w:t>
            </w:r>
            <w:r>
              <w:rPr>
                <w:rFonts w:hint="eastAsia" w:ascii="宋体" w:hAnsi="宋体" w:eastAsia="宋体" w:cs="宋体"/>
                <w:sz w:val="24"/>
              </w:rPr>
              <w:t>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4" w:type="first"/>
          <w:footerReference r:id="rId13"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项目名称   </w:t>
      </w:r>
      <w:r>
        <w:rPr>
          <w:rFonts w:hint="eastAsia" w:ascii="宋体" w:hAnsi="宋体" w:eastAsia="宋体" w:cs="宋体"/>
          <w:sz w:val="24"/>
        </w:rPr>
        <w:t>采购活动，并做如下承诺：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2023年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2024年临江公司费斯托备件采购项目（重新询价）</w:t>
      </w:r>
      <w:r>
        <w:rPr>
          <w:rFonts w:hint="eastAsia" w:ascii="宋体" w:hAnsi="宋体" w:eastAsia="宋体" w:cs="宋体"/>
          <w:sz w:val="24"/>
        </w:rPr>
        <w:t>（项目编号：</w:t>
      </w:r>
      <w:r>
        <w:rPr>
          <w:rFonts w:hint="eastAsia" w:ascii="宋体" w:hAnsi="宋体" w:eastAsia="宋体" w:cs="宋体"/>
          <w:sz w:val="24"/>
          <w:u w:val="single"/>
          <w:lang w:eastAsia="zh-CN"/>
        </w:rPr>
        <w:t>202404035-1</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2024年临江公司费斯托备件</w:t>
      </w:r>
      <w:r>
        <w:rPr>
          <w:rFonts w:hint="eastAsia" w:cs="仿宋" w:asciiTheme="minorEastAsia" w:hAnsiTheme="minorEastAsia"/>
          <w:sz w:val="24"/>
        </w:rPr>
        <w:t>【项目编号：</w:t>
      </w:r>
      <w:r>
        <w:rPr>
          <w:rFonts w:hint="eastAsia" w:cs="仿宋" w:asciiTheme="minorEastAsia" w:hAnsiTheme="minorEastAsia"/>
          <w:sz w:val="24"/>
          <w:u w:val="single"/>
          <w:lang w:eastAsia="zh-CN"/>
        </w:rPr>
        <w:t>202404035-1</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4077"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802"/>
        <w:gridCol w:w="2009"/>
        <w:gridCol w:w="5134"/>
        <w:gridCol w:w="1156"/>
        <w:gridCol w:w="862"/>
        <w:gridCol w:w="900"/>
        <w:gridCol w:w="1588"/>
        <w:gridCol w:w="162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84" w:hRule="atLeast"/>
        </w:trPr>
        <w:tc>
          <w:tcPr>
            <w:tcW w:w="8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20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物资名称</w:t>
            </w:r>
          </w:p>
        </w:tc>
        <w:tc>
          <w:tcPr>
            <w:tcW w:w="51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型号规格</w:t>
            </w:r>
          </w:p>
        </w:tc>
        <w:tc>
          <w:tcPr>
            <w:tcW w:w="1156" w:type="dxa"/>
            <w:tcBorders>
              <w:tl2br w:val="nil"/>
              <w:tr2bl w:val="nil"/>
            </w:tcBorders>
            <w:shd w:val="clear" w:color="auto" w:fill="auto"/>
            <w:vAlign w:val="center"/>
          </w:tcPr>
          <w:p>
            <w:pPr>
              <w:keepNext w:val="0"/>
              <w:keepLines w:val="0"/>
              <w:pageBreakBefore w:val="0"/>
              <w:widowControl/>
              <w:suppressLineNumbers w:val="0"/>
              <w:tabs>
                <w:tab w:val="left" w:pos="205"/>
              </w:tabs>
              <w:kinsoku/>
              <w:wordWrap/>
              <w:overflowPunct/>
              <w:topLinePunct w:val="0"/>
              <w:autoSpaceDE/>
              <w:autoSpaceDN/>
              <w:bidi w:val="0"/>
              <w:adjustRightInd w:val="0"/>
              <w:snapToGrid w:val="0"/>
              <w:jc w:val="left"/>
              <w:textAlignment w:val="center"/>
              <w:rPr>
                <w:rFonts w:hint="default"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ab/>
            </w:r>
            <w:r>
              <w:rPr>
                <w:rFonts w:hint="eastAsia" w:ascii="宋体" w:hAnsi="宋体" w:eastAsia="宋体" w:cs="宋体"/>
                <w:b/>
                <w:bCs/>
                <w:i w:val="0"/>
                <w:iCs w:val="0"/>
                <w:color w:val="000000"/>
                <w:kern w:val="0"/>
                <w:sz w:val="28"/>
                <w:szCs w:val="28"/>
                <w:u w:val="none"/>
                <w:lang w:val="en-US" w:eastAsia="zh-CN" w:bidi="ar"/>
              </w:rPr>
              <w:t>品牌</w:t>
            </w:r>
          </w:p>
        </w:tc>
        <w:tc>
          <w:tcPr>
            <w:tcW w:w="86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单位</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数量</w:t>
            </w:r>
          </w:p>
        </w:tc>
        <w:tc>
          <w:tcPr>
            <w:tcW w:w="15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单价（元）</w:t>
            </w:r>
          </w:p>
        </w:tc>
        <w:tc>
          <w:tcPr>
            <w:tcW w:w="16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金额（元）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8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0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气源维护套装</w:t>
            </w:r>
          </w:p>
        </w:tc>
        <w:tc>
          <w:tcPr>
            <w:tcW w:w="51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PDAD-09-SP-12000，8齿，P=200 1.05MPa,抗冻软管</w:t>
            </w:r>
          </w:p>
        </w:tc>
        <w:tc>
          <w:tcPr>
            <w:tcW w:w="115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费斯托</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套</w:t>
            </w:r>
          </w:p>
        </w:tc>
        <w:tc>
          <w:tcPr>
            <w:tcW w:w="9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6</w:t>
            </w:r>
          </w:p>
        </w:tc>
        <w:tc>
          <w:tcPr>
            <w:tcW w:w="158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8"/>
                <w:szCs w:val="28"/>
                <w:u w:val="none"/>
                <w:lang w:val="en-US" w:eastAsia="zh-CN" w:bidi="ar"/>
              </w:rPr>
            </w:pPr>
          </w:p>
        </w:tc>
        <w:tc>
          <w:tcPr>
            <w:tcW w:w="1626"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8"/>
                <w:szCs w:val="28"/>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85" w:hRule="atLeast"/>
        </w:trPr>
        <w:tc>
          <w:tcPr>
            <w:tcW w:w="8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0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气源处理装置</w:t>
            </w:r>
          </w:p>
        </w:tc>
        <w:tc>
          <w:tcPr>
            <w:tcW w:w="513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PDAD-09-13-22，带过滤阀组，</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阀组1：MS4-LF-1/4-E-R-M，MS4-LF-1/4-C-R-M，MS4-LFM-1/4-B-R-M，</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阀组2：MS6-LFM-3/8-AR-DA:*W</w:t>
            </w:r>
          </w:p>
        </w:tc>
        <w:tc>
          <w:tcPr>
            <w:tcW w:w="115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费斯托</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套</w:t>
            </w:r>
          </w:p>
        </w:tc>
        <w:tc>
          <w:tcPr>
            <w:tcW w:w="9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w:t>
            </w:r>
          </w:p>
        </w:tc>
        <w:tc>
          <w:tcPr>
            <w:tcW w:w="158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8"/>
                <w:szCs w:val="28"/>
                <w:u w:val="none"/>
                <w:lang w:val="en-US" w:eastAsia="zh-CN" w:bidi="ar"/>
              </w:rPr>
            </w:pPr>
          </w:p>
        </w:tc>
        <w:tc>
          <w:tcPr>
            <w:tcW w:w="1626"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8"/>
                <w:szCs w:val="28"/>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1" w:hRule="atLeast"/>
        </w:trPr>
        <w:tc>
          <w:tcPr>
            <w:tcW w:w="2811" w:type="dxa"/>
            <w:gridSpan w:val="2"/>
            <w:tcBorders>
              <w:tl2br w:val="nil"/>
              <w:tr2bl w:val="nil"/>
            </w:tcBorders>
            <w:shd w:val="clear" w:color="auto" w:fill="auto"/>
            <w:vAlign w:val="center"/>
          </w:tcPr>
          <w:p>
            <w:pPr>
              <w:widowControl/>
              <w:jc w:val="center"/>
              <w:rPr>
                <w:rFonts w:hint="eastAsia" w:ascii="宋体" w:hAnsi="宋体" w:eastAsia="宋体" w:cs="宋体"/>
                <w:i w:val="0"/>
                <w:iCs w:val="0"/>
                <w:color w:val="000000"/>
                <w:kern w:val="0"/>
                <w:sz w:val="24"/>
                <w:szCs w:val="24"/>
                <w:u w:val="none"/>
                <w:lang w:val="en-US" w:eastAsia="zh-CN" w:bidi="ar"/>
              </w:rPr>
            </w:pPr>
            <w:r>
              <w:rPr>
                <w:rFonts w:hint="eastAsia" w:cs="仿宋" w:asciiTheme="minorEastAsia" w:hAnsiTheme="minorEastAsia"/>
                <w:b/>
                <w:sz w:val="24"/>
              </w:rPr>
              <w:t>响应报价合计（小写）</w:t>
            </w:r>
          </w:p>
        </w:tc>
        <w:tc>
          <w:tcPr>
            <w:tcW w:w="11266" w:type="dxa"/>
            <w:gridSpan w:val="6"/>
            <w:tcBorders>
              <w:tl2br w:val="nil"/>
              <w:tr2bl w:val="nil"/>
            </w:tcBorders>
            <w:shd w:val="clear" w:color="auto" w:fill="auto"/>
            <w:vAlign w:val="center"/>
          </w:tcPr>
          <w:p>
            <w:pPr>
              <w:widowControl/>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1" w:hRule="atLeast"/>
        </w:trPr>
        <w:tc>
          <w:tcPr>
            <w:tcW w:w="2811" w:type="dxa"/>
            <w:gridSpan w:val="2"/>
            <w:tcBorders>
              <w:tl2br w:val="nil"/>
              <w:tr2bl w:val="nil"/>
            </w:tcBorders>
            <w:shd w:val="clear" w:color="auto" w:fill="auto"/>
            <w:vAlign w:val="center"/>
          </w:tcPr>
          <w:p>
            <w:pPr>
              <w:widowControl/>
              <w:jc w:val="center"/>
              <w:rPr>
                <w:rFonts w:hint="eastAsia" w:ascii="宋体" w:hAnsi="宋体" w:eastAsia="宋体" w:cs="宋体"/>
                <w:i w:val="0"/>
                <w:iCs w:val="0"/>
                <w:color w:val="000000"/>
                <w:kern w:val="0"/>
                <w:sz w:val="24"/>
                <w:szCs w:val="24"/>
                <w:u w:val="none"/>
                <w:lang w:val="en-US" w:eastAsia="zh-CN" w:bidi="ar"/>
              </w:rPr>
            </w:pPr>
            <w:r>
              <w:rPr>
                <w:rFonts w:hint="eastAsia" w:cs="仿宋" w:asciiTheme="minorEastAsia" w:hAnsiTheme="minorEastAsia"/>
                <w:b/>
                <w:sz w:val="24"/>
              </w:rPr>
              <w:t>响应报价合计（大写）</w:t>
            </w:r>
          </w:p>
        </w:tc>
        <w:tc>
          <w:tcPr>
            <w:tcW w:w="11266" w:type="dxa"/>
            <w:gridSpan w:val="6"/>
            <w:tcBorders>
              <w:tl2br w:val="nil"/>
              <w:tr2bl w:val="nil"/>
            </w:tcBorders>
            <w:shd w:val="clear" w:color="auto" w:fill="auto"/>
            <w:vAlign w:val="center"/>
          </w:tcPr>
          <w:p>
            <w:pPr>
              <w:widowControl/>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2" w:hRule="atLeast"/>
        </w:trPr>
        <w:tc>
          <w:tcPr>
            <w:tcW w:w="2811" w:type="dxa"/>
            <w:gridSpan w:val="2"/>
            <w:tcBorders>
              <w:tl2br w:val="nil"/>
              <w:tr2bl w:val="nil"/>
            </w:tcBorders>
            <w:shd w:val="clear" w:color="auto" w:fill="auto"/>
            <w:vAlign w:val="center"/>
          </w:tcPr>
          <w:p>
            <w:pPr>
              <w:widowControl/>
              <w:jc w:val="center"/>
              <w:rPr>
                <w:rFonts w:hint="eastAsia" w:ascii="宋体" w:hAnsi="宋体" w:eastAsia="宋体" w:cs="宋体"/>
                <w:i w:val="0"/>
                <w:iCs w:val="0"/>
                <w:color w:val="000000"/>
                <w:kern w:val="0"/>
                <w:sz w:val="24"/>
                <w:szCs w:val="24"/>
                <w:u w:val="none"/>
                <w:lang w:val="en-US" w:eastAsia="zh-CN" w:bidi="ar"/>
              </w:rPr>
            </w:pPr>
            <w:r>
              <w:rPr>
                <w:rFonts w:hint="eastAsia" w:cs="仿宋" w:asciiTheme="minorEastAsia" w:hAnsiTheme="minorEastAsia"/>
                <w:b/>
                <w:sz w:val="24"/>
              </w:rPr>
              <w:t>税率</w:t>
            </w:r>
          </w:p>
        </w:tc>
        <w:tc>
          <w:tcPr>
            <w:tcW w:w="11266" w:type="dxa"/>
            <w:gridSpan w:val="6"/>
            <w:tcBorders>
              <w:tl2br w:val="nil"/>
              <w:tr2bl w:val="nil"/>
            </w:tcBorders>
            <w:shd w:val="clear" w:color="auto" w:fill="auto"/>
            <w:vAlign w:val="center"/>
          </w:tcPr>
          <w:p>
            <w:pPr>
              <w:widowControl/>
              <w:jc w:val="center"/>
              <w:rPr>
                <w:rFonts w:hint="eastAsia" w:cs="仿宋" w:asciiTheme="minorEastAsia" w:hAnsiTheme="minorEastAsia"/>
                <w:sz w:val="24"/>
                <w:u w:val="single"/>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pStyle w:val="2"/>
        <w:rPr>
          <w:rFonts w:hint="eastAsia" w:cs="仿宋" w:asciiTheme="minorEastAsia" w:hAnsiTheme="minorEastAsia"/>
          <w:b/>
          <w:kern w:val="0"/>
          <w:sz w:val="24"/>
          <w:lang w:val="zh-CN"/>
        </w:rPr>
      </w:pPr>
    </w:p>
    <w:p>
      <w:pPr>
        <w:rPr>
          <w:rFonts w:hint="eastAsia" w:cs="仿宋" w:asciiTheme="minorEastAsia" w:hAnsiTheme="minorEastAsia"/>
          <w:b/>
          <w:kern w:val="0"/>
          <w:sz w:val="24"/>
          <w:lang w:val="zh-CN"/>
        </w:rPr>
      </w:pPr>
    </w:p>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r>
        <w:rPr>
          <w:rFonts w:hint="eastAsia" w:ascii="宋体" w:hAnsi="宋体" w:cs="宋体"/>
          <w:kern w:val="0"/>
          <w:sz w:val="24"/>
          <w:lang w:val="zh-CN"/>
        </w:rPr>
        <w:t>3、特别提示：采购人将对项目名称和项目编号，成交供应商名称、成交金额予以公示。</w:t>
      </w:r>
    </w:p>
    <w:p>
      <w:pPr>
        <w:spacing w:line="360" w:lineRule="auto"/>
        <w:jc w:val="center"/>
        <w:rPr>
          <w:rFonts w:cs="仿宋" w:asciiTheme="minorEastAsia" w:hAnsiTheme="minorEastAsia"/>
          <w:b/>
          <w:spacing w:val="6"/>
          <w:sz w:val="32"/>
          <w:szCs w:val="32"/>
        </w:rPr>
      </w:pPr>
      <w:bookmarkStart w:id="519" w:name="_Toc465665161"/>
      <w:r>
        <w:rPr>
          <w:rFonts w:hint="eastAsia" w:cs="宋体" w:asciiTheme="minorEastAsia" w:hAnsiTheme="minorEastAsia"/>
          <w:b/>
          <w:bCs/>
          <w:kern w:val="44"/>
          <w:sz w:val="44"/>
          <w:szCs w:val="44"/>
        </w:rPr>
        <w:t>附件</w:t>
      </w:r>
      <w:bookmarkEnd w:id="519"/>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5"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6"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2024年临江公司费斯托备件采购项目（重新询价）</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202404035-1</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w:t>
      </w:r>
      <w:r>
        <w:rPr>
          <w:rFonts w:hint="eastAsia" w:cs="仿宋" w:asciiTheme="minorEastAsia" w:hAnsiTheme="minorEastAsia"/>
          <w:bCs/>
          <w:sz w:val="24"/>
          <w:lang w:eastAsia="zh-CN"/>
        </w:rPr>
        <w:t>做如下</w:t>
      </w:r>
      <w:r>
        <w:rPr>
          <w:rFonts w:hint="eastAsia" w:cs="仿宋" w:asciiTheme="minorEastAsia" w:hAnsiTheme="minorEastAsia"/>
          <w:bCs/>
          <w:sz w:val="24"/>
        </w:rPr>
        <w:t>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3360"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3120;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rPr>
          <w:rFonts w:hint="eastAsia" w:cs="仿宋" w:asciiTheme="minorEastAsia" w:hAnsiTheme="minorEastAsia"/>
          <w:b/>
          <w:spacing w:val="6"/>
          <w:sz w:val="32"/>
          <w:szCs w:val="32"/>
        </w:rPr>
      </w:pPr>
      <w:r>
        <w:rPr>
          <w:rFonts w:hint="eastAsia" w:cs="仿宋" w:asciiTheme="minorEastAsia" w:hAnsiTheme="minorEastAsia"/>
          <w:b/>
          <w:spacing w:val="6"/>
          <w:sz w:val="32"/>
          <w:szCs w:val="32"/>
        </w:rPr>
        <w:br w:type="page"/>
      </w: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若成为2024年临江公司费斯托备件采购项目（重新询价）（项目编号：</w:t>
      </w:r>
      <w:r>
        <w:rPr>
          <w:rFonts w:hint="eastAsia" w:cs="仿宋" w:asciiTheme="minorEastAsia" w:hAnsiTheme="minorEastAsia"/>
          <w:kern w:val="0"/>
          <w:sz w:val="24"/>
          <w:lang w:val="zh-CN" w:eastAsia="zh-CN"/>
        </w:rPr>
        <w:t>202404035-1</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4"/>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7"/>
      </w:pPr>
    </w:p>
    <w:p>
      <w:pPr>
        <w:pStyle w:val="8"/>
      </w:pPr>
    </w:p>
    <w:p>
      <w:pPr>
        <w:pStyle w:val="14"/>
      </w:pPr>
    </w:p>
    <w:p/>
    <w:p>
      <w:pPr>
        <w:pStyle w:val="10"/>
        <w:spacing w:before="100" w:beforeAutospacing="1" w:after="100" w:afterAutospacing="1" w:line="360" w:lineRule="auto"/>
        <w:jc w:val="both"/>
        <w:rPr>
          <w:rFonts w:hAnsi="宋体" w:cs="宋体"/>
          <w:b/>
          <w:sz w:val="32"/>
          <w:szCs w:val="32"/>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ascii="宋体" w:hAnsi="宋体" w:cs="宋体"/>
          <w:sz w:val="24"/>
          <w:lang w:val="en-US" w:eastAsia="zh-CN"/>
        </w:rPr>
        <w:t xml:space="preserve"> 2024年临江公司费斯托备件采购项目（重新询价）（项目编号：202404035-1）的报价</w:t>
      </w:r>
      <w:r>
        <w:rPr>
          <w:rFonts w:hint="eastAsia" w:ascii="宋体" w:hAnsi="宋体" w:cs="宋体"/>
          <w:sz w:val="24"/>
        </w:rPr>
        <w:t>，现申请退还该笔</w:t>
      </w:r>
      <w:r>
        <w:rPr>
          <w:rFonts w:hint="eastAsia" w:ascii="宋体" w:hAnsi="宋体" w:cs="宋体"/>
          <w:sz w:val="24"/>
          <w:lang w:eastAsia="zh-CN"/>
        </w:rPr>
        <w:t>相应</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7"/>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（采购项目名称） </w:t>
      </w:r>
      <w:r>
        <w:rPr>
          <w:rFonts w:hint="eastAsia" w:ascii="宋体" w:hAnsi="宋体" w:cs="宋体"/>
          <w:sz w:val="24"/>
        </w:rPr>
        <w:t>项目（采购编号</w:t>
      </w:r>
      <w:r>
        <w:rPr>
          <w:rFonts w:hint="eastAsia" w:ascii="宋体" w:hAnsi="宋体" w:cs="宋体"/>
          <w:sz w:val="24"/>
          <w:u w:val="single"/>
        </w:rPr>
        <w:t xml:space="preserve">          </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             ），小写（RMB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autoSpaceDE w:val="0"/>
        <w:autoSpaceDN w:val="0"/>
        <w:rPr>
          <w:rFonts w:cs="仿宋" w:asciiTheme="minorEastAsia" w:hAnsiTheme="minorEastAsia"/>
          <w:b/>
          <w:spacing w:val="6"/>
          <w:sz w:val="32"/>
          <w:szCs w:val="32"/>
        </w:rPr>
      </w:pPr>
    </w:p>
    <w:p/>
    <w:sectPr>
      <w:footerReference r:id="rId17"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仿宋_GB2312">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jODNjNjE4Y2U2ZWJjYTMzYTk3NGZjY2FkYmE1ZGUifQ=="/>
  </w:docVars>
  <w:rsids>
    <w:rsidRoot w:val="004E73AF"/>
    <w:rsid w:val="00035004"/>
    <w:rsid w:val="00074C89"/>
    <w:rsid w:val="001133B9"/>
    <w:rsid w:val="001147F1"/>
    <w:rsid w:val="001165E0"/>
    <w:rsid w:val="00127A0A"/>
    <w:rsid w:val="00136EC0"/>
    <w:rsid w:val="00141074"/>
    <w:rsid w:val="001A51AD"/>
    <w:rsid w:val="00211F61"/>
    <w:rsid w:val="0022087B"/>
    <w:rsid w:val="00274DBE"/>
    <w:rsid w:val="00283997"/>
    <w:rsid w:val="002917F0"/>
    <w:rsid w:val="002A3CA8"/>
    <w:rsid w:val="002D7D54"/>
    <w:rsid w:val="00315D0F"/>
    <w:rsid w:val="00317CD4"/>
    <w:rsid w:val="00326A15"/>
    <w:rsid w:val="00344361"/>
    <w:rsid w:val="00350FC4"/>
    <w:rsid w:val="003513B0"/>
    <w:rsid w:val="00395767"/>
    <w:rsid w:val="003E07FE"/>
    <w:rsid w:val="003F7D49"/>
    <w:rsid w:val="00431394"/>
    <w:rsid w:val="00433F80"/>
    <w:rsid w:val="00466F38"/>
    <w:rsid w:val="00481CD1"/>
    <w:rsid w:val="00483A46"/>
    <w:rsid w:val="004A590E"/>
    <w:rsid w:val="004B0AA1"/>
    <w:rsid w:val="004B7D77"/>
    <w:rsid w:val="004C73BB"/>
    <w:rsid w:val="004D4360"/>
    <w:rsid w:val="004E1503"/>
    <w:rsid w:val="004E73AF"/>
    <w:rsid w:val="004F0AF5"/>
    <w:rsid w:val="004F7A0D"/>
    <w:rsid w:val="00505519"/>
    <w:rsid w:val="005957D7"/>
    <w:rsid w:val="005975A7"/>
    <w:rsid w:val="005C3DA6"/>
    <w:rsid w:val="005F661C"/>
    <w:rsid w:val="00611983"/>
    <w:rsid w:val="006C4E8F"/>
    <w:rsid w:val="006E50E5"/>
    <w:rsid w:val="006F4F36"/>
    <w:rsid w:val="007357A7"/>
    <w:rsid w:val="00742650"/>
    <w:rsid w:val="007534BC"/>
    <w:rsid w:val="00776144"/>
    <w:rsid w:val="00786ECB"/>
    <w:rsid w:val="007A463C"/>
    <w:rsid w:val="00816543"/>
    <w:rsid w:val="00867F45"/>
    <w:rsid w:val="00875BDC"/>
    <w:rsid w:val="00890CAB"/>
    <w:rsid w:val="00892E4C"/>
    <w:rsid w:val="00903B90"/>
    <w:rsid w:val="00935EC2"/>
    <w:rsid w:val="00942F39"/>
    <w:rsid w:val="009600FE"/>
    <w:rsid w:val="00966874"/>
    <w:rsid w:val="009736C6"/>
    <w:rsid w:val="00975FC5"/>
    <w:rsid w:val="00A17A16"/>
    <w:rsid w:val="00A3330D"/>
    <w:rsid w:val="00A46601"/>
    <w:rsid w:val="00A51191"/>
    <w:rsid w:val="00A630D7"/>
    <w:rsid w:val="00A73D11"/>
    <w:rsid w:val="00A905AF"/>
    <w:rsid w:val="00A90F9A"/>
    <w:rsid w:val="00AD63C2"/>
    <w:rsid w:val="00B07847"/>
    <w:rsid w:val="00B1484D"/>
    <w:rsid w:val="00B95EBA"/>
    <w:rsid w:val="00BC2A0C"/>
    <w:rsid w:val="00BE1D3B"/>
    <w:rsid w:val="00C230CA"/>
    <w:rsid w:val="00C3645A"/>
    <w:rsid w:val="00CD43E8"/>
    <w:rsid w:val="00CF62BF"/>
    <w:rsid w:val="00D00625"/>
    <w:rsid w:val="00D31B45"/>
    <w:rsid w:val="00D32664"/>
    <w:rsid w:val="00D627B0"/>
    <w:rsid w:val="00D746C1"/>
    <w:rsid w:val="00D90BE0"/>
    <w:rsid w:val="00DC01CF"/>
    <w:rsid w:val="00E81C9E"/>
    <w:rsid w:val="00ED40A4"/>
    <w:rsid w:val="00EF4861"/>
    <w:rsid w:val="00F05858"/>
    <w:rsid w:val="00F37DBE"/>
    <w:rsid w:val="00F97F02"/>
    <w:rsid w:val="013853AC"/>
    <w:rsid w:val="023E1286"/>
    <w:rsid w:val="030669ED"/>
    <w:rsid w:val="032B7E17"/>
    <w:rsid w:val="034B5FC8"/>
    <w:rsid w:val="036F6D1F"/>
    <w:rsid w:val="04E634F4"/>
    <w:rsid w:val="0560423F"/>
    <w:rsid w:val="05B622F4"/>
    <w:rsid w:val="06803F38"/>
    <w:rsid w:val="07013F3A"/>
    <w:rsid w:val="078B333A"/>
    <w:rsid w:val="07C24B12"/>
    <w:rsid w:val="07D15ABF"/>
    <w:rsid w:val="087E795F"/>
    <w:rsid w:val="09360ABE"/>
    <w:rsid w:val="09EC7123"/>
    <w:rsid w:val="09ED56C9"/>
    <w:rsid w:val="0B530D41"/>
    <w:rsid w:val="0BF7590B"/>
    <w:rsid w:val="0C492847"/>
    <w:rsid w:val="0CF31D21"/>
    <w:rsid w:val="0F111837"/>
    <w:rsid w:val="0F81598B"/>
    <w:rsid w:val="0FAF77EB"/>
    <w:rsid w:val="0FB91E94"/>
    <w:rsid w:val="112E5100"/>
    <w:rsid w:val="11C46A46"/>
    <w:rsid w:val="123211CE"/>
    <w:rsid w:val="12AC7BF1"/>
    <w:rsid w:val="12E110C3"/>
    <w:rsid w:val="143E2438"/>
    <w:rsid w:val="15CB2DA0"/>
    <w:rsid w:val="16583B40"/>
    <w:rsid w:val="166F3635"/>
    <w:rsid w:val="16806E74"/>
    <w:rsid w:val="17337317"/>
    <w:rsid w:val="17AF353E"/>
    <w:rsid w:val="185870FA"/>
    <w:rsid w:val="185A544F"/>
    <w:rsid w:val="18890233"/>
    <w:rsid w:val="190D49C0"/>
    <w:rsid w:val="19141666"/>
    <w:rsid w:val="198737C7"/>
    <w:rsid w:val="19976A31"/>
    <w:rsid w:val="19DC6BDA"/>
    <w:rsid w:val="1A175584"/>
    <w:rsid w:val="1AA56FDE"/>
    <w:rsid w:val="1B1B25BA"/>
    <w:rsid w:val="1B7913A6"/>
    <w:rsid w:val="1D61352C"/>
    <w:rsid w:val="1DFA0457"/>
    <w:rsid w:val="1E3D5AD5"/>
    <w:rsid w:val="1E5F5CBE"/>
    <w:rsid w:val="1E8307F5"/>
    <w:rsid w:val="1EEB52A4"/>
    <w:rsid w:val="1F457921"/>
    <w:rsid w:val="20D12777"/>
    <w:rsid w:val="20FB672E"/>
    <w:rsid w:val="213339C4"/>
    <w:rsid w:val="21677697"/>
    <w:rsid w:val="228D26CE"/>
    <w:rsid w:val="22916FA5"/>
    <w:rsid w:val="247C6E9E"/>
    <w:rsid w:val="25650E5F"/>
    <w:rsid w:val="26010880"/>
    <w:rsid w:val="26D26659"/>
    <w:rsid w:val="26F15921"/>
    <w:rsid w:val="294E0F60"/>
    <w:rsid w:val="2987716A"/>
    <w:rsid w:val="29AE18A7"/>
    <w:rsid w:val="2A6366FF"/>
    <w:rsid w:val="2B3D5BF4"/>
    <w:rsid w:val="2BD1572D"/>
    <w:rsid w:val="2C4141D8"/>
    <w:rsid w:val="2EE04B90"/>
    <w:rsid w:val="2F4D3609"/>
    <w:rsid w:val="2F5836E9"/>
    <w:rsid w:val="30062480"/>
    <w:rsid w:val="30556F21"/>
    <w:rsid w:val="308C5F1F"/>
    <w:rsid w:val="31111553"/>
    <w:rsid w:val="314B6E80"/>
    <w:rsid w:val="321D777A"/>
    <w:rsid w:val="32843E96"/>
    <w:rsid w:val="336049BB"/>
    <w:rsid w:val="33F24A86"/>
    <w:rsid w:val="34454474"/>
    <w:rsid w:val="34AF40BC"/>
    <w:rsid w:val="36162BCB"/>
    <w:rsid w:val="36A71B58"/>
    <w:rsid w:val="36B41FB6"/>
    <w:rsid w:val="37103BA1"/>
    <w:rsid w:val="37514AF4"/>
    <w:rsid w:val="377C0298"/>
    <w:rsid w:val="37B04D36"/>
    <w:rsid w:val="37C62712"/>
    <w:rsid w:val="39C31C6C"/>
    <w:rsid w:val="3A6303AE"/>
    <w:rsid w:val="3A971178"/>
    <w:rsid w:val="3A993EAE"/>
    <w:rsid w:val="3AB61186"/>
    <w:rsid w:val="3B1E2F1E"/>
    <w:rsid w:val="3BE73C23"/>
    <w:rsid w:val="3C283344"/>
    <w:rsid w:val="3C485F9D"/>
    <w:rsid w:val="3C7C70D7"/>
    <w:rsid w:val="3C940DD1"/>
    <w:rsid w:val="3CC56A1B"/>
    <w:rsid w:val="3DB21669"/>
    <w:rsid w:val="3E0C6463"/>
    <w:rsid w:val="3EE43BF5"/>
    <w:rsid w:val="401C129D"/>
    <w:rsid w:val="403E57B7"/>
    <w:rsid w:val="411A0F39"/>
    <w:rsid w:val="414D0673"/>
    <w:rsid w:val="415A5C88"/>
    <w:rsid w:val="41CE08E1"/>
    <w:rsid w:val="42112513"/>
    <w:rsid w:val="42114191"/>
    <w:rsid w:val="42646A77"/>
    <w:rsid w:val="42A8742D"/>
    <w:rsid w:val="433C7ACC"/>
    <w:rsid w:val="435518AD"/>
    <w:rsid w:val="43C04259"/>
    <w:rsid w:val="43FF7FEC"/>
    <w:rsid w:val="44C67F95"/>
    <w:rsid w:val="4559568A"/>
    <w:rsid w:val="45A47533"/>
    <w:rsid w:val="45FB363F"/>
    <w:rsid w:val="46A51706"/>
    <w:rsid w:val="46BC402D"/>
    <w:rsid w:val="472961BF"/>
    <w:rsid w:val="475528CD"/>
    <w:rsid w:val="476B5921"/>
    <w:rsid w:val="47B265AF"/>
    <w:rsid w:val="496717C4"/>
    <w:rsid w:val="4A063A4F"/>
    <w:rsid w:val="4A875AD1"/>
    <w:rsid w:val="4AE27CAC"/>
    <w:rsid w:val="4B077E72"/>
    <w:rsid w:val="4B1B2ECF"/>
    <w:rsid w:val="4B6E282F"/>
    <w:rsid w:val="4BAC48C9"/>
    <w:rsid w:val="4BB27DC6"/>
    <w:rsid w:val="4C6530B0"/>
    <w:rsid w:val="4CEA2347"/>
    <w:rsid w:val="4D243428"/>
    <w:rsid w:val="4D2D7FC0"/>
    <w:rsid w:val="4D804DF7"/>
    <w:rsid w:val="4E1E04FA"/>
    <w:rsid w:val="4EFA25EF"/>
    <w:rsid w:val="4F9246A8"/>
    <w:rsid w:val="4FEB08B0"/>
    <w:rsid w:val="50A13664"/>
    <w:rsid w:val="51937E4D"/>
    <w:rsid w:val="51C11B97"/>
    <w:rsid w:val="52383592"/>
    <w:rsid w:val="523875F5"/>
    <w:rsid w:val="52506204"/>
    <w:rsid w:val="53FA1DF3"/>
    <w:rsid w:val="54AB2D04"/>
    <w:rsid w:val="54DA02E3"/>
    <w:rsid w:val="557B35BC"/>
    <w:rsid w:val="565C1CF5"/>
    <w:rsid w:val="571F3A0C"/>
    <w:rsid w:val="573251FB"/>
    <w:rsid w:val="57F2034A"/>
    <w:rsid w:val="58207565"/>
    <w:rsid w:val="58235318"/>
    <w:rsid w:val="59121C77"/>
    <w:rsid w:val="59176EF5"/>
    <w:rsid w:val="59DE0E09"/>
    <w:rsid w:val="59DF6851"/>
    <w:rsid w:val="5A283DD0"/>
    <w:rsid w:val="5ACD76EE"/>
    <w:rsid w:val="5AD36B10"/>
    <w:rsid w:val="5B366E46"/>
    <w:rsid w:val="5B3D7F5F"/>
    <w:rsid w:val="5B460326"/>
    <w:rsid w:val="5C2130A7"/>
    <w:rsid w:val="5F0279C4"/>
    <w:rsid w:val="5F944466"/>
    <w:rsid w:val="60844C26"/>
    <w:rsid w:val="60992897"/>
    <w:rsid w:val="60A9029A"/>
    <w:rsid w:val="60FA16F8"/>
    <w:rsid w:val="6139287F"/>
    <w:rsid w:val="63CF15A0"/>
    <w:rsid w:val="65A92947"/>
    <w:rsid w:val="661A50B7"/>
    <w:rsid w:val="673E5F91"/>
    <w:rsid w:val="67D6317A"/>
    <w:rsid w:val="67D649B5"/>
    <w:rsid w:val="68ED6365"/>
    <w:rsid w:val="6A4E3ABD"/>
    <w:rsid w:val="6AE63D7E"/>
    <w:rsid w:val="6B462C2B"/>
    <w:rsid w:val="6B8359E9"/>
    <w:rsid w:val="6BD277B9"/>
    <w:rsid w:val="6C321620"/>
    <w:rsid w:val="6DA02882"/>
    <w:rsid w:val="6DA12E69"/>
    <w:rsid w:val="6DBB3B60"/>
    <w:rsid w:val="6F0B4673"/>
    <w:rsid w:val="6F8E6CAC"/>
    <w:rsid w:val="7002693B"/>
    <w:rsid w:val="700E4F44"/>
    <w:rsid w:val="70173239"/>
    <w:rsid w:val="711D3FA5"/>
    <w:rsid w:val="721A5B23"/>
    <w:rsid w:val="72B931C1"/>
    <w:rsid w:val="734A515C"/>
    <w:rsid w:val="73604AC1"/>
    <w:rsid w:val="737C09CA"/>
    <w:rsid w:val="738D03F5"/>
    <w:rsid w:val="73E442FB"/>
    <w:rsid w:val="767E5B01"/>
    <w:rsid w:val="76DE154F"/>
    <w:rsid w:val="778F44F9"/>
    <w:rsid w:val="77F2017E"/>
    <w:rsid w:val="79017606"/>
    <w:rsid w:val="79D7762B"/>
    <w:rsid w:val="79EB254B"/>
    <w:rsid w:val="7A734930"/>
    <w:rsid w:val="7BA82ABD"/>
    <w:rsid w:val="7C757EAB"/>
    <w:rsid w:val="7CB60B59"/>
    <w:rsid w:val="7D0A41BC"/>
    <w:rsid w:val="7D0A4B32"/>
    <w:rsid w:val="7D5714A9"/>
    <w:rsid w:val="7D797C2B"/>
    <w:rsid w:val="7DAC6A56"/>
    <w:rsid w:val="7E381ACE"/>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link w:val="34"/>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link w:val="33"/>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修订1"/>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3"/>
    <w:autoRedefine/>
    <w:qFormat/>
    <w:uiPriority w:val="0"/>
  </w:style>
  <w:style w:type="character" w:customStyle="1" w:styleId="33">
    <w:name w:val="正文文本首行缩进 字符"/>
    <w:basedOn w:val="17"/>
    <w:link w:val="8"/>
    <w:autoRedefine/>
    <w:qFormat/>
    <w:uiPriority w:val="0"/>
    <w:rPr>
      <w:rFonts w:ascii="宋体" w:eastAsiaTheme="minorEastAsia"/>
      <w:kern w:val="2"/>
      <w:sz w:val="24"/>
      <w:lang w:val="zh-CN"/>
    </w:rPr>
  </w:style>
  <w:style w:type="character" w:customStyle="1" w:styleId="34">
    <w:name w:val="正文文本 字符"/>
    <w:basedOn w:val="17"/>
    <w:link w:val="7"/>
    <w:autoRedefine/>
    <w:qFormat/>
    <w:uiPriority w:val="99"/>
    <w:rPr>
      <w:rFonts w:ascii="宋体" w:hAnsi="Arial" w:cs="Arial" w:eastAsiaTheme="minorEastAsia"/>
      <w:snapToGrid w:val="0"/>
      <w:kern w:val="2"/>
      <w:sz w:val="24"/>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4753</Words>
  <Characters>27094</Characters>
  <Lines>225</Lines>
  <Paragraphs>63</Paragraphs>
  <TotalTime>0</TotalTime>
  <ScaleCrop>false</ScaleCrop>
  <LinksUpToDate>false</LinksUpToDate>
  <CharactersWithSpaces>31784</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文档存本地丢失不负责</cp:lastModifiedBy>
  <dcterms:modified xsi:type="dcterms:W3CDTF">2024-05-09T08:09:37Z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B8A9BE93123146EF81B7119B9D9F6625_13</vt:lpwstr>
  </property>
</Properties>
</file>