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p>
    <w:p>
      <w:pPr>
        <w:keepNext w:val="0"/>
        <w:keepLines w:val="0"/>
        <w:widowControl/>
        <w:suppressLineNumbers w:val="0"/>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2024年临江公司地下水隐患排查治理咨询服务项目</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default"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202405010</w:t>
      </w:r>
    </w:p>
    <w:p>
      <w:pPr>
        <w:spacing w:line="360" w:lineRule="auto"/>
        <w:jc w:val="center"/>
        <w:rPr>
          <w:rFonts w:cs="仿宋" w:asciiTheme="minorEastAsia" w:hAnsiTheme="minorEastAsia"/>
          <w:b/>
          <w:bCs/>
          <w:color w:val="auto"/>
          <w:sz w:val="72"/>
          <w:szCs w:val="72"/>
        </w:rPr>
      </w:pPr>
    </w:p>
    <w:p>
      <w:pPr>
        <w:pStyle w:val="6"/>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8"/>
        <w:rPr>
          <w:color w:val="auto"/>
        </w:rPr>
      </w:pPr>
    </w:p>
    <w:p>
      <w:pPr>
        <w:rPr>
          <w:color w:val="auto"/>
        </w:rPr>
      </w:pPr>
    </w:p>
    <w:p>
      <w:pPr>
        <w:pStyle w:val="8"/>
        <w:rPr>
          <w:color w:val="auto"/>
        </w:rPr>
      </w:pPr>
    </w:p>
    <w:p>
      <w:pPr>
        <w:rPr>
          <w:color w:val="auto"/>
        </w:rPr>
      </w:pPr>
    </w:p>
    <w:p>
      <w:pPr>
        <w:spacing w:line="360" w:lineRule="auto"/>
        <w:rPr>
          <w:rFonts w:cs="仿宋" w:asciiTheme="minorEastAsia" w:hAnsiTheme="minorEastAsia"/>
          <w:color w:val="auto"/>
          <w:sz w:val="24"/>
        </w:rPr>
      </w:pPr>
    </w:p>
    <w:p>
      <w:pPr>
        <w:pStyle w:val="8"/>
        <w:rPr>
          <w:rFonts w:cs="仿宋" w:asciiTheme="minorEastAsia" w:hAnsiTheme="minorEastAsia"/>
          <w:color w:val="auto"/>
          <w:sz w:val="24"/>
          <w:szCs w:val="24"/>
        </w:rPr>
      </w:pPr>
    </w:p>
    <w:p>
      <w:pPr>
        <w:pStyle w:val="8"/>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4</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月</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79"/>
      <w:bookmarkStart w:id="2" w:name="_Toc35393621"/>
      <w:bookmarkStart w:id="3" w:name="_Toc35393790"/>
      <w:bookmarkStart w:id="4" w:name="_Toc28359002"/>
      <w:bookmarkStart w:id="5" w:name="_Hlk24379207"/>
      <w:r>
        <w:rPr>
          <w:rFonts w:hint="eastAsia" w:cs="仿宋" w:asciiTheme="minorEastAsia" w:hAnsiTheme="minorEastAsia"/>
          <w:b/>
          <w:bCs/>
          <w:color w:val="auto"/>
          <w:sz w:val="24"/>
        </w:rPr>
        <w:t>项目概况</w:t>
      </w:r>
      <w:r>
        <w:rPr>
          <w:rFonts w:hint="eastAsia" w:cs="仿宋" w:asciiTheme="minorEastAsia" w:hAnsiTheme="minorEastAsia"/>
          <w:b/>
          <w:bCs/>
          <w:color w:val="auto"/>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2024年临江公司地下水隐患排查治理咨询服务项目</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202405010</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2024年临江公司地下水隐患排查治理咨询服务项目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highlight w:val="none"/>
          <w:u w:val="single"/>
          <w:lang w:val="en-US" w:eastAsia="zh-CN"/>
        </w:rPr>
        <w:t>18.5万元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spacing w:line="360" w:lineRule="auto"/>
        <w:ind w:firstLine="480" w:firstLineChars="200"/>
        <w:rPr>
          <w:rFonts w:hint="eastAsia" w:cs="仿宋" w:asciiTheme="minorEastAsia" w:hAnsiTheme="minorEastAsia"/>
          <w:bCs/>
          <w:sz w:val="24"/>
        </w:rPr>
      </w:pPr>
      <w:r>
        <w:rPr>
          <w:rFonts w:hint="eastAsia" w:cs="仿宋" w:asciiTheme="minorEastAsia" w:hAnsiTheme="minorEastAsia"/>
          <w:bCs/>
          <w:sz w:val="24"/>
          <w:lang w:val="en-US" w:eastAsia="zh-CN"/>
        </w:rPr>
        <w:t>为摸排临江公司地下水水质情况，及时发现地下水超标和后续治理相关地下水指标，确保地下水水质达标。根据《重点监管单位土壤污染隐患排查指南（试行）》（公告 2021 年第 1 号）等相关要求，需委托有资质的单位进行地下水隐患排查治理咨询工作，</w:t>
      </w:r>
      <w:r>
        <w:rPr>
          <w:rFonts w:hint="eastAsia" w:cs="仿宋" w:asciiTheme="minorEastAsia" w:hAnsiTheme="minorEastAsia"/>
          <w:bCs/>
          <w:sz w:val="24"/>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bCs/>
          <w:sz w:val="24"/>
          <w:u w:val="single"/>
          <w:lang w:val="en-US" w:eastAsia="zh-CN"/>
        </w:rPr>
        <w:t>合同签订起至完成所有报告及方案编制并通过专家评审（如有网上备案优先按照网上备案结束）为止。</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03"/>
      <w:bookmarkStart w:id="7" w:name="_Toc35393622"/>
      <w:bookmarkStart w:id="8" w:name="_Toc28359080"/>
      <w:bookmarkStart w:id="9" w:name="_Toc35393791"/>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04"/>
      <w:bookmarkStart w:id="11" w:name="_Toc35393623"/>
      <w:bookmarkStart w:id="12" w:name="_Toc35393792"/>
      <w:bookmarkStart w:id="13" w:name="_Toc28359081"/>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
          <w:bCs/>
          <w:color w:val="auto"/>
          <w:sz w:val="24"/>
          <w:lang w:eastAsia="zh-CN"/>
        </w:rPr>
      </w:pPr>
      <w:r>
        <w:rPr>
          <w:rFonts w:hint="eastAsia" w:ascii="宋体" w:hAnsi="宋体" w:eastAsia="宋体" w:cs="仿宋"/>
          <w:bCs/>
          <w:color w:val="auto"/>
          <w:sz w:val="24"/>
        </w:rPr>
        <w:t>2.近三年内，</w:t>
      </w:r>
      <w:r>
        <w:rPr>
          <w:rFonts w:hint="eastAsia" w:ascii="宋体" w:hAnsi="宋体" w:eastAsia="宋体" w:cs="仿宋"/>
          <w:bCs/>
          <w:color w:val="auto"/>
          <w:sz w:val="24"/>
          <w:lang w:val="en-US" w:eastAsia="zh-CN"/>
        </w:rPr>
        <w:t>供应商</w:t>
      </w:r>
      <w:r>
        <w:rPr>
          <w:rFonts w:hint="eastAsia" w:ascii="宋体" w:hAnsi="宋体" w:eastAsia="宋体" w:cs="仿宋"/>
          <w:bCs/>
          <w:color w:val="auto"/>
          <w:sz w:val="24"/>
        </w:rPr>
        <w:t>未被“信用中国”（www.creditchina.gov.cn）、中国政府采购网（www.ccgp.gov.cn）等官方网站列入失信被执行人、重大税收违法失信主体、政府采购严重违法失信行为等不良记录名单</w:t>
      </w:r>
      <w:r>
        <w:rPr>
          <w:rFonts w:hint="eastAsia" w:ascii="宋体" w:hAnsi="宋体" w:eastAsia="宋体" w:cs="仿宋"/>
          <w:bCs/>
          <w:color w:val="auto"/>
          <w:sz w:val="24"/>
          <w:lang w:val="en-US" w:eastAsia="zh-CN"/>
        </w:rPr>
        <w:t>且没有行政处罚</w:t>
      </w:r>
      <w:r>
        <w:rPr>
          <w:rFonts w:hint="eastAsia" w:ascii="宋体" w:hAnsi="宋体" w:eastAsia="宋体" w:cs="仿宋"/>
          <w:bCs/>
          <w:color w:val="auto"/>
          <w:sz w:val="24"/>
        </w:rPr>
        <w:t>等不良记录</w:t>
      </w:r>
      <w:r>
        <w:rPr>
          <w:rFonts w:hint="eastAsia" w:ascii="宋体" w:hAnsi="宋体" w:eastAsia="宋体" w:cs="仿宋"/>
          <w:bCs/>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lang w:val="en-US" w:eastAsia="zh-CN"/>
        </w:rPr>
      </w:pPr>
      <w:r>
        <w:rPr>
          <w:rFonts w:hint="eastAsia" w:cs="仿宋" w:asciiTheme="minorEastAsia" w:hAnsiTheme="minorEastAsia"/>
          <w:bCs/>
          <w:color w:val="auto"/>
          <w:sz w:val="24"/>
          <w:highlight w:val="none"/>
          <w:lang w:val="en-US" w:eastAsia="zh-CN"/>
        </w:rPr>
        <w:t>3.业绩要求：</w:t>
      </w:r>
      <w:r>
        <w:rPr>
          <w:rFonts w:hint="eastAsia" w:cs="仿宋" w:asciiTheme="minorEastAsia" w:hAnsiTheme="minorEastAsia"/>
          <w:bCs/>
          <w:color w:val="auto"/>
          <w:sz w:val="24"/>
          <w:highlight w:val="none"/>
          <w:u w:val="single"/>
          <w:lang w:val="en-US" w:eastAsia="zh-CN"/>
        </w:rPr>
        <w:t>/</w:t>
      </w:r>
      <w:r>
        <w:rPr>
          <w:rFonts w:hint="eastAsia" w:cs="仿宋" w:asciiTheme="minorEastAsia" w:hAnsiTheme="minorEastAsia"/>
          <w:bCs/>
          <w:color w:val="auto"/>
          <w:sz w:val="24"/>
          <w:highlight w:val="none"/>
          <w:lang w:val="en-US"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4</w:t>
      </w:r>
      <w:r>
        <w:rPr>
          <w:rFonts w:hint="eastAsia" w:cs="仿宋" w:asciiTheme="minorEastAsia" w:hAnsiTheme="minorEastAsia"/>
          <w:bCs/>
          <w:color w:val="auto"/>
          <w:sz w:val="24"/>
        </w:rPr>
        <w:t>.供应商不得为</w:t>
      </w:r>
      <w:r>
        <w:rPr>
          <w:rFonts w:hint="eastAsia" w:cs="仿宋" w:asciiTheme="minorEastAsia" w:hAnsiTheme="minorEastAsia"/>
          <w:bCs/>
          <w:color w:val="auto"/>
          <w:sz w:val="24"/>
          <w:lang w:eastAsia="zh-CN"/>
        </w:rPr>
        <w:t>杭州市环境集团有限公司或</w:t>
      </w:r>
      <w:r>
        <w:rPr>
          <w:rFonts w:hint="eastAsia" w:cs="仿宋" w:asciiTheme="minorEastAsia" w:hAnsiTheme="minorEastAsia"/>
          <w:bCs/>
          <w:color w:val="auto"/>
          <w:sz w:val="24"/>
        </w:rPr>
        <w:t>杭州临江环境能源有限公司不合格供应商或者在黑名单之内。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5</w:t>
      </w:r>
      <w:r>
        <w:rPr>
          <w:rFonts w:hint="eastAsia" w:cs="仿宋" w:asciiTheme="minorEastAsia" w:hAnsiTheme="minorEastAsia"/>
          <w:bCs/>
          <w:color w:val="auto"/>
          <w:sz w:val="24"/>
        </w:rPr>
        <w:t xml:space="preserve">.供应商负责人为同一人或者存在控股、管理关系的不同单位，不得同时参加本项目。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6</w:t>
      </w:r>
      <w:r>
        <w:rPr>
          <w:rFonts w:hint="eastAsia" w:cs="仿宋" w:asciiTheme="minorEastAsia" w:hAnsiTheme="minorEastAsia"/>
          <w:bCs/>
          <w:color w:val="auto"/>
          <w:sz w:val="24"/>
        </w:rPr>
        <w:t>.供应商须提供其股东信息及出资比例信息。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eastAsia" w:cs="仿宋" w:asciiTheme="minorEastAsia" w:hAnsiTheme="minorEastAsia"/>
          <w:bCs/>
          <w:color w:val="auto"/>
          <w:sz w:val="24"/>
          <w:lang w:val="en-US" w:eastAsia="zh-CN"/>
        </w:rPr>
        <w:t>7</w:t>
      </w:r>
      <w:r>
        <w:rPr>
          <w:rFonts w:hint="default" w:cs="仿宋" w:asciiTheme="minorEastAsia" w:hAnsiTheme="minorEastAsia"/>
          <w:bCs/>
          <w:color w:val="auto"/>
          <w:sz w:val="24"/>
          <w:lang w:val="en-US"/>
        </w:rPr>
        <w:t>.</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eastAsiaTheme="minorEastAsia"/>
          <w:b w:val="0"/>
          <w:bCs/>
          <w:color w:val="auto"/>
          <w:kern w:val="2"/>
          <w:sz w:val="24"/>
          <w:szCs w:val="24"/>
          <w:u w:val="single"/>
          <w:lang w:val="en-US" w:eastAsia="zh-CN" w:bidi="ar-SA"/>
        </w:rPr>
        <w:t xml:space="preserve"> 无 </w:t>
      </w:r>
      <w:r>
        <w:rPr>
          <w:rFonts w:hint="eastAsia" w:cs="仿宋" w:asciiTheme="minorEastAsia" w:hAnsiTheme="minorEastAsia" w:eastAsiaTheme="minorEastAsia"/>
          <w:b w:val="0"/>
          <w:bCs/>
          <w:color w:val="auto"/>
          <w:kern w:val="2"/>
          <w:sz w:val="24"/>
          <w:szCs w:val="24"/>
          <w:lang w:val="en-US" w:eastAsia="zh-CN" w:bidi="ar-SA"/>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793"/>
      <w:bookmarkStart w:id="15" w:name="_Toc35393624"/>
      <w:bookmarkStart w:id="16" w:name="_Toc28359082"/>
      <w:bookmarkStart w:id="17" w:name="_Toc28359005"/>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5</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20</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15</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bCs/>
          <w:color w:val="auto"/>
          <w:sz w:val="24"/>
          <w:u w:val="single"/>
        </w:rPr>
        <w:t>年</w:t>
      </w:r>
      <w:r>
        <w:rPr>
          <w:rFonts w:hint="eastAsia" w:cs="仿宋" w:asciiTheme="minorEastAsia" w:hAnsiTheme="minorEastAsia"/>
          <w:bCs/>
          <w:color w:val="auto"/>
          <w:sz w:val="24"/>
          <w:u w:val="single"/>
          <w:lang w:val="en-US" w:eastAsia="zh-CN"/>
        </w:rPr>
        <w:t>5月20</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15</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w:t>
      </w:r>
      <w:r>
        <w:rPr>
          <w:rFonts w:hint="eastAsia" w:cs="仿宋" w:asciiTheme="minorEastAsia" w:hAnsiTheme="minorEastAsia"/>
          <w:color w:val="auto"/>
          <w:sz w:val="24"/>
          <w:lang w:val="en-US" w:eastAsia="zh-CN"/>
        </w:rPr>
        <w:t>14</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0</w:t>
      </w:r>
      <w:r>
        <w:rPr>
          <w:rFonts w:hint="eastAsia" w:cs="仿宋" w:asciiTheme="minorEastAsia" w:hAnsiTheme="minorEastAsia"/>
          <w:color w:val="auto"/>
          <w:sz w:val="24"/>
        </w:rPr>
        <w:t>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color w:val="auto"/>
          <w:sz w:val="24"/>
          <w:u w:val="single"/>
          <w:lang w:eastAsia="zh-CN"/>
        </w:rPr>
        <w:t>ljgsbjzy@163.com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 xml:space="preserve">胡工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color w:val="auto"/>
          <w:sz w:val="24"/>
          <w:lang w:val="en-US" w:eastAsia="zh-CN"/>
        </w:rPr>
        <w:t xml:space="preserve">15700099079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eastAsia="zh-CN"/>
        </w:rPr>
        <w:t>九、</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w:t>
      </w:r>
      <w:r>
        <w:rPr>
          <w:rFonts w:hint="eastAsia" w:cs="仿宋" w:asciiTheme="minorEastAsia" w:hAnsiTheme="minorEastAsia"/>
          <w:color w:val="auto"/>
          <w:sz w:val="24"/>
          <w:highlight w:val="none"/>
          <w:lang w:eastAsia="zh-CN"/>
        </w:rPr>
        <w:t>环境能源</w:t>
      </w:r>
      <w:r>
        <w:rPr>
          <w:rFonts w:hint="eastAsia" w:cs="仿宋" w:asciiTheme="minorEastAsia" w:hAnsiTheme="minorEastAsia"/>
          <w:color w:val="auto"/>
          <w:sz w:val="24"/>
          <w:highlight w:val="none"/>
        </w:rPr>
        <w:t>有限公司</w:t>
      </w:r>
    </w:p>
    <w:p>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5月13</w:t>
      </w:r>
      <w:r>
        <w:rPr>
          <w:rFonts w:hint="eastAsia" w:cs="仿宋" w:asciiTheme="minorEastAsia" w:hAnsiTheme="minorEastAsia"/>
          <w:color w:val="auto"/>
          <w:sz w:val="24"/>
          <w:highlight w:val="none"/>
        </w:rPr>
        <w:t>日</w:t>
      </w:r>
    </w:p>
    <w:p>
      <w:pPr>
        <w:spacing w:line="460" w:lineRule="exact"/>
        <w:jc w:val="both"/>
        <w:rPr>
          <w:rFonts w:hint="eastAsia" w:cs="仿宋" w:asciiTheme="minorEastAsia" w:hAnsiTheme="minorEastAsia"/>
          <w:b/>
          <w:bCs/>
          <w:color w:val="auto"/>
          <w:sz w:val="36"/>
          <w:szCs w:val="36"/>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eastAsia="宋体" w:cs="宋体"/>
                <w:b/>
                <w:bCs w:val="0"/>
                <w:snapToGrid w:val="0"/>
                <w:color w:val="auto"/>
                <w:sz w:val="21"/>
                <w:szCs w:val="21"/>
                <w:lang w:eastAsia="zh-CN"/>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jc w:val="both"/>
              <w:rPr>
                <w:rFonts w:hint="eastAsia" w:ascii="宋体" w:hAnsi="宋体" w:eastAsia="宋体" w:cs="宋体"/>
                <w:color w:val="auto"/>
                <w:sz w:val="21"/>
                <w:szCs w:val="21"/>
              </w:rPr>
            </w:pPr>
            <w:r>
              <w:rPr>
                <w:rFonts w:hint="eastAsia" w:cs="宋体"/>
                <w:snapToGrid w:val="0"/>
                <w:color w:val="auto"/>
                <w:sz w:val="21"/>
                <w:szCs w:val="21"/>
                <w:lang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rFonts w:hint="eastAsia" w:ascii="宋体" w:hAnsi="宋体" w:eastAsia="宋体" w:cs="宋体"/>
                <w:b/>
                <w:bCs w:val="0"/>
                <w:snapToGrid w:val="0"/>
                <w:color w:val="auto"/>
                <w:sz w:val="21"/>
                <w:szCs w:val="21"/>
                <w:lang w:eastAsia="zh-CN"/>
              </w:rPr>
            </w:pPr>
            <w:r>
              <w:rPr>
                <w:rFonts w:hint="eastAsia"/>
                <w:b/>
                <w:bCs/>
                <w:snapToGrid w:val="0"/>
                <w:color w:val="auto"/>
                <w:sz w:val="21"/>
                <w:szCs w:val="21"/>
                <w:lang w:eastAsia="zh-CN"/>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 xml:space="preserve">供应商资格审查方式：  □资格预审  </w:t>
            </w:r>
            <w:r>
              <w:rPr>
                <w:rFonts w:hint="eastAsia"/>
                <w:snapToGrid w:val="0"/>
                <w:color w:val="auto"/>
                <w:sz w:val="21"/>
                <w:szCs w:val="21"/>
                <w:lang w:eastAsia="zh-CN"/>
              </w:rPr>
              <w:sym w:font="Wingdings 2" w:char="0052"/>
            </w:r>
            <w:r>
              <w:rPr>
                <w:rFonts w:hint="eastAsia"/>
                <w:snapToGrid w:val="0"/>
                <w:color w:val="auto"/>
                <w:sz w:val="21"/>
                <w:szCs w:val="21"/>
                <w:lang w:eastAsia="zh-CN"/>
              </w:rPr>
              <w:t>资格后审</w:t>
            </w:r>
          </w:p>
          <w:p>
            <w:pPr>
              <w:pStyle w:val="19"/>
              <w:snapToGrid w:val="0"/>
              <w:spacing w:line="400" w:lineRule="exact"/>
              <w:ind w:right="42" w:rightChars="20"/>
              <w:jc w:val="both"/>
              <w:rPr>
                <w:rFonts w:hint="eastAsia" w:ascii="宋体" w:hAnsi="宋体" w:eastAsia="宋体" w:cs="宋体"/>
                <w:snapToGrid w:val="0"/>
                <w:color w:val="auto"/>
                <w:sz w:val="21"/>
                <w:szCs w:val="21"/>
                <w:lang w:eastAsia="zh-CN"/>
              </w:rPr>
            </w:pPr>
            <w:r>
              <w:rPr>
                <w:rFonts w:hint="eastAsia"/>
                <w:snapToGrid w:val="0"/>
                <w:color w:val="auto"/>
                <w:sz w:val="21"/>
                <w:szCs w:val="21"/>
                <w:lang w:eastAsia="zh-CN"/>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（1）分包：</w:t>
            </w:r>
            <w:r>
              <w:rPr>
                <w:rFonts w:hint="eastAsia"/>
                <w:snapToGrid w:val="0"/>
                <w:color w:val="auto"/>
                <w:szCs w:val="21"/>
                <w:lang w:eastAsia="zh-CN"/>
              </w:rPr>
              <w:t>□</w:t>
            </w:r>
            <w:r>
              <w:rPr>
                <w:rFonts w:hint="eastAsia"/>
                <w:snapToGrid w:val="0"/>
                <w:color w:val="auto"/>
                <w:sz w:val="21"/>
                <w:szCs w:val="21"/>
                <w:lang w:eastAsia="zh-CN"/>
              </w:rPr>
              <w:t xml:space="preserve">允许  </w:t>
            </w:r>
            <w:r>
              <w:rPr>
                <w:rFonts w:hint="eastAsia"/>
                <w:color w:val="auto"/>
                <w:szCs w:val="21"/>
                <w:lang w:bidi="ar"/>
              </w:rPr>
              <w:sym w:font="Wingdings" w:char="00FE"/>
            </w:r>
            <w:r>
              <w:rPr>
                <w:rFonts w:hint="eastAsia"/>
                <w:snapToGrid w:val="0"/>
                <w:color w:val="auto"/>
                <w:sz w:val="21"/>
                <w:szCs w:val="21"/>
                <w:lang w:eastAsia="zh-CN"/>
              </w:rPr>
              <w:t>不允许</w:t>
            </w:r>
          </w:p>
          <w:p>
            <w:pPr>
              <w:pStyle w:val="19"/>
              <w:snapToGrid w:val="0"/>
              <w:spacing w:line="400" w:lineRule="exact"/>
              <w:ind w:right="42" w:rightChars="20"/>
              <w:jc w:val="both"/>
              <w:rPr>
                <w:rFonts w:hint="eastAsia" w:ascii="宋体" w:hAnsi="宋体" w:eastAsia="宋体" w:cs="宋体"/>
                <w:color w:val="auto"/>
                <w:sz w:val="21"/>
                <w:szCs w:val="21"/>
              </w:rPr>
            </w:pPr>
            <w:r>
              <w:rPr>
                <w:rFonts w:hint="eastAsia"/>
                <w:snapToGrid w:val="0"/>
                <w:color w:val="auto"/>
                <w:sz w:val="21"/>
                <w:szCs w:val="21"/>
                <w:lang w:eastAsia="zh-CN"/>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7"/>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8"/>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r>
              <w:rPr>
                <w:rFonts w:hint="eastAsia" w:ascii="宋体" w:hAnsi="宋体" w:eastAsia="宋体" w:cs="宋体"/>
                <w:color w:val="auto"/>
                <w:kern w:val="0"/>
                <w:sz w:val="21"/>
                <w:szCs w:val="21"/>
              </w:rPr>
              <w:t>B组织，</w:t>
            </w:r>
            <w:r>
              <w:rPr>
                <w:rFonts w:hint="eastAsia" w:ascii="宋体" w:hAnsi="宋体" w:eastAsia="宋体" w:cs="宋体"/>
                <w:color w:val="auto"/>
                <w:sz w:val="21"/>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不要求提供。</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B要求提供。</w:t>
            </w:r>
          </w:p>
          <w:p>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lang w:eastAsia="zh-CN"/>
              </w:rPr>
              <w:t>潜在供应商</w:t>
            </w:r>
            <w:r>
              <w:rPr>
                <w:rFonts w:hint="eastAsia" w:ascii="宋体" w:hAnsi="宋体" w:eastAsia="宋体" w:cs="宋体"/>
                <w:color w:val="auto"/>
                <w:sz w:val="21"/>
                <w:szCs w:val="21"/>
              </w:rPr>
              <w:t>需要提供</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b w:val="0"/>
                <w:bCs w:val="0"/>
                <w:color w:val="auto"/>
                <w:sz w:val="21"/>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b/>
                <w:bCs w:val="0"/>
                <w:color w:val="auto"/>
                <w:sz w:val="21"/>
                <w:szCs w:val="21"/>
              </w:rPr>
            </w:pPr>
            <w:r>
              <w:rPr>
                <w:rFonts w:hint="eastAsia" w:ascii="宋体" w:hAnsi="宋体" w:eastAsia="宋体" w:cs="宋体"/>
                <w:b/>
                <w:bCs/>
                <w:color w:val="auto"/>
                <w:sz w:val="21"/>
                <w:szCs w:val="21"/>
                <w:lang w:eastAsia="zh-CN"/>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lang w:eastAsia="zh-CN"/>
              </w:rPr>
            </w:pPr>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w:t>
            </w:r>
            <w:r>
              <w:rPr>
                <w:rFonts w:hint="eastAsia" w:ascii="宋体" w:hAnsi="宋体" w:eastAsia="宋体" w:cs="宋体"/>
                <w:color w:val="auto"/>
                <w:sz w:val="21"/>
                <w:szCs w:val="21"/>
                <w:lang w:eastAsia="zh-CN"/>
              </w:rPr>
              <w:t>询价保证金</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w:t>
            </w:r>
            <w:r>
              <w:rPr>
                <w:rFonts w:hint="eastAsia" w:ascii="宋体" w:hAnsi="宋体" w:eastAsia="宋体" w:cs="宋体"/>
                <w:color w:val="auto"/>
                <w:sz w:val="21"/>
                <w:szCs w:val="21"/>
                <w:lang w:eastAsia="zh-CN"/>
              </w:rPr>
              <w:t>询价保证金</w:t>
            </w:r>
            <w:r>
              <w:rPr>
                <w:rFonts w:hint="eastAsia" w:ascii="宋体" w:hAnsi="宋体" w:eastAsia="宋体" w:cs="宋体"/>
                <w:color w:val="auto"/>
                <w:kern w:val="0"/>
                <w:sz w:val="21"/>
                <w:szCs w:val="21"/>
              </w:rPr>
              <w:t>。</w:t>
            </w:r>
          </w:p>
          <w:p>
            <w:pPr>
              <w:numPr>
                <w:ilvl w:val="0"/>
                <w:numId w:val="0"/>
              </w:numPr>
              <w:spacing w:line="360" w:lineRule="auto"/>
              <w:jc w:val="both"/>
              <w:outlineLvl w:val="1"/>
              <w:rPr>
                <w:rFonts w:hint="eastAsia" w:ascii="宋体" w:hAnsi="宋体" w:eastAsia="宋体" w:cs="宋体"/>
                <w:b/>
                <w:bCs/>
                <w:color w:val="auto"/>
                <w:sz w:val="21"/>
                <w:szCs w:val="21"/>
              </w:rPr>
            </w:pPr>
            <w:r>
              <w:rPr>
                <w:rFonts w:hint="eastAsia" w:ascii="宋体" w:hAnsi="宋体" w:eastAsia="宋体" w:cs="宋体"/>
                <w:color w:val="auto"/>
                <w:sz w:val="21"/>
                <w:szCs w:val="21"/>
              </w:rPr>
              <w:t>本</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项目</w:t>
            </w:r>
            <w:r>
              <w:rPr>
                <w:rFonts w:hint="eastAsia" w:ascii="宋体" w:hAnsi="宋体" w:eastAsia="宋体" w:cs="宋体"/>
                <w:color w:val="auto"/>
                <w:sz w:val="21"/>
                <w:szCs w:val="21"/>
                <w:lang w:eastAsia="zh-CN"/>
              </w:rPr>
              <w:t>询价</w:t>
            </w:r>
            <w:r>
              <w:rPr>
                <w:rFonts w:hint="eastAsia" w:ascii="宋体" w:hAnsi="宋体" w:eastAsia="宋体" w:cs="宋体"/>
                <w:color w:val="auto"/>
                <w:sz w:val="21"/>
                <w:szCs w:val="21"/>
              </w:rPr>
              <w:t>保证金为</w:t>
            </w:r>
            <w:r>
              <w:rPr>
                <w:rFonts w:hint="eastAsia" w:ascii="宋体" w:hAnsi="宋体" w:eastAsia="宋体" w:cs="宋体"/>
                <w:color w:val="auto"/>
                <w:sz w:val="21"/>
                <w:szCs w:val="21"/>
                <w:u w:val="single"/>
                <w:lang w:val="en-US" w:eastAsia="zh-CN"/>
              </w:rPr>
              <w:t xml:space="preserve">  / </w:t>
            </w:r>
            <w:r>
              <w:rPr>
                <w:rFonts w:hint="eastAsia" w:ascii="宋体" w:hAnsi="宋体" w:eastAsia="宋体" w:cs="宋体"/>
                <w:color w:val="auto"/>
                <w:sz w:val="21"/>
                <w:szCs w:val="21"/>
              </w:rPr>
              <w:t>元，</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应在</w:t>
            </w:r>
            <w:r>
              <w:rPr>
                <w:rFonts w:hint="eastAsia" w:ascii="宋体" w:hAnsi="宋体" w:eastAsia="宋体" w:cs="宋体"/>
                <w:color w:val="auto"/>
                <w:sz w:val="21"/>
                <w:szCs w:val="21"/>
                <w:lang w:val="en-US" w:eastAsia="zh-CN"/>
              </w:rPr>
              <w:t>响应文件</w:t>
            </w:r>
            <w:r>
              <w:rPr>
                <w:rFonts w:hint="eastAsia" w:ascii="宋体" w:hAnsi="宋体" w:eastAsia="宋体" w:cs="宋体"/>
                <w:color w:val="auto"/>
                <w:sz w:val="21"/>
                <w:szCs w:val="21"/>
                <w:lang w:eastAsia="zh-CN"/>
              </w:rPr>
              <w:t>开启</w:t>
            </w:r>
            <w:r>
              <w:rPr>
                <w:rFonts w:hint="eastAsia" w:ascii="宋体" w:hAnsi="宋体" w:eastAsia="宋体" w:cs="宋体"/>
                <w:color w:val="auto"/>
                <w:sz w:val="21"/>
                <w:szCs w:val="21"/>
              </w:rPr>
              <w:t>截止</w:t>
            </w:r>
            <w:r>
              <w:rPr>
                <w:rFonts w:hint="eastAsia" w:ascii="宋体" w:hAnsi="宋体" w:eastAsia="宋体" w:cs="宋体"/>
                <w:color w:val="auto"/>
                <w:sz w:val="21"/>
                <w:szCs w:val="21"/>
                <w:lang w:val="en-US" w:eastAsia="zh-CN"/>
              </w:rPr>
              <w:t>之</w:t>
            </w:r>
            <w:r>
              <w:rPr>
                <w:rFonts w:hint="eastAsia" w:ascii="宋体" w:hAnsi="宋体" w:eastAsia="宋体" w:cs="宋体"/>
                <w:color w:val="auto"/>
                <w:sz w:val="21"/>
                <w:szCs w:val="21"/>
              </w:rPr>
              <w:t>前以电汇或网银转账方式缴纳至杭州临江环境能源有限公司。同时将银行缴款凭证复印件作为</w:t>
            </w:r>
            <w:r>
              <w:rPr>
                <w:rFonts w:hint="eastAsia" w:ascii="宋体" w:hAnsi="宋体" w:eastAsia="宋体" w:cs="宋体"/>
                <w:color w:val="auto"/>
                <w:sz w:val="21"/>
                <w:szCs w:val="21"/>
                <w:lang w:eastAsia="zh-CN"/>
              </w:rPr>
              <w:t>响应</w:t>
            </w:r>
            <w:r>
              <w:rPr>
                <w:rFonts w:hint="eastAsia" w:ascii="宋体" w:hAnsi="宋体" w:eastAsia="宋体" w:cs="宋体"/>
                <w:color w:val="auto"/>
                <w:sz w:val="21"/>
                <w:szCs w:val="21"/>
              </w:rPr>
              <w:t>文件组成部分。</w:t>
            </w:r>
            <w:r>
              <w:rPr>
                <w:rFonts w:hint="eastAsia" w:ascii="宋体" w:hAnsi="宋体" w:eastAsia="宋体" w:cs="宋体"/>
                <w:b/>
                <w:bCs/>
                <w:color w:val="auto"/>
                <w:sz w:val="21"/>
                <w:szCs w:val="21"/>
              </w:rPr>
              <w:t>须注明：</w:t>
            </w:r>
            <w:r>
              <w:rPr>
                <w:rFonts w:hint="eastAsia" w:ascii="宋体" w:hAnsi="宋体" w:eastAsia="宋体" w:cs="宋体"/>
                <w:b/>
                <w:bCs/>
                <w:color w:val="auto"/>
                <w:sz w:val="21"/>
                <w:szCs w:val="21"/>
                <w:lang w:val="en-US" w:eastAsia="zh-CN"/>
              </w:rPr>
              <w:t xml:space="preserve"> </w:t>
            </w:r>
            <w:r>
              <w:rPr>
                <w:rFonts w:hint="default"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lang w:eastAsia="zh-CN"/>
              </w:rPr>
              <w:t>询价保证金</w:t>
            </w:r>
          </w:p>
          <w:p>
            <w:pPr>
              <w:pStyle w:val="20"/>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户    名：杭州临江环境能源有限公司</w:t>
            </w:r>
          </w:p>
          <w:p>
            <w:pPr>
              <w:pStyle w:val="20"/>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开户银行：杭州银行大江东支行</w:t>
            </w:r>
          </w:p>
          <w:p>
            <w:pPr>
              <w:spacing w:line="360" w:lineRule="auto"/>
              <w:jc w:val="both"/>
              <w:outlineLvl w:val="1"/>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58"/>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5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495733405"/>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sdt>
                  <w:sdtPr>
                    <w:rPr>
                      <w:rFonts w:hint="eastAsia" w:ascii="宋体" w:hAnsi="宋体" w:eastAsia="宋体" w:cs="宋体"/>
                      <w:color w:val="auto"/>
                      <w:kern w:val="0"/>
                      <w:sz w:val="21"/>
                      <w:szCs w:val="21"/>
                    </w:rPr>
                    <w:id w:val="60"/>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kern w:val="0"/>
                <w:sz w:val="21"/>
                <w:szCs w:val="21"/>
              </w:rPr>
            </w:pPr>
            <w:sdt>
              <w:sdtPr>
                <w:rPr>
                  <w:rFonts w:hint="eastAsia" w:ascii="宋体" w:hAnsi="宋体" w:eastAsia="宋体" w:cs="宋体"/>
                  <w:color w:val="auto"/>
                  <w:kern w:val="0"/>
                  <w:sz w:val="21"/>
                  <w:szCs w:val="21"/>
                </w:rPr>
                <w:id w:val="11740717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62"/>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sdt>
                  <w:sdtPr>
                    <w:rPr>
                      <w:rFonts w:hint="eastAsia" w:ascii="宋体" w:hAnsi="宋体" w:eastAsia="宋体" w:cs="宋体"/>
                      <w:color w:val="auto"/>
                      <w:kern w:val="0"/>
                      <w:sz w:val="21"/>
                      <w:szCs w:val="21"/>
                    </w:rPr>
                    <w:id w:val="63"/>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B组织。</w:t>
            </w:r>
          </w:p>
          <w:p>
            <w:pPr>
              <w:snapToGrid w:val="0"/>
              <w:spacing w:line="360" w:lineRule="auto"/>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rPr>
              <w:t>（1）在评审时安排供应商进行方案讲解演示。每个供应商时间不超过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20</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分钟，讲解次序以响应文件解密时间先后次序为准，讲解演示人员不超过</w:t>
            </w:r>
            <w:r>
              <w:rPr>
                <w:rFonts w:hint="eastAsia" w:ascii="宋体" w:hAnsi="宋体" w:eastAsia="宋体" w:cs="宋体"/>
                <w:color w:val="auto"/>
                <w:kern w:val="0"/>
                <w:sz w:val="21"/>
                <w:szCs w:val="21"/>
                <w:u w:val="single"/>
              </w:rPr>
              <w:t>3</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rPr>
              <w:t>人。讲解演示结束后按要求解答</w:t>
            </w:r>
            <w:r>
              <w:rPr>
                <w:rFonts w:hint="eastAsia" w:ascii="宋体" w:hAnsi="宋体" w:eastAsia="宋体" w:cs="宋体"/>
                <w:color w:val="auto"/>
                <w:kern w:val="0"/>
                <w:sz w:val="21"/>
                <w:szCs w:val="21"/>
                <w:lang w:eastAsia="zh-CN"/>
              </w:rPr>
              <w:t>询价评审小组</w:t>
            </w:r>
            <w:r>
              <w:rPr>
                <w:rFonts w:hint="eastAsia" w:ascii="宋体" w:hAnsi="宋体" w:eastAsia="宋体" w:cs="宋体"/>
                <w:color w:val="auto"/>
                <w:kern w:val="0"/>
                <w:sz w:val="21"/>
                <w:szCs w:val="21"/>
              </w:rPr>
              <w:t>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lang w:val="zh-CN"/>
              </w:rPr>
              <w:t>有关本项目实施所需的所有费用（含税费）均计入报价。</w:t>
            </w:r>
            <w:r>
              <w:rPr>
                <w:rFonts w:hint="eastAsia" w:ascii="宋体" w:hAnsi="宋体" w:eastAsia="宋体" w:cs="宋体"/>
                <w:color w:val="auto"/>
                <w:sz w:val="21"/>
                <w:szCs w:val="21"/>
                <w:lang w:val="zh-CN"/>
              </w:rPr>
              <w:t>响应报价函</w:t>
            </w:r>
            <w:r>
              <w:rPr>
                <w:rFonts w:hint="eastAsia" w:ascii="宋体" w:hAnsi="宋体" w:eastAsia="宋体" w:cs="宋体"/>
                <w:color w:val="auto"/>
                <w:sz w:val="21"/>
                <w:szCs w:val="21"/>
              </w:rPr>
              <w:t>是报价的唯一载体</w:t>
            </w:r>
            <w:r>
              <w:rPr>
                <w:rFonts w:hint="eastAsia" w:ascii="宋体" w:hAnsi="宋体" w:eastAsia="宋体" w:cs="宋体"/>
                <w:b/>
                <w:bCs/>
                <w:color w:val="auto"/>
                <w:sz w:val="21"/>
                <w:szCs w:val="21"/>
              </w:rPr>
              <w:t>，如供应商填写的报价</w:t>
            </w:r>
            <w:r>
              <w:rPr>
                <w:rFonts w:hint="eastAsia" w:ascii="宋体" w:hAnsi="宋体" w:eastAsia="宋体" w:cs="宋体"/>
                <w:b/>
                <w:bCs/>
                <w:color w:val="auto"/>
                <w:sz w:val="21"/>
                <w:szCs w:val="21"/>
                <w:lang w:eastAsia="zh-CN"/>
              </w:rPr>
              <w:t>函</w:t>
            </w:r>
            <w:r>
              <w:rPr>
                <w:rFonts w:hint="eastAsia" w:ascii="宋体" w:hAnsi="宋体" w:eastAsia="宋体" w:cs="宋体"/>
                <w:b/>
                <w:bCs/>
                <w:color w:val="auto"/>
                <w:sz w:val="21"/>
                <w:szCs w:val="21"/>
              </w:rPr>
              <w:t>与响应文件中</w:t>
            </w:r>
            <w:r>
              <w:rPr>
                <w:rFonts w:hint="eastAsia" w:ascii="宋体" w:hAnsi="宋体" w:eastAsia="宋体" w:cs="宋体"/>
                <w:b/>
                <w:bCs/>
                <w:color w:val="auto"/>
                <w:sz w:val="21"/>
                <w:szCs w:val="21"/>
                <w:lang w:val="zh-CN"/>
              </w:rPr>
              <w:t>响应报价明细表</w:t>
            </w:r>
            <w:r>
              <w:rPr>
                <w:rFonts w:hint="eastAsia" w:ascii="宋体" w:hAnsi="宋体" w:eastAsia="宋体" w:cs="宋体"/>
                <w:b/>
                <w:bCs/>
                <w:color w:val="auto"/>
                <w:sz w:val="21"/>
                <w:szCs w:val="21"/>
              </w:rPr>
              <w:t>不一致的，以</w:t>
            </w:r>
            <w:r>
              <w:rPr>
                <w:rFonts w:hint="eastAsia" w:ascii="宋体" w:hAnsi="宋体" w:eastAsia="宋体" w:cs="宋体"/>
                <w:b/>
                <w:bCs/>
                <w:color w:val="auto"/>
                <w:sz w:val="21"/>
                <w:szCs w:val="21"/>
                <w:lang w:val="zh-CN"/>
              </w:rPr>
              <w:t>响应报价函</w:t>
            </w:r>
            <w:r>
              <w:rPr>
                <w:rFonts w:hint="eastAsia" w:ascii="宋体" w:hAnsi="宋体" w:eastAsia="宋体" w:cs="宋体"/>
                <w:b/>
                <w:bCs/>
                <w:color w:val="auto"/>
                <w:sz w:val="21"/>
                <w:szCs w:val="21"/>
              </w:rPr>
              <w:t>为准。</w:t>
            </w:r>
            <w:r>
              <w:rPr>
                <w:rFonts w:hint="eastAsia" w:ascii="宋体" w:hAnsi="宋体" w:eastAsia="宋体" w:cs="宋体"/>
                <w:color w:val="auto"/>
                <w:kern w:val="0"/>
                <w:sz w:val="21"/>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rFonts w:hint="eastAsia"/>
                <w:color w:val="auto"/>
              </w:rPr>
            </w:pPr>
            <w:r>
              <w:rPr>
                <w:rFonts w:hint="eastAsia" w:ascii="宋体" w:hAnsi="宋体" w:eastAsia="宋体" w:cs="宋体"/>
                <w:b/>
                <w:color w:val="auto"/>
                <w:kern w:val="0"/>
                <w:sz w:val="21"/>
                <w:szCs w:val="21"/>
                <w:lang w:val="zh-CN"/>
              </w:rPr>
              <w:t>响应无效情形，详见</w:t>
            </w:r>
            <w:r>
              <w:rPr>
                <w:rFonts w:hint="eastAsia"/>
                <w:color w:val="auto"/>
                <w:lang w:eastAsia="zh-CN"/>
              </w:rPr>
              <w:t>“第四部分 《评审方法》</w:t>
            </w:r>
            <w:r>
              <w:rPr>
                <w:rFonts w:hint="eastAsia"/>
                <w:color w:val="auto"/>
              </w:rPr>
              <w:t>”</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评</w:t>
            </w:r>
            <w:r>
              <w:rPr>
                <w:rFonts w:hint="eastAsia" w:ascii="宋体" w:hAnsi="宋体" w:cs="宋体"/>
                <w:b/>
                <w:bCs w:val="0"/>
                <w:snapToGrid w:val="0"/>
                <w:color w:val="auto"/>
                <w:kern w:val="0"/>
                <w:szCs w:val="21"/>
                <w:lang w:eastAsia="zh-CN"/>
              </w:rPr>
              <w:t>审方</w:t>
            </w:r>
            <w:r>
              <w:rPr>
                <w:rFonts w:hint="eastAsia" w:ascii="宋体" w:hAnsi="宋体" w:cs="宋体"/>
                <w:b/>
                <w:bCs w:val="0"/>
                <w:snapToGrid w:val="0"/>
                <w:color w:val="auto"/>
                <w:kern w:val="0"/>
                <w:szCs w:val="21"/>
              </w:rPr>
              <w:t>法</w:t>
            </w:r>
          </w:p>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val="0"/>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rPr>
              <w:t>综合评分法。</w:t>
            </w:r>
          </w:p>
          <w:p>
            <w:pPr>
              <w:pStyle w:val="21"/>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FE"/>
            </w:r>
            <w:r>
              <w:rPr>
                <w:rFonts w:hint="eastAsia" w:ascii="宋体" w:hAnsi="宋体" w:cs="宋体"/>
                <w:b w:val="0"/>
                <w:bCs w:val="0"/>
                <w:color w:val="auto"/>
                <w:kern w:val="2"/>
                <w:sz w:val="21"/>
                <w:szCs w:val="24"/>
                <w:lang w:val="en-US"/>
              </w:rPr>
              <w:t>经评审后最低投标价法。</w:t>
            </w:r>
          </w:p>
          <w:p>
            <w:pPr>
              <w:pStyle w:val="21"/>
              <w:snapToGrid w:val="0"/>
              <w:spacing w:after="0" w:line="400" w:lineRule="exact"/>
              <w:ind w:left="0" w:leftChars="0" w:firstLine="0" w:firstLineChars="0"/>
              <w:jc w:val="left"/>
              <w:rPr>
                <w:rFonts w:hint="eastAsia" w:ascii="宋体" w:hAnsi="宋体" w:cs="宋体"/>
                <w:b w:val="0"/>
                <w:bCs w:val="0"/>
                <w:color w:val="auto"/>
                <w:kern w:val="2"/>
                <w:sz w:val="21"/>
                <w:szCs w:val="24"/>
                <w:lang w:val="en-US" w:eastAsia="zh-CN"/>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eastAsia="zh-CN"/>
              </w:rPr>
              <w:t>其他。</w:t>
            </w:r>
          </w:p>
          <w:p>
            <w:pPr>
              <w:pStyle w:val="21"/>
              <w:snapToGrid w:val="0"/>
              <w:spacing w:after="0" w:line="400" w:lineRule="exact"/>
              <w:ind w:left="0" w:leftChars="0" w:firstLine="0" w:firstLineChars="0"/>
              <w:jc w:val="left"/>
              <w:rPr>
                <w:rFonts w:hint="eastAsia" w:ascii="宋体" w:hAnsi="宋体" w:eastAsia="宋体" w:cs="宋体"/>
                <w:b/>
                <w:color w:val="auto"/>
                <w:kern w:val="0"/>
                <w:sz w:val="21"/>
                <w:szCs w:val="21"/>
              </w:rPr>
            </w:pPr>
            <w:r>
              <w:rPr>
                <w:rFonts w:hint="eastAsia" w:ascii="宋体" w:hAnsi="宋体" w:cs="宋体"/>
                <w:b w:val="0"/>
                <w:bCs w:val="0"/>
                <w:color w:val="auto"/>
                <w:kern w:val="2"/>
                <w:sz w:val="21"/>
                <w:szCs w:val="24"/>
                <w:lang w:val="en-US"/>
              </w:rPr>
              <w:t>详见</w:t>
            </w:r>
            <w:r>
              <w:rPr>
                <w:rFonts w:hint="eastAsia" w:ascii="宋体" w:hAnsi="宋体" w:cs="宋体"/>
                <w:b w:val="0"/>
                <w:bCs w:val="0"/>
                <w:color w:val="auto"/>
                <w:kern w:val="2"/>
                <w:sz w:val="21"/>
                <w:szCs w:val="24"/>
                <w:lang w:val="en-US" w:eastAsia="zh-CN"/>
              </w:rPr>
              <w:t>询价采购文件“第四部分 《评审方法》</w:t>
            </w:r>
            <w:r>
              <w:rPr>
                <w:rFonts w:hint="eastAsia" w:ascii="宋体" w:hAnsi="宋体" w:cs="宋体"/>
                <w:b w:val="0"/>
                <w:bCs w:val="0"/>
                <w:color w:val="auto"/>
                <w:kern w:val="2"/>
                <w:sz w:val="21"/>
                <w:szCs w:val="24"/>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eastAsiaTheme="minorEastAsia"/>
                <w:b/>
                <w:bCs w:val="0"/>
                <w:snapToGrid w:val="0"/>
                <w:color w:val="auto"/>
                <w:kern w:val="0"/>
                <w:szCs w:val="21"/>
                <w:lang w:eastAsia="zh-CN"/>
              </w:rPr>
            </w:pPr>
            <w:r>
              <w:rPr>
                <w:rFonts w:hint="eastAsia" w:ascii="宋体" w:hAnsi="宋体" w:cs="宋体"/>
                <w:b/>
                <w:bCs w:val="0"/>
                <w:snapToGrid w:val="0"/>
                <w:color w:val="auto"/>
                <w:kern w:val="0"/>
                <w:szCs w:val="21"/>
              </w:rPr>
              <w:t>履约保证金</w:t>
            </w:r>
            <w:r>
              <w:rPr>
                <w:rFonts w:hint="eastAsia" w:ascii="宋体" w:hAnsi="宋体" w:cs="宋体"/>
                <w:b/>
                <w:bCs w:val="0"/>
                <w:snapToGrid w:val="0"/>
                <w:color w:val="auto"/>
                <w:kern w:val="0"/>
                <w:szCs w:val="21"/>
                <w:lang w:eastAsia="zh-CN"/>
              </w:rPr>
              <w:t>：</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履约保证金金额：</w:t>
            </w:r>
            <w:r>
              <w:rPr>
                <w:rFonts w:hint="eastAsia" w:ascii="宋体" w:hAnsi="宋体" w:cs="宋体"/>
                <w:color w:val="auto"/>
                <w:kern w:val="2"/>
                <w:sz w:val="21"/>
                <w:szCs w:val="24"/>
                <w:lang w:val="en-US"/>
              </w:rPr>
              <w:t>约合同价的</w:t>
            </w:r>
            <w:r>
              <w:rPr>
                <w:rFonts w:ascii="宋体" w:hAnsi="宋体" w:cs="宋体"/>
                <w:color w:val="auto"/>
                <w:kern w:val="2"/>
                <w:sz w:val="21"/>
                <w:szCs w:val="24"/>
                <w:lang w:val="en-US"/>
              </w:rPr>
              <w:t>5</w:t>
            </w:r>
            <w:r>
              <w:rPr>
                <w:rFonts w:hint="eastAsia" w:ascii="宋体" w:hAnsi="宋体" w:cs="宋体"/>
                <w:color w:val="auto"/>
                <w:kern w:val="2"/>
                <w:sz w:val="21"/>
                <w:szCs w:val="24"/>
                <w:lang w:val="en-US"/>
              </w:rPr>
              <w:t>%</w:t>
            </w:r>
          </w:p>
          <w:p>
            <w:pPr>
              <w:pStyle w:val="21"/>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履约保证金缴纳形式：电汇/转账</w:t>
            </w:r>
          </w:p>
          <w:p>
            <w:pPr>
              <w:pStyle w:val="21"/>
              <w:snapToGrid w:val="0"/>
              <w:spacing w:after="0" w:line="400" w:lineRule="exact"/>
              <w:ind w:left="0" w:leftChars="0" w:firstLine="0" w:firstLineChars="0"/>
              <w:jc w:val="left"/>
              <w:rPr>
                <w:rFonts w:hint="default" w:ascii="宋体" w:hAnsi="宋体" w:cs="宋体" w:eastAsiaTheme="minorEastAsia"/>
                <w:b w:val="0"/>
                <w:bCs w:val="0"/>
                <w:color w:val="auto"/>
                <w:kern w:val="2"/>
                <w:sz w:val="21"/>
                <w:szCs w:val="24"/>
                <w:lang w:val="en-US" w:eastAsia="zh-CN"/>
              </w:rPr>
            </w:pPr>
            <w:r>
              <w:rPr>
                <w:rFonts w:hint="eastAsia" w:ascii="宋体" w:hAnsi="宋体" w:cs="宋体"/>
                <w:b w:val="0"/>
                <w:bCs w:val="0"/>
                <w:color w:val="auto"/>
                <w:kern w:val="2"/>
                <w:sz w:val="21"/>
                <w:szCs w:val="24"/>
                <w:lang w:val="en-US"/>
              </w:rPr>
              <w:t>履约保证金缴纳时间：中标通知书领取之后，合同签订</w:t>
            </w:r>
            <w:r>
              <w:rPr>
                <w:rFonts w:hint="eastAsia" w:ascii="宋体" w:hAnsi="宋体" w:cs="宋体"/>
                <w:b w:val="0"/>
                <w:bCs w:val="0"/>
                <w:color w:val="auto"/>
                <w:kern w:val="2"/>
                <w:sz w:val="21"/>
                <w:szCs w:val="24"/>
                <w:lang w:val="en-US" w:eastAsia="zh-CN"/>
              </w:rPr>
              <w:t>后10日内</w:t>
            </w:r>
          </w:p>
          <w:p>
            <w:pPr>
              <w:pStyle w:val="21"/>
              <w:snapToGrid w:val="0"/>
              <w:spacing w:after="0" w:line="400" w:lineRule="exact"/>
              <w:ind w:left="0" w:leftChars="0" w:firstLine="0" w:firstLineChars="0"/>
              <w:jc w:val="left"/>
              <w:rPr>
                <w:rFonts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履约保证金接收人：杭州临江环境能源有限公司</w:t>
            </w:r>
          </w:p>
          <w:p>
            <w:pPr>
              <w:pStyle w:val="21"/>
              <w:snapToGrid w:val="0"/>
              <w:spacing w:after="0" w:line="400" w:lineRule="exact"/>
              <w:ind w:left="0" w:leftChars="0" w:firstLine="0" w:firstLineChars="0"/>
              <w:jc w:val="left"/>
              <w:rPr>
                <w:rFonts w:ascii="宋体" w:hAnsi="宋体" w:cs="宋体"/>
                <w:color w:val="auto"/>
              </w:rPr>
            </w:pPr>
            <w:r>
              <w:rPr>
                <w:rFonts w:hint="eastAsia" w:ascii="宋体" w:hAnsi="宋体" w:cs="宋体"/>
                <w:b w:val="0"/>
                <w:bCs w:val="0"/>
                <w:color w:val="auto"/>
                <w:kern w:val="2"/>
                <w:sz w:val="21"/>
                <w:szCs w:val="24"/>
                <w:lang w:val="en-US"/>
              </w:rPr>
              <w:t>履约保证金有效期限：履约保证金将在本项目合同到期或终止后，扣除中标人应承担的违约金、损失赔偿金等款项后经中标人申请</w:t>
            </w:r>
            <w:r>
              <w:rPr>
                <w:rFonts w:hint="default" w:ascii="宋体" w:hAnsi="宋体" w:cs="宋体"/>
                <w:b w:val="0"/>
                <w:bCs w:val="0"/>
                <w:color w:val="auto"/>
                <w:kern w:val="2"/>
                <w:sz w:val="21"/>
                <w:szCs w:val="24"/>
                <w:lang w:val="en-US"/>
              </w:rPr>
              <w:t>30</w:t>
            </w:r>
            <w:r>
              <w:rPr>
                <w:rFonts w:hint="eastAsia" w:ascii="宋体" w:hAnsi="宋体" w:cs="宋体"/>
                <w:b w:val="0"/>
                <w:bCs w:val="0"/>
                <w:color w:val="auto"/>
                <w:kern w:val="2"/>
                <w:sz w:val="21"/>
                <w:szCs w:val="24"/>
                <w:lang w:val="en-US" w:eastAsia="zh-CN"/>
              </w:rPr>
              <w:t>个工作日</w:t>
            </w:r>
            <w:r>
              <w:rPr>
                <w:rFonts w:hint="eastAsia" w:ascii="宋体" w:hAnsi="宋体" w:cs="宋体"/>
                <w:b w:val="0"/>
                <w:bCs w:val="0"/>
                <w:color w:val="auto"/>
                <w:kern w:val="2"/>
                <w:sz w:val="21"/>
                <w:szCs w:val="24"/>
                <w:lang w:val="en-US"/>
              </w:rPr>
              <w:t>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是否分册装订：</w:t>
            </w:r>
          </w:p>
          <w:p>
            <w:pPr>
              <w:pStyle w:val="19"/>
              <w:snapToGrid w:val="0"/>
              <w:spacing w:line="400" w:lineRule="exact"/>
              <w:ind w:right="42" w:rightChars="20"/>
              <w:jc w:val="both"/>
              <w:rPr>
                <w:rFonts w:hint="eastAsia"/>
                <w:snapToGrid w:val="0"/>
                <w:color w:val="auto"/>
                <w:sz w:val="21"/>
                <w:szCs w:val="21"/>
                <w:lang w:eastAsia="zh-CN"/>
              </w:rPr>
            </w:pPr>
            <w:r>
              <w:rPr>
                <w:rFonts w:hint="eastAsia"/>
                <w:color w:val="auto"/>
                <w:szCs w:val="21"/>
                <w:lang w:bidi="ar"/>
              </w:rPr>
              <w:sym w:font="Wingdings" w:char="00FE"/>
            </w:r>
            <w:r>
              <w:rPr>
                <w:rFonts w:hint="eastAsia"/>
                <w:snapToGrid w:val="0"/>
                <w:color w:val="auto"/>
                <w:sz w:val="21"/>
                <w:szCs w:val="21"/>
                <w:lang w:eastAsia="zh-CN"/>
              </w:rPr>
              <w:t>不分册装订；</w:t>
            </w:r>
          </w:p>
          <w:p>
            <w:pPr>
              <w:pStyle w:val="19"/>
              <w:snapToGrid w:val="0"/>
              <w:spacing w:line="400" w:lineRule="exact"/>
              <w:ind w:right="42" w:rightChars="20"/>
              <w:jc w:val="both"/>
              <w:rPr>
                <w:snapToGrid w:val="0"/>
                <w:color w:val="auto"/>
                <w:sz w:val="21"/>
                <w:szCs w:val="21"/>
                <w:u w:val="single"/>
                <w:lang w:eastAsia="zh-CN"/>
              </w:rPr>
            </w:pPr>
            <w:r>
              <w:rPr>
                <w:rFonts w:hint="eastAsia"/>
                <w:snapToGrid w:val="0"/>
                <w:color w:val="auto"/>
                <w:szCs w:val="21"/>
                <w:lang w:eastAsia="zh-CN"/>
              </w:rPr>
              <w:t>□</w:t>
            </w:r>
            <w:r>
              <w:rPr>
                <w:rFonts w:hint="eastAsia"/>
                <w:snapToGrid w:val="0"/>
                <w:color w:val="auto"/>
                <w:sz w:val="21"/>
                <w:szCs w:val="21"/>
                <w:lang w:eastAsia="zh-CN"/>
              </w:rPr>
              <w:t>分册装订。</w:t>
            </w:r>
          </w:p>
          <w:p>
            <w:pPr>
              <w:pStyle w:val="19"/>
              <w:snapToGrid w:val="0"/>
              <w:spacing w:line="400" w:lineRule="exact"/>
              <w:ind w:right="42" w:rightChars="20"/>
              <w:jc w:val="both"/>
              <w:rPr>
                <w:rFonts w:hint="eastAsia" w:ascii="宋体" w:hAnsi="宋体" w:cs="宋体"/>
                <w:b w:val="0"/>
                <w:bCs w:val="0"/>
                <w:color w:val="auto"/>
                <w:kern w:val="2"/>
                <w:sz w:val="21"/>
                <w:szCs w:val="24"/>
                <w:lang w:val="en-US"/>
              </w:rPr>
            </w:pPr>
            <w:r>
              <w:rPr>
                <w:rFonts w:hint="eastAsia"/>
                <w:snapToGrid w:val="0"/>
                <w:color w:val="auto"/>
                <w:sz w:val="21"/>
                <w:szCs w:val="21"/>
                <w:lang w:eastAsia="zh-CN"/>
              </w:rPr>
              <w:t>装订要求：</w:t>
            </w:r>
            <w:r>
              <w:rPr>
                <w:rFonts w:hint="eastAsia"/>
                <w:b/>
                <w:bCs/>
                <w:snapToGrid w:val="0"/>
                <w:color w:val="auto"/>
                <w:sz w:val="21"/>
                <w:szCs w:val="21"/>
                <w:lang w:eastAsia="zh-CN"/>
              </w:rPr>
              <w:t>正本1份，副本</w:t>
            </w:r>
            <w:r>
              <w:rPr>
                <w:rFonts w:hint="eastAsia"/>
                <w:b/>
                <w:bCs/>
                <w:snapToGrid w:val="0"/>
                <w:color w:val="auto"/>
                <w:sz w:val="21"/>
                <w:szCs w:val="21"/>
                <w:lang w:val="en-US" w:eastAsia="zh-CN"/>
              </w:rPr>
              <w:t>2</w:t>
            </w:r>
            <w:r>
              <w:rPr>
                <w:rFonts w:hint="eastAsia"/>
                <w:b/>
                <w:bCs/>
                <w:snapToGrid w:val="0"/>
                <w:color w:val="auto"/>
                <w:sz w:val="21"/>
                <w:szCs w:val="21"/>
                <w:lang w:eastAsia="zh-CN"/>
              </w:rPr>
              <w:t>份；</w:t>
            </w:r>
            <w:r>
              <w:rPr>
                <w:rFonts w:hint="eastAsia"/>
                <w:snapToGrid w:val="0"/>
                <w:color w:val="auto"/>
                <w:sz w:val="21"/>
                <w:szCs w:val="21"/>
                <w:lang w:eastAsia="zh-CN"/>
              </w:rPr>
              <w:t>A4幅面，单面或</w:t>
            </w:r>
            <w:r>
              <w:rPr>
                <w:rFonts w:hint="eastAsia"/>
                <w:b/>
                <w:bCs/>
                <w:snapToGrid w:val="0"/>
                <w:color w:val="auto"/>
                <w:sz w:val="21"/>
                <w:szCs w:val="21"/>
                <w:lang w:eastAsia="zh-CN"/>
              </w:rPr>
              <w:t>双面</w:t>
            </w:r>
            <w:r>
              <w:rPr>
                <w:rFonts w:hint="eastAsia"/>
                <w:snapToGrid w:val="0"/>
                <w:color w:val="auto"/>
                <w:sz w:val="21"/>
                <w:szCs w:val="21"/>
                <w:lang w:eastAsia="zh-CN"/>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eastAsiaTheme="minorEastAsia"/>
                <w:b/>
                <w:bCs/>
                <w:snapToGrid w:val="0"/>
                <w:color w:val="auto"/>
                <w:kern w:val="0"/>
                <w:szCs w:val="21"/>
                <w:lang w:eastAsia="zh-CN"/>
              </w:rPr>
            </w:pPr>
            <w:r>
              <w:rPr>
                <w:rFonts w:hint="eastAsia" w:ascii="宋体" w:hAnsi="宋体" w:cs="宋体"/>
                <w:b/>
                <w:bCs/>
                <w:snapToGrid w:val="0"/>
                <w:color w:val="auto"/>
                <w:kern w:val="0"/>
                <w:szCs w:val="21"/>
                <w:lang w:eastAsia="zh-CN"/>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jc w:val="both"/>
              <w:rPr>
                <w:rFonts w:hint="eastAsia"/>
                <w:snapToGrid w:val="0"/>
                <w:color w:val="auto"/>
                <w:sz w:val="21"/>
                <w:szCs w:val="21"/>
                <w:lang w:eastAsia="zh-CN"/>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6"/>
        <w:rPr>
          <w:rFonts w:hint="eastAsia" w:cs="仿宋" w:asciiTheme="minorEastAsia" w:hAnsiTheme="minorEastAsia"/>
          <w:b/>
          <w:color w:val="auto"/>
          <w:sz w:val="32"/>
          <w:szCs w:val="20"/>
        </w:rPr>
      </w:pPr>
    </w:p>
    <w:p>
      <w:pPr>
        <w:pStyle w:val="6"/>
        <w:rPr>
          <w:rFonts w:hint="eastAsia" w:cs="仿宋" w:asciiTheme="minorEastAsia" w:hAnsiTheme="minorEastAsia"/>
          <w:b/>
          <w:color w:val="auto"/>
          <w:sz w:val="32"/>
          <w:szCs w:val="20"/>
        </w:rPr>
      </w:pPr>
    </w:p>
    <w:p>
      <w:pPr>
        <w:pStyle w:val="6"/>
        <w:rPr>
          <w:rFonts w:hint="eastAsia" w:cs="仿宋" w:asciiTheme="minorEastAsia" w:hAnsiTheme="minorEastAsia"/>
          <w:b/>
          <w:color w:val="auto"/>
          <w:sz w:val="32"/>
          <w:szCs w:val="20"/>
        </w:rPr>
      </w:pPr>
    </w:p>
    <w:p>
      <w:pPr>
        <w:pStyle w:val="6"/>
        <w:rPr>
          <w:rFonts w:hint="eastAsia"/>
        </w:rPr>
      </w:pPr>
    </w:p>
    <w:p>
      <w:pPr>
        <w:pStyle w:val="6"/>
        <w:rPr>
          <w:rFonts w:hint="eastAsia"/>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6"/>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8"/>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8"/>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2"/>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7"/>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22"/>
        <w:spacing w:before="0"/>
        <w:ind w:firstLine="480"/>
        <w:rPr>
          <w:rFonts w:cs="仿宋" w:asciiTheme="minorEastAsia" w:hAnsiTheme="minorEastAsia"/>
          <w:b/>
          <w:color w:val="auto"/>
          <w:sz w:val="32"/>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3"/>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pPr>
        <w:pStyle w:val="23"/>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渠道查询供应商响应截止时间当天的信用记录。</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17.3信用信息的使用规则：经查询</w:t>
      </w:r>
      <w:r>
        <w:rPr>
          <w:rFonts w:hint="eastAsia" w:cs="仿宋" w:asciiTheme="minorEastAsia" w:hAnsiTheme="minorEastAsia"/>
          <w:kern w:val="0"/>
          <w:szCs w:val="24"/>
          <w:lang w:eastAsia="zh-CN"/>
        </w:rPr>
        <w:t>，</w:t>
      </w:r>
      <w:r>
        <w:rPr>
          <w:rFonts w:hint="eastAsia" w:cs="仿宋" w:asciiTheme="minorEastAsia" w:hAnsiTheme="minorEastAsia"/>
          <w:kern w:val="0"/>
          <w:szCs w:val="24"/>
        </w:rPr>
        <w:t>供应商在近三年内被“信用中国”（www.creditchina.gov.cn）、中国政府采购网（www.ccgp.gov.cn）等官方网站列入失信被执行人、重大税收违法失信主体、政府采购严重违法失信行为等不良记录名单</w:t>
      </w:r>
      <w:r>
        <w:rPr>
          <w:rFonts w:hint="eastAsia" w:cs="仿宋" w:asciiTheme="minorEastAsia" w:hAnsiTheme="minorEastAsia"/>
          <w:kern w:val="0"/>
          <w:szCs w:val="24"/>
          <w:lang w:val="en-US" w:eastAsia="zh-CN"/>
        </w:rPr>
        <w:t>或</w:t>
      </w:r>
      <w:r>
        <w:rPr>
          <w:rFonts w:hint="eastAsia" w:cs="仿宋" w:asciiTheme="minorEastAsia" w:hAnsiTheme="minorEastAsia"/>
          <w:kern w:val="0"/>
          <w:szCs w:val="24"/>
        </w:rPr>
        <w:t>有行政处罚等不良记录</w:t>
      </w:r>
      <w:r>
        <w:rPr>
          <w:rFonts w:hint="eastAsia" w:cs="仿宋" w:asciiTheme="minorEastAsia" w:hAnsiTheme="minorEastAsia"/>
          <w:kern w:val="0"/>
          <w:szCs w:val="24"/>
          <w:lang w:eastAsia="zh-CN"/>
        </w:rPr>
        <w:t>，</w:t>
      </w:r>
      <w:r>
        <w:rPr>
          <w:rFonts w:hint="eastAsia" w:cs="仿宋" w:asciiTheme="minorEastAsia" w:hAnsiTheme="minorEastAsia"/>
          <w:kern w:val="0"/>
          <w:szCs w:val="24"/>
        </w:rPr>
        <w:t>将被拒绝参与杭州临江环境能源有限公司采购活动。</w:t>
      </w: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2"/>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22"/>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22"/>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b/>
          <w:color w:val="auto"/>
          <w:sz w:val="32"/>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22"/>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pPr>
        <w:pStyle w:val="7"/>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6"/>
        <w:numPr>
          <w:ilvl w:val="0"/>
          <w:numId w:val="0"/>
        </w:numPr>
        <w:ind w:firstLine="480" w:firstLineChars="200"/>
        <w:rPr>
          <w:rFonts w:cs="仿宋" w:asciiTheme="minorEastAsia" w:hAnsiTheme="minorEastAsia"/>
          <w:color w:val="auto"/>
          <w:sz w:val="24"/>
        </w:rPr>
      </w:pPr>
      <w:r>
        <w:rPr>
          <w:rFonts w:hint="eastAsia"/>
          <w:color w:val="auto"/>
          <w:lang w:eastAsia="zh-CN"/>
        </w:rPr>
        <w:t>本项目无预付款。</w:t>
      </w: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val="en-US" w:eastAsia="zh-CN"/>
        </w:rPr>
      </w:pPr>
      <w:r>
        <w:rPr>
          <w:rFonts w:hint="eastAsia" w:cs="仿宋" w:asciiTheme="minorEastAsia" w:hAnsiTheme="minorEastAsia"/>
          <w:color w:val="auto"/>
          <w:sz w:val="24"/>
          <w:szCs w:val="20"/>
          <w:lang w:eastAsia="zh-CN"/>
        </w:rPr>
        <w:t>供应商的询价保证金将在采购人与中标人签订合同后全额退还。退保证金前，供应商必须提供加盖公章或财务专用章的收款收据</w:t>
      </w:r>
      <w:r>
        <w:rPr>
          <w:rFonts w:hint="eastAsia" w:cs="仿宋" w:asciiTheme="minorEastAsia" w:hAnsiTheme="minorEastAsia"/>
          <w:b/>
          <w:bCs/>
          <w:color w:val="auto"/>
          <w:sz w:val="24"/>
          <w:szCs w:val="20"/>
          <w:lang w:eastAsia="zh-CN"/>
        </w:rPr>
        <w:t>（格式自理）</w:t>
      </w:r>
      <w:r>
        <w:rPr>
          <w:rFonts w:hint="eastAsia" w:cs="仿宋" w:asciiTheme="minorEastAsia" w:hAnsiTheme="minorEastAsia"/>
          <w:color w:val="auto"/>
          <w:sz w:val="24"/>
          <w:szCs w:val="20"/>
          <w:lang w:eastAsia="zh-CN"/>
        </w:rPr>
        <w:t>。</w:t>
      </w:r>
      <w:r>
        <w:rPr>
          <w:rFonts w:hint="eastAsia" w:cs="仿宋" w:asciiTheme="minorEastAsia" w:hAnsiTheme="minorEastAsia"/>
          <w:color w:val="auto"/>
          <w:sz w:val="24"/>
          <w:szCs w:val="20"/>
          <w:lang w:val="en-US" w:eastAsia="zh-CN"/>
        </w:rPr>
        <w:t xml:space="preserve">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b/>
          <w:color w:val="auto"/>
          <w:sz w:val="32"/>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pPr>
        <w:pStyle w:val="7"/>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pPr>
        <w:pStyle w:val="8"/>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pStyle w:val="6"/>
        <w:rPr>
          <w:rFonts w:hint="eastAsia"/>
          <w:color w:val="auto"/>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Cs/>
          <w:snapToGrid/>
          <w:color w:val="auto"/>
          <w:kern w:val="2"/>
          <w:sz w:val="24"/>
          <w:szCs w:val="24"/>
          <w:highlight w:val="none"/>
          <w:lang w:val="en-US" w:eastAsia="zh-CN" w:bidi="ar-SA"/>
        </w:rPr>
      </w:pPr>
      <w:r>
        <w:rPr>
          <w:rFonts w:hint="eastAsia" w:hAnsi="宋体" w:cs="宋体"/>
          <w:bCs/>
          <w:snapToGrid/>
          <w:color w:val="auto"/>
          <w:kern w:val="2"/>
          <w:sz w:val="24"/>
          <w:szCs w:val="24"/>
          <w:highlight w:val="none"/>
          <w:lang w:val="en-US" w:eastAsia="zh-CN" w:bidi="ar-SA"/>
        </w:rPr>
        <w:t>项目名称：2024年临江公司地下水隐患排查治理咨询服务</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Cs/>
          <w:snapToGrid/>
          <w:color w:val="auto"/>
          <w:kern w:val="2"/>
          <w:sz w:val="24"/>
          <w:szCs w:val="24"/>
          <w:highlight w:val="none"/>
          <w:lang w:val="en-US" w:eastAsia="zh-CN" w:bidi="ar-SA"/>
        </w:rPr>
      </w:pPr>
      <w:r>
        <w:rPr>
          <w:rFonts w:hint="eastAsia" w:hAnsi="宋体" w:cs="宋体"/>
          <w:bCs/>
          <w:snapToGrid/>
          <w:color w:val="auto"/>
          <w:kern w:val="2"/>
          <w:sz w:val="24"/>
          <w:szCs w:val="24"/>
          <w:highlight w:val="none"/>
          <w:lang w:val="en-US" w:eastAsia="zh-CN" w:bidi="ar-SA"/>
        </w:rPr>
        <w:t>服务范围：根据《重点监管单位土壤污染隐患排查指南（试行）》（公告 2021 年第 1 号）等相关要求，对杭州临江环境能源有限公司所有项目（能源、三固、炉渣）整体进行土壤地下水进行调查。</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hAnsi="宋体" w:cs="宋体"/>
          <w:bCs/>
          <w:snapToGrid/>
          <w:color w:val="auto"/>
          <w:kern w:val="2"/>
          <w:sz w:val="24"/>
          <w:szCs w:val="24"/>
          <w:highlight w:val="none"/>
          <w:lang w:val="en-US" w:eastAsia="zh-CN" w:bidi="ar-SA"/>
        </w:rPr>
      </w:pPr>
      <w:r>
        <w:rPr>
          <w:rFonts w:hint="eastAsia" w:hAnsi="宋体" w:cs="宋体"/>
          <w:bCs/>
          <w:snapToGrid/>
          <w:color w:val="auto"/>
          <w:kern w:val="2"/>
          <w:sz w:val="24"/>
          <w:szCs w:val="24"/>
          <w:highlight w:val="none"/>
          <w:lang w:val="en-US" w:eastAsia="zh-CN" w:bidi="ar-SA"/>
        </w:rPr>
        <w:t>服务期限：合同签订起至完成所有报告及方案编制并通过专家评审（如有网上备案优先按照网上备案结束）为止。</w:t>
      </w:r>
    </w:p>
    <w:p>
      <w:pPr>
        <w:pStyle w:val="6"/>
        <w:numPr>
          <w:ilvl w:val="0"/>
          <w:numId w:val="0"/>
        </w:numPr>
        <w:ind w:firstLine="482" w:firstLineChars="200"/>
        <w:rPr>
          <w:rFonts w:hint="eastAsia"/>
          <w:b/>
          <w:bCs/>
          <w:color w:val="auto"/>
          <w:lang w:val="en-US" w:eastAsia="zh-CN"/>
        </w:rPr>
      </w:pPr>
      <w:r>
        <w:rPr>
          <w:rFonts w:hint="eastAsia"/>
          <w:b/>
          <w:bCs/>
          <w:color w:val="auto"/>
          <w:lang w:val="en-US" w:eastAsia="zh-CN"/>
        </w:rPr>
        <w:t>项目概况</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snapToGrid/>
          <w:color w:val="auto"/>
          <w:kern w:val="2"/>
          <w:sz w:val="24"/>
          <w:szCs w:val="24"/>
          <w:highlight w:val="none"/>
          <w:lang w:val="en-US" w:eastAsia="zh-CN" w:bidi="ar-SA"/>
        </w:rPr>
      </w:pPr>
      <w:r>
        <w:rPr>
          <w:rFonts w:hint="eastAsia" w:hAnsi="宋体" w:cs="宋体"/>
          <w:b/>
          <w:bCs w:val="0"/>
          <w:snapToGrid/>
          <w:color w:val="auto"/>
          <w:kern w:val="2"/>
          <w:sz w:val="24"/>
          <w:szCs w:val="24"/>
          <w:highlight w:val="none"/>
          <w:lang w:val="en-US" w:eastAsia="zh-CN" w:bidi="ar-SA"/>
        </w:rPr>
        <w:t>能源</w:t>
      </w:r>
      <w:r>
        <w:rPr>
          <w:rFonts w:hint="eastAsia" w:hAnsi="宋体" w:cs="宋体"/>
          <w:bCs/>
          <w:snapToGrid/>
          <w:color w:val="auto"/>
          <w:kern w:val="2"/>
          <w:sz w:val="24"/>
          <w:szCs w:val="24"/>
          <w:highlight w:val="none"/>
          <w:lang w:val="en-US" w:eastAsia="zh-CN" w:bidi="ar-SA"/>
        </w:rPr>
        <w:t>：项目用地面积为236284㎡，总建筑面积114114.7㎡。规模为日焚烧处理城市生活垃圾5200吨。建设6条870吨/日机械炉排炉焚烧生产线，配置3套50 MW 次高压凝汽式汽轮机组，配套烟气净化系统、渗滤液处理站等。</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color w:val="auto"/>
          <w:lang w:val="en-US" w:eastAsia="zh-CN"/>
        </w:rPr>
      </w:pPr>
      <w:r>
        <w:rPr>
          <w:rFonts w:hint="eastAsia" w:hAnsi="宋体" w:cs="宋体"/>
          <w:b/>
          <w:bCs w:val="0"/>
          <w:snapToGrid/>
          <w:color w:val="auto"/>
          <w:kern w:val="2"/>
          <w:sz w:val="24"/>
          <w:szCs w:val="24"/>
          <w:highlight w:val="none"/>
          <w:lang w:val="en-US" w:eastAsia="zh-CN" w:bidi="ar-SA"/>
        </w:rPr>
        <w:t>三固</w:t>
      </w:r>
      <w:r>
        <w:rPr>
          <w:rFonts w:hint="eastAsia" w:hAnsi="宋体" w:cs="宋体"/>
          <w:bCs/>
          <w:snapToGrid/>
          <w:color w:val="auto"/>
          <w:kern w:val="2"/>
          <w:sz w:val="24"/>
          <w:szCs w:val="24"/>
          <w:highlight w:val="none"/>
          <w:lang w:val="en-US" w:eastAsia="zh-CN" w:bidi="ar-SA"/>
        </w:rPr>
        <w:t>：项目用地面积为112854㎡，总建筑面积29064.03㎡。规模为处置源生危险废弃物13万吨/年。（增加了配套一期用地和刚性填埋场建筑）（包含危废回转窑焚烧、物化、填埋、医废高温蒸煮等工艺）。建设内容主要包括处置中心的原料收运及暂存系统（包括对需处置的危险废物和医疗废物的分类、分拣、暂存设施等）、厂内生产设施（包括危废预处理、焚烧处理和医废高温蒸煮处理设施、余热利用及发电设施、烟气处理设施、炉渣及飞灰收集设施、可燃废液储罐区设施、物化处理设施、稳定化/固化处理设施、污水处理设施及危险废物填埋场等）、公用设施包括锅炉辅机及给水处理设施、压缩空气及动力供应设施、循环冷却水设施、给排水及消防设施、视频监控设施、通讯设施。</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color w:val="auto"/>
          <w:lang w:val="en-US" w:eastAsia="zh-CN"/>
        </w:rPr>
      </w:pPr>
      <w:r>
        <w:rPr>
          <w:rFonts w:hint="eastAsia" w:hAnsi="宋体" w:cs="宋体"/>
          <w:b/>
          <w:bCs w:val="0"/>
          <w:snapToGrid/>
          <w:color w:val="auto"/>
          <w:kern w:val="2"/>
          <w:sz w:val="24"/>
          <w:szCs w:val="24"/>
          <w:highlight w:val="none"/>
          <w:lang w:val="en-US" w:eastAsia="zh-CN" w:bidi="ar-SA"/>
        </w:rPr>
        <w:t>炉渣</w:t>
      </w:r>
      <w:r>
        <w:rPr>
          <w:rFonts w:hint="eastAsia" w:hAnsi="宋体" w:cs="宋体"/>
          <w:bCs/>
          <w:snapToGrid/>
          <w:color w:val="auto"/>
          <w:kern w:val="2"/>
          <w:sz w:val="24"/>
          <w:szCs w:val="24"/>
          <w:highlight w:val="none"/>
          <w:lang w:val="en-US" w:eastAsia="zh-CN" w:bidi="ar-SA"/>
        </w:rPr>
        <w:t>：项目占地面积14113.8㎡，总建筑面积（计容）28176.5㎡，其中炉渣资源化车间建筑面积（计容）28152㎡。规模为杭州临江环境能源工程的配套项目，其处理的炉渣主要来源于杭州临江环境能源工程垃圾焚烧炉的垃圾焚烧炉渣，建设规模为日处理生活垃圾焚烧炉炉渣1600吨，配套建设两条额定日处理能力800吨的炉渣处理线及附属设施。</w:t>
      </w:r>
    </w:p>
    <w:p>
      <w:pPr>
        <w:pStyle w:val="6"/>
        <w:numPr>
          <w:ilvl w:val="0"/>
          <w:numId w:val="0"/>
        </w:numPr>
        <w:ind w:firstLine="482" w:firstLineChars="200"/>
        <w:rPr>
          <w:rFonts w:hint="eastAsia"/>
          <w:b/>
          <w:bCs/>
          <w:color w:val="auto"/>
          <w:lang w:val="en-US" w:eastAsia="zh-CN"/>
        </w:rPr>
      </w:pPr>
      <w:r>
        <w:rPr>
          <w:rFonts w:hint="eastAsia"/>
          <w:b/>
          <w:bCs/>
          <w:color w:val="auto"/>
          <w:lang w:val="en-US" w:eastAsia="zh-CN"/>
        </w:rPr>
        <w:t>二、服务内容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cs="Times New Roman" w:eastAsiaTheme="minorEastAsia"/>
          <w:b w:val="0"/>
          <w:bCs w:val="0"/>
          <w:snapToGrid/>
          <w:color w:val="auto"/>
          <w:kern w:val="2"/>
          <w:sz w:val="24"/>
          <w:szCs w:val="20"/>
          <w:lang w:val="en-US" w:eastAsia="zh-CN" w:bidi="ar-SA"/>
        </w:rPr>
      </w:pPr>
      <w:r>
        <w:rPr>
          <w:rFonts w:hint="eastAsia" w:ascii="宋体" w:hAnsi="Times New Roman" w:cs="Times New Roman" w:eastAsiaTheme="minorEastAsia"/>
          <w:b w:val="0"/>
          <w:bCs w:val="0"/>
          <w:snapToGrid/>
          <w:color w:val="auto"/>
          <w:kern w:val="2"/>
          <w:sz w:val="24"/>
          <w:szCs w:val="20"/>
          <w:lang w:val="en-US" w:eastAsia="zh-CN" w:bidi="ar-SA"/>
        </w:rPr>
        <w:t>1.污染源头排查</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cs="Times New Roman" w:eastAsiaTheme="minorEastAsia"/>
          <w:b w:val="0"/>
          <w:bCs w:val="0"/>
          <w:snapToGrid/>
          <w:color w:val="auto"/>
          <w:kern w:val="2"/>
          <w:sz w:val="24"/>
          <w:szCs w:val="20"/>
          <w:lang w:val="en-US" w:eastAsia="zh-CN" w:bidi="ar-SA"/>
        </w:rPr>
      </w:pPr>
      <w:r>
        <w:rPr>
          <w:rFonts w:hint="eastAsia" w:ascii="宋体" w:hAnsi="Times New Roman" w:cs="Times New Roman" w:eastAsiaTheme="minorEastAsia"/>
          <w:b w:val="0"/>
          <w:bCs w:val="0"/>
          <w:snapToGrid/>
          <w:color w:val="auto"/>
          <w:kern w:val="2"/>
          <w:sz w:val="24"/>
          <w:szCs w:val="20"/>
          <w:lang w:val="en-US" w:eastAsia="zh-CN" w:bidi="ar-SA"/>
        </w:rPr>
        <w:t>1.1资料分析：进一步收集历史资料，包括外来填土相关信息等，为解决方案提供支撑。结合现场踏勘、人员访谈，对历史资料和现状资料持续更新分析。</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cs="Times New Roman" w:eastAsiaTheme="minorEastAsia"/>
          <w:b w:val="0"/>
          <w:bCs w:val="0"/>
          <w:snapToGrid/>
          <w:color w:val="auto"/>
          <w:kern w:val="2"/>
          <w:sz w:val="24"/>
          <w:szCs w:val="20"/>
          <w:lang w:val="en-US" w:eastAsia="zh-CN" w:bidi="ar-SA"/>
        </w:rPr>
      </w:pPr>
      <w:r>
        <w:rPr>
          <w:rFonts w:hint="eastAsia" w:ascii="宋体" w:hAnsi="Times New Roman" w:cs="Times New Roman" w:eastAsiaTheme="minorEastAsia"/>
          <w:b w:val="0"/>
          <w:bCs w:val="0"/>
          <w:snapToGrid/>
          <w:color w:val="auto"/>
          <w:kern w:val="2"/>
          <w:sz w:val="24"/>
          <w:szCs w:val="20"/>
          <w:lang w:val="en-US" w:eastAsia="zh-CN" w:bidi="ar-SA"/>
        </w:rPr>
        <w:t xml:space="preserve">1.2隐患排查：根据《重点监管单位土壤污染隐患排查指南（试行）》 （公告 </w:t>
      </w:r>
      <w:r>
        <w:rPr>
          <w:rFonts w:hint="default" w:ascii="宋体" w:hAnsi="Times New Roman" w:cs="Times New Roman" w:eastAsiaTheme="minorEastAsia"/>
          <w:b w:val="0"/>
          <w:bCs w:val="0"/>
          <w:snapToGrid/>
          <w:color w:val="auto"/>
          <w:kern w:val="2"/>
          <w:sz w:val="24"/>
          <w:szCs w:val="20"/>
          <w:lang w:val="en-US" w:eastAsia="zh-CN" w:bidi="ar-SA"/>
        </w:rPr>
        <w:t xml:space="preserve">2021 </w:t>
      </w:r>
      <w:r>
        <w:rPr>
          <w:rFonts w:hint="eastAsia" w:ascii="宋体" w:hAnsi="Times New Roman" w:cs="Times New Roman" w:eastAsiaTheme="minorEastAsia"/>
          <w:b w:val="0"/>
          <w:bCs w:val="0"/>
          <w:snapToGrid/>
          <w:color w:val="auto"/>
          <w:kern w:val="2"/>
          <w:sz w:val="24"/>
          <w:szCs w:val="20"/>
          <w:lang w:val="en-US" w:eastAsia="zh-CN" w:bidi="ar-SA"/>
        </w:rPr>
        <w:t xml:space="preserve">年第 </w:t>
      </w:r>
      <w:r>
        <w:rPr>
          <w:rFonts w:hint="default" w:ascii="宋体" w:hAnsi="Times New Roman" w:cs="Times New Roman" w:eastAsiaTheme="minorEastAsia"/>
          <w:b w:val="0"/>
          <w:bCs w:val="0"/>
          <w:snapToGrid/>
          <w:color w:val="auto"/>
          <w:kern w:val="2"/>
          <w:sz w:val="24"/>
          <w:szCs w:val="20"/>
          <w:lang w:val="en-US" w:eastAsia="zh-CN" w:bidi="ar-SA"/>
        </w:rPr>
        <w:t xml:space="preserve">1 </w:t>
      </w:r>
      <w:r>
        <w:rPr>
          <w:rFonts w:hint="eastAsia" w:ascii="宋体" w:hAnsi="Times New Roman" w:cs="Times New Roman" w:eastAsiaTheme="minorEastAsia"/>
          <w:b w:val="0"/>
          <w:bCs w:val="0"/>
          <w:snapToGrid/>
          <w:color w:val="auto"/>
          <w:kern w:val="2"/>
          <w:sz w:val="24"/>
          <w:szCs w:val="20"/>
          <w:lang w:val="en-US" w:eastAsia="zh-CN" w:bidi="ar-SA"/>
        </w:rPr>
        <w:t>号）等规范，分别为三个项目厂区开展土壤地下水污染隐患排查。同时对周边环境开展踏勘排查，以确定对地下水质量的影响程度。</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cs="Times New Roman" w:eastAsiaTheme="minorEastAsia"/>
          <w:b w:val="0"/>
          <w:bCs w:val="0"/>
          <w:snapToGrid/>
          <w:color w:val="auto"/>
          <w:kern w:val="2"/>
          <w:sz w:val="24"/>
          <w:szCs w:val="20"/>
          <w:lang w:val="en-US" w:eastAsia="zh-CN" w:bidi="ar-SA"/>
        </w:rPr>
      </w:pPr>
      <w:r>
        <w:rPr>
          <w:rFonts w:hint="eastAsia" w:ascii="宋体" w:hAnsi="Times New Roman" w:cs="Times New Roman" w:eastAsiaTheme="minorEastAsia"/>
          <w:b w:val="0"/>
          <w:bCs w:val="0"/>
          <w:snapToGrid/>
          <w:color w:val="auto"/>
          <w:kern w:val="2"/>
          <w:sz w:val="24"/>
          <w:szCs w:val="20"/>
          <w:lang w:val="en-US" w:eastAsia="zh-CN" w:bidi="ar-SA"/>
        </w:rPr>
        <w:t>1.3为能源、三固、炉渣项目编制《土壤地下水污染隐患排查报告》；</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cs="Times New Roman" w:eastAsiaTheme="minorEastAsia"/>
          <w:b w:val="0"/>
          <w:bCs w:val="0"/>
          <w:snapToGrid/>
          <w:color w:val="auto"/>
          <w:kern w:val="2"/>
          <w:sz w:val="24"/>
          <w:szCs w:val="20"/>
          <w:lang w:val="en-US" w:eastAsia="zh-CN" w:bidi="ar-SA"/>
        </w:rPr>
      </w:pPr>
      <w:r>
        <w:rPr>
          <w:rFonts w:hint="eastAsia" w:ascii="宋体" w:hAnsi="Times New Roman" w:cs="Times New Roman" w:eastAsiaTheme="minorEastAsia"/>
          <w:b w:val="0"/>
          <w:bCs w:val="0"/>
          <w:snapToGrid/>
          <w:color w:val="auto"/>
          <w:kern w:val="2"/>
          <w:sz w:val="24"/>
          <w:szCs w:val="20"/>
          <w:lang w:val="en-US" w:eastAsia="zh-CN" w:bidi="ar-SA"/>
        </w:rPr>
        <w:t>2.监测结果分析和风险分析</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cs="Times New Roman" w:eastAsiaTheme="minorEastAsia"/>
          <w:b w:val="0"/>
          <w:bCs w:val="0"/>
          <w:snapToGrid/>
          <w:color w:val="auto"/>
          <w:kern w:val="2"/>
          <w:sz w:val="24"/>
          <w:szCs w:val="20"/>
          <w:lang w:val="en-US" w:eastAsia="zh-CN" w:bidi="ar-SA"/>
        </w:rPr>
      </w:pPr>
      <w:r>
        <w:rPr>
          <w:rFonts w:hint="eastAsia" w:ascii="宋体" w:hAnsi="Times New Roman" w:cs="Times New Roman" w:eastAsiaTheme="minorEastAsia"/>
          <w:b w:val="0"/>
          <w:bCs w:val="0"/>
          <w:snapToGrid/>
          <w:color w:val="auto"/>
          <w:kern w:val="2"/>
          <w:sz w:val="24"/>
          <w:szCs w:val="20"/>
          <w:lang w:val="en-US" w:eastAsia="zh-CN" w:bidi="ar-SA"/>
        </w:rPr>
        <w:t>2.1持续监测：设计并编制《监测方案》，对超标区域和周边增加地下水监测点位和部分土壤监测点位，持续、多轮监测污染扩散范围和程度；改进地下水、土壤的监测指标，以协助污染溯源工作。本项工作为方案设计，具体监测、采样工作由</w:t>
      </w:r>
      <w:r>
        <w:rPr>
          <w:rFonts w:hint="eastAsia" w:ascii="宋体" w:hAnsi="Times New Roman" w:cs="Times New Roman"/>
          <w:b w:val="0"/>
          <w:bCs w:val="0"/>
          <w:snapToGrid/>
          <w:color w:val="auto"/>
          <w:kern w:val="2"/>
          <w:sz w:val="24"/>
          <w:szCs w:val="20"/>
          <w:lang w:val="en-US" w:eastAsia="zh-CN" w:bidi="ar-SA"/>
        </w:rPr>
        <w:t>采购人</w:t>
      </w:r>
      <w:r>
        <w:rPr>
          <w:rFonts w:hint="eastAsia" w:ascii="宋体" w:hAnsi="Times New Roman" w:cs="Times New Roman" w:eastAsiaTheme="minorEastAsia"/>
          <w:b w:val="0"/>
          <w:bCs w:val="0"/>
          <w:snapToGrid/>
          <w:color w:val="auto"/>
          <w:kern w:val="2"/>
          <w:sz w:val="24"/>
          <w:szCs w:val="20"/>
          <w:lang w:val="en-US" w:eastAsia="zh-CN" w:bidi="ar-SA"/>
        </w:rPr>
        <w:t>另行委托第三方单位开展。</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cs="Times New Roman" w:eastAsiaTheme="minorEastAsia"/>
          <w:b w:val="0"/>
          <w:bCs w:val="0"/>
          <w:snapToGrid/>
          <w:color w:val="auto"/>
          <w:kern w:val="2"/>
          <w:sz w:val="24"/>
          <w:szCs w:val="20"/>
          <w:lang w:val="en-US" w:eastAsia="zh-CN" w:bidi="ar-SA"/>
        </w:rPr>
      </w:pPr>
      <w:r>
        <w:rPr>
          <w:rFonts w:hint="eastAsia" w:ascii="宋体" w:hAnsi="Times New Roman" w:cs="Times New Roman" w:eastAsiaTheme="minorEastAsia"/>
          <w:b w:val="0"/>
          <w:bCs w:val="0"/>
          <w:snapToGrid/>
          <w:color w:val="auto"/>
          <w:kern w:val="2"/>
          <w:sz w:val="24"/>
          <w:szCs w:val="20"/>
          <w:lang w:val="en-US" w:eastAsia="zh-CN" w:bidi="ar-SA"/>
        </w:rPr>
        <w:t>2.2风险分析：取得监测结果并开展分析，并在此基础上采用专业软件绘制污染羽，形成场地概念模型，为地下水污染溯源工作提供支撑。结合监测结果和地块特征参数，开展人体健康风险分析。</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cs="Times New Roman" w:eastAsiaTheme="minorEastAsia"/>
          <w:b w:val="0"/>
          <w:bCs w:val="0"/>
          <w:snapToGrid/>
          <w:color w:val="auto"/>
          <w:kern w:val="2"/>
          <w:sz w:val="24"/>
          <w:szCs w:val="20"/>
          <w:lang w:val="en-US" w:eastAsia="zh-CN" w:bidi="ar-SA"/>
        </w:rPr>
      </w:pPr>
      <w:r>
        <w:rPr>
          <w:rFonts w:hint="eastAsia" w:ascii="宋体" w:hAnsi="Times New Roman" w:cs="Times New Roman" w:eastAsiaTheme="minorEastAsia"/>
          <w:b w:val="0"/>
          <w:bCs w:val="0"/>
          <w:snapToGrid/>
          <w:color w:val="auto"/>
          <w:kern w:val="2"/>
          <w:sz w:val="24"/>
          <w:szCs w:val="20"/>
          <w:lang w:val="en-US" w:eastAsia="zh-CN" w:bidi="ar-SA"/>
        </w:rPr>
        <w:t>2.3编制《地下水监测结果和风险分析报告》。</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cs="Times New Roman" w:eastAsiaTheme="minorEastAsia"/>
          <w:b w:val="0"/>
          <w:bCs w:val="0"/>
          <w:snapToGrid/>
          <w:color w:val="auto"/>
          <w:kern w:val="2"/>
          <w:sz w:val="24"/>
          <w:szCs w:val="20"/>
          <w:lang w:val="en-US" w:eastAsia="zh-CN" w:bidi="ar-SA"/>
        </w:rPr>
      </w:pPr>
      <w:r>
        <w:rPr>
          <w:rFonts w:hint="eastAsia" w:ascii="宋体" w:hAnsi="Times New Roman" w:cs="Times New Roman" w:eastAsiaTheme="minorEastAsia"/>
          <w:b w:val="0"/>
          <w:bCs w:val="0"/>
          <w:snapToGrid/>
          <w:color w:val="auto"/>
          <w:kern w:val="2"/>
          <w:sz w:val="24"/>
          <w:szCs w:val="20"/>
          <w:lang w:val="en-US" w:eastAsia="zh-CN" w:bidi="ar-SA"/>
        </w:rPr>
        <w:t>3.在前述源头排查和风险分析成果基础上，为三个区域的后续整治措施分别提出初步工作思路，提出可选择的整治措施，编制《分区整治初步方案》。本项工作形成方案为初步性质，主要内容为整治思路、关键点和难点识别、不同技术路线比选。后续开展整治工作前，</w:t>
      </w:r>
      <w:r>
        <w:rPr>
          <w:rFonts w:hint="eastAsia" w:ascii="宋体" w:hAnsi="Times New Roman" w:cs="Times New Roman"/>
          <w:b w:val="0"/>
          <w:bCs w:val="0"/>
          <w:snapToGrid/>
          <w:color w:val="auto"/>
          <w:kern w:val="2"/>
          <w:sz w:val="24"/>
          <w:szCs w:val="20"/>
          <w:lang w:val="en-US" w:eastAsia="zh-CN" w:bidi="ar-SA"/>
        </w:rPr>
        <w:t>采购人</w:t>
      </w:r>
      <w:r>
        <w:rPr>
          <w:rFonts w:hint="eastAsia" w:ascii="宋体" w:hAnsi="Times New Roman" w:cs="Times New Roman" w:eastAsiaTheme="minorEastAsia"/>
          <w:b w:val="0"/>
          <w:bCs w:val="0"/>
          <w:snapToGrid/>
          <w:color w:val="auto"/>
          <w:kern w:val="2"/>
          <w:sz w:val="24"/>
          <w:szCs w:val="20"/>
          <w:lang w:val="en-US" w:eastAsia="zh-CN" w:bidi="ar-SA"/>
        </w:rPr>
        <w:t>需另行组织小试、中试及抽水试验等工作，在其基础上形成能够指导现场施工的详细整治方案。</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cs="Times New Roman" w:eastAsiaTheme="minorEastAsia"/>
          <w:b w:val="0"/>
          <w:bCs w:val="0"/>
          <w:snapToGrid/>
          <w:color w:val="auto"/>
          <w:kern w:val="2"/>
          <w:sz w:val="24"/>
          <w:szCs w:val="20"/>
          <w:lang w:val="en-US" w:eastAsia="zh-CN" w:bidi="ar-SA"/>
        </w:rPr>
      </w:pPr>
      <w:r>
        <w:rPr>
          <w:rFonts w:hint="eastAsia" w:ascii="宋体" w:hAnsi="Times New Roman" w:cs="Times New Roman" w:eastAsiaTheme="minorEastAsia"/>
          <w:b w:val="0"/>
          <w:bCs w:val="0"/>
          <w:snapToGrid/>
          <w:color w:val="auto"/>
          <w:kern w:val="2"/>
          <w:sz w:val="24"/>
          <w:szCs w:val="20"/>
          <w:lang w:val="en-US" w:eastAsia="zh-CN" w:bidi="ar-SA"/>
        </w:rPr>
        <w:t>4.最终整治方案，经初步方案实施后在其基础上形成能够指导现场施工的详细整治方案，通过专家评审等相关工作等，直至网上备案工作结束（如有网上备案）。</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cs="Times New Roman" w:eastAsiaTheme="minorEastAsia"/>
          <w:b w:val="0"/>
          <w:bCs w:val="0"/>
          <w:snapToGrid/>
          <w:color w:val="auto"/>
          <w:kern w:val="2"/>
          <w:sz w:val="24"/>
          <w:szCs w:val="20"/>
          <w:lang w:val="en-US" w:eastAsia="zh-CN" w:bidi="ar-SA"/>
        </w:rPr>
      </w:pPr>
      <w:r>
        <w:rPr>
          <w:rFonts w:hint="eastAsia" w:ascii="宋体" w:hAnsi="Times New Roman" w:cs="Times New Roman"/>
          <w:b w:val="0"/>
          <w:bCs w:val="0"/>
          <w:snapToGrid/>
          <w:color w:val="auto"/>
          <w:kern w:val="2"/>
          <w:sz w:val="24"/>
          <w:szCs w:val="20"/>
          <w:lang w:val="en-US" w:eastAsia="zh-CN" w:bidi="ar-SA"/>
        </w:rPr>
        <w:t>5</w:t>
      </w:r>
      <w:r>
        <w:rPr>
          <w:rFonts w:hint="eastAsia" w:ascii="宋体" w:hAnsi="Times New Roman" w:cs="Times New Roman" w:eastAsiaTheme="minorEastAsia"/>
          <w:b w:val="0"/>
          <w:bCs w:val="0"/>
          <w:snapToGrid/>
          <w:color w:val="auto"/>
          <w:kern w:val="2"/>
          <w:sz w:val="24"/>
          <w:szCs w:val="20"/>
          <w:lang w:val="en-US" w:eastAsia="zh-CN" w:bidi="ar-SA"/>
        </w:rPr>
        <w:t>.本项目涉及的方案及报告需满足相关职能部门等</w:t>
      </w:r>
      <w:r>
        <w:rPr>
          <w:rFonts w:hint="default" w:ascii="宋体" w:hAnsi="Times New Roman" w:cs="Times New Roman" w:eastAsiaTheme="minorEastAsia"/>
          <w:b w:val="0"/>
          <w:bCs w:val="0"/>
          <w:snapToGrid/>
          <w:color w:val="auto"/>
          <w:kern w:val="2"/>
          <w:sz w:val="24"/>
          <w:szCs w:val="20"/>
          <w:lang w:val="en-US" w:eastAsia="zh-CN" w:bidi="ar-SA"/>
        </w:rPr>
        <w:t>技术文件</w:t>
      </w:r>
      <w:r>
        <w:rPr>
          <w:rFonts w:hint="eastAsia" w:ascii="宋体" w:hAnsi="Times New Roman" w:cs="Times New Roman" w:eastAsiaTheme="minorEastAsia"/>
          <w:b w:val="0"/>
          <w:bCs w:val="0"/>
          <w:snapToGrid/>
          <w:color w:val="auto"/>
          <w:kern w:val="2"/>
          <w:sz w:val="24"/>
          <w:szCs w:val="20"/>
          <w:lang w:val="en-US" w:eastAsia="zh-CN" w:bidi="ar-SA"/>
        </w:rPr>
        <w:t>要求进行。</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cs="Times New Roman" w:eastAsiaTheme="minorEastAsia"/>
          <w:b w:val="0"/>
          <w:bCs w:val="0"/>
          <w:snapToGrid/>
          <w:color w:val="auto"/>
          <w:kern w:val="2"/>
          <w:sz w:val="24"/>
          <w:szCs w:val="20"/>
          <w:lang w:val="en-US" w:eastAsia="zh-CN" w:bidi="ar-SA"/>
        </w:rPr>
      </w:pPr>
      <w:r>
        <w:rPr>
          <w:rFonts w:hint="eastAsia" w:ascii="宋体" w:hAnsi="Times New Roman" w:cs="Times New Roman"/>
          <w:b w:val="0"/>
          <w:bCs w:val="0"/>
          <w:snapToGrid/>
          <w:color w:val="auto"/>
          <w:kern w:val="2"/>
          <w:sz w:val="24"/>
          <w:szCs w:val="20"/>
          <w:lang w:val="en-US" w:eastAsia="zh-CN" w:bidi="ar-SA"/>
        </w:rPr>
        <w:t>6</w:t>
      </w:r>
      <w:r>
        <w:rPr>
          <w:rFonts w:hint="eastAsia" w:ascii="宋体" w:hAnsi="Times New Roman" w:cs="Times New Roman" w:eastAsiaTheme="minorEastAsia"/>
          <w:b w:val="0"/>
          <w:bCs w:val="0"/>
          <w:snapToGrid/>
          <w:color w:val="auto"/>
          <w:kern w:val="2"/>
          <w:sz w:val="24"/>
          <w:szCs w:val="20"/>
          <w:lang w:val="en-US" w:eastAsia="zh-CN" w:bidi="ar-SA"/>
        </w:rPr>
        <w:t>.本项目涉及所有费用（不含检测）由供应商负责。</w:t>
      </w:r>
    </w:p>
    <w:p>
      <w:pPr>
        <w:pStyle w:val="6"/>
        <w:numPr>
          <w:ilvl w:val="0"/>
          <w:numId w:val="0"/>
        </w:numPr>
        <w:ind w:firstLine="482" w:firstLineChars="200"/>
        <w:rPr>
          <w:rFonts w:hint="eastAsia" w:ascii="宋体" w:hAnsi="Times New Roman" w:cs="Times New Roman" w:eastAsiaTheme="minorEastAsia"/>
          <w:b/>
          <w:bCs/>
          <w:snapToGrid/>
          <w:color w:val="auto"/>
          <w:kern w:val="2"/>
          <w:sz w:val="24"/>
          <w:szCs w:val="20"/>
          <w:lang w:val="en-US" w:eastAsia="zh-CN" w:bidi="ar-SA"/>
        </w:rPr>
      </w:pPr>
      <w:r>
        <w:rPr>
          <w:rFonts w:hint="eastAsia" w:ascii="宋体" w:hAnsi="Times New Roman" w:cs="Times New Roman" w:eastAsiaTheme="minorEastAsia"/>
          <w:b/>
          <w:bCs/>
          <w:snapToGrid/>
          <w:color w:val="auto"/>
          <w:kern w:val="2"/>
          <w:sz w:val="24"/>
          <w:szCs w:val="20"/>
          <w:lang w:val="en-US" w:eastAsia="zh-CN" w:bidi="ar-SA"/>
        </w:rPr>
        <w:t>三、验收方式</w:t>
      </w:r>
    </w:p>
    <w:p>
      <w:pPr>
        <w:pStyle w:val="6"/>
        <w:numPr>
          <w:ilvl w:val="0"/>
          <w:numId w:val="0"/>
        </w:numPr>
        <w:ind w:firstLine="480" w:firstLineChars="200"/>
        <w:rPr>
          <w:rFonts w:hint="eastAsia" w:ascii="宋体" w:hAnsi="Times New Roman" w:cs="Times New Roman" w:eastAsiaTheme="minorEastAsia"/>
          <w:b w:val="0"/>
          <w:bCs w:val="0"/>
          <w:snapToGrid/>
          <w:color w:val="auto"/>
          <w:kern w:val="2"/>
          <w:sz w:val="24"/>
          <w:szCs w:val="20"/>
          <w:lang w:val="en-US" w:eastAsia="zh-CN" w:bidi="ar-SA"/>
        </w:rPr>
      </w:pPr>
      <w:r>
        <w:rPr>
          <w:rFonts w:hint="eastAsia" w:ascii="宋体" w:hAnsi="Times New Roman" w:cs="Times New Roman" w:eastAsiaTheme="minorEastAsia"/>
          <w:b w:val="0"/>
          <w:bCs w:val="0"/>
          <w:snapToGrid/>
          <w:color w:val="auto"/>
          <w:kern w:val="2"/>
          <w:sz w:val="24"/>
          <w:szCs w:val="20"/>
          <w:lang w:val="en-US" w:eastAsia="zh-CN" w:bidi="ar-SA"/>
        </w:rPr>
        <w:t>按照相关要求完成</w:t>
      </w:r>
      <w:r>
        <w:rPr>
          <w:rFonts w:hint="eastAsia" w:hAnsi="Times New Roman" w:cs="Times New Roman"/>
          <w:b w:val="0"/>
          <w:bCs w:val="0"/>
          <w:snapToGrid/>
          <w:color w:val="auto"/>
          <w:kern w:val="2"/>
          <w:sz w:val="24"/>
          <w:szCs w:val="20"/>
          <w:lang w:val="en-US" w:eastAsia="zh-CN" w:bidi="ar-SA"/>
        </w:rPr>
        <w:t>所有</w:t>
      </w:r>
      <w:r>
        <w:rPr>
          <w:rFonts w:hint="eastAsia" w:ascii="宋体" w:hAnsi="Times New Roman" w:cs="Times New Roman" w:eastAsiaTheme="minorEastAsia"/>
          <w:b w:val="0"/>
          <w:bCs w:val="0"/>
          <w:snapToGrid/>
          <w:color w:val="auto"/>
          <w:kern w:val="2"/>
          <w:sz w:val="24"/>
          <w:szCs w:val="20"/>
          <w:lang w:val="en-US" w:eastAsia="zh-CN" w:bidi="ar-SA"/>
        </w:rPr>
        <w:t>报告及方案编制工作并完成网上备案结束，如无网上备案则按照专家评审结束即为完成工作内容。</w:t>
      </w:r>
    </w:p>
    <w:p>
      <w:pPr>
        <w:pStyle w:val="6"/>
        <w:numPr>
          <w:ilvl w:val="0"/>
          <w:numId w:val="0"/>
        </w:numPr>
        <w:ind w:firstLine="482" w:firstLineChars="200"/>
        <w:rPr>
          <w:rFonts w:hint="eastAsia"/>
          <w:b/>
          <w:bCs/>
          <w:color w:val="auto"/>
          <w:lang w:val="en-US" w:eastAsia="zh-CN"/>
        </w:rPr>
      </w:pPr>
      <w:r>
        <w:rPr>
          <w:rFonts w:hint="eastAsia"/>
          <w:b/>
          <w:bCs/>
          <w:color w:val="auto"/>
          <w:lang w:val="en-US" w:eastAsia="zh-CN"/>
        </w:rPr>
        <w:t>四、结算方式</w:t>
      </w:r>
    </w:p>
    <w:p>
      <w:pPr>
        <w:pStyle w:val="15"/>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pPr>
        <w:pStyle w:val="6"/>
        <w:numPr>
          <w:ilvl w:val="0"/>
          <w:numId w:val="0"/>
        </w:numPr>
        <w:ind w:firstLine="482" w:firstLineChars="200"/>
        <w:rPr>
          <w:rFonts w:hint="eastAsia"/>
          <w:b/>
          <w:bCs/>
          <w:color w:val="auto"/>
          <w:lang w:val="en-US" w:eastAsia="zh-CN"/>
        </w:rPr>
      </w:pPr>
      <w:r>
        <w:rPr>
          <w:rFonts w:hint="eastAsia"/>
          <w:b/>
          <w:bCs/>
          <w:color w:val="auto"/>
          <w:lang w:val="en-US" w:eastAsia="zh-CN"/>
        </w:rPr>
        <w:t>五、技术及售后要求</w:t>
      </w:r>
    </w:p>
    <w:p>
      <w:pPr>
        <w:pStyle w:val="6"/>
        <w:numPr>
          <w:ilvl w:val="0"/>
          <w:numId w:val="0"/>
        </w:numPr>
        <w:ind w:firstLine="480" w:firstLineChars="200"/>
        <w:rPr>
          <w:rFonts w:hint="default" w:ascii="宋体" w:hAnsi="Times New Roman" w:cs="Times New Roman" w:eastAsiaTheme="minorEastAsia"/>
          <w:b w:val="0"/>
          <w:bCs w:val="0"/>
          <w:snapToGrid/>
          <w:color w:val="auto"/>
          <w:kern w:val="2"/>
          <w:sz w:val="24"/>
          <w:szCs w:val="20"/>
          <w:lang w:val="en-US" w:eastAsia="zh-CN" w:bidi="ar-SA"/>
        </w:rPr>
      </w:pPr>
      <w:r>
        <w:rPr>
          <w:rFonts w:hint="eastAsia" w:ascii="宋体" w:hAnsi="Times New Roman" w:cs="Times New Roman" w:eastAsiaTheme="minorEastAsia"/>
          <w:b w:val="0"/>
          <w:bCs w:val="0"/>
          <w:snapToGrid/>
          <w:color w:val="auto"/>
          <w:kern w:val="2"/>
          <w:sz w:val="24"/>
          <w:szCs w:val="20"/>
          <w:lang w:val="en-US" w:eastAsia="zh-CN" w:bidi="ar-SA"/>
        </w:rPr>
        <w:t>1.出具的过程和结论性报告符合相应标准规范</w:t>
      </w:r>
      <w:r>
        <w:rPr>
          <w:rFonts w:hint="eastAsia" w:hAnsi="Times New Roman" w:cs="Times New Roman"/>
          <w:b w:val="0"/>
          <w:bCs w:val="0"/>
          <w:snapToGrid/>
          <w:color w:val="auto"/>
          <w:kern w:val="2"/>
          <w:sz w:val="24"/>
          <w:szCs w:val="20"/>
          <w:lang w:val="en-US" w:eastAsia="zh-CN" w:bidi="ar-SA"/>
        </w:rPr>
        <w:t>；</w:t>
      </w:r>
    </w:p>
    <w:p>
      <w:pPr>
        <w:pStyle w:val="6"/>
        <w:numPr>
          <w:ilvl w:val="0"/>
          <w:numId w:val="0"/>
        </w:numPr>
        <w:ind w:firstLine="480" w:firstLineChars="200"/>
        <w:rPr>
          <w:rFonts w:hint="default" w:ascii="宋体" w:hAnsi="Times New Roman" w:cs="Times New Roman" w:eastAsiaTheme="minorEastAsia"/>
          <w:b w:val="0"/>
          <w:bCs w:val="0"/>
          <w:snapToGrid/>
          <w:color w:val="auto"/>
          <w:kern w:val="2"/>
          <w:sz w:val="24"/>
          <w:szCs w:val="20"/>
          <w:lang w:val="en-US" w:eastAsia="zh-CN" w:bidi="ar-SA"/>
        </w:rPr>
      </w:pPr>
      <w:r>
        <w:rPr>
          <w:rFonts w:hint="eastAsia" w:ascii="宋体" w:hAnsi="Times New Roman" w:cs="Times New Roman" w:eastAsiaTheme="minorEastAsia"/>
          <w:b w:val="0"/>
          <w:bCs w:val="0"/>
          <w:snapToGrid/>
          <w:color w:val="auto"/>
          <w:kern w:val="2"/>
          <w:sz w:val="24"/>
          <w:szCs w:val="20"/>
          <w:lang w:val="en-US" w:eastAsia="zh-CN" w:bidi="ar-SA"/>
        </w:rPr>
        <w:t>2.为杭州临江环境能源有限公司提供</w:t>
      </w:r>
      <w:r>
        <w:rPr>
          <w:rFonts w:hint="eastAsia" w:hAnsi="Times New Roman" w:cs="Times New Roman"/>
          <w:b w:val="0"/>
          <w:bCs w:val="0"/>
          <w:snapToGrid/>
          <w:color w:val="auto"/>
          <w:kern w:val="2"/>
          <w:sz w:val="24"/>
          <w:szCs w:val="20"/>
          <w:lang w:val="en-US" w:eastAsia="zh-CN" w:bidi="ar-SA"/>
        </w:rPr>
        <w:t>土壤</w:t>
      </w:r>
      <w:r>
        <w:rPr>
          <w:rFonts w:hint="eastAsia" w:ascii="宋体" w:hAnsi="Times New Roman" w:cs="Times New Roman" w:eastAsiaTheme="minorEastAsia"/>
          <w:b w:val="0"/>
          <w:bCs w:val="0"/>
          <w:snapToGrid/>
          <w:color w:val="auto"/>
          <w:kern w:val="2"/>
          <w:sz w:val="24"/>
          <w:szCs w:val="20"/>
          <w:lang w:val="en-US" w:eastAsia="zh-CN" w:bidi="ar-SA"/>
        </w:rPr>
        <w:t>地下水治理技术理论支持，包含寻找行业专家、组织评审会、协调地下水检测、环保部门沟通等</w:t>
      </w:r>
      <w:r>
        <w:rPr>
          <w:rFonts w:hint="eastAsia" w:hAnsi="Times New Roman" w:cs="Times New Roman"/>
          <w:b w:val="0"/>
          <w:bCs w:val="0"/>
          <w:snapToGrid/>
          <w:color w:val="auto"/>
          <w:kern w:val="2"/>
          <w:sz w:val="24"/>
          <w:szCs w:val="20"/>
          <w:lang w:val="en-US" w:eastAsia="zh-CN" w:bidi="ar-SA"/>
        </w:rPr>
        <w:t>；</w:t>
      </w:r>
    </w:p>
    <w:p>
      <w:pPr>
        <w:pStyle w:val="6"/>
        <w:numPr>
          <w:ilvl w:val="0"/>
          <w:numId w:val="0"/>
        </w:numPr>
        <w:ind w:firstLine="480" w:firstLineChars="200"/>
        <w:rPr>
          <w:rFonts w:hint="eastAsia" w:ascii="宋体" w:hAnsi="Times New Roman" w:cs="Times New Roman" w:eastAsiaTheme="minorEastAsia"/>
          <w:b w:val="0"/>
          <w:bCs w:val="0"/>
          <w:snapToGrid/>
          <w:color w:val="auto"/>
          <w:kern w:val="2"/>
          <w:sz w:val="24"/>
          <w:szCs w:val="20"/>
          <w:lang w:val="en-US" w:eastAsia="zh-CN" w:bidi="ar-SA"/>
        </w:rPr>
      </w:pPr>
      <w:r>
        <w:rPr>
          <w:rFonts w:hint="eastAsia" w:hAnsi="Times New Roman" w:cs="Times New Roman"/>
          <w:b w:val="0"/>
          <w:bCs w:val="0"/>
          <w:snapToGrid/>
          <w:color w:val="auto"/>
          <w:kern w:val="2"/>
          <w:sz w:val="24"/>
          <w:szCs w:val="20"/>
          <w:lang w:val="en-US" w:eastAsia="zh-CN" w:bidi="ar-SA"/>
        </w:rPr>
        <w:t>3</w:t>
      </w:r>
      <w:r>
        <w:rPr>
          <w:rFonts w:hint="eastAsia" w:ascii="宋体" w:hAnsi="Times New Roman" w:cs="Times New Roman" w:eastAsiaTheme="minorEastAsia"/>
          <w:b w:val="0"/>
          <w:bCs w:val="0"/>
          <w:snapToGrid/>
          <w:color w:val="auto"/>
          <w:kern w:val="2"/>
          <w:sz w:val="24"/>
          <w:szCs w:val="20"/>
          <w:lang w:val="en-US" w:eastAsia="zh-CN" w:bidi="ar-SA"/>
        </w:rPr>
        <w:t>.供应商提供的所有业务技术资料、文档</w:t>
      </w:r>
      <w:r>
        <w:rPr>
          <w:rFonts w:hint="eastAsia" w:ascii="宋体" w:hAnsi="Times New Roman" w:cs="Times New Roman"/>
          <w:b w:val="0"/>
          <w:bCs w:val="0"/>
          <w:snapToGrid/>
          <w:color w:val="auto"/>
          <w:kern w:val="2"/>
          <w:sz w:val="24"/>
          <w:szCs w:val="20"/>
          <w:lang w:val="en-US" w:eastAsia="zh-CN" w:bidi="ar-SA"/>
        </w:rPr>
        <w:t>等</w:t>
      </w:r>
      <w:r>
        <w:rPr>
          <w:rFonts w:hint="eastAsia" w:ascii="宋体" w:hAnsi="Times New Roman" w:cs="Times New Roman" w:eastAsiaTheme="minorEastAsia"/>
          <w:b w:val="0"/>
          <w:bCs w:val="0"/>
          <w:snapToGrid/>
          <w:color w:val="auto"/>
          <w:kern w:val="2"/>
          <w:sz w:val="24"/>
          <w:szCs w:val="20"/>
          <w:lang w:val="en-US" w:eastAsia="zh-CN" w:bidi="ar-SA"/>
        </w:rPr>
        <w:t>有责任对第三方保密；</w:t>
      </w:r>
    </w:p>
    <w:p>
      <w:pPr>
        <w:pStyle w:val="6"/>
        <w:numPr>
          <w:ilvl w:val="0"/>
          <w:numId w:val="0"/>
        </w:numPr>
        <w:ind w:firstLine="480" w:firstLineChars="200"/>
        <w:rPr>
          <w:rFonts w:hint="eastAsia"/>
          <w:color w:val="auto"/>
          <w:lang w:val="en-US" w:eastAsia="zh-CN"/>
        </w:rPr>
      </w:pPr>
      <w:r>
        <w:rPr>
          <w:rFonts w:hint="eastAsia" w:hAnsi="Times New Roman" w:cs="Times New Roman"/>
          <w:b w:val="0"/>
          <w:bCs w:val="0"/>
          <w:snapToGrid/>
          <w:color w:val="auto"/>
          <w:kern w:val="2"/>
          <w:sz w:val="24"/>
          <w:szCs w:val="20"/>
          <w:lang w:val="en-US" w:eastAsia="zh-CN" w:bidi="ar-SA"/>
        </w:rPr>
        <w:t>4</w:t>
      </w:r>
      <w:r>
        <w:rPr>
          <w:rFonts w:hint="eastAsia" w:ascii="宋体" w:hAnsi="Times New Roman" w:cs="Times New Roman" w:eastAsiaTheme="minorEastAsia"/>
          <w:b w:val="0"/>
          <w:bCs w:val="0"/>
          <w:snapToGrid/>
          <w:color w:val="auto"/>
          <w:kern w:val="2"/>
          <w:sz w:val="24"/>
          <w:szCs w:val="20"/>
          <w:lang w:val="en-US" w:eastAsia="zh-CN" w:bidi="ar-SA"/>
        </w:rPr>
        <w:t>.采购人不再对任何售后服务进行付费。供应商的派遣人员产生的一切费用由供</w:t>
      </w:r>
      <w:r>
        <w:rPr>
          <w:rFonts w:hint="eastAsia"/>
          <w:color w:val="auto"/>
          <w:lang w:val="en-US" w:eastAsia="zh-CN"/>
        </w:rPr>
        <w:t>应商承担。</w:t>
      </w:r>
    </w:p>
    <w:p>
      <w:pPr>
        <w:spacing w:line="460" w:lineRule="exact"/>
        <w:jc w:val="center"/>
        <w:rPr>
          <w:rFonts w:hint="eastAsia" w:cs="仿宋" w:asciiTheme="minorEastAsia" w:hAnsiTheme="minorEastAsia"/>
          <w:b/>
          <w:color w:val="auto"/>
          <w:sz w:val="36"/>
          <w:szCs w:val="36"/>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3288"/>
      <w:bookmarkEnd w:id="19"/>
      <w:bookmarkStart w:id="20" w:name="_Toc184313269"/>
      <w:bookmarkEnd w:id="20"/>
      <w:bookmarkStart w:id="21" w:name="_Toc184313238"/>
      <w:bookmarkEnd w:id="21"/>
      <w:bookmarkStart w:id="22" w:name="_Toc184314451"/>
      <w:bookmarkEnd w:id="22"/>
      <w:bookmarkStart w:id="23" w:name="_Toc184313257"/>
      <w:bookmarkEnd w:id="23"/>
      <w:bookmarkStart w:id="24" w:name="_Toc184308092"/>
      <w:bookmarkEnd w:id="24"/>
      <w:bookmarkStart w:id="25" w:name="_Toc184308069"/>
      <w:bookmarkEnd w:id="25"/>
      <w:bookmarkStart w:id="26" w:name="_Toc184308098"/>
      <w:bookmarkEnd w:id="26"/>
      <w:bookmarkStart w:id="27" w:name="_Toc184312132"/>
      <w:bookmarkEnd w:id="27"/>
      <w:bookmarkStart w:id="28" w:name="_Toc184310292"/>
      <w:bookmarkEnd w:id="28"/>
      <w:bookmarkStart w:id="29" w:name="_Toc184312076"/>
      <w:bookmarkEnd w:id="29"/>
      <w:bookmarkStart w:id="30" w:name="_Toc184308052"/>
      <w:bookmarkEnd w:id="30"/>
      <w:bookmarkStart w:id="31" w:name="_Toc184308040"/>
      <w:bookmarkEnd w:id="31"/>
      <w:bookmarkStart w:id="32" w:name="_Toc184313249"/>
      <w:bookmarkEnd w:id="32"/>
      <w:bookmarkStart w:id="33" w:name="_Toc184310333"/>
      <w:bookmarkEnd w:id="33"/>
      <w:bookmarkStart w:id="34" w:name="_Toc184308100"/>
      <w:bookmarkEnd w:id="34"/>
      <w:bookmarkStart w:id="35" w:name="_Toc184312120"/>
      <w:bookmarkEnd w:id="35"/>
      <w:bookmarkStart w:id="36" w:name="_Toc184310343"/>
      <w:bookmarkEnd w:id="36"/>
      <w:bookmarkStart w:id="37" w:name="_Toc184310286"/>
      <w:bookmarkEnd w:id="37"/>
      <w:bookmarkStart w:id="38" w:name="_Toc184310319"/>
      <w:bookmarkEnd w:id="38"/>
      <w:bookmarkStart w:id="39" w:name="_Toc184313300"/>
      <w:bookmarkEnd w:id="39"/>
      <w:bookmarkStart w:id="40" w:name="_Toc184310327"/>
      <w:bookmarkEnd w:id="40"/>
      <w:bookmarkStart w:id="41" w:name="_Toc184314410"/>
      <w:bookmarkEnd w:id="41"/>
      <w:bookmarkStart w:id="42" w:name="_Toc184308061"/>
      <w:bookmarkEnd w:id="42"/>
      <w:bookmarkStart w:id="43" w:name="_Toc184313305"/>
      <w:bookmarkEnd w:id="43"/>
      <w:bookmarkStart w:id="44" w:name="_Toc184314429"/>
      <w:bookmarkEnd w:id="44"/>
      <w:bookmarkStart w:id="45" w:name="_Toc184310328"/>
      <w:bookmarkEnd w:id="45"/>
      <w:bookmarkStart w:id="46" w:name="_Toc184310298"/>
      <w:bookmarkEnd w:id="46"/>
      <w:bookmarkStart w:id="47" w:name="_Toc184308083"/>
      <w:bookmarkEnd w:id="47"/>
      <w:bookmarkStart w:id="48" w:name="_Toc184314444"/>
      <w:bookmarkEnd w:id="48"/>
      <w:bookmarkStart w:id="49" w:name="_Toc184310303"/>
      <w:bookmarkEnd w:id="49"/>
      <w:bookmarkStart w:id="50" w:name="_Toc184308107"/>
      <w:bookmarkEnd w:id="50"/>
      <w:bookmarkStart w:id="51" w:name="_Toc184313273"/>
      <w:bookmarkEnd w:id="51"/>
      <w:bookmarkStart w:id="52" w:name="_Toc184314477"/>
      <w:bookmarkEnd w:id="52"/>
      <w:bookmarkStart w:id="53" w:name="_Toc184312135"/>
      <w:bookmarkEnd w:id="53"/>
      <w:bookmarkStart w:id="54" w:name="_Toc184308095"/>
      <w:bookmarkEnd w:id="54"/>
      <w:bookmarkStart w:id="55" w:name="_Toc184310288"/>
      <w:bookmarkEnd w:id="55"/>
      <w:bookmarkStart w:id="56" w:name="_Toc184314458"/>
      <w:bookmarkEnd w:id="56"/>
      <w:bookmarkStart w:id="57" w:name="_Toc184313248"/>
      <w:bookmarkEnd w:id="57"/>
      <w:bookmarkStart w:id="58" w:name="_Toc184310305"/>
      <w:bookmarkEnd w:id="58"/>
      <w:bookmarkStart w:id="59" w:name="_Toc184312104"/>
      <w:bookmarkEnd w:id="59"/>
      <w:bookmarkStart w:id="60" w:name="_Toc184313244"/>
      <w:bookmarkEnd w:id="60"/>
      <w:bookmarkStart w:id="61" w:name="_Toc184310283"/>
      <w:bookmarkEnd w:id="61"/>
      <w:bookmarkStart w:id="62" w:name="_Toc184313275"/>
      <w:bookmarkEnd w:id="62"/>
      <w:bookmarkStart w:id="63" w:name="_Toc184312131"/>
      <w:bookmarkEnd w:id="63"/>
      <w:bookmarkStart w:id="64" w:name="_Toc184310316"/>
      <w:bookmarkEnd w:id="64"/>
      <w:bookmarkStart w:id="65" w:name="_Toc184313243"/>
      <w:bookmarkEnd w:id="65"/>
      <w:bookmarkStart w:id="66" w:name="_Toc184308099"/>
      <w:bookmarkEnd w:id="66"/>
      <w:bookmarkStart w:id="67" w:name="_Toc184310309"/>
      <w:bookmarkEnd w:id="67"/>
      <w:bookmarkStart w:id="68" w:name="_Toc184310306"/>
      <w:bookmarkEnd w:id="68"/>
      <w:bookmarkStart w:id="69" w:name="_Toc184313280"/>
      <w:bookmarkEnd w:id="69"/>
      <w:bookmarkStart w:id="70" w:name="_Toc184313264"/>
      <w:bookmarkEnd w:id="70"/>
      <w:bookmarkStart w:id="71" w:name="_Toc184310294"/>
      <w:bookmarkEnd w:id="71"/>
      <w:bookmarkStart w:id="72" w:name="_Toc184310290"/>
      <w:bookmarkEnd w:id="72"/>
      <w:bookmarkStart w:id="73" w:name="_Toc184313252"/>
      <w:bookmarkEnd w:id="73"/>
      <w:bookmarkStart w:id="74" w:name="_Toc184308066"/>
      <w:bookmarkEnd w:id="74"/>
      <w:bookmarkStart w:id="75" w:name="_Toc184310323"/>
      <w:bookmarkEnd w:id="75"/>
      <w:bookmarkStart w:id="76" w:name="_Toc184310279"/>
      <w:bookmarkEnd w:id="76"/>
      <w:bookmarkStart w:id="77" w:name="_Toc184314424"/>
      <w:bookmarkEnd w:id="77"/>
      <w:bookmarkStart w:id="78" w:name="_Toc184308106"/>
      <w:bookmarkEnd w:id="78"/>
      <w:bookmarkStart w:id="79" w:name="_Toc184312117"/>
      <w:bookmarkEnd w:id="79"/>
      <w:bookmarkStart w:id="80" w:name="_Toc184310311"/>
      <w:bookmarkEnd w:id="80"/>
      <w:bookmarkStart w:id="81" w:name="_Toc184312113"/>
      <w:bookmarkEnd w:id="81"/>
      <w:bookmarkStart w:id="82" w:name="_Toc184312128"/>
      <w:bookmarkEnd w:id="82"/>
      <w:bookmarkStart w:id="83" w:name="_Toc184308065"/>
      <w:bookmarkEnd w:id="83"/>
      <w:bookmarkStart w:id="84" w:name="_Toc184310272"/>
      <w:bookmarkEnd w:id="84"/>
      <w:bookmarkStart w:id="85" w:name="_Toc184314466"/>
      <w:bookmarkEnd w:id="85"/>
      <w:bookmarkStart w:id="86" w:name="_Toc184310295"/>
      <w:bookmarkEnd w:id="86"/>
      <w:bookmarkStart w:id="87" w:name="_Toc184310278"/>
      <w:bookmarkEnd w:id="87"/>
      <w:bookmarkStart w:id="88" w:name="_Toc184314453"/>
      <w:bookmarkEnd w:id="88"/>
      <w:bookmarkStart w:id="89" w:name="_Toc184308108"/>
      <w:bookmarkEnd w:id="89"/>
      <w:bookmarkStart w:id="90" w:name="_Toc184310339"/>
      <w:bookmarkEnd w:id="90"/>
      <w:bookmarkStart w:id="91" w:name="_Toc184313303"/>
      <w:bookmarkEnd w:id="91"/>
      <w:bookmarkStart w:id="92" w:name="_Toc184310287"/>
      <w:bookmarkEnd w:id="92"/>
      <w:bookmarkStart w:id="93" w:name="_Toc184314474"/>
      <w:bookmarkEnd w:id="93"/>
      <w:bookmarkStart w:id="94" w:name="_Toc184313283"/>
      <w:bookmarkEnd w:id="94"/>
      <w:bookmarkStart w:id="95" w:name="_Toc184314480"/>
      <w:bookmarkEnd w:id="95"/>
      <w:bookmarkStart w:id="96" w:name="_Toc184310315"/>
      <w:bookmarkEnd w:id="96"/>
      <w:bookmarkStart w:id="97" w:name="_Toc184312101"/>
      <w:bookmarkEnd w:id="97"/>
      <w:bookmarkStart w:id="98" w:name="_Toc184312081"/>
      <w:bookmarkEnd w:id="98"/>
      <w:bookmarkStart w:id="99" w:name="_Toc184312130"/>
      <w:bookmarkEnd w:id="99"/>
      <w:bookmarkStart w:id="100" w:name="_Toc184314464"/>
      <w:bookmarkEnd w:id="100"/>
      <w:bookmarkStart w:id="101" w:name="_Toc184314472"/>
      <w:bookmarkEnd w:id="101"/>
      <w:bookmarkStart w:id="102" w:name="_Toc184308043"/>
      <w:bookmarkEnd w:id="102"/>
      <w:bookmarkStart w:id="103" w:name="_Toc184312073"/>
      <w:bookmarkEnd w:id="103"/>
      <w:bookmarkStart w:id="104" w:name="_Toc184313276"/>
      <w:bookmarkEnd w:id="104"/>
      <w:bookmarkStart w:id="105" w:name="_Toc184314481"/>
      <w:bookmarkEnd w:id="105"/>
      <w:bookmarkStart w:id="106" w:name="_Toc184312096"/>
      <w:bookmarkEnd w:id="106"/>
      <w:bookmarkStart w:id="107" w:name="_Toc184312098"/>
      <w:bookmarkEnd w:id="107"/>
      <w:bookmarkStart w:id="108" w:name="_Toc184314411"/>
      <w:bookmarkEnd w:id="108"/>
      <w:bookmarkStart w:id="109" w:name="_Toc184308090"/>
      <w:bookmarkEnd w:id="109"/>
      <w:bookmarkStart w:id="110" w:name="_Toc184308078"/>
      <w:bookmarkEnd w:id="110"/>
      <w:bookmarkStart w:id="111" w:name="_Toc184310337"/>
      <w:bookmarkEnd w:id="111"/>
      <w:bookmarkStart w:id="112" w:name="_Toc184308053"/>
      <w:bookmarkEnd w:id="112"/>
      <w:bookmarkStart w:id="113" w:name="_Toc184312070"/>
      <w:bookmarkEnd w:id="113"/>
      <w:bookmarkStart w:id="114" w:name="_Toc184308046"/>
      <w:bookmarkEnd w:id="114"/>
      <w:bookmarkStart w:id="115" w:name="_Toc184310304"/>
      <w:bookmarkEnd w:id="115"/>
      <w:bookmarkStart w:id="116" w:name="_Toc184314473"/>
      <w:bookmarkEnd w:id="116"/>
      <w:bookmarkStart w:id="117" w:name="_Toc184313255"/>
      <w:bookmarkEnd w:id="117"/>
      <w:bookmarkStart w:id="118" w:name="_Toc184312079"/>
      <w:bookmarkEnd w:id="118"/>
      <w:bookmarkStart w:id="119" w:name="_Toc184314463"/>
      <w:bookmarkEnd w:id="119"/>
      <w:bookmarkStart w:id="120" w:name="_Toc184313261"/>
      <w:bookmarkEnd w:id="120"/>
      <w:bookmarkStart w:id="121" w:name="_Toc184308081"/>
      <w:bookmarkEnd w:id="121"/>
      <w:bookmarkStart w:id="122" w:name="_Toc184313271"/>
      <w:bookmarkEnd w:id="122"/>
      <w:bookmarkStart w:id="123" w:name="_Toc184310335"/>
      <w:bookmarkEnd w:id="123"/>
      <w:bookmarkStart w:id="124" w:name="_Toc184310314"/>
      <w:bookmarkEnd w:id="124"/>
      <w:bookmarkStart w:id="125" w:name="_Toc184314468"/>
      <w:bookmarkEnd w:id="125"/>
      <w:bookmarkStart w:id="126" w:name="_Toc184313267"/>
      <w:bookmarkEnd w:id="126"/>
      <w:bookmarkStart w:id="127" w:name="_Toc184314414"/>
      <w:bookmarkEnd w:id="127"/>
      <w:bookmarkStart w:id="128" w:name="_Toc184308044"/>
      <w:bookmarkEnd w:id="128"/>
      <w:bookmarkStart w:id="129" w:name="_Toc184310280"/>
      <w:bookmarkEnd w:id="129"/>
      <w:bookmarkStart w:id="130" w:name="_Toc184312089"/>
      <w:bookmarkEnd w:id="130"/>
      <w:bookmarkStart w:id="131" w:name="_Toc184314433"/>
      <w:bookmarkEnd w:id="131"/>
      <w:bookmarkStart w:id="132" w:name="_Toc184308051"/>
      <w:bookmarkEnd w:id="132"/>
      <w:bookmarkStart w:id="133" w:name="_Toc184310331"/>
      <w:bookmarkEnd w:id="133"/>
      <w:bookmarkStart w:id="134" w:name="_Toc184308096"/>
      <w:bookmarkEnd w:id="134"/>
      <w:bookmarkStart w:id="135" w:name="_Toc184312071"/>
      <w:bookmarkEnd w:id="135"/>
      <w:bookmarkStart w:id="136" w:name="_Toc184308077"/>
      <w:bookmarkEnd w:id="136"/>
      <w:bookmarkStart w:id="137" w:name="_Toc184314449"/>
      <w:bookmarkEnd w:id="137"/>
      <w:bookmarkStart w:id="138" w:name="_Toc184310296"/>
      <w:bookmarkEnd w:id="138"/>
      <w:bookmarkStart w:id="139" w:name="_Toc184314428"/>
      <w:bookmarkEnd w:id="139"/>
      <w:bookmarkStart w:id="140" w:name="_Toc184313299"/>
      <w:bookmarkEnd w:id="140"/>
      <w:bookmarkStart w:id="141" w:name="_Toc184308057"/>
      <w:bookmarkEnd w:id="141"/>
      <w:bookmarkStart w:id="142" w:name="_Toc184308063"/>
      <w:bookmarkEnd w:id="142"/>
      <w:bookmarkStart w:id="143" w:name="_Toc184312139"/>
      <w:bookmarkEnd w:id="143"/>
      <w:bookmarkStart w:id="144" w:name="_Toc184308067"/>
      <w:bookmarkEnd w:id="144"/>
      <w:bookmarkStart w:id="145" w:name="_Toc184314461"/>
      <w:bookmarkEnd w:id="145"/>
      <w:bookmarkStart w:id="146" w:name="_Toc184313298"/>
      <w:bookmarkEnd w:id="146"/>
      <w:bookmarkStart w:id="147" w:name="_Toc184314447"/>
      <w:bookmarkEnd w:id="147"/>
      <w:bookmarkStart w:id="148" w:name="_Toc184308054"/>
      <w:bookmarkEnd w:id="148"/>
      <w:bookmarkStart w:id="149" w:name="_Toc184314442"/>
      <w:bookmarkEnd w:id="149"/>
      <w:bookmarkStart w:id="150" w:name="_Toc184308049"/>
      <w:bookmarkEnd w:id="150"/>
      <w:bookmarkStart w:id="151" w:name="_Toc184314457"/>
      <w:bookmarkEnd w:id="151"/>
      <w:bookmarkStart w:id="152" w:name="_Toc184312087"/>
      <w:bookmarkEnd w:id="152"/>
      <w:bookmarkStart w:id="153" w:name="_Toc184308064"/>
      <w:bookmarkEnd w:id="153"/>
      <w:bookmarkStart w:id="154" w:name="_Toc184314413"/>
      <w:bookmarkEnd w:id="154"/>
      <w:bookmarkStart w:id="155" w:name="_Toc184314434"/>
      <w:bookmarkEnd w:id="155"/>
      <w:bookmarkStart w:id="156" w:name="_Toc184310275"/>
      <w:bookmarkEnd w:id="156"/>
      <w:bookmarkStart w:id="157" w:name="_Toc184314465"/>
      <w:bookmarkEnd w:id="157"/>
      <w:bookmarkStart w:id="158" w:name="_Toc184308050"/>
      <w:bookmarkEnd w:id="158"/>
      <w:bookmarkStart w:id="159" w:name="_Toc184313268"/>
      <w:bookmarkEnd w:id="159"/>
      <w:bookmarkStart w:id="160" w:name="_Toc184312118"/>
      <w:bookmarkEnd w:id="160"/>
      <w:bookmarkStart w:id="161" w:name="_Toc184310308"/>
      <w:bookmarkEnd w:id="161"/>
      <w:bookmarkStart w:id="162" w:name="_Toc184312129"/>
      <w:bookmarkEnd w:id="162"/>
      <w:bookmarkStart w:id="163" w:name="_Toc184313258"/>
      <w:bookmarkEnd w:id="163"/>
      <w:bookmarkStart w:id="164" w:name="_Toc184312123"/>
      <w:bookmarkEnd w:id="164"/>
      <w:bookmarkStart w:id="165" w:name="_Toc184312067"/>
      <w:bookmarkEnd w:id="165"/>
      <w:bookmarkStart w:id="166" w:name="_Toc184312069"/>
      <w:bookmarkEnd w:id="166"/>
      <w:bookmarkStart w:id="167" w:name="_Toc184310297"/>
      <w:bookmarkEnd w:id="167"/>
      <w:bookmarkStart w:id="168" w:name="_Toc184314450"/>
      <w:bookmarkEnd w:id="168"/>
      <w:bookmarkStart w:id="169" w:name="_Toc184312112"/>
      <w:bookmarkEnd w:id="169"/>
      <w:bookmarkStart w:id="170" w:name="_Toc184310285"/>
      <w:bookmarkEnd w:id="170"/>
      <w:bookmarkStart w:id="171" w:name="_Toc184314455"/>
      <w:bookmarkEnd w:id="171"/>
      <w:bookmarkStart w:id="172" w:name="_Toc184312105"/>
      <w:bookmarkEnd w:id="172"/>
      <w:bookmarkStart w:id="173" w:name="_Toc184308042"/>
      <w:bookmarkEnd w:id="173"/>
      <w:bookmarkStart w:id="174" w:name="_Toc184308073"/>
      <w:bookmarkEnd w:id="174"/>
      <w:bookmarkStart w:id="175" w:name="_Toc184313242"/>
      <w:bookmarkEnd w:id="175"/>
      <w:bookmarkStart w:id="176" w:name="_Toc184310289"/>
      <w:bookmarkEnd w:id="176"/>
      <w:bookmarkStart w:id="177" w:name="_Toc184310322"/>
      <w:bookmarkEnd w:id="177"/>
      <w:bookmarkStart w:id="178" w:name="_Toc184308039"/>
      <w:bookmarkEnd w:id="178"/>
      <w:bookmarkStart w:id="179" w:name="_Toc184310301"/>
      <w:bookmarkEnd w:id="179"/>
      <w:bookmarkStart w:id="180" w:name="_Toc184312137"/>
      <w:bookmarkEnd w:id="180"/>
      <w:bookmarkStart w:id="181" w:name="_Toc184308102"/>
      <w:bookmarkEnd w:id="181"/>
      <w:bookmarkStart w:id="182" w:name="_Toc184313308"/>
      <w:bookmarkEnd w:id="182"/>
      <w:bookmarkStart w:id="183" w:name="_Toc184308076"/>
      <w:bookmarkEnd w:id="183"/>
      <w:bookmarkStart w:id="184" w:name="_Toc184314478"/>
      <w:bookmarkEnd w:id="184"/>
      <w:bookmarkStart w:id="185" w:name="_Toc184310329"/>
      <w:bookmarkEnd w:id="185"/>
      <w:bookmarkStart w:id="186" w:name="_Toc184313287"/>
      <w:bookmarkEnd w:id="186"/>
      <w:bookmarkStart w:id="187" w:name="_Toc184313289"/>
      <w:bookmarkEnd w:id="187"/>
      <w:bookmarkStart w:id="188" w:name="_Toc184314412"/>
      <w:bookmarkEnd w:id="188"/>
      <w:bookmarkStart w:id="189" w:name="_Toc184310326"/>
      <w:bookmarkEnd w:id="189"/>
      <w:bookmarkStart w:id="190" w:name="_Toc184313302"/>
      <w:bookmarkEnd w:id="190"/>
      <w:bookmarkStart w:id="191" w:name="_Toc184313310"/>
      <w:bookmarkEnd w:id="191"/>
      <w:bookmarkStart w:id="192" w:name="_Toc184310313"/>
      <w:bookmarkEnd w:id="192"/>
      <w:bookmarkStart w:id="193" w:name="_Toc184314476"/>
      <w:bookmarkEnd w:id="193"/>
      <w:bookmarkStart w:id="194" w:name="_Toc184313259"/>
      <w:bookmarkEnd w:id="194"/>
      <w:bookmarkStart w:id="195" w:name="_Toc184310281"/>
      <w:bookmarkEnd w:id="195"/>
      <w:bookmarkStart w:id="196" w:name="_Toc184308062"/>
      <w:bookmarkEnd w:id="196"/>
      <w:bookmarkStart w:id="197" w:name="_Toc184312088"/>
      <w:bookmarkEnd w:id="197"/>
      <w:bookmarkStart w:id="198" w:name="_Toc184308097"/>
      <w:bookmarkEnd w:id="198"/>
      <w:bookmarkStart w:id="199" w:name="_Toc184313281"/>
      <w:bookmarkEnd w:id="199"/>
      <w:bookmarkStart w:id="200" w:name="_Toc184308071"/>
      <w:bookmarkEnd w:id="200"/>
      <w:bookmarkStart w:id="201" w:name="_Toc184312074"/>
      <w:bookmarkEnd w:id="201"/>
      <w:bookmarkStart w:id="202" w:name="_Toc184313246"/>
      <w:bookmarkEnd w:id="202"/>
      <w:bookmarkStart w:id="203" w:name="_Toc184314475"/>
      <w:bookmarkEnd w:id="203"/>
      <w:bookmarkStart w:id="204" w:name="_Toc184313301"/>
      <w:bookmarkEnd w:id="204"/>
      <w:bookmarkStart w:id="205" w:name="_Toc184313253"/>
      <w:bookmarkEnd w:id="205"/>
      <w:bookmarkStart w:id="206" w:name="_Toc184312068"/>
      <w:bookmarkEnd w:id="206"/>
      <w:bookmarkStart w:id="207" w:name="_Toc184312102"/>
      <w:bookmarkEnd w:id="207"/>
      <w:bookmarkStart w:id="208" w:name="_Toc184310284"/>
      <w:bookmarkEnd w:id="208"/>
      <w:bookmarkStart w:id="209" w:name="_Toc184313241"/>
      <w:bookmarkEnd w:id="209"/>
      <w:bookmarkStart w:id="210" w:name="_Toc184314454"/>
      <w:bookmarkEnd w:id="210"/>
      <w:bookmarkStart w:id="211" w:name="_Toc184310300"/>
      <w:bookmarkEnd w:id="211"/>
      <w:bookmarkStart w:id="212" w:name="_Toc184313286"/>
      <w:bookmarkEnd w:id="212"/>
      <w:bookmarkStart w:id="213" w:name="_Toc184314456"/>
      <w:bookmarkEnd w:id="213"/>
      <w:bookmarkStart w:id="214" w:name="_Toc184314452"/>
      <w:bookmarkEnd w:id="214"/>
      <w:bookmarkStart w:id="215" w:name="_Toc184310341"/>
      <w:bookmarkEnd w:id="215"/>
      <w:bookmarkStart w:id="216" w:name="_Toc184312092"/>
      <w:bookmarkEnd w:id="216"/>
      <w:bookmarkStart w:id="217" w:name="_Toc184310302"/>
      <w:bookmarkEnd w:id="217"/>
      <w:bookmarkStart w:id="218" w:name="_Toc184313290"/>
      <w:bookmarkEnd w:id="218"/>
      <w:bookmarkStart w:id="219" w:name="_Toc184313272"/>
      <w:bookmarkEnd w:id="219"/>
      <w:bookmarkStart w:id="220" w:name="_Toc184314471"/>
      <w:bookmarkEnd w:id="220"/>
      <w:bookmarkStart w:id="221" w:name="_Toc184312072"/>
      <w:bookmarkEnd w:id="221"/>
      <w:bookmarkStart w:id="222" w:name="_Toc184314437"/>
      <w:bookmarkEnd w:id="222"/>
      <w:bookmarkStart w:id="223" w:name="_Toc184313254"/>
      <w:bookmarkEnd w:id="223"/>
      <w:bookmarkStart w:id="224" w:name="_Toc184308094"/>
      <w:bookmarkEnd w:id="224"/>
      <w:bookmarkStart w:id="225" w:name="_Toc184312116"/>
      <w:bookmarkEnd w:id="225"/>
      <w:bookmarkStart w:id="226" w:name="_Toc184313304"/>
      <w:bookmarkEnd w:id="226"/>
      <w:bookmarkStart w:id="227" w:name="_Toc184310317"/>
      <w:bookmarkEnd w:id="227"/>
      <w:bookmarkStart w:id="228" w:name="_Toc184312106"/>
      <w:bookmarkEnd w:id="228"/>
      <w:bookmarkStart w:id="229" w:name="_Toc184313307"/>
      <w:bookmarkEnd w:id="229"/>
      <w:bookmarkStart w:id="230" w:name="_Toc184308070"/>
      <w:bookmarkEnd w:id="230"/>
      <w:bookmarkStart w:id="231" w:name="_Toc184308087"/>
      <w:bookmarkEnd w:id="231"/>
      <w:bookmarkStart w:id="232" w:name="_Toc184308072"/>
      <w:bookmarkEnd w:id="232"/>
      <w:bookmarkStart w:id="233" w:name="_Toc184310342"/>
      <w:bookmarkEnd w:id="233"/>
      <w:bookmarkStart w:id="234" w:name="_Toc184313309"/>
      <w:bookmarkEnd w:id="234"/>
      <w:bookmarkStart w:id="235" w:name="_Toc184313292"/>
      <w:bookmarkEnd w:id="235"/>
      <w:bookmarkStart w:id="236" w:name="_Toc184310274"/>
      <w:bookmarkEnd w:id="236"/>
      <w:bookmarkStart w:id="237" w:name="_Toc184308104"/>
      <w:bookmarkEnd w:id="237"/>
      <w:bookmarkStart w:id="238" w:name="_Toc184312115"/>
      <w:bookmarkEnd w:id="238"/>
      <w:bookmarkStart w:id="239" w:name="_Toc184313274"/>
      <w:bookmarkEnd w:id="239"/>
      <w:bookmarkStart w:id="240" w:name="_Toc184313245"/>
      <w:bookmarkEnd w:id="240"/>
      <w:bookmarkStart w:id="241" w:name="_Toc184313297"/>
      <w:bookmarkEnd w:id="241"/>
      <w:bookmarkStart w:id="242" w:name="_Toc184313296"/>
      <w:bookmarkEnd w:id="242"/>
      <w:bookmarkStart w:id="243" w:name="_Toc184310334"/>
      <w:bookmarkEnd w:id="243"/>
      <w:bookmarkStart w:id="244" w:name="_Toc184308059"/>
      <w:bookmarkEnd w:id="244"/>
      <w:bookmarkStart w:id="245" w:name="_Toc184312121"/>
      <w:bookmarkEnd w:id="245"/>
      <w:bookmarkStart w:id="246" w:name="_Toc184314432"/>
      <w:bookmarkEnd w:id="246"/>
      <w:bookmarkStart w:id="247" w:name="_Toc184312095"/>
      <w:bookmarkEnd w:id="247"/>
      <w:bookmarkStart w:id="248" w:name="_Toc184312110"/>
      <w:bookmarkEnd w:id="248"/>
      <w:bookmarkStart w:id="249" w:name="_Toc184313263"/>
      <w:bookmarkEnd w:id="249"/>
      <w:bookmarkStart w:id="250" w:name="_Toc184308047"/>
      <w:bookmarkEnd w:id="250"/>
      <w:bookmarkStart w:id="251" w:name="_Toc184312136"/>
      <w:bookmarkEnd w:id="251"/>
      <w:bookmarkStart w:id="252" w:name="_Toc184314422"/>
      <w:bookmarkEnd w:id="252"/>
      <w:bookmarkStart w:id="253" w:name="_Toc184314430"/>
      <w:bookmarkEnd w:id="253"/>
      <w:bookmarkStart w:id="254" w:name="_Toc184313240"/>
      <w:bookmarkEnd w:id="254"/>
      <w:bookmarkStart w:id="255" w:name="_Toc184310312"/>
      <w:bookmarkEnd w:id="255"/>
      <w:bookmarkStart w:id="256" w:name="_Toc184312077"/>
      <w:bookmarkEnd w:id="256"/>
      <w:bookmarkStart w:id="257" w:name="_Toc184308055"/>
      <w:bookmarkEnd w:id="257"/>
      <w:bookmarkStart w:id="258" w:name="_Toc184312093"/>
      <w:bookmarkEnd w:id="258"/>
      <w:bookmarkStart w:id="259" w:name="_Toc184313266"/>
      <w:bookmarkEnd w:id="259"/>
      <w:bookmarkStart w:id="260" w:name="_Toc184314425"/>
      <w:bookmarkEnd w:id="260"/>
      <w:bookmarkStart w:id="261" w:name="_Toc184310338"/>
      <w:bookmarkEnd w:id="261"/>
      <w:bookmarkStart w:id="262" w:name="_Toc184313262"/>
      <w:bookmarkEnd w:id="262"/>
      <w:bookmarkStart w:id="263" w:name="_Toc184308045"/>
      <w:bookmarkEnd w:id="263"/>
      <w:bookmarkStart w:id="264" w:name="_Toc184312126"/>
      <w:bookmarkEnd w:id="264"/>
      <w:bookmarkStart w:id="265" w:name="_Toc184313282"/>
      <w:bookmarkEnd w:id="265"/>
      <w:bookmarkStart w:id="266" w:name="_Toc184312109"/>
      <w:bookmarkEnd w:id="266"/>
      <w:bookmarkStart w:id="267" w:name="_Toc184312119"/>
      <w:bookmarkEnd w:id="267"/>
      <w:bookmarkStart w:id="268" w:name="_Toc184314426"/>
      <w:bookmarkEnd w:id="268"/>
      <w:bookmarkStart w:id="269" w:name="_Toc184310310"/>
      <w:bookmarkEnd w:id="269"/>
      <w:bookmarkStart w:id="270" w:name="_Toc184310325"/>
      <w:bookmarkEnd w:id="270"/>
      <w:bookmarkStart w:id="271" w:name="_Toc184308103"/>
      <w:bookmarkEnd w:id="271"/>
      <w:bookmarkStart w:id="272" w:name="_Toc184310273"/>
      <w:bookmarkEnd w:id="272"/>
      <w:bookmarkStart w:id="273" w:name="_Toc184313256"/>
      <w:bookmarkEnd w:id="273"/>
      <w:bookmarkStart w:id="274" w:name="_Toc184314479"/>
      <w:bookmarkEnd w:id="274"/>
      <w:bookmarkStart w:id="275" w:name="_Toc184312086"/>
      <w:bookmarkEnd w:id="275"/>
      <w:bookmarkStart w:id="276" w:name="_Toc184308041"/>
      <w:bookmarkEnd w:id="276"/>
      <w:bookmarkStart w:id="277" w:name="_Toc184312075"/>
      <w:bookmarkEnd w:id="277"/>
      <w:bookmarkStart w:id="278" w:name="_Toc184312085"/>
      <w:bookmarkEnd w:id="278"/>
      <w:bookmarkStart w:id="279" w:name="_Toc184314435"/>
      <w:bookmarkEnd w:id="279"/>
      <w:bookmarkStart w:id="280" w:name="_Toc184312103"/>
      <w:bookmarkEnd w:id="280"/>
      <w:bookmarkStart w:id="281" w:name="_Toc184312082"/>
      <w:bookmarkEnd w:id="281"/>
      <w:bookmarkStart w:id="282" w:name="_Toc184312091"/>
      <w:bookmarkEnd w:id="282"/>
      <w:bookmarkStart w:id="283" w:name="_Toc184314417"/>
      <w:bookmarkEnd w:id="283"/>
      <w:bookmarkStart w:id="284" w:name="_Toc184314462"/>
      <w:bookmarkEnd w:id="284"/>
      <w:bookmarkStart w:id="285" w:name="_Toc184313277"/>
      <w:bookmarkEnd w:id="285"/>
      <w:bookmarkStart w:id="286" w:name="_Toc184312125"/>
      <w:bookmarkEnd w:id="286"/>
      <w:bookmarkStart w:id="287" w:name="_Toc184314438"/>
      <w:bookmarkEnd w:id="287"/>
      <w:bookmarkStart w:id="288" w:name="_Toc184313278"/>
      <w:bookmarkEnd w:id="288"/>
      <w:bookmarkStart w:id="289" w:name="_Toc184314418"/>
      <w:bookmarkEnd w:id="289"/>
      <w:bookmarkStart w:id="290" w:name="_Toc184308105"/>
      <w:bookmarkEnd w:id="290"/>
      <w:bookmarkStart w:id="291" w:name="_Toc184314431"/>
      <w:bookmarkEnd w:id="291"/>
      <w:bookmarkStart w:id="292" w:name="_Toc184312078"/>
      <w:bookmarkEnd w:id="292"/>
      <w:bookmarkStart w:id="293" w:name="_Toc184314423"/>
      <w:bookmarkEnd w:id="293"/>
      <w:bookmarkStart w:id="294" w:name="_Toc184308082"/>
      <w:bookmarkEnd w:id="294"/>
      <w:bookmarkStart w:id="295" w:name="_Toc184310307"/>
      <w:bookmarkEnd w:id="295"/>
      <w:bookmarkStart w:id="296" w:name="_Toc184308086"/>
      <w:bookmarkEnd w:id="296"/>
      <w:bookmarkStart w:id="297" w:name="_Toc184312122"/>
      <w:bookmarkEnd w:id="297"/>
      <w:bookmarkStart w:id="298" w:name="_Toc184314421"/>
      <w:bookmarkEnd w:id="298"/>
      <w:bookmarkStart w:id="299" w:name="_Toc184314420"/>
      <w:bookmarkEnd w:id="299"/>
      <w:bookmarkStart w:id="300" w:name="_Toc184310340"/>
      <w:bookmarkEnd w:id="300"/>
      <w:bookmarkStart w:id="301" w:name="_Toc184314427"/>
      <w:bookmarkEnd w:id="301"/>
      <w:bookmarkStart w:id="302" w:name="_Toc184310293"/>
      <w:bookmarkEnd w:id="302"/>
      <w:bookmarkStart w:id="303" w:name="_Toc184308058"/>
      <w:bookmarkEnd w:id="303"/>
      <w:bookmarkStart w:id="304" w:name="_Toc184310336"/>
      <w:bookmarkEnd w:id="304"/>
      <w:bookmarkStart w:id="305" w:name="_Toc184314416"/>
      <w:bookmarkEnd w:id="305"/>
      <w:bookmarkStart w:id="306" w:name="_Toc184312097"/>
      <w:bookmarkEnd w:id="306"/>
      <w:bookmarkStart w:id="307" w:name="_Toc184310318"/>
      <w:bookmarkEnd w:id="307"/>
      <w:bookmarkStart w:id="308" w:name="_Toc184308093"/>
      <w:bookmarkEnd w:id="308"/>
      <w:bookmarkStart w:id="309" w:name="_Toc184314469"/>
      <w:bookmarkEnd w:id="309"/>
      <w:bookmarkStart w:id="310" w:name="_Toc184310324"/>
      <w:bookmarkEnd w:id="310"/>
      <w:bookmarkStart w:id="311" w:name="_Toc184308091"/>
      <w:bookmarkEnd w:id="311"/>
      <w:bookmarkStart w:id="312" w:name="_Toc184310277"/>
      <w:bookmarkEnd w:id="312"/>
      <w:bookmarkStart w:id="313" w:name="_Toc184308089"/>
      <w:bookmarkEnd w:id="313"/>
      <w:bookmarkStart w:id="314" w:name="_Toc184308085"/>
      <w:bookmarkEnd w:id="314"/>
      <w:bookmarkStart w:id="315" w:name="_Toc184308079"/>
      <w:bookmarkEnd w:id="315"/>
      <w:bookmarkStart w:id="316" w:name="_Toc184310332"/>
      <w:bookmarkEnd w:id="316"/>
      <w:bookmarkStart w:id="317" w:name="_Toc184313265"/>
      <w:bookmarkEnd w:id="317"/>
      <w:bookmarkStart w:id="318" w:name="_Toc184308037"/>
      <w:bookmarkEnd w:id="318"/>
      <w:bookmarkStart w:id="319" w:name="_Toc184314446"/>
      <w:bookmarkEnd w:id="319"/>
      <w:bookmarkStart w:id="320" w:name="_Toc184314470"/>
      <w:bookmarkEnd w:id="320"/>
      <w:bookmarkStart w:id="321" w:name="_Toc184308048"/>
      <w:bookmarkEnd w:id="321"/>
      <w:bookmarkStart w:id="322" w:name="_Toc184314439"/>
      <w:bookmarkEnd w:id="322"/>
      <w:bookmarkStart w:id="323" w:name="_Toc184313239"/>
      <w:bookmarkEnd w:id="323"/>
      <w:bookmarkStart w:id="324" w:name="_Toc184308068"/>
      <w:bookmarkEnd w:id="324"/>
      <w:bookmarkStart w:id="325" w:name="_Toc184313279"/>
      <w:bookmarkEnd w:id="325"/>
      <w:bookmarkStart w:id="326" w:name="_Toc184313250"/>
      <w:bookmarkEnd w:id="326"/>
      <w:bookmarkStart w:id="327" w:name="_Toc184310321"/>
      <w:bookmarkEnd w:id="327"/>
      <w:bookmarkStart w:id="328" w:name="_Toc184314419"/>
      <w:bookmarkEnd w:id="328"/>
      <w:bookmarkStart w:id="329" w:name="_Toc184314440"/>
      <w:bookmarkEnd w:id="329"/>
      <w:bookmarkStart w:id="330" w:name="_Toc184310299"/>
      <w:bookmarkEnd w:id="330"/>
      <w:bookmarkStart w:id="331" w:name="_Toc184313294"/>
      <w:bookmarkEnd w:id="331"/>
      <w:bookmarkStart w:id="332" w:name="_Toc184312134"/>
      <w:bookmarkEnd w:id="332"/>
      <w:bookmarkStart w:id="333" w:name="_Toc184308060"/>
      <w:bookmarkEnd w:id="333"/>
      <w:bookmarkStart w:id="334" w:name="_Toc184310282"/>
      <w:bookmarkEnd w:id="334"/>
      <w:bookmarkStart w:id="335" w:name="_Toc184308038"/>
      <w:bookmarkEnd w:id="335"/>
      <w:bookmarkStart w:id="336" w:name="_Toc184314459"/>
      <w:bookmarkEnd w:id="336"/>
      <w:bookmarkStart w:id="337" w:name="_Toc184314460"/>
      <w:bookmarkEnd w:id="337"/>
      <w:bookmarkStart w:id="338" w:name="_Toc184313247"/>
      <w:bookmarkEnd w:id="338"/>
      <w:bookmarkStart w:id="339" w:name="_Toc184312111"/>
      <w:bookmarkEnd w:id="339"/>
      <w:bookmarkStart w:id="340" w:name="_Toc184312099"/>
      <w:bookmarkEnd w:id="340"/>
      <w:bookmarkStart w:id="341" w:name="_Toc184310344"/>
      <w:bookmarkEnd w:id="341"/>
      <w:bookmarkStart w:id="342" w:name="_Toc184314441"/>
      <w:bookmarkEnd w:id="342"/>
      <w:bookmarkStart w:id="343" w:name="_Toc184314445"/>
      <w:bookmarkEnd w:id="343"/>
      <w:bookmarkStart w:id="344" w:name="_Toc184308080"/>
      <w:bookmarkEnd w:id="344"/>
      <w:bookmarkStart w:id="345" w:name="_Toc184314443"/>
      <w:bookmarkEnd w:id="345"/>
      <w:bookmarkStart w:id="346" w:name="_Toc184308101"/>
      <w:bookmarkEnd w:id="346"/>
      <w:bookmarkStart w:id="347" w:name="_Toc184313293"/>
      <w:bookmarkEnd w:id="347"/>
      <w:bookmarkStart w:id="348" w:name="_Toc184312094"/>
      <w:bookmarkEnd w:id="348"/>
      <w:bookmarkStart w:id="349" w:name="_Toc184313284"/>
      <w:bookmarkEnd w:id="349"/>
      <w:bookmarkStart w:id="350" w:name="_Toc184308088"/>
      <w:bookmarkEnd w:id="350"/>
      <w:bookmarkStart w:id="351" w:name="_Toc184310291"/>
      <w:bookmarkEnd w:id="351"/>
      <w:bookmarkStart w:id="352" w:name="_Toc184312080"/>
      <w:bookmarkEnd w:id="352"/>
      <w:bookmarkStart w:id="353" w:name="_Toc184308056"/>
      <w:bookmarkEnd w:id="353"/>
      <w:bookmarkStart w:id="354" w:name="_Toc184313260"/>
      <w:bookmarkEnd w:id="354"/>
      <w:bookmarkStart w:id="355" w:name="_Toc184310320"/>
      <w:bookmarkEnd w:id="355"/>
      <w:bookmarkStart w:id="356" w:name="_Toc184312107"/>
      <w:bookmarkEnd w:id="356"/>
      <w:bookmarkStart w:id="357" w:name="_Toc184314482"/>
      <w:bookmarkEnd w:id="357"/>
      <w:bookmarkStart w:id="358" w:name="_Toc184313285"/>
      <w:bookmarkEnd w:id="358"/>
      <w:bookmarkStart w:id="359" w:name="_Toc184312100"/>
      <w:bookmarkEnd w:id="359"/>
      <w:bookmarkStart w:id="360" w:name="_Toc184312133"/>
      <w:bookmarkEnd w:id="360"/>
      <w:bookmarkStart w:id="361" w:name="_Toc184308084"/>
      <w:bookmarkEnd w:id="361"/>
      <w:bookmarkStart w:id="362" w:name="_Toc184308036"/>
      <w:bookmarkEnd w:id="362"/>
      <w:bookmarkStart w:id="363" w:name="_Toc184312090"/>
      <w:bookmarkEnd w:id="363"/>
      <w:bookmarkStart w:id="364" w:name="_Toc184314436"/>
      <w:bookmarkEnd w:id="364"/>
      <w:bookmarkStart w:id="365" w:name="_Toc184312138"/>
      <w:bookmarkEnd w:id="365"/>
      <w:bookmarkStart w:id="366" w:name="_Toc184312084"/>
      <w:bookmarkEnd w:id="366"/>
      <w:bookmarkStart w:id="367" w:name="_Toc184313270"/>
      <w:bookmarkEnd w:id="367"/>
      <w:bookmarkStart w:id="368" w:name="_Toc184312114"/>
      <w:bookmarkEnd w:id="368"/>
      <w:bookmarkStart w:id="369" w:name="_Toc184313251"/>
      <w:bookmarkEnd w:id="369"/>
      <w:bookmarkStart w:id="370" w:name="_Toc184314467"/>
      <w:bookmarkEnd w:id="370"/>
      <w:bookmarkStart w:id="371" w:name="_Toc184314448"/>
      <w:bookmarkEnd w:id="371"/>
      <w:bookmarkStart w:id="372" w:name="_Toc184312083"/>
      <w:bookmarkEnd w:id="372"/>
      <w:bookmarkStart w:id="373" w:name="_Toc184313295"/>
      <w:bookmarkEnd w:id="373"/>
      <w:bookmarkStart w:id="374" w:name="_Toc184314415"/>
      <w:bookmarkEnd w:id="374"/>
      <w:bookmarkStart w:id="375" w:name="_Toc184312124"/>
      <w:bookmarkEnd w:id="375"/>
      <w:bookmarkStart w:id="376" w:name="_Toc184308075"/>
      <w:bookmarkEnd w:id="376"/>
      <w:bookmarkStart w:id="377" w:name="_Toc184313306"/>
      <w:bookmarkEnd w:id="377"/>
      <w:bookmarkStart w:id="378" w:name="_Toc184312108"/>
      <w:bookmarkEnd w:id="378"/>
      <w:bookmarkStart w:id="379" w:name="_Toc184310330"/>
      <w:bookmarkEnd w:id="379"/>
      <w:bookmarkStart w:id="380" w:name="_Toc184310276"/>
      <w:bookmarkEnd w:id="380"/>
      <w:bookmarkStart w:id="381" w:name="_Toc184308074"/>
      <w:bookmarkEnd w:id="381"/>
      <w:bookmarkStart w:id="382" w:name="_Toc184312127"/>
      <w:bookmarkEnd w:id="382"/>
      <w:bookmarkStart w:id="383" w:name="_Toc184313291"/>
      <w:bookmarkEnd w:id="383"/>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7"/>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实质性要求的；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K</w:t>
      </w:r>
      <w:r>
        <w:rPr>
          <w:rFonts w:hint="eastAsia" w:ascii="宋体" w:hAnsi="宋体" w:cs="宋体"/>
          <w:color w:val="auto"/>
          <w:kern w:val="0"/>
          <w:sz w:val="24"/>
        </w:rPr>
        <w:t>.</w:t>
      </w:r>
      <w:r>
        <w:rPr>
          <w:rFonts w:hint="eastAsia" w:ascii="宋体" w:hAnsi="宋体" w:cs="宋体"/>
          <w:color w:val="auto"/>
          <w:kern w:val="0"/>
          <w:sz w:val="24"/>
          <w:lang w:eastAsia="zh-CN"/>
        </w:rPr>
        <w:t>法律法规</w:t>
      </w:r>
      <w:r>
        <w:rPr>
          <w:rFonts w:hint="eastAsia" w:ascii="宋体" w:hAnsi="宋体" w:cs="宋体"/>
          <w:color w:val="auto"/>
          <w:kern w:val="0"/>
          <w:sz w:val="24"/>
        </w:rPr>
        <w:t>、规章（适用本市的）及省级以上规范性文件（适用本市的）规定的其他无效情形。</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L</w:t>
      </w:r>
      <w:r>
        <w:rPr>
          <w:rFonts w:hint="eastAsia" w:ascii="宋体" w:hAnsi="宋体" w:cs="宋体"/>
          <w:color w:val="auto"/>
          <w:kern w:val="0"/>
          <w:sz w:val="24"/>
        </w:rPr>
        <w:t>在采购人规定的截止时间以后送达的</w:t>
      </w:r>
      <w:r>
        <w:rPr>
          <w:rFonts w:hint="eastAsia" w:ascii="宋体" w:hAnsi="宋体" w:cs="宋体"/>
          <w:color w:val="auto"/>
          <w:kern w:val="0"/>
          <w:sz w:val="24"/>
          <w:lang w:eastAsia="zh-CN"/>
        </w:rPr>
        <w:t>响应</w:t>
      </w:r>
      <w:r>
        <w:rPr>
          <w:rFonts w:hint="eastAsia" w:ascii="宋体" w:hAnsi="宋体" w:cs="宋体"/>
          <w:color w:val="auto"/>
          <w:kern w:val="0"/>
          <w:sz w:val="24"/>
        </w:rPr>
        <w:t>文件</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M</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要求缴纳</w:t>
      </w:r>
      <w:r>
        <w:rPr>
          <w:rFonts w:hint="eastAsia" w:ascii="宋体" w:hAnsi="宋体" w:cs="宋体"/>
          <w:color w:val="auto"/>
          <w:kern w:val="0"/>
          <w:sz w:val="24"/>
          <w:lang w:eastAsia="zh-CN"/>
        </w:rPr>
        <w:t>询价保证金</w:t>
      </w:r>
      <w:r>
        <w:rPr>
          <w:rFonts w:hint="eastAsia" w:ascii="宋体" w:hAnsi="宋体" w:cs="宋体"/>
          <w:color w:val="auto"/>
          <w:kern w:val="0"/>
          <w:sz w:val="24"/>
        </w:rPr>
        <w:t>的</w:t>
      </w:r>
      <w:r>
        <w:rPr>
          <w:rFonts w:hint="eastAsia" w:ascii="宋体" w:hAnsi="宋体" w:cs="宋体"/>
          <w:color w:val="auto"/>
          <w:kern w:val="0"/>
          <w:sz w:val="24"/>
          <w:lang w:eastAsia="zh-CN"/>
        </w:rPr>
        <w:t>（若有）</w:t>
      </w:r>
      <w:r>
        <w:rPr>
          <w:rFonts w:hint="eastAsia" w:ascii="宋体" w:hAnsi="宋体" w:cs="宋体"/>
          <w:color w:val="auto"/>
          <w:kern w:val="0"/>
          <w:sz w:val="24"/>
        </w:rPr>
        <w:t>。</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N</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w:t>
      </w:r>
      <w:r>
        <w:rPr>
          <w:rFonts w:hint="eastAsia" w:ascii="宋体" w:hAnsi="宋体" w:cs="宋体"/>
          <w:color w:val="auto"/>
          <w:kern w:val="0"/>
          <w:sz w:val="24"/>
          <w:lang w:val="en-US" w:eastAsia="zh-CN"/>
        </w:rPr>
        <w:t>提供样品</w:t>
      </w:r>
      <w:r>
        <w:rPr>
          <w:rFonts w:hint="eastAsia" w:ascii="宋体" w:hAnsi="宋体" w:cs="宋体"/>
          <w:color w:val="auto"/>
          <w:kern w:val="0"/>
          <w:sz w:val="24"/>
        </w:rPr>
        <w:t>的</w:t>
      </w:r>
      <w:r>
        <w:rPr>
          <w:rFonts w:hint="eastAsia" w:ascii="宋体" w:hAnsi="宋体" w:cs="宋体"/>
          <w:color w:val="auto"/>
          <w:kern w:val="0"/>
          <w:sz w:val="24"/>
          <w:lang w:eastAsia="zh-CN"/>
        </w:rPr>
        <w:t>（若有）</w:t>
      </w:r>
      <w:r>
        <w:rPr>
          <w:rFonts w:hint="eastAsia" w:ascii="宋体" w:hAnsi="宋体" w:cs="宋体"/>
          <w:color w:val="auto"/>
          <w:kern w:val="0"/>
          <w:sz w:val="24"/>
        </w:rPr>
        <w:t>。</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实质性响应要求的供应商中，按照报价由低到高的顺序</w:t>
      </w:r>
      <w:r>
        <w:rPr>
          <w:rFonts w:hint="eastAsia" w:cs="仿宋" w:asciiTheme="minorEastAsia" w:hAnsiTheme="minorEastAsia"/>
          <w:color w:val="auto"/>
          <w:sz w:val="24"/>
          <w:lang w:eastAsia="zh-CN"/>
        </w:rPr>
        <w:t>推荐</w:t>
      </w:r>
      <w:r>
        <w:rPr>
          <w:rFonts w:hint="eastAsia" w:cs="仿宋" w:asciiTheme="minorEastAsia" w:hAnsiTheme="minorEastAsia"/>
          <w:color w:val="auto"/>
          <w:sz w:val="24"/>
        </w:rPr>
        <w:t>成交候选人。</w:t>
      </w:r>
    </w:p>
    <w:p>
      <w:pPr>
        <w:pStyle w:val="6"/>
        <w:ind w:firstLine="480" w:firstLineChars="200"/>
        <w:rPr>
          <w:rFonts w:hint="eastAsia"/>
          <w:color w:val="auto"/>
        </w:rPr>
      </w:pPr>
      <w:r>
        <w:rPr>
          <w:rFonts w:hint="default"/>
          <w:color w:val="auto"/>
          <w:lang w:val="en-US"/>
        </w:rPr>
        <w:t>1.1</w:t>
      </w:r>
      <w:r>
        <w:rPr>
          <w:rFonts w:hint="eastAsia"/>
          <w:color w:val="auto"/>
        </w:rPr>
        <w:t>若出现税率不一致的情况，以除税总金额相对比。</w:t>
      </w:r>
    </w:p>
    <w:p>
      <w:pPr>
        <w:pStyle w:val="6"/>
        <w:ind w:firstLine="480" w:firstLineChars="200"/>
        <w:rPr>
          <w:rFonts w:hint="eastAsia"/>
          <w:color w:val="auto"/>
        </w:rPr>
      </w:pPr>
      <w:r>
        <w:rPr>
          <w:rFonts w:hint="default"/>
          <w:color w:val="auto"/>
          <w:lang w:val="en-US"/>
        </w:rPr>
        <w:t>1.2</w:t>
      </w:r>
      <w:r>
        <w:rPr>
          <w:rFonts w:hint="eastAsia"/>
          <w:color w:val="auto"/>
          <w:lang w:val="en-US" w:eastAsia="zh-CN"/>
        </w:rPr>
        <w:t>若</w:t>
      </w:r>
      <w:r>
        <w:rPr>
          <w:rFonts w:hint="eastAsia"/>
          <w:color w:val="auto"/>
        </w:rPr>
        <w:t>出现相同总金额最低报价情况时，总金额最低报价相同的</w:t>
      </w:r>
      <w:r>
        <w:rPr>
          <w:rFonts w:hint="eastAsia"/>
          <w:color w:val="auto"/>
          <w:lang w:eastAsia="zh-CN"/>
        </w:rPr>
        <w:t>供应商</w:t>
      </w:r>
      <w:r>
        <w:rPr>
          <w:rFonts w:hint="eastAsia"/>
          <w:color w:val="auto"/>
        </w:rPr>
        <w:t>再进行一轮报价</w:t>
      </w:r>
      <w:r>
        <w:rPr>
          <w:rFonts w:hint="eastAsia"/>
          <w:b/>
          <w:bCs/>
          <w:color w:val="auto"/>
        </w:rPr>
        <w:t>。如报价再相同，则由采购</w:t>
      </w:r>
      <w:r>
        <w:rPr>
          <w:rFonts w:hint="eastAsia"/>
          <w:b/>
          <w:bCs/>
          <w:color w:val="auto"/>
          <w:lang w:eastAsia="zh-CN"/>
        </w:rPr>
        <w:t>工作人员</w:t>
      </w:r>
      <w:r>
        <w:rPr>
          <w:rFonts w:hint="eastAsia"/>
          <w:b/>
          <w:bCs/>
          <w:color w:val="auto"/>
          <w:lang w:val="en-US" w:eastAsia="zh-CN"/>
        </w:rPr>
        <w:t>组织询价评审小组成员与供应商分别</w:t>
      </w:r>
      <w:r>
        <w:rPr>
          <w:rFonts w:hint="eastAsia"/>
          <w:b/>
          <w:bCs/>
          <w:color w:val="auto"/>
        </w:rPr>
        <w:t>再进行一轮报价</w:t>
      </w:r>
      <w:r>
        <w:rPr>
          <w:rFonts w:hint="eastAsia"/>
          <w:b/>
          <w:bCs/>
          <w:color w:val="auto"/>
          <w:lang w:eastAsia="zh-CN"/>
        </w:rPr>
        <w:t>，以此类推</w:t>
      </w:r>
      <w:r>
        <w:rPr>
          <w:rFonts w:hint="eastAsia"/>
          <w:b/>
          <w:bCs/>
          <w:color w:val="auto"/>
        </w:rPr>
        <w:t>。</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.2出现影响采购公正的违法、违规行为的；</w:t>
      </w:r>
    </w:p>
    <w:p>
      <w:pPr>
        <w:widowControl/>
        <w:snapToGrid w:val="0"/>
        <w:spacing w:line="460" w:lineRule="exact"/>
        <w:ind w:firstLine="480" w:firstLineChars="200"/>
        <w:rPr>
          <w:rFonts w:hint="eastAsia"/>
          <w:color w:val="auto"/>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.3在采购过程中符合竞争要求的供应商或者报价未超过采购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的供应商不足3家的。</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kern w:val="2"/>
          <w:sz w:val="24"/>
          <w:szCs w:val="24"/>
          <w:lang w:val="en-US" w:eastAsia="zh-CN" w:bidi="ar-SA"/>
        </w:rPr>
        <w:t>4</w:t>
      </w:r>
      <w:r>
        <w:rPr>
          <w:rFonts w:hint="eastAsia"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lang w:val="en-US" w:eastAsia="zh-CN"/>
        </w:rPr>
        <w:t>不再询价</w:t>
      </w:r>
    </w:p>
    <w:p>
      <w:pPr>
        <w:widowControl/>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第二次询价后，</w:t>
      </w:r>
      <w:r>
        <w:rPr>
          <w:rFonts w:hint="eastAsia" w:cs="仿宋" w:asciiTheme="minorEastAsia" w:hAnsiTheme="minorEastAsia"/>
          <w:color w:val="auto"/>
          <w:sz w:val="24"/>
        </w:rPr>
        <w:t>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w:t>
      </w:r>
      <w:r>
        <w:rPr>
          <w:rFonts w:hint="eastAsia" w:cs="仿宋" w:asciiTheme="minorEastAsia" w:hAnsiTheme="minorEastAsia"/>
          <w:color w:val="auto"/>
          <w:sz w:val="24"/>
          <w:lang w:val="en-US" w:eastAsia="zh-CN"/>
        </w:rPr>
        <w:t>或者经评审有效的供应商仍少于3个，采购方式由询价直接转为谈判，询价采购文件即为谈判文件，</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lang w:val="en-US" w:eastAsia="zh-CN"/>
        </w:rPr>
        <w:t>成员即为</w:t>
      </w:r>
      <w:r>
        <w:rPr>
          <w:rFonts w:hint="eastAsia" w:cs="仿宋" w:asciiTheme="minorEastAsia" w:hAnsiTheme="minorEastAsia"/>
          <w:color w:val="auto"/>
          <w:sz w:val="24"/>
          <w:lang w:eastAsia="zh-CN"/>
        </w:rPr>
        <w:t>询价</w:t>
      </w:r>
      <w:r>
        <w:rPr>
          <w:rFonts w:hint="eastAsia" w:cs="仿宋" w:asciiTheme="minorEastAsia" w:hAnsiTheme="minorEastAsia"/>
          <w:color w:val="auto"/>
          <w:sz w:val="24"/>
          <w:lang w:val="en-US" w:eastAsia="zh-CN"/>
        </w:rPr>
        <w:t>谈判小组成员，询价保证金转为谈判保证金（若有）。</w:t>
      </w:r>
    </w:p>
    <w:p>
      <w:pPr>
        <w:pStyle w:val="6"/>
        <w:numPr>
          <w:ilvl w:val="0"/>
          <w:numId w:val="0"/>
        </w:numPr>
        <w:rPr>
          <w:rFonts w:hint="default"/>
          <w:color w:val="auto"/>
          <w:lang w:val="en-US" w:eastAsia="zh-CN"/>
        </w:rPr>
      </w:pPr>
    </w:p>
    <w:p>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pPr>
        <w:pStyle w:val="12"/>
        <w:rPr>
          <w:rFonts w:cs="仿宋" w:asciiTheme="minorEastAsia" w:hAnsiTheme="minorEastAsia"/>
          <w:color w:val="auto"/>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rPr>
        <w:t>服务类采购合同</w:t>
      </w:r>
    </w:p>
    <w:p>
      <w:pPr>
        <w:spacing w:before="120" w:line="22" w:lineRule="atLeast"/>
        <w:rPr>
          <w:rFonts w:ascii="宋体" w:hAnsi="宋体" w:cs="宋体"/>
          <w:sz w:val="24"/>
        </w:rPr>
      </w:pPr>
    </w:p>
    <w:p>
      <w:pPr>
        <w:pStyle w:val="3"/>
        <w:tabs>
          <w:tab w:val="left" w:pos="432"/>
        </w:tabs>
        <w:rPr>
          <w:rFonts w:hint="default" w:eastAsia="黑体"/>
          <w:lang w:val="en-US" w:eastAsia="zh-CN"/>
        </w:rPr>
      </w:pPr>
      <w:r>
        <w:rPr>
          <w:rFonts w:hint="eastAsia"/>
          <w:lang w:val="en-US" w:eastAsia="zh-CN"/>
        </w:rPr>
        <w:t xml:space="preserve">              </w:t>
      </w: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cs="仿宋" w:asciiTheme="minorEastAsia" w:hAnsiTheme="minorEastAsia"/>
          <w:color w:val="auto"/>
          <w:sz w:val="24"/>
          <w:u w:val="single"/>
          <w:lang w:val="en-US" w:eastAsia="zh-CN"/>
        </w:rPr>
        <w:t>2024年临江公司地下水隐患排查治理咨询服务项目</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2024</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15"/>
        <w:ind w:firstLine="214"/>
        <w:jc w:val="center"/>
        <w:rPr>
          <w:rFonts w:hint="eastAsia"/>
          <w:b/>
          <w:bCs/>
        </w:rPr>
      </w:pPr>
      <w:r>
        <w:rPr>
          <w:rFonts w:hint="eastAsia"/>
          <w:b/>
          <w:bCs/>
        </w:rPr>
        <w:t>目录</w:t>
      </w:r>
    </w:p>
    <w:p>
      <w:pPr>
        <w:pStyle w:val="7"/>
        <w:spacing w:line="360" w:lineRule="auto"/>
        <w:ind w:firstLine="720" w:firstLineChars="300"/>
      </w:pPr>
      <w:r>
        <w:rPr>
          <w:rFonts w:hint="eastAsia"/>
        </w:rPr>
        <w:t>第一章 合同书  …………………………………………………………（页码）</w:t>
      </w:r>
    </w:p>
    <w:p>
      <w:pPr>
        <w:pStyle w:val="7"/>
        <w:spacing w:line="360" w:lineRule="auto"/>
        <w:ind w:firstLine="720" w:firstLineChars="300"/>
        <w:rPr>
          <w:rFonts w:hint="eastAsia"/>
        </w:rPr>
      </w:pPr>
      <w:r>
        <w:rPr>
          <w:rFonts w:hint="eastAsia"/>
        </w:rPr>
        <w:t>第二章 合同一般条款……………………………………………………（页码）</w:t>
      </w:r>
    </w:p>
    <w:p>
      <w:pPr>
        <w:pStyle w:val="7"/>
        <w:spacing w:line="360" w:lineRule="auto"/>
        <w:ind w:firstLine="720" w:firstLineChars="300"/>
      </w:pPr>
      <w:r>
        <w:rPr>
          <w:rFonts w:hint="eastAsia"/>
        </w:rPr>
        <w:t>第</w:t>
      </w:r>
      <w:r>
        <w:rPr>
          <w:rFonts w:hint="eastAsia"/>
          <w:lang w:val="en-US" w:eastAsia="zh-CN"/>
        </w:rPr>
        <w:t>三</w:t>
      </w:r>
      <w:r>
        <w:rPr>
          <w:rFonts w:hint="eastAsia"/>
        </w:rPr>
        <w:t>章 廉洁协议…………………………………………………………（页码）</w:t>
      </w: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15"/>
        <w:rPr>
          <w:lang w:val="zh-CN"/>
        </w:rPr>
      </w:pPr>
    </w:p>
    <w:p>
      <w:pPr>
        <w:spacing w:line="360" w:lineRule="auto"/>
        <w:ind w:firstLine="480" w:firstLineChars="200"/>
        <w:rPr>
          <w:rFonts w:ascii="宋体" w:hAnsi="宋体"/>
          <w:sz w:val="24"/>
          <w:u w:val="single"/>
          <w:lang w:val="zh-CN"/>
        </w:rPr>
      </w:pPr>
    </w:p>
    <w:p>
      <w:pPr>
        <w:pStyle w:val="6"/>
        <w:rPr>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24"/>
        <w:ind w:left="0" w:leftChars="0" w:firstLine="0" w:firstLineChars="0"/>
        <w:jc w:val="center"/>
        <w:rPr>
          <w:rFonts w:ascii="宋体" w:hAnsi="宋体"/>
          <w:u w:val="single"/>
          <w:lang w:val="zh-CN"/>
        </w:rPr>
      </w:pPr>
      <w:r>
        <w:rPr>
          <w:rFonts w:hint="eastAsia" w:ascii="宋体" w:hAnsi="宋体" w:cs="宋体"/>
          <w:b/>
          <w:szCs w:val="24"/>
        </w:rPr>
        <w:t>第一章 合同书</w:t>
      </w:r>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rPr>
        <w:t>20</w:t>
      </w:r>
      <w:r>
        <w:rPr>
          <w:rFonts w:hint="eastAsia" w:ascii="宋体" w:hAnsi="宋体"/>
          <w:sz w:val="24"/>
          <w:u w:val="single"/>
          <w:lang w:val="en-US" w:eastAsia="zh-CN"/>
        </w:rPr>
        <w:t>24</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rPr>
        <w:t xml:space="preserve">比价 </w:t>
      </w:r>
      <w:r>
        <w:rPr>
          <w:rFonts w:hint="eastAsia" w:ascii="宋体" w:hAnsi="宋体"/>
          <w:sz w:val="24"/>
        </w:rPr>
        <w:t>形式对</w:t>
      </w:r>
      <w:r>
        <w:rPr>
          <w:rFonts w:hint="eastAsia" w:cs="仿宋" w:asciiTheme="minorEastAsia" w:hAnsiTheme="minorEastAsia"/>
          <w:color w:val="auto"/>
          <w:sz w:val="24"/>
          <w:u w:val="single"/>
          <w:lang w:val="en-US" w:eastAsia="zh-CN"/>
        </w:rPr>
        <w:t>2024年临江公司地下水隐患排查治理咨询服务项目</w:t>
      </w:r>
      <w:r>
        <w:rPr>
          <w:rFonts w:hint="eastAsia" w:ascii="宋体" w:hAnsi="宋体"/>
          <w:sz w:val="24"/>
        </w:rPr>
        <w:t>进行了采购。经</w:t>
      </w:r>
      <w:r>
        <w:rPr>
          <w:rFonts w:ascii="宋体" w:hAnsi="宋体"/>
          <w:sz w:val="24"/>
          <w:u w:val="single"/>
        </w:rPr>
        <w:t xml:space="preserve"> </w:t>
      </w:r>
      <w:r>
        <w:rPr>
          <w:rFonts w:hint="eastAsia" w:ascii="宋体" w:hAnsi="宋体"/>
          <w:sz w:val="24"/>
          <w:u w:val="single"/>
          <w:lang w:val="en-US" w:eastAsia="zh-CN"/>
        </w:rPr>
        <w:t>评标小组</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hint="eastAsia" w:ascii="宋体" w:hAnsi="宋体"/>
          <w:sz w:val="24"/>
          <w:u w:val="single"/>
          <w:lang w:eastAsia="zh-CN"/>
        </w:rPr>
        <w:t>（</w:t>
      </w:r>
      <w:r>
        <w:rPr>
          <w:rFonts w:ascii="宋体" w:hAnsi="宋体"/>
          <w:sz w:val="24"/>
          <w:lang w:val="zh-CN"/>
        </w:rPr>
        <w:t>以下简称：甲方</w:t>
      </w:r>
      <w:r>
        <w:rPr>
          <w:rFonts w:hint="eastAsia" w:ascii="宋体" w:hAnsi="宋体"/>
          <w:sz w:val="24"/>
          <w:lang w:val="zh-CN"/>
        </w:rPr>
        <w:t>）</w:t>
      </w:r>
      <w:r>
        <w:rPr>
          <w:rFonts w:ascii="宋体" w:hAnsi="宋体"/>
          <w:sz w:val="24"/>
          <w:lang w:val="zh-CN"/>
        </w:rPr>
        <w:t>和</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ascii="宋体" w:hAnsi="宋体"/>
          <w:sz w:val="24"/>
          <w:u w:val="single"/>
        </w:rPr>
        <w:t xml:space="preserve">  </w:t>
      </w:r>
      <w:r>
        <w:rPr>
          <w:rFonts w:hint="eastAsia" w:ascii="宋体" w:hAnsi="宋体"/>
          <w:sz w:val="24"/>
          <w:u w:val="single"/>
          <w:lang w:eastAsia="zh-CN"/>
        </w:rPr>
        <w:t>（</w:t>
      </w:r>
      <w:r>
        <w:rPr>
          <w:rFonts w:ascii="宋体" w:hAnsi="宋体"/>
          <w:sz w:val="24"/>
          <w:lang w:val="zh-CN"/>
        </w:rPr>
        <w:t>以下简称：乙方</w:t>
      </w:r>
      <w:r>
        <w:rPr>
          <w:rFonts w:hint="eastAsia" w:ascii="宋体" w:hAnsi="宋体"/>
          <w:sz w:val="24"/>
          <w:lang w:val="zh-CN"/>
        </w:rPr>
        <w:t>）</w:t>
      </w:r>
      <w:r>
        <w:rPr>
          <w:rFonts w:ascii="宋体" w:hAnsi="宋体"/>
          <w:sz w:val="24"/>
          <w:lang w:val="zh-CN"/>
        </w:rPr>
        <w:t>协商一致，约定以下合同</w:t>
      </w:r>
      <w:r>
        <w:rPr>
          <w:rFonts w:hint="eastAsia" w:ascii="宋体" w:hAnsi="宋体"/>
          <w:sz w:val="24"/>
        </w:rPr>
        <w:t>条款，以兹共同遵守、全面履行。</w:t>
      </w:r>
    </w:p>
    <w:p>
      <w:pPr>
        <w:spacing w:line="360" w:lineRule="auto"/>
        <w:ind w:firstLine="482" w:firstLineChars="200"/>
        <w:outlineLvl w:val="0"/>
        <w:rPr>
          <w:rFonts w:ascii="宋体" w:hAnsi="宋体"/>
          <w:sz w:val="24"/>
        </w:rPr>
      </w:pPr>
      <w:bookmarkStart w:id="384" w:name="_Toc28855"/>
      <w:bookmarkStart w:id="385" w:name="_Toc20421"/>
      <w:bookmarkStart w:id="386" w:name="_Toc19273"/>
      <w:bookmarkStart w:id="387" w:name="_Toc15367"/>
      <w:bookmarkStart w:id="388" w:name="_Toc22967"/>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hint="eastAsia" w:ascii="宋体" w:hAnsi="宋体"/>
          <w:sz w:val="24"/>
        </w:rPr>
        <w:t>2.中标或者成交通知书；</w:t>
      </w:r>
    </w:p>
    <w:p>
      <w:pPr>
        <w:spacing w:line="360" w:lineRule="auto"/>
        <w:ind w:firstLine="480" w:firstLineChars="200"/>
        <w:rPr>
          <w:rFonts w:ascii="宋体" w:hAnsi="宋体"/>
          <w:sz w:val="24"/>
        </w:rPr>
      </w:pPr>
      <w:r>
        <w:rPr>
          <w:rFonts w:hint="eastAsia" w:ascii="宋体" w:hAnsi="宋体"/>
          <w:sz w:val="24"/>
        </w:rPr>
        <w:t>3.投标或者响应文件（含澄清或者说明文件）；</w:t>
      </w:r>
    </w:p>
    <w:p>
      <w:pPr>
        <w:spacing w:line="360" w:lineRule="auto"/>
        <w:ind w:firstLine="480" w:firstLineChars="200"/>
        <w:rPr>
          <w:rFonts w:ascii="宋体" w:hAnsi="宋体"/>
          <w:sz w:val="24"/>
        </w:rPr>
      </w:pPr>
      <w:r>
        <w:rPr>
          <w:rFonts w:hint="eastAsia" w:ascii="宋体" w:hAnsi="宋体"/>
          <w:sz w:val="24"/>
        </w:rPr>
        <w:t>4.采购文件（含澄清或者修改文件）；</w:t>
      </w:r>
    </w:p>
    <w:p>
      <w:pPr>
        <w:spacing w:line="360" w:lineRule="auto"/>
        <w:ind w:firstLine="480" w:firstLineChars="200"/>
        <w:rPr>
          <w:rFonts w:ascii="宋体" w:hAnsi="宋体"/>
          <w:sz w:val="24"/>
        </w:rPr>
      </w:pPr>
      <w:r>
        <w:rPr>
          <w:rFonts w:hint="eastAsia" w:ascii="宋体" w:hAnsi="宋体"/>
          <w:sz w:val="24"/>
        </w:rPr>
        <w:t>5.其他相关采购文件。</w:t>
      </w:r>
    </w:p>
    <w:p>
      <w:pPr>
        <w:spacing w:line="360" w:lineRule="auto"/>
        <w:ind w:firstLine="482" w:firstLineChars="200"/>
        <w:outlineLvl w:val="0"/>
        <w:rPr>
          <w:rFonts w:hint="eastAsia" w:ascii="宋体" w:hAnsi="宋体"/>
          <w:b/>
          <w:sz w:val="24"/>
        </w:rPr>
      </w:pPr>
      <w:bookmarkStart w:id="389" w:name="_Toc2918"/>
      <w:bookmarkStart w:id="390" w:name="_Toc22185"/>
      <w:bookmarkStart w:id="391" w:name="_Toc6311"/>
      <w:bookmarkStart w:id="392" w:name="_Toc18585"/>
      <w:bookmarkStart w:id="393" w:name="_Toc6773"/>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  </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 </w:t>
      </w:r>
      <w:r>
        <w:rPr>
          <w:rFonts w:hint="eastAsia" w:ascii="宋体" w:hAnsi="宋体"/>
          <w:sz w:val="24"/>
        </w:rPr>
        <w:t xml:space="preserve"> %。其中三固事业部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元，能源事业部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r>
        <w:rPr>
          <w:rFonts w:hint="eastAsia" w:ascii="宋体" w:hAnsi="宋体"/>
          <w:sz w:val="24"/>
          <w:lang w:eastAsia="zh-CN"/>
        </w:rPr>
        <w:t>，</w:t>
      </w:r>
      <w:r>
        <w:rPr>
          <w:rFonts w:hint="eastAsia" w:ascii="宋体" w:hAnsi="宋体"/>
          <w:sz w:val="24"/>
          <w:lang w:val="en-US" w:eastAsia="zh-CN"/>
        </w:rPr>
        <w:t>具体详见附件清单</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1</w:t>
      </w:r>
      <w:r>
        <w:rPr>
          <w:rFonts w:hint="eastAsia" w:ascii="宋体" w:hAnsi="宋体" w:cs="宋体"/>
          <w:sz w:val="24"/>
          <w:u w:val="single"/>
        </w:rPr>
        <w:t xml:space="preserve">） </w:t>
      </w:r>
      <w:r>
        <w:rPr>
          <w:rFonts w:hint="eastAsia" w:ascii="宋体" w:hAnsi="宋体" w:cs="宋体"/>
          <w:sz w:val="24"/>
        </w:rPr>
        <w:t>条款规定的计价方式计价。</w:t>
      </w:r>
    </w:p>
    <w:p>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r>
        <w:rPr>
          <w:rFonts w:hint="eastAsia" w:ascii="宋体" w:hAnsi="宋体" w:cs="宋体"/>
          <w:sz w:val="24"/>
        </w:rPr>
        <w:t>单价和总价中均包括了人工费、服务费、</w:t>
      </w:r>
      <w:r>
        <w:rPr>
          <w:rFonts w:hint="eastAsia" w:ascii="宋体" w:hAnsi="宋体" w:cs="宋体"/>
          <w:sz w:val="24"/>
          <w:lang w:eastAsia="zh-CN"/>
        </w:rPr>
        <w:t>税费</w:t>
      </w:r>
      <w:r>
        <w:rPr>
          <w:rFonts w:hint="eastAsia" w:ascii="宋体" w:hAnsi="宋体" w:cs="宋体"/>
          <w:sz w:val="24"/>
        </w:rPr>
        <w:t>、</w:t>
      </w:r>
      <w:r>
        <w:rPr>
          <w:rFonts w:hint="eastAsia" w:ascii="宋体" w:hAnsi="宋体" w:cs="宋体"/>
          <w:sz w:val="24"/>
          <w:lang w:val="en-US" w:eastAsia="zh-CN"/>
        </w:rPr>
        <w:t>专家评审费、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lang w:eastAsia="zh-CN"/>
        </w:rPr>
        <w:t>，</w:t>
      </w:r>
      <w:r>
        <w:rPr>
          <w:rFonts w:hint="eastAsia" w:ascii="宋体" w:hAnsi="宋体" w:cs="宋体"/>
          <w:sz w:val="24"/>
        </w:rPr>
        <w:t>本合同履行中，甲方不再另行支付任何费用。</w:t>
      </w:r>
    </w:p>
    <w:p>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w:t>
      </w:r>
      <w:r>
        <w:rPr>
          <w:rFonts w:hint="eastAsia" w:ascii="宋体" w:hAnsi="宋体"/>
          <w:sz w:val="24"/>
          <w:lang w:eastAsia="zh-CN"/>
        </w:rPr>
        <w:t>，</w:t>
      </w:r>
      <w:r>
        <w:rPr>
          <w:rFonts w:hint="eastAsia" w:ascii="宋体" w:hAnsi="宋体"/>
          <w:sz w:val="24"/>
        </w:rPr>
        <w:t>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6"/>
        <w:tblW w:w="8975" w:type="dxa"/>
        <w:tblInd w:w="96" w:type="dxa"/>
        <w:tblLayout w:type="fixed"/>
        <w:tblCellMar>
          <w:top w:w="0" w:type="dxa"/>
          <w:left w:w="108" w:type="dxa"/>
          <w:bottom w:w="0" w:type="dxa"/>
          <w:right w:w="108" w:type="dxa"/>
        </w:tblCellMar>
      </w:tblPr>
      <w:tblGrid>
        <w:gridCol w:w="636"/>
        <w:gridCol w:w="1671"/>
        <w:gridCol w:w="3097"/>
        <w:gridCol w:w="837"/>
        <w:gridCol w:w="1148"/>
        <w:gridCol w:w="876"/>
        <w:gridCol w:w="710"/>
      </w:tblGrid>
      <w:tr>
        <w:tblPrEx>
          <w:tblCellMar>
            <w:top w:w="0" w:type="dxa"/>
            <w:left w:w="108" w:type="dxa"/>
            <w:bottom w:w="0" w:type="dxa"/>
            <w:right w:w="108" w:type="dxa"/>
          </w:tblCellMar>
        </w:tblPrEx>
        <w:trPr>
          <w:trHeight w:val="561"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16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lang w:eastAsia="zh-CN"/>
              </w:rPr>
            </w:pPr>
            <w:r>
              <w:rPr>
                <w:rFonts w:hint="eastAsia" w:ascii="宋体" w:hAnsi="宋体" w:cs="宋体"/>
                <w:kern w:val="0"/>
                <w:sz w:val="20"/>
                <w:szCs w:val="20"/>
                <w:lang w:val="en-US" w:eastAsia="zh-CN" w:bidi="ar"/>
              </w:rPr>
              <w:t>项目</w:t>
            </w:r>
          </w:p>
        </w:tc>
        <w:tc>
          <w:tcPr>
            <w:tcW w:w="30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内容</w:t>
            </w:r>
          </w:p>
        </w:tc>
        <w:tc>
          <w:tcPr>
            <w:tcW w:w="8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单位</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单价</w:t>
            </w:r>
          </w:p>
        </w:tc>
        <w:tc>
          <w:tcPr>
            <w:tcW w:w="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金额（元）</w:t>
            </w:r>
          </w:p>
        </w:tc>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备注</w:t>
            </w:r>
          </w:p>
        </w:tc>
      </w:tr>
      <w:tr>
        <w:tblPrEx>
          <w:tblCellMar>
            <w:top w:w="0" w:type="dxa"/>
            <w:left w:w="108" w:type="dxa"/>
            <w:bottom w:w="0" w:type="dxa"/>
            <w:right w:w="108" w:type="dxa"/>
          </w:tblCellMar>
        </w:tblPrEx>
        <w:trPr>
          <w:trHeight w:val="41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w:t>
            </w:r>
          </w:p>
        </w:tc>
        <w:tc>
          <w:tcPr>
            <w:tcW w:w="16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w:t>
            </w:r>
          </w:p>
        </w:tc>
        <w:tc>
          <w:tcPr>
            <w:tcW w:w="30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w:t>
            </w:r>
          </w:p>
        </w:tc>
        <w:tc>
          <w:tcPr>
            <w:tcW w:w="11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w:t>
            </w:r>
          </w:p>
        </w:tc>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w:t>
            </w:r>
          </w:p>
        </w:tc>
      </w:tr>
    </w:tbl>
    <w:p>
      <w:pPr>
        <w:pStyle w:val="3"/>
        <w:tabs>
          <w:tab w:val="left" w:pos="432"/>
        </w:tabs>
        <w:ind w:firstLine="480" w:firstLineChars="200"/>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 xml:space="preserve">（3）其他计价方式： </w:t>
      </w:r>
      <w:r>
        <w:rPr>
          <w:rFonts w:hint="eastAsia" w:ascii="宋体" w:hAnsi="宋体" w:cs="宋体" w:eastAsiaTheme="minorEastAsia"/>
          <w:b w:val="0"/>
          <w:bCs w:val="0"/>
          <w:kern w:val="2"/>
          <w:sz w:val="24"/>
          <w:szCs w:val="24"/>
          <w:u w:val="single"/>
          <w:lang w:val="en-US" w:eastAsia="zh-CN" w:bidi="ar-SA"/>
        </w:rPr>
        <w:t xml:space="preserve">  / </w:t>
      </w:r>
      <w:r>
        <w:rPr>
          <w:rFonts w:hint="eastAsia" w:ascii="宋体" w:hAnsi="宋体" w:cs="宋体" w:eastAsiaTheme="minorEastAsia"/>
          <w:b w:val="0"/>
          <w:bCs w:val="0"/>
          <w:kern w:val="2"/>
          <w:sz w:val="24"/>
          <w:szCs w:val="24"/>
          <w:lang w:val="en-US" w:eastAsia="zh-CN" w:bidi="ar-SA"/>
        </w:rPr>
        <w:t xml:space="preserve"> 。</w:t>
      </w:r>
    </w:p>
    <w:p>
      <w:pPr>
        <w:pStyle w:val="25"/>
        <w:spacing w:before="0" w:beforeAutospacing="0" w:after="0" w:afterAutospacing="0" w:line="360" w:lineRule="auto"/>
        <w:ind w:firstLine="480" w:firstLineChars="200"/>
        <w:rPr>
          <w:rFonts w:hint="eastAsia"/>
        </w:rPr>
      </w:pPr>
      <w:r>
        <w:rPr>
          <w:rFonts w:hint="eastAsia"/>
        </w:rPr>
        <w:t>2.合同</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否</w:t>
      </w:r>
      <w:r>
        <w:rPr>
          <w:u w:val="single"/>
        </w:rPr>
        <w:t xml:space="preserve">  </w:t>
      </w:r>
      <w:r>
        <w:rPr>
          <w:rFonts w:hint="eastAsia"/>
        </w:rPr>
        <w:t>涉及货物。若涉及</w:t>
      </w:r>
      <w:r>
        <w:rPr>
          <w:rFonts w:hint="eastAsia"/>
          <w:lang w:eastAsia="zh-CN"/>
        </w:rPr>
        <w:t>货物的</w:t>
      </w:r>
      <w:r>
        <w:rPr>
          <w:rFonts w:hint="eastAsia"/>
        </w:rPr>
        <w:t>，</w:t>
      </w:r>
      <w:r>
        <w:rPr>
          <w:rFonts w:hint="eastAsia" w:cs="Times New Roman"/>
          <w:kern w:val="2"/>
        </w:rPr>
        <w:t xml:space="preserve">货物采用以下第 </w:t>
      </w:r>
      <w:r>
        <w:rPr>
          <w:rFonts w:hint="eastAsia" w:cs="Times New Roman"/>
          <w:kern w:val="2"/>
          <w:u w:val="single"/>
        </w:rPr>
        <w:t xml:space="preserve">/  </w:t>
      </w:r>
      <w:r>
        <w:rPr>
          <w:rFonts w:hint="eastAsia" w:cs="Times New Roman"/>
          <w:kern w:val="2"/>
        </w:rPr>
        <w:t>条款规定的计价方式计价。</w:t>
      </w:r>
    </w:p>
    <w:p>
      <w:pPr>
        <w:spacing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1</w:t>
      </w:r>
      <w:r>
        <w:rPr>
          <w:rFonts w:hint="eastAsia" w:ascii="宋体" w:hAnsi="宋体" w:cs="宋体"/>
          <w:sz w:val="24"/>
        </w:rPr>
        <w:t>）</w:t>
      </w:r>
      <w:r>
        <w:rPr>
          <w:rFonts w:hint="eastAsia" w:ascii="宋体" w:hAnsi="宋体"/>
          <w:sz w:val="24"/>
        </w:rPr>
        <w:t>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lang w:val="en-US" w:eastAsia="zh-CN"/>
        </w:rPr>
        <w:t>/</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w:t>
      </w:r>
      <w:r>
        <w:rPr>
          <w:rFonts w:hint="eastAsia" w:ascii="宋体" w:hAnsi="宋体"/>
          <w:sz w:val="24"/>
        </w:rPr>
        <w:t xml:space="preserve"> %，</w:t>
      </w:r>
      <w:r>
        <w:rPr>
          <w:rFonts w:hint="eastAsia" w:ascii="宋体" w:hAnsi="宋体" w:cs="宋体"/>
          <w:sz w:val="24"/>
        </w:rPr>
        <w:t>单价和总价中均包括了服务类、运费、安装调试费、人工费、服务费、</w:t>
      </w:r>
      <w:r>
        <w:rPr>
          <w:rFonts w:hint="eastAsia" w:ascii="宋体" w:hAnsi="宋体" w:cs="宋体"/>
          <w:sz w:val="24"/>
          <w:lang w:eastAsia="zh-CN"/>
        </w:rPr>
        <w:t>税费</w:t>
      </w:r>
      <w:r>
        <w:rPr>
          <w:rFonts w:hint="eastAsia" w:ascii="宋体" w:hAnsi="宋体" w:cs="宋体"/>
          <w:sz w:val="24"/>
        </w:rPr>
        <w:t>、杂费等所有费用，该价格已包含甲方为履行本合同所需的全部费用，未</w:t>
      </w:r>
      <w:r>
        <w:rPr>
          <w:rFonts w:hint="eastAsia" w:ascii="宋体" w:hAnsi="宋体" w:cs="宋体"/>
          <w:sz w:val="24"/>
          <w:lang w:eastAsia="zh-CN"/>
        </w:rPr>
        <w:t>列明</w:t>
      </w:r>
      <w:r>
        <w:rPr>
          <w:rFonts w:hint="eastAsia" w:ascii="宋体" w:hAnsi="宋体" w:cs="宋体"/>
          <w:sz w:val="24"/>
        </w:rPr>
        <w:t>的分项视为优惠</w:t>
      </w:r>
      <w:r>
        <w:rPr>
          <w:rFonts w:hint="eastAsia" w:ascii="宋体" w:hAnsi="宋体" w:cs="宋体"/>
          <w:sz w:val="24"/>
          <w:lang w:eastAsia="zh-CN"/>
        </w:rPr>
        <w:t>，</w:t>
      </w:r>
      <w:r>
        <w:rPr>
          <w:rFonts w:hint="eastAsia" w:ascii="宋体" w:hAnsi="宋体" w:cs="宋体"/>
          <w:sz w:val="24"/>
        </w:rPr>
        <w:t>本合同履行中，甲方不再另行支付任何费用。</w:t>
      </w:r>
    </w:p>
    <w:p>
      <w:pPr>
        <w:spacing w:line="360" w:lineRule="auto"/>
        <w:ind w:firstLine="480" w:firstLineChars="200"/>
        <w:rPr>
          <w:rFonts w:hint="eastAsia"/>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。合同清单内货物价格为综合价格，含货款、税金、安装调试费、车辆费、工具费等所有费用。</w:t>
      </w:r>
      <w:r>
        <w:rPr>
          <w:rFonts w:ascii="宋体" w:hAnsi="宋体"/>
          <w:sz w:val="24"/>
        </w:rPr>
        <w:t>分项价格</w:t>
      </w:r>
      <w:r>
        <w:rPr>
          <w:rFonts w:hint="eastAsia" w:ascii="宋体" w:hAnsi="宋体" w:cs="宋体"/>
          <w:sz w:val="24"/>
        </w:rPr>
        <w:t>如下：</w:t>
      </w:r>
    </w:p>
    <w:tbl>
      <w:tblPr>
        <w:tblStyle w:val="16"/>
        <w:tblW w:w="8931"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1225"/>
        <w:gridCol w:w="1329"/>
        <w:gridCol w:w="1236"/>
        <w:gridCol w:w="1310"/>
        <w:gridCol w:w="863"/>
        <w:gridCol w:w="900"/>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837" w:type="dxa"/>
            <w:noWrap w:val="0"/>
            <w:vAlign w:val="center"/>
          </w:tcPr>
          <w:p>
            <w:pPr>
              <w:pStyle w:val="3"/>
              <w:tabs>
                <w:tab w:val="left" w:pos="432"/>
              </w:tabs>
              <w:ind w:left="0" w:firstLine="0"/>
              <w:jc w:val="center"/>
              <w:rPr>
                <w:rFonts w:hint="eastAsia" w:ascii="宋体" w:hAnsi="宋体" w:eastAsia="宋体"/>
                <w:b w:val="0"/>
                <w:sz w:val="24"/>
                <w:szCs w:val="24"/>
                <w:lang w:val="en-US"/>
              </w:rPr>
            </w:pPr>
            <w:bookmarkStart w:id="394" w:name="_Toc21124"/>
            <w:bookmarkStart w:id="395" w:name="_Toc1386"/>
            <w:bookmarkStart w:id="396" w:name="_Toc13918"/>
            <w:bookmarkStart w:id="397" w:name="_Toc4929"/>
            <w:bookmarkStart w:id="398" w:name="_Toc5635"/>
            <w:r>
              <w:rPr>
                <w:rFonts w:hint="eastAsia" w:ascii="宋体" w:hAnsi="宋体" w:eastAsia="宋体"/>
                <w:b w:val="0"/>
                <w:sz w:val="24"/>
                <w:szCs w:val="24"/>
                <w:lang w:val="en-US"/>
              </w:rPr>
              <w:t>序号</w:t>
            </w:r>
          </w:p>
        </w:tc>
        <w:tc>
          <w:tcPr>
            <w:tcW w:w="1225" w:type="dxa"/>
            <w:noWrap w:val="0"/>
            <w:vAlign w:val="center"/>
          </w:tcPr>
          <w:p>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货物名称</w:t>
            </w:r>
          </w:p>
        </w:tc>
        <w:tc>
          <w:tcPr>
            <w:tcW w:w="1329" w:type="dxa"/>
            <w:noWrap w:val="0"/>
            <w:vAlign w:val="center"/>
          </w:tcPr>
          <w:p>
            <w:pPr>
              <w:pStyle w:val="3"/>
              <w:tabs>
                <w:tab w:val="left" w:pos="432"/>
              </w:tabs>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技术要求</w:t>
            </w:r>
          </w:p>
        </w:tc>
        <w:tc>
          <w:tcPr>
            <w:tcW w:w="1236" w:type="dxa"/>
            <w:noWrap w:val="0"/>
            <w:vAlign w:val="center"/>
          </w:tcPr>
          <w:p>
            <w:pPr>
              <w:pStyle w:val="3"/>
              <w:tabs>
                <w:tab w:val="left" w:pos="432"/>
              </w:tabs>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品牌</w:t>
            </w:r>
          </w:p>
        </w:tc>
        <w:tc>
          <w:tcPr>
            <w:tcW w:w="1310" w:type="dxa"/>
            <w:noWrap w:val="0"/>
            <w:vAlign w:val="center"/>
          </w:tcPr>
          <w:p>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暂定数量</w:t>
            </w:r>
          </w:p>
        </w:tc>
        <w:tc>
          <w:tcPr>
            <w:tcW w:w="863" w:type="dxa"/>
            <w:noWrap w:val="0"/>
            <w:vAlign w:val="center"/>
          </w:tcPr>
          <w:p>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单价</w:t>
            </w:r>
          </w:p>
        </w:tc>
        <w:tc>
          <w:tcPr>
            <w:tcW w:w="900" w:type="dxa"/>
            <w:noWrap w:val="0"/>
            <w:vAlign w:val="center"/>
          </w:tcPr>
          <w:p>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金额</w:t>
            </w:r>
          </w:p>
        </w:tc>
        <w:tc>
          <w:tcPr>
            <w:tcW w:w="1231" w:type="dxa"/>
            <w:noWrap w:val="0"/>
            <w:vAlign w:val="center"/>
          </w:tcPr>
          <w:p>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37" w:type="dxa"/>
            <w:noWrap w:val="0"/>
            <w:vAlign w:val="center"/>
          </w:tcPr>
          <w:p>
            <w:pPr>
              <w:pStyle w:val="3"/>
              <w:tabs>
                <w:tab w:val="left" w:pos="432"/>
              </w:tabs>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1</w:t>
            </w:r>
          </w:p>
        </w:tc>
        <w:tc>
          <w:tcPr>
            <w:tcW w:w="1225" w:type="dxa"/>
            <w:noWrap w:val="0"/>
            <w:vAlign w:val="center"/>
          </w:tcPr>
          <w:p>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1329" w:type="dxa"/>
            <w:noWrap w:val="0"/>
            <w:vAlign w:val="center"/>
          </w:tcPr>
          <w:p>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1236" w:type="dxa"/>
            <w:noWrap w:val="0"/>
            <w:vAlign w:val="center"/>
          </w:tcPr>
          <w:p>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1310" w:type="dxa"/>
            <w:noWrap w:val="0"/>
            <w:vAlign w:val="center"/>
          </w:tcPr>
          <w:p>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863" w:type="dxa"/>
            <w:noWrap w:val="0"/>
            <w:vAlign w:val="center"/>
          </w:tcPr>
          <w:p>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900" w:type="dxa"/>
            <w:noWrap w:val="0"/>
            <w:vAlign w:val="center"/>
          </w:tcPr>
          <w:p>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1231" w:type="dxa"/>
            <w:noWrap w:val="0"/>
            <w:vAlign w:val="center"/>
          </w:tcPr>
          <w:p>
            <w:pPr>
              <w:pStyle w:val="3"/>
              <w:tabs>
                <w:tab w:val="left" w:pos="432"/>
              </w:tabs>
              <w:ind w:left="0" w:firstLine="0"/>
              <w:jc w:val="center"/>
              <w:rPr>
                <w:rFonts w:hint="default" w:ascii="宋体" w:hAnsi="宋体" w:eastAsia="宋体"/>
                <w:b w:val="0"/>
                <w:sz w:val="24"/>
                <w:szCs w:val="24"/>
                <w:lang w:val="en-US" w:eastAsia="zh-CN"/>
              </w:rPr>
            </w:pPr>
            <w:r>
              <w:rPr>
                <w:rFonts w:hint="eastAsia" w:ascii="宋体" w:hAnsi="宋体" w:eastAsia="宋体"/>
                <w:b w:val="0"/>
                <w:sz w:val="24"/>
                <w:szCs w:val="24"/>
                <w:lang w:val="en-US" w:eastAsia="zh-CN"/>
              </w:rPr>
              <w:t>税率</w:t>
            </w:r>
            <w:r>
              <w:rPr>
                <w:rFonts w:hint="eastAsia" w:ascii="宋体" w:hAnsi="宋体" w:eastAsia="宋体"/>
                <w:b w:val="0"/>
                <w:sz w:val="24"/>
                <w:szCs w:val="24"/>
                <w:u w:val="single"/>
                <w:lang w:val="en-US" w:eastAsia="zh-CN"/>
              </w:rPr>
              <w:t xml:space="preserve"> / </w:t>
            </w:r>
            <w:r>
              <w:rPr>
                <w:rFonts w:hint="eastAsia" w:ascii="宋体" w:hAnsi="宋体" w:eastAsia="宋体"/>
                <w:b w:val="0"/>
                <w:sz w:val="24"/>
                <w:szCs w:val="24"/>
                <w:lang w:val="en-US" w:eastAsia="zh-CN"/>
              </w:rPr>
              <w:t>%</w:t>
            </w:r>
          </w:p>
        </w:tc>
      </w:tr>
      <w:bookmarkEnd w:id="394"/>
      <w:bookmarkEnd w:id="395"/>
      <w:bookmarkEnd w:id="396"/>
      <w:bookmarkEnd w:id="397"/>
      <w:bookmarkEnd w:id="398"/>
    </w:tbl>
    <w:p>
      <w:pPr>
        <w:spacing w:line="360" w:lineRule="auto"/>
        <w:ind w:firstLine="482" w:firstLineChars="200"/>
        <w:outlineLvl w:val="0"/>
        <w:rPr>
          <w:rFonts w:ascii="宋体" w:hAnsi="宋体"/>
          <w:b/>
          <w:sz w:val="24"/>
        </w:rPr>
      </w:pPr>
      <w:bookmarkStart w:id="399" w:name="_Toc1814"/>
      <w:bookmarkStart w:id="400" w:name="_Toc22618"/>
      <w:bookmarkStart w:id="401" w:name="_Toc10340"/>
      <w:bookmarkStart w:id="402" w:name="_Toc3625"/>
      <w:bookmarkStart w:id="403" w:name="_Toc11108"/>
      <w:bookmarkStart w:id="404" w:name="_Toc8772"/>
      <w:bookmarkStart w:id="405" w:name="_Toc4760"/>
      <w:bookmarkStart w:id="406" w:name="_Toc31421"/>
      <w:r>
        <w:rPr>
          <w:rFonts w:hint="eastAsia" w:ascii="宋体" w:hAnsi="宋体"/>
          <w:b/>
          <w:sz w:val="24"/>
        </w:rPr>
        <w:t>三、</w:t>
      </w:r>
      <w:r>
        <w:rPr>
          <w:rFonts w:ascii="宋体" w:hAnsi="宋体"/>
          <w:b/>
          <w:sz w:val="24"/>
        </w:rPr>
        <w:t>履行期限</w:t>
      </w:r>
      <w:r>
        <w:rPr>
          <w:rFonts w:hint="eastAsia" w:ascii="宋体" w:hAnsi="宋体"/>
          <w:b/>
          <w:sz w:val="24"/>
        </w:rPr>
        <w:t>、地点、联系方式、交付方式</w:t>
      </w:r>
    </w:p>
    <w:p>
      <w:pPr>
        <w:spacing w:line="360" w:lineRule="auto"/>
        <w:ind w:firstLine="480" w:firstLineChars="200"/>
        <w:rPr>
          <w:rFonts w:ascii="宋体" w:hAnsi="宋体"/>
          <w:sz w:val="24"/>
          <w:u w:val="single"/>
        </w:rPr>
      </w:pPr>
      <w:r>
        <w:rPr>
          <w:rFonts w:hint="eastAsia" w:ascii="宋体" w:hAnsi="宋体"/>
          <w:sz w:val="24"/>
        </w:rPr>
        <w:t>1.服务交付（实施）的时间（期限）</w:t>
      </w:r>
      <w:r>
        <w:rPr>
          <w:rFonts w:ascii="宋体" w:hAnsi="宋体"/>
          <w:sz w:val="24"/>
        </w:rPr>
        <w:t>：</w:t>
      </w:r>
      <w:r>
        <w:rPr>
          <w:rFonts w:hint="eastAsia" w:ascii="宋体" w:hAnsi="宋体"/>
          <w:sz w:val="24"/>
          <w:u w:val="single"/>
          <w:lang w:val="en-US" w:eastAsia="zh-CN"/>
        </w:rPr>
        <w:t>合同签订起至完成所有报告及方案编制并通过专家评审（如有网上备案优先按照网上备案结束）为止</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bCs/>
          <w:sz w:val="24"/>
          <w:u w:val="single"/>
          <w:lang w:val="en-US" w:eastAsia="zh-CN"/>
        </w:rPr>
        <w:t>完成所有报告及方案编制并通过专家评审（如有网上备案优先按照网上备案结束）</w:t>
      </w:r>
      <w:r>
        <w:rPr>
          <w:rFonts w:hint="eastAsia" w:ascii="宋体" w:hAnsi="宋体"/>
          <w:sz w:val="24"/>
        </w:rPr>
        <w:t>。</w:t>
      </w:r>
    </w:p>
    <w:p>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pPr>
        <w:spacing w:line="360" w:lineRule="auto"/>
        <w:ind w:firstLine="480" w:firstLineChars="200"/>
        <w:outlineLvl w:val="0"/>
        <w:rPr>
          <w:rFonts w:hint="eastAsia" w:ascii="宋体" w:hAnsi="宋体" w:cs="宋体"/>
          <w:sz w:val="24"/>
        </w:rPr>
      </w:pPr>
      <w:r>
        <w:rPr>
          <w:rFonts w:hint="eastAsia" w:ascii="宋体" w:hAnsi="宋体" w:cs="宋体"/>
          <w:sz w:val="24"/>
        </w:rPr>
        <w:t>2.乙方</w:t>
      </w:r>
      <w:r>
        <w:rPr>
          <w:rFonts w:hint="eastAsia" w:ascii="宋体" w:hAnsi="宋体" w:cs="宋体"/>
          <w:sz w:val="24"/>
          <w:lang w:eastAsia="zh-CN"/>
        </w:rPr>
        <w:t>所</w:t>
      </w:r>
      <w:r>
        <w:rPr>
          <w:rFonts w:hint="eastAsia" w:ascii="宋体" w:hAnsi="宋体" w:cs="宋体"/>
          <w:sz w:val="24"/>
          <w:lang w:val="en-US" w:eastAsia="zh-CN"/>
        </w:rPr>
        <w:t>提供的服务</w:t>
      </w:r>
      <w:r>
        <w:rPr>
          <w:rFonts w:hint="eastAsia" w:ascii="宋体" w:hAnsi="宋体" w:cs="宋体"/>
          <w:sz w:val="24"/>
        </w:rPr>
        <w:t>应满足合同约定要求</w:t>
      </w:r>
      <w:r>
        <w:rPr>
          <w:rFonts w:hint="eastAsia" w:ascii="宋体" w:hAnsi="宋体" w:cs="宋体"/>
          <w:sz w:val="24"/>
          <w:lang w:eastAsia="zh-CN"/>
        </w:rPr>
        <w:t>，具</w:t>
      </w:r>
      <w:r>
        <w:rPr>
          <w:rFonts w:hint="eastAsia" w:ascii="宋体" w:hAnsi="宋体" w:cs="宋体"/>
          <w:sz w:val="24"/>
        </w:rPr>
        <w:t>有国家、地方、行业标准、规范（含强制适用标准、规范和推荐适用标准、规范）的，按相应标准、规范执行（不同标准、规范之间要求不一的，按要求较高者执行）；</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Cs/>
          <w:snapToGrid/>
          <w:color w:val="auto"/>
          <w:kern w:val="2"/>
          <w:sz w:val="24"/>
          <w:szCs w:val="24"/>
          <w:highlight w:val="none"/>
          <w:lang w:val="en-US" w:eastAsia="zh-CN" w:bidi="ar-SA"/>
        </w:rPr>
      </w:pPr>
      <w:r>
        <w:rPr>
          <w:rFonts w:hint="eastAsia" w:ascii="宋体" w:hAnsi="宋体" w:cs="宋体"/>
          <w:sz w:val="24"/>
        </w:rPr>
        <w:t>3.</w:t>
      </w:r>
      <w:r>
        <w:rPr>
          <w:rFonts w:hint="eastAsia" w:hAnsi="宋体" w:cs="宋体"/>
          <w:bCs/>
          <w:snapToGrid/>
          <w:color w:val="auto"/>
          <w:kern w:val="2"/>
          <w:sz w:val="24"/>
          <w:szCs w:val="24"/>
          <w:highlight w:val="none"/>
          <w:lang w:val="en-US" w:eastAsia="zh-CN" w:bidi="ar-SA"/>
        </w:rPr>
        <w:t>根据《重点监管单位土壤污染隐患排查指南（试行）》（公告 2021 年第 1 号）等相关要求，对杭州临江环境能源有限公司所有项目（能源、三固、炉渣）整体进行土壤地下水进行调查，具体工作如下：</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cs="Times New Roman" w:eastAsiaTheme="minorEastAsia"/>
          <w:b w:val="0"/>
          <w:bCs w:val="0"/>
          <w:snapToGrid/>
          <w:color w:val="auto"/>
          <w:kern w:val="2"/>
          <w:sz w:val="24"/>
          <w:szCs w:val="20"/>
          <w:lang w:val="en-US" w:eastAsia="zh-CN" w:bidi="ar-SA"/>
        </w:rPr>
      </w:pPr>
      <w:r>
        <w:rPr>
          <w:rFonts w:hint="eastAsia" w:ascii="宋体" w:hAnsi="Times New Roman" w:cs="Times New Roman"/>
          <w:b w:val="0"/>
          <w:bCs w:val="0"/>
          <w:snapToGrid/>
          <w:color w:val="auto"/>
          <w:kern w:val="2"/>
          <w:sz w:val="24"/>
          <w:szCs w:val="20"/>
          <w:lang w:val="en-US" w:eastAsia="zh-CN" w:bidi="ar-SA"/>
        </w:rPr>
        <w:t>3.1</w:t>
      </w:r>
      <w:r>
        <w:rPr>
          <w:rFonts w:hint="eastAsia" w:ascii="宋体" w:hAnsi="Times New Roman" w:cs="Times New Roman" w:eastAsiaTheme="minorEastAsia"/>
          <w:b w:val="0"/>
          <w:bCs w:val="0"/>
          <w:snapToGrid/>
          <w:color w:val="auto"/>
          <w:kern w:val="2"/>
          <w:sz w:val="24"/>
          <w:szCs w:val="20"/>
          <w:lang w:val="en-US" w:eastAsia="zh-CN" w:bidi="ar-SA"/>
        </w:rPr>
        <w:t>污染源头排查：</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cs="Times New Roman" w:eastAsiaTheme="minorEastAsia"/>
          <w:b w:val="0"/>
          <w:bCs w:val="0"/>
          <w:snapToGrid/>
          <w:color w:val="auto"/>
          <w:kern w:val="2"/>
          <w:sz w:val="24"/>
          <w:szCs w:val="20"/>
          <w:lang w:val="en-US" w:eastAsia="zh-CN" w:bidi="ar-SA"/>
        </w:rPr>
      </w:pPr>
      <w:r>
        <w:rPr>
          <w:rFonts w:hint="eastAsia" w:ascii="宋体" w:hAnsi="Times New Roman" w:cs="Times New Roman"/>
          <w:b w:val="0"/>
          <w:bCs w:val="0"/>
          <w:snapToGrid/>
          <w:color w:val="auto"/>
          <w:kern w:val="2"/>
          <w:sz w:val="24"/>
          <w:szCs w:val="20"/>
          <w:lang w:val="en-US" w:eastAsia="zh-CN" w:bidi="ar-SA"/>
        </w:rPr>
        <w:t>3.</w:t>
      </w:r>
      <w:r>
        <w:rPr>
          <w:rFonts w:hint="eastAsia" w:ascii="宋体" w:hAnsi="Times New Roman" w:cs="Times New Roman" w:eastAsiaTheme="minorEastAsia"/>
          <w:b w:val="0"/>
          <w:bCs w:val="0"/>
          <w:snapToGrid/>
          <w:color w:val="auto"/>
          <w:kern w:val="2"/>
          <w:sz w:val="24"/>
          <w:szCs w:val="20"/>
          <w:lang w:val="en-US" w:eastAsia="zh-CN" w:bidi="ar-SA"/>
        </w:rPr>
        <w:t>1.1资料分析：进一步收集历史资料，包括外来填土相关信息等，为解决方案提供支撑。结合现场踏勘、人员访谈，对历史资料和现状资料持续更新分析。</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cs="Times New Roman" w:eastAsiaTheme="minorEastAsia"/>
          <w:b w:val="0"/>
          <w:bCs w:val="0"/>
          <w:snapToGrid/>
          <w:color w:val="auto"/>
          <w:kern w:val="2"/>
          <w:sz w:val="24"/>
          <w:szCs w:val="20"/>
          <w:lang w:val="en-US" w:eastAsia="zh-CN" w:bidi="ar-SA"/>
        </w:rPr>
      </w:pPr>
      <w:r>
        <w:rPr>
          <w:rFonts w:hint="eastAsia" w:ascii="宋体" w:hAnsi="Times New Roman" w:cs="Times New Roman"/>
          <w:b w:val="0"/>
          <w:bCs w:val="0"/>
          <w:snapToGrid/>
          <w:color w:val="auto"/>
          <w:kern w:val="2"/>
          <w:sz w:val="24"/>
          <w:szCs w:val="20"/>
          <w:lang w:val="en-US" w:eastAsia="zh-CN" w:bidi="ar-SA"/>
        </w:rPr>
        <w:t>3.</w:t>
      </w:r>
      <w:r>
        <w:rPr>
          <w:rFonts w:hint="eastAsia" w:ascii="宋体" w:hAnsi="Times New Roman" w:cs="Times New Roman" w:eastAsiaTheme="minorEastAsia"/>
          <w:b w:val="0"/>
          <w:bCs w:val="0"/>
          <w:snapToGrid/>
          <w:color w:val="auto"/>
          <w:kern w:val="2"/>
          <w:sz w:val="24"/>
          <w:szCs w:val="20"/>
          <w:lang w:val="en-US" w:eastAsia="zh-CN" w:bidi="ar-SA"/>
        </w:rPr>
        <w:t xml:space="preserve">1.2隐患排查：根据《重点监管单位土壤污染隐患排查指南（试行）》 （公告 </w:t>
      </w:r>
      <w:r>
        <w:rPr>
          <w:rFonts w:hint="default" w:ascii="宋体" w:hAnsi="Times New Roman" w:cs="Times New Roman" w:eastAsiaTheme="minorEastAsia"/>
          <w:b w:val="0"/>
          <w:bCs w:val="0"/>
          <w:snapToGrid/>
          <w:color w:val="auto"/>
          <w:kern w:val="2"/>
          <w:sz w:val="24"/>
          <w:szCs w:val="20"/>
          <w:lang w:val="en-US" w:eastAsia="zh-CN" w:bidi="ar-SA"/>
        </w:rPr>
        <w:t xml:space="preserve">2021 </w:t>
      </w:r>
      <w:r>
        <w:rPr>
          <w:rFonts w:hint="eastAsia" w:ascii="宋体" w:hAnsi="Times New Roman" w:cs="Times New Roman" w:eastAsiaTheme="minorEastAsia"/>
          <w:b w:val="0"/>
          <w:bCs w:val="0"/>
          <w:snapToGrid/>
          <w:color w:val="auto"/>
          <w:kern w:val="2"/>
          <w:sz w:val="24"/>
          <w:szCs w:val="20"/>
          <w:lang w:val="en-US" w:eastAsia="zh-CN" w:bidi="ar-SA"/>
        </w:rPr>
        <w:t xml:space="preserve">年第 </w:t>
      </w:r>
      <w:r>
        <w:rPr>
          <w:rFonts w:hint="default" w:ascii="宋体" w:hAnsi="Times New Roman" w:cs="Times New Roman" w:eastAsiaTheme="minorEastAsia"/>
          <w:b w:val="0"/>
          <w:bCs w:val="0"/>
          <w:snapToGrid/>
          <w:color w:val="auto"/>
          <w:kern w:val="2"/>
          <w:sz w:val="24"/>
          <w:szCs w:val="20"/>
          <w:lang w:val="en-US" w:eastAsia="zh-CN" w:bidi="ar-SA"/>
        </w:rPr>
        <w:t xml:space="preserve">1 </w:t>
      </w:r>
      <w:r>
        <w:rPr>
          <w:rFonts w:hint="eastAsia" w:ascii="宋体" w:hAnsi="Times New Roman" w:cs="Times New Roman" w:eastAsiaTheme="minorEastAsia"/>
          <w:b w:val="0"/>
          <w:bCs w:val="0"/>
          <w:snapToGrid/>
          <w:color w:val="auto"/>
          <w:kern w:val="2"/>
          <w:sz w:val="24"/>
          <w:szCs w:val="20"/>
          <w:lang w:val="en-US" w:eastAsia="zh-CN" w:bidi="ar-SA"/>
        </w:rPr>
        <w:t>号）等规范，分别为三个项目厂区开展土壤地下水污染隐患排查。同时对周边环境开展踏勘排查，以确定对地下水质量的影响程度。</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cs="Times New Roman" w:eastAsiaTheme="minorEastAsia"/>
          <w:b w:val="0"/>
          <w:bCs w:val="0"/>
          <w:snapToGrid/>
          <w:color w:val="auto"/>
          <w:kern w:val="2"/>
          <w:sz w:val="24"/>
          <w:szCs w:val="20"/>
          <w:lang w:val="en-US" w:eastAsia="zh-CN" w:bidi="ar-SA"/>
        </w:rPr>
      </w:pPr>
      <w:r>
        <w:rPr>
          <w:rFonts w:hint="eastAsia" w:ascii="宋体" w:hAnsi="Times New Roman" w:cs="Times New Roman"/>
          <w:b w:val="0"/>
          <w:bCs w:val="0"/>
          <w:snapToGrid/>
          <w:color w:val="auto"/>
          <w:kern w:val="2"/>
          <w:sz w:val="24"/>
          <w:szCs w:val="20"/>
          <w:lang w:val="en-US" w:eastAsia="zh-CN" w:bidi="ar-SA"/>
        </w:rPr>
        <w:t>3.1</w:t>
      </w:r>
      <w:r>
        <w:rPr>
          <w:rFonts w:hint="eastAsia" w:ascii="宋体" w:hAnsi="Times New Roman" w:cs="Times New Roman" w:eastAsiaTheme="minorEastAsia"/>
          <w:b w:val="0"/>
          <w:bCs w:val="0"/>
          <w:snapToGrid/>
          <w:color w:val="auto"/>
          <w:kern w:val="2"/>
          <w:sz w:val="24"/>
          <w:szCs w:val="20"/>
          <w:lang w:val="en-US" w:eastAsia="zh-CN" w:bidi="ar-SA"/>
        </w:rPr>
        <w:t>.3为能源、三固、炉渣项目编制《土壤地下水污染隐患排查报告》；</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cs="Times New Roman" w:eastAsiaTheme="minorEastAsia"/>
          <w:b w:val="0"/>
          <w:bCs w:val="0"/>
          <w:snapToGrid/>
          <w:color w:val="auto"/>
          <w:kern w:val="2"/>
          <w:sz w:val="24"/>
          <w:szCs w:val="20"/>
          <w:lang w:val="en-US" w:eastAsia="zh-CN" w:bidi="ar-SA"/>
        </w:rPr>
      </w:pPr>
      <w:r>
        <w:rPr>
          <w:rFonts w:hint="eastAsia" w:ascii="宋体" w:hAnsi="Times New Roman" w:cs="Times New Roman"/>
          <w:b w:val="0"/>
          <w:bCs w:val="0"/>
          <w:snapToGrid/>
          <w:color w:val="auto"/>
          <w:kern w:val="2"/>
          <w:sz w:val="24"/>
          <w:szCs w:val="20"/>
          <w:lang w:val="en-US" w:eastAsia="zh-CN" w:bidi="ar-SA"/>
        </w:rPr>
        <w:t>3.</w:t>
      </w:r>
      <w:r>
        <w:rPr>
          <w:rFonts w:hint="eastAsia" w:ascii="宋体" w:hAnsi="Times New Roman" w:cs="Times New Roman" w:eastAsiaTheme="minorEastAsia"/>
          <w:b w:val="0"/>
          <w:bCs w:val="0"/>
          <w:snapToGrid/>
          <w:color w:val="auto"/>
          <w:kern w:val="2"/>
          <w:sz w:val="24"/>
          <w:szCs w:val="20"/>
          <w:lang w:val="en-US" w:eastAsia="zh-CN" w:bidi="ar-SA"/>
        </w:rPr>
        <w:t>2监测结果分析和风险分析</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cs="Times New Roman" w:eastAsiaTheme="minorEastAsia"/>
          <w:b w:val="0"/>
          <w:bCs w:val="0"/>
          <w:snapToGrid/>
          <w:color w:val="auto"/>
          <w:kern w:val="2"/>
          <w:sz w:val="24"/>
          <w:szCs w:val="20"/>
          <w:lang w:val="en-US" w:eastAsia="zh-CN" w:bidi="ar-SA"/>
        </w:rPr>
      </w:pPr>
      <w:r>
        <w:rPr>
          <w:rFonts w:hint="eastAsia" w:ascii="宋体" w:hAnsi="Times New Roman" w:cs="Times New Roman"/>
          <w:b w:val="0"/>
          <w:bCs w:val="0"/>
          <w:snapToGrid/>
          <w:color w:val="auto"/>
          <w:kern w:val="2"/>
          <w:sz w:val="24"/>
          <w:szCs w:val="20"/>
          <w:lang w:val="en-US" w:eastAsia="zh-CN" w:bidi="ar-SA"/>
        </w:rPr>
        <w:t>3.2</w:t>
      </w:r>
      <w:r>
        <w:rPr>
          <w:rFonts w:hint="eastAsia" w:ascii="宋体" w:hAnsi="Times New Roman" w:cs="Times New Roman" w:eastAsiaTheme="minorEastAsia"/>
          <w:b w:val="0"/>
          <w:bCs w:val="0"/>
          <w:snapToGrid/>
          <w:color w:val="auto"/>
          <w:kern w:val="2"/>
          <w:sz w:val="24"/>
          <w:szCs w:val="20"/>
          <w:lang w:val="en-US" w:eastAsia="zh-CN" w:bidi="ar-SA"/>
        </w:rPr>
        <w:t>.1持续监测：设计并编制《监测方案》，对超标区域和周边增加地下水监测点位和部分土壤监测点位，持续、多轮监测污染扩散范围和程度；改进地下水、土壤的监测指标，以协助污染溯源工作。本项工作为方案设计，具体监测、采样工作由</w:t>
      </w:r>
      <w:r>
        <w:rPr>
          <w:rFonts w:hint="eastAsia" w:ascii="宋体" w:hAnsi="Times New Roman" w:cs="Times New Roman"/>
          <w:b w:val="0"/>
          <w:bCs w:val="0"/>
          <w:snapToGrid/>
          <w:color w:val="auto"/>
          <w:kern w:val="2"/>
          <w:sz w:val="24"/>
          <w:szCs w:val="20"/>
          <w:lang w:val="en-US" w:eastAsia="zh-CN" w:bidi="ar-SA"/>
        </w:rPr>
        <w:t>采购人</w:t>
      </w:r>
      <w:r>
        <w:rPr>
          <w:rFonts w:hint="eastAsia" w:ascii="宋体" w:hAnsi="Times New Roman" w:cs="Times New Roman" w:eastAsiaTheme="minorEastAsia"/>
          <w:b w:val="0"/>
          <w:bCs w:val="0"/>
          <w:snapToGrid/>
          <w:color w:val="auto"/>
          <w:kern w:val="2"/>
          <w:sz w:val="24"/>
          <w:szCs w:val="20"/>
          <w:lang w:val="en-US" w:eastAsia="zh-CN" w:bidi="ar-SA"/>
        </w:rPr>
        <w:t>另行委托第三方单位开展。</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cs="Times New Roman" w:eastAsiaTheme="minorEastAsia"/>
          <w:b w:val="0"/>
          <w:bCs w:val="0"/>
          <w:snapToGrid/>
          <w:color w:val="auto"/>
          <w:kern w:val="2"/>
          <w:sz w:val="24"/>
          <w:szCs w:val="20"/>
          <w:lang w:val="en-US" w:eastAsia="zh-CN" w:bidi="ar-SA"/>
        </w:rPr>
      </w:pPr>
      <w:r>
        <w:rPr>
          <w:rFonts w:hint="eastAsia" w:ascii="宋体" w:hAnsi="Times New Roman" w:cs="Times New Roman"/>
          <w:b w:val="0"/>
          <w:bCs w:val="0"/>
          <w:snapToGrid/>
          <w:color w:val="auto"/>
          <w:kern w:val="2"/>
          <w:sz w:val="24"/>
          <w:szCs w:val="20"/>
          <w:lang w:val="en-US" w:eastAsia="zh-CN" w:bidi="ar-SA"/>
        </w:rPr>
        <w:t>3.</w:t>
      </w:r>
      <w:r>
        <w:rPr>
          <w:rFonts w:hint="eastAsia" w:ascii="宋体" w:hAnsi="Times New Roman" w:cs="Times New Roman" w:eastAsiaTheme="minorEastAsia"/>
          <w:b w:val="0"/>
          <w:bCs w:val="0"/>
          <w:snapToGrid/>
          <w:color w:val="auto"/>
          <w:kern w:val="2"/>
          <w:sz w:val="24"/>
          <w:szCs w:val="20"/>
          <w:lang w:val="en-US" w:eastAsia="zh-CN" w:bidi="ar-SA"/>
        </w:rPr>
        <w:t>2.2风险分析：取得监测结果并开展分析，并在此基础上采用专业软件绘制污染羽，形成场地概念模型，为地下水污染溯源工作提供支撑。结合监测结果和地块特征参数，开展人体健康风险分析。</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cs="Times New Roman" w:eastAsiaTheme="minorEastAsia"/>
          <w:b w:val="0"/>
          <w:bCs w:val="0"/>
          <w:snapToGrid/>
          <w:color w:val="auto"/>
          <w:kern w:val="2"/>
          <w:sz w:val="24"/>
          <w:szCs w:val="20"/>
          <w:lang w:val="en-US" w:eastAsia="zh-CN" w:bidi="ar-SA"/>
        </w:rPr>
      </w:pPr>
      <w:r>
        <w:rPr>
          <w:rFonts w:hint="eastAsia" w:ascii="宋体" w:hAnsi="Times New Roman" w:cs="Times New Roman"/>
          <w:b w:val="0"/>
          <w:bCs w:val="0"/>
          <w:snapToGrid/>
          <w:color w:val="auto"/>
          <w:kern w:val="2"/>
          <w:sz w:val="24"/>
          <w:szCs w:val="20"/>
          <w:lang w:val="en-US" w:eastAsia="zh-CN" w:bidi="ar-SA"/>
        </w:rPr>
        <w:t>3.</w:t>
      </w:r>
      <w:r>
        <w:rPr>
          <w:rFonts w:hint="eastAsia" w:ascii="宋体" w:hAnsi="Times New Roman" w:cs="Times New Roman" w:eastAsiaTheme="minorEastAsia"/>
          <w:b w:val="0"/>
          <w:bCs w:val="0"/>
          <w:snapToGrid/>
          <w:color w:val="auto"/>
          <w:kern w:val="2"/>
          <w:sz w:val="24"/>
          <w:szCs w:val="20"/>
          <w:lang w:val="en-US" w:eastAsia="zh-CN" w:bidi="ar-SA"/>
        </w:rPr>
        <w:t>2.3编制《地下水监测结果和风险分析报告》。</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cs="Times New Roman" w:eastAsiaTheme="minorEastAsia"/>
          <w:b w:val="0"/>
          <w:bCs w:val="0"/>
          <w:snapToGrid/>
          <w:color w:val="auto"/>
          <w:kern w:val="2"/>
          <w:sz w:val="24"/>
          <w:szCs w:val="20"/>
          <w:lang w:val="en-US" w:eastAsia="zh-CN" w:bidi="ar-SA"/>
        </w:rPr>
      </w:pPr>
      <w:r>
        <w:rPr>
          <w:rFonts w:hint="eastAsia" w:ascii="宋体" w:hAnsi="Times New Roman" w:cs="Times New Roman"/>
          <w:b w:val="0"/>
          <w:bCs w:val="0"/>
          <w:snapToGrid/>
          <w:color w:val="auto"/>
          <w:kern w:val="2"/>
          <w:sz w:val="24"/>
          <w:szCs w:val="20"/>
          <w:lang w:val="en-US" w:eastAsia="zh-CN" w:bidi="ar-SA"/>
        </w:rPr>
        <w:t>4</w:t>
      </w:r>
      <w:r>
        <w:rPr>
          <w:rFonts w:hint="eastAsia" w:ascii="宋体" w:hAnsi="Times New Roman" w:cs="Times New Roman" w:eastAsiaTheme="minorEastAsia"/>
          <w:b w:val="0"/>
          <w:bCs w:val="0"/>
          <w:snapToGrid/>
          <w:color w:val="auto"/>
          <w:kern w:val="2"/>
          <w:sz w:val="24"/>
          <w:szCs w:val="20"/>
          <w:lang w:val="en-US" w:eastAsia="zh-CN" w:bidi="ar-SA"/>
        </w:rPr>
        <w:t>.在前述源头排查和风险分析成果基础上，为三个区域的后续整治措施分别提出初步工作思路，提出可选择的整治措施，编制《分区整治初步方案》。本项工作形成方案为初步性质，主要内容为整治思路、关键点和难点识别、不同技术路线比选。后续开展整治工作前，</w:t>
      </w:r>
      <w:r>
        <w:rPr>
          <w:rFonts w:hint="eastAsia" w:ascii="宋体" w:hAnsi="Times New Roman" w:cs="Times New Roman"/>
          <w:b w:val="0"/>
          <w:bCs w:val="0"/>
          <w:snapToGrid/>
          <w:color w:val="auto"/>
          <w:kern w:val="2"/>
          <w:sz w:val="24"/>
          <w:szCs w:val="20"/>
          <w:lang w:val="en-US" w:eastAsia="zh-CN" w:bidi="ar-SA"/>
        </w:rPr>
        <w:t>采购人</w:t>
      </w:r>
      <w:r>
        <w:rPr>
          <w:rFonts w:hint="eastAsia" w:ascii="宋体" w:hAnsi="Times New Roman" w:cs="Times New Roman" w:eastAsiaTheme="minorEastAsia"/>
          <w:b w:val="0"/>
          <w:bCs w:val="0"/>
          <w:snapToGrid/>
          <w:color w:val="auto"/>
          <w:kern w:val="2"/>
          <w:sz w:val="24"/>
          <w:szCs w:val="20"/>
          <w:lang w:val="en-US" w:eastAsia="zh-CN" w:bidi="ar-SA"/>
        </w:rPr>
        <w:t>需另行组织小试、中试及抽水试验等工作，在其基础上形成能够指导现场施工的详细整治方案。</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Times New Roman" w:cs="Times New Roman"/>
          <w:b w:val="0"/>
          <w:bCs w:val="0"/>
          <w:snapToGrid/>
          <w:color w:val="auto"/>
          <w:kern w:val="2"/>
          <w:sz w:val="24"/>
          <w:szCs w:val="20"/>
          <w:lang w:val="en-US" w:eastAsia="zh-CN" w:bidi="ar-SA"/>
        </w:rPr>
        <w:t>5</w:t>
      </w:r>
      <w:r>
        <w:rPr>
          <w:rFonts w:hint="eastAsia" w:ascii="宋体" w:hAnsi="Times New Roman" w:cs="Times New Roman" w:eastAsiaTheme="minorEastAsia"/>
          <w:b w:val="0"/>
          <w:bCs w:val="0"/>
          <w:snapToGrid/>
          <w:color w:val="auto"/>
          <w:kern w:val="2"/>
          <w:sz w:val="24"/>
          <w:szCs w:val="20"/>
          <w:lang w:val="en-US" w:eastAsia="zh-CN" w:bidi="ar-SA"/>
        </w:rPr>
        <w:t>.最终整治方案，经初步方案实施后在其基础上形成能够指导现场施工的详细整治方案，通过专家评审等相关工作等，直至网上备案工作结束（如有网上备案）。</w:t>
      </w:r>
    </w:p>
    <w:p>
      <w:pPr>
        <w:spacing w:line="360" w:lineRule="auto"/>
        <w:ind w:firstLine="480" w:firstLineChars="200"/>
        <w:outlineLvl w:val="0"/>
        <w:rPr>
          <w:rFonts w:hint="eastAsia"/>
        </w:rPr>
      </w:pPr>
      <w:r>
        <w:rPr>
          <w:rFonts w:hint="eastAsia" w:ascii="宋体" w:hAnsi="宋体" w:cs="宋体"/>
          <w:sz w:val="24"/>
          <w:lang w:val="en-US" w:eastAsia="zh-CN"/>
        </w:rPr>
        <w:t>6</w:t>
      </w:r>
      <w:r>
        <w:rPr>
          <w:rFonts w:hint="eastAsia" w:ascii="宋体" w:hAnsi="宋体" w:cs="宋体"/>
          <w:sz w:val="24"/>
        </w:rPr>
        <w:t>.甲方不再对任何售后服务进行付费，乙方的派遣人员产生的一切费用由供应商承担。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bookmarkStart w:id="407" w:name="_Toc6596"/>
      <w:bookmarkStart w:id="408" w:name="_Toc1125"/>
      <w:bookmarkStart w:id="409" w:name="_Toc14563"/>
      <w:r>
        <w:rPr>
          <w:rFonts w:hint="eastAsia" w:ascii="宋体" w:hAnsi="宋体" w:cs="宋体"/>
          <w:b/>
          <w:sz w:val="24"/>
        </w:rPr>
        <w:t>五、检验和验收</w:t>
      </w:r>
      <w:bookmarkEnd w:id="407"/>
      <w:bookmarkEnd w:id="408"/>
      <w:bookmarkEnd w:id="409"/>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pPr>
        <w:pStyle w:val="6"/>
        <w:numPr>
          <w:ilvl w:val="0"/>
          <w:numId w:val="0"/>
        </w:numPr>
        <w:ind w:firstLine="480" w:firstLineChars="200"/>
        <w:rPr>
          <w:rFonts w:hint="eastAsia" w:ascii="宋体" w:hAnsi="宋体" w:cs="宋体"/>
          <w:sz w:val="24"/>
          <w:u w:val="single"/>
        </w:rPr>
      </w:pPr>
      <w:r>
        <w:rPr>
          <w:rFonts w:ascii="宋体" w:hAnsi="宋体" w:cs="宋体"/>
          <w:sz w:val="24"/>
        </w:rPr>
        <w:t>1.</w:t>
      </w:r>
      <w:r>
        <w:rPr>
          <w:rFonts w:hint="eastAsia" w:ascii="宋体" w:hAnsi="Times New Roman" w:cs="Times New Roman" w:eastAsiaTheme="minorEastAsia"/>
          <w:b w:val="0"/>
          <w:bCs w:val="0"/>
          <w:snapToGrid/>
          <w:color w:val="auto"/>
          <w:kern w:val="2"/>
          <w:sz w:val="24"/>
          <w:szCs w:val="20"/>
          <w:u w:val="single"/>
          <w:lang w:val="en-US" w:eastAsia="zh-CN" w:bidi="ar-SA"/>
        </w:rPr>
        <w:t>按照相关要求完成</w:t>
      </w:r>
      <w:r>
        <w:rPr>
          <w:rFonts w:hint="eastAsia" w:hAnsi="Times New Roman" w:cs="Times New Roman"/>
          <w:b w:val="0"/>
          <w:bCs w:val="0"/>
          <w:snapToGrid/>
          <w:color w:val="auto"/>
          <w:kern w:val="2"/>
          <w:sz w:val="24"/>
          <w:szCs w:val="20"/>
          <w:u w:val="single"/>
          <w:lang w:val="en-US" w:eastAsia="zh-CN" w:bidi="ar-SA"/>
        </w:rPr>
        <w:t>所有</w:t>
      </w:r>
      <w:r>
        <w:rPr>
          <w:rFonts w:hint="eastAsia" w:ascii="宋体" w:hAnsi="Times New Roman" w:cs="Times New Roman" w:eastAsiaTheme="minorEastAsia"/>
          <w:b w:val="0"/>
          <w:bCs w:val="0"/>
          <w:snapToGrid/>
          <w:color w:val="auto"/>
          <w:kern w:val="2"/>
          <w:sz w:val="24"/>
          <w:szCs w:val="20"/>
          <w:u w:val="single"/>
          <w:lang w:val="en-US" w:eastAsia="zh-CN" w:bidi="ar-SA"/>
        </w:rPr>
        <w:t>报告及方案编制工作并完成网上备案结束，如无网上备案则按照专家评审结束即为完成工作内容</w:t>
      </w:r>
      <w:r>
        <w:rPr>
          <w:rFonts w:hint="eastAsia" w:ascii="宋体" w:hAnsi="Times New Roman" w:cs="Times New Roman" w:eastAsiaTheme="minorEastAsia"/>
          <w:b w:val="0"/>
          <w:bCs w:val="0"/>
          <w:snapToGrid/>
          <w:color w:val="auto"/>
          <w:kern w:val="2"/>
          <w:sz w:val="24"/>
          <w:szCs w:val="20"/>
          <w:lang w:val="en-US" w:eastAsia="zh-CN" w:bidi="ar-SA"/>
        </w:rPr>
        <w:t>。</w:t>
      </w:r>
    </w:p>
    <w:p>
      <w:pPr>
        <w:pStyle w:val="25"/>
        <w:spacing w:before="0" w:beforeAutospacing="0" w:after="0" w:afterAutospacing="0" w:line="360" w:lineRule="auto"/>
        <w:ind w:firstLine="480"/>
        <w:rPr>
          <w:b/>
        </w:rPr>
      </w:pPr>
      <w:r>
        <w:rPr>
          <w:rFonts w:hint="eastAsia"/>
          <w:b/>
        </w:rPr>
        <w:t>七、履约保证金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eastAsiaTheme="minorEastAsia"/>
          <w:kern w:val="0"/>
          <w:sz w:val="24"/>
          <w:szCs w:val="24"/>
          <w:u w:val="single"/>
          <w:lang w:val="en-US" w:eastAsia="zh-CN" w:bidi="ar-SA"/>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3.履约保证金支付方式：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5.甲方在项目验收结束后及时退还履约保证金。甲方在项目通过验收之日起</w:t>
      </w:r>
      <w:r>
        <w:rPr>
          <w:rFonts w:hint="eastAsia" w:ascii="宋体" w:hAnsi="宋体"/>
          <w:sz w:val="24"/>
          <w:u w:val="single"/>
          <w:lang w:val="en-US" w:eastAsia="zh-CN"/>
        </w:rPr>
        <w:t>30</w:t>
      </w:r>
      <w:r>
        <w:rPr>
          <w:rFonts w:hint="eastAsia" w:ascii="宋体" w:hAnsi="宋体"/>
          <w:sz w:val="24"/>
          <w:lang w:val="en-US" w:eastAsia="zh-CN"/>
        </w:rPr>
        <w:t>个工作日内将履约保证金无息退还乙方。</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6.乙方提前完成合同约定内容且无任何遗留问题，双方可提前终止合同（按第二章合同一般条款中的合同中止、终止条款执行），甲方应在终止合同之后提前无息退还乙方履约保证金。</w:t>
      </w:r>
    </w:p>
    <w:bookmarkEnd w:id="399"/>
    <w:bookmarkEnd w:id="400"/>
    <w:bookmarkEnd w:id="401"/>
    <w:p>
      <w:pPr>
        <w:spacing w:line="360" w:lineRule="auto"/>
        <w:ind w:firstLine="482" w:firstLineChars="200"/>
        <w:outlineLvl w:val="0"/>
        <w:rPr>
          <w:rFonts w:ascii="宋体" w:hAnsi="宋体" w:cs="宋体"/>
          <w:b/>
          <w:sz w:val="24"/>
        </w:rPr>
      </w:pPr>
      <w:r>
        <w:rPr>
          <w:rFonts w:hint="eastAsia" w:ascii="宋体" w:hAnsi="宋体" w:cs="宋体"/>
          <w:b/>
          <w:sz w:val="24"/>
        </w:rPr>
        <w:t>八、预付款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九、资金支付</w:t>
      </w:r>
    </w:p>
    <w:p>
      <w:pPr>
        <w:pStyle w:val="25"/>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个工作日内将资金支付到合同约定的乙方账户。如乙方提供的发票存在问题，甲方有权延迟付款且不承担任何责任。</w:t>
      </w:r>
    </w:p>
    <w:p>
      <w:pPr>
        <w:pStyle w:val="25"/>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adjustRightInd/>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pPr>
        <w:pStyle w:val="25"/>
        <w:spacing w:before="0" w:beforeAutospacing="0" w:after="0" w:afterAutospacing="0" w:line="360" w:lineRule="auto"/>
        <w:ind w:firstLine="480"/>
        <w:rPr>
          <w:rFonts w:hint="eastAsia"/>
        </w:rPr>
      </w:pPr>
      <w:r>
        <w:rPr>
          <w:rFonts w:hint="eastAsia"/>
        </w:rPr>
        <w:t>（3）质保金支付条件：</w:t>
      </w:r>
      <w:r>
        <w:rPr>
          <w:rFonts w:hint="eastAsia"/>
          <w:u w:val="single"/>
        </w:rPr>
        <w:t>/</w:t>
      </w:r>
      <w:r>
        <w:rPr>
          <w:rFonts w:hint="eastAsia"/>
        </w:rPr>
        <w:t>。</w:t>
      </w:r>
    </w:p>
    <w:p>
      <w:pPr>
        <w:pStyle w:val="25"/>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条款规定：</w:t>
      </w:r>
    </w:p>
    <w:p>
      <w:pPr>
        <w:pStyle w:val="25"/>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pPr>
        <w:pStyle w:val="25"/>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pPr>
        <w:pStyle w:val="25"/>
        <w:spacing w:before="0" w:beforeAutospacing="0" w:after="0" w:afterAutospacing="0" w:line="360" w:lineRule="auto"/>
        <w:ind w:firstLine="480" w:firstLineChars="200"/>
        <w:rPr>
          <w:rFonts w:hint="eastAsia"/>
        </w:rPr>
      </w:pPr>
      <w:r>
        <w:rPr>
          <w:rFonts w:hint="eastAsia"/>
          <w:u w:val="single"/>
        </w:rPr>
        <w:t>（3）一次性付款，</w:t>
      </w:r>
      <w:r>
        <w:rPr>
          <w:rFonts w:hint="eastAsia"/>
          <w:u w:val="single"/>
          <w:lang w:val="en-US" w:eastAsia="zh-CN"/>
        </w:rPr>
        <w:t>乙方完成所有报告及方案编辑并通过专家评审或完成网上备案工作，并</w:t>
      </w:r>
      <w:r>
        <w:rPr>
          <w:rFonts w:hint="eastAsia"/>
          <w:u w:val="single"/>
        </w:rPr>
        <w:t>经甲方验收合格后，甲方收到乙方提供的增值税专用发票后，甲方在本合同约定时间内完成支付。</w:t>
      </w:r>
      <w:r>
        <w:rPr>
          <w:rFonts w:hint="eastAsia"/>
        </w:rPr>
        <w:t xml:space="preserve">     </w:t>
      </w:r>
    </w:p>
    <w:p>
      <w:pPr>
        <w:pStyle w:val="25"/>
        <w:spacing w:before="0" w:beforeAutospacing="0" w:after="0" w:afterAutospacing="0" w:line="360" w:lineRule="auto"/>
        <w:ind w:firstLine="480" w:firstLineChars="200"/>
      </w:pPr>
      <w:r>
        <w:rPr>
          <w:rFonts w:hint="eastAsia"/>
        </w:rPr>
        <w:t>（4）</w:t>
      </w:r>
      <w:r>
        <w:rPr>
          <w:rFonts w:hint="eastAsia"/>
          <w:u w:val="single"/>
        </w:rPr>
        <w:t xml:space="preserve">其他付款方式： 按次支付费用， 验收合格后，乙方提供准确清单以及合格的增值税发票后，甲方于30日内完成该次费用支付 </w:t>
      </w:r>
      <w:r>
        <w:rPr>
          <w:rFonts w:hint="eastAsia"/>
        </w:rPr>
        <w:t>。</w:t>
      </w:r>
    </w:p>
    <w:p>
      <w:pPr>
        <w:spacing w:line="360" w:lineRule="auto"/>
        <w:ind w:firstLine="482" w:firstLineChars="200"/>
        <w:rPr>
          <w:rFonts w:ascii="宋体" w:hAnsi="宋体"/>
          <w:sz w:val="24"/>
          <w:u w:val="single"/>
        </w:rPr>
      </w:pPr>
      <w:r>
        <w:rPr>
          <w:rFonts w:hint="eastAsia" w:ascii="宋体" w:hAnsi="宋体"/>
          <w:b/>
          <w:sz w:val="24"/>
        </w:rPr>
        <w:t>十、</w:t>
      </w:r>
      <w:bookmarkEnd w:id="402"/>
      <w:bookmarkEnd w:id="403"/>
      <w:bookmarkEnd w:id="404"/>
      <w:bookmarkEnd w:id="405"/>
      <w:bookmarkEnd w:id="406"/>
      <w:bookmarkStart w:id="410" w:name="_Toc3079"/>
      <w:bookmarkStart w:id="411" w:name="_Toc5698"/>
      <w:bookmarkStart w:id="412" w:name="_Toc2375"/>
      <w:bookmarkStart w:id="413" w:name="_Toc24662"/>
      <w:bookmarkStart w:id="414" w:name="_Toc8586"/>
      <w:r>
        <w:rPr>
          <w:rFonts w:hint="eastAsia" w:ascii="宋体" w:hAnsi="宋体"/>
          <w:b/>
          <w:sz w:val="24"/>
        </w:rPr>
        <w:t>违约责任</w:t>
      </w:r>
      <w:bookmarkEnd w:id="410"/>
      <w:bookmarkEnd w:id="411"/>
      <w:bookmarkEnd w:id="412"/>
      <w:bookmarkEnd w:id="413"/>
      <w:bookmarkEnd w:id="414"/>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2.服务中涉及的货物，除不可抗力外，如果乙方没有按照本合同约定的期限、地点和方式交付货物，那么甲方可要求乙方支付违约金，迟延履行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，迟延交付达到15天的，甲方有权单方解除本合同，并要求乙方一次性承担（□本合同累计已发生金额/☑合同约定总金额）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3.除不可抗力外，如果甲方没有按照本合同约定的付款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pPr>
        <w:spacing w:line="360" w:lineRule="auto"/>
        <w:ind w:firstLine="480" w:firstLineChars="200"/>
        <w:rPr>
          <w:rFonts w:ascii="宋体" w:hAnsi="宋体" w:cs="宋体"/>
          <w:sz w:val="24"/>
        </w:rPr>
      </w:pPr>
      <w:bookmarkStart w:id="415" w:name="_Toc32454"/>
      <w:bookmarkStart w:id="416" w:name="_Toc18683"/>
      <w:bookmarkStart w:id="417" w:name="_Toc30329"/>
      <w:bookmarkStart w:id="418" w:name="_Toc26807"/>
      <w:bookmarkStart w:id="419" w:name="_Toc9497"/>
      <w:r>
        <w:rPr>
          <w:rFonts w:hint="eastAsia" w:ascii="宋体" w:hAnsi="宋体" w:cs="宋体"/>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rPr>
      </w:pPr>
      <w:r>
        <w:rPr>
          <w:rFonts w:hint="eastAsia" w:ascii="宋体" w:hAnsi="宋体" w:cs="宋体"/>
          <w:sz w:val="24"/>
        </w:rPr>
        <w:t>7.违约责任另有约定的，从其约定，具体如下：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 xml:space="preserve"> （1）乙方交付的服务或者货物不符合合同约定或验收不合格的，应当及时更换完善，因此延误成果交付期限的，按照逾期成果交付承担违约责任 ；</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（3）甲方无故拒收成果交付，乙方有权要求甲方按照合同原价支付费用  。</w:t>
      </w:r>
    </w:p>
    <w:p>
      <w:pPr>
        <w:spacing w:line="360" w:lineRule="auto"/>
        <w:ind w:right="-420" w:rightChars="-200" w:firstLine="480" w:firstLineChars="200"/>
        <w:rPr>
          <w:rFonts w:ascii="宋体" w:hAnsi="宋体" w:cs="宋体"/>
          <w:u w:val="single"/>
        </w:rPr>
      </w:pPr>
      <w:r>
        <w:rPr>
          <w:rFonts w:hint="eastAsia" w:ascii="宋体" w:hAnsi="宋体" w:cs="宋体"/>
          <w:sz w:val="24"/>
          <w:u w:val="single"/>
        </w:rPr>
        <w:t>（4）若质保期内出现质量问题，甲方有权从质保金中扣除违约金，同时乙方应免费维修或更换。</w:t>
      </w:r>
    </w:p>
    <w:bookmarkEnd w:id="415"/>
    <w:bookmarkEnd w:id="416"/>
    <w:bookmarkEnd w:id="417"/>
    <w:bookmarkEnd w:id="418"/>
    <w:bookmarkEnd w:id="419"/>
    <w:p>
      <w:pPr>
        <w:spacing w:line="360" w:lineRule="auto"/>
        <w:ind w:firstLine="482" w:firstLineChars="200"/>
        <w:outlineLvl w:val="0"/>
        <w:rPr>
          <w:rFonts w:ascii="宋体" w:hAnsi="宋体" w:cs="宋体"/>
          <w:b/>
          <w:sz w:val="24"/>
        </w:rPr>
      </w:pPr>
      <w:bookmarkStart w:id="420" w:name="_Toc15583"/>
      <w:bookmarkStart w:id="421" w:name="_Toc16021"/>
      <w:bookmarkStart w:id="422" w:name="_Toc28375"/>
      <w:r>
        <w:rPr>
          <w:rFonts w:hint="eastAsia" w:ascii="宋体" w:hAnsi="宋体" w:cs="宋体"/>
          <w:b/>
          <w:sz w:val="24"/>
        </w:rPr>
        <w:t>十一、合同争议的解决</w:t>
      </w:r>
      <w:bookmarkEnd w:id="420"/>
      <w:bookmarkEnd w:id="421"/>
      <w:bookmarkEnd w:id="422"/>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left="-420" w:leftChars="-200" w:right="-420" w:rightChars="-200" w:firstLine="840" w:firstLineChars="35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p>
      <w:pPr>
        <w:spacing w:line="360" w:lineRule="auto"/>
        <w:ind w:firstLine="482" w:firstLineChars="200"/>
        <w:outlineLvl w:val="0"/>
        <w:rPr>
          <w:rFonts w:ascii="宋体" w:hAnsi="宋体" w:cs="宋体"/>
          <w:b/>
          <w:sz w:val="24"/>
        </w:rPr>
      </w:pPr>
      <w:bookmarkStart w:id="423" w:name="_Toc15322"/>
      <w:bookmarkStart w:id="424" w:name="_Toc7245"/>
      <w:bookmarkStart w:id="425" w:name="_Toc11173"/>
      <w:r>
        <w:rPr>
          <w:rFonts w:hint="eastAsia" w:ascii="宋体" w:hAnsi="宋体" w:cs="宋体"/>
          <w:b/>
          <w:sz w:val="24"/>
        </w:rPr>
        <w:t>十二、合同生效</w:t>
      </w:r>
      <w:bookmarkEnd w:id="423"/>
      <w:bookmarkEnd w:id="424"/>
      <w:bookmarkEnd w:id="425"/>
    </w:p>
    <w:p>
      <w:pPr>
        <w:pStyle w:val="24"/>
        <w:ind w:left="0" w:leftChars="0"/>
        <w:jc w:val="left"/>
        <w:rPr>
          <w:rFonts w:hint="eastAsia"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7"/>
        <w:rPr>
          <w:rFonts w:hint="eastAsia" w:ascii="宋体" w:hAnsi="宋体"/>
          <w:b/>
          <w:szCs w:val="24"/>
        </w:rPr>
      </w:pPr>
    </w:p>
    <w:p>
      <w:pPr>
        <w:pStyle w:val="24"/>
        <w:ind w:left="0" w:leftChars="0" w:firstLine="0" w:firstLineChars="0"/>
        <w:jc w:val="center"/>
        <w:rPr>
          <w:rFonts w:hint="eastAsia" w:ascii="宋体" w:hAnsi="宋体"/>
          <w:b/>
          <w:szCs w:val="24"/>
        </w:rPr>
      </w:pPr>
    </w:p>
    <w:p>
      <w:pPr>
        <w:pStyle w:val="24"/>
        <w:ind w:left="0" w:leftChars="0" w:firstLine="0" w:firstLineChars="0"/>
        <w:jc w:val="center"/>
        <w:rPr>
          <w:rFonts w:hint="eastAsia" w:ascii="宋体" w:hAnsi="宋体"/>
          <w:b/>
          <w:szCs w:val="24"/>
        </w:rPr>
      </w:pPr>
    </w:p>
    <w:p>
      <w:pPr>
        <w:pStyle w:val="24"/>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pPr>
        <w:spacing w:line="360" w:lineRule="auto"/>
        <w:ind w:firstLine="482" w:firstLineChars="200"/>
        <w:outlineLvl w:val="0"/>
        <w:rPr>
          <w:rFonts w:ascii="宋体" w:hAnsi="宋体"/>
          <w:b/>
          <w:sz w:val="24"/>
        </w:rPr>
      </w:pPr>
      <w:bookmarkStart w:id="426" w:name="_Toc31297"/>
      <w:bookmarkStart w:id="427" w:name="_Toc19680"/>
      <w:bookmarkStart w:id="428" w:name="_Toc5228"/>
      <w:bookmarkStart w:id="429" w:name="_Toc14021"/>
      <w:bookmarkStart w:id="430" w:name="_Toc25079"/>
      <w:r>
        <w:rPr>
          <w:rFonts w:hint="eastAsia" w:ascii="宋体" w:hAnsi="宋体"/>
          <w:b/>
          <w:sz w:val="24"/>
        </w:rPr>
        <w:t>一、</w:t>
      </w:r>
      <w:r>
        <w:rPr>
          <w:rFonts w:ascii="宋体" w:hAnsi="宋体"/>
          <w:b/>
          <w:sz w:val="24"/>
        </w:rPr>
        <w:t>定义</w:t>
      </w:r>
      <w:bookmarkEnd w:id="426"/>
      <w:bookmarkEnd w:id="427"/>
      <w:bookmarkEnd w:id="428"/>
      <w:bookmarkEnd w:id="429"/>
      <w:bookmarkEnd w:id="430"/>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pPr>
        <w:spacing w:line="360" w:lineRule="auto"/>
        <w:ind w:firstLine="482" w:firstLineChars="200"/>
        <w:outlineLvl w:val="0"/>
        <w:rPr>
          <w:rFonts w:ascii="宋体" w:hAnsi="宋体"/>
          <w:b/>
          <w:sz w:val="24"/>
        </w:rPr>
      </w:pPr>
      <w:bookmarkStart w:id="431" w:name="_Toc19539"/>
      <w:bookmarkStart w:id="432" w:name="_Toc16752"/>
      <w:bookmarkStart w:id="433" w:name="_Toc23289"/>
      <w:bookmarkStart w:id="434" w:name="_Toc3769"/>
      <w:bookmarkStart w:id="435" w:name="_Toc31402"/>
      <w:r>
        <w:rPr>
          <w:rFonts w:hint="eastAsia" w:ascii="宋体" w:hAnsi="宋体"/>
          <w:b/>
          <w:sz w:val="24"/>
        </w:rPr>
        <w:t>二、</w:t>
      </w:r>
      <w:r>
        <w:rPr>
          <w:rFonts w:ascii="宋体" w:hAnsi="宋体"/>
          <w:b/>
          <w:sz w:val="24"/>
        </w:rPr>
        <w:t xml:space="preserve"> 技术规范</w:t>
      </w:r>
      <w:bookmarkEnd w:id="431"/>
      <w:bookmarkEnd w:id="432"/>
      <w:bookmarkEnd w:id="433"/>
      <w:bookmarkEnd w:id="434"/>
      <w:bookmarkEnd w:id="435"/>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hint="eastAsia" w:ascii="宋体" w:hAnsi="宋体"/>
          <w:sz w:val="24"/>
          <w:lang w:eastAsia="zh-CN"/>
        </w:rPr>
        <w:t>（</w:t>
      </w:r>
      <w:r>
        <w:rPr>
          <w:rFonts w:ascii="宋体" w:hAnsi="宋体"/>
          <w:b/>
          <w:bCs/>
          <w:sz w:val="24"/>
          <w:u w:val="single"/>
        </w:rPr>
        <w:t>如果有的话</w:t>
      </w:r>
      <w:r>
        <w:rPr>
          <w:rFonts w:hint="eastAsia" w:ascii="宋体" w:hAnsi="宋体"/>
          <w:b/>
          <w:bCs/>
          <w:sz w:val="24"/>
          <w:u w:val="single"/>
          <w:lang w:eastAsia="zh-CN"/>
        </w:rPr>
        <w:t>）</w:t>
      </w:r>
      <w:r>
        <w:rPr>
          <w:rFonts w:ascii="宋体" w:hAnsi="宋体"/>
          <w:sz w:val="24"/>
        </w:rPr>
        <w:t>及其技术规范偏差表</w:t>
      </w:r>
      <w:r>
        <w:rPr>
          <w:rFonts w:hint="eastAsia" w:ascii="宋体" w:hAnsi="宋体"/>
          <w:sz w:val="24"/>
          <w:lang w:eastAsia="zh-CN"/>
        </w:rPr>
        <w:t>（</w:t>
      </w:r>
      <w:r>
        <w:rPr>
          <w:rFonts w:ascii="宋体" w:hAnsi="宋体"/>
          <w:b/>
          <w:bCs/>
          <w:sz w:val="24"/>
          <w:u w:val="single"/>
        </w:rPr>
        <w:t>如果被甲方接受的话</w:t>
      </w:r>
      <w:r>
        <w:rPr>
          <w:rFonts w:hint="eastAsia" w:ascii="宋体" w:hAnsi="宋体"/>
          <w:b/>
          <w:bCs/>
          <w:sz w:val="24"/>
          <w:u w:val="single"/>
          <w:lang w:eastAsia="zh-CN"/>
        </w:rPr>
        <w:t>）</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outlineLvl w:val="0"/>
        <w:rPr>
          <w:rFonts w:ascii="宋体" w:hAnsi="宋体"/>
          <w:b/>
          <w:sz w:val="24"/>
        </w:rPr>
      </w:pPr>
      <w:bookmarkStart w:id="436" w:name="_Toc13673"/>
      <w:bookmarkStart w:id="437" w:name="_Toc9161"/>
      <w:bookmarkStart w:id="438" w:name="_Toc12412"/>
      <w:bookmarkStart w:id="439" w:name="_Toc27945"/>
      <w:bookmarkStart w:id="440" w:name="_Toc4133"/>
      <w:r>
        <w:rPr>
          <w:rFonts w:hint="eastAsia" w:ascii="宋体" w:hAnsi="宋体"/>
          <w:b/>
          <w:sz w:val="24"/>
        </w:rPr>
        <w:t>三、</w:t>
      </w:r>
      <w:r>
        <w:rPr>
          <w:rFonts w:ascii="宋体" w:hAnsi="宋体"/>
          <w:b/>
          <w:sz w:val="24"/>
        </w:rPr>
        <w:t xml:space="preserve"> 知识产权</w:t>
      </w:r>
      <w:bookmarkEnd w:id="436"/>
      <w:bookmarkEnd w:id="437"/>
      <w:bookmarkEnd w:id="438"/>
      <w:bookmarkEnd w:id="439"/>
      <w:bookmarkEnd w:id="440"/>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sz w:val="24"/>
        </w:rPr>
      </w:pPr>
      <w:r>
        <w:rPr>
          <w:rFonts w:hint="eastAsia" w:ascii="宋体" w:hAnsi="宋体"/>
          <w:b/>
          <w:sz w:val="24"/>
        </w:rPr>
        <w:t>四、履约检查和问题反馈</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rPr>
      </w:pPr>
      <w:bookmarkStart w:id="441" w:name="_Toc32670"/>
      <w:bookmarkStart w:id="442" w:name="_Toc15447"/>
      <w:bookmarkStart w:id="443" w:name="_Toc26555"/>
      <w:bookmarkStart w:id="444" w:name="_Toc31233"/>
      <w:bookmarkStart w:id="445" w:name="_Toc22011"/>
      <w:r>
        <w:rPr>
          <w:rFonts w:hint="eastAsia" w:ascii="宋体" w:hAnsi="宋体"/>
          <w:b/>
          <w:sz w:val="24"/>
        </w:rPr>
        <w:t>五、</w:t>
      </w:r>
      <w:r>
        <w:rPr>
          <w:rFonts w:ascii="宋体" w:hAnsi="宋体"/>
          <w:b/>
          <w:sz w:val="24"/>
        </w:rPr>
        <w:t>结算方式和付款条件</w:t>
      </w:r>
      <w:bookmarkEnd w:id="441"/>
      <w:bookmarkEnd w:id="442"/>
      <w:bookmarkEnd w:id="443"/>
      <w:bookmarkEnd w:id="444"/>
      <w:bookmarkEnd w:id="445"/>
    </w:p>
    <w:p>
      <w:pPr>
        <w:spacing w:line="360" w:lineRule="auto"/>
        <w:ind w:firstLine="480" w:firstLineChars="200"/>
        <w:outlineLvl w:val="0"/>
        <w:rPr>
          <w:rFonts w:hint="eastAsia" w:ascii="宋体" w:hAnsi="宋体"/>
          <w:bCs/>
          <w:sz w:val="24"/>
        </w:rPr>
      </w:pPr>
      <w:bookmarkStart w:id="446" w:name="_Toc18990"/>
      <w:bookmarkStart w:id="447" w:name="_Toc30507"/>
      <w:bookmarkStart w:id="448" w:name="_Toc13154"/>
      <w:bookmarkStart w:id="449" w:name="_Toc13467"/>
      <w:bookmarkStart w:id="450" w:name="_Toc16163"/>
      <w:r>
        <w:rPr>
          <w:rFonts w:hint="eastAsia" w:ascii="宋体" w:hAnsi="宋体"/>
          <w:bCs/>
          <w:sz w:val="24"/>
        </w:rPr>
        <w:t>1.结算方式为转账或者电汇 ，若甲方采用银行承兑支付，双方另行协商；</w:t>
      </w:r>
    </w:p>
    <w:p>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6"/>
      <w:bookmarkEnd w:id="447"/>
      <w:bookmarkEnd w:id="448"/>
      <w:bookmarkEnd w:id="449"/>
      <w:bookmarkEnd w:id="450"/>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rPr>
      </w:pPr>
      <w:bookmarkStart w:id="451" w:name="_Toc19069"/>
      <w:r>
        <w:rPr>
          <w:rFonts w:hint="eastAsia" w:ascii="宋体" w:hAnsi="宋体"/>
          <w:b/>
          <w:sz w:val="24"/>
        </w:rPr>
        <w:t>七、质量保证</w:t>
      </w:r>
      <w:bookmarkEnd w:id="451"/>
    </w:p>
    <w:p>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rPr>
      </w:pPr>
      <w:bookmarkStart w:id="452"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52"/>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pPr>
        <w:spacing w:line="360" w:lineRule="auto"/>
        <w:ind w:firstLine="482" w:firstLineChars="200"/>
        <w:outlineLvl w:val="0"/>
        <w:rPr>
          <w:rFonts w:ascii="宋体" w:hAnsi="宋体"/>
          <w:b/>
          <w:sz w:val="24"/>
        </w:rPr>
      </w:pPr>
      <w:bookmarkStart w:id="453" w:name="_Toc10611"/>
      <w:r>
        <w:rPr>
          <w:rFonts w:hint="eastAsia" w:ascii="宋体" w:hAnsi="宋体"/>
          <w:b/>
          <w:sz w:val="24"/>
        </w:rPr>
        <w:t>九、合同变更</w:t>
      </w:r>
      <w:bookmarkEnd w:id="453"/>
      <w:r>
        <w:rPr>
          <w:rFonts w:hint="eastAsia" w:ascii="宋体" w:hAnsi="宋体" w:cs="宋体"/>
          <w:b/>
          <w:sz w:val="24"/>
        </w:rPr>
        <w:t>或补充</w:t>
      </w:r>
    </w:p>
    <w:p>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rPr>
      </w:pPr>
      <w:bookmarkStart w:id="454" w:name="_Toc21830"/>
      <w:bookmarkStart w:id="455" w:name="_Toc23368"/>
      <w:bookmarkStart w:id="456" w:name="_Toc42"/>
      <w:bookmarkStart w:id="457" w:name="_Toc10663"/>
      <w:bookmarkStart w:id="458" w:name="_Toc26689"/>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54"/>
      <w:bookmarkEnd w:id="455"/>
      <w:bookmarkEnd w:id="456"/>
      <w:bookmarkEnd w:id="457"/>
      <w:bookmarkEnd w:id="458"/>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outlineLvl w:val="0"/>
        <w:rPr>
          <w:rFonts w:ascii="宋体" w:hAnsi="宋体"/>
          <w:b/>
          <w:sz w:val="24"/>
        </w:rPr>
      </w:pPr>
      <w:bookmarkStart w:id="459" w:name="_Toc14371"/>
      <w:bookmarkStart w:id="460" w:name="_Toc4720"/>
      <w:bookmarkStart w:id="461" w:name="_Toc26633"/>
      <w:bookmarkStart w:id="462" w:name="_Toc32494"/>
      <w:bookmarkStart w:id="463" w:name="_Toc25571"/>
      <w:r>
        <w:rPr>
          <w:rFonts w:hint="eastAsia" w:ascii="宋体" w:hAnsi="宋体"/>
          <w:b/>
          <w:sz w:val="24"/>
        </w:rPr>
        <w:t>十一、</w:t>
      </w:r>
      <w:r>
        <w:rPr>
          <w:rFonts w:ascii="宋体" w:hAnsi="宋体"/>
          <w:b/>
          <w:sz w:val="24"/>
        </w:rPr>
        <w:t>不可抗力</w:t>
      </w:r>
      <w:bookmarkEnd w:id="459"/>
      <w:bookmarkEnd w:id="460"/>
      <w:bookmarkEnd w:id="461"/>
      <w:bookmarkEnd w:id="462"/>
      <w:bookmarkEnd w:id="463"/>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b/>
          <w:sz w:val="24"/>
        </w:rPr>
      </w:pPr>
      <w:bookmarkStart w:id="464" w:name="_Toc24465"/>
      <w:bookmarkStart w:id="465" w:name="_Toc3638"/>
      <w:bookmarkStart w:id="466" w:name="_Toc23854"/>
      <w:bookmarkStart w:id="467" w:name="_Toc25783"/>
      <w:bookmarkStart w:id="468" w:name="_Toc14115"/>
      <w:r>
        <w:rPr>
          <w:rFonts w:hint="eastAsia" w:ascii="宋体" w:hAnsi="宋体"/>
          <w:b/>
          <w:sz w:val="24"/>
        </w:rPr>
        <w:t>十二、</w:t>
      </w:r>
      <w:r>
        <w:rPr>
          <w:rFonts w:ascii="宋体" w:hAnsi="宋体"/>
          <w:b/>
          <w:sz w:val="24"/>
        </w:rPr>
        <w:t>税费</w:t>
      </w:r>
      <w:bookmarkEnd w:id="464"/>
      <w:bookmarkEnd w:id="465"/>
      <w:bookmarkEnd w:id="466"/>
      <w:bookmarkEnd w:id="467"/>
      <w:bookmarkEnd w:id="468"/>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outlineLvl w:val="0"/>
        <w:rPr>
          <w:rFonts w:ascii="宋体" w:hAnsi="宋体"/>
          <w:b/>
          <w:sz w:val="24"/>
        </w:rPr>
      </w:pPr>
      <w:bookmarkStart w:id="469" w:name="_Toc7315"/>
      <w:bookmarkStart w:id="470" w:name="_Toc26883"/>
      <w:bookmarkStart w:id="471" w:name="_Toc14814"/>
      <w:bookmarkStart w:id="472" w:name="_Toc30105"/>
      <w:bookmarkStart w:id="473" w:name="_Toc25525"/>
      <w:r>
        <w:rPr>
          <w:rFonts w:hint="eastAsia" w:ascii="宋体" w:hAnsi="宋体"/>
          <w:b/>
          <w:sz w:val="24"/>
        </w:rPr>
        <w:t>十三、</w:t>
      </w:r>
      <w:r>
        <w:rPr>
          <w:rFonts w:ascii="宋体" w:hAnsi="宋体"/>
          <w:b/>
          <w:sz w:val="24"/>
        </w:rPr>
        <w:t>乙方破产</w:t>
      </w:r>
      <w:bookmarkEnd w:id="469"/>
      <w:bookmarkEnd w:id="470"/>
      <w:bookmarkEnd w:id="471"/>
      <w:bookmarkEnd w:id="472"/>
      <w:bookmarkEnd w:id="473"/>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outlineLvl w:val="0"/>
        <w:rPr>
          <w:rFonts w:ascii="宋体" w:hAnsi="宋体"/>
          <w:b/>
          <w:sz w:val="24"/>
        </w:rPr>
      </w:pPr>
      <w:bookmarkStart w:id="474" w:name="_Toc23323"/>
      <w:bookmarkStart w:id="475" w:name="_Toc1123"/>
      <w:bookmarkStart w:id="476" w:name="_Toc2016"/>
      <w:r>
        <w:rPr>
          <w:rFonts w:hint="eastAsia" w:ascii="宋体" w:hAnsi="宋体"/>
          <w:b/>
          <w:sz w:val="24"/>
        </w:rPr>
        <w:t>十四、</w:t>
      </w:r>
      <w:r>
        <w:rPr>
          <w:rFonts w:ascii="宋体" w:hAnsi="宋体"/>
          <w:b/>
          <w:sz w:val="24"/>
        </w:rPr>
        <w:t>合同中止、终止</w:t>
      </w:r>
      <w:bookmarkEnd w:id="474"/>
      <w:bookmarkEnd w:id="475"/>
      <w:bookmarkEnd w:id="476"/>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pPr>
        <w:spacing w:line="360" w:lineRule="auto"/>
        <w:ind w:firstLine="480" w:firstLineChars="200"/>
        <w:rPr>
          <w:rFonts w:hint="eastAsia"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p>
      <w:pPr>
        <w:spacing w:line="360" w:lineRule="auto"/>
        <w:ind w:firstLine="482" w:firstLineChars="200"/>
        <w:outlineLvl w:val="0"/>
        <w:rPr>
          <w:rFonts w:ascii="宋体" w:hAnsi="宋体"/>
          <w:b/>
          <w:sz w:val="24"/>
        </w:rPr>
      </w:pPr>
      <w:bookmarkStart w:id="477" w:name="_Toc1969"/>
      <w:bookmarkStart w:id="478" w:name="_Toc14525"/>
      <w:bookmarkStart w:id="479" w:name="_Toc17363"/>
      <w:r>
        <w:rPr>
          <w:rFonts w:hint="eastAsia" w:ascii="宋体" w:hAnsi="宋体"/>
          <w:b/>
          <w:sz w:val="24"/>
        </w:rPr>
        <w:t>十五</w:t>
      </w:r>
      <w:bookmarkEnd w:id="477"/>
      <w:bookmarkEnd w:id="478"/>
      <w:bookmarkEnd w:id="479"/>
      <w:bookmarkStart w:id="480" w:name="_Toc9808"/>
      <w:bookmarkStart w:id="481" w:name="_Toc12666"/>
      <w:bookmarkStart w:id="482" w:name="_Toc31892"/>
      <w:bookmarkStart w:id="483" w:name="_Toc25198"/>
      <w:bookmarkStart w:id="484" w:name="_Toc2308"/>
      <w:r>
        <w:rPr>
          <w:rFonts w:hint="eastAsia" w:ascii="宋体" w:hAnsi="宋体"/>
          <w:b/>
          <w:sz w:val="24"/>
        </w:rPr>
        <w:t>、</w:t>
      </w:r>
      <w:r>
        <w:rPr>
          <w:rFonts w:ascii="宋体" w:hAnsi="宋体"/>
          <w:b/>
          <w:sz w:val="24"/>
        </w:rPr>
        <w:t>通知和送达</w:t>
      </w:r>
      <w:bookmarkEnd w:id="480"/>
      <w:bookmarkEnd w:id="481"/>
      <w:bookmarkEnd w:id="482"/>
      <w:bookmarkEnd w:id="483"/>
      <w:bookmarkEnd w:id="484"/>
    </w:p>
    <w:p>
      <w:pPr>
        <w:spacing w:line="360" w:lineRule="auto"/>
        <w:ind w:firstLine="480" w:firstLineChars="200"/>
        <w:rPr>
          <w:rFonts w:ascii="宋体" w:hAnsi="宋体"/>
          <w:sz w:val="24"/>
        </w:rPr>
      </w:pPr>
      <w:bookmarkStart w:id="485" w:name="_Toc27674"/>
      <w:bookmarkStart w:id="486" w:name="_Toc18401"/>
      <w:r>
        <w:rPr>
          <w:rFonts w:hint="eastAsia" w:ascii="宋体" w:hAnsi="宋体"/>
          <w:sz w:val="24"/>
        </w:rPr>
        <w:t>1.任何一方因履行合同而以合同第一章尾部所列明的电子邮件发出的所有通知、文件、材料，均视为已向对方当事人送达；任何一方变更上述送达方式或者地址的，应于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5"/>
      <w:bookmarkEnd w:id="486"/>
    </w:p>
    <w:p>
      <w:pPr>
        <w:spacing w:line="360" w:lineRule="auto"/>
        <w:ind w:firstLine="482" w:firstLineChars="200"/>
        <w:outlineLvl w:val="0"/>
        <w:rPr>
          <w:rFonts w:ascii="宋体" w:hAnsi="宋体" w:cs="宋体"/>
          <w:b/>
          <w:sz w:val="24"/>
        </w:rPr>
      </w:pPr>
      <w:bookmarkStart w:id="487" w:name="_Toc18540"/>
      <w:bookmarkStart w:id="488" w:name="_Toc4355"/>
      <w:bookmarkStart w:id="489" w:name="_Toc30599"/>
      <w:bookmarkStart w:id="490" w:name="_Toc5063"/>
      <w:bookmarkStart w:id="491" w:name="_Toc12254"/>
      <w:bookmarkStart w:id="492" w:name="_Toc28906"/>
      <w:bookmarkStart w:id="493" w:name="_Toc27644"/>
      <w:bookmarkStart w:id="494" w:name="_Toc20808"/>
      <w:r>
        <w:rPr>
          <w:rFonts w:hint="eastAsia" w:ascii="宋体" w:hAnsi="宋体" w:cs="宋体"/>
          <w:b/>
          <w:sz w:val="24"/>
        </w:rPr>
        <w:t>十六、计量单位</w:t>
      </w:r>
      <w:bookmarkEnd w:id="487"/>
      <w:bookmarkEnd w:id="488"/>
      <w:bookmarkEnd w:id="489"/>
    </w:p>
    <w:p>
      <w:pPr>
        <w:spacing w:line="360" w:lineRule="auto"/>
        <w:ind w:firstLine="480" w:firstLineChars="200"/>
        <w:rPr>
          <w:rFonts w:hint="eastAsia" w:ascii="宋体" w:hAnsi="宋体"/>
          <w:b/>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90"/>
      <w:bookmarkEnd w:id="491"/>
      <w:bookmarkEnd w:id="492"/>
      <w:bookmarkEnd w:id="493"/>
      <w:bookmarkEnd w:id="494"/>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pPr>
        <w:spacing w:line="360" w:lineRule="auto"/>
        <w:ind w:firstLine="482" w:firstLineChars="200"/>
        <w:outlineLvl w:val="0"/>
        <w:rPr>
          <w:rFonts w:ascii="宋体" w:hAnsi="宋体"/>
          <w:b/>
          <w:sz w:val="24"/>
        </w:rPr>
      </w:pPr>
      <w:r>
        <w:rPr>
          <w:rFonts w:hint="eastAsia" w:ascii="宋体" w:hAnsi="宋体"/>
          <w:b/>
          <w:sz w:val="24"/>
        </w:rPr>
        <w:t>十八、特别提示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24"/>
        <w:spacing w:line="560" w:lineRule="exact"/>
        <w:ind w:left="0" w:leftChars="0" w:firstLine="0" w:firstLineChars="0"/>
        <w:jc w:val="center"/>
        <w:rPr>
          <w:rFonts w:hint="eastAsia" w:ascii="宋体" w:hAnsi="宋体"/>
          <w:b/>
          <w:szCs w:val="24"/>
        </w:rPr>
      </w:pPr>
    </w:p>
    <w:p>
      <w:pPr>
        <w:pStyle w:val="24"/>
        <w:spacing w:line="560" w:lineRule="exact"/>
        <w:ind w:left="0" w:leftChars="0" w:firstLine="0" w:firstLineChars="0"/>
        <w:jc w:val="center"/>
        <w:rPr>
          <w:rFonts w:hint="eastAsia" w:ascii="宋体" w:hAnsi="宋体"/>
          <w:b/>
          <w:szCs w:val="24"/>
        </w:rPr>
      </w:pPr>
    </w:p>
    <w:p>
      <w:pPr>
        <w:pStyle w:val="24"/>
        <w:spacing w:line="560" w:lineRule="exact"/>
        <w:ind w:left="0" w:leftChars="0" w:firstLine="0" w:firstLineChars="0"/>
        <w:jc w:val="center"/>
        <w:rPr>
          <w:rFonts w:hint="eastAsia" w:ascii="宋体" w:hAnsi="宋体"/>
          <w:b/>
          <w:szCs w:val="24"/>
        </w:rPr>
      </w:pPr>
    </w:p>
    <w:p>
      <w:pPr>
        <w:pStyle w:val="24"/>
        <w:spacing w:line="560" w:lineRule="exact"/>
        <w:ind w:left="0" w:leftChars="0" w:firstLine="0" w:firstLineChars="0"/>
        <w:jc w:val="center"/>
        <w:rPr>
          <w:rFonts w:hint="eastAsia" w:ascii="宋体" w:hAnsi="宋体"/>
          <w:b/>
          <w:szCs w:val="24"/>
        </w:rPr>
      </w:pPr>
    </w:p>
    <w:p>
      <w:pPr>
        <w:pStyle w:val="24"/>
        <w:spacing w:line="560" w:lineRule="exact"/>
        <w:ind w:left="0" w:leftChars="0" w:firstLine="0" w:firstLineChars="0"/>
        <w:jc w:val="center"/>
        <w:rPr>
          <w:rFonts w:hint="eastAsia" w:ascii="宋体" w:hAnsi="宋体"/>
          <w:b/>
          <w:szCs w:val="24"/>
        </w:rPr>
      </w:pPr>
    </w:p>
    <w:p>
      <w:pPr>
        <w:pStyle w:val="24"/>
        <w:spacing w:line="560" w:lineRule="exact"/>
        <w:ind w:left="0" w:leftChars="0" w:firstLine="0" w:firstLineChars="0"/>
        <w:jc w:val="center"/>
        <w:rPr>
          <w:rFonts w:hint="eastAsia" w:ascii="宋体" w:hAnsi="宋体"/>
          <w:b/>
          <w:szCs w:val="24"/>
        </w:rPr>
      </w:pPr>
    </w:p>
    <w:p>
      <w:pPr>
        <w:pStyle w:val="24"/>
        <w:spacing w:line="560" w:lineRule="exact"/>
        <w:ind w:left="0" w:leftChars="0" w:firstLine="0" w:firstLineChars="0"/>
        <w:jc w:val="center"/>
        <w:rPr>
          <w:rFonts w:hint="eastAsia" w:ascii="宋体" w:hAnsi="宋体"/>
          <w:b/>
          <w:szCs w:val="24"/>
        </w:rPr>
      </w:pPr>
    </w:p>
    <w:p>
      <w:pPr>
        <w:pStyle w:val="24"/>
        <w:spacing w:line="560" w:lineRule="exact"/>
        <w:ind w:left="0" w:leftChars="0" w:firstLine="0" w:firstLineChars="0"/>
        <w:jc w:val="center"/>
        <w:rPr>
          <w:rFonts w:hint="eastAsia" w:ascii="宋体" w:hAnsi="宋体"/>
          <w:b/>
          <w:szCs w:val="24"/>
        </w:rPr>
      </w:pPr>
    </w:p>
    <w:p>
      <w:pPr>
        <w:pStyle w:val="24"/>
        <w:spacing w:line="560" w:lineRule="exact"/>
        <w:ind w:left="0" w:leftChars="0" w:firstLine="0" w:firstLineChars="0"/>
        <w:jc w:val="center"/>
        <w:rPr>
          <w:rFonts w:hint="eastAsia" w:ascii="宋体" w:hAnsi="宋体"/>
          <w:b/>
          <w:szCs w:val="24"/>
        </w:rPr>
      </w:pPr>
    </w:p>
    <w:p>
      <w:pPr>
        <w:pStyle w:val="24"/>
        <w:spacing w:line="560" w:lineRule="exact"/>
        <w:ind w:left="0" w:leftChars="0" w:firstLine="0" w:firstLineChars="0"/>
        <w:jc w:val="center"/>
        <w:rPr>
          <w:rFonts w:hint="eastAsia" w:ascii="宋体" w:hAnsi="宋体"/>
          <w:b/>
          <w:szCs w:val="24"/>
        </w:rPr>
      </w:pPr>
    </w:p>
    <w:p>
      <w:pPr>
        <w:pStyle w:val="24"/>
        <w:spacing w:line="560" w:lineRule="exact"/>
        <w:ind w:left="0" w:leftChars="0" w:firstLine="0" w:firstLineChars="0"/>
        <w:jc w:val="center"/>
        <w:rPr>
          <w:rFonts w:hint="eastAsia" w:ascii="宋体" w:hAnsi="宋体"/>
          <w:b/>
          <w:szCs w:val="24"/>
        </w:rPr>
      </w:pPr>
    </w:p>
    <w:p>
      <w:pPr>
        <w:pStyle w:val="24"/>
        <w:spacing w:line="560" w:lineRule="exact"/>
        <w:ind w:left="0" w:leftChars="0" w:firstLine="0" w:firstLineChars="0"/>
        <w:jc w:val="both"/>
        <w:rPr>
          <w:rFonts w:hint="eastAsia" w:ascii="宋体" w:hAnsi="宋体"/>
          <w:b/>
          <w:szCs w:val="24"/>
        </w:rPr>
      </w:pPr>
    </w:p>
    <w:p>
      <w:pPr>
        <w:pStyle w:val="24"/>
        <w:spacing w:line="560" w:lineRule="exact"/>
        <w:ind w:left="0" w:leftChars="0" w:firstLine="0" w:firstLineChars="0"/>
        <w:jc w:val="center"/>
        <w:rPr>
          <w:rFonts w:hint="eastAsia" w:ascii="宋体" w:hAnsi="宋体"/>
          <w:b/>
          <w:szCs w:val="24"/>
        </w:rPr>
      </w:pPr>
      <w:r>
        <w:rPr>
          <w:rFonts w:hint="eastAsia" w:ascii="宋体" w:hAnsi="宋体"/>
          <w:b/>
          <w:szCs w:val="24"/>
        </w:rPr>
        <w:t>第</w:t>
      </w:r>
      <w:r>
        <w:rPr>
          <w:rFonts w:hint="eastAsia" w:ascii="宋体" w:hAnsi="宋体"/>
          <w:b/>
          <w:szCs w:val="24"/>
          <w:lang w:val="en-US" w:eastAsia="zh-CN"/>
        </w:rPr>
        <w:t>三</w:t>
      </w:r>
      <w:r>
        <w:rPr>
          <w:rFonts w:hint="eastAsia" w:ascii="宋体" w:hAnsi="宋体"/>
          <w:b/>
          <w:szCs w:val="24"/>
        </w:rPr>
        <w:t>章 廉洁协议</w:t>
      </w:r>
    </w:p>
    <w:p>
      <w:pPr>
        <w:pStyle w:val="7"/>
        <w:ind w:firstLine="0" w:firstLineChars="0"/>
        <w:rPr>
          <w:rFonts w:hint="eastAsia"/>
        </w:rPr>
      </w:pPr>
    </w:p>
    <w:p>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pPr>
        <w:spacing w:line="360" w:lineRule="auto"/>
        <w:ind w:left="1" w:right="77" w:firstLine="426"/>
        <w:rPr>
          <w:rFonts w:hint="default" w:ascii="宋体" w:hAnsi="宋体" w:cs="宋体" w:eastAsiaTheme="minorEastAsia"/>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p>
    <w:p>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sz w:val="24"/>
        </w:rPr>
      </w:pPr>
    </w:p>
    <w:p>
      <w:pPr>
        <w:rPr>
          <w:rFonts w:hint="eastAsia"/>
        </w:rPr>
      </w:pPr>
    </w:p>
    <w:p>
      <w:pPr>
        <w:rPr>
          <w:color w:val="auto"/>
        </w:rPr>
      </w:pPr>
    </w:p>
    <w:p>
      <w:pPr>
        <w:pStyle w:val="6"/>
      </w:pPr>
    </w:p>
    <w:p>
      <w:pPr>
        <w:pStyle w:val="6"/>
        <w:rPr>
          <w:color w:val="auto"/>
        </w:rPr>
      </w:pPr>
    </w:p>
    <w:p>
      <w:pPr>
        <w:pStyle w:val="15"/>
        <w:rPr>
          <w:color w:val="auto"/>
        </w:rPr>
      </w:pPr>
    </w:p>
    <w:p>
      <w:pPr>
        <w:pStyle w:val="12"/>
        <w:rPr>
          <w:color w:val="auto"/>
        </w:rPr>
      </w:pPr>
    </w:p>
    <w:p>
      <w:pPr>
        <w:rPr>
          <w:color w:val="auto"/>
        </w:rPr>
      </w:pPr>
    </w:p>
    <w:p>
      <w:pPr>
        <w:pStyle w:val="14"/>
        <w:rPr>
          <w:color w:val="auto"/>
        </w:rPr>
      </w:pPr>
    </w:p>
    <w:p>
      <w:pPr>
        <w:rPr>
          <w:color w:val="auto"/>
        </w:rPr>
      </w:pPr>
    </w:p>
    <w:p>
      <w:pPr>
        <w:pStyle w:val="14"/>
        <w:rPr>
          <w:color w:val="auto"/>
        </w:rPr>
      </w:pPr>
    </w:p>
    <w:p>
      <w:pPr>
        <w:rPr>
          <w:color w:val="auto"/>
        </w:rPr>
      </w:pPr>
    </w:p>
    <w:p>
      <w:pPr>
        <w:pStyle w:val="14"/>
      </w:pPr>
    </w:p>
    <w:p>
      <w:pPr>
        <w:pStyle w:val="15"/>
        <w:rPr>
          <w:color w:val="auto"/>
        </w:rPr>
      </w:pPr>
    </w:p>
    <w:p>
      <w:pPr>
        <w:rPr>
          <w:color w:val="auto"/>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spacing w:line="460" w:lineRule="exact"/>
        <w:jc w:val="center"/>
        <w:outlineLvl w:val="0"/>
        <w:rPr>
          <w:rFonts w:cs="仿宋" w:asciiTheme="minorEastAsia" w:hAnsiTheme="minorEastAsia"/>
          <w:b/>
          <w:color w:val="auto"/>
          <w:kern w:val="0"/>
          <w:sz w:val="24"/>
        </w:rPr>
      </w:pPr>
    </w:p>
    <w:p>
      <w:pPr>
        <w:pStyle w:val="4"/>
        <w:spacing w:after="120" w:line="700" w:lineRule="exact"/>
        <w:ind w:left="0" w:firstLine="0"/>
        <w:rPr>
          <w:rFonts w:ascii="Times New Roman" w:hAnsi="Times New Roman" w:eastAsia="宋体" w:cs="Times New Roman"/>
          <w:sz w:val="32"/>
        </w:rPr>
      </w:pP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2024年临江公司地下水隐患排查治理咨询服务项目</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both"/>
        <w:outlineLvl w:val="0"/>
        <w:rPr>
          <w:rFonts w:hint="eastAsia" w:cs="仿宋" w:asciiTheme="minorEastAsia" w:hAnsiTheme="minorEastAsia"/>
          <w:b/>
          <w:color w:val="auto"/>
          <w:kern w:val="0"/>
          <w:sz w:val="36"/>
          <w:szCs w:val="36"/>
        </w:rPr>
      </w:pPr>
    </w:p>
    <w:p>
      <w:pPr>
        <w:spacing w:line="360" w:lineRule="auto"/>
        <w:jc w:val="both"/>
        <w:outlineLvl w:val="0"/>
        <w:rPr>
          <w:rFonts w:hint="eastAsia" w:cs="仿宋" w:asciiTheme="minorEastAsia" w:hAnsiTheme="minorEastAsia"/>
          <w:b/>
          <w:color w:val="auto"/>
          <w:kern w:val="0"/>
          <w:sz w:val="36"/>
          <w:szCs w:val="36"/>
        </w:rPr>
      </w:pPr>
    </w:p>
    <w:p>
      <w:pPr>
        <w:spacing w:line="360" w:lineRule="auto"/>
        <w:jc w:val="both"/>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pPr>
        <w:pStyle w:val="6"/>
        <w:rPr>
          <w:color w:val="auto"/>
        </w:rPr>
      </w:pPr>
    </w:p>
    <w:p>
      <w:pPr>
        <w:pStyle w:val="15"/>
        <w:rPr>
          <w:color w:val="auto"/>
        </w:rPr>
      </w:pPr>
    </w:p>
    <w:p>
      <w:pPr>
        <w:rPr>
          <w:color w:val="auto"/>
        </w:rPr>
      </w:pPr>
    </w:p>
    <w:p>
      <w:pPr>
        <w:pStyle w:val="6"/>
      </w:pPr>
    </w:p>
    <w:p>
      <w:pPr>
        <w:pStyle w:val="6"/>
        <w:rPr>
          <w:color w:val="auto"/>
        </w:rPr>
      </w:pPr>
    </w:p>
    <w:p>
      <w:pPr>
        <w:pStyle w:val="15"/>
        <w:rPr>
          <w:color w:val="auto"/>
        </w:rPr>
      </w:pPr>
    </w:p>
    <w:p>
      <w:pPr>
        <w:rPr>
          <w:color w:val="auto"/>
        </w:rPr>
      </w:pPr>
    </w:p>
    <w:p>
      <w:pPr>
        <w:pStyle w:val="6"/>
        <w:rPr>
          <w:color w:val="auto"/>
        </w:rPr>
      </w:pPr>
    </w:p>
    <w:p>
      <w:pPr>
        <w:pStyle w:val="15"/>
        <w:rPr>
          <w:color w:val="auto"/>
        </w:rPr>
      </w:pPr>
    </w:p>
    <w:p>
      <w:pPr>
        <w:rPr>
          <w:color w:val="auto"/>
        </w:rPr>
      </w:pPr>
    </w:p>
    <w:p>
      <w:pPr>
        <w:pStyle w:val="6"/>
        <w:rPr>
          <w:color w:val="auto"/>
        </w:rPr>
      </w:pPr>
    </w:p>
    <w:p>
      <w:pPr>
        <w:pStyle w:val="15"/>
        <w:rPr>
          <w:color w:val="auto"/>
        </w:rPr>
      </w:pPr>
    </w:p>
    <w:p>
      <w:pPr>
        <w:rPr>
          <w:color w:val="auto"/>
        </w:rPr>
      </w:pPr>
    </w:p>
    <w:p>
      <w:pPr>
        <w:pStyle w:val="6"/>
        <w:rPr>
          <w:color w:val="auto"/>
        </w:rPr>
      </w:pPr>
    </w:p>
    <w:p>
      <w:pPr>
        <w:pStyle w:val="15"/>
        <w:rPr>
          <w:color w:val="auto"/>
        </w:rPr>
      </w:pPr>
    </w:p>
    <w:p>
      <w:pPr>
        <w:pStyle w:val="15"/>
        <w:rPr>
          <w:color w:val="auto"/>
        </w:rPr>
      </w:pPr>
    </w:p>
    <w:p>
      <w:pPr>
        <w:pStyle w:val="15"/>
        <w:rPr>
          <w:color w:val="auto"/>
        </w:rPr>
      </w:pPr>
    </w:p>
    <w:p>
      <w:pPr>
        <w:pStyle w:val="15"/>
        <w:rPr>
          <w:color w:val="auto"/>
        </w:rPr>
      </w:pPr>
    </w:p>
    <w:p>
      <w:pPr>
        <w:pStyle w:val="15"/>
        <w:rPr>
          <w:color w:val="auto"/>
        </w:rPr>
      </w:pPr>
    </w:p>
    <w:p>
      <w:pPr>
        <w:pStyle w:val="15"/>
        <w:rPr>
          <w:color w:val="auto"/>
        </w:rPr>
      </w:pPr>
    </w:p>
    <w:p>
      <w:pPr>
        <w:pStyle w:val="12"/>
        <w:rPr>
          <w:color w:val="auto"/>
        </w:rPr>
      </w:pPr>
    </w:p>
    <w:p>
      <w:pPr>
        <w:rPr>
          <w:color w:val="auto"/>
        </w:rPr>
      </w:pPr>
    </w:p>
    <w:p>
      <w:pPr>
        <w:pStyle w:val="14"/>
      </w:pPr>
    </w:p>
    <w:p>
      <w:pPr>
        <w:pStyle w:val="6"/>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2024年临江公司地下水隐患排查治理咨询服务项目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202405010</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lang w:val="en-US" w:eastAsia="zh-CN"/>
        </w:rPr>
        <w:t>近三年内，未</w:t>
      </w:r>
      <w:r>
        <w:rPr>
          <w:rFonts w:hint="eastAsia" w:cs="仿宋" w:asciiTheme="minorEastAsia" w:hAnsiTheme="minorEastAsia"/>
          <w:bCs/>
          <w:sz w:val="24"/>
        </w:rPr>
        <w:t>被“信用中国”（www.creditchina.gov.cn）、中国政府采购网（www.ccgp.gov.cn）等官方网站列入失信被执行人、重大税收违法失信主体、政府采购严重违法失信行为等不良记录名单</w:t>
      </w:r>
      <w:r>
        <w:rPr>
          <w:rFonts w:hint="eastAsia" w:cs="仿宋" w:asciiTheme="minorEastAsia" w:hAnsiTheme="minorEastAsia"/>
          <w:bCs/>
          <w:sz w:val="24"/>
          <w:lang w:val="en-US" w:eastAsia="zh-CN"/>
        </w:rPr>
        <w:t>且没</w:t>
      </w:r>
      <w:r>
        <w:rPr>
          <w:rFonts w:hint="eastAsia" w:cs="仿宋" w:asciiTheme="minorEastAsia" w:hAnsiTheme="minorEastAsia"/>
          <w:bCs/>
          <w:sz w:val="24"/>
        </w:rPr>
        <w:t>有行政处罚等不良记录。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6"/>
        <w:rPr>
          <w:color w:val="auto"/>
        </w:rPr>
      </w:pPr>
    </w:p>
    <w:p>
      <w:pPr>
        <w:pStyle w:val="15"/>
        <w:rPr>
          <w:color w:val="auto"/>
        </w:rPr>
      </w:pPr>
    </w:p>
    <w:p>
      <w:pPr>
        <w:pStyle w:val="15"/>
        <w:rPr>
          <w:color w:val="auto"/>
        </w:rPr>
      </w:pPr>
    </w:p>
    <w:p>
      <w:pPr>
        <w:pStyle w:val="15"/>
        <w:rPr>
          <w:color w:val="auto"/>
        </w:rPr>
      </w:pPr>
    </w:p>
    <w:p>
      <w:pPr>
        <w:pStyle w:val="15"/>
        <w:rPr>
          <w:color w:val="auto"/>
        </w:rPr>
      </w:pPr>
    </w:p>
    <w:p>
      <w:pPr>
        <w:pStyle w:val="6"/>
        <w:rPr>
          <w:color w:val="auto"/>
        </w:rPr>
      </w:pPr>
    </w:p>
    <w:p>
      <w:pPr>
        <w:pStyle w:val="15"/>
        <w:ind w:left="0" w:leftChars="0" w:firstLine="0" w:firstLineChars="0"/>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pPr>
        <w:pStyle w:val="6"/>
        <w:numPr>
          <w:ilvl w:val="0"/>
          <w:numId w:val="0"/>
        </w:numPr>
        <w:ind w:leftChars="0"/>
        <w:rPr>
          <w:rFonts w:hint="default"/>
          <w:color w:val="auto"/>
          <w:lang w:val="en-US" w:eastAsia="zh-CN"/>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pPr>
        <w:rPr>
          <w:color w:val="auto"/>
        </w:rPr>
      </w:pPr>
    </w:p>
    <w:p>
      <w:pPr>
        <w:pStyle w:val="6"/>
        <w:rPr>
          <w:color w:val="auto"/>
        </w:rPr>
      </w:pPr>
    </w:p>
    <w:p>
      <w:pPr>
        <w:pStyle w:val="15"/>
        <w:rPr>
          <w:color w:val="auto"/>
        </w:rPr>
      </w:pPr>
    </w:p>
    <w:p>
      <w:pPr>
        <w:rPr>
          <w:color w:val="auto"/>
        </w:rPr>
      </w:pPr>
    </w:p>
    <w:p>
      <w:pPr>
        <w:pStyle w:val="6"/>
        <w:rPr>
          <w:color w:val="auto"/>
        </w:rPr>
      </w:pPr>
    </w:p>
    <w:p>
      <w:pPr>
        <w:pStyle w:val="15"/>
        <w:rPr>
          <w:color w:val="auto"/>
        </w:rPr>
      </w:pPr>
    </w:p>
    <w:p>
      <w:pPr>
        <w:rPr>
          <w:color w:val="auto"/>
        </w:rPr>
      </w:pPr>
    </w:p>
    <w:p>
      <w:pPr>
        <w:pStyle w:val="6"/>
        <w:rPr>
          <w:color w:val="auto"/>
        </w:rPr>
      </w:pPr>
    </w:p>
    <w:p>
      <w:pPr>
        <w:pStyle w:val="15"/>
        <w:rPr>
          <w:color w:val="auto"/>
        </w:rPr>
      </w:pPr>
    </w:p>
    <w:p>
      <w:pPr>
        <w:rPr>
          <w:color w:val="auto"/>
        </w:rPr>
      </w:pPr>
    </w:p>
    <w:p>
      <w:pPr>
        <w:pStyle w:val="6"/>
        <w:rPr>
          <w:color w:val="auto"/>
        </w:rPr>
      </w:pPr>
    </w:p>
    <w:p>
      <w:pPr>
        <w:pStyle w:val="15"/>
        <w:rPr>
          <w:color w:val="auto"/>
        </w:rPr>
      </w:pPr>
    </w:p>
    <w:p>
      <w:pPr>
        <w:rPr>
          <w:color w:val="auto"/>
        </w:rPr>
      </w:pPr>
    </w:p>
    <w:p>
      <w:pPr>
        <w:pStyle w:val="6"/>
        <w:rPr>
          <w:color w:val="auto"/>
        </w:rPr>
      </w:pPr>
    </w:p>
    <w:p>
      <w:pPr>
        <w:pStyle w:val="15"/>
        <w:rPr>
          <w:color w:val="auto"/>
        </w:rPr>
      </w:pPr>
    </w:p>
    <w:p>
      <w:pPr>
        <w:rPr>
          <w:color w:val="auto"/>
        </w:rPr>
      </w:pPr>
    </w:p>
    <w:p>
      <w:pPr>
        <w:pStyle w:val="6"/>
        <w:rPr>
          <w:color w:val="auto"/>
        </w:rPr>
      </w:pPr>
    </w:p>
    <w:p>
      <w:pPr>
        <w:pStyle w:val="15"/>
        <w:rPr>
          <w:color w:val="auto"/>
        </w:rPr>
      </w:pPr>
    </w:p>
    <w:p>
      <w:pPr>
        <w:rPr>
          <w:color w:val="auto"/>
        </w:rPr>
      </w:pPr>
    </w:p>
    <w:p>
      <w:pPr>
        <w:pStyle w:val="6"/>
        <w:rPr>
          <w:color w:val="auto"/>
        </w:rPr>
      </w:pPr>
    </w:p>
    <w:p>
      <w:pPr>
        <w:pStyle w:val="15"/>
        <w:rPr>
          <w:color w:val="auto"/>
        </w:rPr>
      </w:pPr>
    </w:p>
    <w:p>
      <w:pPr>
        <w:rPr>
          <w:color w:val="auto"/>
        </w:rPr>
      </w:pPr>
    </w:p>
    <w:p>
      <w:pPr>
        <w:pStyle w:val="6"/>
        <w:rPr>
          <w:color w:val="auto"/>
        </w:rPr>
      </w:pPr>
    </w:p>
    <w:p>
      <w:pPr>
        <w:pStyle w:val="15"/>
        <w:rPr>
          <w:color w:val="auto"/>
        </w:rPr>
      </w:pPr>
    </w:p>
    <w:p>
      <w:pPr>
        <w:rPr>
          <w:color w:val="auto"/>
        </w:rPr>
      </w:pPr>
    </w:p>
    <w:p>
      <w:pPr>
        <w:pStyle w:val="6"/>
        <w:rPr>
          <w:color w:val="auto"/>
        </w:rPr>
      </w:pPr>
    </w:p>
    <w:p>
      <w:pPr>
        <w:pStyle w:val="15"/>
      </w:pPr>
    </w:p>
    <w:p>
      <w:pPr>
        <w:pStyle w:val="6"/>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jc w:val="both"/>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（3）分包意向协议（如果有）…………………………………………………（页码）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（4）符合性审查资料……………………………………………………………（页码）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（5）响应产品规格配置清单</w:t>
      </w:r>
      <w:r>
        <w:rPr>
          <w:rFonts w:hint="eastAsia" w:cs="仿宋" w:asciiTheme="minorEastAsia" w:hAnsiTheme="minorEastAsia"/>
          <w:color w:val="auto"/>
          <w:sz w:val="24"/>
          <w:lang w:eastAsia="zh-CN"/>
        </w:rPr>
        <w:t>（若有）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（6）商务技术偏离表……………………………………………………………（页码）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8</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供应商股东信息及出资比例信息表</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（9）供应商</w:t>
      </w:r>
      <w:r>
        <w:rPr>
          <w:rFonts w:hint="eastAsia" w:cs="仿宋" w:asciiTheme="minorEastAsia" w:hAnsiTheme="minorEastAsia"/>
          <w:color w:val="auto"/>
          <w:sz w:val="24"/>
        </w:rPr>
        <w:t>服务质量保证承诺函………………………………………………（页码）</w:t>
      </w:r>
    </w:p>
    <w:p>
      <w:pPr>
        <w:pStyle w:val="15"/>
        <w:rPr>
          <w:color w:val="auto"/>
        </w:rPr>
      </w:pPr>
    </w:p>
    <w:p>
      <w:pPr>
        <w:rPr>
          <w:color w:val="auto"/>
        </w:rPr>
      </w:pPr>
    </w:p>
    <w:p>
      <w:pPr>
        <w:pStyle w:val="6"/>
        <w:rPr>
          <w:color w:val="auto"/>
        </w:rPr>
      </w:pPr>
    </w:p>
    <w:p>
      <w:pPr>
        <w:pStyle w:val="15"/>
        <w:rPr>
          <w:color w:val="auto"/>
        </w:rPr>
      </w:pPr>
    </w:p>
    <w:p>
      <w:pPr>
        <w:rPr>
          <w:color w:val="auto"/>
        </w:rPr>
      </w:pPr>
    </w:p>
    <w:p>
      <w:pPr>
        <w:pStyle w:val="6"/>
        <w:rPr>
          <w:color w:val="auto"/>
        </w:rPr>
      </w:pPr>
    </w:p>
    <w:p>
      <w:pPr>
        <w:pStyle w:val="15"/>
        <w:rPr>
          <w:color w:val="auto"/>
        </w:rPr>
      </w:pPr>
    </w:p>
    <w:p>
      <w:pPr>
        <w:rPr>
          <w:color w:val="auto"/>
        </w:rPr>
      </w:pPr>
    </w:p>
    <w:p>
      <w:pPr>
        <w:pStyle w:val="6"/>
        <w:rPr>
          <w:color w:val="auto"/>
        </w:rPr>
      </w:pPr>
    </w:p>
    <w:p>
      <w:pPr>
        <w:pStyle w:val="15"/>
        <w:rPr>
          <w:color w:val="auto"/>
        </w:rPr>
      </w:pPr>
    </w:p>
    <w:p>
      <w:pPr>
        <w:rPr>
          <w:color w:val="auto"/>
        </w:rPr>
      </w:pPr>
    </w:p>
    <w:p>
      <w:pPr>
        <w:pStyle w:val="6"/>
        <w:rPr>
          <w:color w:val="auto"/>
        </w:rPr>
      </w:pPr>
    </w:p>
    <w:p>
      <w:pPr>
        <w:pStyle w:val="15"/>
        <w:rPr>
          <w:color w:val="auto"/>
        </w:rPr>
      </w:pPr>
    </w:p>
    <w:p>
      <w:pPr>
        <w:rPr>
          <w:color w:val="auto"/>
        </w:rPr>
      </w:pPr>
    </w:p>
    <w:p>
      <w:pPr>
        <w:pStyle w:val="15"/>
        <w:ind w:left="0" w:leftChars="0" w:firstLine="0" w:firstLineChars="0"/>
        <w:rPr>
          <w:color w:val="auto"/>
        </w:rPr>
      </w:pPr>
    </w:p>
    <w:p>
      <w:pPr>
        <w:pStyle w:val="15"/>
        <w:ind w:left="0" w:leftChars="0" w:firstLine="0" w:firstLineChars="0"/>
        <w:rPr>
          <w:color w:val="auto"/>
        </w:rPr>
      </w:pPr>
    </w:p>
    <w:p>
      <w:pPr>
        <w:pStyle w:val="15"/>
        <w:ind w:left="0" w:leftChars="0" w:firstLine="0" w:firstLineChars="0"/>
        <w:rPr>
          <w:color w:val="auto"/>
        </w:rPr>
      </w:pPr>
    </w:p>
    <w:p>
      <w:pPr>
        <w:pStyle w:val="15"/>
        <w:ind w:left="0" w:leftChars="0" w:firstLine="0" w:firstLineChars="0"/>
        <w:rPr>
          <w:color w:val="auto"/>
        </w:rPr>
      </w:pPr>
    </w:p>
    <w:p>
      <w:pPr>
        <w:pStyle w:val="15"/>
        <w:ind w:left="0" w:leftChars="0" w:firstLine="0" w:firstLineChars="0"/>
        <w:rPr>
          <w:color w:val="auto"/>
        </w:rPr>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2024年临江公司地下水隐患排查治理咨询服务项目</w:t>
      </w:r>
      <w:r>
        <w:rPr>
          <w:rFonts w:hint="eastAsia" w:cs="仿宋" w:asciiTheme="minorEastAsia" w:hAnsiTheme="minorEastAsia"/>
          <w:color w:val="auto"/>
          <w:sz w:val="24"/>
        </w:rPr>
        <w:t>【项目编号：</w:t>
      </w:r>
      <w:r>
        <w:rPr>
          <w:rFonts w:hint="eastAsia" w:cs="仿宋" w:asciiTheme="minorEastAsia" w:hAnsiTheme="minorEastAsia"/>
          <w:color w:val="auto"/>
          <w:sz w:val="24"/>
          <w:lang w:val="en-US" w:eastAsia="zh-CN"/>
        </w:rPr>
        <w:t>202405010</w:t>
      </w:r>
      <w:r>
        <w:rPr>
          <w:rFonts w:hint="eastAsia" w:cs="仿宋" w:asciiTheme="minorEastAsia" w:hAnsiTheme="minorEastAsia"/>
          <w:color w:val="auto"/>
          <w:sz w:val="24"/>
        </w:rPr>
        <w:t>】采购的有关活动，并对此项目进行响应。为此：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的全部要求。</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numPr>
          <w:ilvl w:val="0"/>
          <w:numId w:val="1"/>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其他补充说明</w:t>
      </w:r>
      <w:r>
        <w:rPr>
          <w:rFonts w:hint="eastAsia" w:cs="仿宋" w:asciiTheme="minorEastAsia" w:hAnsiTheme="minorEastAsia"/>
          <w:color w:val="auto"/>
          <w:sz w:val="24"/>
          <w:lang w:eastAsia="zh-CN"/>
        </w:rPr>
        <w:t>：</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6"/>
        <w:widowControl w:val="0"/>
        <w:numPr>
          <w:ilvl w:val="0"/>
          <w:numId w:val="0"/>
        </w:numPr>
        <w:autoSpaceDE w:val="0"/>
        <w:autoSpaceDN w:val="0"/>
        <w:adjustRightInd w:val="0"/>
        <w:spacing w:line="360" w:lineRule="auto"/>
        <w:jc w:val="both"/>
        <w:rPr>
          <w:color w:val="auto"/>
        </w:rPr>
      </w:pPr>
    </w:p>
    <w:p>
      <w:pPr>
        <w:pStyle w:val="15"/>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color w:val="auto"/>
          <w:sz w:val="24"/>
          <w:u w:val="single"/>
          <w:lang w:val="en-US" w:eastAsia="zh-CN"/>
        </w:rPr>
        <w:t>2024年临江公司地下水隐患排查治理咨询服务项目</w:t>
      </w:r>
      <w:r>
        <w:rPr>
          <w:rFonts w:hint="eastAsia" w:cs="仿宋" w:asciiTheme="minorEastAsia" w:hAnsiTheme="minorEastAsia"/>
          <w:color w:val="auto"/>
          <w:kern w:val="0"/>
          <w:sz w:val="24"/>
          <w:u w:val="single"/>
          <w:lang w:eastAsia="zh-CN"/>
        </w:rPr>
        <w:t>（项目编号：202405010）</w:t>
      </w:r>
      <w:r>
        <w:rPr>
          <w:rFonts w:hint="eastAsia" w:cs="仿宋" w:asciiTheme="minorEastAsia" w:hAnsiTheme="minorEastAsia"/>
          <w:color w:val="auto"/>
          <w:kern w:val="0"/>
          <w:sz w:val="24"/>
          <w:u w:val="single"/>
          <w:lang w:val="en-US" w:eastAsia="zh-CN"/>
        </w:rPr>
        <w:t xml:space="preserve">  </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rPr>
        <w:t>其在报价过程中的一切活动本公司均予承认</w:t>
      </w:r>
      <w:r>
        <w:rPr>
          <w:rFonts w:hint="eastAsia" w:cs="仿宋" w:asciiTheme="minorEastAsia" w:hAnsiTheme="minorEastAsia"/>
          <w:color w:val="auto"/>
          <w:kern w:val="0"/>
          <w:sz w:val="24"/>
          <w:lang w:val="zh-CN"/>
        </w:rPr>
        <w:t>，其法律后果由我方承担。</w:t>
      </w: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15"/>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15"/>
        <w:rPr>
          <w:rFonts w:hint="eastAsia"/>
          <w:color w:val="auto"/>
          <w:lang w:val="zh-CN"/>
        </w:rPr>
      </w:pPr>
    </w:p>
    <w:p>
      <w:pPr>
        <w:rPr>
          <w:color w:val="auto"/>
        </w:rPr>
      </w:pPr>
    </w:p>
    <w:p>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7"/>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7"/>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eastAsiaTheme="minorEastAsia"/>
          <w:color w:val="auto"/>
          <w:lang w:eastAsia="zh-CN"/>
        </w:rPr>
      </w:pPr>
      <w:r>
        <w:rPr>
          <w:rFonts w:hint="eastAsia" w:cs="仿宋" w:asciiTheme="minorEastAsia" w:hAnsiTheme="minorEastAsia"/>
          <w:b/>
          <w:color w:val="auto"/>
          <w:kern w:val="0"/>
          <w:sz w:val="32"/>
          <w:szCs w:val="32"/>
        </w:rPr>
        <w:t>五、响应产品规格配置清单</w:t>
      </w:r>
      <w:r>
        <w:rPr>
          <w:rFonts w:hint="eastAsia" w:cs="仿宋" w:asciiTheme="minorEastAsia" w:hAnsiTheme="minorEastAsia"/>
          <w:b/>
          <w:color w:val="auto"/>
          <w:kern w:val="0"/>
          <w:sz w:val="32"/>
          <w:szCs w:val="32"/>
          <w:lang w:eastAsia="zh-CN"/>
        </w:rPr>
        <w:t>（若有）</w:t>
      </w:r>
    </w:p>
    <w:p>
      <w:pPr>
        <w:pStyle w:val="15"/>
        <w:rPr>
          <w:rFonts w:cs="仿宋" w:asciiTheme="minorEastAsia" w:hAnsiTheme="minorEastAsia"/>
          <w:color w:val="auto"/>
          <w:lang w:val="en-US"/>
        </w:rPr>
      </w:pPr>
    </w:p>
    <w:tbl>
      <w:tblPr>
        <w:tblStyle w:val="16"/>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bl>
    <w:p>
      <w:pPr>
        <w:pStyle w:val="6"/>
        <w:rPr>
          <w:color w:val="auto"/>
          <w:lang w:val="en-US"/>
        </w:rPr>
        <w:sectPr>
          <w:pgSz w:w="11906" w:h="16838"/>
          <w:pgMar w:top="1276" w:right="1418" w:bottom="1247" w:left="1418" w:header="851" w:footer="992" w:gutter="0"/>
          <w:pgNumType w:fmt="decimal"/>
          <w:cols w:space="720" w:num="1"/>
          <w:titlePg/>
          <w:docGrid w:linePitch="312" w:charSpace="0"/>
        </w:sectPr>
      </w:pPr>
      <w:r>
        <w:rPr>
          <w:rFonts w:cs="仿宋_GB2312" w:asciiTheme="minorEastAsia" w:hAnsiTheme="minorEastAsia"/>
          <w:color w:val="auto"/>
        </w:rPr>
        <w:t>注</w:t>
      </w:r>
      <w:r>
        <w:rPr>
          <w:rFonts w:cs="仿宋_GB2312" w:asciiTheme="minorEastAsia" w:hAnsiTheme="minorEastAsia"/>
          <w:color w:val="auto"/>
          <w:lang w:val="en-US"/>
        </w:rPr>
        <w:t>：</w:t>
      </w:r>
      <w:r>
        <w:rPr>
          <w:rFonts w:hint="eastAsia" w:cs="仿宋_GB2312" w:asciiTheme="minorEastAsia" w:hAnsiTheme="minorEastAsia"/>
          <w:color w:val="auto"/>
        </w:rPr>
        <w:t>按本格式和要求提供。</w:t>
      </w: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六、商务技术偏离表</w:t>
      </w:r>
    </w:p>
    <w:tbl>
      <w:tblPr>
        <w:tblStyle w:val="17"/>
        <w:tblW w:w="9034"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3459"/>
        <w:gridCol w:w="3162"/>
        <w:gridCol w:w="1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4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162"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511"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02"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459" w:type="dxa"/>
          </w:tcPr>
          <w:p>
            <w:pPr>
              <w:jc w:val="center"/>
              <w:rPr>
                <w:rFonts w:cs="仿宋" w:asciiTheme="minorEastAsia" w:hAnsiTheme="minorEastAsia"/>
                <w:b/>
                <w:color w:val="auto"/>
                <w:kern w:val="0"/>
                <w:sz w:val="32"/>
                <w:szCs w:val="32"/>
              </w:rPr>
            </w:pPr>
          </w:p>
        </w:tc>
        <w:tc>
          <w:tcPr>
            <w:tcW w:w="3162" w:type="dxa"/>
          </w:tcPr>
          <w:p>
            <w:pPr>
              <w:jc w:val="center"/>
              <w:rPr>
                <w:rFonts w:cs="仿宋" w:asciiTheme="minorEastAsia" w:hAnsiTheme="minorEastAsia"/>
                <w:b/>
                <w:color w:val="auto"/>
                <w:kern w:val="0"/>
                <w:sz w:val="32"/>
                <w:szCs w:val="32"/>
              </w:rPr>
            </w:pPr>
          </w:p>
        </w:tc>
        <w:tc>
          <w:tcPr>
            <w:tcW w:w="1511"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459" w:type="dxa"/>
          </w:tcPr>
          <w:p>
            <w:pPr>
              <w:jc w:val="center"/>
              <w:rPr>
                <w:rFonts w:cs="仿宋" w:asciiTheme="minorEastAsia" w:hAnsiTheme="minorEastAsia"/>
                <w:b/>
                <w:color w:val="auto"/>
                <w:kern w:val="0"/>
                <w:sz w:val="32"/>
                <w:szCs w:val="32"/>
              </w:rPr>
            </w:pPr>
          </w:p>
        </w:tc>
        <w:tc>
          <w:tcPr>
            <w:tcW w:w="3162" w:type="dxa"/>
          </w:tcPr>
          <w:p>
            <w:pPr>
              <w:jc w:val="center"/>
              <w:rPr>
                <w:rFonts w:cs="仿宋" w:asciiTheme="minorEastAsia" w:hAnsiTheme="minorEastAsia"/>
                <w:b/>
                <w:color w:val="auto"/>
                <w:kern w:val="0"/>
                <w:sz w:val="32"/>
                <w:szCs w:val="32"/>
              </w:rPr>
            </w:pPr>
          </w:p>
        </w:tc>
        <w:tc>
          <w:tcPr>
            <w:tcW w:w="1511"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459" w:type="dxa"/>
          </w:tcPr>
          <w:p>
            <w:pPr>
              <w:jc w:val="center"/>
              <w:rPr>
                <w:rFonts w:cs="仿宋" w:asciiTheme="minorEastAsia" w:hAnsiTheme="minorEastAsia"/>
                <w:b/>
                <w:color w:val="auto"/>
                <w:kern w:val="0"/>
                <w:sz w:val="32"/>
                <w:szCs w:val="32"/>
              </w:rPr>
            </w:pPr>
          </w:p>
        </w:tc>
        <w:tc>
          <w:tcPr>
            <w:tcW w:w="3162" w:type="dxa"/>
          </w:tcPr>
          <w:p>
            <w:pPr>
              <w:jc w:val="center"/>
              <w:rPr>
                <w:rFonts w:cs="仿宋" w:asciiTheme="minorEastAsia" w:hAnsiTheme="minorEastAsia"/>
                <w:b/>
                <w:color w:val="auto"/>
                <w:kern w:val="0"/>
                <w:sz w:val="32"/>
                <w:szCs w:val="32"/>
              </w:rPr>
            </w:pPr>
          </w:p>
        </w:tc>
        <w:tc>
          <w:tcPr>
            <w:tcW w:w="1511"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七、</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6"/>
        <w:rPr>
          <w:color w:val="auto"/>
        </w:rPr>
        <w:sectPr>
          <w:pgSz w:w="11906" w:h="16838"/>
          <w:pgMar w:top="1276" w:right="1418" w:bottom="1247" w:left="1418" w:header="851" w:footer="992" w:gutter="0"/>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eastAsiaTheme="minorEastAsia"/>
          <w:b/>
          <w:color w:val="auto"/>
          <w:kern w:val="0"/>
          <w:sz w:val="32"/>
          <w:szCs w:val="32"/>
          <w:lang w:val="zh-CN" w:eastAsia="zh-CN" w:bidi="ar-SA"/>
        </w:rPr>
        <w:t>八、</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11"/>
        <w:widowControl w:val="0"/>
        <w:numPr>
          <w:ilvl w:val="0"/>
          <w:numId w:val="0"/>
        </w:numPr>
        <w:jc w:val="left"/>
        <w:rPr>
          <w:rFonts w:hint="eastAsia"/>
          <w:color w:val="auto"/>
          <w:lang w:val="zh-CN"/>
        </w:rPr>
      </w:pPr>
    </w:p>
    <w:p>
      <w:pPr>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1"/>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eastAsia="zh-CN"/>
        </w:rPr>
        <w:t>九</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color w:val="auto"/>
          <w:sz w:val="24"/>
          <w:u w:val="single"/>
          <w:lang w:val="en-US" w:eastAsia="zh-CN"/>
        </w:rPr>
        <w:t>2024年临江公司地下水隐患排查治理咨询服务项目</w:t>
      </w:r>
      <w:r>
        <w:rPr>
          <w:rFonts w:hint="eastAsia" w:ascii="宋体" w:hAnsi="宋体" w:eastAsia="宋体" w:cs="宋体"/>
          <w:color w:val="auto"/>
          <w:sz w:val="24"/>
          <w:szCs w:val="24"/>
          <w:u w:val="single"/>
          <w:lang w:val="en-US" w:eastAsia="zh-CN"/>
        </w:rPr>
        <w:t>（项目编号：202405010）</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5760" w:firstLineChars="24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 xml:space="preserve">                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color w:val="auto"/>
          <w:sz w:val="24"/>
          <w:u w:val="single"/>
          <w:lang w:val="en-US" w:eastAsia="zh-CN"/>
        </w:rPr>
        <w:t>2024年临江公司地下水隐患排查治理咨询服务项目</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编号：</w:t>
      </w:r>
      <w:r>
        <w:rPr>
          <w:rFonts w:hint="eastAsia" w:ascii="宋体" w:hAnsi="宋体" w:eastAsia="宋体" w:cs="宋体"/>
          <w:color w:val="auto"/>
          <w:sz w:val="24"/>
          <w:szCs w:val="24"/>
          <w:u w:val="single"/>
          <w:lang w:val="en-US" w:eastAsia="zh-CN"/>
        </w:rPr>
        <w:t>202405010</w:t>
      </w:r>
      <w:bookmarkStart w:id="496" w:name="_GoBack"/>
      <w:bookmarkEnd w:id="496"/>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lang w:val="en-US" w:eastAsia="zh-CN"/>
        </w:rPr>
        <w:t>服务</w:t>
      </w:r>
      <w:r>
        <w:rPr>
          <w:rFonts w:hint="eastAsia" w:ascii="宋体" w:hAnsi="宋体" w:eastAsia="宋体" w:cs="宋体"/>
          <w:color w:val="auto"/>
          <w:sz w:val="24"/>
          <w:szCs w:val="24"/>
        </w:rPr>
        <w:t>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如需要修改</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pStyle w:val="6"/>
        <w:tabs>
          <w:tab w:val="left" w:pos="4101"/>
        </w:tabs>
        <w:adjustRightInd w:val="0"/>
        <w:spacing w:after="0" w:line="360" w:lineRule="auto"/>
        <w:jc w:val="left"/>
        <w:rPr>
          <w:rFonts w:hint="eastAsia" w:ascii="宋体" w:hAnsi="宋体" w:cs="宋体"/>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 xml:space="preserve"> 2024年临江公司地下水隐患排查治理咨询服务项目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202405010</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6"/>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754"/>
        <w:gridCol w:w="4570"/>
        <w:gridCol w:w="920"/>
        <w:gridCol w:w="1230"/>
        <w:gridCol w:w="1230"/>
        <w:gridCol w:w="1080"/>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42"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1754"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名称</w:t>
            </w:r>
          </w:p>
        </w:tc>
        <w:tc>
          <w:tcPr>
            <w:tcW w:w="4570" w:type="dxa"/>
            <w:vAlign w:val="center"/>
          </w:tcPr>
          <w:p>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内容</w:t>
            </w:r>
          </w:p>
        </w:tc>
        <w:tc>
          <w:tcPr>
            <w:tcW w:w="920"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数量</w:t>
            </w:r>
          </w:p>
        </w:tc>
        <w:tc>
          <w:tcPr>
            <w:tcW w:w="1230" w:type="dxa"/>
            <w:vAlign w:val="center"/>
          </w:tcPr>
          <w:p>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单位</w:t>
            </w:r>
          </w:p>
        </w:tc>
        <w:tc>
          <w:tcPr>
            <w:tcW w:w="1230"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单价</w:t>
            </w:r>
          </w:p>
        </w:tc>
        <w:tc>
          <w:tcPr>
            <w:tcW w:w="1080"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总价</w:t>
            </w:r>
          </w:p>
        </w:tc>
        <w:tc>
          <w:tcPr>
            <w:tcW w:w="1515"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42"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1754" w:type="dxa"/>
            <w:vAlign w:val="center"/>
          </w:tcPr>
          <w:p>
            <w:pPr>
              <w:spacing w:line="360" w:lineRule="auto"/>
              <w:jc w:val="center"/>
              <w:rPr>
                <w:rFonts w:hint="default"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隐患排查报告</w:t>
            </w:r>
          </w:p>
        </w:tc>
        <w:tc>
          <w:tcPr>
            <w:tcW w:w="4570" w:type="dxa"/>
            <w:vAlign w:val="center"/>
          </w:tcPr>
          <w:p>
            <w:pPr>
              <w:spacing w:line="36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三个项目的土壤地下水污染隐患排查报告</w:t>
            </w:r>
          </w:p>
        </w:tc>
        <w:tc>
          <w:tcPr>
            <w:tcW w:w="920" w:type="dxa"/>
            <w:vAlign w:val="center"/>
          </w:tcPr>
          <w:p>
            <w:pPr>
              <w:spacing w:line="360" w:lineRule="auto"/>
              <w:jc w:val="center"/>
              <w:rPr>
                <w:rFonts w:hint="default" w:cs="仿宋" w:asciiTheme="minorEastAsia" w:hAnsiTheme="minorEastAsia" w:eastAsiaTheme="minorEastAsia"/>
                <w:b w:val="0"/>
                <w:bCs/>
                <w:snapToGrid/>
                <w:color w:val="auto"/>
                <w:kern w:val="2"/>
                <w:sz w:val="24"/>
                <w:szCs w:val="24"/>
                <w:lang w:val="en-US" w:eastAsia="zh-CN" w:bidi="ar-SA"/>
              </w:rPr>
            </w:pPr>
            <w:r>
              <w:rPr>
                <w:rFonts w:hint="eastAsia" w:cs="仿宋" w:asciiTheme="minorEastAsia" w:hAnsiTheme="minorEastAsia"/>
                <w:b w:val="0"/>
                <w:bCs/>
                <w:snapToGrid/>
                <w:color w:val="auto"/>
                <w:kern w:val="2"/>
                <w:sz w:val="24"/>
                <w:szCs w:val="24"/>
                <w:lang w:val="en-US" w:eastAsia="zh-CN" w:bidi="ar-SA"/>
              </w:rPr>
              <w:t>1</w:t>
            </w:r>
          </w:p>
        </w:tc>
        <w:tc>
          <w:tcPr>
            <w:tcW w:w="1230" w:type="dxa"/>
            <w:vAlign w:val="center"/>
          </w:tcPr>
          <w:p>
            <w:pPr>
              <w:spacing w:line="36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项</w:t>
            </w:r>
          </w:p>
        </w:tc>
        <w:tc>
          <w:tcPr>
            <w:tcW w:w="1230" w:type="dxa"/>
            <w:vAlign w:val="center"/>
          </w:tcPr>
          <w:p>
            <w:pPr>
              <w:spacing w:line="360" w:lineRule="auto"/>
              <w:jc w:val="center"/>
              <w:rPr>
                <w:rFonts w:hint="eastAsia" w:cs="仿宋" w:asciiTheme="minorEastAsia" w:hAnsiTheme="minorEastAsia"/>
                <w:b w:val="0"/>
                <w:bCs/>
                <w:color w:val="auto"/>
                <w:sz w:val="24"/>
                <w:lang w:val="en-US" w:eastAsia="zh-CN"/>
              </w:rPr>
            </w:pPr>
          </w:p>
        </w:tc>
        <w:tc>
          <w:tcPr>
            <w:tcW w:w="1080" w:type="dxa"/>
            <w:vAlign w:val="center"/>
          </w:tcPr>
          <w:p>
            <w:pPr>
              <w:spacing w:line="360" w:lineRule="auto"/>
              <w:jc w:val="center"/>
              <w:rPr>
                <w:rFonts w:hint="eastAsia" w:cs="仿宋" w:asciiTheme="minorEastAsia" w:hAnsiTheme="minorEastAsia"/>
                <w:b w:val="0"/>
                <w:bCs/>
                <w:color w:val="auto"/>
                <w:sz w:val="24"/>
                <w:lang w:val="en-US" w:eastAsia="zh-CN"/>
              </w:rPr>
            </w:pPr>
          </w:p>
        </w:tc>
        <w:tc>
          <w:tcPr>
            <w:tcW w:w="1515" w:type="dxa"/>
            <w:vAlign w:val="center"/>
          </w:tcPr>
          <w:p>
            <w:pPr>
              <w:spacing w:line="360" w:lineRule="auto"/>
              <w:jc w:val="center"/>
              <w:rPr>
                <w:rFonts w:hint="eastAsia" w:cs="仿宋" w:asciiTheme="minorEastAsia" w:hAnsiTheme="minorEastAsia"/>
                <w:b w:val="0"/>
                <w:bCs/>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42" w:type="dxa"/>
            <w:vAlign w:val="center"/>
          </w:tcPr>
          <w:p>
            <w:pPr>
              <w:spacing w:line="360" w:lineRule="auto"/>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w:t>
            </w:r>
          </w:p>
        </w:tc>
        <w:tc>
          <w:tcPr>
            <w:tcW w:w="1754" w:type="dxa"/>
            <w:vAlign w:val="center"/>
          </w:tcPr>
          <w:p>
            <w:pPr>
              <w:spacing w:line="360" w:lineRule="auto"/>
              <w:jc w:val="center"/>
              <w:rPr>
                <w:rFonts w:hint="default"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监测方案</w:t>
            </w:r>
          </w:p>
        </w:tc>
        <w:tc>
          <w:tcPr>
            <w:tcW w:w="4570" w:type="dxa"/>
            <w:vAlign w:val="center"/>
          </w:tcPr>
          <w:p>
            <w:pPr>
              <w:spacing w:line="36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编制监测方案</w:t>
            </w:r>
          </w:p>
        </w:tc>
        <w:tc>
          <w:tcPr>
            <w:tcW w:w="920" w:type="dxa"/>
            <w:vAlign w:val="center"/>
          </w:tcPr>
          <w:p>
            <w:pPr>
              <w:pStyle w:val="6"/>
              <w:jc w:val="center"/>
              <w:rPr>
                <w:rFonts w:hint="default" w:cs="仿宋" w:asciiTheme="minorEastAsia" w:hAnsiTheme="minorEastAsia" w:eastAsiaTheme="minorEastAsia"/>
                <w:b w:val="0"/>
                <w:bCs/>
                <w:snapToGrid/>
                <w:color w:val="auto"/>
                <w:kern w:val="2"/>
                <w:sz w:val="24"/>
                <w:szCs w:val="24"/>
                <w:lang w:val="en-US" w:eastAsia="zh-CN" w:bidi="ar-SA"/>
              </w:rPr>
            </w:pPr>
            <w:r>
              <w:rPr>
                <w:rFonts w:hint="eastAsia" w:cs="仿宋" w:asciiTheme="minorEastAsia" w:hAnsiTheme="minorEastAsia"/>
                <w:b w:val="0"/>
                <w:bCs/>
                <w:snapToGrid/>
                <w:color w:val="auto"/>
                <w:kern w:val="2"/>
                <w:sz w:val="24"/>
                <w:szCs w:val="24"/>
                <w:lang w:val="en-US" w:eastAsia="zh-CN" w:bidi="ar-SA"/>
              </w:rPr>
              <w:t>1</w:t>
            </w:r>
          </w:p>
        </w:tc>
        <w:tc>
          <w:tcPr>
            <w:tcW w:w="1230" w:type="dxa"/>
            <w:vAlign w:val="center"/>
          </w:tcPr>
          <w:p>
            <w:pPr>
              <w:spacing w:line="36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项</w:t>
            </w:r>
          </w:p>
        </w:tc>
        <w:tc>
          <w:tcPr>
            <w:tcW w:w="1230" w:type="dxa"/>
            <w:vAlign w:val="center"/>
          </w:tcPr>
          <w:p>
            <w:pPr>
              <w:spacing w:line="360" w:lineRule="auto"/>
              <w:jc w:val="center"/>
              <w:rPr>
                <w:rFonts w:hint="eastAsia" w:cs="仿宋" w:asciiTheme="minorEastAsia" w:hAnsiTheme="minorEastAsia"/>
                <w:b w:val="0"/>
                <w:bCs/>
                <w:color w:val="auto"/>
                <w:sz w:val="24"/>
                <w:lang w:val="en-US" w:eastAsia="zh-CN"/>
              </w:rPr>
            </w:pPr>
          </w:p>
        </w:tc>
        <w:tc>
          <w:tcPr>
            <w:tcW w:w="1080" w:type="dxa"/>
            <w:vAlign w:val="center"/>
          </w:tcPr>
          <w:p>
            <w:pPr>
              <w:spacing w:line="360" w:lineRule="auto"/>
              <w:jc w:val="center"/>
              <w:rPr>
                <w:rFonts w:hint="eastAsia" w:cs="仿宋" w:asciiTheme="minorEastAsia" w:hAnsiTheme="minorEastAsia"/>
                <w:b w:val="0"/>
                <w:bCs/>
                <w:color w:val="auto"/>
                <w:sz w:val="24"/>
                <w:lang w:val="en-US" w:eastAsia="zh-CN"/>
              </w:rPr>
            </w:pPr>
          </w:p>
        </w:tc>
        <w:tc>
          <w:tcPr>
            <w:tcW w:w="1515" w:type="dxa"/>
            <w:vAlign w:val="center"/>
          </w:tcPr>
          <w:p>
            <w:pPr>
              <w:spacing w:line="360" w:lineRule="auto"/>
              <w:jc w:val="center"/>
              <w:rPr>
                <w:rFonts w:hint="eastAsia" w:cs="仿宋" w:asciiTheme="minorEastAsia" w:hAnsiTheme="minorEastAsia"/>
                <w:b w:val="0"/>
                <w:bCs/>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42" w:type="dxa"/>
            <w:vAlign w:val="center"/>
          </w:tcPr>
          <w:p>
            <w:pPr>
              <w:spacing w:line="360" w:lineRule="auto"/>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3</w:t>
            </w:r>
          </w:p>
        </w:tc>
        <w:tc>
          <w:tcPr>
            <w:tcW w:w="1754" w:type="dxa"/>
            <w:vAlign w:val="center"/>
          </w:tcPr>
          <w:p>
            <w:pPr>
              <w:spacing w:line="360" w:lineRule="auto"/>
              <w:jc w:val="center"/>
              <w:rPr>
                <w:rFonts w:hint="default"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分析报告</w:t>
            </w:r>
          </w:p>
        </w:tc>
        <w:tc>
          <w:tcPr>
            <w:tcW w:w="4570" w:type="dxa"/>
            <w:vAlign w:val="center"/>
          </w:tcPr>
          <w:p>
            <w:pPr>
              <w:spacing w:line="36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编制地下水监测结果和风险分析报告</w:t>
            </w:r>
          </w:p>
        </w:tc>
        <w:tc>
          <w:tcPr>
            <w:tcW w:w="920" w:type="dxa"/>
            <w:vAlign w:val="center"/>
          </w:tcPr>
          <w:p>
            <w:pPr>
              <w:spacing w:line="36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1</w:t>
            </w:r>
          </w:p>
        </w:tc>
        <w:tc>
          <w:tcPr>
            <w:tcW w:w="1230" w:type="dxa"/>
            <w:vAlign w:val="center"/>
          </w:tcPr>
          <w:p>
            <w:pPr>
              <w:spacing w:line="36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项</w:t>
            </w:r>
          </w:p>
        </w:tc>
        <w:tc>
          <w:tcPr>
            <w:tcW w:w="1230" w:type="dxa"/>
            <w:vAlign w:val="center"/>
          </w:tcPr>
          <w:p>
            <w:pPr>
              <w:spacing w:line="360" w:lineRule="auto"/>
              <w:jc w:val="center"/>
              <w:rPr>
                <w:rFonts w:hint="eastAsia" w:cs="仿宋" w:asciiTheme="minorEastAsia" w:hAnsiTheme="minorEastAsia"/>
                <w:b w:val="0"/>
                <w:bCs/>
                <w:color w:val="auto"/>
                <w:sz w:val="24"/>
                <w:lang w:val="en-US" w:eastAsia="zh-CN"/>
              </w:rPr>
            </w:pPr>
          </w:p>
        </w:tc>
        <w:tc>
          <w:tcPr>
            <w:tcW w:w="1080" w:type="dxa"/>
            <w:vAlign w:val="center"/>
          </w:tcPr>
          <w:p>
            <w:pPr>
              <w:spacing w:line="360" w:lineRule="auto"/>
              <w:jc w:val="center"/>
              <w:rPr>
                <w:rFonts w:hint="eastAsia" w:cs="仿宋" w:asciiTheme="minorEastAsia" w:hAnsiTheme="minorEastAsia"/>
                <w:b w:val="0"/>
                <w:bCs/>
                <w:color w:val="auto"/>
                <w:sz w:val="24"/>
                <w:lang w:val="en-US" w:eastAsia="zh-CN"/>
              </w:rPr>
            </w:pPr>
          </w:p>
        </w:tc>
        <w:tc>
          <w:tcPr>
            <w:tcW w:w="1515" w:type="dxa"/>
            <w:vAlign w:val="center"/>
          </w:tcPr>
          <w:p>
            <w:pPr>
              <w:spacing w:line="360" w:lineRule="auto"/>
              <w:jc w:val="center"/>
              <w:rPr>
                <w:rFonts w:hint="eastAsia" w:cs="仿宋" w:asciiTheme="minorEastAsia" w:hAnsiTheme="minorEastAsia"/>
                <w:b w:val="0"/>
                <w:bCs/>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42" w:type="dxa"/>
            <w:vAlign w:val="center"/>
          </w:tcPr>
          <w:p>
            <w:pPr>
              <w:spacing w:line="360" w:lineRule="auto"/>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4</w:t>
            </w:r>
          </w:p>
        </w:tc>
        <w:tc>
          <w:tcPr>
            <w:tcW w:w="1754" w:type="dxa"/>
            <w:vAlign w:val="center"/>
          </w:tcPr>
          <w:p>
            <w:pPr>
              <w:spacing w:line="360" w:lineRule="auto"/>
              <w:jc w:val="center"/>
              <w:rPr>
                <w:rFonts w:hint="default"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分区整治方案</w:t>
            </w:r>
          </w:p>
        </w:tc>
        <w:tc>
          <w:tcPr>
            <w:tcW w:w="4570" w:type="dxa"/>
            <w:vAlign w:val="center"/>
          </w:tcPr>
          <w:p>
            <w:pPr>
              <w:spacing w:line="36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编辑分区整治方案</w:t>
            </w:r>
          </w:p>
        </w:tc>
        <w:tc>
          <w:tcPr>
            <w:tcW w:w="920" w:type="dxa"/>
            <w:vAlign w:val="center"/>
          </w:tcPr>
          <w:p>
            <w:pPr>
              <w:spacing w:line="36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1</w:t>
            </w:r>
          </w:p>
        </w:tc>
        <w:tc>
          <w:tcPr>
            <w:tcW w:w="1230" w:type="dxa"/>
            <w:vAlign w:val="center"/>
          </w:tcPr>
          <w:p>
            <w:pPr>
              <w:spacing w:line="360" w:lineRule="auto"/>
              <w:jc w:val="center"/>
              <w:rPr>
                <w:rFonts w:hint="default" w:cs="仿宋" w:asciiTheme="minorEastAsia" w:hAnsiTheme="minorEastAsia"/>
                <w:b w:val="0"/>
                <w:bCs/>
                <w:color w:val="auto"/>
                <w:sz w:val="24"/>
                <w:lang w:val="en-US" w:eastAsia="zh-CN"/>
              </w:rPr>
            </w:pPr>
            <w:r>
              <w:rPr>
                <w:rFonts w:hint="eastAsia" w:cs="仿宋" w:asciiTheme="minorEastAsia" w:hAnsiTheme="minorEastAsia"/>
                <w:b w:val="0"/>
                <w:bCs/>
                <w:color w:val="auto"/>
                <w:sz w:val="24"/>
                <w:lang w:val="en-US" w:eastAsia="zh-CN"/>
              </w:rPr>
              <w:t>项</w:t>
            </w:r>
          </w:p>
        </w:tc>
        <w:tc>
          <w:tcPr>
            <w:tcW w:w="1230" w:type="dxa"/>
            <w:vAlign w:val="center"/>
          </w:tcPr>
          <w:p>
            <w:pPr>
              <w:spacing w:line="360" w:lineRule="auto"/>
              <w:jc w:val="center"/>
              <w:rPr>
                <w:rFonts w:hint="eastAsia" w:cs="仿宋" w:asciiTheme="minorEastAsia" w:hAnsiTheme="minorEastAsia"/>
                <w:b w:val="0"/>
                <w:bCs/>
                <w:color w:val="auto"/>
                <w:sz w:val="24"/>
                <w:lang w:val="en-US" w:eastAsia="zh-CN"/>
              </w:rPr>
            </w:pPr>
          </w:p>
        </w:tc>
        <w:tc>
          <w:tcPr>
            <w:tcW w:w="1080" w:type="dxa"/>
            <w:vAlign w:val="center"/>
          </w:tcPr>
          <w:p>
            <w:pPr>
              <w:spacing w:line="360" w:lineRule="auto"/>
              <w:jc w:val="center"/>
              <w:rPr>
                <w:rFonts w:hint="eastAsia" w:cs="仿宋" w:asciiTheme="minorEastAsia" w:hAnsiTheme="minorEastAsia"/>
                <w:b w:val="0"/>
                <w:bCs/>
                <w:color w:val="auto"/>
                <w:sz w:val="24"/>
                <w:lang w:val="en-US" w:eastAsia="zh-CN"/>
              </w:rPr>
            </w:pPr>
          </w:p>
        </w:tc>
        <w:tc>
          <w:tcPr>
            <w:tcW w:w="1515" w:type="dxa"/>
            <w:vAlign w:val="center"/>
          </w:tcPr>
          <w:p>
            <w:pPr>
              <w:spacing w:line="360" w:lineRule="auto"/>
              <w:jc w:val="center"/>
              <w:rPr>
                <w:rFonts w:hint="eastAsia" w:cs="仿宋" w:asciiTheme="minorEastAsia" w:hAnsiTheme="minorEastAsia"/>
                <w:b w:val="0"/>
                <w:bCs/>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596" w:type="dxa"/>
            <w:gridSpan w:val="2"/>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响应报价合计（小写）</w:t>
            </w:r>
          </w:p>
        </w:tc>
        <w:tc>
          <w:tcPr>
            <w:tcW w:w="9030" w:type="dxa"/>
            <w:gridSpan w:val="5"/>
            <w:vAlign w:val="center"/>
          </w:tcPr>
          <w:p>
            <w:pPr>
              <w:spacing w:line="360" w:lineRule="auto"/>
              <w:jc w:val="center"/>
              <w:rPr>
                <w:rFonts w:cs="仿宋" w:asciiTheme="minorEastAsia" w:hAnsiTheme="minorEastAsia"/>
                <w:color w:val="auto"/>
                <w:sz w:val="24"/>
              </w:rPr>
            </w:pPr>
          </w:p>
        </w:tc>
        <w:tc>
          <w:tcPr>
            <w:tcW w:w="1515"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596" w:type="dxa"/>
            <w:gridSpan w:val="2"/>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响应报价合计（大写）</w:t>
            </w:r>
          </w:p>
        </w:tc>
        <w:tc>
          <w:tcPr>
            <w:tcW w:w="9030" w:type="dxa"/>
            <w:gridSpan w:val="5"/>
            <w:vAlign w:val="center"/>
          </w:tcPr>
          <w:p>
            <w:pPr>
              <w:spacing w:line="360" w:lineRule="auto"/>
              <w:jc w:val="center"/>
              <w:rPr>
                <w:rFonts w:cs="仿宋" w:asciiTheme="minorEastAsia" w:hAnsiTheme="minorEastAsia"/>
                <w:color w:val="auto"/>
                <w:sz w:val="24"/>
              </w:rPr>
            </w:pPr>
          </w:p>
        </w:tc>
        <w:tc>
          <w:tcPr>
            <w:tcW w:w="1515"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596" w:type="dxa"/>
            <w:gridSpan w:val="2"/>
            <w:vAlign w:val="center"/>
          </w:tcPr>
          <w:p>
            <w:pPr>
              <w:spacing w:line="360" w:lineRule="auto"/>
              <w:jc w:val="center"/>
              <w:rPr>
                <w:rFonts w:hint="eastAsia" w:cs="仿宋" w:asciiTheme="minorEastAsia" w:hAnsiTheme="minorEastAsia" w:eastAsiaTheme="minorEastAsia"/>
                <w:b/>
                <w:color w:val="auto"/>
                <w:sz w:val="24"/>
                <w:lang w:eastAsia="zh-CN"/>
              </w:rPr>
            </w:pPr>
            <w:r>
              <w:rPr>
                <w:rFonts w:hint="eastAsia" w:cs="仿宋" w:asciiTheme="minorEastAsia" w:hAnsiTheme="minorEastAsia"/>
                <w:b/>
                <w:color w:val="auto"/>
                <w:sz w:val="24"/>
                <w:lang w:eastAsia="zh-CN"/>
              </w:rPr>
              <w:t>税率</w:t>
            </w:r>
          </w:p>
        </w:tc>
        <w:tc>
          <w:tcPr>
            <w:tcW w:w="9030" w:type="dxa"/>
            <w:gridSpan w:val="5"/>
            <w:vAlign w:val="center"/>
          </w:tcPr>
          <w:p>
            <w:pPr>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c>
          <w:tcPr>
            <w:tcW w:w="1515" w:type="dxa"/>
            <w:vAlign w:val="center"/>
          </w:tcPr>
          <w:p>
            <w:pPr>
              <w:spacing w:line="360" w:lineRule="auto"/>
              <w:jc w:val="center"/>
              <w:rPr>
                <w:rFonts w:hint="eastAsia" w:cs="仿宋" w:asciiTheme="minorEastAsia" w:hAnsiTheme="minorEastAsia"/>
                <w:color w:val="auto"/>
                <w:sz w:val="24"/>
                <w:u w:val="single"/>
                <w:lang w:val="en-US" w:eastAsia="zh-CN"/>
              </w:rPr>
            </w:pPr>
          </w:p>
        </w:tc>
      </w:tr>
    </w:tbl>
    <w:p>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pPr>
        <w:pStyle w:val="6"/>
        <w:rPr>
          <w:color w:val="auto"/>
        </w:rPr>
      </w:pPr>
    </w:p>
    <w:p>
      <w:pPr>
        <w:pStyle w:val="15"/>
        <w:rPr>
          <w:color w:val="auto"/>
        </w:rPr>
      </w:pPr>
    </w:p>
    <w:p>
      <w:pPr>
        <w:rPr>
          <w:color w:val="auto"/>
        </w:rPr>
      </w:pPr>
    </w:p>
    <w:p>
      <w:pPr>
        <w:pStyle w:val="15"/>
        <w:ind w:left="0" w:leftChars="0" w:firstLine="0" w:firstLineChars="0"/>
        <w:rPr>
          <w:color w:val="auto"/>
        </w:rPr>
      </w:pPr>
    </w:p>
    <w:p>
      <w:pPr>
        <w:rPr>
          <w:color w:val="auto"/>
        </w:rPr>
      </w:pPr>
    </w:p>
    <w:p>
      <w:pPr>
        <w:pStyle w:val="6"/>
        <w:rPr>
          <w:color w:val="auto"/>
        </w:rPr>
      </w:pPr>
    </w:p>
    <w:p>
      <w:pPr>
        <w:rPr>
          <w:color w:val="auto"/>
        </w:rPr>
        <w:sectPr>
          <w:pgSz w:w="16838" w:h="11906" w:orient="landscape"/>
          <w:pgMar w:top="1803" w:right="1440" w:bottom="1803" w:left="1440" w:header="851" w:footer="992" w:gutter="0"/>
          <w:cols w:space="0" w:num="1"/>
          <w:rtlGutter w:val="0"/>
          <w:docGrid w:type="lines" w:linePitch="319" w:charSpace="0"/>
        </w:sectPr>
      </w:pPr>
    </w:p>
    <w:p>
      <w:pPr>
        <w:spacing w:line="360" w:lineRule="auto"/>
        <w:jc w:val="center"/>
        <w:rPr>
          <w:rFonts w:cs="仿宋" w:asciiTheme="minorEastAsia" w:hAnsiTheme="minorEastAsia"/>
          <w:b/>
          <w:color w:val="auto"/>
          <w:spacing w:val="6"/>
          <w:sz w:val="32"/>
          <w:szCs w:val="32"/>
        </w:rPr>
      </w:pPr>
      <w:bookmarkStart w:id="495" w:name="_Toc465665161"/>
      <w:r>
        <w:rPr>
          <w:rFonts w:hint="eastAsia" w:cs="宋体" w:asciiTheme="minorEastAsia" w:hAnsiTheme="minorEastAsia"/>
          <w:b/>
          <w:bCs/>
          <w:color w:val="auto"/>
          <w:kern w:val="44"/>
          <w:sz w:val="44"/>
          <w:szCs w:val="44"/>
        </w:rPr>
        <w:t>附件</w:t>
      </w:r>
      <w:bookmarkEnd w:id="495"/>
    </w:p>
    <w:p>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签字</w:t>
      </w:r>
      <w:r>
        <w:rPr>
          <w:rFonts w:hint="eastAsia" w:ascii="宋体" w:hAnsi="宋体" w:cs="宋体"/>
          <w:color w:val="auto"/>
          <w:sz w:val="24"/>
          <w:lang w:eastAsia="zh-CN"/>
        </w:rPr>
        <w:t>（</w:t>
      </w:r>
      <w:r>
        <w:rPr>
          <w:rFonts w:hint="eastAsia" w:ascii="宋体" w:hAnsi="宋体" w:cs="宋体"/>
          <w:color w:val="auto"/>
          <w:sz w:val="24"/>
        </w:rPr>
        <w:t>签章</w:t>
      </w:r>
      <w:r>
        <w:rPr>
          <w:rFonts w:hint="eastAsia" w:ascii="宋体" w:hAnsi="宋体" w:cs="宋体"/>
          <w:color w:val="auto"/>
          <w:sz w:val="24"/>
          <w:lang w:eastAsia="zh-CN"/>
        </w:rPr>
        <w:t>）</w:t>
      </w:r>
      <w:r>
        <w:rPr>
          <w:rFonts w:hint="eastAsia" w:ascii="宋体" w:hAnsi="宋体" w:cs="宋体"/>
          <w:color w:val="auto"/>
          <w:sz w:val="24"/>
        </w:rPr>
        <w:t xml:space="preserve">：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pPr>
        <w:pStyle w:val="11"/>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cs="仿宋" w:asciiTheme="minorEastAsia" w:hAnsiTheme="minorEastAsia"/>
          <w:b/>
          <w:color w:val="auto"/>
          <w:spacing w:val="6"/>
          <w:sz w:val="32"/>
          <w:szCs w:val="32"/>
        </w:rPr>
        <w:t>：</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供应商全称</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2024年临江公司地下水隐患排查治理咨询服务项目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202405010</w:t>
      </w:r>
      <w:r>
        <w:rPr>
          <w:rFonts w:hint="eastAsia" w:cs="仿宋" w:asciiTheme="minorEastAsia" w:hAnsiTheme="minorEastAsia"/>
          <w:color w:val="auto"/>
          <w:sz w:val="24"/>
        </w:rPr>
        <w:t>】</w:t>
      </w:r>
      <w:r>
        <w:rPr>
          <w:rFonts w:hint="eastAsia" w:cs="仿宋" w:asciiTheme="minorEastAsia" w:hAnsiTheme="minorEastAsia"/>
          <w:bCs/>
          <w:color w:val="auto"/>
          <w:sz w:val="24"/>
        </w:rPr>
        <w:t>响应活动中</w:t>
      </w:r>
      <w:r>
        <w:rPr>
          <w:rFonts w:hint="eastAsia" w:cs="仿宋" w:asciiTheme="minorEastAsia" w:hAnsiTheme="minorEastAsia"/>
          <w:bCs/>
          <w:color w:val="auto"/>
          <w:sz w:val="24"/>
          <w:lang w:eastAsia="zh-CN"/>
        </w:rPr>
        <w:t>做如下</w:t>
      </w:r>
      <w:r>
        <w:rPr>
          <w:rFonts w:hint="eastAsia" w:cs="仿宋" w:asciiTheme="minorEastAsia" w:hAnsiTheme="minorEastAsia"/>
          <w:bCs/>
          <w:color w:val="auto"/>
          <w:sz w:val="24"/>
        </w:rPr>
        <w:t>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2024年临江公司地下水隐患排查治理咨询服务项目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202405010</w:t>
      </w:r>
      <w:r>
        <w:rPr>
          <w:rFonts w:hint="eastAsia" w:cs="仿宋" w:asciiTheme="minorEastAsia" w:hAnsiTheme="minorEastAsia"/>
          <w:color w:val="auto"/>
          <w:sz w:val="24"/>
        </w:rPr>
        <w:t>】</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6"/>
        <w:rPr>
          <w:color w:val="auto"/>
        </w:rPr>
      </w:pPr>
    </w:p>
    <w:p>
      <w:pPr>
        <w:rPr>
          <w:color w:val="auto"/>
        </w:rPr>
      </w:pPr>
    </w:p>
    <w:p>
      <w:pPr>
        <w:pStyle w:val="6"/>
        <w:rPr>
          <w:color w:val="auto"/>
        </w:rPr>
      </w:pPr>
    </w:p>
    <w:p>
      <w:pPr>
        <w:pStyle w:val="6"/>
      </w:pP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仿宋" w:hAnsi="仿宋" w:eastAsia="仿宋" w:cs="仿宋"/>
        <w:i/>
        <w:iCs/>
      </w:rPr>
    </w:pPr>
  </w:p>
  <w:p>
    <w:pPr>
      <w:pStyle w:val="10"/>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4NDUyY2MyMzJlMWJhMmJhYWRlZTBmZDU1MjJiNWMifQ=="/>
  </w:docVars>
  <w:rsids>
    <w:rsidRoot w:val="00000000"/>
    <w:rsid w:val="023E1286"/>
    <w:rsid w:val="02414623"/>
    <w:rsid w:val="046A1781"/>
    <w:rsid w:val="04E634F4"/>
    <w:rsid w:val="05150472"/>
    <w:rsid w:val="051B17AF"/>
    <w:rsid w:val="0805754C"/>
    <w:rsid w:val="08670640"/>
    <w:rsid w:val="08E37A2F"/>
    <w:rsid w:val="09052D45"/>
    <w:rsid w:val="09EC7123"/>
    <w:rsid w:val="09ED56C9"/>
    <w:rsid w:val="0A1D0FFF"/>
    <w:rsid w:val="0AD025A1"/>
    <w:rsid w:val="0BD07B44"/>
    <w:rsid w:val="0C492847"/>
    <w:rsid w:val="0D9D236E"/>
    <w:rsid w:val="0E2B2EFA"/>
    <w:rsid w:val="0E8343D4"/>
    <w:rsid w:val="0F095788"/>
    <w:rsid w:val="0F81598B"/>
    <w:rsid w:val="10BE08E9"/>
    <w:rsid w:val="10FE4BED"/>
    <w:rsid w:val="1157552B"/>
    <w:rsid w:val="1429122D"/>
    <w:rsid w:val="14521AA0"/>
    <w:rsid w:val="15BE749A"/>
    <w:rsid w:val="166F3635"/>
    <w:rsid w:val="185A544F"/>
    <w:rsid w:val="18890233"/>
    <w:rsid w:val="18C265E7"/>
    <w:rsid w:val="198737C7"/>
    <w:rsid w:val="19DC6BDA"/>
    <w:rsid w:val="1A6E3C55"/>
    <w:rsid w:val="1AA56FDE"/>
    <w:rsid w:val="1AE575E2"/>
    <w:rsid w:val="1B7913A6"/>
    <w:rsid w:val="1C742A28"/>
    <w:rsid w:val="1CC272AD"/>
    <w:rsid w:val="1CD34128"/>
    <w:rsid w:val="1CDE6781"/>
    <w:rsid w:val="1F457921"/>
    <w:rsid w:val="21200631"/>
    <w:rsid w:val="21677697"/>
    <w:rsid w:val="219E3795"/>
    <w:rsid w:val="22A244DC"/>
    <w:rsid w:val="23641563"/>
    <w:rsid w:val="23AE001C"/>
    <w:rsid w:val="23D47704"/>
    <w:rsid w:val="249C54A7"/>
    <w:rsid w:val="27B808F1"/>
    <w:rsid w:val="284A39BF"/>
    <w:rsid w:val="28900FF9"/>
    <w:rsid w:val="2A1060BE"/>
    <w:rsid w:val="2A6366FF"/>
    <w:rsid w:val="2A6807FA"/>
    <w:rsid w:val="2B32649C"/>
    <w:rsid w:val="2BFF4E3C"/>
    <w:rsid w:val="2C270527"/>
    <w:rsid w:val="2C4141D8"/>
    <w:rsid w:val="2D8753C9"/>
    <w:rsid w:val="2E8337FA"/>
    <w:rsid w:val="2EE76082"/>
    <w:rsid w:val="2F1F33A8"/>
    <w:rsid w:val="2F5836E9"/>
    <w:rsid w:val="2F684376"/>
    <w:rsid w:val="2F99309D"/>
    <w:rsid w:val="30123142"/>
    <w:rsid w:val="304A7E50"/>
    <w:rsid w:val="307E6F1F"/>
    <w:rsid w:val="314B6E80"/>
    <w:rsid w:val="32843E96"/>
    <w:rsid w:val="352F03C1"/>
    <w:rsid w:val="36162BCB"/>
    <w:rsid w:val="36412810"/>
    <w:rsid w:val="36BD312A"/>
    <w:rsid w:val="37514AF4"/>
    <w:rsid w:val="377C0298"/>
    <w:rsid w:val="37EB4581"/>
    <w:rsid w:val="37F61CA1"/>
    <w:rsid w:val="39C31C6C"/>
    <w:rsid w:val="3C283344"/>
    <w:rsid w:val="3C3420E0"/>
    <w:rsid w:val="3C485F9D"/>
    <w:rsid w:val="3C7C70D7"/>
    <w:rsid w:val="3E0C6463"/>
    <w:rsid w:val="3EEC52AF"/>
    <w:rsid w:val="403E57B7"/>
    <w:rsid w:val="40532D51"/>
    <w:rsid w:val="4179370E"/>
    <w:rsid w:val="42112513"/>
    <w:rsid w:val="43496F4C"/>
    <w:rsid w:val="435518AD"/>
    <w:rsid w:val="437A2DA4"/>
    <w:rsid w:val="44873A1C"/>
    <w:rsid w:val="472961BF"/>
    <w:rsid w:val="47FC5418"/>
    <w:rsid w:val="49105C83"/>
    <w:rsid w:val="49A53D97"/>
    <w:rsid w:val="4AE27CAC"/>
    <w:rsid w:val="4B70249A"/>
    <w:rsid w:val="4BAC48C9"/>
    <w:rsid w:val="4C4A4234"/>
    <w:rsid w:val="4F251D5C"/>
    <w:rsid w:val="4FD65994"/>
    <w:rsid w:val="4FEB08B0"/>
    <w:rsid w:val="4FEE63C4"/>
    <w:rsid w:val="5039401C"/>
    <w:rsid w:val="50886E1D"/>
    <w:rsid w:val="513B5867"/>
    <w:rsid w:val="514563A8"/>
    <w:rsid w:val="523875F5"/>
    <w:rsid w:val="52506204"/>
    <w:rsid w:val="52B35FD7"/>
    <w:rsid w:val="52CE3CA0"/>
    <w:rsid w:val="533B163F"/>
    <w:rsid w:val="53FA1DF3"/>
    <w:rsid w:val="54AB2D04"/>
    <w:rsid w:val="560B6EB6"/>
    <w:rsid w:val="56C7009B"/>
    <w:rsid w:val="56F563A5"/>
    <w:rsid w:val="571F3A0C"/>
    <w:rsid w:val="57EE5F9D"/>
    <w:rsid w:val="57F2034A"/>
    <w:rsid w:val="58235318"/>
    <w:rsid w:val="58354DBE"/>
    <w:rsid w:val="59121C77"/>
    <w:rsid w:val="59DE0E09"/>
    <w:rsid w:val="59E24004"/>
    <w:rsid w:val="5A283DD0"/>
    <w:rsid w:val="5ACD76EE"/>
    <w:rsid w:val="5B3D7F5F"/>
    <w:rsid w:val="5EFD2476"/>
    <w:rsid w:val="5F0279C4"/>
    <w:rsid w:val="5F944466"/>
    <w:rsid w:val="6139287F"/>
    <w:rsid w:val="62121B84"/>
    <w:rsid w:val="63CF15A0"/>
    <w:rsid w:val="657B7ADB"/>
    <w:rsid w:val="673E5F91"/>
    <w:rsid w:val="679754A0"/>
    <w:rsid w:val="67D649B5"/>
    <w:rsid w:val="68C45F51"/>
    <w:rsid w:val="68C66552"/>
    <w:rsid w:val="6A4E3ABD"/>
    <w:rsid w:val="6AE63D7E"/>
    <w:rsid w:val="6B462C2B"/>
    <w:rsid w:val="6D151CC0"/>
    <w:rsid w:val="700D088C"/>
    <w:rsid w:val="700E4F44"/>
    <w:rsid w:val="70173239"/>
    <w:rsid w:val="721A5B23"/>
    <w:rsid w:val="725358E9"/>
    <w:rsid w:val="72B931C1"/>
    <w:rsid w:val="733A455A"/>
    <w:rsid w:val="738D03F5"/>
    <w:rsid w:val="73CA02B3"/>
    <w:rsid w:val="767E5B01"/>
    <w:rsid w:val="79003568"/>
    <w:rsid w:val="79EB254B"/>
    <w:rsid w:val="7AF4716D"/>
    <w:rsid w:val="7BA82ABD"/>
    <w:rsid w:val="7C662D96"/>
    <w:rsid w:val="7D797C2B"/>
    <w:rsid w:val="7D955BFE"/>
    <w:rsid w:val="7DAC6A56"/>
    <w:rsid w:val="7DD801C5"/>
    <w:rsid w:val="7E600661"/>
    <w:rsid w:val="7EE65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pPr>
      <w:jc w:val="left"/>
    </w:pPr>
    <w:rPr>
      <w:b/>
      <w:caps/>
    </w:rPr>
  </w:style>
  <w:style w:type="paragraph" w:styleId="12">
    <w:name w:val="toc 6"/>
    <w:basedOn w:val="1"/>
    <w:next w:val="1"/>
    <w:autoRedefine/>
    <w:qFormat/>
    <w:uiPriority w:val="0"/>
    <w:pPr>
      <w:ind w:left="2100" w:leftChars="1000"/>
    </w:pPr>
  </w:style>
  <w:style w:type="paragraph" w:styleId="13">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5">
    <w:name w:val="Body Text First Indent"/>
    <w:basedOn w:val="6"/>
    <w:autoRedefine/>
    <w:qFormat/>
    <w:uiPriority w:val="0"/>
    <w:pPr>
      <w:ind w:firstLine="420"/>
    </w:pPr>
    <w:rPr>
      <w:rFonts w:hAnsi="Times New Roman" w:cs="Times New Roman"/>
      <w:snapToGrid/>
      <w:szCs w:val="20"/>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25385</Words>
  <Characters>26522</Characters>
  <Lines>0</Lines>
  <Paragraphs>0</Paragraphs>
  <TotalTime>20</TotalTime>
  <ScaleCrop>false</ScaleCrop>
  <LinksUpToDate>false</LinksUpToDate>
  <CharactersWithSpaces>30082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2024-05-13T07:30:10Z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A1ED29D5195F42DC88B15D6E555041E6</vt:lpwstr>
  </property>
</Properties>
</file>