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2024年临江公司职业病危害现状评价服务采购项目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202406013</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2024年临江公司职业病危害现状评价服务采购项目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202406013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2024年临江公司职业病危害现状评价服务采购项目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12万元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根据《中华人民共和国职业病防治法》和《工作场所职业卫生管理规定》（国家卫生健康委员会令第5号）要求，临江公司需委托有资质的单位进行职业病危害现状评价工作</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自合同签订起至出具现状评价报告并完成备案后，本合同自动终止</w:t>
      </w:r>
      <w:r>
        <w:rPr>
          <w:rFonts w:hint="eastAsia" w:hAnsi="宋体" w:cs="宋体"/>
          <w:bCs/>
          <w:color w:val="auto"/>
          <w:sz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4.供应商须具有在有效期内的职业卫生技术服务机构资质证书。（提供资质证书复印件（加盖公章））。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6月17</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根据《中华人民共和国职业病防治法》和《工作场所职业卫生管理规定》（国家卫生健康委员会令第5号）要求</w:t>
      </w:r>
      <w:r>
        <w:rPr>
          <w:rFonts w:hint="eastAsia" w:ascii="宋体"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职业病危害严重的用人单位，每年至少进行一次职业病危害因素检测，每三年至少进行一次职业病危害现状评价。</w:t>
      </w:r>
    </w:p>
    <w:p>
      <w:pPr>
        <w:pStyle w:val="6"/>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cs="Arial"/>
          <w:snapToGrid w:val="0"/>
          <w:color w:val="auto"/>
          <w:kern w:val="2"/>
          <w:sz w:val="24"/>
          <w:szCs w:val="21"/>
          <w:lang w:val="en-US" w:eastAsia="zh-CN" w:bidi="ar-SA"/>
        </w:rPr>
        <w:t>按照要求能源</w:t>
      </w:r>
      <w:r>
        <w:rPr>
          <w:rFonts w:hint="eastAsia" w:cs="Arial"/>
          <w:snapToGrid w:val="0"/>
          <w:color w:val="auto"/>
          <w:kern w:val="2"/>
          <w:sz w:val="24"/>
          <w:szCs w:val="21"/>
          <w:lang w:val="en-US" w:eastAsia="zh-CN" w:bidi="ar-SA"/>
        </w:rPr>
        <w:t>、三固</w:t>
      </w:r>
      <w:r>
        <w:rPr>
          <w:rFonts w:hint="eastAsia" w:ascii="宋体" w:cs="Arial"/>
          <w:snapToGrid w:val="0"/>
          <w:color w:val="auto"/>
          <w:kern w:val="2"/>
          <w:sz w:val="24"/>
          <w:szCs w:val="21"/>
          <w:lang w:val="en-US" w:eastAsia="zh-CN" w:bidi="ar-SA"/>
        </w:rPr>
        <w:t>事业部今年需进行职业病危害</w:t>
      </w:r>
      <w:r>
        <w:rPr>
          <w:rFonts w:hint="eastAsia" w:ascii="宋体" w:hAnsi="Arial" w:cs="Arial" w:eastAsiaTheme="minorEastAsia"/>
          <w:snapToGrid w:val="0"/>
          <w:color w:val="auto"/>
          <w:kern w:val="2"/>
          <w:sz w:val="24"/>
          <w:szCs w:val="21"/>
          <w:lang w:val="en-US" w:eastAsia="zh-CN" w:bidi="ar-SA"/>
        </w:rPr>
        <w:t>现状评价</w:t>
      </w:r>
      <w:r>
        <w:rPr>
          <w:rFonts w:hint="eastAsia" w:cs="Arial"/>
          <w:snapToGrid w:val="0"/>
          <w:color w:val="auto"/>
          <w:kern w:val="2"/>
          <w:sz w:val="24"/>
          <w:szCs w:val="21"/>
          <w:lang w:val="en-US" w:eastAsia="zh-CN" w:bidi="ar-SA"/>
        </w:rPr>
        <w:t>工作，</w:t>
      </w:r>
      <w:r>
        <w:rPr>
          <w:rFonts w:hint="eastAsia" w:ascii="宋体" w:hAnsi="Arial" w:cs="Arial" w:eastAsiaTheme="minorEastAsia"/>
          <w:snapToGrid w:val="0"/>
          <w:color w:val="auto"/>
          <w:kern w:val="2"/>
          <w:sz w:val="24"/>
          <w:szCs w:val="21"/>
          <w:highlight w:val="none"/>
          <w:lang w:val="en-US" w:eastAsia="zh-CN" w:bidi="ar-SA"/>
        </w:rPr>
        <w:t>并分别出具现状评价报告</w:t>
      </w:r>
      <w:r>
        <w:rPr>
          <w:rFonts w:hint="eastAsia" w:cs="Arial"/>
          <w:snapToGrid w:val="0"/>
          <w:color w:val="auto"/>
          <w:kern w:val="2"/>
          <w:sz w:val="24"/>
          <w:szCs w:val="21"/>
          <w:highlight w:val="none"/>
          <w:lang w:val="en-US" w:eastAsia="zh-CN" w:bidi="ar-SA"/>
        </w:rPr>
        <w:t>。（若备案申报系统中只能上传1份报告的情况下，报告无需分别出具。）</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u w:val="single"/>
          <w:lang w:val="en-US" w:eastAsia="zh-CN"/>
        </w:rPr>
        <w:t>自合同签订起至</w:t>
      </w:r>
      <w:r>
        <w:rPr>
          <w:rFonts w:hint="eastAsia"/>
          <w:color w:val="auto"/>
          <w:u w:val="single"/>
          <w:lang w:val="en-US" w:eastAsia="zh-CN"/>
        </w:rPr>
        <w:t>完成</w:t>
      </w:r>
      <w:r>
        <w:rPr>
          <w:rFonts w:hint="eastAsia" w:ascii="宋体"/>
          <w:color w:val="auto"/>
          <w:u w:val="single"/>
          <w:lang w:val="en-US" w:eastAsia="zh-CN"/>
        </w:rPr>
        <w:t>现状评价报告</w:t>
      </w:r>
      <w:r>
        <w:rPr>
          <w:rFonts w:hint="eastAsia"/>
          <w:color w:val="auto"/>
          <w:u w:val="single"/>
          <w:lang w:val="en-US" w:eastAsia="zh-CN"/>
        </w:rPr>
        <w:t>备案</w:t>
      </w:r>
      <w:r>
        <w:rPr>
          <w:rFonts w:hint="eastAsia" w:ascii="宋体"/>
          <w:color w:val="auto"/>
          <w:u w:val="single"/>
          <w:lang w:val="en-US" w:eastAsia="zh-CN"/>
        </w:rPr>
        <w:t>后，本合同自动终止</w:t>
      </w:r>
      <w:r>
        <w:rPr>
          <w:rFonts w:hint="eastAsia"/>
          <w:color w:val="auto"/>
          <w:u w:val="single"/>
          <w:lang w:val="en-US" w:eastAsia="zh-CN"/>
        </w:rPr>
        <w:t>。</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1.技术规范需符合《中华人民共和国职业病防治法》和</w:t>
      </w:r>
      <w:r>
        <w:rPr>
          <w:rFonts w:hint="eastAsia" w:ascii="宋体" w:hAnsi="Arial" w:cs="Arial" w:eastAsiaTheme="minorEastAsia"/>
          <w:snapToGrid w:val="0"/>
          <w:color w:val="auto"/>
          <w:kern w:val="2"/>
          <w:sz w:val="24"/>
          <w:szCs w:val="21"/>
          <w:lang w:val="en-US" w:eastAsia="zh-CN" w:bidi="ar-SA"/>
        </w:rPr>
        <w:t>《工作场所职业卫生管理规定》</w:t>
      </w:r>
      <w:r>
        <w:rPr>
          <w:rFonts w:hint="eastAsia" w:ascii="宋体"/>
          <w:color w:val="auto"/>
          <w:lang w:val="en-US" w:eastAsia="zh-CN"/>
        </w:rPr>
        <w:t>要求。</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2.能源、三固事业部因素检测清单如下</w:t>
      </w:r>
      <w:r>
        <w:rPr>
          <w:rFonts w:hint="eastAsia"/>
          <w:color w:val="auto"/>
          <w:lang w:val="en-US" w:eastAsia="zh-CN"/>
        </w:rPr>
        <w:t>（具体以实际情况为准）</w:t>
      </w:r>
      <w:r>
        <w:rPr>
          <w:rFonts w:hint="eastAsia" w:ascii="宋体"/>
          <w:color w:val="auto"/>
          <w:lang w:val="en-US" w:eastAsia="zh-CN"/>
        </w:rPr>
        <w:t>：</w:t>
      </w:r>
    </w:p>
    <w:tbl>
      <w:tblPr>
        <w:tblStyle w:val="16"/>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639"/>
        <w:gridCol w:w="2181"/>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3" w:type="dxa"/>
            <w:gridSpan w:val="4"/>
            <w:noWrap w:val="0"/>
            <w:vAlign w:val="center"/>
          </w:tcPr>
          <w:p>
            <w:pPr>
              <w:pStyle w:val="6"/>
              <w:numPr>
                <w:ilvl w:val="0"/>
                <w:numId w:val="0"/>
              </w:numPr>
              <w:ind w:firstLine="420" w:firstLineChars="200"/>
              <w:jc w:val="center"/>
              <w:rPr>
                <w:rFonts w:hint="eastAsia"/>
                <w:vertAlign w:val="baseline"/>
                <w:lang w:val="en-US" w:eastAsia="zh-CN"/>
              </w:rPr>
            </w:pPr>
            <w:r>
              <w:rPr>
                <w:rFonts w:hint="eastAsia" w:asciiTheme="minorHAnsi" w:hAnsiTheme="minorHAnsi" w:eastAsiaTheme="minorEastAsia" w:cstheme="minorBidi"/>
                <w:snapToGrid/>
                <w:kern w:val="2"/>
                <w:sz w:val="21"/>
                <w:szCs w:val="24"/>
                <w:vertAlign w:val="baseline"/>
                <w:lang w:val="en-US" w:eastAsia="zh-CN" w:bidi="ar-SA"/>
              </w:rPr>
              <w:t>三固事业部职业病危害因素清单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noWrap w:val="0"/>
            <w:vAlign w:val="center"/>
          </w:tcPr>
          <w:p>
            <w:pPr>
              <w:jc w:val="center"/>
              <w:rPr>
                <w:rFonts w:hint="default" w:eastAsia="宋体"/>
                <w:vertAlign w:val="baseline"/>
                <w:lang w:val="en-US" w:eastAsia="zh-CN"/>
              </w:rPr>
            </w:pPr>
            <w:r>
              <w:rPr>
                <w:rFonts w:hint="eastAsia"/>
                <w:vertAlign w:val="baseline"/>
                <w:lang w:val="en-US" w:eastAsia="zh-CN"/>
              </w:rPr>
              <w:t>车间</w:t>
            </w:r>
          </w:p>
        </w:tc>
        <w:tc>
          <w:tcPr>
            <w:tcW w:w="1639" w:type="dxa"/>
            <w:noWrap w:val="0"/>
            <w:vAlign w:val="center"/>
          </w:tcPr>
          <w:p>
            <w:pPr>
              <w:jc w:val="center"/>
              <w:rPr>
                <w:rFonts w:hint="default" w:eastAsia="宋体"/>
                <w:vertAlign w:val="baseline"/>
                <w:lang w:val="en-US" w:eastAsia="zh-CN"/>
              </w:rPr>
            </w:pPr>
            <w:r>
              <w:rPr>
                <w:rFonts w:hint="eastAsia"/>
                <w:vertAlign w:val="baseline"/>
                <w:lang w:val="en-US" w:eastAsia="zh-CN"/>
              </w:rPr>
              <w:t>作业工种</w:t>
            </w: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检测地点</w:t>
            </w:r>
          </w:p>
        </w:tc>
        <w:tc>
          <w:tcPr>
            <w:tcW w:w="3300" w:type="dxa"/>
            <w:noWrap w:val="0"/>
            <w:vAlign w:val="center"/>
          </w:tcPr>
          <w:p>
            <w:pPr>
              <w:jc w:val="center"/>
              <w:rPr>
                <w:rFonts w:hint="default" w:eastAsia="宋体"/>
                <w:vertAlign w:val="baseline"/>
                <w:lang w:val="en-US" w:eastAsia="zh-CN"/>
              </w:rPr>
            </w:pPr>
            <w:r>
              <w:rPr>
                <w:rFonts w:hint="eastAsia"/>
                <w:vertAlign w:val="baseline"/>
                <w:lang w:val="en-US" w:eastAsia="zh-CN"/>
              </w:rPr>
              <w:t>职业病危害因素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危废暂存库</w:t>
            </w: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暂存库管理员</w:t>
            </w:r>
          </w:p>
        </w:tc>
        <w:tc>
          <w:tcPr>
            <w:tcW w:w="2181" w:type="dxa"/>
            <w:noWrap w:val="0"/>
            <w:vAlign w:val="center"/>
          </w:tcPr>
          <w:p>
            <w:pPr>
              <w:jc w:val="center"/>
              <w:rPr>
                <w:rFonts w:hint="eastAsia" w:eastAsia="宋体"/>
                <w:vertAlign w:val="baseline"/>
                <w:lang w:eastAsia="zh-CN"/>
              </w:rPr>
            </w:pPr>
            <w:r>
              <w:rPr>
                <w:rFonts w:hint="eastAsia"/>
                <w:vertAlign w:val="baseline"/>
                <w:lang w:eastAsia="zh-CN"/>
              </w:rPr>
              <w:t>——</w:t>
            </w:r>
          </w:p>
        </w:tc>
        <w:tc>
          <w:tcPr>
            <w:tcW w:w="3300" w:type="dxa"/>
            <w:noWrap w:val="0"/>
            <w:vAlign w:val="center"/>
          </w:tcPr>
          <w:p>
            <w:pPr>
              <w:jc w:val="center"/>
              <w:rPr>
                <w:rFonts w:hint="eastAsia" w:eastAsia="宋体"/>
                <w:vertAlign w:val="baseline"/>
                <w:lang w:val="en-US" w:eastAsia="zh-CN"/>
              </w:rPr>
            </w:pPr>
            <w:r>
              <w:rPr>
                <w:rFonts w:hint="eastAsia"/>
                <w:vertAlign w:val="baseline"/>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default" w:eastAsia="宋体"/>
                <w:vertAlign w:val="baseline"/>
                <w:lang w:val="en-US" w:eastAsia="zh-CN"/>
              </w:rPr>
            </w:pPr>
          </w:p>
        </w:tc>
        <w:tc>
          <w:tcPr>
            <w:tcW w:w="2181" w:type="dxa"/>
            <w:vMerge w:val="restart"/>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可燃废液储存区</w:t>
            </w: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甲苯</w:t>
            </w:r>
          </w:p>
        </w:tc>
      </w:tr>
      <w:tr>
        <w:tblPrEx>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乙酸丁酯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default" w:eastAsia="宋体"/>
                <w:vertAlign w:val="baseline"/>
                <w:lang w:val="en-US" w:eastAsia="zh-CN"/>
              </w:rPr>
            </w:pPr>
          </w:p>
        </w:tc>
        <w:tc>
          <w:tcPr>
            <w:tcW w:w="3300" w:type="dxa"/>
            <w:noWrap w:val="0"/>
            <w:vAlign w:val="center"/>
          </w:tcPr>
          <w:p>
            <w:pPr>
              <w:jc w:val="center"/>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丁酮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rFonts w:hint="eastAsia" w:eastAsia="宋体"/>
                <w:vertAlign w:val="baseline"/>
                <w:lang w:val="en-US" w:eastAsia="zh-CN"/>
              </w:rPr>
            </w:pPr>
          </w:p>
        </w:tc>
        <w:tc>
          <w:tcPr>
            <w:tcW w:w="3300" w:type="dxa"/>
            <w:noWrap w:val="0"/>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三氯甲烷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物化废液储存区</w:t>
            </w:r>
          </w:p>
        </w:tc>
        <w:tc>
          <w:tcPr>
            <w:tcW w:w="3300" w:type="dxa"/>
            <w:noWrap w:val="0"/>
            <w:vAlign w:val="center"/>
          </w:tcPr>
          <w:p>
            <w:pPr>
              <w:jc w:val="center"/>
              <w:rPr>
                <w:rFonts w:hint="eastAsia" w:eastAsia="宋体"/>
                <w:vertAlign w:val="baseline"/>
                <w:lang w:val="en-US" w:eastAsia="zh-CN"/>
              </w:rPr>
            </w:pPr>
            <w:r>
              <w:rPr>
                <w:rFonts w:hint="eastAsia"/>
                <w:vertAlign w:val="baseline"/>
                <w:lang w:val="en-US" w:eastAsia="zh-CN"/>
              </w:rPr>
              <w:t>氟化氢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eastAsia="宋体"/>
                <w:vertAlign w:val="baseline"/>
                <w:lang w:val="en-US" w:eastAsia="zh-CN"/>
              </w:rPr>
            </w:pPr>
            <w:r>
              <w:rPr>
                <w:rFonts w:hint="eastAsia"/>
                <w:vertAlign w:val="baseline"/>
                <w:lang w:val="en-US" w:eastAsia="zh-CN"/>
              </w:rPr>
              <w:t>氯化氢及盐酸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eastAsia="宋体"/>
                <w:vertAlign w:val="baseline"/>
                <w:lang w:val="en-US" w:eastAsia="zh-CN"/>
              </w:rPr>
            </w:pPr>
            <w:r>
              <w:rPr>
                <w:rFonts w:hint="eastAsia"/>
                <w:vertAlign w:val="baseline"/>
                <w:lang w:val="en-US" w:eastAsia="zh-CN"/>
              </w:rPr>
              <w:t>氢氧化钠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危险废物暂存库</w:t>
            </w:r>
          </w:p>
        </w:tc>
        <w:tc>
          <w:tcPr>
            <w:tcW w:w="3300" w:type="dxa"/>
            <w:noWrap w:val="0"/>
            <w:vAlign w:val="center"/>
          </w:tcPr>
          <w:p>
            <w:pPr>
              <w:jc w:val="center"/>
              <w:rPr>
                <w:rFonts w:hint="eastAsia" w:eastAsia="宋体"/>
                <w:vertAlign w:val="baseline"/>
                <w:lang w:val="en-US" w:eastAsia="zh-CN"/>
              </w:rPr>
            </w:pPr>
            <w:r>
              <w:rPr>
                <w:rFonts w:hint="eastAsia"/>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臭气处理系统</w:t>
            </w:r>
          </w:p>
        </w:tc>
        <w:tc>
          <w:tcPr>
            <w:tcW w:w="3300" w:type="dxa"/>
            <w:noWrap w:val="0"/>
            <w:vAlign w:val="center"/>
          </w:tcPr>
          <w:p>
            <w:pPr>
              <w:jc w:val="center"/>
              <w:rPr>
                <w:rFonts w:hint="eastAsia" w:eastAsia="宋体"/>
                <w:vertAlign w:val="baseline"/>
                <w:lang w:val="en-US" w:eastAsia="zh-CN"/>
              </w:rPr>
            </w:pPr>
            <w:r>
              <w:rPr>
                <w:rFonts w:hint="eastAsia"/>
                <w:vertAlign w:val="baseline"/>
                <w:lang w:val="en-US" w:eastAsia="zh-CN"/>
              </w:rPr>
              <w:t>氢氧化钠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焚烧车间</w:t>
            </w:r>
          </w:p>
        </w:tc>
        <w:tc>
          <w:tcPr>
            <w:tcW w:w="1639" w:type="dxa"/>
            <w:vMerge w:val="restart"/>
            <w:noWrap w:val="0"/>
            <w:vAlign w:val="center"/>
          </w:tcPr>
          <w:p>
            <w:pPr>
              <w:jc w:val="center"/>
              <w:rPr>
                <w:rFonts w:hint="default"/>
                <w:vertAlign w:val="baseline"/>
                <w:lang w:val="en-US" w:eastAsia="zh-CN"/>
              </w:rPr>
            </w:pPr>
            <w:r>
              <w:rPr>
                <w:rFonts w:hint="eastAsia"/>
                <w:vertAlign w:val="baseline"/>
                <w:lang w:val="en-US" w:eastAsia="zh-CN"/>
              </w:rPr>
              <w:t>预处理操作工（分选）</w:t>
            </w: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预处理区</w:t>
            </w:r>
          </w:p>
        </w:tc>
        <w:tc>
          <w:tcPr>
            <w:tcW w:w="3300" w:type="dxa"/>
            <w:noWrap w:val="0"/>
            <w:vAlign w:val="center"/>
          </w:tcPr>
          <w:p>
            <w:pPr>
              <w:jc w:val="center"/>
              <w:rPr>
                <w:rFonts w:hint="default" w:ascii="Times New Roman" w:hAnsi="Times New Roman" w:eastAsia="宋体" w:cs="Times New Roman"/>
                <w:color w:val="auto"/>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其他粉尘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乙酸丁酯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丁酮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三氯甲烷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预处理操作工（破碎）</w:t>
            </w: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破碎区</w:t>
            </w:r>
          </w:p>
        </w:tc>
        <w:tc>
          <w:tcPr>
            <w:tcW w:w="3300" w:type="dxa"/>
            <w:noWrap w:val="0"/>
            <w:vAlign w:val="center"/>
          </w:tcPr>
          <w:p>
            <w:pPr>
              <w:jc w:val="center"/>
              <w:rPr>
                <w:rFonts w:hint="default" w:ascii="Times New Roman" w:hAnsi="Times New Roman" w:eastAsia="宋体" w:cs="Times New Roman"/>
                <w:color w:val="0000FF"/>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其他粉尘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乙酸丁酯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丁酮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lang w:val="en-US" w:eastAsia="zh-CN"/>
              </w:rPr>
              <w:t>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三氯甲烷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vertAlign w:val="baseline"/>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预处理操作工（入池）</w:t>
            </w: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进料口（焚烧料坑）</w:t>
            </w:r>
          </w:p>
        </w:tc>
        <w:tc>
          <w:tcPr>
            <w:tcW w:w="3300" w:type="dxa"/>
            <w:noWrap w:val="0"/>
            <w:vAlign w:val="center"/>
          </w:tcPr>
          <w:p>
            <w:pPr>
              <w:jc w:val="center"/>
              <w:rPr>
                <w:rFonts w:hint="default" w:ascii="Times New Roman" w:hAnsi="Times New Roman" w:eastAsia="宋体" w:cs="Times New Roman"/>
                <w:color w:val="0000FF"/>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其他粉尘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乙酸丁酯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丁酮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lang w:val="en-US" w:eastAsia="zh-CN"/>
              </w:rPr>
              <w:t>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三氯甲烷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lang w:val="en-US" w:eastAsia="zh-CN"/>
              </w:rPr>
            </w:pPr>
            <w:r>
              <w:rPr>
                <w:rFonts w:hint="eastAsia"/>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eastAsia="宋体"/>
                <w:vertAlign w:val="baseline"/>
                <w:lang w:val="en-US" w:eastAsia="zh-CN"/>
              </w:rPr>
            </w:pPr>
            <w:r>
              <w:rPr>
                <w:rFonts w:hint="eastAsia"/>
                <w:vertAlign w:val="baseline"/>
                <w:lang w:val="en-US" w:eastAsia="zh-CN"/>
              </w:rPr>
              <w:t>其他粉尘（飞灰）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焚烧线巡检工、焚烧司炉</w:t>
            </w: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进料系统行车平台</w:t>
            </w:r>
          </w:p>
        </w:tc>
        <w:tc>
          <w:tcPr>
            <w:tcW w:w="3300" w:type="dxa"/>
            <w:noWrap w:val="0"/>
            <w:vAlign w:val="center"/>
          </w:tcPr>
          <w:p>
            <w:pPr>
              <w:jc w:val="center"/>
              <w:rPr>
                <w:rFonts w:hint="default" w:ascii="Times New Roman" w:hAnsi="Times New Roman" w:eastAsia="宋体" w:cs="Times New Roman"/>
                <w:color w:val="0000FF"/>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其他粉尘（固废）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0000FF"/>
                <w:kern w:val="2"/>
                <w:sz w:val="21"/>
                <w:szCs w:val="24"/>
                <w:vertAlign w:val="baseline"/>
                <w:lang w:val="en-US" w:eastAsia="zh-CN" w:bidi="ar-SA"/>
              </w:rPr>
            </w:pPr>
            <w:r>
              <w:rPr>
                <w:rFonts w:hint="eastAsia"/>
                <w:color w:val="auto"/>
                <w:vertAlign w:val="baseline"/>
                <w:lang w:val="en-US" w:eastAsia="zh-CN"/>
              </w:rPr>
              <w:t>二甲苯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乙酸丁酯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丁酮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lang w:val="en-US" w:eastAsia="zh-CN"/>
              </w:rPr>
              <w:t>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三氯甲烷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ascii="Times New Roman" w:hAnsi="Times New Roman" w:eastAsia="宋体" w:cs="Times New Roman"/>
                <w:kern w:val="2"/>
                <w:sz w:val="21"/>
                <w:szCs w:val="24"/>
                <w:vertAlign w:val="baseline"/>
                <w:lang w:val="en-US" w:eastAsia="zh-CN" w:bidi="ar-SA"/>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restart"/>
            <w:noWrap w:val="0"/>
            <w:vAlign w:val="center"/>
          </w:tcPr>
          <w:p>
            <w:pPr>
              <w:jc w:val="center"/>
              <w:rPr>
                <w:rFonts w:hint="eastAsia" w:eastAsia="宋体"/>
                <w:vertAlign w:val="baseline"/>
                <w:lang w:val="en-US" w:eastAsia="zh-CN"/>
              </w:rPr>
            </w:pPr>
            <w:r>
              <w:rPr>
                <w:rFonts w:hint="eastAsia"/>
                <w:vertAlign w:val="baseline"/>
                <w:lang w:val="en-US" w:eastAsia="zh-CN"/>
              </w:rPr>
              <w:t>回转窑</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其他粉尘（飞灰）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二氧化氮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二氧化硫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氯化氢及盐酸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氟化氢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restart"/>
            <w:noWrap w:val="0"/>
            <w:vAlign w:val="center"/>
          </w:tcPr>
          <w:p>
            <w:pPr>
              <w:jc w:val="center"/>
              <w:rPr>
                <w:rFonts w:hint="eastAsia" w:eastAsia="宋体"/>
                <w:vertAlign w:val="baseline"/>
                <w:lang w:val="en-US" w:eastAsia="zh-CN"/>
              </w:rPr>
            </w:pPr>
            <w:r>
              <w:rPr>
                <w:rFonts w:hint="eastAsia"/>
                <w:vertAlign w:val="baseline"/>
                <w:lang w:val="en-US" w:eastAsia="zh-CN"/>
              </w:rPr>
              <w:t>二燃室</w:t>
            </w: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其他粉尘（飞灰）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二氧化氮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二氧化硫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氯化氢及盐酸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氟化氢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余热锅炉</w:t>
            </w: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其他粉尘（飞灰）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二氧化氮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二氧化硫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氯化氢及盐酸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氟化氢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SNCR</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氨水罐</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restart"/>
            <w:noWrap w:val="0"/>
            <w:vAlign w:val="center"/>
          </w:tcPr>
          <w:p>
            <w:pPr>
              <w:jc w:val="center"/>
              <w:rPr>
                <w:rFonts w:hint="eastAsia" w:eastAsia="宋体"/>
                <w:vertAlign w:val="baseline"/>
                <w:lang w:val="en-US" w:eastAsia="zh-CN"/>
              </w:rPr>
            </w:pPr>
            <w:r>
              <w:rPr>
                <w:rFonts w:hint="eastAsia"/>
                <w:vertAlign w:val="baseline"/>
                <w:lang w:val="en-US" w:eastAsia="zh-CN"/>
              </w:rPr>
              <w:t>湿式洗涤塔</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氢氧化钠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干法反应塔</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其他粉尘（消石灰）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出灰口</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其他粉尘（飞灰）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稳定化固化车间</w:t>
            </w: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固化操作工</w:t>
            </w:r>
          </w:p>
        </w:tc>
        <w:tc>
          <w:tcPr>
            <w:tcW w:w="2181" w:type="dxa"/>
            <w:vMerge w:val="restart"/>
            <w:noWrap w:val="0"/>
            <w:vAlign w:val="center"/>
          </w:tcPr>
          <w:p>
            <w:pPr>
              <w:jc w:val="center"/>
              <w:rPr>
                <w:rFonts w:hint="eastAsia" w:eastAsia="宋体"/>
                <w:vertAlign w:val="baseline"/>
                <w:lang w:eastAsia="zh-CN"/>
              </w:rPr>
            </w:pPr>
            <w:r>
              <w:rPr>
                <w:rFonts w:hint="eastAsia"/>
                <w:vertAlign w:val="baseline"/>
                <w:lang w:eastAsia="zh-CN"/>
              </w:rPr>
              <w:t>——</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vMerge w:val="continue"/>
            <w:noWrap w:val="0"/>
            <w:vAlign w:val="center"/>
          </w:tcPr>
          <w:p>
            <w:pPr>
              <w:jc w:val="center"/>
              <w:rPr>
                <w:vertAlign w:val="baseline"/>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其他粉尘（灰渣）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vertAlign w:val="baseline"/>
              </w:rPr>
            </w:pPr>
          </w:p>
        </w:tc>
        <w:tc>
          <w:tcPr>
            <w:tcW w:w="1639" w:type="dxa"/>
            <w:vMerge w:val="continue"/>
            <w:noWrap w:val="0"/>
            <w:vAlign w:val="center"/>
          </w:tcPr>
          <w:p>
            <w:pPr>
              <w:jc w:val="center"/>
              <w:rPr>
                <w:vertAlign w:val="baseline"/>
              </w:rPr>
            </w:pP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搅拌机</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其他粉尘（灰渣）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物化及废水处理车间</w:t>
            </w:r>
          </w:p>
        </w:tc>
        <w:tc>
          <w:tcPr>
            <w:tcW w:w="1639"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水处理操作工</w:t>
            </w:r>
          </w:p>
        </w:tc>
        <w:tc>
          <w:tcPr>
            <w:tcW w:w="2181" w:type="dxa"/>
            <w:noWrap w:val="0"/>
            <w:vAlign w:val="center"/>
          </w:tcPr>
          <w:p>
            <w:pPr>
              <w:jc w:val="center"/>
              <w:rPr>
                <w:rFonts w:hint="default" w:eastAsia="宋体"/>
                <w:vertAlign w:val="baseline"/>
                <w:lang w:val="en-US" w:eastAsia="zh-CN"/>
              </w:rPr>
            </w:pPr>
            <w:r>
              <w:rPr>
                <w:rFonts w:hint="eastAsia"/>
                <w:vertAlign w:val="baseline"/>
                <w:lang w:val="en-US" w:eastAsia="zh-CN"/>
              </w:rPr>
              <w:t>——</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rFonts w:hint="eastAsia"/>
                <w:vertAlign w:val="baseline"/>
                <w:lang w:val="en-US" w:eastAsia="zh-CN"/>
              </w:rPr>
            </w:pPr>
          </w:p>
        </w:tc>
        <w:tc>
          <w:tcPr>
            <w:tcW w:w="1639" w:type="dxa"/>
            <w:vMerge w:val="continue"/>
            <w:noWrap w:val="0"/>
            <w:vAlign w:val="center"/>
          </w:tcPr>
          <w:p>
            <w:pPr>
              <w:jc w:val="center"/>
              <w:rPr>
                <w:rFonts w:hint="eastAsia"/>
                <w:vertAlign w:val="baseline"/>
                <w:lang w:val="en-US" w:eastAsia="zh-CN"/>
              </w:rPr>
            </w:pPr>
          </w:p>
        </w:tc>
        <w:tc>
          <w:tcPr>
            <w:tcW w:w="2181" w:type="dxa"/>
            <w:vMerge w:val="restart"/>
            <w:noWrap w:val="0"/>
            <w:vAlign w:val="center"/>
          </w:tcPr>
          <w:p>
            <w:pPr>
              <w:jc w:val="center"/>
              <w:rPr>
                <w:rFonts w:hint="default"/>
                <w:vertAlign w:val="baseline"/>
                <w:lang w:val="en-US" w:eastAsia="zh-CN"/>
              </w:rPr>
            </w:pPr>
            <w:r>
              <w:rPr>
                <w:rFonts w:hint="eastAsia"/>
                <w:vertAlign w:val="baseline"/>
                <w:lang w:val="en-US" w:eastAsia="zh-CN"/>
              </w:rPr>
              <w:t>废水处理区</w:t>
            </w: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rFonts w:hint="eastAsia"/>
                <w:vertAlign w:val="baseline"/>
                <w:lang w:val="en-US" w:eastAsia="zh-CN"/>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rFonts w:hint="eastAsia"/>
                <w:vertAlign w:val="baseline"/>
                <w:lang w:val="en-US" w:eastAsia="zh-CN"/>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三氧化硫及硫酸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rFonts w:hint="eastAsia"/>
                <w:vertAlign w:val="baseline"/>
                <w:lang w:val="en-US" w:eastAsia="zh-CN"/>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rFonts w:hint="eastAsia"/>
                <w:vertAlign w:val="baseline"/>
                <w:lang w:val="en-US" w:eastAsia="zh-CN"/>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氯化氢及盐酸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val="0"/>
            <w:vAlign w:val="center"/>
          </w:tcPr>
          <w:p>
            <w:pPr>
              <w:jc w:val="center"/>
              <w:rPr>
                <w:rFonts w:hint="eastAsia"/>
                <w:vertAlign w:val="baseline"/>
                <w:lang w:val="en-US" w:eastAsia="zh-CN"/>
              </w:rPr>
            </w:pPr>
          </w:p>
        </w:tc>
        <w:tc>
          <w:tcPr>
            <w:tcW w:w="1639" w:type="dxa"/>
            <w:vMerge w:val="continue"/>
            <w:noWrap w:val="0"/>
            <w:vAlign w:val="center"/>
          </w:tcPr>
          <w:p>
            <w:pPr>
              <w:jc w:val="center"/>
              <w:rPr>
                <w:rFonts w:hint="eastAsia"/>
                <w:vertAlign w:val="baseline"/>
                <w:lang w:val="en-US" w:eastAsia="zh-CN"/>
              </w:rPr>
            </w:pPr>
          </w:p>
        </w:tc>
        <w:tc>
          <w:tcPr>
            <w:tcW w:w="2181" w:type="dxa"/>
            <w:vMerge w:val="continue"/>
            <w:noWrap w:val="0"/>
            <w:vAlign w:val="center"/>
          </w:tcPr>
          <w:p>
            <w:pPr>
              <w:jc w:val="center"/>
              <w:rPr>
                <w:rFonts w:hint="eastAsia"/>
                <w:vertAlign w:val="baseline"/>
                <w:lang w:val="en-US" w:eastAsia="zh-CN"/>
              </w:rPr>
            </w:pPr>
          </w:p>
        </w:tc>
        <w:tc>
          <w:tcPr>
            <w:tcW w:w="3300" w:type="dxa"/>
            <w:noWrap w:val="0"/>
            <w:vAlign w:val="center"/>
          </w:tcPr>
          <w:p>
            <w:pPr>
              <w:jc w:val="center"/>
              <w:rPr>
                <w:rFonts w:hint="default"/>
                <w:color w:val="auto"/>
                <w:vertAlign w:val="baseline"/>
                <w:lang w:val="en-US" w:eastAsia="zh-CN"/>
              </w:rPr>
            </w:pPr>
            <w:r>
              <w:rPr>
                <w:rFonts w:hint="eastAsia"/>
                <w:color w:val="auto"/>
                <w:vertAlign w:val="baseline"/>
                <w:lang w:val="en-US" w:eastAsia="zh-CN"/>
              </w:rPr>
              <w:t>氢氧化钠</w:t>
            </w:r>
          </w:p>
        </w:tc>
      </w:tr>
    </w:tbl>
    <w:p>
      <w:pPr>
        <w:rPr>
          <w:rFonts w:hint="eastAsia" w:cs="Arial"/>
          <w:b/>
          <w:bCs/>
          <w:snapToGrid w:val="0"/>
          <w:color w:val="auto"/>
          <w:kern w:val="2"/>
          <w:sz w:val="24"/>
          <w:szCs w:val="21"/>
          <w:lang w:val="en-US" w:eastAsia="zh-CN" w:bidi="ar-SA"/>
        </w:rPr>
      </w:pPr>
    </w:p>
    <w:tbl>
      <w:tblPr>
        <w:tblStyle w:val="15"/>
        <w:tblpPr w:leftFromText="180" w:rightFromText="180" w:vertAnchor="text" w:horzAnchor="page" w:tblpX="1737" w:tblpY="297"/>
        <w:tblOverlap w:val="never"/>
        <w:tblW w:w="8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519"/>
        <w:gridCol w:w="1465"/>
        <w:gridCol w:w="1235"/>
        <w:gridCol w:w="3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458" w:type="dxa"/>
            <w:gridSpan w:val="5"/>
            <w:vAlign w:val="center"/>
          </w:tcPr>
          <w:p>
            <w:pPr>
              <w:pStyle w:val="6"/>
              <w:numPr>
                <w:ilvl w:val="0"/>
                <w:numId w:val="0"/>
              </w:numPr>
              <w:ind w:firstLine="420" w:firstLineChars="200"/>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snapToGrid/>
                <w:kern w:val="2"/>
                <w:sz w:val="21"/>
                <w:szCs w:val="24"/>
                <w:vertAlign w:val="baseline"/>
                <w:lang w:val="en-US" w:eastAsia="zh-CN" w:bidi="ar-SA"/>
              </w:rPr>
              <w:t>能源事业部危害因素检测清单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66"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54"/>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序号</w:t>
            </w:r>
          </w:p>
        </w:tc>
        <w:tc>
          <w:tcPr>
            <w:tcW w:w="1519" w:type="dxa"/>
            <w:tcBorders>
              <w:bottom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266"/>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检测系统</w:t>
            </w: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94"/>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接害（作业）工种</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ind w:right="165"/>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检测（工作）地点</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1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接触的职业病危害因素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766" w:type="dxa"/>
            <w:tcBorders>
              <w:right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1</w:t>
            </w:r>
          </w:p>
        </w:tc>
        <w:tc>
          <w:tcPr>
            <w:tcW w:w="151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垃圾接收系统</w:t>
            </w:r>
          </w:p>
        </w:tc>
        <w:tc>
          <w:tcPr>
            <w:tcW w:w="1465" w:type="dxa"/>
            <w:tcBorders>
              <w:left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spacing w:before="1" w:line="280" w:lineRule="auto"/>
              <w:ind w:left="196" w:right="194"/>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巡检工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before="1" w:line="280" w:lineRule="auto"/>
              <w:ind w:left="292" w:right="167" w:hanging="128"/>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卸料大厅</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08" w:right="-29"/>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硫化氢、氨、噪声、硫醇类、硫醚类、吲哚类、胺类、甲基硫、细菌、病毒、寄生虫等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766" w:type="dxa"/>
            <w:tcBorders>
              <w:right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2</w:t>
            </w:r>
          </w:p>
        </w:tc>
        <w:tc>
          <w:tcPr>
            <w:tcW w:w="151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HAnsi" w:hAnsiTheme="minorHAnsi" w:eastAsiaTheme="minor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垃圾储存系统</w:t>
            </w:r>
          </w:p>
        </w:tc>
        <w:tc>
          <w:tcPr>
            <w:tcW w:w="1465" w:type="dxa"/>
            <w:tcBorders>
              <w:left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before="11"/>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before="1" w:line="280" w:lineRule="auto"/>
              <w:ind w:left="196" w:right="194"/>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垃圾吊工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before="11"/>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before="1" w:line="280" w:lineRule="auto"/>
              <w:ind w:left="292" w:right="167" w:hanging="128"/>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垃圾吊车控制室</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08" w:right="-29"/>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硫化氢、氨、噪声、硫醇类、硫醚类、吲哚类、胺类、甲基硫、细菌、病毒、寄生虫等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66" w:type="dxa"/>
            <w:vAlign w:val="center"/>
          </w:tcPr>
          <w:p>
            <w:pPr>
              <w:pStyle w:val="18"/>
              <w:keepNext w:val="0"/>
              <w:keepLines w:val="0"/>
              <w:pageBreakBefore w:val="0"/>
              <w:widowControl w:val="0"/>
              <w:kinsoku/>
              <w:wordWrap/>
              <w:overflowPunct/>
              <w:topLinePunct w:val="0"/>
              <w:autoSpaceDE/>
              <w:autoSpaceDN/>
              <w:bidi w:val="0"/>
              <w:adjustRightInd/>
              <w:snapToGrid/>
              <w:spacing w:before="1"/>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3</w:t>
            </w:r>
          </w:p>
        </w:tc>
        <w:tc>
          <w:tcPr>
            <w:tcW w:w="1519" w:type="dxa"/>
            <w:tcBorders>
              <w:top w:val="single" w:color="auto" w:sz="4" w:space="0"/>
            </w:tcBorders>
            <w:vAlign w:val="center"/>
          </w:tcPr>
          <w:p>
            <w:pPr>
              <w:pStyle w:val="18"/>
              <w:keepNext w:val="0"/>
              <w:keepLines w:val="0"/>
              <w:pageBreakBefore w:val="0"/>
              <w:widowControl w:val="0"/>
              <w:kinsoku/>
              <w:wordWrap/>
              <w:overflowPunct/>
              <w:topLinePunct w:val="0"/>
              <w:autoSpaceDE/>
              <w:autoSpaceDN/>
              <w:bidi w:val="0"/>
              <w:adjustRightInd/>
              <w:snapToGrid/>
              <w:spacing w:before="10"/>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垃圾焚烧系统</w:t>
            </w: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before="10"/>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280" w:lineRule="auto"/>
              <w:ind w:left="321" w:right="194" w:hanging="125"/>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司炉工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65" w:right="167"/>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焚烧间、出渣间、烟气净化</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10" w:right="11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一氧化碳、二氧化碳、二氧化氮、二氧化硫、氯化氢、氟化氢、其他粉尘、硫化氢、氨、二噁英、重金属、氢氧化钙、活性炭、氢氧化钠、噪声、高温等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66" w:type="dxa"/>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4</w:t>
            </w:r>
          </w:p>
        </w:tc>
        <w:tc>
          <w:tcPr>
            <w:tcW w:w="1519"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汽机系统</w:t>
            </w: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321" w:right="194" w:hanging="125"/>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汽机工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65" w:right="167"/>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汽机间</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exact"/>
              <w:ind w:left="110" w:right="11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噪声、高温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66" w:type="dxa"/>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5</w:t>
            </w:r>
          </w:p>
        </w:tc>
        <w:tc>
          <w:tcPr>
            <w:tcW w:w="1519" w:type="dxa"/>
            <w:vAlign w:val="center"/>
          </w:tcPr>
          <w:p>
            <w:pPr>
              <w:pStyle w:val="18"/>
              <w:keepNext w:val="0"/>
              <w:keepLines w:val="0"/>
              <w:pageBreakBefore w:val="0"/>
              <w:widowControl w:val="0"/>
              <w:kinsoku/>
              <w:wordWrap/>
              <w:overflowPunct/>
              <w:topLinePunct w:val="0"/>
              <w:autoSpaceDE/>
              <w:autoSpaceDN/>
              <w:bidi w:val="0"/>
              <w:adjustRightInd/>
              <w:snapToGrid/>
              <w:spacing w:before="12"/>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280" w:lineRule="auto"/>
              <w:ind w:left="142" w:leftChars="0" w:right="141"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灰渣处理系统</w:t>
            </w: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94"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操作工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before="2" w:line="360" w:lineRule="exact"/>
              <w:ind w:left="165" w:leftChars="0" w:right="167"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飞灰固化间、炉渣处理间</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before="1"/>
              <w:ind w:right="109"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66" w:type="dxa"/>
            <w:vMerge w:val="restart"/>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6</w:t>
            </w:r>
          </w:p>
        </w:tc>
        <w:tc>
          <w:tcPr>
            <w:tcW w:w="1519" w:type="dxa"/>
            <w:vMerge w:val="restart"/>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辅助系统</w:t>
            </w: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94"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电气巡检工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67"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高压变频室、配电室</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before="1"/>
              <w:ind w:right="109"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工频电场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766" w:type="dxa"/>
            <w:vMerge w:val="continue"/>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before="12"/>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280" w:lineRule="auto"/>
              <w:ind w:left="196" w:leftChars="0" w:right="194"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化水巡检工</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before="1" w:line="360" w:lineRule="exact"/>
              <w:ind w:left="165" w:leftChars="0" w:right="167" w:rightChars="0" w:firstLine="2"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水处理 间、炉水加药间、污水处理站</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before="12"/>
              <w:jc w:val="center"/>
              <w:textAlignment w:val="auto"/>
              <w:rPr>
                <w:rFonts w:hint="eastAsia" w:asciiTheme="minorHAnsi" w:hAnsiTheme="minorHAnsi" w:eastAsiaTheme="minorEastAsia" w:cstheme="minorBidi"/>
                <w:kern w:val="2"/>
                <w:sz w:val="21"/>
                <w:szCs w:val="24"/>
                <w:vertAlign w:val="baseline"/>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280" w:lineRule="auto"/>
              <w:ind w:left="110" w:leftChars="0" w:right="110"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氨、磷酸三钠、硫化氢、过氧化氢、其他粉尘、噪声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66" w:type="dxa"/>
            <w:vMerge w:val="continue"/>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94"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化验员</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ind w:right="165"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化验室</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10"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氨、磷酸三钠及少量酸、碱试剂等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6" w:type="dxa"/>
            <w:vMerge w:val="continue"/>
            <w:vAlign w:val="center"/>
          </w:tcPr>
          <w:p>
            <w:pPr>
              <w:pStyle w:val="18"/>
              <w:keepNext w:val="0"/>
              <w:keepLines w:val="0"/>
              <w:pageBreakBefore w:val="0"/>
              <w:widowControl w:val="0"/>
              <w:kinsoku/>
              <w:wordWrap/>
              <w:overflowPunct/>
              <w:topLinePunct w:val="0"/>
              <w:autoSpaceDE/>
              <w:autoSpaceDN/>
              <w:bidi w:val="0"/>
              <w:adjustRightInd/>
              <w:snapToGrid/>
              <w:ind w:left="3"/>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519" w:type="dxa"/>
            <w:vMerge w:val="continue"/>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left="142" w:right="141"/>
              <w:jc w:val="center"/>
              <w:textAlignment w:val="auto"/>
              <w:rPr>
                <w:rFonts w:hint="eastAsia" w:asciiTheme="minorHAnsi" w:hAnsiTheme="minorHAnsi" w:eastAsiaTheme="minorEastAsia" w:cstheme="minorBidi"/>
                <w:kern w:val="2"/>
                <w:sz w:val="21"/>
                <w:szCs w:val="24"/>
                <w:vertAlign w:val="baseline"/>
                <w:lang w:val="en-US" w:eastAsia="zh-CN" w:bidi="ar-SA"/>
              </w:rPr>
            </w:pPr>
          </w:p>
        </w:tc>
        <w:tc>
          <w:tcPr>
            <w:tcW w:w="1465" w:type="dxa"/>
            <w:vAlign w:val="center"/>
          </w:tcPr>
          <w:p>
            <w:pPr>
              <w:pStyle w:val="18"/>
              <w:keepNext w:val="0"/>
              <w:keepLines w:val="0"/>
              <w:pageBreakBefore w:val="0"/>
              <w:widowControl w:val="0"/>
              <w:kinsoku/>
              <w:wordWrap/>
              <w:overflowPunct/>
              <w:topLinePunct w:val="0"/>
              <w:autoSpaceDE/>
              <w:autoSpaceDN/>
              <w:bidi w:val="0"/>
              <w:adjustRightInd/>
              <w:snapToGrid/>
              <w:spacing w:line="280" w:lineRule="auto"/>
              <w:ind w:right="194"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卸料员</w:t>
            </w:r>
          </w:p>
        </w:tc>
        <w:tc>
          <w:tcPr>
            <w:tcW w:w="1235" w:type="dxa"/>
            <w:vAlign w:val="center"/>
          </w:tcPr>
          <w:p>
            <w:pPr>
              <w:pStyle w:val="18"/>
              <w:keepNext w:val="0"/>
              <w:keepLines w:val="0"/>
              <w:pageBreakBefore w:val="0"/>
              <w:widowControl w:val="0"/>
              <w:kinsoku/>
              <w:wordWrap/>
              <w:overflowPunct/>
              <w:topLinePunct w:val="0"/>
              <w:autoSpaceDE/>
              <w:autoSpaceDN/>
              <w:bidi w:val="0"/>
              <w:adjustRightInd/>
              <w:snapToGrid/>
              <w:spacing w:before="1"/>
              <w:ind w:right="165"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油泵房</w:t>
            </w:r>
          </w:p>
        </w:tc>
        <w:tc>
          <w:tcPr>
            <w:tcW w:w="3473" w:type="dxa"/>
            <w:vAlign w:val="center"/>
          </w:tcPr>
          <w:p>
            <w:pPr>
              <w:pStyle w:val="18"/>
              <w:keepNext w:val="0"/>
              <w:keepLines w:val="0"/>
              <w:pageBreakBefore w:val="0"/>
              <w:widowControl w:val="0"/>
              <w:kinsoku/>
              <w:wordWrap/>
              <w:overflowPunct/>
              <w:topLinePunct w:val="0"/>
              <w:autoSpaceDE/>
              <w:autoSpaceDN/>
              <w:bidi w:val="0"/>
              <w:adjustRightInd/>
              <w:snapToGrid/>
              <w:spacing w:before="1"/>
              <w:ind w:right="108" w:right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kern w:val="2"/>
                <w:sz w:val="21"/>
                <w:szCs w:val="24"/>
                <w:vertAlign w:val="baseline"/>
                <w:lang w:val="en-US" w:eastAsia="zh-CN" w:bidi="ar-SA"/>
              </w:rPr>
              <w:t>柴油</w:t>
            </w:r>
          </w:p>
        </w:tc>
      </w:tr>
    </w:tbl>
    <w:p>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供应商出具</w:t>
      </w:r>
      <w:r>
        <w:rPr>
          <w:rFonts w:hint="eastAsia"/>
          <w:color w:val="auto"/>
          <w:lang w:val="en-US" w:eastAsia="zh-CN"/>
        </w:rPr>
        <w:t>职业病</w:t>
      </w:r>
      <w:r>
        <w:rPr>
          <w:rFonts w:hint="eastAsia" w:ascii="宋体"/>
          <w:color w:val="auto"/>
          <w:lang w:val="en-US" w:eastAsia="zh-CN"/>
        </w:rPr>
        <w:t>危害现状评价报告</w:t>
      </w:r>
      <w:r>
        <w:rPr>
          <w:rFonts w:hint="eastAsia"/>
          <w:color w:val="auto"/>
          <w:lang w:val="en-US" w:eastAsia="zh-CN"/>
        </w:rPr>
        <w:t>并完成平台备案</w:t>
      </w:r>
      <w:r>
        <w:rPr>
          <w:rFonts w:hint="eastAsia" w:ascii="宋体"/>
          <w:color w:val="auto"/>
          <w:lang w:val="en-US" w:eastAsia="zh-CN"/>
        </w:rPr>
        <w:t>。</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服务要求</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ascii="宋体"/>
          <w:color w:val="auto"/>
          <w:lang w:val="en-US" w:eastAsia="zh-CN"/>
        </w:rPr>
        <w:t>1.供应商根据</w:t>
      </w:r>
      <w:r>
        <w:rPr>
          <w:rFonts w:hint="eastAsia" w:ascii="宋体" w:hAnsi="Arial" w:cs="Arial" w:eastAsiaTheme="minorEastAsia"/>
          <w:snapToGrid w:val="0"/>
          <w:color w:val="auto"/>
          <w:kern w:val="2"/>
          <w:sz w:val="24"/>
          <w:szCs w:val="21"/>
          <w:lang w:val="en-US" w:eastAsia="zh-CN" w:bidi="ar-SA"/>
        </w:rPr>
        <w:t>《工作场所职业卫生管理规定》（国家卫生健康委员会令第5号）</w:t>
      </w:r>
      <w:r>
        <w:rPr>
          <w:rFonts w:hint="eastAsia" w:cs="Arial"/>
          <w:snapToGrid w:val="0"/>
          <w:color w:val="auto"/>
          <w:kern w:val="2"/>
          <w:sz w:val="24"/>
          <w:szCs w:val="21"/>
          <w:lang w:val="en-US" w:eastAsia="zh-CN" w:bidi="ar-SA"/>
        </w:rPr>
        <w:t>对能源、三固事业部进行职业病危害现状评价工作，编辑评价报告通过专家评审并完成平台备案。</w:t>
      </w:r>
    </w:p>
    <w:p>
      <w:pPr>
        <w:pStyle w:val="6"/>
        <w:numPr>
          <w:ilvl w:val="0"/>
          <w:numId w:val="0"/>
        </w:numPr>
        <w:ind w:firstLine="480" w:firstLineChars="200"/>
        <w:rPr>
          <w:rFonts w:hint="eastAsia"/>
          <w:color w:val="auto"/>
          <w:lang w:val="en-US" w:eastAsia="zh-CN"/>
        </w:rPr>
      </w:pPr>
      <w:r>
        <w:rPr>
          <w:rFonts w:hint="eastAsia"/>
          <w:color w:val="auto"/>
          <w:lang w:val="en-US" w:eastAsia="zh-CN"/>
        </w:rPr>
        <w:t>2.现状报告内的检测：供应商需按照</w:t>
      </w:r>
      <w:r>
        <w:rPr>
          <w:rFonts w:hint="eastAsia" w:ascii="宋体"/>
          <w:color w:val="auto"/>
          <w:lang w:val="en-US" w:eastAsia="zh-CN"/>
        </w:rPr>
        <w:t>职业病危害因素检测计划，到杭州临江环境能源有限公司厂区进行职业病危害因素检测，对于出现意外情况导致检测服务无法一次性完成，应再次到指定现场完成剩余检测服务，根据检测结果出具盖章的合规检测评价报告</w:t>
      </w:r>
      <w:r>
        <w:rPr>
          <w:rFonts w:hint="eastAsia"/>
          <w:color w:val="auto"/>
          <w:lang w:val="en-US" w:eastAsia="zh-CN"/>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2.供应商所提供的服务应符合国家规范、规程和地方法规规定，达到并满足采购人的要求。</w:t>
      </w:r>
    </w:p>
    <w:p>
      <w:pPr>
        <w:pStyle w:val="6"/>
        <w:numPr>
          <w:ilvl w:val="0"/>
          <w:numId w:val="0"/>
        </w:numPr>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3.本项目报告需提供1份电子版和4份纸质版，能源和三固事业部均单独出具。</w:t>
      </w:r>
      <w:r>
        <w:rPr>
          <w:rFonts w:hint="eastAsia" w:cs="Arial"/>
          <w:snapToGrid w:val="0"/>
          <w:color w:val="auto"/>
          <w:kern w:val="2"/>
          <w:sz w:val="24"/>
          <w:szCs w:val="21"/>
          <w:highlight w:val="none"/>
          <w:lang w:val="en-US" w:eastAsia="zh-CN" w:bidi="ar-SA"/>
        </w:rPr>
        <w:t>（若备案申报系统中只能上传1份报告的情况下，报告无需分别出具。）</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2.采购人不再对任何售后服务进行付费。供应商的派遣人员产生的一切费用由供应商承担。</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3.保密服务要求：供应商对采购人提供的所有业务技术资料、文档，有责任对第三方保密；</w:t>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5"/>
      <w:bookmarkEnd w:id="19"/>
      <w:bookmarkStart w:id="20" w:name="_Toc184314427"/>
      <w:bookmarkEnd w:id="20"/>
      <w:bookmarkStart w:id="21" w:name="_Toc184310275"/>
      <w:bookmarkEnd w:id="21"/>
      <w:bookmarkStart w:id="22" w:name="_Toc184314451"/>
      <w:bookmarkEnd w:id="22"/>
      <w:bookmarkStart w:id="23" w:name="_Toc184314445"/>
      <w:bookmarkEnd w:id="23"/>
      <w:bookmarkStart w:id="24" w:name="_Toc184313270"/>
      <w:bookmarkEnd w:id="24"/>
      <w:bookmarkStart w:id="25" w:name="_Toc184308091"/>
      <w:bookmarkEnd w:id="25"/>
      <w:bookmarkStart w:id="26" w:name="_Toc184312086"/>
      <w:bookmarkEnd w:id="26"/>
      <w:bookmarkStart w:id="27" w:name="_Toc184314456"/>
      <w:bookmarkEnd w:id="27"/>
      <w:bookmarkStart w:id="28" w:name="_Toc184314458"/>
      <w:bookmarkEnd w:id="28"/>
      <w:bookmarkStart w:id="29" w:name="_Toc184312127"/>
      <w:bookmarkEnd w:id="29"/>
      <w:bookmarkStart w:id="30" w:name="_Toc184310324"/>
      <w:bookmarkEnd w:id="30"/>
      <w:bookmarkStart w:id="31" w:name="_Toc184308050"/>
      <w:bookmarkEnd w:id="31"/>
      <w:bookmarkStart w:id="32" w:name="_Toc184314438"/>
      <w:bookmarkEnd w:id="32"/>
      <w:bookmarkStart w:id="33" w:name="_Toc184308045"/>
      <w:bookmarkEnd w:id="33"/>
      <w:bookmarkStart w:id="34" w:name="_Toc184314444"/>
      <w:bookmarkEnd w:id="34"/>
      <w:bookmarkStart w:id="35" w:name="_Toc184308057"/>
      <w:bookmarkEnd w:id="35"/>
      <w:bookmarkStart w:id="36" w:name="_Toc184308042"/>
      <w:bookmarkEnd w:id="36"/>
      <w:bookmarkStart w:id="37" w:name="_Toc184313275"/>
      <w:bookmarkEnd w:id="37"/>
      <w:bookmarkStart w:id="38" w:name="_Toc184314443"/>
      <w:bookmarkEnd w:id="38"/>
      <w:bookmarkStart w:id="39" w:name="_Toc184310343"/>
      <w:bookmarkEnd w:id="39"/>
      <w:bookmarkStart w:id="40" w:name="_Toc184310305"/>
      <w:bookmarkEnd w:id="40"/>
      <w:bookmarkStart w:id="41" w:name="_Toc184314468"/>
      <w:bookmarkEnd w:id="41"/>
      <w:bookmarkStart w:id="42" w:name="_Toc184312097"/>
      <w:bookmarkEnd w:id="42"/>
      <w:bookmarkStart w:id="43" w:name="_Toc184312103"/>
      <w:bookmarkEnd w:id="43"/>
      <w:bookmarkStart w:id="44" w:name="_Toc184312067"/>
      <w:bookmarkEnd w:id="44"/>
      <w:bookmarkStart w:id="45" w:name="_Toc184310295"/>
      <w:bookmarkEnd w:id="45"/>
      <w:bookmarkStart w:id="46" w:name="_Toc184313285"/>
      <w:bookmarkEnd w:id="46"/>
      <w:bookmarkStart w:id="47" w:name="_Toc184310323"/>
      <w:bookmarkEnd w:id="47"/>
      <w:bookmarkStart w:id="48" w:name="_Toc184310311"/>
      <w:bookmarkEnd w:id="48"/>
      <w:bookmarkStart w:id="49" w:name="_Toc184313254"/>
      <w:bookmarkEnd w:id="49"/>
      <w:bookmarkStart w:id="50" w:name="_Toc184308089"/>
      <w:bookmarkEnd w:id="50"/>
      <w:bookmarkStart w:id="51" w:name="_Toc184313307"/>
      <w:bookmarkEnd w:id="51"/>
      <w:bookmarkStart w:id="52" w:name="_Toc184308062"/>
      <w:bookmarkEnd w:id="52"/>
      <w:bookmarkStart w:id="53" w:name="_Toc184310304"/>
      <w:bookmarkEnd w:id="53"/>
      <w:bookmarkStart w:id="54" w:name="_Toc184313276"/>
      <w:bookmarkEnd w:id="54"/>
      <w:bookmarkStart w:id="55" w:name="_Toc184314479"/>
      <w:bookmarkEnd w:id="55"/>
      <w:bookmarkStart w:id="56" w:name="_Toc184308069"/>
      <w:bookmarkEnd w:id="56"/>
      <w:bookmarkStart w:id="57" w:name="_Toc184312116"/>
      <w:bookmarkEnd w:id="57"/>
      <w:bookmarkStart w:id="58" w:name="_Toc184312130"/>
      <w:bookmarkEnd w:id="58"/>
      <w:bookmarkStart w:id="59" w:name="_Toc184310337"/>
      <w:bookmarkEnd w:id="59"/>
      <w:bookmarkStart w:id="60" w:name="_Toc184314432"/>
      <w:bookmarkEnd w:id="60"/>
      <w:bookmarkStart w:id="61" w:name="_Toc184308087"/>
      <w:bookmarkEnd w:id="61"/>
      <w:bookmarkStart w:id="62" w:name="_Toc184310285"/>
      <w:bookmarkEnd w:id="62"/>
      <w:bookmarkStart w:id="63" w:name="_Toc184308082"/>
      <w:bookmarkEnd w:id="63"/>
      <w:bookmarkStart w:id="64" w:name="_Toc184312125"/>
      <w:bookmarkEnd w:id="64"/>
      <w:bookmarkStart w:id="65" w:name="_Toc184314423"/>
      <w:bookmarkEnd w:id="65"/>
      <w:bookmarkStart w:id="66" w:name="_Toc184312107"/>
      <w:bookmarkEnd w:id="66"/>
      <w:bookmarkStart w:id="67" w:name="_Toc184310332"/>
      <w:bookmarkEnd w:id="67"/>
      <w:bookmarkStart w:id="68" w:name="_Toc184314470"/>
      <w:bookmarkEnd w:id="68"/>
      <w:bookmarkStart w:id="69" w:name="_Toc184308072"/>
      <w:bookmarkEnd w:id="69"/>
      <w:bookmarkStart w:id="70" w:name="_Toc184313248"/>
      <w:bookmarkEnd w:id="70"/>
      <w:bookmarkStart w:id="71" w:name="_Toc184313242"/>
      <w:bookmarkEnd w:id="71"/>
      <w:bookmarkStart w:id="72" w:name="_Toc184314434"/>
      <w:bookmarkEnd w:id="72"/>
      <w:bookmarkStart w:id="73" w:name="_Toc184312123"/>
      <w:bookmarkEnd w:id="73"/>
      <w:bookmarkStart w:id="74" w:name="_Toc184314455"/>
      <w:bookmarkEnd w:id="74"/>
      <w:bookmarkStart w:id="75" w:name="_Toc184308093"/>
      <w:bookmarkEnd w:id="75"/>
      <w:bookmarkStart w:id="76" w:name="_Toc184308104"/>
      <w:bookmarkEnd w:id="76"/>
      <w:bookmarkStart w:id="77" w:name="_Toc184312121"/>
      <w:bookmarkEnd w:id="77"/>
      <w:bookmarkStart w:id="78" w:name="_Toc184310339"/>
      <w:bookmarkEnd w:id="78"/>
      <w:bookmarkStart w:id="79" w:name="_Toc184308106"/>
      <w:bookmarkEnd w:id="79"/>
      <w:bookmarkStart w:id="80" w:name="_Toc184310320"/>
      <w:bookmarkEnd w:id="80"/>
      <w:bookmarkStart w:id="81" w:name="_Toc184314431"/>
      <w:bookmarkEnd w:id="81"/>
      <w:bookmarkStart w:id="82" w:name="_Toc184312102"/>
      <w:bookmarkEnd w:id="82"/>
      <w:bookmarkStart w:id="83" w:name="_Toc184310288"/>
      <w:bookmarkEnd w:id="83"/>
      <w:bookmarkStart w:id="84" w:name="_Toc184308084"/>
      <w:bookmarkEnd w:id="84"/>
      <w:bookmarkStart w:id="85" w:name="_Toc184312092"/>
      <w:bookmarkEnd w:id="85"/>
      <w:bookmarkStart w:id="86" w:name="_Toc184308061"/>
      <w:bookmarkEnd w:id="86"/>
      <w:bookmarkStart w:id="87" w:name="_Toc184312100"/>
      <w:bookmarkEnd w:id="87"/>
      <w:bookmarkStart w:id="88" w:name="_Toc184313302"/>
      <w:bookmarkEnd w:id="88"/>
      <w:bookmarkStart w:id="89" w:name="_Toc184308038"/>
      <w:bookmarkEnd w:id="89"/>
      <w:bookmarkStart w:id="90" w:name="_Toc184310281"/>
      <w:bookmarkEnd w:id="90"/>
      <w:bookmarkStart w:id="91" w:name="_Toc184312104"/>
      <w:bookmarkEnd w:id="91"/>
      <w:bookmarkStart w:id="92" w:name="_Toc184308068"/>
      <w:bookmarkEnd w:id="92"/>
      <w:bookmarkStart w:id="93" w:name="_Toc184308101"/>
      <w:bookmarkEnd w:id="93"/>
      <w:bookmarkStart w:id="94" w:name="_Toc184314466"/>
      <w:bookmarkEnd w:id="94"/>
      <w:bookmarkStart w:id="95" w:name="_Toc184313240"/>
      <w:bookmarkEnd w:id="95"/>
      <w:bookmarkStart w:id="96" w:name="_Toc184310277"/>
      <w:bookmarkEnd w:id="96"/>
      <w:bookmarkStart w:id="97" w:name="_Toc184310330"/>
      <w:bookmarkEnd w:id="97"/>
      <w:bookmarkStart w:id="98" w:name="_Toc184308090"/>
      <w:bookmarkEnd w:id="98"/>
      <w:bookmarkStart w:id="99" w:name="_Toc184310302"/>
      <w:bookmarkEnd w:id="99"/>
      <w:bookmarkStart w:id="100" w:name="_Toc184314462"/>
      <w:bookmarkEnd w:id="100"/>
      <w:bookmarkStart w:id="101" w:name="_Toc184312105"/>
      <w:bookmarkEnd w:id="101"/>
      <w:bookmarkStart w:id="102" w:name="_Toc184308036"/>
      <w:bookmarkEnd w:id="102"/>
      <w:bookmarkStart w:id="103" w:name="_Toc184313284"/>
      <w:bookmarkEnd w:id="103"/>
      <w:bookmarkStart w:id="104" w:name="_Toc184314419"/>
      <w:bookmarkEnd w:id="104"/>
      <w:bookmarkStart w:id="105" w:name="_Toc184308095"/>
      <w:bookmarkEnd w:id="105"/>
      <w:bookmarkStart w:id="106" w:name="_Toc184314442"/>
      <w:bookmarkEnd w:id="106"/>
      <w:bookmarkStart w:id="107" w:name="_Toc184314410"/>
      <w:bookmarkEnd w:id="107"/>
      <w:bookmarkStart w:id="108" w:name="_Toc184310333"/>
      <w:bookmarkEnd w:id="108"/>
      <w:bookmarkStart w:id="109" w:name="_Toc184310289"/>
      <w:bookmarkEnd w:id="109"/>
      <w:bookmarkStart w:id="110" w:name="_Toc184312077"/>
      <w:bookmarkEnd w:id="110"/>
      <w:bookmarkStart w:id="111" w:name="_Toc184310331"/>
      <w:bookmarkEnd w:id="111"/>
      <w:bookmarkStart w:id="112" w:name="_Toc184310316"/>
      <w:bookmarkEnd w:id="112"/>
      <w:bookmarkStart w:id="113" w:name="_Toc184312076"/>
      <w:bookmarkEnd w:id="113"/>
      <w:bookmarkStart w:id="114" w:name="_Toc184312075"/>
      <w:bookmarkEnd w:id="114"/>
      <w:bookmarkStart w:id="115" w:name="_Toc184313244"/>
      <w:bookmarkEnd w:id="115"/>
      <w:bookmarkStart w:id="116" w:name="_Toc184313251"/>
      <w:bookmarkEnd w:id="116"/>
      <w:bookmarkStart w:id="117" w:name="_Toc184313238"/>
      <w:bookmarkEnd w:id="117"/>
      <w:bookmarkStart w:id="118" w:name="_Toc184310284"/>
      <w:bookmarkEnd w:id="118"/>
      <w:bookmarkStart w:id="119" w:name="_Toc184314481"/>
      <w:bookmarkEnd w:id="119"/>
      <w:bookmarkStart w:id="120" w:name="_Toc184308040"/>
      <w:bookmarkEnd w:id="120"/>
      <w:bookmarkStart w:id="121" w:name="_Toc184310335"/>
      <w:bookmarkEnd w:id="121"/>
      <w:bookmarkStart w:id="122" w:name="_Toc184310329"/>
      <w:bookmarkEnd w:id="122"/>
      <w:bookmarkStart w:id="123" w:name="_Toc184313296"/>
      <w:bookmarkEnd w:id="123"/>
      <w:bookmarkStart w:id="124" w:name="_Toc184313292"/>
      <w:bookmarkEnd w:id="124"/>
      <w:bookmarkStart w:id="125" w:name="_Toc184312083"/>
      <w:bookmarkEnd w:id="125"/>
      <w:bookmarkStart w:id="126" w:name="_Toc184312070"/>
      <w:bookmarkEnd w:id="126"/>
      <w:bookmarkStart w:id="127" w:name="_Toc184312099"/>
      <w:bookmarkEnd w:id="127"/>
      <w:bookmarkStart w:id="128" w:name="_Toc184310322"/>
      <w:bookmarkEnd w:id="128"/>
      <w:bookmarkStart w:id="129" w:name="_Toc184312136"/>
      <w:bookmarkEnd w:id="129"/>
      <w:bookmarkStart w:id="130" w:name="_Toc184312096"/>
      <w:bookmarkEnd w:id="130"/>
      <w:bookmarkStart w:id="131" w:name="_Toc184308043"/>
      <w:bookmarkEnd w:id="131"/>
      <w:bookmarkStart w:id="132" w:name="_Toc184314467"/>
      <w:bookmarkEnd w:id="132"/>
      <w:bookmarkStart w:id="133" w:name="_Toc184308074"/>
      <w:bookmarkEnd w:id="133"/>
      <w:bookmarkStart w:id="134" w:name="_Toc184313252"/>
      <w:bookmarkEnd w:id="134"/>
      <w:bookmarkStart w:id="135" w:name="_Toc184313271"/>
      <w:bookmarkEnd w:id="135"/>
      <w:bookmarkStart w:id="136" w:name="_Toc184310328"/>
      <w:bookmarkEnd w:id="136"/>
      <w:bookmarkStart w:id="137" w:name="_Toc184308051"/>
      <w:bookmarkEnd w:id="137"/>
      <w:bookmarkStart w:id="138" w:name="_Toc184313255"/>
      <w:bookmarkEnd w:id="138"/>
      <w:bookmarkStart w:id="139" w:name="_Toc184314428"/>
      <w:bookmarkEnd w:id="139"/>
      <w:bookmarkStart w:id="140" w:name="_Toc184308075"/>
      <w:bookmarkEnd w:id="140"/>
      <w:bookmarkStart w:id="141" w:name="_Toc184310309"/>
      <w:bookmarkEnd w:id="141"/>
      <w:bookmarkStart w:id="142" w:name="_Toc184313279"/>
      <w:bookmarkEnd w:id="142"/>
      <w:bookmarkStart w:id="143" w:name="_Toc184310287"/>
      <w:bookmarkEnd w:id="143"/>
      <w:bookmarkStart w:id="144" w:name="_Toc184308058"/>
      <w:bookmarkEnd w:id="144"/>
      <w:bookmarkStart w:id="145" w:name="_Toc184314435"/>
      <w:bookmarkEnd w:id="145"/>
      <w:bookmarkStart w:id="146" w:name="_Toc184313278"/>
      <w:bookmarkEnd w:id="146"/>
      <w:bookmarkStart w:id="147" w:name="_Toc184310286"/>
      <w:bookmarkEnd w:id="147"/>
      <w:bookmarkStart w:id="148" w:name="_Toc184313264"/>
      <w:bookmarkEnd w:id="148"/>
      <w:bookmarkStart w:id="149" w:name="_Toc184313250"/>
      <w:bookmarkEnd w:id="149"/>
      <w:bookmarkStart w:id="150" w:name="_Toc184310340"/>
      <w:bookmarkEnd w:id="150"/>
      <w:bookmarkStart w:id="151" w:name="_Toc184312109"/>
      <w:bookmarkEnd w:id="151"/>
      <w:bookmarkStart w:id="152" w:name="_Toc184314469"/>
      <w:bookmarkEnd w:id="152"/>
      <w:bookmarkStart w:id="153" w:name="_Toc184313269"/>
      <w:bookmarkEnd w:id="153"/>
      <w:bookmarkStart w:id="154" w:name="_Toc184310282"/>
      <w:bookmarkEnd w:id="154"/>
      <w:bookmarkStart w:id="155" w:name="_Toc184313294"/>
      <w:bookmarkEnd w:id="155"/>
      <w:bookmarkStart w:id="156" w:name="_Toc184313283"/>
      <w:bookmarkEnd w:id="156"/>
      <w:bookmarkStart w:id="157" w:name="_Toc184308052"/>
      <w:bookmarkEnd w:id="157"/>
      <w:bookmarkStart w:id="158" w:name="_Toc184314420"/>
      <w:bookmarkEnd w:id="158"/>
      <w:bookmarkStart w:id="159" w:name="_Toc184314471"/>
      <w:bookmarkEnd w:id="159"/>
      <w:bookmarkStart w:id="160" w:name="_Toc184308085"/>
      <w:bookmarkEnd w:id="160"/>
      <w:bookmarkStart w:id="161" w:name="_Toc184310344"/>
      <w:bookmarkEnd w:id="161"/>
      <w:bookmarkStart w:id="162" w:name="_Toc184314421"/>
      <w:bookmarkEnd w:id="162"/>
      <w:bookmarkStart w:id="163" w:name="_Toc184310280"/>
      <w:bookmarkEnd w:id="163"/>
      <w:bookmarkStart w:id="164" w:name="_Toc184308100"/>
      <w:bookmarkEnd w:id="164"/>
      <w:bookmarkStart w:id="165" w:name="_Toc184310336"/>
      <w:bookmarkEnd w:id="165"/>
      <w:bookmarkStart w:id="166" w:name="_Toc184308102"/>
      <w:bookmarkEnd w:id="166"/>
      <w:bookmarkStart w:id="167" w:name="_Toc184308037"/>
      <w:bookmarkEnd w:id="167"/>
      <w:bookmarkStart w:id="168" w:name="_Toc184310298"/>
      <w:bookmarkEnd w:id="168"/>
      <w:bookmarkStart w:id="169" w:name="_Toc184312126"/>
      <w:bookmarkEnd w:id="169"/>
      <w:bookmarkStart w:id="170" w:name="_Toc184312137"/>
      <w:bookmarkEnd w:id="170"/>
      <w:bookmarkStart w:id="171" w:name="_Toc184308094"/>
      <w:bookmarkEnd w:id="171"/>
      <w:bookmarkStart w:id="172" w:name="_Toc184313280"/>
      <w:bookmarkEnd w:id="172"/>
      <w:bookmarkStart w:id="173" w:name="_Toc184310290"/>
      <w:bookmarkEnd w:id="173"/>
      <w:bookmarkStart w:id="174" w:name="_Toc184310299"/>
      <w:bookmarkEnd w:id="174"/>
      <w:bookmarkStart w:id="175" w:name="_Toc184314452"/>
      <w:bookmarkEnd w:id="175"/>
      <w:bookmarkStart w:id="176" w:name="_Toc184308071"/>
      <w:bookmarkEnd w:id="176"/>
      <w:bookmarkStart w:id="177" w:name="_Toc184312122"/>
      <w:bookmarkEnd w:id="177"/>
      <w:bookmarkStart w:id="178" w:name="_Toc184310327"/>
      <w:bookmarkEnd w:id="178"/>
      <w:bookmarkStart w:id="179" w:name="_Toc184314415"/>
      <w:bookmarkEnd w:id="179"/>
      <w:bookmarkStart w:id="180" w:name="_Toc184313260"/>
      <w:bookmarkEnd w:id="180"/>
      <w:bookmarkStart w:id="181" w:name="_Toc184314441"/>
      <w:bookmarkEnd w:id="181"/>
      <w:bookmarkStart w:id="182" w:name="_Toc184310306"/>
      <w:bookmarkEnd w:id="182"/>
      <w:bookmarkStart w:id="183" w:name="_Toc184312074"/>
      <w:bookmarkEnd w:id="183"/>
      <w:bookmarkStart w:id="184" w:name="_Toc184314453"/>
      <w:bookmarkEnd w:id="184"/>
      <w:bookmarkStart w:id="185" w:name="_Toc184314414"/>
      <w:bookmarkEnd w:id="185"/>
      <w:bookmarkStart w:id="186" w:name="_Toc184313259"/>
      <w:bookmarkEnd w:id="186"/>
      <w:bookmarkStart w:id="187" w:name="_Toc184308098"/>
      <w:bookmarkEnd w:id="187"/>
      <w:bookmarkStart w:id="188" w:name="_Toc184313261"/>
      <w:bookmarkEnd w:id="188"/>
      <w:bookmarkStart w:id="189" w:name="_Toc184308107"/>
      <w:bookmarkEnd w:id="189"/>
      <w:bookmarkStart w:id="190" w:name="_Toc184308080"/>
      <w:bookmarkEnd w:id="190"/>
      <w:bookmarkStart w:id="191" w:name="_Toc184312117"/>
      <w:bookmarkEnd w:id="191"/>
      <w:bookmarkStart w:id="192" w:name="_Toc184314473"/>
      <w:bookmarkEnd w:id="192"/>
      <w:bookmarkStart w:id="193" w:name="_Toc184314416"/>
      <w:bookmarkEnd w:id="193"/>
      <w:bookmarkStart w:id="194" w:name="_Toc184312095"/>
      <w:bookmarkEnd w:id="194"/>
      <w:bookmarkStart w:id="195" w:name="_Toc184312087"/>
      <w:bookmarkEnd w:id="195"/>
      <w:bookmarkStart w:id="196" w:name="_Toc184313277"/>
      <w:bookmarkEnd w:id="196"/>
      <w:bookmarkStart w:id="197" w:name="_Toc184313274"/>
      <w:bookmarkEnd w:id="197"/>
      <w:bookmarkStart w:id="198" w:name="_Toc184312135"/>
      <w:bookmarkEnd w:id="198"/>
      <w:bookmarkStart w:id="199" w:name="_Toc184313268"/>
      <w:bookmarkEnd w:id="199"/>
      <w:bookmarkStart w:id="200" w:name="_Toc184312113"/>
      <w:bookmarkEnd w:id="200"/>
      <w:bookmarkStart w:id="201" w:name="_Toc184312068"/>
      <w:bookmarkEnd w:id="201"/>
      <w:bookmarkStart w:id="202" w:name="_Toc184313257"/>
      <w:bookmarkEnd w:id="202"/>
      <w:bookmarkStart w:id="203" w:name="_Toc184308099"/>
      <w:bookmarkEnd w:id="203"/>
      <w:bookmarkStart w:id="204" w:name="_Toc184310303"/>
      <w:bookmarkEnd w:id="204"/>
      <w:bookmarkStart w:id="205" w:name="_Toc184308096"/>
      <w:bookmarkEnd w:id="205"/>
      <w:bookmarkStart w:id="206" w:name="_Toc184312080"/>
      <w:bookmarkEnd w:id="206"/>
      <w:bookmarkStart w:id="207" w:name="_Toc184313291"/>
      <w:bookmarkEnd w:id="207"/>
      <w:bookmarkStart w:id="208" w:name="_Toc184310319"/>
      <w:bookmarkEnd w:id="208"/>
      <w:bookmarkStart w:id="209" w:name="_Toc184312069"/>
      <w:bookmarkEnd w:id="209"/>
      <w:bookmarkStart w:id="210" w:name="_Toc184314448"/>
      <w:bookmarkEnd w:id="210"/>
      <w:bookmarkStart w:id="211" w:name="_Toc184308078"/>
      <w:bookmarkEnd w:id="211"/>
      <w:bookmarkStart w:id="212" w:name="_Toc184314413"/>
      <w:bookmarkEnd w:id="212"/>
      <w:bookmarkStart w:id="213" w:name="_Toc184310307"/>
      <w:bookmarkEnd w:id="213"/>
      <w:bookmarkStart w:id="214" w:name="_Toc184314426"/>
      <w:bookmarkEnd w:id="214"/>
      <w:bookmarkStart w:id="215" w:name="_Toc184313293"/>
      <w:bookmarkEnd w:id="215"/>
      <w:bookmarkStart w:id="216" w:name="_Toc184314474"/>
      <w:bookmarkEnd w:id="216"/>
      <w:bookmarkStart w:id="217" w:name="_Toc184310317"/>
      <w:bookmarkEnd w:id="217"/>
      <w:bookmarkStart w:id="218" w:name="_Toc184310312"/>
      <w:bookmarkEnd w:id="218"/>
      <w:bookmarkStart w:id="219" w:name="_Toc184310292"/>
      <w:bookmarkEnd w:id="219"/>
      <w:bookmarkStart w:id="220" w:name="_Toc184313258"/>
      <w:bookmarkEnd w:id="220"/>
      <w:bookmarkStart w:id="221" w:name="_Toc184310338"/>
      <w:bookmarkEnd w:id="221"/>
      <w:bookmarkStart w:id="222" w:name="_Toc184308055"/>
      <w:bookmarkEnd w:id="222"/>
      <w:bookmarkStart w:id="223" w:name="_Toc184312139"/>
      <w:bookmarkEnd w:id="223"/>
      <w:bookmarkStart w:id="224" w:name="_Toc184308046"/>
      <w:bookmarkEnd w:id="224"/>
      <w:bookmarkStart w:id="225" w:name="_Toc184312101"/>
      <w:bookmarkEnd w:id="225"/>
      <w:bookmarkStart w:id="226" w:name="_Toc184312093"/>
      <w:bookmarkEnd w:id="226"/>
      <w:bookmarkStart w:id="227" w:name="_Toc184308039"/>
      <w:bookmarkEnd w:id="227"/>
      <w:bookmarkStart w:id="228" w:name="_Toc184314430"/>
      <w:bookmarkEnd w:id="228"/>
      <w:bookmarkStart w:id="229" w:name="_Toc184314417"/>
      <w:bookmarkEnd w:id="229"/>
      <w:bookmarkStart w:id="230" w:name="_Toc184314472"/>
      <w:bookmarkEnd w:id="230"/>
      <w:bookmarkStart w:id="231" w:name="_Toc184313288"/>
      <w:bookmarkEnd w:id="231"/>
      <w:bookmarkStart w:id="232" w:name="_Toc184308060"/>
      <w:bookmarkEnd w:id="232"/>
      <w:bookmarkStart w:id="233" w:name="_Toc184308076"/>
      <w:bookmarkEnd w:id="233"/>
      <w:bookmarkStart w:id="234" w:name="_Toc184308073"/>
      <w:bookmarkEnd w:id="234"/>
      <w:bookmarkStart w:id="235" w:name="_Toc184310272"/>
      <w:bookmarkEnd w:id="235"/>
      <w:bookmarkStart w:id="236" w:name="_Toc184312120"/>
      <w:bookmarkEnd w:id="236"/>
      <w:bookmarkStart w:id="237" w:name="_Toc184313265"/>
      <w:bookmarkEnd w:id="237"/>
      <w:bookmarkStart w:id="238" w:name="_Toc184313306"/>
      <w:bookmarkEnd w:id="238"/>
      <w:bookmarkStart w:id="239" w:name="_Toc184313290"/>
      <w:bookmarkEnd w:id="239"/>
      <w:bookmarkStart w:id="240" w:name="_Toc184313300"/>
      <w:bookmarkEnd w:id="240"/>
      <w:bookmarkStart w:id="241" w:name="_Toc184310274"/>
      <w:bookmarkEnd w:id="241"/>
      <w:bookmarkStart w:id="242" w:name="_Toc184313262"/>
      <w:bookmarkEnd w:id="242"/>
      <w:bookmarkStart w:id="243" w:name="_Toc184313295"/>
      <w:bookmarkEnd w:id="243"/>
      <w:bookmarkStart w:id="244" w:name="_Toc184312098"/>
      <w:bookmarkEnd w:id="244"/>
      <w:bookmarkStart w:id="245" w:name="_Toc184308083"/>
      <w:bookmarkEnd w:id="245"/>
      <w:bookmarkStart w:id="246" w:name="_Toc184314437"/>
      <w:bookmarkEnd w:id="246"/>
      <w:bookmarkStart w:id="247" w:name="_Toc184308092"/>
      <w:bookmarkEnd w:id="247"/>
      <w:bookmarkStart w:id="248" w:name="_Toc184312094"/>
      <w:bookmarkEnd w:id="248"/>
      <w:bookmarkStart w:id="249" w:name="_Toc184308048"/>
      <w:bookmarkEnd w:id="249"/>
      <w:bookmarkStart w:id="250" w:name="_Toc184313263"/>
      <w:bookmarkEnd w:id="250"/>
      <w:bookmarkStart w:id="251" w:name="_Toc184314429"/>
      <w:bookmarkEnd w:id="251"/>
      <w:bookmarkStart w:id="252" w:name="_Toc184314464"/>
      <w:bookmarkEnd w:id="252"/>
      <w:bookmarkStart w:id="253" w:name="_Toc184314454"/>
      <w:bookmarkEnd w:id="253"/>
      <w:bookmarkStart w:id="254" w:name="_Toc184312081"/>
      <w:bookmarkEnd w:id="254"/>
      <w:bookmarkStart w:id="255" w:name="_Toc184314476"/>
      <w:bookmarkEnd w:id="255"/>
      <w:bookmarkStart w:id="256" w:name="_Toc184314457"/>
      <w:bookmarkEnd w:id="256"/>
      <w:bookmarkStart w:id="257" w:name="_Toc184308066"/>
      <w:bookmarkEnd w:id="257"/>
      <w:bookmarkStart w:id="258" w:name="_Toc184310334"/>
      <w:bookmarkEnd w:id="258"/>
      <w:bookmarkStart w:id="259" w:name="_Toc184313267"/>
      <w:bookmarkEnd w:id="259"/>
      <w:bookmarkStart w:id="260" w:name="_Toc184314447"/>
      <w:bookmarkEnd w:id="260"/>
      <w:bookmarkStart w:id="261" w:name="_Toc184313247"/>
      <w:bookmarkEnd w:id="261"/>
      <w:bookmarkStart w:id="262" w:name="_Toc184310300"/>
      <w:bookmarkEnd w:id="262"/>
      <w:bookmarkStart w:id="263" w:name="_Toc184310314"/>
      <w:bookmarkEnd w:id="263"/>
      <w:bookmarkStart w:id="264" w:name="_Toc184308081"/>
      <w:bookmarkEnd w:id="264"/>
      <w:bookmarkStart w:id="265" w:name="_Toc184313297"/>
      <w:bookmarkEnd w:id="265"/>
      <w:bookmarkStart w:id="266" w:name="_Toc184312078"/>
      <w:bookmarkEnd w:id="266"/>
      <w:bookmarkStart w:id="267" w:name="_Toc184310296"/>
      <w:bookmarkEnd w:id="267"/>
      <w:bookmarkStart w:id="268" w:name="_Toc184313282"/>
      <w:bookmarkEnd w:id="268"/>
      <w:bookmarkStart w:id="269" w:name="_Toc184313308"/>
      <w:bookmarkEnd w:id="269"/>
      <w:bookmarkStart w:id="270" w:name="_Toc184308064"/>
      <w:bookmarkEnd w:id="270"/>
      <w:bookmarkStart w:id="271" w:name="_Toc184308056"/>
      <w:bookmarkEnd w:id="271"/>
      <w:bookmarkStart w:id="272" w:name="_Toc184314412"/>
      <w:bookmarkEnd w:id="272"/>
      <w:bookmarkStart w:id="273" w:name="_Toc184312073"/>
      <w:bookmarkEnd w:id="273"/>
      <w:bookmarkStart w:id="274" w:name="_Toc184312131"/>
      <w:bookmarkEnd w:id="274"/>
      <w:bookmarkStart w:id="275" w:name="_Toc184314439"/>
      <w:bookmarkEnd w:id="275"/>
      <w:bookmarkStart w:id="276" w:name="_Toc184308047"/>
      <w:bookmarkEnd w:id="276"/>
      <w:bookmarkStart w:id="277" w:name="_Toc184313299"/>
      <w:bookmarkEnd w:id="277"/>
      <w:bookmarkStart w:id="278" w:name="_Toc184313249"/>
      <w:bookmarkEnd w:id="278"/>
      <w:bookmarkStart w:id="279" w:name="_Toc184310313"/>
      <w:bookmarkEnd w:id="279"/>
      <w:bookmarkStart w:id="280" w:name="_Toc184313287"/>
      <w:bookmarkEnd w:id="280"/>
      <w:bookmarkStart w:id="281" w:name="_Toc184313239"/>
      <w:bookmarkEnd w:id="281"/>
      <w:bookmarkStart w:id="282" w:name="_Toc184312106"/>
      <w:bookmarkEnd w:id="282"/>
      <w:bookmarkStart w:id="283" w:name="_Toc184314478"/>
      <w:bookmarkEnd w:id="283"/>
      <w:bookmarkStart w:id="284" w:name="_Toc184313309"/>
      <w:bookmarkEnd w:id="284"/>
      <w:bookmarkStart w:id="285" w:name="_Toc184312128"/>
      <w:bookmarkEnd w:id="285"/>
      <w:bookmarkStart w:id="286" w:name="_Toc184314449"/>
      <w:bookmarkEnd w:id="286"/>
      <w:bookmarkStart w:id="287" w:name="_Toc184312091"/>
      <w:bookmarkEnd w:id="287"/>
      <w:bookmarkStart w:id="288" w:name="_Toc184313266"/>
      <w:bookmarkEnd w:id="288"/>
      <w:bookmarkStart w:id="289" w:name="_Toc184313246"/>
      <w:bookmarkEnd w:id="289"/>
      <w:bookmarkStart w:id="290" w:name="_Toc184312085"/>
      <w:bookmarkEnd w:id="290"/>
      <w:bookmarkStart w:id="291" w:name="_Toc184314463"/>
      <w:bookmarkEnd w:id="291"/>
      <w:bookmarkStart w:id="292" w:name="_Toc184310294"/>
      <w:bookmarkEnd w:id="292"/>
      <w:bookmarkStart w:id="293" w:name="_Toc184313272"/>
      <w:bookmarkEnd w:id="293"/>
      <w:bookmarkStart w:id="294" w:name="_Toc184312110"/>
      <w:bookmarkEnd w:id="294"/>
      <w:bookmarkStart w:id="295" w:name="_Toc184310325"/>
      <w:bookmarkEnd w:id="295"/>
      <w:bookmarkStart w:id="296" w:name="_Toc184313273"/>
      <w:bookmarkEnd w:id="296"/>
      <w:bookmarkStart w:id="297" w:name="_Toc184314422"/>
      <w:bookmarkEnd w:id="297"/>
      <w:bookmarkStart w:id="298" w:name="_Toc184308044"/>
      <w:bookmarkEnd w:id="298"/>
      <w:bookmarkStart w:id="299" w:name="_Toc184310310"/>
      <w:bookmarkEnd w:id="299"/>
      <w:bookmarkStart w:id="300" w:name="_Toc184308059"/>
      <w:bookmarkEnd w:id="300"/>
      <w:bookmarkStart w:id="301" w:name="_Toc184312129"/>
      <w:bookmarkEnd w:id="301"/>
      <w:bookmarkStart w:id="302" w:name="_Toc184308103"/>
      <w:bookmarkEnd w:id="302"/>
      <w:bookmarkStart w:id="303" w:name="_Toc184308067"/>
      <w:bookmarkEnd w:id="303"/>
      <w:bookmarkStart w:id="304" w:name="_Toc184314424"/>
      <w:bookmarkEnd w:id="304"/>
      <w:bookmarkStart w:id="305" w:name="_Toc184308077"/>
      <w:bookmarkEnd w:id="305"/>
      <w:bookmarkStart w:id="306" w:name="_Toc184314477"/>
      <w:bookmarkEnd w:id="306"/>
      <w:bookmarkStart w:id="307" w:name="_Toc184308108"/>
      <w:bookmarkEnd w:id="307"/>
      <w:bookmarkStart w:id="308" w:name="_Toc184312089"/>
      <w:bookmarkEnd w:id="308"/>
      <w:bookmarkStart w:id="309" w:name="_Toc184312132"/>
      <w:bookmarkEnd w:id="309"/>
      <w:bookmarkStart w:id="310" w:name="_Toc184313303"/>
      <w:bookmarkEnd w:id="310"/>
      <w:bookmarkStart w:id="311" w:name="_Toc184314440"/>
      <w:bookmarkEnd w:id="311"/>
      <w:bookmarkStart w:id="312" w:name="_Toc184312115"/>
      <w:bookmarkEnd w:id="312"/>
      <w:bookmarkStart w:id="313" w:name="_Toc184312071"/>
      <w:bookmarkEnd w:id="313"/>
      <w:bookmarkStart w:id="314" w:name="_Toc184310278"/>
      <w:bookmarkEnd w:id="314"/>
      <w:bookmarkStart w:id="315" w:name="_Toc184312119"/>
      <w:bookmarkEnd w:id="315"/>
      <w:bookmarkStart w:id="316" w:name="_Toc184308053"/>
      <w:bookmarkEnd w:id="316"/>
      <w:bookmarkStart w:id="317" w:name="_Toc184310318"/>
      <w:bookmarkEnd w:id="317"/>
      <w:bookmarkStart w:id="318" w:name="_Toc184310315"/>
      <w:bookmarkEnd w:id="318"/>
      <w:bookmarkStart w:id="319" w:name="_Toc184310283"/>
      <w:bookmarkEnd w:id="319"/>
      <w:bookmarkStart w:id="320" w:name="_Toc184308079"/>
      <w:bookmarkEnd w:id="320"/>
      <w:bookmarkStart w:id="321" w:name="_Toc184310326"/>
      <w:bookmarkEnd w:id="321"/>
      <w:bookmarkStart w:id="322" w:name="_Toc184314460"/>
      <w:bookmarkEnd w:id="322"/>
      <w:bookmarkStart w:id="323" w:name="_Toc184310308"/>
      <w:bookmarkEnd w:id="323"/>
      <w:bookmarkStart w:id="324" w:name="_Toc184312111"/>
      <w:bookmarkEnd w:id="324"/>
      <w:bookmarkStart w:id="325" w:name="_Toc184312090"/>
      <w:bookmarkEnd w:id="325"/>
      <w:bookmarkStart w:id="326" w:name="_Toc184308049"/>
      <w:bookmarkEnd w:id="326"/>
      <w:bookmarkStart w:id="327" w:name="_Toc184313256"/>
      <w:bookmarkEnd w:id="327"/>
      <w:bookmarkStart w:id="328" w:name="_Toc184314461"/>
      <w:bookmarkEnd w:id="328"/>
      <w:bookmarkStart w:id="329" w:name="_Toc184313241"/>
      <w:bookmarkEnd w:id="329"/>
      <w:bookmarkStart w:id="330" w:name="_Toc184308086"/>
      <w:bookmarkEnd w:id="330"/>
      <w:bookmarkStart w:id="331" w:name="_Toc184310297"/>
      <w:bookmarkEnd w:id="331"/>
      <w:bookmarkStart w:id="332" w:name="_Toc184312124"/>
      <w:bookmarkEnd w:id="332"/>
      <w:bookmarkStart w:id="333" w:name="_Toc184310301"/>
      <w:bookmarkEnd w:id="333"/>
      <w:bookmarkStart w:id="334" w:name="_Toc184313304"/>
      <w:bookmarkEnd w:id="334"/>
      <w:bookmarkStart w:id="335" w:name="_Toc184312072"/>
      <w:bookmarkEnd w:id="335"/>
      <w:bookmarkStart w:id="336" w:name="_Toc184313301"/>
      <w:bookmarkEnd w:id="336"/>
      <w:bookmarkStart w:id="337" w:name="_Toc184308065"/>
      <w:bookmarkEnd w:id="337"/>
      <w:bookmarkStart w:id="338" w:name="_Toc184314465"/>
      <w:bookmarkEnd w:id="338"/>
      <w:bookmarkStart w:id="339" w:name="_Toc184313243"/>
      <w:bookmarkEnd w:id="339"/>
      <w:bookmarkStart w:id="340" w:name="_Toc184310279"/>
      <w:bookmarkEnd w:id="340"/>
      <w:bookmarkStart w:id="341" w:name="_Toc184308070"/>
      <w:bookmarkEnd w:id="341"/>
      <w:bookmarkStart w:id="342" w:name="_Toc184313310"/>
      <w:bookmarkEnd w:id="342"/>
      <w:bookmarkStart w:id="343" w:name="_Toc184308054"/>
      <w:bookmarkEnd w:id="343"/>
      <w:bookmarkStart w:id="344" w:name="_Toc184314480"/>
      <w:bookmarkEnd w:id="344"/>
      <w:bookmarkStart w:id="345" w:name="_Toc184314475"/>
      <w:bookmarkEnd w:id="345"/>
      <w:bookmarkStart w:id="346" w:name="_Toc184312134"/>
      <w:bookmarkEnd w:id="346"/>
      <w:bookmarkStart w:id="347" w:name="_Toc184314411"/>
      <w:bookmarkEnd w:id="347"/>
      <w:bookmarkStart w:id="348" w:name="_Toc184312088"/>
      <w:bookmarkEnd w:id="348"/>
      <w:bookmarkStart w:id="349" w:name="_Toc184308063"/>
      <w:bookmarkEnd w:id="349"/>
      <w:bookmarkStart w:id="350" w:name="_Toc184313281"/>
      <w:bookmarkEnd w:id="350"/>
      <w:bookmarkStart w:id="351" w:name="_Toc184314425"/>
      <w:bookmarkEnd w:id="351"/>
      <w:bookmarkStart w:id="352" w:name="_Toc184310293"/>
      <w:bookmarkEnd w:id="352"/>
      <w:bookmarkStart w:id="353" w:name="_Toc184310276"/>
      <w:bookmarkEnd w:id="353"/>
      <w:bookmarkStart w:id="354" w:name="_Toc184312084"/>
      <w:bookmarkEnd w:id="354"/>
      <w:bookmarkStart w:id="355" w:name="_Toc184313298"/>
      <w:bookmarkEnd w:id="355"/>
      <w:bookmarkStart w:id="356" w:name="_Toc184312112"/>
      <w:bookmarkEnd w:id="356"/>
      <w:bookmarkStart w:id="357" w:name="_Toc184314482"/>
      <w:bookmarkEnd w:id="357"/>
      <w:bookmarkStart w:id="358" w:name="_Toc184314459"/>
      <w:bookmarkEnd w:id="358"/>
      <w:bookmarkStart w:id="359" w:name="_Toc184310321"/>
      <w:bookmarkEnd w:id="359"/>
      <w:bookmarkStart w:id="360" w:name="_Toc184310273"/>
      <w:bookmarkEnd w:id="360"/>
      <w:bookmarkStart w:id="361" w:name="_Toc184312079"/>
      <w:bookmarkEnd w:id="361"/>
      <w:bookmarkStart w:id="362" w:name="_Toc184313289"/>
      <w:bookmarkEnd w:id="362"/>
      <w:bookmarkStart w:id="363" w:name="_Toc184308105"/>
      <w:bookmarkEnd w:id="363"/>
      <w:bookmarkStart w:id="364" w:name="_Toc184312108"/>
      <w:bookmarkEnd w:id="364"/>
      <w:bookmarkStart w:id="365" w:name="_Toc184312118"/>
      <w:bookmarkEnd w:id="365"/>
      <w:bookmarkStart w:id="366" w:name="_Toc184308088"/>
      <w:bookmarkEnd w:id="366"/>
      <w:bookmarkStart w:id="367" w:name="_Toc184313305"/>
      <w:bookmarkEnd w:id="367"/>
      <w:bookmarkStart w:id="368" w:name="_Toc184314450"/>
      <w:bookmarkEnd w:id="368"/>
      <w:bookmarkStart w:id="369" w:name="_Toc184314436"/>
      <w:bookmarkEnd w:id="369"/>
      <w:bookmarkStart w:id="370" w:name="_Toc184313253"/>
      <w:bookmarkEnd w:id="370"/>
      <w:bookmarkStart w:id="371" w:name="_Toc184312138"/>
      <w:bookmarkEnd w:id="371"/>
      <w:bookmarkStart w:id="372" w:name="_Toc184310341"/>
      <w:bookmarkEnd w:id="372"/>
      <w:bookmarkStart w:id="373" w:name="_Toc184314433"/>
      <w:bookmarkEnd w:id="373"/>
      <w:bookmarkStart w:id="374" w:name="_Toc184308097"/>
      <w:bookmarkEnd w:id="374"/>
      <w:bookmarkStart w:id="375" w:name="_Toc184314446"/>
      <w:bookmarkEnd w:id="375"/>
      <w:bookmarkStart w:id="376" w:name="_Toc184312133"/>
      <w:bookmarkEnd w:id="376"/>
      <w:bookmarkStart w:id="377" w:name="_Toc184312082"/>
      <w:bookmarkEnd w:id="377"/>
      <w:bookmarkStart w:id="378" w:name="_Toc184312114"/>
      <w:bookmarkEnd w:id="378"/>
      <w:bookmarkStart w:id="379" w:name="_Toc184308041"/>
      <w:bookmarkEnd w:id="379"/>
      <w:bookmarkStart w:id="380" w:name="_Toc184310291"/>
      <w:bookmarkEnd w:id="380"/>
      <w:bookmarkStart w:id="381" w:name="_Toc184313286"/>
      <w:bookmarkEnd w:id="381"/>
      <w:bookmarkStart w:id="382" w:name="_Toc184314418"/>
      <w:bookmarkEnd w:id="382"/>
      <w:bookmarkStart w:id="383" w:name="_Toc184310342"/>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2024年临江公司职业病危害现状评价服务采购项目</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480" w:firstLineChars="200"/>
      </w:pPr>
      <w:r>
        <w:rPr>
          <w:rFonts w:hint="eastAsia"/>
        </w:rPr>
        <w:t>第一章 合同书  …………………………………………………………（页码）</w:t>
      </w:r>
    </w:p>
    <w:p>
      <w:pPr>
        <w:pStyle w:val="9"/>
        <w:spacing w:line="360" w:lineRule="auto"/>
        <w:ind w:firstLine="480" w:firstLineChars="200"/>
        <w:rPr>
          <w:rFonts w:hint="eastAsia"/>
        </w:rPr>
      </w:pPr>
      <w:r>
        <w:rPr>
          <w:rFonts w:hint="eastAsia"/>
        </w:rPr>
        <w:t>第二章 合同一般条款……………………………………………………（页码）</w:t>
      </w:r>
    </w:p>
    <w:p>
      <w:pPr>
        <w:pStyle w:val="9"/>
        <w:spacing w:line="360" w:lineRule="auto"/>
        <w:ind w:firstLine="480" w:firstLineChars="200"/>
        <w:rPr>
          <w:rFonts w:hint="eastAsia"/>
        </w:rPr>
      </w:pPr>
      <w:r>
        <w:rPr>
          <w:rFonts w:hint="eastAsia"/>
        </w:rPr>
        <w:t>第三章 安全协议…………………………………………………………（页码）</w:t>
      </w:r>
    </w:p>
    <w:p>
      <w:pPr>
        <w:pStyle w:val="9"/>
        <w:spacing w:line="360" w:lineRule="auto"/>
        <w:ind w:firstLine="480" w:firstLineChars="2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6</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25</w:t>
      </w:r>
      <w:bookmarkStart w:id="496" w:name="_GoBack"/>
      <w:bookmarkEnd w:id="496"/>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2024年临江公司职业病危害现状评价服务采购项目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28855"/>
      <w:bookmarkStart w:id="386" w:name="_Toc22967"/>
      <w:bookmarkStart w:id="387" w:name="_Toc20421"/>
      <w:bookmarkStart w:id="388" w:name="_Toc153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2918"/>
      <w:bookmarkStart w:id="391" w:name="_Toc6773"/>
      <w:bookmarkStart w:id="392" w:name="_Toc221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058"/>
        <w:gridCol w:w="704"/>
        <w:gridCol w:w="727"/>
        <w:gridCol w:w="866"/>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职业病危害防治设施现状评价</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编辑职业病危害现状评价服务报告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能源事业部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职业病危害防治设施现状评价</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编辑职业病危害现状评价服务报告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项</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三固事业部</w:t>
            </w:r>
          </w:p>
        </w:tc>
      </w:tr>
    </w:tbl>
    <w:p>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638"/>
        <w:gridCol w:w="1641"/>
        <w:gridCol w:w="863"/>
        <w:gridCol w:w="749"/>
        <w:gridCol w:w="9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5"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bookmarkStart w:id="394" w:name="_Toc1386"/>
            <w:bookmarkStart w:id="395" w:name="_Toc4929"/>
            <w:bookmarkStart w:id="396" w:name="_Toc5635"/>
            <w:bookmarkStart w:id="397" w:name="_Toc21124"/>
            <w:bookmarkStart w:id="398" w:name="_Toc13918"/>
            <w:r>
              <w:rPr>
                <w:rFonts w:hint="eastAsia" w:ascii="宋体" w:hAnsi="宋体" w:eastAsia="宋体"/>
                <w:b w:val="0"/>
                <w:sz w:val="24"/>
                <w:szCs w:val="24"/>
                <w:lang w:val="en-US"/>
              </w:rPr>
              <w:t>序号</w:t>
            </w:r>
          </w:p>
        </w:tc>
        <w:tc>
          <w:tcPr>
            <w:tcW w:w="1177"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38" w:type="dxa"/>
            <w:noWrap w:val="0"/>
            <w:vAlign w:val="center"/>
          </w:tcPr>
          <w:p>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41" w:type="dxa"/>
            <w:noWrap w:val="0"/>
            <w:vAlign w:val="center"/>
          </w:tcPr>
          <w:p>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63"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9"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44"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40"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5" w:type="dxa"/>
            <w:noWrap w:val="0"/>
            <w:vAlign w:val="center"/>
          </w:tcPr>
          <w:p>
            <w:pPr>
              <w:pStyle w:val="3"/>
              <w:tabs>
                <w:tab w:val="left" w:pos="432"/>
              </w:tabs>
              <w:spacing w:line="240" w:lineRule="auto"/>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7"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1638"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1641"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863"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749"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944" w:type="dxa"/>
            <w:noWrap w:val="0"/>
            <w:vAlign w:val="center"/>
          </w:tcPr>
          <w:p>
            <w:pPr>
              <w:pStyle w:val="3"/>
              <w:tabs>
                <w:tab w:val="left" w:pos="432"/>
              </w:tabs>
              <w:spacing w:line="240" w:lineRule="auto"/>
              <w:ind w:left="0" w:firstLine="0"/>
              <w:jc w:val="center"/>
              <w:rPr>
                <w:rFonts w:hint="eastAsia" w:ascii="宋体" w:hAnsi="宋体" w:eastAsia="宋体"/>
                <w:b w:val="0"/>
                <w:sz w:val="24"/>
                <w:szCs w:val="24"/>
                <w:lang w:val="en-US" w:eastAsia="zh-CN"/>
              </w:rPr>
            </w:pPr>
            <w:r>
              <w:rPr>
                <w:rFonts w:hint="eastAsia" w:ascii="宋体" w:hAnsi="宋体" w:eastAsia="宋体"/>
                <w:b w:val="0"/>
                <w:sz w:val="24"/>
                <w:szCs w:val="24"/>
                <w:lang w:val="en-US" w:eastAsia="zh-CN"/>
              </w:rPr>
              <w:t>/</w:t>
            </w:r>
          </w:p>
        </w:tc>
        <w:tc>
          <w:tcPr>
            <w:tcW w:w="1440" w:type="dxa"/>
            <w:noWrap w:val="0"/>
            <w:vAlign w:val="center"/>
          </w:tcPr>
          <w:p>
            <w:pPr>
              <w:pStyle w:val="3"/>
              <w:tabs>
                <w:tab w:val="left" w:pos="432"/>
              </w:tabs>
              <w:spacing w:line="240" w:lineRule="auto"/>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22618"/>
      <w:bookmarkStart w:id="401" w:name="_Toc10340"/>
      <w:bookmarkStart w:id="402" w:name="_Toc3625"/>
      <w:bookmarkStart w:id="403" w:name="_Toc4760"/>
      <w:bookmarkStart w:id="404" w:name="_Toc11108"/>
      <w:bookmarkStart w:id="405" w:name="_Toc8772"/>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hAnsi="宋体" w:cs="宋体"/>
          <w:bCs/>
          <w:color w:val="auto"/>
          <w:sz w:val="24"/>
          <w:highlight w:val="none"/>
          <w:u w:val="single"/>
          <w:lang w:val="en-US" w:eastAsia="zh-CN"/>
        </w:rPr>
        <w:t>自合同签订起至出具现状评价报告并完成备案后，本合同自动终止</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hAnsi="宋体" w:cs="宋体"/>
          <w:bCs/>
          <w:color w:val="auto"/>
          <w:sz w:val="24"/>
          <w:highlight w:val="none"/>
          <w:u w:val="single"/>
          <w:lang w:val="en-US" w:eastAsia="zh-CN"/>
        </w:rPr>
        <w:t>出具4份纸质报告，1份电子报告并完成备案</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乙方</w:t>
      </w:r>
      <w:r>
        <w:rPr>
          <w:rFonts w:hint="eastAsia" w:ascii="宋体"/>
          <w:color w:val="auto"/>
          <w:lang w:val="en-US" w:eastAsia="zh-CN"/>
        </w:rPr>
        <w:t>根据</w:t>
      </w:r>
      <w:r>
        <w:rPr>
          <w:rFonts w:hint="eastAsia" w:ascii="宋体" w:hAnsi="Arial" w:cs="Arial" w:eastAsiaTheme="minorEastAsia"/>
          <w:snapToGrid w:val="0"/>
          <w:color w:val="auto"/>
          <w:kern w:val="2"/>
          <w:sz w:val="24"/>
          <w:szCs w:val="21"/>
          <w:lang w:val="en-US" w:eastAsia="zh-CN" w:bidi="ar-SA"/>
        </w:rPr>
        <w:t>《工作场所职业卫生管理规定》（国家卫生健康委员会令第5号）</w:t>
      </w:r>
      <w:r>
        <w:rPr>
          <w:rFonts w:hint="eastAsia" w:cs="Arial"/>
          <w:snapToGrid w:val="0"/>
          <w:color w:val="auto"/>
          <w:kern w:val="2"/>
          <w:sz w:val="24"/>
          <w:szCs w:val="21"/>
          <w:lang w:val="en-US" w:eastAsia="zh-CN" w:bidi="ar-SA"/>
        </w:rPr>
        <w:t>对能源、三固事业部进行职业病危害现状评价工作，编辑评价报告通过专家评审并完成平台备案。</w:t>
      </w:r>
    </w:p>
    <w:p>
      <w:pPr>
        <w:pStyle w:val="6"/>
        <w:numPr>
          <w:ilvl w:val="0"/>
          <w:numId w:val="0"/>
        </w:numPr>
        <w:ind w:firstLine="480" w:firstLineChars="200"/>
        <w:rPr>
          <w:rFonts w:hint="eastAsia"/>
          <w:color w:val="auto"/>
          <w:lang w:val="en-US" w:eastAsia="zh-CN"/>
        </w:rPr>
      </w:pPr>
      <w:r>
        <w:rPr>
          <w:rFonts w:hint="eastAsia"/>
          <w:color w:val="auto"/>
          <w:lang w:val="en-US" w:eastAsia="zh-CN"/>
        </w:rPr>
        <w:t>4.现状报告内的检测：乙方需按照</w:t>
      </w:r>
      <w:r>
        <w:rPr>
          <w:rFonts w:hint="eastAsia" w:ascii="宋体"/>
          <w:color w:val="auto"/>
          <w:lang w:val="en-US" w:eastAsia="zh-CN"/>
        </w:rPr>
        <w:t>职业病危害因素检测计划，到杭州临江环境能源有限公司厂区进行职业病危害因素检测，对于出现意外情况导致检测服务无法一次性完成，应再次到指定现场完成剩余检测服务，根据检测结果出具盖章的合规检测评价报告</w:t>
      </w:r>
      <w:r>
        <w:rPr>
          <w:rFonts w:hint="eastAsia"/>
          <w:color w:val="auto"/>
          <w:lang w:val="en-US" w:eastAsia="zh-CN"/>
        </w:rPr>
        <w:t>。</w:t>
      </w:r>
    </w:p>
    <w:p>
      <w:pPr>
        <w:pStyle w:val="6"/>
        <w:numPr>
          <w:ilvl w:val="0"/>
          <w:numId w:val="0"/>
        </w:numPr>
        <w:ind w:firstLine="480" w:firstLineChars="200"/>
        <w:rPr>
          <w:rFonts w:hint="eastAsia" w:ascii="宋体" w:hAnsi="宋体" w:cs="宋体"/>
          <w:sz w:val="24"/>
          <w:lang w:val="en-US" w:eastAsia="zh-CN"/>
        </w:rPr>
      </w:pPr>
      <w:r>
        <w:rPr>
          <w:rFonts w:hint="eastAsia" w:cs="仿宋" w:asciiTheme="minorEastAsia" w:hAnsiTheme="minorEastAsia"/>
          <w:color w:val="auto"/>
          <w:sz w:val="24"/>
          <w:highlight w:val="none"/>
          <w:lang w:val="en-US" w:eastAsia="zh-CN"/>
        </w:rPr>
        <w:t>5.本项目报告均单独出具，能源事业部单独一份检测报告，三固事业部单独一份报告。</w:t>
      </w:r>
      <w:r>
        <w:rPr>
          <w:rFonts w:hint="eastAsia" w:cs="Arial"/>
          <w:snapToGrid w:val="0"/>
          <w:color w:val="auto"/>
          <w:kern w:val="2"/>
          <w:sz w:val="24"/>
          <w:szCs w:val="21"/>
          <w:highlight w:val="none"/>
          <w:lang w:val="en-US" w:eastAsia="zh-CN" w:bidi="ar-SA"/>
        </w:rPr>
        <w:t>（若备案申报系统中只能上传1份报告的情况下，报告无需分别出具。）</w:t>
      </w:r>
    </w:p>
    <w:p>
      <w:pPr>
        <w:spacing w:line="360" w:lineRule="auto"/>
        <w:ind w:firstLine="480" w:firstLineChars="200"/>
        <w:outlineLvl w:val="0"/>
        <w:rPr>
          <w:rFonts w:hint="eastAsia"/>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4563"/>
      <w:bookmarkStart w:id="408" w:name="_Toc6596"/>
      <w:bookmarkStart w:id="409" w:name="_Toc1125"/>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5698"/>
      <w:bookmarkStart w:id="412" w:name="_Toc24662"/>
      <w:bookmarkStart w:id="413" w:name="_Toc2375"/>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w:t>
      </w:r>
      <w:r>
        <w:rPr>
          <w:rFonts w:hint="eastAsia" w:ascii="宋体" w:hAnsi="宋体"/>
          <w:sz w:val="24"/>
          <w:highlight w:val="none"/>
        </w:rPr>
        <w:t>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5" w:name="_Toc26807"/>
      <w:bookmarkStart w:id="416" w:name="_Toc18683"/>
      <w:bookmarkStart w:id="417" w:name="_Toc32454"/>
      <w:bookmarkStart w:id="418" w:name="_Toc30329"/>
      <w:bookmarkStart w:id="419" w:name="_Toc9497"/>
      <w:r>
        <w:rPr>
          <w:rFonts w:hint="eastAsia" w:ascii="宋体" w:hAnsi="宋体" w:cs="宋体"/>
          <w:sz w:val="24"/>
          <w:highlight w:val="none"/>
        </w:rPr>
        <w:t>4.除不可抗力外，任何一方未能履行本合同约定的其他主要</w:t>
      </w:r>
      <w:r>
        <w:rPr>
          <w:rFonts w:hint="eastAsia" w:ascii="宋体" w:hAnsi="宋体" w:cs="宋体"/>
          <w:sz w:val="24"/>
        </w:rPr>
        <w:t>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（1）乙方交付的服务或者货物不符合合同约定或验收不合格的，应当及时更换完善，因此延误成果交付期限的，按</w:t>
      </w:r>
      <w:r>
        <w:rPr>
          <w:rFonts w:hint="eastAsia" w:ascii="宋体" w:hAnsi="宋体" w:cs="宋体"/>
          <w:sz w:val="24"/>
          <w:highlight w:val="none"/>
          <w:u w:val="single"/>
        </w:rPr>
        <w:t>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6021"/>
      <w:bookmarkStart w:id="421" w:name="_Toc15583"/>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3" w:name="_Toc7245"/>
      <w:bookmarkStart w:id="424" w:name="_Toc15322"/>
      <w:bookmarkStart w:id="425" w:name="_Toc11173"/>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14021"/>
      <w:bookmarkStart w:id="427" w:name="_Toc31297"/>
      <w:bookmarkStart w:id="428" w:name="_Toc19680"/>
      <w:bookmarkStart w:id="429" w:name="_Toc25079"/>
      <w:bookmarkStart w:id="430" w:name="_Toc5228"/>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16752"/>
      <w:bookmarkStart w:id="432" w:name="_Toc31402"/>
      <w:bookmarkStart w:id="433" w:name="_Toc23289"/>
      <w:bookmarkStart w:id="434" w:name="_Toc19539"/>
      <w:bookmarkStart w:id="435" w:name="_Toc376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9161"/>
      <w:bookmarkStart w:id="437" w:name="_Toc4133"/>
      <w:bookmarkStart w:id="438" w:name="_Toc13673"/>
      <w:bookmarkStart w:id="439" w:name="_Toc12412"/>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15447"/>
      <w:bookmarkStart w:id="442" w:name="_Toc32670"/>
      <w:bookmarkStart w:id="443" w:name="_Toc31233"/>
      <w:bookmarkStart w:id="444" w:name="_Toc26555"/>
      <w:bookmarkStart w:id="445" w:name="_Toc22011"/>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8990"/>
      <w:bookmarkStart w:id="447" w:name="_Toc16163"/>
      <w:bookmarkStart w:id="448" w:name="_Toc30507"/>
      <w:bookmarkStart w:id="449" w:name="_Toc13154"/>
      <w:bookmarkStart w:id="450"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6689"/>
      <w:bookmarkStart w:id="455" w:name="_Toc10663"/>
      <w:bookmarkStart w:id="456" w:name="_Toc42"/>
      <w:bookmarkStart w:id="457" w:name="_Toc21830"/>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4720"/>
      <w:bookmarkStart w:id="460" w:name="_Toc25571"/>
      <w:bookmarkStart w:id="461" w:name="_Toc26633"/>
      <w:bookmarkStart w:id="462" w:name="_Toc14371"/>
      <w:bookmarkStart w:id="463" w:name="_Toc32494"/>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5783"/>
      <w:bookmarkStart w:id="465" w:name="_Toc3638"/>
      <w:bookmarkStart w:id="466" w:name="_Toc14115"/>
      <w:bookmarkStart w:id="467" w:name="_Toc23854"/>
      <w:bookmarkStart w:id="468" w:name="_Toc24465"/>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26883"/>
      <w:bookmarkStart w:id="470" w:name="_Toc25525"/>
      <w:bookmarkStart w:id="471" w:name="_Toc30105"/>
      <w:bookmarkStart w:id="472" w:name="_Toc14814"/>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4525"/>
      <w:bookmarkStart w:id="478" w:name="_Toc17363"/>
      <w:bookmarkStart w:id="479" w:name="_Toc1969"/>
      <w:r>
        <w:rPr>
          <w:rFonts w:hint="eastAsia" w:ascii="宋体" w:hAnsi="宋体"/>
          <w:b/>
          <w:sz w:val="24"/>
        </w:rPr>
        <w:t>十五</w:t>
      </w:r>
      <w:bookmarkEnd w:id="477"/>
      <w:bookmarkEnd w:id="478"/>
      <w:bookmarkEnd w:id="479"/>
      <w:bookmarkStart w:id="480" w:name="_Toc31892"/>
      <w:bookmarkStart w:id="481" w:name="_Toc12666"/>
      <w:bookmarkStart w:id="482" w:name="_Toc9808"/>
      <w:bookmarkStart w:id="483" w:name="_Toc2308"/>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4355"/>
      <w:bookmarkStart w:id="489" w:name="_Toc30599"/>
      <w:bookmarkStart w:id="490" w:name="_Toc27644"/>
      <w:bookmarkStart w:id="491" w:name="_Toc5063"/>
      <w:bookmarkStart w:id="492" w:name="_Toc12254"/>
      <w:bookmarkStart w:id="493" w:name="_Toc20808"/>
      <w:bookmarkStart w:id="494" w:name="_Toc28906"/>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p>
      <w:pPr>
        <w:pStyle w:val="9"/>
        <w:rPr>
          <w:rFonts w:hint="eastAsia"/>
        </w:rPr>
      </w:pPr>
    </w:p>
    <w:p>
      <w:pPr>
        <w:pStyle w:val="9"/>
        <w:rPr>
          <w:rFonts w:hint="eastAsia"/>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eastAsia="zh-CN" w:bidi="ar"/>
        </w:rPr>
        <w:t>2024年临江公司职业病危害现状评价服务采购项目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2024年临江公司职业病危害现状评价服务采购项目</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2024年临江公司职业病危害现状评价服务采购项目</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202406013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2024年临江公司职业病危害现状评价服务采购项目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202406013</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93"/>
        <w:gridCol w:w="3624"/>
        <w:gridCol w:w="1010"/>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09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624"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2093"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职业病危害防治设施现状评价</w:t>
            </w:r>
          </w:p>
        </w:tc>
        <w:tc>
          <w:tcPr>
            <w:tcW w:w="3624" w:type="dxa"/>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编辑职业病危害现状评价服务报告</w:t>
            </w:r>
          </w:p>
        </w:tc>
        <w:tc>
          <w:tcPr>
            <w:tcW w:w="1010"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能源事业部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w:t>
            </w:r>
          </w:p>
        </w:tc>
        <w:tc>
          <w:tcPr>
            <w:tcW w:w="2093" w:type="dxa"/>
            <w:vAlign w:val="center"/>
          </w:tcPr>
          <w:p>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sz w:val="24"/>
                <w:lang w:val="en-US" w:eastAsia="zh-CN"/>
              </w:rPr>
              <w:t>职业病危害防治设施现状评价</w:t>
            </w:r>
          </w:p>
        </w:tc>
        <w:tc>
          <w:tcPr>
            <w:tcW w:w="3624" w:type="dxa"/>
            <w:vAlign w:val="center"/>
          </w:tcPr>
          <w:p>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sz w:val="24"/>
                <w:lang w:val="en-US" w:eastAsia="zh-CN"/>
              </w:rPr>
              <w:t>编辑职业病危害现状评价服务报告</w:t>
            </w:r>
          </w:p>
        </w:tc>
        <w:tc>
          <w:tcPr>
            <w:tcW w:w="1010" w:type="dxa"/>
            <w:vAlign w:val="center"/>
          </w:tcPr>
          <w:p>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项</w:t>
            </w:r>
          </w:p>
        </w:tc>
        <w:tc>
          <w:tcPr>
            <w:tcW w:w="825" w:type="dxa"/>
            <w:vAlign w:val="center"/>
          </w:tcPr>
          <w:p>
            <w:pPr>
              <w:snapToGrid w:val="0"/>
              <w:spacing w:line="360" w:lineRule="auto"/>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sz w:val="24"/>
                <w:lang w:val="en-US" w:eastAsia="zh-CN"/>
              </w:rPr>
              <w:t>1</w:t>
            </w:r>
          </w:p>
        </w:tc>
        <w:tc>
          <w:tcPr>
            <w:tcW w:w="123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080" w:type="dxa"/>
            <w:vAlign w:val="center"/>
          </w:tcPr>
          <w:p>
            <w:pPr>
              <w:spacing w:line="360" w:lineRule="auto"/>
              <w:jc w:val="center"/>
              <w:rPr>
                <w:rFonts w:cs="仿宋" w:asciiTheme="minorEastAsia" w:hAnsiTheme="minorEastAsia" w:eastAsiaTheme="minorEastAsia"/>
                <w:color w:val="auto"/>
                <w:kern w:val="2"/>
                <w:sz w:val="24"/>
                <w:szCs w:val="24"/>
                <w:lang w:val="en-US" w:eastAsia="zh-CN" w:bidi="ar-SA"/>
              </w:rPr>
            </w:pPr>
          </w:p>
        </w:tc>
        <w:tc>
          <w:tcPr>
            <w:tcW w:w="1515" w:type="dxa"/>
            <w:vAlign w:val="center"/>
          </w:tcPr>
          <w:p>
            <w:pPr>
              <w:spacing w:line="360" w:lineRule="auto"/>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kern w:val="2"/>
                <w:sz w:val="24"/>
                <w:szCs w:val="24"/>
                <w:lang w:val="en-US" w:eastAsia="zh-CN" w:bidi="ar-SA"/>
              </w:rPr>
              <w:t>三固事业部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2024年临江公司职业病危害现状评价服务采购项目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D025A1"/>
    <w:rsid w:val="0BD07B44"/>
    <w:rsid w:val="0C270389"/>
    <w:rsid w:val="0C492847"/>
    <w:rsid w:val="0F095788"/>
    <w:rsid w:val="0F5E496A"/>
    <w:rsid w:val="0F81598B"/>
    <w:rsid w:val="10947BCD"/>
    <w:rsid w:val="10BE08E9"/>
    <w:rsid w:val="1157552B"/>
    <w:rsid w:val="13064D3F"/>
    <w:rsid w:val="1399374C"/>
    <w:rsid w:val="14521AA0"/>
    <w:rsid w:val="146C41CB"/>
    <w:rsid w:val="150139D1"/>
    <w:rsid w:val="15BE749A"/>
    <w:rsid w:val="166F3635"/>
    <w:rsid w:val="185A544F"/>
    <w:rsid w:val="18890233"/>
    <w:rsid w:val="198737C7"/>
    <w:rsid w:val="19DC6BDA"/>
    <w:rsid w:val="1AA56FDE"/>
    <w:rsid w:val="1B7913A6"/>
    <w:rsid w:val="1C742A28"/>
    <w:rsid w:val="1CAA3340"/>
    <w:rsid w:val="1CD34128"/>
    <w:rsid w:val="1CDE6781"/>
    <w:rsid w:val="1F457921"/>
    <w:rsid w:val="21677697"/>
    <w:rsid w:val="2229762E"/>
    <w:rsid w:val="229536BA"/>
    <w:rsid w:val="22A244DC"/>
    <w:rsid w:val="2378337E"/>
    <w:rsid w:val="23AE001C"/>
    <w:rsid w:val="251A0B90"/>
    <w:rsid w:val="25C26B32"/>
    <w:rsid w:val="272E083D"/>
    <w:rsid w:val="284A39BF"/>
    <w:rsid w:val="28A354BE"/>
    <w:rsid w:val="29DE05F1"/>
    <w:rsid w:val="2A1060BE"/>
    <w:rsid w:val="2A6366FF"/>
    <w:rsid w:val="2A6807FA"/>
    <w:rsid w:val="2B32649C"/>
    <w:rsid w:val="2B9B5E5B"/>
    <w:rsid w:val="2C270527"/>
    <w:rsid w:val="2C4141D8"/>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8C66552"/>
    <w:rsid w:val="6A4E3ABD"/>
    <w:rsid w:val="6ABD4230"/>
    <w:rsid w:val="6AE63D7E"/>
    <w:rsid w:val="6B462C2B"/>
    <w:rsid w:val="6B8261D3"/>
    <w:rsid w:val="6BDC6E7B"/>
    <w:rsid w:val="6EAC75B8"/>
    <w:rsid w:val="700D088C"/>
    <w:rsid w:val="700E4F44"/>
    <w:rsid w:val="70173239"/>
    <w:rsid w:val="70FC24C5"/>
    <w:rsid w:val="71A36DE5"/>
    <w:rsid w:val="721A5B23"/>
    <w:rsid w:val="72B931C1"/>
    <w:rsid w:val="738D03F5"/>
    <w:rsid w:val="7420296E"/>
    <w:rsid w:val="7431692A"/>
    <w:rsid w:val="767E5B01"/>
    <w:rsid w:val="779944AF"/>
    <w:rsid w:val="78160310"/>
    <w:rsid w:val="785A54C0"/>
    <w:rsid w:val="78D32916"/>
    <w:rsid w:val="78FD6DDA"/>
    <w:rsid w:val="79EB254B"/>
    <w:rsid w:val="7AF4716D"/>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27929</Words>
  <Characters>29145</Characters>
  <Lines>0</Lines>
  <Paragraphs>0</Paragraphs>
  <TotalTime>12</TotalTime>
  <ScaleCrop>false</ScaleCrop>
  <LinksUpToDate>false</LinksUpToDate>
  <CharactersWithSpaces>32361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2024-06-17T07:48:14Z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