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rFonts w:hint="eastAsia" w:cs="宋体" w:asciiTheme="minorEastAsia" w:hAnsiTheme="minorEastAsia"/>
          <w:color w:val="auto"/>
          <w:sz w:val="48"/>
          <w:szCs w:val="48"/>
          <w:highlight w:val="none"/>
          <w:u w:val="single"/>
        </w:rPr>
      </w:pPr>
    </w:p>
    <w:p>
      <w:pPr>
        <w:pStyle w:val="11"/>
        <w:jc w:val="center"/>
        <w:rPr>
          <w:color w:val="auto"/>
          <w:highlight w:val="none"/>
        </w:rPr>
      </w:pPr>
      <w:r>
        <w:rPr>
          <w:rFonts w:hint="eastAsia" w:cs="宋体" w:asciiTheme="minorEastAsia" w:hAnsiTheme="minorEastAsia"/>
          <w:color w:val="auto"/>
          <w:sz w:val="48"/>
          <w:szCs w:val="48"/>
          <w:highlight w:val="none"/>
          <w:u w:val="single"/>
        </w:rPr>
        <w:t xml:space="preserve"> </w:t>
      </w:r>
      <w:r>
        <w:rPr>
          <w:rFonts w:hint="eastAsia" w:cs="宋体" w:asciiTheme="minorEastAsia" w:hAnsiTheme="minorEastAsia"/>
          <w:color w:val="auto"/>
          <w:sz w:val="48"/>
          <w:szCs w:val="48"/>
          <w:highlight w:val="none"/>
          <w:u w:val="single"/>
          <w:lang w:eastAsia="zh-CN"/>
        </w:rPr>
        <w:t>2024年临江公司破碎机刀齿委外修复服务采购（重新询价）</w:t>
      </w:r>
      <w:r>
        <w:rPr>
          <w:rFonts w:hint="eastAsia" w:cs="宋体" w:asciiTheme="minorEastAsia" w:hAnsiTheme="minorEastAsia"/>
          <w:color w:val="auto"/>
          <w:sz w:val="48"/>
          <w:szCs w:val="48"/>
          <w:highlight w:val="none"/>
          <w:u w:val="single"/>
        </w:rPr>
        <w:t>项目</w:t>
      </w:r>
    </w:p>
    <w:p>
      <w:pPr>
        <w:adjustRightInd w:val="0"/>
        <w:snapToGrid w:val="0"/>
        <w:spacing w:line="360" w:lineRule="auto"/>
        <w:jc w:val="center"/>
        <w:rPr>
          <w:rFonts w:hint="eastAsia" w:cs="宋体" w:asciiTheme="minorEastAsia" w:hAnsiTheme="minorEastAsia"/>
          <w:color w:val="auto"/>
          <w:sz w:val="48"/>
          <w:szCs w:val="48"/>
          <w:highlight w:val="none"/>
        </w:rPr>
      </w:pPr>
    </w:p>
    <w:p>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202406008</w:t>
      </w:r>
    </w:p>
    <w:p>
      <w:pPr>
        <w:spacing w:line="360" w:lineRule="auto"/>
        <w:jc w:val="center"/>
        <w:rPr>
          <w:rFonts w:cs="仿宋" w:asciiTheme="minorEastAsia" w:hAnsiTheme="minorEastAsia"/>
          <w:b/>
          <w:bCs/>
          <w:color w:val="auto"/>
          <w:sz w:val="72"/>
          <w:szCs w:val="72"/>
          <w:highlight w:val="none"/>
        </w:rPr>
      </w:pPr>
    </w:p>
    <w:p>
      <w:pPr>
        <w:pStyle w:val="7"/>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1"/>
        <w:rPr>
          <w:color w:val="auto"/>
          <w:highlight w:val="none"/>
        </w:rPr>
      </w:pPr>
    </w:p>
    <w:p>
      <w:pPr>
        <w:rPr>
          <w:color w:val="auto"/>
          <w:highlight w:val="none"/>
        </w:rPr>
      </w:pPr>
    </w:p>
    <w:p>
      <w:pPr>
        <w:pStyle w:val="11"/>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1"/>
        <w:rPr>
          <w:rFonts w:cs="仿宋" w:asciiTheme="minorEastAsia" w:hAnsiTheme="minorEastAsia"/>
          <w:color w:val="auto"/>
          <w:sz w:val="24"/>
          <w:szCs w:val="24"/>
          <w:highlight w:val="none"/>
        </w:rPr>
      </w:pPr>
    </w:p>
    <w:p>
      <w:pPr>
        <w:pStyle w:val="11"/>
        <w:jc w:val="center"/>
        <w:rPr>
          <w:rFonts w:cs="仿宋" w:asciiTheme="minorEastAsia" w:hAnsiTheme="minorEastAsia"/>
          <w:color w:val="auto"/>
          <w:sz w:val="24"/>
          <w:szCs w:val="24"/>
          <w:highlight w:val="none"/>
        </w:rPr>
      </w:pPr>
    </w:p>
    <w:p>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6</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20</w:t>
      </w:r>
      <w:r>
        <w:rPr>
          <w:rFonts w:hint="eastAsia" w:cs="仿宋" w:asciiTheme="minorEastAsia" w:hAnsiTheme="minorEastAsia"/>
          <w:color w:val="auto"/>
          <w:sz w:val="32"/>
          <w:szCs w:val="32"/>
          <w:highlight w:val="none"/>
        </w:rPr>
        <w:t xml:space="preserve"> 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790"/>
      <w:bookmarkStart w:id="2" w:name="_Toc28359079"/>
      <w:bookmarkStart w:id="3" w:name="_Toc35393621"/>
      <w:bookmarkStart w:id="4" w:name="_Toc28359002"/>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2024年临江公司破碎机刀齿委外修复服务采购（重新询价）项目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202406008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2024年临江公司破碎机刀齿委外修复采购项目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rPr>
        <w:t xml:space="preserve"> </w:t>
      </w:r>
      <w:r>
        <w:rPr>
          <w:rFonts w:hint="default" w:cs="仿宋" w:asciiTheme="minorEastAsia" w:hAnsiTheme="minorEastAsia"/>
          <w:color w:val="auto"/>
          <w:sz w:val="24"/>
          <w:highlight w:val="none"/>
          <w:u w:val="single"/>
          <w:lang w:val="en-US" w:eastAsia="zh-CN"/>
        </w:rPr>
        <w:t>8</w:t>
      </w:r>
      <w:r>
        <w:rPr>
          <w:rFonts w:hint="eastAsia" w:cs="仿宋" w:asciiTheme="minorEastAsia" w:hAnsiTheme="minorEastAsia"/>
          <w:color w:val="auto"/>
          <w:sz w:val="24"/>
          <w:highlight w:val="none"/>
          <w:u w:val="single"/>
          <w:lang w:val="en-US" w:eastAsia="zh-CN"/>
        </w:rPr>
        <w:t>.5万元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cs="仿宋" w:asciiTheme="minorEastAsia" w:hAnsiTheme="minorEastAsia"/>
          <w:color w:val="auto"/>
          <w:sz w:val="24"/>
          <w:highlight w:val="none"/>
          <w:lang w:val="en-US" w:eastAsia="zh-CN"/>
        </w:rPr>
        <w:t xml:space="preserve"> 对S300碎得破碎机的刀齿、隔套及内孔花键 主轴花键及总成等进行委外维修</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一次性完成修复、安装、整机调试等。</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622"/>
      <w:bookmarkStart w:id="7" w:name="_Toc28359080"/>
      <w:bookmarkStart w:id="8" w:name="_Toc35393791"/>
      <w:bookmarkStart w:id="9" w:name="_Toc28359003"/>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623"/>
      <w:bookmarkStart w:id="11" w:name="_Toc28359081"/>
      <w:bookmarkStart w:id="12" w:name="_Toc28359004"/>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供应商提供自202</w:t>
      </w:r>
      <w:r>
        <w:rPr>
          <w:rFonts w:hint="eastAsia" w:cs="仿宋" w:asciiTheme="minorEastAsia" w:hAnsiTheme="minorEastAsia"/>
          <w:bCs/>
          <w:sz w:val="24"/>
          <w:highlight w:val="none"/>
          <w:u w:val="single"/>
          <w:lang w:val="en-US" w:eastAsia="zh-CN"/>
        </w:rPr>
        <w:t>1</w:t>
      </w:r>
      <w:r>
        <w:rPr>
          <w:rFonts w:hint="eastAsia" w:cs="仿宋" w:asciiTheme="minorEastAsia" w:hAnsiTheme="minorEastAsia"/>
          <w:bCs/>
          <w:sz w:val="24"/>
          <w:highlight w:val="none"/>
          <w:u w:val="single"/>
        </w:rPr>
        <w:t>年1月1日起至少1例</w:t>
      </w:r>
      <w:r>
        <w:rPr>
          <w:rFonts w:hint="eastAsia" w:cs="仿宋" w:asciiTheme="minorEastAsia" w:hAnsiTheme="minorEastAsia"/>
          <w:bCs/>
          <w:sz w:val="24"/>
          <w:highlight w:val="none"/>
          <w:u w:val="single"/>
          <w:lang w:val="en-US" w:eastAsia="zh-CN"/>
        </w:rPr>
        <w:t>破碎机刀齿修复</w:t>
      </w:r>
      <w:r>
        <w:rPr>
          <w:rFonts w:hint="eastAsia" w:cs="仿宋" w:asciiTheme="minorEastAsia" w:hAnsiTheme="minorEastAsia"/>
          <w:bCs/>
          <w:sz w:val="24"/>
          <w:highlight w:val="none"/>
          <w:u w:val="single"/>
        </w:rPr>
        <w:t>业绩（同时提供合同复印件和与合同相对应的正规合法发票复印件作为业绩证明材料，缺少其中任何一个均视为业绩证明材料不符合要求）。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：叶工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Style w:val="2"/>
        <w:rPr>
          <w:rFonts w:hint="eastAsia"/>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6月20</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val="en-US" w:eastAsia="zh-CN"/>
              </w:rPr>
              <w:t>/</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pStyle w:val="14"/>
        <w:rPr>
          <w:rFonts w:hint="eastAsia" w:cs="仿宋" w:asciiTheme="minorEastAsia" w:hAnsiTheme="minorEastAsia"/>
          <w:b/>
          <w:color w:val="auto"/>
          <w:sz w:val="32"/>
          <w:szCs w:val="20"/>
          <w:highlight w:val="none"/>
        </w:rPr>
      </w:pPr>
    </w:p>
    <w:p>
      <w:pPr>
        <w:rPr>
          <w:rFonts w:hint="eastAsia"/>
          <w:highlight w:val="none"/>
        </w:rPr>
      </w:pPr>
    </w:p>
    <w:p>
      <w:pPr>
        <w:pStyle w:val="8"/>
        <w:ind w:left="0" w:leftChars="0" w:firstLine="0" w:firstLineChars="0"/>
        <w:rPr>
          <w:rFonts w:hint="eastAsia" w:cs="仿宋" w:asciiTheme="minorEastAsia" w:hAnsiTheme="minorEastAsia"/>
          <w:b/>
          <w:color w:val="auto"/>
          <w:sz w:val="32"/>
          <w:szCs w:val="20"/>
          <w:highlight w:val="none"/>
        </w:rPr>
      </w:pPr>
    </w:p>
    <w:p>
      <w:pPr>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pPr>
        <w:pStyle w:val="7"/>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pPr>
        <w:pStyle w:val="11"/>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highlight w:val="none"/>
        </w:rPr>
      </w:pPr>
    </w:p>
    <w:p>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1"/>
        <w:spacing w:before="0"/>
        <w:ind w:firstLine="495" w:firstLineChars="0"/>
        <w:rPr>
          <w:rFonts w:cs="仿宋" w:asciiTheme="minorEastAsia" w:hAnsiTheme="minorEastAsia"/>
          <w:color w:val="auto"/>
          <w:kern w:val="0"/>
          <w:szCs w:val="24"/>
          <w:highlight w:val="none"/>
        </w:rPr>
      </w:pPr>
    </w:p>
    <w:p>
      <w:pPr>
        <w:pStyle w:val="21"/>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1"/>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pPr>
        <w:pStyle w:val="21"/>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pPr>
        <w:pStyle w:val="21"/>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pPr>
        <w:pStyle w:val="10"/>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10"/>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7"/>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 xml:space="preserve"> 对S300碎得破碎机的刀齿、隔套及内孔花键 主轴花键及总成等进行委外维修。</w:t>
      </w:r>
    </w:p>
    <w:tbl>
      <w:tblPr>
        <w:tblStyle w:val="15"/>
        <w:tblW w:w="94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2454"/>
        <w:gridCol w:w="2512"/>
        <w:gridCol w:w="770"/>
        <w:gridCol w:w="851"/>
        <w:gridCol w:w="21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维修内容</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2"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破碎机刀齿修补</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26件</w:t>
            </w:r>
            <w:r>
              <w:rPr>
                <w:rFonts w:hint="eastAsia" w:ascii="宋体" w:hAnsi="宋体" w:eastAsia="宋体" w:cs="宋体"/>
                <w:i w:val="0"/>
                <w:iCs w:val="0"/>
                <w:color w:val="000000"/>
                <w:kern w:val="0"/>
                <w:sz w:val="24"/>
                <w:szCs w:val="24"/>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预处理破碎机刀片刀齿修复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隔套及内孔花键修补</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 xml:space="preserve"> 26件/套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预处理破碎机隔套修复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破碎机主轴花键及总成修补</w:t>
            </w:r>
          </w:p>
        </w:tc>
        <w:tc>
          <w:tcPr>
            <w:tcW w:w="2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预处理破碎机主轴修复</w:t>
            </w:r>
          </w:p>
        </w:tc>
      </w:tr>
    </w:tbl>
    <w:p>
      <w:pPr>
        <w:ind w:firstLine="482" w:firstLineChars="200"/>
        <w:rPr>
          <w:rFonts w:hint="eastAsia" w:ascii="宋体" w:hAnsi="Arial" w:cs="Arial" w:eastAsiaTheme="minorEastAsia"/>
          <w:b/>
          <w:bCs/>
          <w:snapToGrid w:val="0"/>
          <w:color w:val="auto"/>
          <w:kern w:val="2"/>
          <w:sz w:val="24"/>
          <w:szCs w:val="21"/>
          <w:highlight w:val="none"/>
          <w:lang w:val="en-US" w:eastAsia="zh-CN" w:bidi="ar-SA"/>
        </w:rPr>
      </w:pPr>
    </w:p>
    <w:p>
      <w:pPr>
        <w:ind w:firstLine="482" w:firstLineChars="200"/>
        <w:rPr>
          <w:rFonts w:hint="eastAsia"/>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eastAsiaTheme="minorEastAsia"/>
          <w:snapToGrid w:val="0"/>
          <w:color w:val="auto"/>
          <w:kern w:val="2"/>
          <w:sz w:val="24"/>
          <w:szCs w:val="21"/>
          <w:highlight w:val="none"/>
          <w:lang w:val="en-US" w:eastAsia="zh-CN" w:bidi="ar-SA"/>
        </w:rPr>
        <w:t>本次服务采购人验收合格后，本合同自动终止。</w:t>
      </w: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三、技术及质量要求</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1.破碎机原有单片刀齿宽度62MM，所有磨损刀齿均需要进行补焊，补焊后的宽度为 61.5±0.1mm,刀尖和刀刃修补匹配对应模具刀齿缺口尺寸超过3mm 以上需要使用结构焊丝对刀齿底部堆焊 2mm，剩余缺损部分使用耐磨焊丝进行堆焊，所有堆焊刀齿需要车床进行打加工。</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2.根据现有磨损程度，动刀以及隔套修复至最初尺寸，厚度间隙3丝。</w:t>
      </w:r>
    </w:p>
    <w:p>
      <w:pPr>
        <w:pStyle w:val="8"/>
        <w:ind w:left="0" w:leftChars="0" w:firstLine="480" w:firstLineChars="200"/>
        <w:rPr>
          <w:rFonts w:hint="default"/>
          <w:highlight w:val="none"/>
          <w:lang w:val="en-US" w:eastAsia="zh-CN"/>
        </w:rPr>
      </w:pPr>
      <w:r>
        <w:rPr>
          <w:rFonts w:hint="eastAsia" w:ascii="宋体"/>
          <w:color w:val="auto"/>
          <w:highlight w:val="none"/>
          <w:lang w:val="en-US" w:eastAsia="zh-CN"/>
        </w:rPr>
        <w:t>3.修复后刀齿自验收合格后质保12个月。</w:t>
      </w:r>
    </w:p>
    <w:p>
      <w:pPr>
        <w:pStyle w:val="7"/>
        <w:numPr>
          <w:ilvl w:val="0"/>
          <w:numId w:val="0"/>
        </w:numPr>
        <w:ind w:firstLine="482" w:firstLineChars="200"/>
        <w:rPr>
          <w:rFonts w:hint="eastAsia"/>
          <w:b/>
          <w:bCs/>
          <w:color w:val="auto"/>
          <w:highlight w:val="none"/>
          <w:lang w:val="en-US" w:eastAsia="zh-CN"/>
        </w:rPr>
      </w:pPr>
      <w:r>
        <w:rPr>
          <w:rFonts w:hint="eastAsia" w:ascii="宋体" w:hAnsi="Arial" w:cs="Arial" w:eastAsiaTheme="minorEastAsia"/>
          <w:b/>
          <w:bCs/>
          <w:snapToGrid w:val="0"/>
          <w:color w:val="auto"/>
          <w:kern w:val="2"/>
          <w:sz w:val="24"/>
          <w:szCs w:val="21"/>
          <w:highlight w:val="none"/>
          <w:lang w:val="en-US" w:eastAsia="zh-CN" w:bidi="ar-SA"/>
        </w:rPr>
        <w:t>四、</w:t>
      </w:r>
      <w:r>
        <w:rPr>
          <w:rFonts w:hint="eastAsia"/>
          <w:b/>
          <w:bCs/>
          <w:color w:val="auto"/>
          <w:highlight w:val="none"/>
          <w:lang w:val="en-US" w:eastAsia="zh-CN"/>
        </w:rPr>
        <w:t>验收方式</w:t>
      </w:r>
    </w:p>
    <w:p>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完成破碎机的复原安装、调试合格。</w:t>
      </w:r>
    </w:p>
    <w:p>
      <w:pPr>
        <w:pStyle w:val="7"/>
        <w:numPr>
          <w:ilvl w:val="0"/>
          <w:numId w:val="1"/>
        </w:numPr>
        <w:ind w:firstLine="482" w:firstLineChars="200"/>
        <w:rPr>
          <w:rFonts w:hint="eastAsia"/>
          <w:b/>
          <w:bCs/>
          <w:color w:val="auto"/>
          <w:highlight w:val="none"/>
          <w:lang w:val="en-US" w:eastAsia="zh-CN"/>
        </w:rPr>
      </w:pPr>
      <w:r>
        <w:rPr>
          <w:rFonts w:hint="eastAsia"/>
          <w:b/>
          <w:bCs/>
          <w:color w:val="auto"/>
          <w:highlight w:val="none"/>
          <w:lang w:val="en-US" w:eastAsia="zh-CN"/>
        </w:rPr>
        <w:t>服务要求</w:t>
      </w:r>
    </w:p>
    <w:p>
      <w:pPr>
        <w:pStyle w:val="7"/>
        <w:numPr>
          <w:ilvl w:val="0"/>
          <w:numId w:val="0"/>
        </w:numPr>
        <w:ind w:firstLine="480" w:firstLineChars="200"/>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1.</w:t>
      </w:r>
      <w:r>
        <w:rPr>
          <w:rFonts w:hint="eastAsia" w:ascii="宋体" w:cs="Arial"/>
          <w:snapToGrid w:val="0"/>
          <w:color w:val="auto"/>
          <w:kern w:val="2"/>
          <w:sz w:val="24"/>
          <w:szCs w:val="21"/>
          <w:highlight w:val="none"/>
          <w:lang w:val="en-US" w:eastAsia="zh-CN" w:bidi="ar-SA"/>
        </w:rPr>
        <w:t>刀齿</w:t>
      </w:r>
      <w:r>
        <w:rPr>
          <w:rFonts w:hint="eastAsia" w:ascii="宋体"/>
          <w:color w:val="auto"/>
          <w:highlight w:val="none"/>
          <w:lang w:val="en-US" w:eastAsia="zh-CN"/>
        </w:rPr>
        <w:t>吊装设备搭设由供应商自行负责</w:t>
      </w:r>
      <w:r>
        <w:rPr>
          <w:rFonts w:hint="eastAsia"/>
          <w:color w:val="auto"/>
          <w:highlight w:val="none"/>
          <w:lang w:val="en-US" w:eastAsia="zh-CN"/>
        </w:rPr>
        <w:t>，需要</w:t>
      </w:r>
      <w:r>
        <w:rPr>
          <w:rFonts w:hint="eastAsia" w:ascii="宋体"/>
          <w:color w:val="auto"/>
          <w:highlight w:val="none"/>
          <w:lang w:val="en-US" w:eastAsia="zh-CN"/>
        </w:rPr>
        <w:t>自行携带吊装葫芦</w:t>
      </w:r>
      <w:r>
        <w:rPr>
          <w:rFonts w:hint="eastAsia"/>
          <w:color w:val="auto"/>
          <w:highlight w:val="none"/>
          <w:lang w:val="en-US" w:eastAsia="zh-CN"/>
        </w:rPr>
        <w:t>（不少于2个5吨手拉葫芦）及</w:t>
      </w:r>
      <w:r>
        <w:rPr>
          <w:rFonts w:hint="eastAsia" w:ascii="宋体"/>
          <w:color w:val="auto"/>
          <w:highlight w:val="none"/>
          <w:lang w:val="en-US" w:eastAsia="zh-CN"/>
        </w:rPr>
        <w:t>搭建移动吊装架子</w:t>
      </w:r>
      <w:r>
        <w:rPr>
          <w:rFonts w:hint="eastAsia"/>
          <w:color w:val="auto"/>
          <w:highlight w:val="none"/>
          <w:lang w:val="en-US" w:eastAsia="zh-CN"/>
        </w:rPr>
        <w:t>等相关材料；</w:t>
      </w:r>
      <w:r>
        <w:rPr>
          <w:rFonts w:hint="eastAsia" w:ascii="宋体"/>
          <w:color w:val="auto"/>
          <w:highlight w:val="none"/>
          <w:lang w:val="en-US" w:eastAsia="zh-CN"/>
        </w:rPr>
        <w:t>供应商在收到采购人通知后必须到现场实地查看，确定拆装事宜。</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刀齿维修包括现场刀齿拆卸、吊装、运输、粗磨、堆焊、车床加工、精磨、现场复原吊装、安装以及运输等，所有刀齿维修所需的现场检修工器具及人工均由供应商负责；采购人只提供焊接所需焊丝及模具，模具及焊接剩余焊丝需要返还采购人；</w:t>
      </w:r>
    </w:p>
    <w:p>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3.若供应商在拆装过程中造成了原来的设备或者备件损坏，由供应商负责恢复至完好状态，包括但不限于备件等。</w:t>
      </w:r>
    </w:p>
    <w:p>
      <w:pPr>
        <w:pStyle w:val="7"/>
        <w:numPr>
          <w:ilvl w:val="0"/>
          <w:numId w:val="0"/>
        </w:numPr>
        <w:ind w:firstLine="480" w:firstLineChars="200"/>
        <w:rPr>
          <w:rFonts w:hint="default" w:ascii="宋体"/>
          <w:color w:val="auto"/>
          <w:highlight w:val="none"/>
          <w:lang w:val="en-US" w:eastAsia="zh-CN"/>
        </w:rPr>
      </w:pPr>
      <w:r>
        <w:rPr>
          <w:rFonts w:hint="eastAsia" w:ascii="宋体"/>
          <w:color w:val="auto"/>
          <w:highlight w:val="none"/>
          <w:lang w:val="en-US" w:eastAsia="zh-CN"/>
        </w:rPr>
        <w:t>4.</w:t>
      </w:r>
      <w:r>
        <w:rPr>
          <w:rFonts w:hint="eastAsia"/>
          <w:color w:val="auto"/>
          <w:highlight w:val="none"/>
          <w:lang w:val="en-US" w:eastAsia="zh-CN"/>
        </w:rPr>
        <w:t>修复工期不超过30天，以离开采购人厂区时间开始计算，至修复完成后运回采购人厂区时间为止。</w:t>
      </w:r>
    </w:p>
    <w:p>
      <w:pPr>
        <w:pStyle w:val="7"/>
        <w:numPr>
          <w:ilvl w:val="0"/>
          <w:numId w:val="0"/>
        </w:numPr>
        <w:ind w:firstLine="482" w:firstLineChars="200"/>
        <w:rPr>
          <w:rFonts w:hint="eastAsia" w:ascii="宋体"/>
          <w:color w:val="auto"/>
          <w:highlight w:val="none"/>
          <w:lang w:val="en-US" w:eastAsia="zh-CN"/>
        </w:rPr>
      </w:pPr>
      <w:r>
        <w:rPr>
          <w:rFonts w:hint="eastAsia"/>
          <w:b/>
          <w:bCs/>
          <w:color w:val="auto"/>
          <w:highlight w:val="none"/>
          <w:lang w:val="en-US" w:eastAsia="zh-CN"/>
        </w:rPr>
        <w:t>六、结算方式</w:t>
      </w:r>
    </w:p>
    <w:p>
      <w:pPr>
        <w:pStyle w:val="8"/>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七、售后要求</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2.采购人不再对任何售后服务进行付费。供应商的派遣人员产生的一切费用由供应商承担。</w:t>
      </w:r>
    </w:p>
    <w:p>
      <w:pPr>
        <w:pStyle w:val="2"/>
        <w:rPr>
          <w:rFonts w:hint="eastAsia"/>
          <w:color w:val="auto"/>
          <w:highlight w:val="none"/>
          <w:lang w:eastAsia="zh-CN"/>
        </w:rPr>
      </w:pPr>
    </w:p>
    <w:p>
      <w:pPr>
        <w:rPr>
          <w:rFonts w:hint="eastAsia"/>
          <w:color w:val="auto"/>
          <w:highlight w:val="none"/>
          <w:lang w:eastAsia="zh-CN"/>
        </w:rPr>
      </w:pPr>
    </w:p>
    <w:p>
      <w:pPr>
        <w:pStyle w:val="2"/>
        <w:rPr>
          <w:rFonts w:hint="eastAsia"/>
          <w:color w:val="auto"/>
          <w:highlight w:val="none"/>
          <w:lang w:eastAsia="zh-CN"/>
        </w:rPr>
      </w:pPr>
    </w:p>
    <w:p>
      <w:pPr>
        <w:rPr>
          <w:rFonts w:hint="eastAsia"/>
          <w:color w:val="auto"/>
          <w:highlight w:val="none"/>
          <w:lang w:eastAsia="zh-CN"/>
        </w:rPr>
      </w:pPr>
    </w:p>
    <w:p>
      <w:pPr>
        <w:pStyle w:val="2"/>
        <w:rPr>
          <w:rFonts w:hint="eastAsia"/>
          <w:color w:val="auto"/>
          <w:highlight w:val="none"/>
          <w:lang w:eastAsia="zh-CN"/>
        </w:rPr>
      </w:pPr>
    </w:p>
    <w:p>
      <w:pPr>
        <w:rPr>
          <w:rFonts w:hint="eastAsia"/>
          <w:color w:val="auto"/>
          <w:highlight w:val="none"/>
          <w:lang w:eastAsia="zh-CN"/>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70"/>
      <w:bookmarkEnd w:id="19"/>
      <w:bookmarkStart w:id="20" w:name="_Toc184312097"/>
      <w:bookmarkEnd w:id="20"/>
      <w:bookmarkStart w:id="21" w:name="_Toc184312121"/>
      <w:bookmarkEnd w:id="21"/>
      <w:bookmarkStart w:id="22" w:name="_Toc184314474"/>
      <w:bookmarkEnd w:id="22"/>
      <w:bookmarkStart w:id="23" w:name="_Toc184312126"/>
      <w:bookmarkEnd w:id="23"/>
      <w:bookmarkStart w:id="24" w:name="_Toc184308051"/>
      <w:bookmarkEnd w:id="24"/>
      <w:bookmarkStart w:id="25" w:name="_Toc184308093"/>
      <w:bookmarkEnd w:id="25"/>
      <w:bookmarkStart w:id="26" w:name="_Toc184312116"/>
      <w:bookmarkEnd w:id="26"/>
      <w:bookmarkStart w:id="27" w:name="_Toc184310298"/>
      <w:bookmarkEnd w:id="27"/>
      <w:bookmarkStart w:id="28" w:name="_Toc184308058"/>
      <w:bookmarkEnd w:id="28"/>
      <w:bookmarkStart w:id="29" w:name="_Toc184313275"/>
      <w:bookmarkEnd w:id="29"/>
      <w:bookmarkStart w:id="30" w:name="_Toc184308100"/>
      <w:bookmarkEnd w:id="30"/>
      <w:bookmarkStart w:id="31" w:name="_Toc184312104"/>
      <w:bookmarkEnd w:id="31"/>
      <w:bookmarkStart w:id="32" w:name="_Toc184310277"/>
      <w:bookmarkEnd w:id="32"/>
      <w:bookmarkStart w:id="33" w:name="_Toc184310290"/>
      <w:bookmarkEnd w:id="33"/>
      <w:bookmarkStart w:id="34" w:name="_Toc184308061"/>
      <w:bookmarkEnd w:id="34"/>
      <w:bookmarkStart w:id="35" w:name="_Toc184314427"/>
      <w:bookmarkEnd w:id="35"/>
      <w:bookmarkStart w:id="36" w:name="_Toc184313247"/>
      <w:bookmarkEnd w:id="36"/>
      <w:bookmarkStart w:id="37" w:name="_Toc184308104"/>
      <w:bookmarkEnd w:id="37"/>
      <w:bookmarkStart w:id="38" w:name="_Toc184313284"/>
      <w:bookmarkEnd w:id="38"/>
      <w:bookmarkStart w:id="39" w:name="_Toc184310331"/>
      <w:bookmarkEnd w:id="39"/>
      <w:bookmarkStart w:id="40" w:name="_Toc184313293"/>
      <w:bookmarkEnd w:id="40"/>
      <w:bookmarkStart w:id="41" w:name="_Toc184310324"/>
      <w:bookmarkEnd w:id="41"/>
      <w:bookmarkStart w:id="42" w:name="_Toc184314434"/>
      <w:bookmarkEnd w:id="42"/>
      <w:bookmarkStart w:id="43" w:name="_Toc184310272"/>
      <w:bookmarkEnd w:id="43"/>
      <w:bookmarkStart w:id="44" w:name="_Toc184314456"/>
      <w:bookmarkEnd w:id="44"/>
      <w:bookmarkStart w:id="45" w:name="_Toc184312083"/>
      <w:bookmarkEnd w:id="45"/>
      <w:bookmarkStart w:id="46" w:name="_Toc184308084"/>
      <w:bookmarkEnd w:id="46"/>
      <w:bookmarkStart w:id="47" w:name="_Toc184313254"/>
      <w:bookmarkEnd w:id="47"/>
      <w:bookmarkStart w:id="48" w:name="_Toc184314435"/>
      <w:bookmarkEnd w:id="48"/>
      <w:bookmarkStart w:id="49" w:name="_Toc184314410"/>
      <w:bookmarkEnd w:id="49"/>
      <w:bookmarkStart w:id="50" w:name="_Toc184314423"/>
      <w:bookmarkEnd w:id="50"/>
      <w:bookmarkStart w:id="51" w:name="_Toc184308036"/>
      <w:bookmarkEnd w:id="51"/>
      <w:bookmarkStart w:id="52" w:name="_Toc184308038"/>
      <w:bookmarkEnd w:id="52"/>
      <w:bookmarkStart w:id="53" w:name="_Toc184310309"/>
      <w:bookmarkEnd w:id="53"/>
      <w:bookmarkStart w:id="54" w:name="_Toc184314432"/>
      <w:bookmarkEnd w:id="54"/>
      <w:bookmarkStart w:id="55" w:name="_Toc184310322"/>
      <w:bookmarkEnd w:id="55"/>
      <w:bookmarkStart w:id="56" w:name="_Toc184308091"/>
      <w:bookmarkEnd w:id="56"/>
      <w:bookmarkStart w:id="57" w:name="_Toc184308062"/>
      <w:bookmarkEnd w:id="57"/>
      <w:bookmarkStart w:id="58" w:name="_Toc184313285"/>
      <w:bookmarkEnd w:id="58"/>
      <w:bookmarkStart w:id="59" w:name="_Toc184310335"/>
      <w:bookmarkEnd w:id="59"/>
      <w:bookmarkStart w:id="60" w:name="_Toc184313238"/>
      <w:bookmarkEnd w:id="60"/>
      <w:bookmarkStart w:id="61" w:name="_Toc184313257"/>
      <w:bookmarkEnd w:id="61"/>
      <w:bookmarkStart w:id="62" w:name="_Toc184310305"/>
      <w:bookmarkEnd w:id="62"/>
      <w:bookmarkStart w:id="63" w:name="_Toc184312137"/>
      <w:bookmarkEnd w:id="63"/>
      <w:bookmarkStart w:id="64" w:name="_Toc184312086"/>
      <w:bookmarkEnd w:id="64"/>
      <w:bookmarkStart w:id="65" w:name="_Toc184310281"/>
      <w:bookmarkEnd w:id="65"/>
      <w:bookmarkStart w:id="66" w:name="_Toc184310288"/>
      <w:bookmarkEnd w:id="66"/>
      <w:bookmarkStart w:id="67" w:name="_Toc184308072"/>
      <w:bookmarkEnd w:id="67"/>
      <w:bookmarkStart w:id="68" w:name="_Toc184313271"/>
      <w:bookmarkEnd w:id="68"/>
      <w:bookmarkStart w:id="69" w:name="_Toc184314462"/>
      <w:bookmarkEnd w:id="69"/>
      <w:bookmarkStart w:id="70" w:name="_Toc184310284"/>
      <w:bookmarkEnd w:id="70"/>
      <w:bookmarkStart w:id="71" w:name="_Toc184312099"/>
      <w:bookmarkEnd w:id="71"/>
      <w:bookmarkStart w:id="72" w:name="_Toc184314419"/>
      <w:bookmarkEnd w:id="72"/>
      <w:bookmarkStart w:id="73" w:name="_Toc184310320"/>
      <w:bookmarkEnd w:id="73"/>
      <w:bookmarkStart w:id="74" w:name="_Toc184313264"/>
      <w:bookmarkEnd w:id="74"/>
      <w:bookmarkStart w:id="75" w:name="_Toc184313240"/>
      <w:bookmarkEnd w:id="75"/>
      <w:bookmarkStart w:id="76" w:name="_Toc184314420"/>
      <w:bookmarkEnd w:id="76"/>
      <w:bookmarkStart w:id="77" w:name="_Toc184308068"/>
      <w:bookmarkEnd w:id="77"/>
      <w:bookmarkStart w:id="78" w:name="_Toc184308057"/>
      <w:bookmarkEnd w:id="78"/>
      <w:bookmarkStart w:id="79" w:name="_Toc184312077"/>
      <w:bookmarkEnd w:id="79"/>
      <w:bookmarkStart w:id="80" w:name="_Toc184312107"/>
      <w:bookmarkEnd w:id="80"/>
      <w:bookmarkStart w:id="81" w:name="_Toc184308074"/>
      <w:bookmarkEnd w:id="81"/>
      <w:bookmarkStart w:id="82" w:name="_Toc184310328"/>
      <w:bookmarkEnd w:id="82"/>
      <w:bookmarkStart w:id="83" w:name="_Toc184308050"/>
      <w:bookmarkEnd w:id="83"/>
      <w:bookmarkStart w:id="84" w:name="_Toc184310311"/>
      <w:bookmarkEnd w:id="84"/>
      <w:bookmarkStart w:id="85" w:name="_Toc184313242"/>
      <w:bookmarkEnd w:id="85"/>
      <w:bookmarkStart w:id="86" w:name="_Toc184308101"/>
      <w:bookmarkEnd w:id="86"/>
      <w:bookmarkStart w:id="87" w:name="_Toc184314442"/>
      <w:bookmarkEnd w:id="87"/>
      <w:bookmarkStart w:id="88" w:name="_Toc184310333"/>
      <w:bookmarkEnd w:id="88"/>
      <w:bookmarkStart w:id="89" w:name="_Toc184308043"/>
      <w:bookmarkEnd w:id="89"/>
      <w:bookmarkStart w:id="90" w:name="_Toc184310295"/>
      <w:bookmarkEnd w:id="90"/>
      <w:bookmarkStart w:id="91" w:name="_Toc184308082"/>
      <w:bookmarkEnd w:id="91"/>
      <w:bookmarkStart w:id="92" w:name="_Toc184314453"/>
      <w:bookmarkEnd w:id="92"/>
      <w:bookmarkStart w:id="93" w:name="_Toc184312080"/>
      <w:bookmarkEnd w:id="93"/>
      <w:bookmarkStart w:id="94" w:name="_Toc184313279"/>
      <w:bookmarkEnd w:id="94"/>
      <w:bookmarkStart w:id="95" w:name="_Toc184310304"/>
      <w:bookmarkEnd w:id="95"/>
      <w:bookmarkStart w:id="96" w:name="_Toc184312105"/>
      <w:bookmarkEnd w:id="96"/>
      <w:bookmarkStart w:id="97" w:name="_Toc184313296"/>
      <w:bookmarkEnd w:id="97"/>
      <w:bookmarkStart w:id="98" w:name="_Toc184310327"/>
      <w:bookmarkEnd w:id="98"/>
      <w:bookmarkStart w:id="99" w:name="_Toc184313300"/>
      <w:bookmarkEnd w:id="99"/>
      <w:bookmarkStart w:id="100" w:name="_Toc184313268"/>
      <w:bookmarkEnd w:id="100"/>
      <w:bookmarkStart w:id="101" w:name="_Toc184313292"/>
      <w:bookmarkEnd w:id="101"/>
      <w:bookmarkStart w:id="102" w:name="_Toc184310285"/>
      <w:bookmarkEnd w:id="102"/>
      <w:bookmarkStart w:id="103" w:name="_Toc184313276"/>
      <w:bookmarkEnd w:id="103"/>
      <w:bookmarkStart w:id="104" w:name="_Toc184313244"/>
      <w:bookmarkEnd w:id="104"/>
      <w:bookmarkStart w:id="105" w:name="_Toc184314428"/>
      <w:bookmarkEnd w:id="105"/>
      <w:bookmarkStart w:id="106" w:name="_Toc184310286"/>
      <w:bookmarkEnd w:id="106"/>
      <w:bookmarkStart w:id="107" w:name="_Toc184313294"/>
      <w:bookmarkEnd w:id="107"/>
      <w:bookmarkStart w:id="108" w:name="_Toc184313283"/>
      <w:bookmarkEnd w:id="108"/>
      <w:bookmarkStart w:id="109" w:name="_Toc184310316"/>
      <w:bookmarkEnd w:id="109"/>
      <w:bookmarkStart w:id="110" w:name="_Toc184314416"/>
      <w:bookmarkEnd w:id="110"/>
      <w:bookmarkStart w:id="111" w:name="_Toc184313251"/>
      <w:bookmarkEnd w:id="111"/>
      <w:bookmarkStart w:id="112" w:name="_Toc184313248"/>
      <w:bookmarkEnd w:id="112"/>
      <w:bookmarkStart w:id="113" w:name="_Toc184308087"/>
      <w:bookmarkEnd w:id="113"/>
      <w:bookmarkStart w:id="114" w:name="_Toc184308040"/>
      <w:bookmarkEnd w:id="114"/>
      <w:bookmarkStart w:id="115" w:name="_Toc184308052"/>
      <w:bookmarkEnd w:id="115"/>
      <w:bookmarkStart w:id="116" w:name="_Toc184312096"/>
      <w:bookmarkEnd w:id="116"/>
      <w:bookmarkStart w:id="117" w:name="_Toc184308075"/>
      <w:bookmarkEnd w:id="117"/>
      <w:bookmarkStart w:id="118" w:name="_Toc184313255"/>
      <w:bookmarkEnd w:id="118"/>
      <w:bookmarkStart w:id="119" w:name="_Toc184312135"/>
      <w:bookmarkEnd w:id="119"/>
      <w:bookmarkStart w:id="120" w:name="_Toc184314467"/>
      <w:bookmarkEnd w:id="120"/>
      <w:bookmarkStart w:id="121" w:name="_Toc184313250"/>
      <w:bookmarkEnd w:id="121"/>
      <w:bookmarkStart w:id="122" w:name="_Toc184312068"/>
      <w:bookmarkEnd w:id="122"/>
      <w:bookmarkStart w:id="123" w:name="_Toc184310332"/>
      <w:bookmarkEnd w:id="123"/>
      <w:bookmarkStart w:id="124" w:name="_Toc184312136"/>
      <w:bookmarkEnd w:id="124"/>
      <w:bookmarkStart w:id="125" w:name="_Toc184308089"/>
      <w:bookmarkEnd w:id="125"/>
      <w:bookmarkStart w:id="126" w:name="_Toc184314443"/>
      <w:bookmarkEnd w:id="126"/>
      <w:bookmarkStart w:id="127" w:name="_Toc184313278"/>
      <w:bookmarkEnd w:id="127"/>
      <w:bookmarkStart w:id="128" w:name="_Toc184314470"/>
      <w:bookmarkEnd w:id="128"/>
      <w:bookmarkStart w:id="129" w:name="_Toc184310330"/>
      <w:bookmarkEnd w:id="129"/>
      <w:bookmarkStart w:id="130" w:name="_Toc184313262"/>
      <w:bookmarkEnd w:id="130"/>
      <w:bookmarkStart w:id="131" w:name="_Toc184310340"/>
      <w:bookmarkEnd w:id="131"/>
      <w:bookmarkStart w:id="132" w:name="_Toc184314468"/>
      <w:bookmarkEnd w:id="132"/>
      <w:bookmarkStart w:id="133" w:name="_Toc184310287"/>
      <w:bookmarkEnd w:id="133"/>
      <w:bookmarkStart w:id="134" w:name="_Toc184313291"/>
      <w:bookmarkEnd w:id="134"/>
      <w:bookmarkStart w:id="135" w:name="_Toc184310329"/>
      <w:bookmarkEnd w:id="135"/>
      <w:bookmarkStart w:id="136" w:name="_Toc184308085"/>
      <w:bookmarkEnd w:id="136"/>
      <w:bookmarkStart w:id="137" w:name="_Toc184312076"/>
      <w:bookmarkEnd w:id="137"/>
      <w:bookmarkStart w:id="138" w:name="_Toc184314421"/>
      <w:bookmarkEnd w:id="138"/>
      <w:bookmarkStart w:id="139" w:name="_Toc184314415"/>
      <w:bookmarkEnd w:id="139"/>
      <w:bookmarkStart w:id="140" w:name="_Toc184308095"/>
      <w:bookmarkEnd w:id="140"/>
      <w:bookmarkStart w:id="141" w:name="_Toc184312125"/>
      <w:bookmarkEnd w:id="141"/>
      <w:bookmarkStart w:id="142" w:name="_Toc184308055"/>
      <w:bookmarkEnd w:id="142"/>
      <w:bookmarkStart w:id="143" w:name="_Toc184314451"/>
      <w:bookmarkEnd w:id="143"/>
      <w:bookmarkStart w:id="144" w:name="_Toc184308094"/>
      <w:bookmarkEnd w:id="144"/>
      <w:bookmarkStart w:id="145" w:name="_Toc184314455"/>
      <w:bookmarkEnd w:id="145"/>
      <w:bookmarkStart w:id="146" w:name="_Toc184313290"/>
      <w:bookmarkEnd w:id="146"/>
      <w:bookmarkStart w:id="147" w:name="_Toc184314426"/>
      <w:bookmarkEnd w:id="147"/>
      <w:bookmarkStart w:id="148" w:name="_Toc184313302"/>
      <w:bookmarkEnd w:id="148"/>
      <w:bookmarkStart w:id="149" w:name="_Toc184310310"/>
      <w:bookmarkEnd w:id="149"/>
      <w:bookmarkStart w:id="150" w:name="_Toc184310303"/>
      <w:bookmarkEnd w:id="150"/>
      <w:bookmarkStart w:id="151" w:name="_Toc184308096"/>
      <w:bookmarkEnd w:id="151"/>
      <w:bookmarkStart w:id="152" w:name="_Toc184308107"/>
      <w:bookmarkEnd w:id="152"/>
      <w:bookmarkStart w:id="153" w:name="_Toc184308078"/>
      <w:bookmarkEnd w:id="153"/>
      <w:bookmarkStart w:id="154" w:name="_Toc184314452"/>
      <w:bookmarkEnd w:id="154"/>
      <w:bookmarkStart w:id="155" w:name="_Toc184312127"/>
      <w:bookmarkEnd w:id="155"/>
      <w:bookmarkStart w:id="156" w:name="_Toc184314481"/>
      <w:bookmarkEnd w:id="156"/>
      <w:bookmarkStart w:id="157" w:name="_Toc184308098"/>
      <w:bookmarkEnd w:id="157"/>
      <w:bookmarkStart w:id="158" w:name="_Toc184310306"/>
      <w:bookmarkEnd w:id="158"/>
      <w:bookmarkStart w:id="159" w:name="_Toc184308045"/>
      <w:bookmarkEnd w:id="159"/>
      <w:bookmarkStart w:id="160" w:name="_Toc184313252"/>
      <w:bookmarkEnd w:id="160"/>
      <w:bookmarkStart w:id="161" w:name="_Toc184312075"/>
      <w:bookmarkEnd w:id="161"/>
      <w:bookmarkStart w:id="162" w:name="_Toc184308080"/>
      <w:bookmarkEnd w:id="162"/>
      <w:bookmarkStart w:id="163" w:name="_Toc184310337"/>
      <w:bookmarkEnd w:id="163"/>
      <w:bookmarkStart w:id="164" w:name="_Toc184308042"/>
      <w:bookmarkEnd w:id="164"/>
      <w:bookmarkStart w:id="165" w:name="_Toc184308090"/>
      <w:bookmarkEnd w:id="165"/>
      <w:bookmarkStart w:id="166" w:name="_Toc184312113"/>
      <w:bookmarkEnd w:id="166"/>
      <w:bookmarkStart w:id="167" w:name="_Toc184312074"/>
      <w:bookmarkEnd w:id="167"/>
      <w:bookmarkStart w:id="168" w:name="_Toc184310299"/>
      <w:bookmarkEnd w:id="168"/>
      <w:bookmarkStart w:id="169" w:name="_Toc184308106"/>
      <w:bookmarkEnd w:id="169"/>
      <w:bookmarkStart w:id="170" w:name="_Toc184314466"/>
      <w:bookmarkEnd w:id="170"/>
      <w:bookmarkStart w:id="171" w:name="_Toc184312069"/>
      <w:bookmarkEnd w:id="171"/>
      <w:bookmarkStart w:id="172" w:name="_Toc184313274"/>
      <w:bookmarkEnd w:id="172"/>
      <w:bookmarkStart w:id="173" w:name="_Toc184312109"/>
      <w:bookmarkEnd w:id="173"/>
      <w:bookmarkStart w:id="174" w:name="_Toc184313288"/>
      <w:bookmarkEnd w:id="174"/>
      <w:bookmarkStart w:id="175" w:name="_Toc184314413"/>
      <w:bookmarkEnd w:id="175"/>
      <w:bookmarkStart w:id="176" w:name="_Toc184314458"/>
      <w:bookmarkEnd w:id="176"/>
      <w:bookmarkStart w:id="177" w:name="_Toc184312102"/>
      <w:bookmarkEnd w:id="177"/>
      <w:bookmarkStart w:id="178" w:name="_Toc184310301"/>
      <w:bookmarkEnd w:id="178"/>
      <w:bookmarkStart w:id="179" w:name="_Toc184314445"/>
      <w:bookmarkEnd w:id="179"/>
      <w:bookmarkStart w:id="180" w:name="_Toc184314438"/>
      <w:bookmarkEnd w:id="180"/>
      <w:bookmarkStart w:id="181" w:name="_Toc184308092"/>
      <w:bookmarkEnd w:id="181"/>
      <w:bookmarkStart w:id="182" w:name="_Toc184308099"/>
      <w:bookmarkEnd w:id="182"/>
      <w:bookmarkStart w:id="183" w:name="_Toc184310275"/>
      <w:bookmarkEnd w:id="183"/>
      <w:bookmarkStart w:id="184" w:name="_Toc184314431"/>
      <w:bookmarkEnd w:id="184"/>
      <w:bookmarkStart w:id="185" w:name="_Toc184312092"/>
      <w:bookmarkEnd w:id="185"/>
      <w:bookmarkStart w:id="186" w:name="_Toc184310339"/>
      <w:bookmarkEnd w:id="186"/>
      <w:bookmarkStart w:id="187" w:name="_Toc184314476"/>
      <w:bookmarkEnd w:id="187"/>
      <w:bookmarkStart w:id="188" w:name="_Toc184308056"/>
      <w:bookmarkEnd w:id="188"/>
      <w:bookmarkStart w:id="189" w:name="_Toc184308071"/>
      <w:bookmarkEnd w:id="189"/>
      <w:bookmarkStart w:id="190" w:name="_Toc184314479"/>
      <w:bookmarkEnd w:id="190"/>
      <w:bookmarkStart w:id="191" w:name="_Toc184314444"/>
      <w:bookmarkEnd w:id="191"/>
      <w:bookmarkStart w:id="192" w:name="_Toc184314457"/>
      <w:bookmarkEnd w:id="192"/>
      <w:bookmarkStart w:id="193" w:name="_Toc184314464"/>
      <w:bookmarkEnd w:id="193"/>
      <w:bookmarkStart w:id="194" w:name="_Toc184308102"/>
      <w:bookmarkEnd w:id="194"/>
      <w:bookmarkStart w:id="195" w:name="_Toc184310300"/>
      <w:bookmarkEnd w:id="195"/>
      <w:bookmarkStart w:id="196" w:name="_Toc184310323"/>
      <w:bookmarkEnd w:id="196"/>
      <w:bookmarkStart w:id="197" w:name="_Toc184313245"/>
      <w:bookmarkEnd w:id="197"/>
      <w:bookmarkStart w:id="198" w:name="_Toc184312067"/>
      <w:bookmarkEnd w:id="198"/>
      <w:bookmarkStart w:id="199" w:name="_Toc184312117"/>
      <w:bookmarkEnd w:id="199"/>
      <w:bookmarkStart w:id="200" w:name="_Toc184314441"/>
      <w:bookmarkEnd w:id="200"/>
      <w:bookmarkStart w:id="201" w:name="_Toc184308066"/>
      <w:bookmarkEnd w:id="201"/>
      <w:bookmarkStart w:id="202" w:name="_Toc184312093"/>
      <w:bookmarkEnd w:id="202"/>
      <w:bookmarkStart w:id="203" w:name="_Toc184313259"/>
      <w:bookmarkEnd w:id="203"/>
      <w:bookmarkStart w:id="204" w:name="_Toc184310343"/>
      <w:bookmarkEnd w:id="204"/>
      <w:bookmarkStart w:id="205" w:name="_Toc184313239"/>
      <w:bookmarkEnd w:id="205"/>
      <w:bookmarkStart w:id="206" w:name="_Toc184312103"/>
      <w:bookmarkEnd w:id="206"/>
      <w:bookmarkStart w:id="207" w:name="_Toc184312130"/>
      <w:bookmarkEnd w:id="207"/>
      <w:bookmarkStart w:id="208" w:name="_Toc184308049"/>
      <w:bookmarkEnd w:id="208"/>
      <w:bookmarkStart w:id="209" w:name="_Toc184314417"/>
      <w:bookmarkEnd w:id="209"/>
      <w:bookmarkStart w:id="210" w:name="_Toc184312106"/>
      <w:bookmarkEnd w:id="210"/>
      <w:bookmarkStart w:id="211" w:name="_Toc184314450"/>
      <w:bookmarkEnd w:id="211"/>
      <w:bookmarkStart w:id="212" w:name="_Toc184312095"/>
      <w:bookmarkEnd w:id="212"/>
      <w:bookmarkStart w:id="213" w:name="_Toc184308047"/>
      <w:bookmarkEnd w:id="213"/>
      <w:bookmarkStart w:id="214" w:name="_Toc184308037"/>
      <w:bookmarkEnd w:id="214"/>
      <w:bookmarkStart w:id="215" w:name="_Toc184312072"/>
      <w:bookmarkEnd w:id="215"/>
      <w:bookmarkStart w:id="216" w:name="_Toc184314454"/>
      <w:bookmarkEnd w:id="216"/>
      <w:bookmarkStart w:id="217" w:name="_Toc184313258"/>
      <w:bookmarkEnd w:id="217"/>
      <w:bookmarkStart w:id="218" w:name="_Toc184312101"/>
      <w:bookmarkEnd w:id="218"/>
      <w:bookmarkStart w:id="219" w:name="_Toc184313280"/>
      <w:bookmarkEnd w:id="219"/>
      <w:bookmarkStart w:id="220" w:name="_Toc184313261"/>
      <w:bookmarkEnd w:id="220"/>
      <w:bookmarkStart w:id="221" w:name="_Toc184310274"/>
      <w:bookmarkEnd w:id="221"/>
      <w:bookmarkStart w:id="222" w:name="_Toc184312122"/>
      <w:bookmarkEnd w:id="222"/>
      <w:bookmarkStart w:id="223" w:name="_Toc184308039"/>
      <w:bookmarkEnd w:id="223"/>
      <w:bookmarkStart w:id="224" w:name="_Toc184314430"/>
      <w:bookmarkEnd w:id="224"/>
      <w:bookmarkStart w:id="225" w:name="_Toc184308046"/>
      <w:bookmarkEnd w:id="225"/>
      <w:bookmarkStart w:id="226" w:name="_Toc184310319"/>
      <w:bookmarkEnd w:id="226"/>
      <w:bookmarkStart w:id="227" w:name="_Toc184313310"/>
      <w:bookmarkEnd w:id="227"/>
      <w:bookmarkStart w:id="228" w:name="_Toc184310312"/>
      <w:bookmarkEnd w:id="228"/>
      <w:bookmarkStart w:id="229" w:name="_Toc184308059"/>
      <w:bookmarkEnd w:id="229"/>
      <w:bookmarkStart w:id="230" w:name="_Toc184314472"/>
      <w:bookmarkEnd w:id="230"/>
      <w:bookmarkStart w:id="231" w:name="_Toc184314473"/>
      <w:bookmarkEnd w:id="231"/>
      <w:bookmarkStart w:id="232" w:name="_Toc184313277"/>
      <w:bookmarkEnd w:id="232"/>
      <w:bookmarkStart w:id="233" w:name="_Toc184308073"/>
      <w:bookmarkEnd w:id="233"/>
      <w:bookmarkStart w:id="234" w:name="_Toc184308103"/>
      <w:bookmarkEnd w:id="234"/>
      <w:bookmarkStart w:id="235" w:name="_Toc184312070"/>
      <w:bookmarkEnd w:id="235"/>
      <w:bookmarkStart w:id="236" w:name="_Toc184310338"/>
      <w:bookmarkEnd w:id="236"/>
      <w:bookmarkStart w:id="237" w:name="_Toc184314459"/>
      <w:bookmarkEnd w:id="237"/>
      <w:bookmarkStart w:id="238" w:name="_Toc184312131"/>
      <w:bookmarkEnd w:id="238"/>
      <w:bookmarkStart w:id="239" w:name="_Toc184310314"/>
      <w:bookmarkEnd w:id="239"/>
      <w:bookmarkStart w:id="240" w:name="_Toc184310302"/>
      <w:bookmarkEnd w:id="240"/>
      <w:bookmarkStart w:id="241" w:name="_Toc184312081"/>
      <w:bookmarkEnd w:id="241"/>
      <w:bookmarkStart w:id="242" w:name="_Toc184312090"/>
      <w:bookmarkEnd w:id="242"/>
      <w:bookmarkStart w:id="243" w:name="_Toc184314414"/>
      <w:bookmarkEnd w:id="243"/>
      <w:bookmarkStart w:id="244" w:name="_Toc184310307"/>
      <w:bookmarkEnd w:id="244"/>
      <w:bookmarkStart w:id="245" w:name="_Toc184313295"/>
      <w:bookmarkEnd w:id="245"/>
      <w:bookmarkStart w:id="246" w:name="_Toc184312071"/>
      <w:bookmarkEnd w:id="246"/>
      <w:bookmarkStart w:id="247" w:name="_Toc184310317"/>
      <w:bookmarkEnd w:id="247"/>
      <w:bookmarkStart w:id="248" w:name="_Toc184314463"/>
      <w:bookmarkEnd w:id="248"/>
      <w:bookmarkStart w:id="249" w:name="_Toc184313260"/>
      <w:bookmarkEnd w:id="249"/>
      <w:bookmarkStart w:id="250" w:name="_Toc184314449"/>
      <w:bookmarkEnd w:id="250"/>
      <w:bookmarkStart w:id="251" w:name="_Toc184310280"/>
      <w:bookmarkEnd w:id="251"/>
      <w:bookmarkStart w:id="252" w:name="_Toc184308083"/>
      <w:bookmarkEnd w:id="252"/>
      <w:bookmarkStart w:id="253" w:name="_Toc184312119"/>
      <w:bookmarkEnd w:id="253"/>
      <w:bookmarkStart w:id="254" w:name="_Toc184312078"/>
      <w:bookmarkEnd w:id="254"/>
      <w:bookmarkStart w:id="255" w:name="_Toc184308064"/>
      <w:bookmarkEnd w:id="255"/>
      <w:bookmarkStart w:id="256" w:name="_Toc184313273"/>
      <w:bookmarkEnd w:id="256"/>
      <w:bookmarkStart w:id="257" w:name="_Toc184313272"/>
      <w:bookmarkEnd w:id="257"/>
      <w:bookmarkStart w:id="258" w:name="_Toc184314471"/>
      <w:bookmarkEnd w:id="258"/>
      <w:bookmarkStart w:id="259" w:name="_Toc184308053"/>
      <w:bookmarkEnd w:id="259"/>
      <w:bookmarkStart w:id="260" w:name="_Toc184313265"/>
      <w:bookmarkEnd w:id="260"/>
      <w:bookmarkStart w:id="261" w:name="_Toc184313282"/>
      <w:bookmarkEnd w:id="261"/>
      <w:bookmarkStart w:id="262" w:name="_Toc184313269"/>
      <w:bookmarkEnd w:id="262"/>
      <w:bookmarkStart w:id="263" w:name="_Toc184310296"/>
      <w:bookmarkEnd w:id="263"/>
      <w:bookmarkStart w:id="264" w:name="_Toc184310344"/>
      <w:bookmarkEnd w:id="264"/>
      <w:bookmarkStart w:id="265" w:name="_Toc184314461"/>
      <w:bookmarkEnd w:id="265"/>
      <w:bookmarkStart w:id="266" w:name="_Toc184310292"/>
      <w:bookmarkEnd w:id="266"/>
      <w:bookmarkStart w:id="267" w:name="_Toc184310336"/>
      <w:bookmarkEnd w:id="267"/>
      <w:bookmarkStart w:id="268" w:name="_Toc184312129"/>
      <w:bookmarkEnd w:id="268"/>
      <w:bookmarkStart w:id="269" w:name="_Toc184310273"/>
      <w:bookmarkEnd w:id="269"/>
      <w:bookmarkStart w:id="270" w:name="_Toc184313299"/>
      <w:bookmarkEnd w:id="270"/>
      <w:bookmarkStart w:id="271" w:name="_Toc184308105"/>
      <w:bookmarkEnd w:id="271"/>
      <w:bookmarkStart w:id="272" w:name="_Toc184313297"/>
      <w:bookmarkEnd w:id="272"/>
      <w:bookmarkStart w:id="273" w:name="_Toc184314422"/>
      <w:bookmarkEnd w:id="273"/>
      <w:bookmarkStart w:id="274" w:name="_Toc184312091"/>
      <w:bookmarkEnd w:id="274"/>
      <w:bookmarkStart w:id="275" w:name="_Toc184308044"/>
      <w:bookmarkEnd w:id="275"/>
      <w:bookmarkStart w:id="276" w:name="_Toc184314440"/>
      <w:bookmarkEnd w:id="276"/>
      <w:bookmarkStart w:id="277" w:name="_Toc184313306"/>
      <w:bookmarkEnd w:id="277"/>
      <w:bookmarkStart w:id="278" w:name="_Toc184310318"/>
      <w:bookmarkEnd w:id="278"/>
      <w:bookmarkStart w:id="279" w:name="_Toc184308067"/>
      <w:bookmarkEnd w:id="279"/>
      <w:bookmarkStart w:id="280" w:name="_Toc184312132"/>
      <w:bookmarkEnd w:id="280"/>
      <w:bookmarkStart w:id="281" w:name="_Toc184312111"/>
      <w:bookmarkEnd w:id="281"/>
      <w:bookmarkStart w:id="282" w:name="_Toc184308048"/>
      <w:bookmarkEnd w:id="282"/>
      <w:bookmarkStart w:id="283" w:name="_Toc184313309"/>
      <w:bookmarkEnd w:id="283"/>
      <w:bookmarkStart w:id="284" w:name="_Toc184313241"/>
      <w:bookmarkEnd w:id="284"/>
      <w:bookmarkStart w:id="285" w:name="_Toc184312082"/>
      <w:bookmarkEnd w:id="285"/>
      <w:bookmarkStart w:id="286" w:name="_Toc184312120"/>
      <w:bookmarkEnd w:id="286"/>
      <w:bookmarkStart w:id="287" w:name="_Toc184310289"/>
      <w:bookmarkEnd w:id="287"/>
      <w:bookmarkStart w:id="288" w:name="_Toc184313267"/>
      <w:bookmarkEnd w:id="288"/>
      <w:bookmarkStart w:id="289" w:name="_Toc184310334"/>
      <w:bookmarkEnd w:id="289"/>
      <w:bookmarkStart w:id="290" w:name="_Toc184314480"/>
      <w:bookmarkEnd w:id="290"/>
      <w:bookmarkStart w:id="291" w:name="_Toc184312110"/>
      <w:bookmarkEnd w:id="291"/>
      <w:bookmarkStart w:id="292" w:name="_Toc184314436"/>
      <w:bookmarkEnd w:id="292"/>
      <w:bookmarkStart w:id="293" w:name="_Toc184313303"/>
      <w:bookmarkEnd w:id="293"/>
      <w:bookmarkStart w:id="294" w:name="_Toc184314437"/>
      <w:bookmarkEnd w:id="294"/>
      <w:bookmarkStart w:id="295" w:name="_Toc184313256"/>
      <w:bookmarkEnd w:id="295"/>
      <w:bookmarkStart w:id="296" w:name="_Toc184308070"/>
      <w:bookmarkEnd w:id="296"/>
      <w:bookmarkStart w:id="297" w:name="_Toc184314469"/>
      <w:bookmarkEnd w:id="297"/>
      <w:bookmarkStart w:id="298" w:name="_Toc184312087"/>
      <w:bookmarkEnd w:id="298"/>
      <w:bookmarkStart w:id="299" w:name="_Toc184314429"/>
      <w:bookmarkEnd w:id="299"/>
      <w:bookmarkStart w:id="300" w:name="_Toc184313287"/>
      <w:bookmarkEnd w:id="300"/>
      <w:bookmarkStart w:id="301" w:name="_Toc184314448"/>
      <w:bookmarkEnd w:id="301"/>
      <w:bookmarkStart w:id="302" w:name="_Toc184310283"/>
      <w:bookmarkEnd w:id="302"/>
      <w:bookmarkStart w:id="303" w:name="_Toc184308076"/>
      <w:bookmarkEnd w:id="303"/>
      <w:bookmarkStart w:id="304" w:name="_Toc184313304"/>
      <w:bookmarkEnd w:id="304"/>
      <w:bookmarkStart w:id="305" w:name="_Toc184314439"/>
      <w:bookmarkEnd w:id="305"/>
      <w:bookmarkStart w:id="306" w:name="_Toc184314477"/>
      <w:bookmarkEnd w:id="306"/>
      <w:bookmarkStart w:id="307" w:name="_Toc184310308"/>
      <w:bookmarkEnd w:id="307"/>
      <w:bookmarkStart w:id="308" w:name="_Toc184313266"/>
      <w:bookmarkEnd w:id="308"/>
      <w:bookmarkStart w:id="309" w:name="_Toc184312108"/>
      <w:bookmarkEnd w:id="309"/>
      <w:bookmarkStart w:id="310" w:name="_Toc184308079"/>
      <w:bookmarkEnd w:id="310"/>
      <w:bookmarkStart w:id="311" w:name="_Toc184310278"/>
      <w:bookmarkEnd w:id="311"/>
      <w:bookmarkStart w:id="312" w:name="_Toc184308065"/>
      <w:bookmarkEnd w:id="312"/>
      <w:bookmarkStart w:id="313" w:name="_Toc184312079"/>
      <w:bookmarkEnd w:id="313"/>
      <w:bookmarkStart w:id="314" w:name="_Toc184314447"/>
      <w:bookmarkEnd w:id="314"/>
      <w:bookmarkStart w:id="315" w:name="_Toc184310276"/>
      <w:bookmarkEnd w:id="315"/>
      <w:bookmarkStart w:id="316" w:name="_Toc184308097"/>
      <w:bookmarkEnd w:id="316"/>
      <w:bookmarkStart w:id="317" w:name="_Toc184313308"/>
      <w:bookmarkEnd w:id="317"/>
      <w:bookmarkStart w:id="318" w:name="_Toc184314425"/>
      <w:bookmarkEnd w:id="318"/>
      <w:bookmarkStart w:id="319" w:name="_Toc184313301"/>
      <w:bookmarkEnd w:id="319"/>
      <w:bookmarkStart w:id="320" w:name="_Toc184312112"/>
      <w:bookmarkEnd w:id="320"/>
      <w:bookmarkStart w:id="321" w:name="_Toc184310279"/>
      <w:bookmarkEnd w:id="321"/>
      <w:bookmarkStart w:id="322" w:name="_Toc184313281"/>
      <w:bookmarkEnd w:id="322"/>
      <w:bookmarkStart w:id="323" w:name="_Toc184313263"/>
      <w:bookmarkEnd w:id="323"/>
      <w:bookmarkStart w:id="324" w:name="_Toc184313298"/>
      <w:bookmarkEnd w:id="324"/>
      <w:bookmarkStart w:id="325" w:name="_Toc184312094"/>
      <w:bookmarkEnd w:id="325"/>
      <w:bookmarkStart w:id="326" w:name="_Toc184310294"/>
      <w:bookmarkEnd w:id="326"/>
      <w:bookmarkStart w:id="327" w:name="_Toc184314460"/>
      <w:bookmarkEnd w:id="327"/>
      <w:bookmarkStart w:id="328" w:name="_Toc184313253"/>
      <w:bookmarkEnd w:id="328"/>
      <w:bookmarkStart w:id="329" w:name="_Toc184308063"/>
      <w:bookmarkEnd w:id="329"/>
      <w:bookmarkStart w:id="330" w:name="_Toc184312124"/>
      <w:bookmarkEnd w:id="330"/>
      <w:bookmarkStart w:id="331" w:name="_Toc184314446"/>
      <w:bookmarkEnd w:id="331"/>
      <w:bookmarkStart w:id="332" w:name="_Toc184308086"/>
      <w:bookmarkEnd w:id="332"/>
      <w:bookmarkStart w:id="333" w:name="_Toc184310313"/>
      <w:bookmarkEnd w:id="333"/>
      <w:bookmarkStart w:id="334" w:name="_Toc184312073"/>
      <w:bookmarkEnd w:id="334"/>
      <w:bookmarkStart w:id="335" w:name="_Toc184310326"/>
      <w:bookmarkEnd w:id="335"/>
      <w:bookmarkStart w:id="336" w:name="_Toc184312088"/>
      <w:bookmarkEnd w:id="336"/>
      <w:bookmarkStart w:id="337" w:name="_Toc184310315"/>
      <w:bookmarkEnd w:id="337"/>
      <w:bookmarkStart w:id="338" w:name="_Toc184312085"/>
      <w:bookmarkEnd w:id="338"/>
      <w:bookmarkStart w:id="339" w:name="_Toc184312128"/>
      <w:bookmarkEnd w:id="339"/>
      <w:bookmarkStart w:id="340" w:name="_Toc184314412"/>
      <w:bookmarkEnd w:id="340"/>
      <w:bookmarkStart w:id="341" w:name="_Toc184312114"/>
      <w:bookmarkEnd w:id="341"/>
      <w:bookmarkStart w:id="342" w:name="_Toc184312139"/>
      <w:bookmarkEnd w:id="342"/>
      <w:bookmarkStart w:id="343" w:name="_Toc184312100"/>
      <w:bookmarkEnd w:id="343"/>
      <w:bookmarkStart w:id="344" w:name="_Toc184310282"/>
      <w:bookmarkEnd w:id="344"/>
      <w:bookmarkStart w:id="345" w:name="_Toc184308060"/>
      <w:bookmarkEnd w:id="345"/>
      <w:bookmarkStart w:id="346" w:name="_Toc184312123"/>
      <w:bookmarkEnd w:id="346"/>
      <w:bookmarkStart w:id="347" w:name="_Toc184313286"/>
      <w:bookmarkEnd w:id="347"/>
      <w:bookmarkStart w:id="348" w:name="_Toc184313289"/>
      <w:bookmarkEnd w:id="348"/>
      <w:bookmarkStart w:id="349" w:name="_Toc184308081"/>
      <w:bookmarkEnd w:id="349"/>
      <w:bookmarkStart w:id="350" w:name="_Toc184310291"/>
      <w:bookmarkEnd w:id="350"/>
      <w:bookmarkStart w:id="351" w:name="_Toc184314465"/>
      <w:bookmarkEnd w:id="351"/>
      <w:bookmarkStart w:id="352" w:name="_Toc184308088"/>
      <w:bookmarkEnd w:id="352"/>
      <w:bookmarkStart w:id="353" w:name="_Toc184312098"/>
      <w:bookmarkEnd w:id="353"/>
      <w:bookmarkStart w:id="354" w:name="_Toc184312115"/>
      <w:bookmarkEnd w:id="354"/>
      <w:bookmarkStart w:id="355" w:name="_Toc184308077"/>
      <w:bookmarkEnd w:id="355"/>
      <w:bookmarkStart w:id="356" w:name="_Toc184310321"/>
      <w:bookmarkEnd w:id="356"/>
      <w:bookmarkStart w:id="357" w:name="_Toc184313243"/>
      <w:bookmarkEnd w:id="357"/>
      <w:bookmarkStart w:id="358" w:name="_Toc184312133"/>
      <w:bookmarkEnd w:id="358"/>
      <w:bookmarkStart w:id="359" w:name="_Toc184313307"/>
      <w:bookmarkEnd w:id="359"/>
      <w:bookmarkStart w:id="360" w:name="_Toc184308054"/>
      <w:bookmarkEnd w:id="360"/>
      <w:bookmarkStart w:id="361" w:name="_Toc184313246"/>
      <w:bookmarkEnd w:id="361"/>
      <w:bookmarkStart w:id="362" w:name="_Toc184313305"/>
      <w:bookmarkEnd w:id="362"/>
      <w:bookmarkStart w:id="363" w:name="_Toc184310325"/>
      <w:bookmarkEnd w:id="363"/>
      <w:bookmarkStart w:id="364" w:name="_Toc184314424"/>
      <w:bookmarkEnd w:id="364"/>
      <w:bookmarkStart w:id="365" w:name="_Toc184310293"/>
      <w:bookmarkEnd w:id="365"/>
      <w:bookmarkStart w:id="366" w:name="_Toc184312138"/>
      <w:bookmarkEnd w:id="366"/>
      <w:bookmarkStart w:id="367" w:name="_Toc184314418"/>
      <w:bookmarkEnd w:id="367"/>
      <w:bookmarkStart w:id="368" w:name="_Toc184314478"/>
      <w:bookmarkEnd w:id="368"/>
      <w:bookmarkStart w:id="369" w:name="_Toc184314433"/>
      <w:bookmarkEnd w:id="369"/>
      <w:bookmarkStart w:id="370" w:name="_Toc184308041"/>
      <w:bookmarkEnd w:id="370"/>
      <w:bookmarkStart w:id="371" w:name="_Toc184308108"/>
      <w:bookmarkEnd w:id="371"/>
      <w:bookmarkStart w:id="372" w:name="_Toc184310297"/>
      <w:bookmarkEnd w:id="372"/>
      <w:bookmarkStart w:id="373" w:name="_Toc184313249"/>
      <w:bookmarkEnd w:id="373"/>
      <w:bookmarkStart w:id="374" w:name="_Toc184312134"/>
      <w:bookmarkEnd w:id="374"/>
      <w:bookmarkStart w:id="375" w:name="_Toc184308069"/>
      <w:bookmarkEnd w:id="375"/>
      <w:bookmarkStart w:id="376" w:name="_Toc184314475"/>
      <w:bookmarkEnd w:id="376"/>
      <w:bookmarkStart w:id="377" w:name="_Toc184310342"/>
      <w:bookmarkEnd w:id="377"/>
      <w:bookmarkStart w:id="378" w:name="_Toc184314482"/>
      <w:bookmarkEnd w:id="378"/>
      <w:bookmarkStart w:id="379" w:name="_Toc184312089"/>
      <w:bookmarkEnd w:id="379"/>
      <w:bookmarkStart w:id="380" w:name="_Toc184310341"/>
      <w:bookmarkEnd w:id="380"/>
      <w:bookmarkStart w:id="381" w:name="_Toc184312118"/>
      <w:bookmarkEnd w:id="381"/>
      <w:bookmarkStart w:id="382" w:name="_Toc184314411"/>
      <w:bookmarkEnd w:id="382"/>
      <w:bookmarkStart w:id="383" w:name="_Toc184312084"/>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p>
    <w:p>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实质性响应要求的供应商中，按照报价由低到高的顺序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7"/>
        <w:ind w:firstLine="480" w:firstLineChars="200"/>
        <w:rPr>
          <w:rFonts w:hint="eastAsia"/>
          <w:color w:val="auto"/>
          <w:highlight w:val="none"/>
        </w:rPr>
      </w:pPr>
      <w:r>
        <w:rPr>
          <w:rFonts w:hint="default"/>
          <w:color w:val="auto"/>
          <w:highlight w:val="none"/>
          <w:lang w:val="en-US"/>
        </w:rPr>
        <w:t>1.2</w:t>
      </w:r>
      <w:r>
        <w:rPr>
          <w:rFonts w:hint="eastAsia"/>
          <w:color w:val="auto"/>
          <w:highlight w:val="none"/>
          <w:lang w:val="en-US" w:eastAsia="zh-CN"/>
        </w:rPr>
        <w:t>若</w:t>
      </w:r>
      <w:r>
        <w:rPr>
          <w:rFonts w:hint="eastAsia"/>
          <w:color w:val="auto"/>
          <w:highlight w:val="none"/>
        </w:rPr>
        <w:t>出现相同总金额最低报价情况时，</w:t>
      </w:r>
      <w:r>
        <w:rPr>
          <w:rFonts w:hint="eastAsia"/>
          <w:b/>
          <w:bCs/>
          <w:color w:val="auto"/>
          <w:highlight w:val="none"/>
        </w:rPr>
        <w:t>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snapToGrid w:val="0"/>
        <w:spacing w:line="460" w:lineRule="exact"/>
        <w:ind w:firstLine="480" w:firstLineChars="200"/>
        <w:rPr>
          <w:rFonts w:hint="eastAsia"/>
          <w:color w:val="auto"/>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.3在采购过程中符合竞争要求的供应商或者报价未超过采购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9"/>
        <w:rPr>
          <w:rFonts w:cs="仿宋" w:asciiTheme="minorEastAsia" w:hAnsiTheme="minorEastAsia"/>
          <w:color w:val="auto"/>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服务类采购合同</w:t>
      </w:r>
    </w:p>
    <w:p>
      <w:pPr>
        <w:spacing w:before="120" w:line="22" w:lineRule="atLeast"/>
        <w:rPr>
          <w:rFonts w:ascii="宋体" w:hAnsi="宋体" w:cs="宋体"/>
          <w:sz w:val="24"/>
          <w:highlight w:val="none"/>
        </w:rPr>
      </w:pPr>
    </w:p>
    <w:p>
      <w:pPr>
        <w:pStyle w:val="4"/>
        <w:tabs>
          <w:tab w:val="left" w:pos="432"/>
        </w:tabs>
        <w:rPr>
          <w:rFonts w:hint="default" w:eastAsia="黑体"/>
          <w:highlight w:val="none"/>
          <w:lang w:val="en-US" w:eastAsia="zh-CN"/>
        </w:rPr>
      </w:pPr>
      <w:r>
        <w:rPr>
          <w:rFonts w:hint="eastAsia"/>
          <w:highlight w:val="none"/>
          <w:lang w:val="en-US" w:eastAsia="zh-CN"/>
        </w:rPr>
        <w:t xml:space="preserve">              </w:t>
      </w: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2024年临江公司破碎机刀齿委外修复服务采购</w:t>
      </w:r>
      <w:r>
        <w:rPr>
          <w:rFonts w:hint="eastAsia" w:ascii="宋体" w:hAnsi="宋体" w:cs="宋体"/>
          <w:sz w:val="24"/>
          <w:highlight w:val="none"/>
          <w:u w:val="single"/>
        </w:rPr>
        <w:t>项目</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bookmarkStart w:id="496" w:name="_GoBack"/>
      <w:bookmarkEnd w:id="496"/>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8"/>
        <w:ind w:firstLine="214"/>
        <w:jc w:val="center"/>
        <w:rPr>
          <w:rFonts w:hint="eastAsia"/>
          <w:b/>
          <w:bCs/>
          <w:highlight w:val="none"/>
        </w:rPr>
      </w:pPr>
      <w:r>
        <w:rPr>
          <w:rFonts w:hint="eastAsia"/>
          <w:b/>
          <w:bCs/>
          <w:highlight w:val="none"/>
        </w:rPr>
        <w:t>目录</w:t>
      </w:r>
    </w:p>
    <w:p>
      <w:pPr>
        <w:pStyle w:val="10"/>
        <w:spacing w:line="360" w:lineRule="auto"/>
        <w:ind w:firstLine="240" w:firstLineChars="100"/>
        <w:rPr>
          <w:highlight w:val="none"/>
        </w:rPr>
      </w:pPr>
      <w:r>
        <w:rPr>
          <w:rFonts w:hint="eastAsia"/>
          <w:highlight w:val="none"/>
        </w:rPr>
        <w:t>第一章 合同书  …………………………………………………………（页码）</w:t>
      </w:r>
    </w:p>
    <w:p>
      <w:pPr>
        <w:pStyle w:val="10"/>
        <w:spacing w:line="360" w:lineRule="auto"/>
        <w:ind w:firstLine="240" w:firstLineChars="100"/>
        <w:rPr>
          <w:rFonts w:hint="eastAsia"/>
          <w:highlight w:val="none"/>
        </w:rPr>
      </w:pPr>
      <w:r>
        <w:rPr>
          <w:rFonts w:hint="eastAsia"/>
          <w:highlight w:val="none"/>
        </w:rPr>
        <w:t>第二章 合同一般条款……………………………………………………（页码）</w:t>
      </w:r>
    </w:p>
    <w:p>
      <w:pPr>
        <w:pStyle w:val="10"/>
        <w:spacing w:line="360" w:lineRule="auto"/>
        <w:ind w:firstLine="240" w:firstLineChars="100"/>
        <w:rPr>
          <w:rFonts w:hint="eastAsia"/>
          <w:highlight w:val="none"/>
        </w:rPr>
      </w:pPr>
      <w:r>
        <w:rPr>
          <w:rFonts w:hint="eastAsia"/>
          <w:highlight w:val="none"/>
        </w:rPr>
        <w:t>第三章 安全协议…………………………………………………………（页码）</w:t>
      </w:r>
    </w:p>
    <w:p>
      <w:pPr>
        <w:pStyle w:val="10"/>
        <w:spacing w:line="360" w:lineRule="auto"/>
        <w:ind w:firstLine="240" w:firstLineChars="100"/>
        <w:rPr>
          <w:highlight w:val="none"/>
        </w:rPr>
      </w:pPr>
      <w:r>
        <w:rPr>
          <w:rFonts w:hint="eastAsia"/>
          <w:highlight w:val="none"/>
        </w:rPr>
        <w:t>第四章 廉洁协议…………………………………………………………（页码）</w:t>
      </w: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7"/>
        <w:rPr>
          <w:highlight w:val="non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23"/>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2024年临江公司破碎机刀齿委外修复服务采购（重新询价）</w:t>
      </w:r>
      <w:r>
        <w:rPr>
          <w:rFonts w:hint="eastAsia" w:ascii="宋体" w:hAnsi="宋体"/>
          <w:sz w:val="24"/>
          <w:highlight w:val="none"/>
        </w:rPr>
        <w:t>项目进行了采购。经</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ascii="宋体" w:hAnsi="宋体"/>
          <w:sz w:val="24"/>
          <w:highlight w:val="none"/>
          <w:lang w:val="zh-CN"/>
        </w:rPr>
        <w:t>(以下简称：甲方)和</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ascii="宋体" w:hAnsi="宋体"/>
          <w:sz w:val="24"/>
          <w:highlight w:val="none"/>
          <w:u w:val="single"/>
        </w:rPr>
        <w:t xml:space="preserve">  </w:t>
      </w:r>
      <w:r>
        <w:rPr>
          <w:rFonts w:ascii="宋体" w:hAnsi="宋体"/>
          <w:sz w:val="24"/>
          <w:highlight w:val="none"/>
          <w:lang w:val="zh-CN"/>
        </w:rPr>
        <w:t>(以下简称：乙方)协商一致，约定以下合同</w:t>
      </w:r>
      <w:r>
        <w:rPr>
          <w:rFonts w:hint="eastAsia" w:ascii="宋体" w:hAnsi="宋体"/>
          <w:sz w:val="24"/>
          <w:highlight w:val="none"/>
        </w:rPr>
        <w:t>条款，以兹共同遵守、全面履行。</w:t>
      </w:r>
    </w:p>
    <w:p>
      <w:pPr>
        <w:spacing w:line="360" w:lineRule="auto"/>
        <w:ind w:firstLine="482" w:firstLineChars="200"/>
        <w:outlineLvl w:val="0"/>
        <w:rPr>
          <w:rFonts w:ascii="宋体" w:hAnsi="宋体"/>
          <w:sz w:val="24"/>
          <w:highlight w:val="none"/>
        </w:rPr>
      </w:pPr>
      <w:bookmarkStart w:id="384" w:name="_Toc15367"/>
      <w:bookmarkStart w:id="385" w:name="_Toc20421"/>
      <w:bookmarkStart w:id="386" w:name="_Toc19273"/>
      <w:bookmarkStart w:id="387" w:name="_Toc28855"/>
      <w:bookmarkStart w:id="388" w:name="_Toc22967"/>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本合同及其补充合同、变更协议；</w:t>
      </w:r>
    </w:p>
    <w:p>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pPr>
        <w:spacing w:line="360" w:lineRule="auto"/>
        <w:ind w:firstLine="482" w:firstLineChars="200"/>
        <w:outlineLvl w:val="0"/>
        <w:rPr>
          <w:rFonts w:hint="eastAsia" w:ascii="宋体" w:hAnsi="宋体"/>
          <w:b/>
          <w:sz w:val="24"/>
          <w:highlight w:val="none"/>
        </w:rPr>
      </w:pPr>
      <w:bookmarkStart w:id="389" w:name="_Toc2918"/>
      <w:bookmarkStart w:id="390" w:name="_Toc6311"/>
      <w:bookmarkStart w:id="391" w:name="_Toc22185"/>
      <w:bookmarkStart w:id="392" w:name="_Toc18585"/>
      <w:bookmarkStart w:id="393" w:name="_Toc6773"/>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%。其中三固事业部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元，能源事业部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p>
    <w:p>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（1） </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pPr>
        <w:spacing w:line="360" w:lineRule="auto"/>
        <w:ind w:firstLine="480" w:firstLineChars="200"/>
        <w:rPr>
          <w:rFonts w:ascii="宋体" w:hAnsi="宋体"/>
          <w:sz w:val="24"/>
          <w:highlight w:val="none"/>
          <w:u w:val="single"/>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w:t>
      </w:r>
      <w:r>
        <w:rPr>
          <w:rFonts w:hint="eastAsia" w:ascii="宋体" w:hAnsi="宋体" w:cs="宋体"/>
          <w:b/>
          <w:bCs/>
          <w:sz w:val="24"/>
          <w:highlight w:val="none"/>
          <w:lang w:val="en-US" w:eastAsia="zh-CN"/>
        </w:rPr>
        <w:t>对S300碎得破碎机的刀齿、隔套及内孔花键、主轴花键及总成等进行委外维修</w:t>
      </w:r>
      <w:r>
        <w:rPr>
          <w:rFonts w:hint="eastAsia" w:ascii="宋体" w:hAnsi="宋体" w:cs="宋体"/>
          <w:sz w:val="24"/>
          <w:highlight w:val="none"/>
          <w:lang w:val="en-US" w:eastAsia="zh-CN"/>
        </w:rPr>
        <w:t>，</w:t>
      </w:r>
      <w:r>
        <w:rPr>
          <w:rFonts w:hint="eastAsia" w:ascii="宋体" w:hAnsi="宋体" w:cs="宋体"/>
          <w:sz w:val="24"/>
          <w:highlight w:val="none"/>
        </w:rPr>
        <w:t>单价和总价中均包括了</w:t>
      </w:r>
      <w:r>
        <w:rPr>
          <w:rFonts w:hint="eastAsia" w:ascii="宋体" w:hAnsi="宋体" w:cs="宋体"/>
          <w:sz w:val="24"/>
          <w:highlight w:val="none"/>
          <w:lang w:val="en-US" w:eastAsia="zh-CN"/>
        </w:rPr>
        <w:t>拆卸费、</w:t>
      </w:r>
      <w:r>
        <w:rPr>
          <w:rFonts w:hint="eastAsia" w:ascii="宋体" w:hAnsi="宋体" w:cs="宋体"/>
          <w:sz w:val="24"/>
          <w:highlight w:val="none"/>
        </w:rPr>
        <w:t>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材料或者设备费、</w:t>
      </w:r>
      <w:r>
        <w:rPr>
          <w:rFonts w:hint="eastAsia" w:ascii="宋体" w:hAnsi="宋体" w:cs="宋体"/>
          <w:sz w:val="24"/>
          <w:highlight w:val="none"/>
        </w:rPr>
        <w:t>运费、安装调试费、人工费、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rPr>
        <w:t>本合同履行中，甲方不再另行支付任何费用。</w:t>
      </w:r>
    </w:p>
    <w:p>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31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kern w:val="0"/>
                <w:sz w:val="20"/>
                <w:szCs w:val="20"/>
                <w:highlight w:val="none"/>
                <w:lang w:val="en-US" w:eastAsia="zh-CN" w:bidi="ar"/>
              </w:rPr>
            </w:pPr>
            <w:r>
              <w:rPr>
                <w:rFonts w:hint="eastAsia" w:ascii="宋体" w:hAnsi="宋体" w:cs="宋体"/>
                <w:kern w:val="0"/>
                <w:sz w:val="20"/>
                <w:szCs w:val="20"/>
                <w:highlight w:val="none"/>
                <w:lang w:val="en-US" w:eastAsia="zh-CN" w:bidi="ar"/>
              </w:rPr>
              <w:t>/</w:t>
            </w:r>
          </w:p>
        </w:tc>
      </w:tr>
    </w:tbl>
    <w:p>
      <w:pPr>
        <w:pStyle w:val="4"/>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pPr>
        <w:pStyle w:val="24"/>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cs="Times New Roman"/>
          <w:kern w:val="2"/>
          <w:highlight w:val="none"/>
          <w:u w:val="single"/>
          <w:lang w:val="en-US" w:eastAsia="zh-CN"/>
        </w:rPr>
        <w:t xml:space="preserve">  （1）</w:t>
      </w:r>
      <w:r>
        <w:rPr>
          <w:rFonts w:hint="eastAsia" w:cs="Times New Roman"/>
          <w:kern w:val="2"/>
          <w:highlight w:val="none"/>
          <w:u w:val="single"/>
        </w:rPr>
        <w:t xml:space="preserve"> </w:t>
      </w:r>
      <w:r>
        <w:rPr>
          <w:rFonts w:hint="eastAsia" w:cs="Times New Roman"/>
          <w:kern w:val="2"/>
          <w:highlight w:val="none"/>
        </w:rPr>
        <w:t>条款规定的计价方式计价。</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w:t>
      </w:r>
      <w:r>
        <w:rPr>
          <w:rFonts w:hint="eastAsia" w:ascii="宋体" w:hAnsi="宋体" w:cs="宋体"/>
          <w:sz w:val="24"/>
          <w:highlight w:val="none"/>
          <w:lang w:val="en-US" w:eastAsia="zh-CN"/>
        </w:rPr>
        <w:t>设备费、材料费</w:t>
      </w:r>
      <w:r>
        <w:rPr>
          <w:rFonts w:hint="eastAsia" w:ascii="宋体" w:hAnsi="宋体" w:cs="宋体"/>
          <w:sz w:val="24"/>
          <w:highlight w:val="none"/>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highlight w:val="none"/>
        </w:rPr>
      </w:pPr>
      <w:r>
        <w:rPr>
          <w:rFonts w:ascii="宋体" w:hAnsi="宋体"/>
          <w:sz w:val="24"/>
          <w:highlight w:val="none"/>
        </w:rPr>
        <w:t>分项价格</w:t>
      </w:r>
      <w:r>
        <w:rPr>
          <w:rFonts w:hint="eastAsia" w:ascii="宋体" w:hAnsi="宋体" w:cs="宋体"/>
          <w:sz w:val="24"/>
          <w:highlight w:val="none"/>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bookmarkStart w:id="394" w:name="_Toc5635"/>
            <w:bookmarkStart w:id="395" w:name="_Toc1386"/>
            <w:bookmarkStart w:id="396" w:name="_Toc21124"/>
            <w:bookmarkStart w:id="397" w:name="_Toc13918"/>
            <w:bookmarkStart w:id="398" w:name="_Toc4929"/>
            <w:r>
              <w:rPr>
                <w:rFonts w:hint="eastAsia" w:ascii="宋体" w:hAnsi="宋体" w:eastAsia="宋体"/>
                <w:b w:val="0"/>
                <w:sz w:val="24"/>
                <w:szCs w:val="24"/>
                <w:highlight w:val="none"/>
                <w:lang w:val="en-US"/>
              </w:rPr>
              <w:t>序号</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货物名称</w:t>
            </w:r>
          </w:p>
        </w:tc>
        <w:tc>
          <w:tcPr>
            <w:tcW w:w="1629" w:type="dxa"/>
            <w:noWrap w:val="0"/>
            <w:vAlign w:val="center"/>
          </w:tcPr>
          <w:p>
            <w:pPr>
              <w:pStyle w:val="4"/>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规格型号/技术要求</w:t>
            </w:r>
          </w:p>
        </w:tc>
        <w:tc>
          <w:tcPr>
            <w:tcW w:w="1632" w:type="dxa"/>
            <w:noWrap w:val="0"/>
            <w:vAlign w:val="center"/>
          </w:tcPr>
          <w:p>
            <w:pPr>
              <w:pStyle w:val="4"/>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品牌/制造商</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暂定数量</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单价</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金额</w:t>
            </w:r>
          </w:p>
        </w:tc>
        <w:tc>
          <w:tcPr>
            <w:tcW w:w="1432"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4"/>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1</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2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32"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432" w:type="dxa"/>
            <w:noWrap w:val="0"/>
            <w:vAlign w:val="center"/>
          </w:tcPr>
          <w:p>
            <w:pPr>
              <w:pStyle w:val="4"/>
              <w:tabs>
                <w:tab w:val="left" w:pos="432"/>
              </w:tabs>
              <w:ind w:left="0" w:firstLine="0"/>
              <w:jc w:val="center"/>
              <w:rPr>
                <w:rFonts w:hint="default"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税率</w:t>
            </w:r>
            <w:r>
              <w:rPr>
                <w:rFonts w:hint="eastAsia" w:ascii="宋体" w:hAnsi="宋体" w:eastAsia="宋体"/>
                <w:b w:val="0"/>
                <w:sz w:val="24"/>
                <w:szCs w:val="24"/>
                <w:highlight w:val="none"/>
                <w:u w:val="single"/>
                <w:lang w:val="en-US" w:eastAsia="zh-CN"/>
              </w:rPr>
              <w:t xml:space="preserve"> /   </w:t>
            </w:r>
            <w:r>
              <w:rPr>
                <w:rFonts w:hint="eastAsia" w:ascii="宋体" w:hAnsi="宋体" w:eastAsia="宋体"/>
                <w:b w:val="0"/>
                <w:sz w:val="24"/>
                <w:szCs w:val="24"/>
                <w:highlight w:val="none"/>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highlight w:val="none"/>
        </w:rPr>
      </w:pPr>
      <w:bookmarkStart w:id="399" w:name="_Toc1814"/>
      <w:bookmarkStart w:id="400" w:name="_Toc22618"/>
      <w:bookmarkStart w:id="401" w:name="_Toc10340"/>
      <w:bookmarkStart w:id="402" w:name="_Toc4760"/>
      <w:bookmarkStart w:id="403" w:name="_Toc11108"/>
      <w:bookmarkStart w:id="404" w:name="_Toc3625"/>
      <w:bookmarkStart w:id="405" w:name="_Toc8772"/>
      <w:bookmarkStart w:id="406" w:name="_Toc31421"/>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pPr>
        <w:spacing w:line="360" w:lineRule="auto"/>
        <w:ind w:firstLine="480" w:firstLineChars="200"/>
        <w:rPr>
          <w:rFonts w:ascii="宋体" w:hAnsi="宋体" w:cs="宋体"/>
          <w:sz w:val="24"/>
          <w:highlight w:val="none"/>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cs="宋体"/>
          <w:sz w:val="24"/>
          <w:highlight w:val="none"/>
          <w:u w:val="single"/>
          <w:lang w:val="en-US" w:eastAsia="zh-CN"/>
        </w:rPr>
        <w:t>自合同签订后完成修复、安装调试合格后自动终止</w:t>
      </w:r>
      <w:r>
        <w:rPr>
          <w:rFonts w:hint="eastAsia" w:ascii="宋体" w:hAnsi="宋体" w:cs="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3.服务交付（实施）的方式：</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 xml:space="preserve">        </w:t>
      </w:r>
      <w:r>
        <w:rPr>
          <w:rFonts w:hint="eastAsia" w:ascii="宋体" w:hAnsi="宋体"/>
          <w:b/>
          <w:i/>
          <w:sz w:val="24"/>
          <w:highlight w:val="none"/>
          <w:u w:val="single"/>
        </w:rPr>
        <w:t xml:space="preserve">  </w:t>
      </w:r>
      <w:r>
        <w:rPr>
          <w:rFonts w:hint="eastAsia" w:ascii="宋体" w:hAnsi="宋体"/>
          <w:sz w:val="24"/>
          <w:highlight w:val="none"/>
        </w:rPr>
        <w:t>。</w:t>
      </w:r>
    </w:p>
    <w:p>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pPr>
        <w:spacing w:line="360" w:lineRule="auto"/>
        <w:ind w:firstLine="480" w:firstLineChars="200"/>
        <w:outlineLvl w:val="0"/>
        <w:rPr>
          <w:rFonts w:ascii="宋体" w:hAnsi="宋体" w:cs="宋体"/>
          <w:sz w:val="24"/>
          <w:highlight w:val="none"/>
        </w:rPr>
      </w:pPr>
      <w:r>
        <w:rPr>
          <w:rFonts w:hint="eastAsia" w:ascii="宋体" w:hAnsi="宋体" w:cs="宋体"/>
          <w:sz w:val="24"/>
          <w:highlight w:val="none"/>
        </w:rPr>
        <w:t>1.根据甲方要求按时、按质、按量完成服务，履行合同义务。</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rPr>
        <w:t>2.乙方所供货物</w:t>
      </w:r>
      <w:r>
        <w:rPr>
          <w:rFonts w:hint="eastAsia" w:ascii="宋体" w:hAnsi="宋体" w:cs="宋体"/>
          <w:sz w:val="24"/>
          <w:highlight w:val="none"/>
          <w:lang w:val="en-US" w:eastAsia="zh-CN"/>
        </w:rPr>
        <w:t>或者服务</w:t>
      </w:r>
      <w:r>
        <w:rPr>
          <w:rFonts w:hint="eastAsia" w:ascii="宋体" w:hAnsi="宋体" w:cs="宋体"/>
          <w:sz w:val="24"/>
          <w:highlight w:val="none"/>
        </w:rPr>
        <w:t>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eastAsiaTheme="minorEastAsia"/>
          <w:sz w:val="24"/>
          <w:highlight w:val="none"/>
          <w:lang w:eastAsia="zh-CN"/>
        </w:rPr>
      </w:pPr>
      <w:r>
        <w:rPr>
          <w:rFonts w:hint="eastAsia" w:ascii="宋体" w:hAnsi="宋体" w:cs="宋体"/>
          <w:sz w:val="24"/>
          <w:highlight w:val="none"/>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r>
        <w:rPr>
          <w:rFonts w:hint="eastAsia" w:ascii="宋体" w:hAnsi="宋体" w:cs="宋体"/>
          <w:sz w:val="24"/>
          <w:highlight w:val="none"/>
          <w:lang w:eastAsia="zh-CN"/>
        </w:rPr>
        <w:t>；</w:t>
      </w:r>
    </w:p>
    <w:p>
      <w:pPr>
        <w:spacing w:line="360" w:lineRule="auto"/>
        <w:ind w:firstLine="480" w:firstLineChars="200"/>
        <w:outlineLvl w:val="0"/>
        <w:rPr>
          <w:rFonts w:hint="eastAsia" w:ascii="宋体" w:hAnsi="宋体" w:cs="宋体" w:eastAsiaTheme="minorEastAsia"/>
          <w:sz w:val="24"/>
          <w:highlight w:val="none"/>
          <w:lang w:eastAsia="zh-CN"/>
        </w:rPr>
      </w:pPr>
      <w:r>
        <w:rPr>
          <w:rFonts w:hint="eastAsia" w:ascii="宋体" w:hAnsi="宋体" w:cs="宋体"/>
          <w:sz w:val="24"/>
          <w:highlight w:val="none"/>
        </w:rPr>
        <w:t>4.甲方不再对任何售后服务进行付费，乙方的派遣人员产生的一切费用由供应商承担</w:t>
      </w:r>
      <w:r>
        <w:rPr>
          <w:rFonts w:hint="eastAsia" w:ascii="宋体" w:hAnsi="宋体" w:cs="宋体"/>
          <w:sz w:val="24"/>
          <w:highlight w:val="none"/>
          <w:lang w:eastAsia="zh-CN"/>
        </w:rPr>
        <w:t>；</w:t>
      </w:r>
    </w:p>
    <w:p>
      <w:pPr>
        <w:spacing w:line="360" w:lineRule="auto"/>
        <w:ind w:firstLine="480" w:firstLineChars="200"/>
        <w:outlineLvl w:val="0"/>
        <w:rPr>
          <w:rFonts w:hint="eastAsia" w:ascii="宋体" w:hAnsi="宋体" w:cs="宋体" w:eastAsiaTheme="minorEastAsia"/>
          <w:sz w:val="24"/>
          <w:highlight w:val="none"/>
          <w:lang w:eastAsia="zh-CN"/>
        </w:rPr>
      </w:pPr>
      <w:r>
        <w:rPr>
          <w:rFonts w:hint="eastAsia" w:ascii="宋体" w:hAnsi="宋体" w:cs="宋体"/>
          <w:sz w:val="24"/>
          <w:highlight w:val="none"/>
          <w:lang w:val="en-US" w:eastAsia="zh-CN"/>
        </w:rPr>
        <w:t>5</w:t>
      </w:r>
      <w:r>
        <w:rPr>
          <w:rFonts w:hint="eastAsia" w:ascii="宋体" w:hAnsi="宋体" w:cs="宋体"/>
          <w:sz w:val="24"/>
          <w:highlight w:val="none"/>
        </w:rPr>
        <w:t>.破碎机原有单片刀齿宽度62MM，所有磨损刀齿均需要进行补焊，补焊后的宽度为 61.5±0.1mm,刀尖和刀刃修补匹配对应模具刀齿缺口尺寸超过 3m</w:t>
      </w:r>
      <w:r>
        <w:rPr>
          <w:rFonts w:hint="eastAsia" w:ascii="宋体" w:hAnsi="宋体" w:cs="宋体"/>
          <w:sz w:val="24"/>
          <w:highlight w:val="none"/>
          <w:lang w:val="en-US" w:eastAsia="zh-CN"/>
        </w:rPr>
        <w:t>m</w:t>
      </w:r>
      <w:r>
        <w:rPr>
          <w:rFonts w:hint="eastAsia" w:ascii="宋体" w:hAnsi="宋体" w:cs="宋体"/>
          <w:sz w:val="24"/>
          <w:highlight w:val="none"/>
        </w:rPr>
        <w:t xml:space="preserve"> 以上需要使用结构焊丝对刀齿底部堆焊 2mm，剩余缺损部分使用耐磨焊丝进行堆焊，所有堆焊刀齿需要车床进行打加工</w:t>
      </w:r>
      <w:r>
        <w:rPr>
          <w:rFonts w:hint="eastAsia" w:ascii="宋体" w:hAnsi="宋体" w:cs="宋体"/>
          <w:sz w:val="24"/>
          <w:highlight w:val="none"/>
          <w:lang w:eastAsia="zh-CN"/>
        </w:rPr>
        <w:t>；</w:t>
      </w:r>
    </w:p>
    <w:p>
      <w:pPr>
        <w:spacing w:line="360" w:lineRule="auto"/>
        <w:ind w:firstLine="480" w:firstLineChars="200"/>
        <w:outlineLvl w:val="0"/>
        <w:rPr>
          <w:rFonts w:hint="eastAsia" w:ascii="宋体" w:hAnsi="宋体" w:cs="宋体" w:eastAsiaTheme="minorEastAsia"/>
          <w:sz w:val="24"/>
          <w:highlight w:val="none"/>
          <w:lang w:eastAsia="zh-CN"/>
        </w:rPr>
      </w:pPr>
      <w:r>
        <w:rPr>
          <w:rFonts w:hint="eastAsia" w:ascii="宋体" w:hAnsi="宋体" w:cs="宋体"/>
          <w:sz w:val="24"/>
          <w:highlight w:val="none"/>
          <w:lang w:val="en-US" w:eastAsia="zh-CN"/>
        </w:rPr>
        <w:t>6</w:t>
      </w:r>
      <w:r>
        <w:rPr>
          <w:rFonts w:hint="eastAsia" w:ascii="宋体" w:hAnsi="宋体" w:cs="宋体"/>
          <w:sz w:val="24"/>
          <w:highlight w:val="none"/>
        </w:rPr>
        <w:t>.根据现有磨损程度，动刀以及隔套修复至最初尺寸，厚度间隙3丝</w:t>
      </w:r>
      <w:r>
        <w:rPr>
          <w:rFonts w:hint="eastAsia" w:ascii="宋体" w:hAnsi="宋体" w:cs="宋体"/>
          <w:sz w:val="24"/>
          <w:highlight w:val="none"/>
          <w:lang w:eastAsia="zh-CN"/>
        </w:rPr>
        <w:t>；</w:t>
      </w:r>
    </w:p>
    <w:p>
      <w:pPr>
        <w:spacing w:line="360" w:lineRule="auto"/>
        <w:ind w:firstLine="480" w:firstLineChars="200"/>
        <w:outlineLvl w:val="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.修复后刀齿自验收合格后质保12个月。</w:t>
      </w:r>
    </w:p>
    <w:p>
      <w:pPr>
        <w:pStyle w:val="7"/>
        <w:numPr>
          <w:ilvl w:val="0"/>
          <w:numId w:val="0"/>
        </w:numPr>
        <w:ind w:firstLine="480" w:firstLineChars="200"/>
        <w:rPr>
          <w:rFonts w:hint="default" w:ascii="宋体" w:hAnsi="Arial" w:cs="Arial" w:eastAsiaTheme="minorEastAsia"/>
          <w:snapToGrid w:val="0"/>
          <w:color w:val="auto"/>
          <w:kern w:val="2"/>
          <w:sz w:val="24"/>
          <w:szCs w:val="21"/>
          <w:highlight w:val="none"/>
          <w:lang w:val="en-US" w:eastAsia="zh-CN" w:bidi="ar-SA"/>
        </w:rPr>
      </w:pPr>
      <w:bookmarkStart w:id="407" w:name="_Toc14563"/>
      <w:bookmarkStart w:id="408" w:name="_Toc1125"/>
      <w:bookmarkStart w:id="409" w:name="_Toc6596"/>
      <w:r>
        <w:rPr>
          <w:rFonts w:hint="eastAsia" w:cs="Arial"/>
          <w:snapToGrid w:val="0"/>
          <w:color w:val="auto"/>
          <w:kern w:val="2"/>
          <w:sz w:val="24"/>
          <w:szCs w:val="21"/>
          <w:highlight w:val="none"/>
          <w:lang w:val="en-US" w:eastAsia="zh-CN" w:bidi="ar-SA"/>
        </w:rPr>
        <w:t>8</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cs="Arial"/>
          <w:snapToGrid w:val="0"/>
          <w:color w:val="auto"/>
          <w:kern w:val="2"/>
          <w:sz w:val="24"/>
          <w:szCs w:val="21"/>
          <w:highlight w:val="none"/>
          <w:lang w:val="en-US" w:eastAsia="zh-CN" w:bidi="ar-SA"/>
        </w:rPr>
        <w:t>刀齿</w:t>
      </w:r>
      <w:r>
        <w:rPr>
          <w:rFonts w:hint="eastAsia" w:ascii="宋体"/>
          <w:color w:val="auto"/>
          <w:highlight w:val="none"/>
          <w:lang w:val="en-US" w:eastAsia="zh-CN"/>
        </w:rPr>
        <w:t>吊装设备搭设由</w:t>
      </w:r>
      <w:r>
        <w:rPr>
          <w:rFonts w:hint="eastAsia"/>
          <w:color w:val="auto"/>
          <w:highlight w:val="none"/>
          <w:lang w:val="en-US" w:eastAsia="zh-CN"/>
        </w:rPr>
        <w:t>乙方</w:t>
      </w:r>
      <w:r>
        <w:rPr>
          <w:rFonts w:hint="eastAsia" w:ascii="宋体"/>
          <w:color w:val="auto"/>
          <w:highlight w:val="none"/>
          <w:lang w:val="en-US" w:eastAsia="zh-CN"/>
        </w:rPr>
        <w:t>自行负责</w:t>
      </w:r>
      <w:r>
        <w:rPr>
          <w:rFonts w:hint="eastAsia"/>
          <w:color w:val="auto"/>
          <w:highlight w:val="none"/>
          <w:lang w:val="en-US" w:eastAsia="zh-CN"/>
        </w:rPr>
        <w:t>，需要</w:t>
      </w:r>
      <w:r>
        <w:rPr>
          <w:rFonts w:hint="eastAsia" w:ascii="宋体"/>
          <w:color w:val="auto"/>
          <w:highlight w:val="none"/>
          <w:lang w:val="en-US" w:eastAsia="zh-CN"/>
        </w:rPr>
        <w:t>自行携带吊装葫芦</w:t>
      </w:r>
      <w:r>
        <w:rPr>
          <w:rFonts w:hint="eastAsia"/>
          <w:color w:val="auto"/>
          <w:highlight w:val="none"/>
          <w:lang w:val="en-US" w:eastAsia="zh-CN"/>
        </w:rPr>
        <w:t>（不小于2个5吨手拉葫芦及</w:t>
      </w:r>
      <w:r>
        <w:rPr>
          <w:rFonts w:hint="eastAsia" w:ascii="宋体"/>
          <w:color w:val="auto"/>
          <w:highlight w:val="none"/>
          <w:lang w:val="en-US" w:eastAsia="zh-CN"/>
        </w:rPr>
        <w:t>搭建移动吊装架子</w:t>
      </w:r>
      <w:r>
        <w:rPr>
          <w:rFonts w:hint="eastAsia"/>
          <w:color w:val="auto"/>
          <w:highlight w:val="none"/>
          <w:lang w:val="en-US" w:eastAsia="zh-CN"/>
        </w:rPr>
        <w:t>等相关材料；乙方</w:t>
      </w:r>
      <w:r>
        <w:rPr>
          <w:rFonts w:hint="eastAsia" w:ascii="宋体"/>
          <w:color w:val="auto"/>
          <w:highlight w:val="none"/>
          <w:lang w:val="en-US" w:eastAsia="zh-CN"/>
        </w:rPr>
        <w:t>在收到</w:t>
      </w:r>
      <w:r>
        <w:rPr>
          <w:rFonts w:hint="eastAsia"/>
          <w:color w:val="auto"/>
          <w:highlight w:val="none"/>
          <w:lang w:val="en-US" w:eastAsia="zh-CN"/>
        </w:rPr>
        <w:t>甲方</w:t>
      </w:r>
      <w:r>
        <w:rPr>
          <w:rFonts w:hint="eastAsia" w:ascii="宋体"/>
          <w:color w:val="auto"/>
          <w:highlight w:val="none"/>
          <w:lang w:val="en-US" w:eastAsia="zh-CN"/>
        </w:rPr>
        <w:t>通知后必须到现场实地查看，确定拆装事宜。</w:t>
      </w:r>
    </w:p>
    <w:p>
      <w:pPr>
        <w:pStyle w:val="7"/>
        <w:numPr>
          <w:ilvl w:val="0"/>
          <w:numId w:val="0"/>
        </w:numPr>
        <w:ind w:firstLine="480" w:firstLineChars="200"/>
        <w:rPr>
          <w:rFonts w:hint="eastAsia" w:ascii="宋体"/>
          <w:color w:val="auto"/>
          <w:highlight w:val="none"/>
          <w:lang w:val="en-US" w:eastAsia="zh-CN"/>
        </w:rPr>
      </w:pPr>
      <w:r>
        <w:rPr>
          <w:rFonts w:hint="eastAsia" w:cs="Arial"/>
          <w:snapToGrid w:val="0"/>
          <w:color w:val="auto"/>
          <w:kern w:val="2"/>
          <w:sz w:val="24"/>
          <w:szCs w:val="21"/>
          <w:highlight w:val="none"/>
          <w:lang w:val="en-US" w:eastAsia="zh-CN" w:bidi="ar-SA"/>
        </w:rPr>
        <w:t>9</w:t>
      </w:r>
      <w:r>
        <w:rPr>
          <w:rFonts w:hint="eastAsia" w:ascii="宋体" w:cs="Arial"/>
          <w:snapToGrid w:val="0"/>
          <w:color w:val="auto"/>
          <w:kern w:val="2"/>
          <w:sz w:val="24"/>
          <w:szCs w:val="21"/>
          <w:highlight w:val="none"/>
          <w:lang w:val="en-US" w:eastAsia="zh-CN" w:bidi="ar-SA"/>
        </w:rPr>
        <w:t>.</w:t>
      </w:r>
      <w:r>
        <w:rPr>
          <w:rFonts w:hint="eastAsia" w:ascii="宋体"/>
          <w:color w:val="auto"/>
          <w:highlight w:val="none"/>
          <w:lang w:val="en-US" w:eastAsia="zh-CN"/>
        </w:rPr>
        <w:t>刀齿维修包括现场刀齿拆卸、吊装、运输、粗磨、堆焊、车床加工、精磨、现场复原吊装、安装以及运输等，所有刀齿维修所需的现场检修工器具及人工均由</w:t>
      </w:r>
      <w:r>
        <w:rPr>
          <w:rFonts w:hint="eastAsia"/>
          <w:color w:val="auto"/>
          <w:highlight w:val="none"/>
          <w:lang w:val="en-US" w:eastAsia="zh-CN"/>
        </w:rPr>
        <w:t>乙方</w:t>
      </w:r>
      <w:r>
        <w:rPr>
          <w:rFonts w:hint="eastAsia" w:ascii="宋体"/>
          <w:color w:val="auto"/>
          <w:highlight w:val="none"/>
          <w:lang w:val="en-US" w:eastAsia="zh-CN"/>
        </w:rPr>
        <w:t>负责；</w:t>
      </w:r>
      <w:r>
        <w:rPr>
          <w:rFonts w:hint="eastAsia"/>
          <w:color w:val="auto"/>
          <w:highlight w:val="none"/>
          <w:lang w:val="en-US" w:eastAsia="zh-CN"/>
        </w:rPr>
        <w:t>甲方</w:t>
      </w:r>
      <w:r>
        <w:rPr>
          <w:rFonts w:hint="eastAsia" w:ascii="宋体"/>
          <w:color w:val="auto"/>
          <w:highlight w:val="none"/>
          <w:lang w:val="en-US" w:eastAsia="zh-CN"/>
        </w:rPr>
        <w:t>只提供焊接所需焊丝及模具，模具及焊接剩余焊丝需要返还</w:t>
      </w:r>
      <w:r>
        <w:rPr>
          <w:rFonts w:hint="eastAsia"/>
          <w:color w:val="auto"/>
          <w:highlight w:val="none"/>
          <w:lang w:val="en-US" w:eastAsia="zh-CN"/>
        </w:rPr>
        <w:t>甲方</w:t>
      </w:r>
      <w:r>
        <w:rPr>
          <w:rFonts w:hint="eastAsia" w:ascii="宋体"/>
          <w:color w:val="auto"/>
          <w:highlight w:val="none"/>
          <w:lang w:val="en-US" w:eastAsia="zh-CN"/>
        </w:rPr>
        <w:t>；</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10.若乙方在拆装过程中造成了原来的设备或者备件损坏，由乙方负责恢复至完好状态，包括但不限于备件等。</w:t>
      </w:r>
    </w:p>
    <w:p>
      <w:pPr>
        <w:pStyle w:val="7"/>
        <w:numPr>
          <w:ilvl w:val="0"/>
          <w:numId w:val="0"/>
        </w:numPr>
        <w:ind w:firstLine="480" w:firstLineChars="200"/>
        <w:rPr>
          <w:rFonts w:hint="default"/>
          <w:highlight w:val="none"/>
          <w:lang w:val="en-US" w:eastAsia="zh-CN"/>
        </w:rPr>
      </w:pPr>
      <w:r>
        <w:rPr>
          <w:rFonts w:hint="eastAsia"/>
          <w:color w:val="auto"/>
          <w:highlight w:val="none"/>
          <w:lang w:val="en-US" w:eastAsia="zh-CN"/>
        </w:rPr>
        <w:t>11</w:t>
      </w:r>
      <w:r>
        <w:rPr>
          <w:rFonts w:hint="eastAsia" w:ascii="宋体"/>
          <w:color w:val="auto"/>
          <w:highlight w:val="none"/>
          <w:lang w:val="en-US" w:eastAsia="zh-CN"/>
        </w:rPr>
        <w:t>.</w:t>
      </w:r>
      <w:r>
        <w:rPr>
          <w:rFonts w:hint="eastAsia"/>
          <w:color w:val="auto"/>
          <w:highlight w:val="none"/>
          <w:lang w:val="en-US" w:eastAsia="zh-CN"/>
        </w:rPr>
        <w:t>修复工期不超过30天，以离开甲方厂区时间开始计算，至修复完成后运回甲方厂区时间为止。</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pPr>
        <w:pStyle w:val="7"/>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pPr>
        <w:tabs>
          <w:tab w:val="left" w:pos="360"/>
          <w:tab w:val="left" w:pos="540"/>
          <w:tab w:val="left" w:pos="1080"/>
        </w:tabs>
        <w:spacing w:line="360" w:lineRule="auto"/>
        <w:ind w:firstLine="480" w:firstLineChars="200"/>
        <w:rPr>
          <w:rFonts w:hint="eastAsia" w:ascii="宋体" w:hAnsi="宋体" w:cs="宋体"/>
          <w:sz w:val="24"/>
          <w:highlight w:val="none"/>
          <w:u w:val="single"/>
        </w:rPr>
      </w:pPr>
      <w:r>
        <w:rPr>
          <w:rFonts w:ascii="宋体" w:hAnsi="宋体" w:cs="宋体"/>
          <w:sz w:val="24"/>
          <w:highlight w:val="none"/>
        </w:rPr>
        <w:t>1.</w:t>
      </w:r>
      <w:r>
        <w:rPr>
          <w:rFonts w:hint="eastAsia" w:ascii="宋体" w:hAnsi="宋体" w:cs="宋体"/>
          <w:sz w:val="24"/>
          <w:highlight w:val="none"/>
          <w:u w:val="single"/>
          <w:lang w:val="en-US" w:eastAsia="zh-CN"/>
        </w:rPr>
        <w:t xml:space="preserve">  完成修复、安装调试合格</w:t>
      </w:r>
      <w:r>
        <w:rPr>
          <w:rFonts w:hint="eastAsia" w:ascii="宋体" w:hAnsi="宋体" w:cs="宋体"/>
          <w:sz w:val="24"/>
          <w:highlight w:val="none"/>
          <w:u w:val="single"/>
        </w:rPr>
        <w:t>。</w:t>
      </w:r>
    </w:p>
    <w:p>
      <w:pPr>
        <w:pStyle w:val="24"/>
        <w:spacing w:before="0" w:beforeAutospacing="0" w:after="0" w:afterAutospacing="0" w:line="360" w:lineRule="auto"/>
        <w:ind w:firstLine="480"/>
        <w:rPr>
          <w:b/>
          <w:highlight w:val="none"/>
        </w:rPr>
      </w:pPr>
      <w:r>
        <w:rPr>
          <w:rFonts w:hint="eastAsia"/>
          <w:b/>
          <w:highlight w:val="none"/>
        </w:rPr>
        <w:t>七、履约保证金</w:t>
      </w:r>
    </w:p>
    <w:p>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5</w:t>
      </w:r>
      <w:r>
        <w:rPr>
          <w:rFonts w:hint="eastAsia" w:ascii="宋体" w:hAnsi="宋体" w:cs="宋体"/>
          <w:b/>
          <w:bCs/>
          <w:i/>
          <w:iCs/>
          <w:kern w:val="0"/>
          <w:sz w:val="24"/>
          <w:highlight w:val="none"/>
          <w:u w:val="single"/>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5.甲方在验收结束后及时退还履约保证金。甲方在项目通过验收之日起 30个工作日内将履约保证金无息退还乙方。</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b/>
          <w:bCs/>
          <w:highlight w:val="none"/>
        </w:rPr>
      </w:pPr>
      <w:r>
        <w:rPr>
          <w:rFonts w:hint="eastAsia"/>
          <w:b/>
          <w:bCs/>
          <w:highlight w:val="none"/>
        </w:rPr>
        <w:t>九、资金支付</w:t>
      </w:r>
    </w:p>
    <w:p>
      <w:pPr>
        <w:pStyle w:val="24"/>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刀齿自验收合格后12个月</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 xml:space="preserve"> 5</w:t>
      </w:r>
      <w:r>
        <w:rPr>
          <w:rFonts w:hint="eastAsia"/>
          <w:highlight w:val="none"/>
          <w:u w:val="single"/>
        </w:rPr>
        <w:t xml:space="preserve"> </w:t>
      </w:r>
      <w:r>
        <w:rPr>
          <w:rFonts w:hint="eastAsia"/>
          <w:highlight w:val="none"/>
        </w:rPr>
        <w:t>%；</w:t>
      </w:r>
    </w:p>
    <w:p>
      <w:pPr>
        <w:pStyle w:val="24"/>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lang w:val="en-US" w:eastAsia="zh-CN"/>
        </w:rPr>
        <w:t>确定质保期结束无质量等遗留问题后，无息支付</w:t>
      </w:r>
      <w:r>
        <w:rPr>
          <w:rFonts w:hint="eastAsia"/>
          <w:highlight w:val="none"/>
        </w:rPr>
        <w:t>。</w:t>
      </w:r>
    </w:p>
    <w:p>
      <w:pPr>
        <w:pStyle w:val="24"/>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 xml:space="preserve"> （3）</w:t>
      </w:r>
      <w:r>
        <w:rPr>
          <w:rFonts w:hint="eastAsia"/>
          <w:highlight w:val="none"/>
          <w:u w:val="single"/>
        </w:rPr>
        <w:t xml:space="preserve"> </w:t>
      </w:r>
      <w:r>
        <w:rPr>
          <w:rFonts w:hint="eastAsia"/>
          <w:highlight w:val="none"/>
        </w:rPr>
        <w:t>条款规定：</w:t>
      </w:r>
    </w:p>
    <w:p>
      <w:pPr>
        <w:pStyle w:val="24"/>
        <w:spacing w:before="0" w:beforeAutospacing="0" w:after="0" w:afterAutospacing="0" w:line="360" w:lineRule="auto"/>
        <w:ind w:firstLine="480"/>
        <w:rPr>
          <w:rFonts w:hint="eastAsia"/>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pPr>
        <w:pStyle w:val="24"/>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u w:val="single"/>
          <w:lang w:val="en-US" w:eastAsia="zh-CN"/>
        </w:rPr>
        <w:t>合同金额的95%，余款5%在质保期结束后无息支付</w:t>
      </w:r>
      <w:r>
        <w:rPr>
          <w:rFonts w:hint="eastAsia"/>
          <w:highlight w:val="none"/>
          <w:u w:val="single"/>
        </w:rPr>
        <w:t>。</w:t>
      </w:r>
      <w:r>
        <w:rPr>
          <w:rFonts w:hint="eastAsia"/>
          <w:highlight w:val="none"/>
        </w:rPr>
        <w:t xml:space="preserve">     </w:t>
      </w:r>
    </w:p>
    <w:p>
      <w:pPr>
        <w:pStyle w:val="24"/>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其他付款方式：</w:t>
      </w:r>
      <w:r>
        <w:rPr>
          <w:rFonts w:hint="eastAsia"/>
          <w:highlight w:val="none"/>
          <w:u w:val="single"/>
          <w:lang w:val="en-US" w:eastAsia="zh-CN"/>
        </w:rPr>
        <w:t>/</w:t>
      </w:r>
      <w:r>
        <w:rPr>
          <w:rFonts w:hint="eastAsia"/>
          <w:highlight w:val="none"/>
          <w:u w:val="single"/>
        </w:rPr>
        <w:t xml:space="preserve">         </w:t>
      </w:r>
      <w:r>
        <w:rPr>
          <w:rFonts w:hint="eastAsia"/>
          <w:highlight w:val="none"/>
        </w:rPr>
        <w:t>。</w:t>
      </w:r>
    </w:p>
    <w:p>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402"/>
      <w:bookmarkEnd w:id="403"/>
      <w:bookmarkEnd w:id="404"/>
      <w:bookmarkEnd w:id="405"/>
      <w:bookmarkEnd w:id="406"/>
      <w:bookmarkStart w:id="410" w:name="_Toc8586"/>
      <w:bookmarkStart w:id="411" w:name="_Toc3079"/>
      <w:bookmarkStart w:id="412" w:name="_Toc5698"/>
      <w:bookmarkStart w:id="413" w:name="_Toc2375"/>
      <w:bookmarkStart w:id="414" w:name="_Toc24662"/>
      <w:r>
        <w:rPr>
          <w:rFonts w:hint="eastAsia" w:ascii="宋体" w:hAnsi="宋体"/>
          <w:b/>
          <w:sz w:val="24"/>
          <w:highlight w:val="none"/>
        </w:rPr>
        <w:t>违约责任</w:t>
      </w:r>
      <w:bookmarkEnd w:id="410"/>
      <w:bookmarkEnd w:id="411"/>
      <w:bookmarkEnd w:id="412"/>
      <w:bookmarkEnd w:id="413"/>
      <w:bookmarkEnd w:id="414"/>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rPr>
        <w:t>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5" w:name="_Toc30329"/>
      <w:bookmarkStart w:id="416" w:name="_Toc9497"/>
      <w:bookmarkStart w:id="417" w:name="_Toc32454"/>
      <w:bookmarkStart w:id="418" w:name="_Toc18683"/>
      <w:bookmarkStart w:id="419" w:name="_Toc26807"/>
      <w:r>
        <w:rPr>
          <w:rFonts w:hint="eastAsia" w:ascii="宋体" w:hAnsi="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highlight w:val="none"/>
        </w:rPr>
      </w:pPr>
      <w:bookmarkStart w:id="420" w:name="_Toc15583"/>
      <w:bookmarkStart w:id="421" w:name="_Toc16021"/>
      <w:bookmarkStart w:id="422" w:name="_Toc28375"/>
      <w:r>
        <w:rPr>
          <w:rFonts w:hint="eastAsia" w:ascii="宋体" w:hAnsi="宋体" w:cs="宋体"/>
          <w:b/>
          <w:sz w:val="24"/>
          <w:highlight w:val="none"/>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甲方所在地人</w:t>
      </w:r>
      <w:r>
        <w:rPr>
          <w:rFonts w:hint="eastAsia" w:ascii="宋体" w:hAnsi="宋体" w:cs="宋体"/>
          <w:sz w:val="24"/>
          <w:highlight w:val="none"/>
        </w:rPr>
        <w:t>民法院起诉。</w:t>
      </w:r>
    </w:p>
    <w:p>
      <w:pPr>
        <w:spacing w:line="360" w:lineRule="auto"/>
        <w:ind w:firstLine="482" w:firstLineChars="200"/>
        <w:outlineLvl w:val="0"/>
        <w:rPr>
          <w:rFonts w:ascii="宋体" w:hAnsi="宋体" w:cs="宋体"/>
          <w:b/>
          <w:sz w:val="24"/>
          <w:highlight w:val="none"/>
        </w:rPr>
      </w:pPr>
      <w:bookmarkStart w:id="423" w:name="_Toc7245"/>
      <w:bookmarkStart w:id="424" w:name="_Toc15322"/>
      <w:bookmarkStart w:id="425" w:name="_Toc11173"/>
      <w:r>
        <w:rPr>
          <w:rFonts w:hint="eastAsia" w:ascii="宋体" w:hAnsi="宋体" w:cs="宋体"/>
          <w:b/>
          <w:sz w:val="24"/>
          <w:highlight w:val="none"/>
        </w:rPr>
        <w:t>十二、合同生效</w:t>
      </w:r>
      <w:bookmarkEnd w:id="423"/>
      <w:bookmarkEnd w:id="424"/>
      <w:bookmarkEnd w:id="425"/>
    </w:p>
    <w:p>
      <w:pPr>
        <w:pStyle w:val="23"/>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pPr>
        <w:spacing w:line="360" w:lineRule="auto"/>
        <w:ind w:firstLine="480" w:firstLineChars="200"/>
        <w:rPr>
          <w:rFonts w:hint="eastAsia" w:ascii="宋体" w:hAnsi="宋体" w:cs="宋体"/>
          <w:sz w:val="24"/>
          <w:highlight w:val="none"/>
        </w:rPr>
      </w:pPr>
    </w:p>
    <w:p>
      <w:pPr>
        <w:pStyle w:val="23"/>
        <w:ind w:left="0" w:leftChars="0" w:firstLine="0" w:firstLineChars="0"/>
        <w:jc w:val="center"/>
        <w:rPr>
          <w:rFonts w:hint="eastAsia" w:ascii="宋体" w:hAnsi="宋体"/>
          <w:b/>
          <w:szCs w:val="24"/>
          <w:highlight w:val="none"/>
        </w:rPr>
      </w:pPr>
    </w:p>
    <w:p>
      <w:pPr>
        <w:pStyle w:val="23"/>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pPr>
        <w:spacing w:line="360" w:lineRule="auto"/>
        <w:ind w:firstLine="482" w:firstLineChars="200"/>
        <w:outlineLvl w:val="0"/>
        <w:rPr>
          <w:rFonts w:ascii="宋体" w:hAnsi="宋体"/>
          <w:b/>
          <w:sz w:val="24"/>
          <w:highlight w:val="none"/>
        </w:rPr>
      </w:pPr>
      <w:bookmarkStart w:id="426" w:name="_Toc25079"/>
      <w:bookmarkStart w:id="427" w:name="_Toc5228"/>
      <w:bookmarkStart w:id="428" w:name="_Toc14021"/>
      <w:bookmarkStart w:id="429" w:name="_Toc19680"/>
      <w:bookmarkStart w:id="430" w:name="_Toc31297"/>
      <w:r>
        <w:rPr>
          <w:rFonts w:hint="eastAsia" w:ascii="宋体" w:hAnsi="宋体"/>
          <w:b/>
          <w:sz w:val="24"/>
          <w:highlight w:val="none"/>
        </w:rPr>
        <w:t>一、</w:t>
      </w:r>
      <w:r>
        <w:rPr>
          <w:rFonts w:ascii="宋体" w:hAnsi="宋体"/>
          <w:b/>
          <w:sz w:val="24"/>
          <w:highlight w:val="none"/>
        </w:rPr>
        <w:t>定义</w:t>
      </w:r>
      <w:bookmarkEnd w:id="426"/>
      <w:bookmarkEnd w:id="427"/>
      <w:bookmarkEnd w:id="428"/>
      <w:bookmarkEnd w:id="429"/>
      <w:bookmarkEnd w:id="430"/>
    </w:p>
    <w:p>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pPr>
        <w:spacing w:line="360" w:lineRule="auto"/>
        <w:ind w:firstLine="482" w:firstLineChars="200"/>
        <w:outlineLvl w:val="0"/>
        <w:rPr>
          <w:rFonts w:ascii="宋体" w:hAnsi="宋体"/>
          <w:b/>
          <w:sz w:val="24"/>
          <w:highlight w:val="none"/>
        </w:rPr>
      </w:pPr>
      <w:bookmarkStart w:id="431" w:name="_Toc19539"/>
      <w:bookmarkStart w:id="432" w:name="_Toc3769"/>
      <w:bookmarkStart w:id="433" w:name="_Toc16752"/>
      <w:bookmarkStart w:id="434" w:name="_Toc31402"/>
      <w:bookmarkStart w:id="435" w:name="_Toc23289"/>
      <w:r>
        <w:rPr>
          <w:rFonts w:hint="eastAsia" w:ascii="宋体" w:hAnsi="宋体"/>
          <w:b/>
          <w:sz w:val="24"/>
          <w:highlight w:val="none"/>
        </w:rPr>
        <w:t>二、</w:t>
      </w:r>
      <w:r>
        <w:rPr>
          <w:rFonts w:ascii="宋体" w:hAnsi="宋体"/>
          <w:b/>
          <w:sz w:val="24"/>
          <w:highlight w:val="none"/>
        </w:rPr>
        <w:t xml:space="preserve"> 技术规范</w:t>
      </w:r>
      <w:bookmarkEnd w:id="431"/>
      <w:bookmarkEnd w:id="432"/>
      <w:bookmarkEnd w:id="433"/>
      <w:bookmarkEnd w:id="434"/>
      <w:bookmarkEnd w:id="435"/>
    </w:p>
    <w:p>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ascii="宋体" w:hAnsi="宋体"/>
          <w:sz w:val="24"/>
          <w:highlight w:val="none"/>
          <w:u w:val="single"/>
        </w:rPr>
        <w:t>(</w:t>
      </w:r>
      <w:r>
        <w:rPr>
          <w:rFonts w:ascii="宋体" w:hAnsi="宋体"/>
          <w:b/>
          <w:bCs/>
          <w:sz w:val="24"/>
          <w:highlight w:val="none"/>
          <w:u w:val="single"/>
        </w:rPr>
        <w:t>如果有的话</w:t>
      </w:r>
      <w:r>
        <w:rPr>
          <w:rFonts w:ascii="宋体" w:hAnsi="宋体"/>
          <w:sz w:val="24"/>
          <w:highlight w:val="none"/>
          <w:u w:val="single"/>
        </w:rPr>
        <w:t>)</w:t>
      </w:r>
      <w:r>
        <w:rPr>
          <w:rFonts w:ascii="宋体" w:hAnsi="宋体"/>
          <w:sz w:val="24"/>
          <w:highlight w:val="none"/>
        </w:rPr>
        <w:t>及其技术规范偏差表</w:t>
      </w:r>
      <w:r>
        <w:rPr>
          <w:rFonts w:ascii="宋体" w:hAnsi="宋体"/>
          <w:b/>
          <w:bCs/>
          <w:sz w:val="24"/>
          <w:highlight w:val="none"/>
          <w:u w:val="single"/>
        </w:rPr>
        <w:t>(如果被甲方接受的话)</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pPr>
        <w:spacing w:line="360" w:lineRule="auto"/>
        <w:ind w:firstLine="482" w:firstLineChars="200"/>
        <w:outlineLvl w:val="0"/>
        <w:rPr>
          <w:rFonts w:ascii="宋体" w:hAnsi="宋体"/>
          <w:b/>
          <w:sz w:val="24"/>
          <w:highlight w:val="none"/>
        </w:rPr>
      </w:pPr>
      <w:bookmarkStart w:id="436" w:name="_Toc9161"/>
      <w:bookmarkStart w:id="437" w:name="_Toc27945"/>
      <w:bookmarkStart w:id="438" w:name="_Toc4133"/>
      <w:bookmarkStart w:id="439" w:name="_Toc13673"/>
      <w:bookmarkStart w:id="440" w:name="_Toc12412"/>
      <w:r>
        <w:rPr>
          <w:rFonts w:hint="eastAsia" w:ascii="宋体" w:hAnsi="宋体"/>
          <w:b/>
          <w:sz w:val="24"/>
          <w:highlight w:val="none"/>
        </w:rPr>
        <w:t>三、</w:t>
      </w:r>
      <w:r>
        <w:rPr>
          <w:rFonts w:ascii="宋体" w:hAnsi="宋体"/>
          <w:b/>
          <w:sz w:val="24"/>
          <w:highlight w:val="none"/>
        </w:rPr>
        <w:t xml:space="preserve"> 知识产权</w:t>
      </w:r>
      <w:bookmarkEnd w:id="436"/>
      <w:bookmarkEnd w:id="437"/>
      <w:bookmarkEnd w:id="438"/>
      <w:bookmarkEnd w:id="439"/>
      <w:bookmarkEnd w:id="44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highlight w:val="none"/>
        </w:rPr>
      </w:pPr>
      <w:bookmarkStart w:id="441" w:name="_Toc26555"/>
      <w:bookmarkStart w:id="442" w:name="_Toc31233"/>
      <w:bookmarkStart w:id="443" w:name="_Toc15447"/>
      <w:bookmarkStart w:id="444" w:name="_Toc32670"/>
      <w:bookmarkStart w:id="445" w:name="_Toc22011"/>
      <w:r>
        <w:rPr>
          <w:rFonts w:hint="eastAsia" w:ascii="宋体" w:hAnsi="宋体"/>
          <w:b/>
          <w:sz w:val="24"/>
          <w:highlight w:val="none"/>
        </w:rPr>
        <w:t>五、</w:t>
      </w:r>
      <w:r>
        <w:rPr>
          <w:rFonts w:ascii="宋体" w:hAnsi="宋体"/>
          <w:b/>
          <w:sz w:val="24"/>
          <w:highlight w:val="none"/>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highlight w:val="none"/>
        </w:rPr>
      </w:pPr>
      <w:bookmarkStart w:id="446" w:name="_Toc18990"/>
      <w:bookmarkStart w:id="447" w:name="_Toc16163"/>
      <w:bookmarkStart w:id="448" w:name="_Toc13154"/>
      <w:bookmarkStart w:id="449" w:name="_Toc13467"/>
      <w:bookmarkStart w:id="450" w:name="_Toc30507"/>
      <w:r>
        <w:rPr>
          <w:rFonts w:hint="eastAsia" w:ascii="宋体" w:hAnsi="宋体"/>
          <w:bCs/>
          <w:sz w:val="24"/>
          <w:highlight w:val="none"/>
        </w:rPr>
        <w:t>1.结算方式为转账或者电汇 ，若甲方采用银行承兑支付，双方另行协商；</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6"/>
      <w:bookmarkEnd w:id="447"/>
      <w:bookmarkEnd w:id="448"/>
      <w:bookmarkEnd w:id="449"/>
      <w:bookmarkEnd w:id="45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highlight w:val="none"/>
        </w:rPr>
      </w:pPr>
      <w:bookmarkStart w:id="451" w:name="_Toc19069"/>
      <w:r>
        <w:rPr>
          <w:rFonts w:hint="eastAsia" w:ascii="宋体" w:hAnsi="宋体"/>
          <w:b/>
          <w:sz w:val="24"/>
          <w:highlight w:val="none"/>
        </w:rPr>
        <w:t>七、质量保证</w:t>
      </w:r>
      <w:bookmarkEnd w:id="451"/>
    </w:p>
    <w:p>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highlight w:val="none"/>
        </w:rPr>
      </w:pPr>
      <w:bookmarkStart w:id="452"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52"/>
    </w:p>
    <w:p>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pPr>
        <w:spacing w:line="360" w:lineRule="auto"/>
        <w:ind w:firstLine="482" w:firstLineChars="200"/>
        <w:outlineLvl w:val="0"/>
        <w:rPr>
          <w:rFonts w:ascii="宋体" w:hAnsi="宋体"/>
          <w:b/>
          <w:sz w:val="24"/>
          <w:highlight w:val="none"/>
        </w:rPr>
      </w:pPr>
      <w:bookmarkStart w:id="453" w:name="_Toc10611"/>
      <w:r>
        <w:rPr>
          <w:rFonts w:hint="eastAsia" w:ascii="宋体" w:hAnsi="宋体"/>
          <w:b/>
          <w:sz w:val="24"/>
          <w:highlight w:val="none"/>
        </w:rPr>
        <w:t>九、合同变更</w:t>
      </w:r>
      <w:bookmarkEnd w:id="453"/>
      <w:r>
        <w:rPr>
          <w:rFonts w:hint="eastAsia" w:ascii="宋体" w:hAnsi="宋体" w:cs="宋体"/>
          <w:b/>
          <w:sz w:val="24"/>
          <w:highlight w:val="none"/>
        </w:rPr>
        <w:t>或补充</w:t>
      </w:r>
    </w:p>
    <w:p>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highlight w:val="none"/>
        </w:rPr>
      </w:pPr>
      <w:bookmarkStart w:id="454" w:name="_Toc21830"/>
      <w:bookmarkStart w:id="455" w:name="_Toc23368"/>
      <w:bookmarkStart w:id="456" w:name="_Toc42"/>
      <w:bookmarkStart w:id="457" w:name="_Toc10663"/>
      <w:bookmarkStart w:id="458" w:name="_Toc26689"/>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54"/>
      <w:bookmarkEnd w:id="455"/>
      <w:bookmarkEnd w:id="456"/>
      <w:bookmarkEnd w:id="457"/>
      <w:bookmarkEnd w:id="458"/>
    </w:p>
    <w:p>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pPr>
        <w:spacing w:line="360" w:lineRule="auto"/>
        <w:ind w:firstLine="482" w:firstLineChars="200"/>
        <w:outlineLvl w:val="0"/>
        <w:rPr>
          <w:rFonts w:ascii="宋体" w:hAnsi="宋体"/>
          <w:b/>
          <w:sz w:val="24"/>
          <w:highlight w:val="none"/>
        </w:rPr>
      </w:pPr>
      <w:bookmarkStart w:id="459" w:name="_Toc25571"/>
      <w:bookmarkStart w:id="460" w:name="_Toc4720"/>
      <w:bookmarkStart w:id="461" w:name="_Toc14371"/>
      <w:bookmarkStart w:id="462" w:name="_Toc32494"/>
      <w:bookmarkStart w:id="463" w:name="_Toc26633"/>
      <w:r>
        <w:rPr>
          <w:rFonts w:hint="eastAsia" w:ascii="宋体" w:hAnsi="宋体"/>
          <w:b/>
          <w:sz w:val="24"/>
          <w:highlight w:val="none"/>
        </w:rPr>
        <w:t>十一、</w:t>
      </w:r>
      <w:r>
        <w:rPr>
          <w:rFonts w:ascii="宋体" w:hAnsi="宋体"/>
          <w:b/>
          <w:sz w:val="24"/>
          <w:highlight w:val="none"/>
        </w:rPr>
        <w:t>不可抗力</w:t>
      </w:r>
      <w:bookmarkEnd w:id="459"/>
      <w:bookmarkEnd w:id="460"/>
      <w:bookmarkEnd w:id="461"/>
      <w:bookmarkEnd w:id="462"/>
      <w:bookmarkEnd w:id="463"/>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b/>
          <w:sz w:val="24"/>
          <w:highlight w:val="none"/>
        </w:rPr>
      </w:pPr>
      <w:bookmarkStart w:id="464" w:name="_Toc14115"/>
      <w:bookmarkStart w:id="465" w:name="_Toc23854"/>
      <w:bookmarkStart w:id="466" w:name="_Toc3638"/>
      <w:bookmarkStart w:id="467" w:name="_Toc24465"/>
      <w:bookmarkStart w:id="468" w:name="_Toc25783"/>
      <w:r>
        <w:rPr>
          <w:rFonts w:hint="eastAsia" w:ascii="宋体" w:hAnsi="宋体"/>
          <w:b/>
          <w:sz w:val="24"/>
          <w:highlight w:val="none"/>
        </w:rPr>
        <w:t>十二、</w:t>
      </w:r>
      <w:r>
        <w:rPr>
          <w:rFonts w:ascii="宋体" w:hAnsi="宋体"/>
          <w:b/>
          <w:sz w:val="24"/>
          <w:highlight w:val="none"/>
        </w:rPr>
        <w:t>税费</w:t>
      </w:r>
      <w:bookmarkEnd w:id="464"/>
      <w:bookmarkEnd w:id="465"/>
      <w:bookmarkEnd w:id="466"/>
      <w:bookmarkEnd w:id="467"/>
      <w:bookmarkEnd w:id="468"/>
    </w:p>
    <w:p>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pPr>
        <w:spacing w:line="360" w:lineRule="auto"/>
        <w:ind w:firstLine="482" w:firstLineChars="200"/>
        <w:outlineLvl w:val="0"/>
        <w:rPr>
          <w:rFonts w:ascii="宋体" w:hAnsi="宋体"/>
          <w:b/>
          <w:sz w:val="24"/>
          <w:highlight w:val="none"/>
        </w:rPr>
      </w:pPr>
      <w:bookmarkStart w:id="469" w:name="_Toc7315"/>
      <w:bookmarkStart w:id="470" w:name="_Toc26883"/>
      <w:bookmarkStart w:id="471" w:name="_Toc14814"/>
      <w:bookmarkStart w:id="472" w:name="_Toc25525"/>
      <w:bookmarkStart w:id="473" w:name="_Toc30105"/>
      <w:r>
        <w:rPr>
          <w:rFonts w:hint="eastAsia" w:ascii="宋体" w:hAnsi="宋体"/>
          <w:b/>
          <w:sz w:val="24"/>
          <w:highlight w:val="none"/>
        </w:rPr>
        <w:t>十三、</w:t>
      </w:r>
      <w:r>
        <w:rPr>
          <w:rFonts w:ascii="宋体" w:hAnsi="宋体"/>
          <w:b/>
          <w:sz w:val="24"/>
          <w:highlight w:val="none"/>
        </w:rPr>
        <w:t>乙方破产</w:t>
      </w:r>
      <w:bookmarkEnd w:id="469"/>
      <w:bookmarkEnd w:id="470"/>
      <w:bookmarkEnd w:id="471"/>
      <w:bookmarkEnd w:id="472"/>
      <w:bookmarkEnd w:id="473"/>
    </w:p>
    <w:p>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bookmarkStart w:id="474" w:name="_Toc1123"/>
      <w:bookmarkStart w:id="475" w:name="_Toc2016"/>
      <w:bookmarkStart w:id="476" w:name="_Toc23323"/>
      <w:r>
        <w:rPr>
          <w:rFonts w:hint="eastAsia" w:ascii="宋体" w:hAnsi="宋体"/>
          <w:b/>
          <w:sz w:val="24"/>
          <w:highlight w:val="none"/>
        </w:rPr>
        <w:t>十四、</w:t>
      </w:r>
      <w:r>
        <w:rPr>
          <w:rFonts w:ascii="宋体" w:hAnsi="宋体"/>
          <w:b/>
          <w:sz w:val="24"/>
          <w:highlight w:val="none"/>
        </w:rPr>
        <w:t>合同中止、终止</w:t>
      </w:r>
      <w:bookmarkEnd w:id="474"/>
      <w:bookmarkEnd w:id="475"/>
      <w:bookmarkEnd w:id="476"/>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pPr>
        <w:spacing w:line="360" w:lineRule="auto"/>
        <w:ind w:firstLine="482" w:firstLineChars="200"/>
        <w:outlineLvl w:val="0"/>
        <w:rPr>
          <w:rFonts w:ascii="宋体" w:hAnsi="宋体"/>
          <w:b/>
          <w:sz w:val="24"/>
          <w:highlight w:val="none"/>
        </w:rPr>
      </w:pPr>
      <w:bookmarkStart w:id="477" w:name="_Toc1969"/>
      <w:bookmarkStart w:id="478" w:name="_Toc17363"/>
      <w:bookmarkStart w:id="479" w:name="_Toc14525"/>
      <w:r>
        <w:rPr>
          <w:rFonts w:hint="eastAsia" w:ascii="宋体" w:hAnsi="宋体"/>
          <w:b/>
          <w:sz w:val="24"/>
          <w:highlight w:val="none"/>
        </w:rPr>
        <w:t>十五</w:t>
      </w:r>
      <w:bookmarkEnd w:id="477"/>
      <w:bookmarkEnd w:id="478"/>
      <w:bookmarkEnd w:id="479"/>
      <w:bookmarkStart w:id="480" w:name="_Toc12666"/>
      <w:bookmarkStart w:id="481" w:name="_Toc2308"/>
      <w:bookmarkStart w:id="482" w:name="_Toc25198"/>
      <w:bookmarkStart w:id="483" w:name="_Toc9808"/>
      <w:bookmarkStart w:id="484" w:name="_Toc31892"/>
      <w:r>
        <w:rPr>
          <w:rFonts w:hint="eastAsia" w:ascii="宋体" w:hAnsi="宋体"/>
          <w:b/>
          <w:sz w:val="24"/>
          <w:highlight w:val="none"/>
        </w:rPr>
        <w:t>、</w:t>
      </w:r>
      <w:r>
        <w:rPr>
          <w:rFonts w:ascii="宋体" w:hAnsi="宋体"/>
          <w:b/>
          <w:sz w:val="24"/>
          <w:highlight w:val="none"/>
        </w:rPr>
        <w:t>通知和送达</w:t>
      </w:r>
      <w:bookmarkEnd w:id="480"/>
      <w:bookmarkEnd w:id="481"/>
      <w:bookmarkEnd w:id="482"/>
      <w:bookmarkEnd w:id="483"/>
      <w:bookmarkEnd w:id="484"/>
    </w:p>
    <w:p>
      <w:pPr>
        <w:spacing w:line="360" w:lineRule="auto"/>
        <w:ind w:firstLine="480" w:firstLineChars="200"/>
        <w:rPr>
          <w:rFonts w:ascii="宋体" w:hAnsi="宋体"/>
          <w:sz w:val="24"/>
          <w:highlight w:val="none"/>
        </w:rPr>
      </w:pPr>
      <w:bookmarkStart w:id="485" w:name="_Toc18401"/>
      <w:bookmarkStart w:id="486" w:name="_Toc27674"/>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5"/>
      <w:bookmarkEnd w:id="486"/>
    </w:p>
    <w:p>
      <w:pPr>
        <w:spacing w:line="360" w:lineRule="auto"/>
        <w:ind w:firstLine="482" w:firstLineChars="200"/>
        <w:outlineLvl w:val="0"/>
        <w:rPr>
          <w:rFonts w:ascii="宋体" w:hAnsi="宋体" w:cs="宋体"/>
          <w:b/>
          <w:sz w:val="24"/>
          <w:highlight w:val="none"/>
        </w:rPr>
      </w:pPr>
      <w:bookmarkStart w:id="487" w:name="_Toc18540"/>
      <w:bookmarkStart w:id="488" w:name="_Toc30599"/>
      <w:bookmarkStart w:id="489" w:name="_Toc4355"/>
      <w:bookmarkStart w:id="490" w:name="_Toc27644"/>
      <w:bookmarkStart w:id="491" w:name="_Toc5063"/>
      <w:bookmarkStart w:id="492" w:name="_Toc28906"/>
      <w:bookmarkStart w:id="493" w:name="_Toc20808"/>
      <w:bookmarkStart w:id="494" w:name="_Toc12254"/>
      <w:r>
        <w:rPr>
          <w:rFonts w:hint="eastAsia" w:ascii="宋体" w:hAnsi="宋体" w:cs="宋体"/>
          <w:b/>
          <w:sz w:val="24"/>
          <w:highlight w:val="none"/>
        </w:rPr>
        <w:t>十六、计量单位</w:t>
      </w:r>
      <w:bookmarkEnd w:id="487"/>
      <w:bookmarkEnd w:id="488"/>
      <w:bookmarkEnd w:id="489"/>
    </w:p>
    <w:p>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90"/>
      <w:bookmarkEnd w:id="491"/>
      <w:bookmarkEnd w:id="492"/>
      <w:bookmarkEnd w:id="493"/>
      <w:bookmarkEnd w:id="494"/>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highlight w:val="none"/>
        </w:rPr>
      </w:pPr>
    </w:p>
    <w:p>
      <w:pPr>
        <w:pStyle w:val="23"/>
        <w:spacing w:line="560" w:lineRule="exact"/>
        <w:ind w:left="0" w:leftChars="0" w:firstLine="0" w:firstLineChars="0"/>
        <w:jc w:val="center"/>
        <w:rPr>
          <w:rFonts w:hint="eastAsia" w:ascii="宋体" w:hAnsi="宋体"/>
          <w:b/>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pStyle w:val="23"/>
        <w:spacing w:line="560" w:lineRule="exact"/>
        <w:ind w:left="0" w:leftChars="0" w:firstLine="0" w:firstLineChars="0"/>
        <w:jc w:val="center"/>
        <w:rPr>
          <w:rFonts w:hint="eastAsia" w:ascii="宋体" w:hAnsi="宋体"/>
          <w:b/>
          <w:szCs w:val="24"/>
          <w:highlight w:val="none"/>
        </w:rPr>
      </w:pPr>
    </w:p>
    <w:p>
      <w:pPr>
        <w:pStyle w:val="23"/>
        <w:spacing w:line="560" w:lineRule="exact"/>
        <w:ind w:left="0" w:leftChars="0" w:firstLine="0" w:firstLineChars="0"/>
        <w:jc w:val="center"/>
        <w:rPr>
          <w:rFonts w:hint="eastAsia" w:ascii="宋体" w:hAnsi="宋体"/>
          <w:b/>
          <w:szCs w:val="24"/>
          <w:highlight w:val="none"/>
        </w:rPr>
      </w:pPr>
    </w:p>
    <w:p>
      <w:pPr>
        <w:rPr>
          <w:rFonts w:hint="eastAsia"/>
          <w:highlight w:val="none"/>
        </w:rPr>
      </w:pPr>
    </w:p>
    <w:p>
      <w:pPr>
        <w:rPr>
          <w:rFonts w:hint="eastAsia"/>
          <w:highlight w:val="none"/>
        </w:rPr>
      </w:pPr>
    </w:p>
    <w:p>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w:t>
      </w:r>
      <w:r>
        <w:rPr>
          <w:rFonts w:hint="eastAsia" w:ascii="宋体" w:hAnsi="宋体" w:cs="宋体"/>
          <w:kern w:val="0"/>
          <w:sz w:val="24"/>
          <w:highlight w:val="none"/>
          <w:u w:val="single"/>
          <w:lang w:val="en-US" w:eastAsia="zh-CN" w:bidi="ar"/>
        </w:rPr>
        <w:t xml:space="preserve">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2024年临江公司破碎机刀齿委外修复服务采购（重新询价）项目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2024年临江公司破碎机刀齿委外修复服务采购（重新询价）项目</w:t>
      </w:r>
      <w:r>
        <w:rPr>
          <w:rFonts w:hint="eastAsia" w:ascii="宋体" w:hAnsi="宋体" w:cs="宋体"/>
          <w:kern w:val="0"/>
          <w:sz w:val="24"/>
          <w:highlight w:val="none"/>
          <w:u w:val="single"/>
          <w:lang w:bidi="ar"/>
        </w:rPr>
        <w:t xml:space="preserve">              </w:t>
      </w:r>
    </w:p>
    <w:p>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pPr>
        <w:pStyle w:val="10"/>
        <w:ind w:firstLine="0" w:firstLineChars="0"/>
        <w:rPr>
          <w:rFonts w:hint="eastAsia"/>
          <w:highlight w:val="none"/>
        </w:rPr>
      </w:pPr>
    </w:p>
    <w:p>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p>
    <w:p>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highlight w:val="none"/>
        </w:rPr>
      </w:pPr>
    </w:p>
    <w:p>
      <w:pPr>
        <w:rPr>
          <w:rFonts w:hint="eastAsia"/>
          <w:highlight w:val="none"/>
        </w:rPr>
      </w:pPr>
    </w:p>
    <w:p>
      <w:pPr>
        <w:rPr>
          <w:color w:val="auto"/>
          <w:highlight w:val="none"/>
        </w:rPr>
      </w:pPr>
    </w:p>
    <w:p>
      <w:pPr>
        <w:pStyle w:val="7"/>
        <w:rPr>
          <w:highlight w:val="none"/>
        </w:rPr>
      </w:pPr>
    </w:p>
    <w:p>
      <w:pPr>
        <w:pStyle w:val="7"/>
        <w:rPr>
          <w:color w:val="auto"/>
          <w:highlight w:val="none"/>
        </w:rPr>
      </w:pPr>
    </w:p>
    <w:p>
      <w:pPr>
        <w:pStyle w:val="8"/>
        <w:rPr>
          <w:color w:val="auto"/>
          <w:highlight w:val="none"/>
        </w:rPr>
      </w:pPr>
    </w:p>
    <w:p>
      <w:pPr>
        <w:pStyle w:val="9"/>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highlight w:val="none"/>
        </w:rPr>
      </w:pPr>
    </w:p>
    <w:p>
      <w:pPr>
        <w:pStyle w:val="8"/>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pStyle w:val="5"/>
        <w:spacing w:after="120" w:line="700" w:lineRule="exact"/>
        <w:ind w:left="0" w:firstLine="0"/>
        <w:rPr>
          <w:rFonts w:ascii="Times New Roman" w:hAnsi="Times New Roman" w:eastAsia="宋体" w:cs="Times New Roman"/>
          <w:sz w:val="32"/>
          <w:highlight w:val="none"/>
        </w:rPr>
      </w:pP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2024年临江公司破碎机刀齿委外修复服务采购（重新询价）</w:t>
      </w:r>
      <w:r>
        <w:rPr>
          <w:rFonts w:hint="eastAsia" w:ascii="宋体" w:hAnsi="宋体" w:eastAsia="宋体" w:cs="宋体"/>
          <w:sz w:val="28"/>
          <w:szCs w:val="22"/>
          <w:highlight w:val="none"/>
          <w:u w:val="single"/>
        </w:rPr>
        <w:t xml:space="preserve">项目             </w:t>
      </w:r>
    </w:p>
    <w:p>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202406008</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7"/>
        <w:rPr>
          <w:color w:val="auto"/>
          <w:highlight w:val="none"/>
        </w:rPr>
      </w:pPr>
    </w:p>
    <w:p>
      <w:pPr>
        <w:pStyle w:val="8"/>
        <w:rPr>
          <w:color w:val="auto"/>
          <w:highlight w:val="none"/>
        </w:rPr>
      </w:pPr>
    </w:p>
    <w:p>
      <w:pPr>
        <w:rPr>
          <w:color w:val="auto"/>
          <w:highlight w:val="none"/>
        </w:rPr>
      </w:pPr>
    </w:p>
    <w:p>
      <w:pPr>
        <w:pStyle w:val="7"/>
        <w:rPr>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9"/>
        <w:rPr>
          <w:color w:val="auto"/>
          <w:highlight w:val="none"/>
        </w:rPr>
      </w:pPr>
    </w:p>
    <w:p>
      <w:pPr>
        <w:rPr>
          <w:color w:val="auto"/>
          <w:highlight w:val="none"/>
        </w:rPr>
      </w:pPr>
    </w:p>
    <w:p>
      <w:pPr>
        <w:pStyle w:val="14"/>
        <w:rPr>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2024年临江公司破碎机刀齿委外修复服务采购（重新询价）项目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202406008</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pPr>
        <w:pStyle w:val="7"/>
        <w:numPr>
          <w:ilvl w:val="0"/>
          <w:numId w:val="0"/>
        </w:numPr>
        <w:ind w:leftChars="0"/>
        <w:rPr>
          <w:rFonts w:hint="default"/>
          <w:color w:val="auto"/>
          <w:highlight w:val="none"/>
          <w:lang w:val="en-US" w:eastAsia="zh-CN"/>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7"/>
        <w:rPr>
          <w:color w:val="auto"/>
          <w:highlight w:val="none"/>
        </w:rPr>
      </w:pPr>
    </w:p>
    <w:p>
      <w:pPr>
        <w:pStyle w:val="8"/>
        <w:rPr>
          <w:highlight w:val="none"/>
        </w:rPr>
      </w:pPr>
    </w:p>
    <w:p>
      <w:pPr>
        <w:pStyle w:val="7"/>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8"/>
        <w:ind w:left="0" w:leftChars="0" w:firstLine="0" w:firstLineChars="0"/>
        <w:rPr>
          <w:highlight w:val="none"/>
        </w:rPr>
      </w:pPr>
    </w:p>
    <w:p>
      <w:pPr>
        <w:pStyle w:val="8"/>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2024年临江公司破碎机刀齿委外修复服务采购（重新询价）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7"/>
        <w:widowControl w:val="0"/>
        <w:numPr>
          <w:ilvl w:val="0"/>
          <w:numId w:val="0"/>
        </w:numPr>
        <w:autoSpaceDE w:val="0"/>
        <w:autoSpaceDN w:val="0"/>
        <w:adjustRightInd w:val="0"/>
        <w:spacing w:line="360" w:lineRule="auto"/>
        <w:jc w:val="both"/>
        <w:rPr>
          <w:color w:val="auto"/>
          <w:highlight w:val="none"/>
        </w:rPr>
      </w:pPr>
    </w:p>
    <w:p>
      <w:pPr>
        <w:pStyle w:val="8"/>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2024年临江公司破碎机刀齿委外修复服务采购（重新询价）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highlight w:val="none"/>
        </w:rPr>
      </w:pP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pStyle w:val="8"/>
        <w:rPr>
          <w:rFonts w:hint="eastAsia" w:cs="仿宋" w:asciiTheme="minorEastAsia" w:hAnsiTheme="minorEastAsia"/>
          <w:b/>
          <w:color w:val="auto"/>
          <w:kern w:val="0"/>
          <w:sz w:val="32"/>
          <w:szCs w:val="32"/>
          <w:highlight w:val="none"/>
          <w:lang w:val="zh-CN"/>
        </w:rPr>
      </w:pPr>
    </w:p>
    <w:p>
      <w:pPr>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pStyle w:val="8"/>
        <w:rPr>
          <w:rFonts w:hint="eastAsia"/>
          <w:color w:val="auto"/>
          <w:highlight w:val="none"/>
          <w:lang w:val="zh-CN"/>
        </w:rPr>
      </w:pPr>
    </w:p>
    <w:p>
      <w:pPr>
        <w:rPr>
          <w:color w:val="auto"/>
          <w:highlight w:val="none"/>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hint="eastAsia" w:cs="仿宋" w:asciiTheme="minorEastAsia" w:hAnsiTheme="minorEastAsia"/>
          <w:color w:val="auto"/>
          <w:kern w:val="0"/>
          <w:sz w:val="24"/>
          <w:highlight w:val="none"/>
          <w:lang w:val="zh-CN"/>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7"/>
        <w:rPr>
          <w:color w:val="auto"/>
          <w:highlight w:val="none"/>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pPr>
        <w:pStyle w:val="2"/>
        <w:widowControl w:val="0"/>
        <w:numPr>
          <w:ilvl w:val="0"/>
          <w:numId w:val="0"/>
        </w:numPr>
        <w:jc w:val="left"/>
        <w:rPr>
          <w:rFonts w:hint="eastAsia"/>
          <w:color w:val="auto"/>
          <w:highlight w:val="none"/>
          <w:lang w:val="zh-CN"/>
        </w:rPr>
      </w:pPr>
    </w:p>
    <w:p>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2"/>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2024年临江公司破碎机刀齿委外修复服务采购（重新询价）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5"/>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2024年临江公司破碎机刀齿委外修复服务采购（重新询价）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7"/>
        <w:adjustRightInd w:val="0"/>
        <w:spacing w:after="0" w:line="360" w:lineRule="auto"/>
        <w:ind w:firstLine="480" w:firstLineChars="200"/>
        <w:jc w:val="left"/>
        <w:rPr>
          <w:rFonts w:hint="eastAsia" w:ascii="宋体" w:hAnsi="宋体" w:cs="宋体"/>
          <w:color w:val="auto"/>
          <w:szCs w:val="21"/>
          <w:highlight w:val="none"/>
        </w:rPr>
      </w:pPr>
    </w:p>
    <w:p>
      <w:pPr>
        <w:pStyle w:val="7"/>
        <w:adjustRightInd w:val="0"/>
        <w:spacing w:after="0" w:line="360" w:lineRule="auto"/>
        <w:ind w:firstLine="480" w:firstLineChars="200"/>
        <w:jc w:val="left"/>
        <w:rPr>
          <w:rFonts w:hint="eastAsia" w:ascii="宋体" w:hAnsi="宋体" w:cs="宋体"/>
          <w:color w:val="auto"/>
          <w:szCs w:val="21"/>
          <w:highlight w:val="none"/>
        </w:rPr>
      </w:pPr>
    </w:p>
    <w:p>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2024年临江公司破碎机刀齿委外修复服务采购（重新询价）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3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03"/>
        <w:gridCol w:w="1902"/>
        <w:gridCol w:w="1262"/>
        <w:gridCol w:w="1266"/>
        <w:gridCol w:w="2089"/>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17"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503"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1902" w:type="dxa"/>
            <w:vAlign w:val="center"/>
          </w:tcPr>
          <w:p>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参数</w:t>
            </w:r>
          </w:p>
        </w:tc>
        <w:tc>
          <w:tcPr>
            <w:tcW w:w="1262" w:type="dxa"/>
            <w:vAlign w:val="center"/>
          </w:tcPr>
          <w:p>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单位</w:t>
            </w:r>
          </w:p>
        </w:tc>
        <w:tc>
          <w:tcPr>
            <w:tcW w:w="1266"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2089"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8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515"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17"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503"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破碎机刀齿修补</w:t>
            </w:r>
          </w:p>
        </w:tc>
        <w:tc>
          <w:tcPr>
            <w:tcW w:w="1902" w:type="dxa"/>
            <w:vAlign w:val="center"/>
          </w:tcPr>
          <w:p>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ascii="宋体" w:hAnsi="宋体" w:eastAsia="宋体" w:cs="宋体"/>
                <w:i w:val="0"/>
                <w:iCs w:val="0"/>
                <w:color w:val="000000"/>
                <w:sz w:val="24"/>
                <w:szCs w:val="24"/>
                <w:highlight w:val="none"/>
                <w:u w:val="none"/>
                <w:lang w:val="en-US" w:eastAsia="zh-CN"/>
              </w:rPr>
              <w:t>26件</w:t>
            </w:r>
            <w:r>
              <w:rPr>
                <w:rFonts w:hint="eastAsia" w:ascii="宋体" w:hAnsi="宋体" w:eastAsia="宋体" w:cs="宋体"/>
                <w:i w:val="0"/>
                <w:iCs w:val="0"/>
                <w:color w:val="000000"/>
                <w:kern w:val="0"/>
                <w:sz w:val="24"/>
                <w:szCs w:val="24"/>
                <w:highlight w:val="none"/>
                <w:u w:val="none"/>
                <w:lang w:val="en-US" w:eastAsia="zh-CN" w:bidi="ar"/>
              </w:rPr>
              <w:t>/套</w:t>
            </w:r>
          </w:p>
        </w:tc>
        <w:tc>
          <w:tcPr>
            <w:tcW w:w="1262" w:type="dxa"/>
            <w:vAlign w:val="center"/>
          </w:tcPr>
          <w:p>
            <w:pPr>
              <w:keepNext w:val="0"/>
              <w:keepLines w:val="0"/>
              <w:widowControl/>
              <w:suppressLineNumbers w:val="0"/>
              <w:jc w:val="center"/>
              <w:textAlignment w:val="center"/>
              <w:rPr>
                <w:rFonts w:hint="default" w:cs="仿宋" w:asciiTheme="minorEastAsia" w:hAnsiTheme="minorEastAsia" w:eastAsia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套</w:t>
            </w:r>
          </w:p>
        </w:tc>
        <w:tc>
          <w:tcPr>
            <w:tcW w:w="1266"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2089" w:type="dxa"/>
            <w:vAlign w:val="center"/>
          </w:tcPr>
          <w:p>
            <w:pPr>
              <w:spacing w:line="360" w:lineRule="auto"/>
              <w:jc w:val="center"/>
              <w:rPr>
                <w:rFonts w:cs="仿宋" w:asciiTheme="minorEastAsia" w:hAnsiTheme="minorEastAsia"/>
                <w:color w:val="auto"/>
                <w:sz w:val="24"/>
                <w:highlight w:val="none"/>
              </w:rPr>
            </w:pPr>
          </w:p>
        </w:tc>
        <w:tc>
          <w:tcPr>
            <w:tcW w:w="1080" w:type="dxa"/>
            <w:vAlign w:val="center"/>
          </w:tcPr>
          <w:p>
            <w:pPr>
              <w:spacing w:line="360" w:lineRule="auto"/>
              <w:jc w:val="center"/>
              <w:rPr>
                <w:rFonts w:cs="仿宋" w:asciiTheme="minorEastAsia" w:hAnsiTheme="minorEastAsia"/>
                <w:color w:val="auto"/>
                <w:sz w:val="24"/>
                <w:highlight w:val="none"/>
              </w:rPr>
            </w:pPr>
          </w:p>
        </w:tc>
        <w:tc>
          <w:tcPr>
            <w:tcW w:w="1515" w:type="dxa"/>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pPr>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w:t>
            </w:r>
          </w:p>
        </w:tc>
        <w:tc>
          <w:tcPr>
            <w:tcW w:w="3503"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隔套及内孔花键修补</w:t>
            </w:r>
          </w:p>
        </w:tc>
        <w:tc>
          <w:tcPr>
            <w:tcW w:w="1902" w:type="dxa"/>
            <w:vAlign w:val="center"/>
          </w:tcPr>
          <w:p>
            <w:pPr>
              <w:snapToGrid w:val="0"/>
              <w:spacing w:line="360"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26件/套</w:t>
            </w:r>
          </w:p>
        </w:tc>
        <w:tc>
          <w:tcPr>
            <w:tcW w:w="1262"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套</w:t>
            </w:r>
          </w:p>
        </w:tc>
        <w:tc>
          <w:tcPr>
            <w:tcW w:w="1266"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2089" w:type="dxa"/>
            <w:vAlign w:val="center"/>
          </w:tcPr>
          <w:p>
            <w:pPr>
              <w:spacing w:line="360" w:lineRule="auto"/>
              <w:jc w:val="center"/>
              <w:rPr>
                <w:rFonts w:cs="仿宋" w:asciiTheme="minorEastAsia" w:hAnsiTheme="minorEastAsia"/>
                <w:color w:val="auto"/>
                <w:sz w:val="24"/>
                <w:highlight w:val="none"/>
              </w:rPr>
            </w:pPr>
          </w:p>
        </w:tc>
        <w:tc>
          <w:tcPr>
            <w:tcW w:w="1080" w:type="dxa"/>
            <w:vAlign w:val="center"/>
          </w:tcPr>
          <w:p>
            <w:pPr>
              <w:spacing w:line="360" w:lineRule="auto"/>
              <w:jc w:val="center"/>
              <w:rPr>
                <w:rFonts w:cs="仿宋" w:asciiTheme="minorEastAsia" w:hAnsiTheme="minorEastAsia"/>
                <w:color w:val="auto"/>
                <w:sz w:val="24"/>
                <w:highlight w:val="none"/>
              </w:rPr>
            </w:pPr>
          </w:p>
        </w:tc>
        <w:tc>
          <w:tcPr>
            <w:tcW w:w="1515" w:type="dxa"/>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17" w:type="dxa"/>
            <w:vAlign w:val="center"/>
          </w:tcPr>
          <w:p>
            <w:pPr>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3</w:t>
            </w:r>
          </w:p>
        </w:tc>
        <w:tc>
          <w:tcPr>
            <w:tcW w:w="3503"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破碎机主轴花键及总成修补</w:t>
            </w:r>
          </w:p>
        </w:tc>
        <w:tc>
          <w:tcPr>
            <w:tcW w:w="1902" w:type="dxa"/>
            <w:vAlign w:val="center"/>
          </w:tcPr>
          <w:p>
            <w:pPr>
              <w:snapToGrid w:val="0"/>
              <w:spacing w:line="360" w:lineRule="auto"/>
              <w:jc w:val="center"/>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26件/套</w:t>
            </w:r>
          </w:p>
        </w:tc>
        <w:tc>
          <w:tcPr>
            <w:tcW w:w="1262"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套</w:t>
            </w:r>
          </w:p>
        </w:tc>
        <w:tc>
          <w:tcPr>
            <w:tcW w:w="1266" w:type="dxa"/>
            <w:vAlign w:val="center"/>
          </w:tcPr>
          <w:p>
            <w:pPr>
              <w:keepNext w:val="0"/>
              <w:keepLines w:val="0"/>
              <w:widowControl/>
              <w:suppressLineNumbers w:val="0"/>
              <w:jc w:val="center"/>
              <w:textAlignment w:val="center"/>
              <w:rPr>
                <w:rFonts w:hint="eastAsia" w:cs="仿宋" w:asciiTheme="minorEastAsia" w:hAnsiTheme="minorEastAsia"/>
                <w:color w:val="auto"/>
                <w:sz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2089" w:type="dxa"/>
            <w:vAlign w:val="center"/>
          </w:tcPr>
          <w:p>
            <w:pPr>
              <w:spacing w:line="360" w:lineRule="auto"/>
              <w:jc w:val="center"/>
              <w:rPr>
                <w:rFonts w:cs="仿宋" w:asciiTheme="minorEastAsia" w:hAnsiTheme="minorEastAsia"/>
                <w:color w:val="auto"/>
                <w:sz w:val="24"/>
                <w:highlight w:val="none"/>
              </w:rPr>
            </w:pPr>
          </w:p>
        </w:tc>
        <w:tc>
          <w:tcPr>
            <w:tcW w:w="1080" w:type="dxa"/>
            <w:vAlign w:val="center"/>
          </w:tcPr>
          <w:p>
            <w:pPr>
              <w:spacing w:line="360" w:lineRule="auto"/>
              <w:jc w:val="center"/>
              <w:rPr>
                <w:rFonts w:cs="仿宋" w:asciiTheme="minorEastAsia" w:hAnsiTheme="minorEastAsia"/>
                <w:color w:val="auto"/>
                <w:sz w:val="24"/>
                <w:highlight w:val="none"/>
              </w:rPr>
            </w:pPr>
          </w:p>
        </w:tc>
        <w:tc>
          <w:tcPr>
            <w:tcW w:w="1515" w:type="dxa"/>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222"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21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22"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21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222" w:type="dxa"/>
            <w:gridSpan w:val="3"/>
            <w:vAlign w:val="center"/>
          </w:tcPr>
          <w:p>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7212" w:type="dxa"/>
            <w:gridSpan w:val="5"/>
            <w:vAlign w:val="center"/>
          </w:tcPr>
          <w:p>
            <w:pP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rPr>
          <w:color w:val="auto"/>
          <w:highlight w:val="none"/>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495" w:name="_Toc465665161"/>
      <w:r>
        <w:rPr>
          <w:rFonts w:hint="eastAsia" w:cs="宋体" w:asciiTheme="minorEastAsia" w:hAnsiTheme="minorEastAsia"/>
          <w:b/>
          <w:bCs/>
          <w:color w:val="auto"/>
          <w:kern w:val="44"/>
          <w:sz w:val="44"/>
          <w:szCs w:val="44"/>
          <w:highlight w:val="none"/>
        </w:rPr>
        <w:t>附件</w:t>
      </w:r>
      <w:bookmarkEnd w:id="495"/>
    </w:p>
    <w:p>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2"/>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cs="仿宋" w:asciiTheme="minorEastAsia" w:hAnsiTheme="minorEastAsia"/>
          <w:b/>
          <w:color w:val="auto"/>
          <w:spacing w:val="6"/>
          <w:sz w:val="32"/>
          <w:szCs w:val="32"/>
          <w:highlight w:val="none"/>
        </w:rPr>
        <w:t>：</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2024年临江公司破碎机刀齿委外修复服务采购（重新询价）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2024年临江公司破碎机刀齿委外修复服务采购（重新询价）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11"/>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附件4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本项目不适用</w:t>
      </w:r>
      <w:r>
        <w:rPr>
          <w:rFonts w:hint="eastAsia" w:hAnsi="宋体" w:cs="宋体"/>
          <w:b/>
          <w:sz w:val="32"/>
          <w:szCs w:val="32"/>
          <w:highlight w:val="none"/>
          <w:lang w:eastAsia="zh-CN"/>
        </w:rPr>
        <w:t>）</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2024年临江公司破碎机刀齿委外修复服务采购（重新询价）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3493"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eastAsia" w:ascii="宋体" w:hAnsi="宋体" w:cs="宋体"/>
                <w:sz w:val="24"/>
                <w:highlight w:val="none"/>
                <w:lang w:eastAsia="zh-CN"/>
              </w:rPr>
            </w:pPr>
          </w:p>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人民币</w:t>
            </w:r>
          </w:p>
          <w:p>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jc w:val="center"/>
              <w:rPr>
                <w:rFonts w:ascii="宋体" w:hAnsi="宋体" w:cs="宋体"/>
                <w:sz w:val="24"/>
                <w:highlight w:val="none"/>
              </w:rPr>
            </w:pPr>
          </w:p>
        </w:tc>
        <w:tc>
          <w:tcPr>
            <w:tcW w:w="6986" w:type="dxa"/>
            <w:gridSpan w:val="3"/>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pPr>
              <w:spacing w:line="360" w:lineRule="auto"/>
              <w:rPr>
                <w:rFonts w:ascii="宋体" w:hAnsi="宋体" w:cs="宋体"/>
                <w:sz w:val="24"/>
                <w:highlight w:val="none"/>
              </w:rPr>
            </w:pPr>
          </w:p>
        </w:tc>
        <w:tc>
          <w:tcPr>
            <w:tcW w:w="6986"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7"/>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2024年临江公司破碎机刀齿委外修复服务采购（重新询价）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202406008</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1"/>
        <w:rPr>
          <w:rFonts w:hint="eastAsia" w:hAnsi="宋体" w:cs="宋体"/>
          <w:b/>
          <w:bCs/>
          <w:sz w:val="24"/>
          <w:highlight w:val="none"/>
        </w:rPr>
      </w:pPr>
    </w:p>
    <w:p>
      <w:pPr>
        <w:pStyle w:val="11"/>
        <w:rPr>
          <w:rFonts w:hint="eastAsia" w:hAnsi="宋体" w:cs="宋体"/>
          <w:b/>
          <w:bCs/>
          <w:sz w:val="24"/>
          <w:highlight w:val="none"/>
        </w:rPr>
      </w:pPr>
    </w:p>
    <w:p>
      <w:pPr>
        <w:pStyle w:val="11"/>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pPr>
        <w:pStyle w:val="7"/>
        <w:rPr>
          <w:highlight w:val="none"/>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3C7E83A0"/>
    <w:multiLevelType w:val="singleLevel"/>
    <w:tmpl w:val="3C7E83A0"/>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23E1286"/>
    <w:rsid w:val="03272182"/>
    <w:rsid w:val="046A1781"/>
    <w:rsid w:val="04B2316F"/>
    <w:rsid w:val="04E634F4"/>
    <w:rsid w:val="04ED41A7"/>
    <w:rsid w:val="04F973C6"/>
    <w:rsid w:val="04FE63B4"/>
    <w:rsid w:val="05150472"/>
    <w:rsid w:val="05171224"/>
    <w:rsid w:val="051B17AF"/>
    <w:rsid w:val="065F1C63"/>
    <w:rsid w:val="072F4F4B"/>
    <w:rsid w:val="0805754C"/>
    <w:rsid w:val="08670640"/>
    <w:rsid w:val="08E37A2F"/>
    <w:rsid w:val="09545F70"/>
    <w:rsid w:val="09D74B85"/>
    <w:rsid w:val="09EC7123"/>
    <w:rsid w:val="09ED56C9"/>
    <w:rsid w:val="0A1D0FFF"/>
    <w:rsid w:val="0A7C1006"/>
    <w:rsid w:val="0AD025A1"/>
    <w:rsid w:val="0BD07B44"/>
    <w:rsid w:val="0C492847"/>
    <w:rsid w:val="0C831E9D"/>
    <w:rsid w:val="0E76345F"/>
    <w:rsid w:val="0EB775D4"/>
    <w:rsid w:val="0F095788"/>
    <w:rsid w:val="0F5E496A"/>
    <w:rsid w:val="0F81598B"/>
    <w:rsid w:val="10947BCD"/>
    <w:rsid w:val="10BE08E9"/>
    <w:rsid w:val="1157552B"/>
    <w:rsid w:val="13064D3F"/>
    <w:rsid w:val="1399374C"/>
    <w:rsid w:val="14521AA0"/>
    <w:rsid w:val="146C41CB"/>
    <w:rsid w:val="15BE749A"/>
    <w:rsid w:val="166F3635"/>
    <w:rsid w:val="185A544F"/>
    <w:rsid w:val="18890233"/>
    <w:rsid w:val="198737C7"/>
    <w:rsid w:val="19DC6BDA"/>
    <w:rsid w:val="1AA56FDE"/>
    <w:rsid w:val="1B7913A6"/>
    <w:rsid w:val="1C49745F"/>
    <w:rsid w:val="1C742A28"/>
    <w:rsid w:val="1CAA3340"/>
    <w:rsid w:val="1CD34128"/>
    <w:rsid w:val="1CDE6781"/>
    <w:rsid w:val="1F457921"/>
    <w:rsid w:val="1F612DBB"/>
    <w:rsid w:val="1FAA740D"/>
    <w:rsid w:val="21677697"/>
    <w:rsid w:val="22851A6B"/>
    <w:rsid w:val="229536BA"/>
    <w:rsid w:val="22A244DC"/>
    <w:rsid w:val="2378337E"/>
    <w:rsid w:val="23AE001C"/>
    <w:rsid w:val="251A0B90"/>
    <w:rsid w:val="2536529E"/>
    <w:rsid w:val="25C26B32"/>
    <w:rsid w:val="272E083D"/>
    <w:rsid w:val="284A39BF"/>
    <w:rsid w:val="28A354BE"/>
    <w:rsid w:val="2A1060BE"/>
    <w:rsid w:val="2A6366FF"/>
    <w:rsid w:val="2A6807FA"/>
    <w:rsid w:val="2B32649C"/>
    <w:rsid w:val="2B634913"/>
    <w:rsid w:val="2B9B5E5B"/>
    <w:rsid w:val="2C041A4C"/>
    <w:rsid w:val="2C270527"/>
    <w:rsid w:val="2C4141D8"/>
    <w:rsid w:val="2EA663BE"/>
    <w:rsid w:val="2F1F33A8"/>
    <w:rsid w:val="2F5836E9"/>
    <w:rsid w:val="2F9B3A49"/>
    <w:rsid w:val="30123142"/>
    <w:rsid w:val="302169BE"/>
    <w:rsid w:val="304A7E50"/>
    <w:rsid w:val="314B6E80"/>
    <w:rsid w:val="31BF0628"/>
    <w:rsid w:val="31C843E9"/>
    <w:rsid w:val="31D976DD"/>
    <w:rsid w:val="32843E96"/>
    <w:rsid w:val="32D33460"/>
    <w:rsid w:val="352F03C1"/>
    <w:rsid w:val="36162BCB"/>
    <w:rsid w:val="36412810"/>
    <w:rsid w:val="36BD312A"/>
    <w:rsid w:val="37514AF4"/>
    <w:rsid w:val="377C0298"/>
    <w:rsid w:val="37C355F3"/>
    <w:rsid w:val="37D20E57"/>
    <w:rsid w:val="37F61CA1"/>
    <w:rsid w:val="39C31C6C"/>
    <w:rsid w:val="3A184B1B"/>
    <w:rsid w:val="3C283344"/>
    <w:rsid w:val="3C3420E0"/>
    <w:rsid w:val="3C485F9D"/>
    <w:rsid w:val="3C7C70D7"/>
    <w:rsid w:val="3CB84BBF"/>
    <w:rsid w:val="3D3879AE"/>
    <w:rsid w:val="3E0C6463"/>
    <w:rsid w:val="3E1F46CA"/>
    <w:rsid w:val="3E564C85"/>
    <w:rsid w:val="3F8142B1"/>
    <w:rsid w:val="3F924981"/>
    <w:rsid w:val="403E57B7"/>
    <w:rsid w:val="40532D51"/>
    <w:rsid w:val="4179370E"/>
    <w:rsid w:val="41D016DB"/>
    <w:rsid w:val="42112513"/>
    <w:rsid w:val="43496F4C"/>
    <w:rsid w:val="435518AD"/>
    <w:rsid w:val="437A2DA4"/>
    <w:rsid w:val="445175A7"/>
    <w:rsid w:val="44873A1C"/>
    <w:rsid w:val="4491515E"/>
    <w:rsid w:val="46667657"/>
    <w:rsid w:val="470471FE"/>
    <w:rsid w:val="472961BF"/>
    <w:rsid w:val="49105C83"/>
    <w:rsid w:val="499917D4"/>
    <w:rsid w:val="49A53D97"/>
    <w:rsid w:val="4A455E8D"/>
    <w:rsid w:val="4AB80380"/>
    <w:rsid w:val="4AE27CAC"/>
    <w:rsid w:val="4BAC48C9"/>
    <w:rsid w:val="4CC65C1A"/>
    <w:rsid w:val="4D0413E0"/>
    <w:rsid w:val="4DD671A2"/>
    <w:rsid w:val="4E191EC4"/>
    <w:rsid w:val="4F251D5C"/>
    <w:rsid w:val="4F363F69"/>
    <w:rsid w:val="4FD65994"/>
    <w:rsid w:val="4FEB08B0"/>
    <w:rsid w:val="50772E11"/>
    <w:rsid w:val="50886E1D"/>
    <w:rsid w:val="513B5867"/>
    <w:rsid w:val="51454B8D"/>
    <w:rsid w:val="514563A8"/>
    <w:rsid w:val="520D7C9E"/>
    <w:rsid w:val="523875F5"/>
    <w:rsid w:val="52506204"/>
    <w:rsid w:val="52B35FD7"/>
    <w:rsid w:val="533B163F"/>
    <w:rsid w:val="53FA1DF3"/>
    <w:rsid w:val="54AB2D04"/>
    <w:rsid w:val="56F563A5"/>
    <w:rsid w:val="571F3A0C"/>
    <w:rsid w:val="57F2034A"/>
    <w:rsid w:val="58235318"/>
    <w:rsid w:val="58354DBE"/>
    <w:rsid w:val="59121C77"/>
    <w:rsid w:val="59DD570D"/>
    <w:rsid w:val="59DE0E09"/>
    <w:rsid w:val="5A283DD0"/>
    <w:rsid w:val="5A2E5F69"/>
    <w:rsid w:val="5ACD76EE"/>
    <w:rsid w:val="5B3D7F5F"/>
    <w:rsid w:val="5EFD2476"/>
    <w:rsid w:val="5F0279C4"/>
    <w:rsid w:val="5F944466"/>
    <w:rsid w:val="6139287F"/>
    <w:rsid w:val="61B64B12"/>
    <w:rsid w:val="61EF67EB"/>
    <w:rsid w:val="61F56B7E"/>
    <w:rsid w:val="62121B84"/>
    <w:rsid w:val="63CF15A0"/>
    <w:rsid w:val="657B7ADB"/>
    <w:rsid w:val="660E4A3F"/>
    <w:rsid w:val="66811B16"/>
    <w:rsid w:val="673E5F91"/>
    <w:rsid w:val="676C7393"/>
    <w:rsid w:val="679754A0"/>
    <w:rsid w:val="67D649B5"/>
    <w:rsid w:val="68C66552"/>
    <w:rsid w:val="68F16ADF"/>
    <w:rsid w:val="6A4E3ABD"/>
    <w:rsid w:val="6ABD4230"/>
    <w:rsid w:val="6AE63D7E"/>
    <w:rsid w:val="6B462C2B"/>
    <w:rsid w:val="6BDC6E7B"/>
    <w:rsid w:val="6EAC75B8"/>
    <w:rsid w:val="6EBA08A7"/>
    <w:rsid w:val="6F042089"/>
    <w:rsid w:val="700D088C"/>
    <w:rsid w:val="700E4F44"/>
    <w:rsid w:val="70173239"/>
    <w:rsid w:val="70FC24C5"/>
    <w:rsid w:val="7151767A"/>
    <w:rsid w:val="71A36DE5"/>
    <w:rsid w:val="721A5B23"/>
    <w:rsid w:val="72B50B7E"/>
    <w:rsid w:val="72B931C1"/>
    <w:rsid w:val="738D03F5"/>
    <w:rsid w:val="7420296E"/>
    <w:rsid w:val="7431692A"/>
    <w:rsid w:val="7440091B"/>
    <w:rsid w:val="767E5B01"/>
    <w:rsid w:val="779944AF"/>
    <w:rsid w:val="78160310"/>
    <w:rsid w:val="785A54C0"/>
    <w:rsid w:val="78D32916"/>
    <w:rsid w:val="78FD6DDA"/>
    <w:rsid w:val="796D48BB"/>
    <w:rsid w:val="79EB254B"/>
    <w:rsid w:val="7A0D5743"/>
    <w:rsid w:val="7AF4716D"/>
    <w:rsid w:val="7BA82ABD"/>
    <w:rsid w:val="7C662D96"/>
    <w:rsid w:val="7D797C2B"/>
    <w:rsid w:val="7D810EAC"/>
    <w:rsid w:val="7D955BFE"/>
    <w:rsid w:val="7DAC6A56"/>
    <w:rsid w:val="7E0230E5"/>
    <w:rsid w:val="7E1A3F8B"/>
    <w:rsid w:val="7E600661"/>
    <w:rsid w:val="7F2B197D"/>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27275</Words>
  <Characters>28565</Characters>
  <Lines>0</Lines>
  <Paragraphs>0</Paragraphs>
  <TotalTime>1</TotalTime>
  <ScaleCrop>false</ScaleCrop>
  <LinksUpToDate>false</LinksUpToDate>
  <CharactersWithSpaces>31823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test</cp:lastModifiedBy>
  <dcterms:modified xsi:type="dcterms:W3CDTF">2024-06-20T02:14:13Z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A1ED29D5195F42DC88B15D6E555041E6</vt:lpwstr>
  </property>
</Properties>
</file>