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rPr>
      </w:pPr>
    </w:p>
    <w:p>
      <w:pPr>
        <w:pStyle w:val="10"/>
        <w:jc w:val="center"/>
        <w:rPr>
          <w:rFonts w:hint="eastAsia" w:cs="宋体" w:asciiTheme="minorEastAsia" w:hAnsiTheme="minorEastAsia"/>
          <w:color w:val="auto"/>
          <w:sz w:val="48"/>
          <w:szCs w:val="48"/>
          <w:u w:val="single"/>
          <w:lang w:eastAsia="zh-CN"/>
        </w:rPr>
      </w:pPr>
      <w:r>
        <w:rPr>
          <w:rFonts w:hint="eastAsia" w:cs="宋体" w:asciiTheme="minorEastAsia" w:hAnsiTheme="minorEastAsia"/>
          <w:color w:val="auto"/>
          <w:sz w:val="48"/>
          <w:szCs w:val="48"/>
          <w:u w:val="single"/>
          <w:lang w:eastAsia="zh-CN"/>
        </w:rPr>
        <w:t>2024年临江公司汽车衡技术服务</w:t>
      </w:r>
    </w:p>
    <w:p>
      <w:pPr>
        <w:pStyle w:val="10"/>
        <w:jc w:val="center"/>
        <w:rPr>
          <w:rFonts w:hint="eastAsia" w:eastAsiaTheme="minorEastAsia"/>
          <w:color w:val="auto"/>
          <w:lang w:eastAsia="zh-CN"/>
        </w:rPr>
      </w:pPr>
      <w:r>
        <w:rPr>
          <w:rFonts w:hint="eastAsia" w:cs="宋体" w:asciiTheme="minorEastAsia" w:hAnsiTheme="minorEastAsia"/>
          <w:color w:val="auto"/>
          <w:sz w:val="48"/>
          <w:szCs w:val="48"/>
          <w:u w:val="single"/>
          <w:lang w:eastAsia="zh-CN"/>
        </w:rPr>
        <w:t>采购项目</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eastAsia" w:cs="宋体" w:asciiTheme="minorEastAsia" w:hAnsiTheme="minorEastAsia"/>
          <w:b/>
          <w:bCs/>
          <w:color w:val="auto"/>
          <w:sz w:val="48"/>
          <w:szCs w:val="48"/>
          <w:lang w:eastAsia="zh-CN"/>
        </w:rPr>
      </w:pPr>
    </w:p>
    <w:p>
      <w:pPr>
        <w:adjustRightInd w:val="0"/>
        <w:snapToGrid w:val="0"/>
        <w:spacing w:line="360" w:lineRule="auto"/>
        <w:jc w:val="center"/>
        <w:rPr>
          <w:rFonts w:hint="default"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202406014</w:t>
      </w:r>
    </w:p>
    <w:p>
      <w:pPr>
        <w:pStyle w:val="10"/>
        <w:jc w:val="both"/>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w:t>
      </w:r>
      <w:r>
        <w:rPr>
          <w:rFonts w:hint="eastAsia" w:cs="仿宋" w:asciiTheme="minorEastAsia" w:hAnsiTheme="minorEastAsia"/>
          <w:color w:val="auto"/>
          <w:sz w:val="32"/>
          <w:szCs w:val="32"/>
          <w:lang w:val="en-US" w:eastAsia="zh-CN"/>
        </w:rPr>
        <w:t>24</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20</w:t>
      </w:r>
      <w:r>
        <w:rPr>
          <w:rFonts w:hint="eastAsia" w:cs="仿宋" w:asciiTheme="minorEastAsia" w:hAnsiTheme="minorEastAsia"/>
          <w:color w:val="auto"/>
          <w:sz w:val="32"/>
          <w:szCs w:val="32"/>
        </w:rPr>
        <w:t>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eastAsia" w:cs="仿宋" w:asciiTheme="minorEastAsia" w:hAnsiTheme="minorEastAsia"/>
          <w:b/>
          <w:bCs/>
          <w:color w:val="auto"/>
          <w:sz w:val="24"/>
          <w:lang w:eastAsia="zh-CN"/>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2024年临江公司汽车衡技术服务采购项目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202406014</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2024年临江公司汽车衡技术服务采购项目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8.4万元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u w:val="single"/>
          <w:lang w:val="en-US" w:eastAsia="zh-CN"/>
        </w:rPr>
      </w:pPr>
      <w:r>
        <w:rPr>
          <w:rFonts w:hint="eastAsia" w:cs="仿宋" w:asciiTheme="minorEastAsia" w:hAnsiTheme="minorEastAsia"/>
          <w:color w:val="auto"/>
          <w:sz w:val="24"/>
          <w:u w:val="single"/>
          <w:lang w:val="en-US" w:eastAsia="zh-CN"/>
        </w:rPr>
        <w:t>能源项目汽车衡自2020年开始服役至今，目前多台汽车衡出现称重传感器零点漂移现象、设备服务器响应慢及称台存在一定角差等故障，为保证汽车衡的稳定运行，需委托有梅特勒托利多汽车衡维修经验的供应商对6台汽车衡进行技术服务。</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自合同签订之日起1年。</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howingPlcHdr/>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80"/>
      <w:bookmarkStart w:id="9" w:name="_Toc28359003"/>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35393623"/>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eastAsia="zh-CN"/>
        </w:rPr>
        <w:t>。</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eastAsia="zh-CN"/>
        </w:rPr>
        <w:t>：</w:t>
      </w:r>
      <w:r>
        <w:rPr>
          <w:rFonts w:hint="eastAsia" w:cs="仿宋" w:asciiTheme="minorEastAsia" w:hAnsiTheme="minorEastAsia"/>
          <w:bCs/>
          <w:color w:val="auto"/>
          <w:sz w:val="24"/>
          <w:u w:val="single"/>
          <w:lang w:val="en-US" w:eastAsia="zh-CN"/>
        </w:rPr>
        <w:t>自2021年1月1日起具有1个梅特勒托利多汽车衡技术服务（技术、维修、改造）业绩。（同时提供合同复印件和与合同相对应的正规合法发票复印件作为业绩证明材料，缺少其中任何一个均视为业绩证明材料不符合要求）</w:t>
      </w:r>
      <w:r>
        <w:rPr>
          <w:rFonts w:hint="eastAsia" w:cs="仿宋" w:asciiTheme="minorEastAsia" w:hAnsiTheme="minorEastAsia"/>
          <w:bCs/>
          <w:sz w:val="24"/>
          <w:u w:val="single"/>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r>
        <w:rPr>
          <w:rFonts w:hint="eastAsia" w:ascii="宋体" w:hAnsi="Times New Roman" w:cs="Times New Roman"/>
          <w:snapToGrid/>
          <w:color w:val="auto"/>
          <w:kern w:val="2"/>
          <w:sz w:val="24"/>
          <w:szCs w:val="20"/>
          <w:u w:val="single"/>
          <w:lang w:val="en-US" w:eastAsia="zh-CN" w:bidi="ar-SA"/>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6</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4</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6</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27</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14</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15258849018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36"/>
          <w:szCs w:val="36"/>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6月20</w:t>
      </w:r>
      <w:bookmarkStart w:id="491" w:name="_GoBack"/>
      <w:bookmarkEnd w:id="491"/>
      <w:r>
        <w:rPr>
          <w:rFonts w:hint="eastAsia" w:cs="仿宋" w:asciiTheme="minorEastAsia" w:hAnsiTheme="minorEastAsia"/>
          <w:color w:val="auto"/>
          <w:sz w:val="24"/>
        </w:rPr>
        <w:t>日</w:t>
      </w: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8"/>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8"/>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w:t>
            </w:r>
            <w:r>
              <w:rPr>
                <w:rFonts w:hint="eastAsia" w:ascii="宋体" w:hAnsi="宋体" w:eastAsia="宋体" w:cs="宋体"/>
                <w:color w:val="auto"/>
                <w:sz w:val="21"/>
                <w:szCs w:val="21"/>
                <w:lang w:eastAsia="zh-CN"/>
              </w:rPr>
              <w:t>询价</w:t>
            </w:r>
            <w:r>
              <w:rPr>
                <w:rFonts w:hint="eastAsia" w:ascii="宋体" w:hAnsi="宋体" w:eastAsia="宋体" w:cs="宋体"/>
                <w:color w:val="auto"/>
                <w:sz w:val="21"/>
                <w:szCs w:val="21"/>
              </w:rPr>
              <w:t>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应在</w:t>
            </w:r>
            <w:r>
              <w:rPr>
                <w:rFonts w:hint="eastAsia" w:ascii="宋体" w:hAnsi="宋体" w:eastAsia="宋体" w:cs="宋体"/>
                <w:color w:val="auto"/>
                <w:sz w:val="21"/>
                <w:szCs w:val="21"/>
                <w:lang w:val="en-US" w:eastAsia="zh-CN"/>
              </w:rPr>
              <w:t>响应文件</w:t>
            </w:r>
            <w:r>
              <w:rPr>
                <w:rFonts w:hint="eastAsia" w:ascii="宋体" w:hAnsi="宋体" w:eastAsia="宋体" w:cs="宋体"/>
                <w:color w:val="auto"/>
                <w:sz w:val="21"/>
                <w:szCs w:val="21"/>
                <w:lang w:eastAsia="zh-CN"/>
              </w:rPr>
              <w:t>开启</w:t>
            </w:r>
            <w:r>
              <w:rPr>
                <w:rFonts w:hint="eastAsia" w:ascii="宋体" w:hAnsi="宋体" w:eastAsia="宋体" w:cs="宋体"/>
                <w:color w:val="auto"/>
                <w:sz w:val="21"/>
                <w:szCs w:val="21"/>
              </w:rPr>
              <w:t>截止</w:t>
            </w:r>
            <w:r>
              <w:rPr>
                <w:rFonts w:hint="eastAsia" w:ascii="宋体" w:hAnsi="宋体" w:eastAsia="宋体" w:cs="宋体"/>
                <w:color w:val="auto"/>
                <w:sz w:val="21"/>
                <w:szCs w:val="21"/>
                <w:lang w:val="en-US" w:eastAsia="zh-CN"/>
              </w:rPr>
              <w:t>之</w:t>
            </w:r>
            <w:r>
              <w:rPr>
                <w:rFonts w:hint="eastAsia" w:ascii="宋体" w:hAnsi="宋体" w:eastAsia="宋体" w:cs="宋体"/>
                <w:color w:val="auto"/>
                <w:sz w:val="21"/>
                <w:szCs w:val="21"/>
              </w:rPr>
              <w:t>前以电汇或网银转账方式缴纳至杭州临江环境能源有限公司。同时将银行缴款凭证复印件作为</w:t>
            </w:r>
            <w:r>
              <w:rPr>
                <w:rFonts w:hint="eastAsia" w:ascii="宋体" w:hAnsi="宋体" w:eastAsia="宋体" w:cs="宋体"/>
                <w:color w:val="auto"/>
                <w:sz w:val="21"/>
                <w:szCs w:val="21"/>
                <w:lang w:eastAsia="zh-CN"/>
              </w:rPr>
              <w:t>响应</w:t>
            </w:r>
            <w:r>
              <w:rPr>
                <w:rFonts w:hint="eastAsia" w:ascii="宋体" w:hAnsi="宋体" w:eastAsia="宋体" w:cs="宋体"/>
                <w:color w:val="auto"/>
                <w:sz w:val="21"/>
                <w:szCs w:val="21"/>
              </w:rPr>
              <w:t>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w:t>
            </w:r>
            <w:r>
              <w:rPr>
                <w:rFonts w:hint="eastAsia" w:ascii="宋体" w:hAnsi="宋体" w:eastAsia="宋体" w:cs="宋体"/>
                <w:b/>
                <w:bCs/>
                <w:color w:val="auto"/>
                <w:sz w:val="21"/>
                <w:szCs w:val="21"/>
                <w:lang w:eastAsia="zh-CN"/>
              </w:rPr>
              <w:t>询价保证金</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9"/>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rPr>
              <w:t>综合评分法。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sym w:font="Wingdings" w:char="00FE"/>
            </w:r>
            <w:r>
              <w:rPr>
                <w:rFonts w:hint="eastAsia" w:ascii="宋体" w:hAnsi="宋体" w:cs="宋体"/>
                <w:b w:val="0"/>
                <w:bCs w:val="0"/>
                <w:color w:val="auto"/>
                <w:kern w:val="2"/>
                <w:sz w:val="21"/>
                <w:szCs w:val="24"/>
                <w:lang w:val="en-US"/>
              </w:rPr>
              <w:t>经评审后最低投标价法。</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eastAsia="zh-CN"/>
              </w:rPr>
            </w:pPr>
            <w:r>
              <w:rPr>
                <w:rFonts w:hint="eastAsia" w:ascii="宋体" w:hAnsi="宋体" w:cs="宋体"/>
                <w:b w:val="0"/>
                <w:bCs w:val="0"/>
                <w:color w:val="auto"/>
                <w:kern w:val="2"/>
                <w:sz w:val="21"/>
                <w:szCs w:val="24"/>
                <w:lang w:val="en-US"/>
              </w:rPr>
              <w:sym w:font="Wingdings" w:char="00A8"/>
            </w:r>
            <w:r>
              <w:rPr>
                <w:rFonts w:hint="eastAsia" w:ascii="宋体" w:hAnsi="宋体" w:cs="宋体"/>
                <w:b w:val="0"/>
                <w:bCs w:val="0"/>
                <w:color w:val="auto"/>
                <w:kern w:val="2"/>
                <w:sz w:val="21"/>
                <w:szCs w:val="24"/>
                <w:lang w:val="en-US" w:eastAsia="zh-CN"/>
              </w:rPr>
              <w:t>其他。</w:t>
            </w:r>
          </w:p>
          <w:p>
            <w:pPr>
              <w:pStyle w:val="20"/>
              <w:snapToGrid w:val="0"/>
              <w:spacing w:after="0" w:line="400" w:lineRule="exact"/>
              <w:ind w:left="0" w:leftChars="0" w:firstLine="0" w:firstLineChars="0"/>
              <w:jc w:val="left"/>
              <w:rPr>
                <w:rFonts w:hint="eastAsia" w:ascii="宋体" w:hAnsi="宋体" w:eastAsia="宋体" w:cs="宋体"/>
                <w:b/>
                <w:color w:val="auto"/>
                <w:kern w:val="0"/>
                <w:sz w:val="21"/>
                <w:szCs w:val="21"/>
              </w:rPr>
            </w:pPr>
            <w:r>
              <w:rPr>
                <w:rFonts w:hint="eastAsia" w:ascii="宋体" w:hAnsi="宋体" w:cs="宋体"/>
                <w:b w:val="0"/>
                <w:bCs w:val="0"/>
                <w:color w:val="auto"/>
                <w:kern w:val="2"/>
                <w:sz w:val="21"/>
                <w:szCs w:val="24"/>
                <w:lang w:val="en-US"/>
              </w:rPr>
              <w:t>详见</w:t>
            </w:r>
            <w:r>
              <w:rPr>
                <w:rFonts w:hint="eastAsia" w:ascii="宋体" w:hAnsi="宋体" w:cs="宋体"/>
                <w:b w:val="0"/>
                <w:bCs w:val="0"/>
                <w:color w:val="auto"/>
                <w:kern w:val="2"/>
                <w:sz w:val="21"/>
                <w:szCs w:val="24"/>
                <w:lang w:val="en-US" w:eastAsia="zh-CN"/>
              </w:rPr>
              <w:t>询价采购文件“第四部分 《评审方法》</w:t>
            </w:r>
            <w:r>
              <w:rPr>
                <w:rFonts w:hint="eastAsia" w:ascii="宋体" w:hAnsi="宋体" w:cs="宋体"/>
                <w:b w:val="0"/>
                <w:bCs w:val="0"/>
                <w:color w:val="auto"/>
                <w:kern w:val="2"/>
                <w:sz w:val="21"/>
                <w:szCs w:val="24"/>
                <w:lang w:val="en-US"/>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val="0"/>
                <w:bCs w:val="0"/>
                <w:color w:val="auto"/>
                <w:kern w:val="2"/>
                <w:sz w:val="21"/>
                <w:szCs w:val="24"/>
                <w:lang w:val="en-US"/>
              </w:rPr>
            </w:pPr>
            <w:r>
              <w:rPr>
                <w:rFonts w:hint="eastAsia" w:ascii="宋体" w:hAnsi="宋体" w:eastAsia="宋体" w:cs="宋体"/>
                <w:color w:val="auto"/>
                <w:kern w:val="0"/>
                <w:szCs w:val="21"/>
                <w:lang w:val="zh-CN"/>
              </w:rPr>
              <w:t>参加响应文件开启的</w:t>
            </w:r>
            <w:r>
              <w:rPr>
                <w:rFonts w:hint="eastAsia" w:ascii="宋体" w:hAnsi="宋体" w:eastAsia="宋体" w:cs="宋体"/>
                <w:color w:val="auto"/>
                <w:kern w:val="0"/>
                <w:szCs w:val="21"/>
                <w:lang w:val="en-US" w:eastAsia="zh-CN"/>
              </w:rPr>
              <w:t>供应商</w:t>
            </w:r>
            <w:r>
              <w:rPr>
                <w:rFonts w:hint="eastAsia" w:ascii="宋体" w:hAnsi="宋体" w:eastAsia="宋体" w:cs="宋体"/>
                <w:color w:val="auto"/>
                <w:kern w:val="0"/>
                <w:szCs w:val="21"/>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02" w:hRule="atLeast"/>
        </w:trPr>
        <w:tc>
          <w:tcPr>
            <w:tcW w:w="561" w:type="dxa"/>
            <w:tcBorders>
              <w:top w:val="single" w:color="auto" w:sz="4" w:space="0"/>
              <w:left w:val="single" w:color="000000" w:sz="8" w:space="0"/>
              <w:bottom w:val="single" w:color="auto" w:sz="4" w:space="0"/>
              <w:right w:val="single" w:color="000000" w:sz="2" w:space="0"/>
            </w:tcBorders>
            <w:vAlign w:val="bottom"/>
          </w:tcPr>
          <w:p>
            <w:pPr>
              <w:snapToGrid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highlight w:val="none"/>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cs="宋体"/>
                <w:b w:val="0"/>
                <w:bCs w:val="0"/>
                <w:color w:val="auto"/>
                <w:kern w:val="2"/>
                <w:sz w:val="21"/>
                <w:szCs w:val="24"/>
                <w:highlight w:val="none"/>
                <w:lang w:val="en-US"/>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20"/>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20"/>
              <w:snapToGrid w:val="0"/>
              <w:spacing w:after="0" w:line="400" w:lineRule="exact"/>
              <w:ind w:left="0" w:leftChars="0" w:firstLine="0" w:firstLineChars="0"/>
              <w:jc w:val="left"/>
              <w:rPr>
                <w:rFonts w:hint="default" w:ascii="宋体" w:hAnsi="宋体" w:cs="宋体" w:eastAsiaTheme="minorEastAsia"/>
                <w:b w:val="0"/>
                <w:bCs w:val="0"/>
                <w:color w:val="auto"/>
                <w:kern w:val="2"/>
                <w:sz w:val="21"/>
                <w:szCs w:val="24"/>
                <w:lang w:val="en-US" w:eastAsia="zh-CN"/>
              </w:rPr>
            </w:pPr>
            <w:r>
              <w:rPr>
                <w:rFonts w:hint="eastAsia" w:ascii="宋体" w:hAnsi="宋体" w:cs="宋体"/>
                <w:b w:val="0"/>
                <w:bCs w:val="0"/>
                <w:color w:val="auto"/>
                <w:kern w:val="2"/>
                <w:sz w:val="21"/>
                <w:szCs w:val="24"/>
                <w:lang w:val="en-US"/>
              </w:rPr>
              <w:t>履约保证金缴纳时间：中标通知书领取之后，合同签订</w:t>
            </w:r>
            <w:r>
              <w:rPr>
                <w:rFonts w:hint="eastAsia" w:ascii="宋体" w:hAnsi="宋体" w:cs="宋体"/>
                <w:b w:val="0"/>
                <w:bCs w:val="0"/>
                <w:color w:val="auto"/>
                <w:kern w:val="2"/>
                <w:sz w:val="21"/>
                <w:szCs w:val="24"/>
                <w:lang w:val="en-US" w:eastAsia="zh-CN"/>
              </w:rPr>
              <w:t>后10日内</w:t>
            </w:r>
          </w:p>
          <w:p>
            <w:pPr>
              <w:pStyle w:val="20"/>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20"/>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default" w:ascii="宋体" w:hAnsi="宋体" w:cs="宋体"/>
                <w:b w:val="0"/>
                <w:bCs w:val="0"/>
                <w:color w:val="auto"/>
                <w:kern w:val="2"/>
                <w:sz w:val="21"/>
                <w:szCs w:val="24"/>
                <w:lang w:val="en-US"/>
              </w:rPr>
              <w:t>30</w:t>
            </w:r>
            <w:r>
              <w:rPr>
                <w:rFonts w:hint="eastAsia" w:ascii="宋体" w:hAnsi="宋体" w:cs="宋体"/>
                <w:b w:val="0"/>
                <w:bCs w:val="0"/>
                <w:color w:val="auto"/>
                <w:kern w:val="2"/>
                <w:sz w:val="21"/>
                <w:szCs w:val="24"/>
                <w:lang w:val="en-US" w:eastAsia="zh-CN"/>
              </w:rPr>
              <w:t>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8"/>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8"/>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t>□</w:t>
            </w:r>
            <w:r>
              <w:rPr>
                <w:rFonts w:hint="eastAsia"/>
                <w:snapToGrid w:val="0"/>
                <w:color w:val="auto"/>
                <w:sz w:val="21"/>
                <w:szCs w:val="21"/>
                <w:lang w:eastAsia="zh-CN"/>
              </w:rPr>
              <w:t>分册装订。</w:t>
            </w:r>
          </w:p>
          <w:p>
            <w:pPr>
              <w:pStyle w:val="18"/>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b/>
                <w:bCs/>
                <w:snapToGrid w:val="0"/>
                <w:color w:val="auto"/>
                <w:sz w:val="21"/>
                <w:szCs w:val="21"/>
                <w:lang w:eastAsia="zh-CN"/>
              </w:rPr>
              <w:t>正本1份，副本</w:t>
            </w:r>
            <w:r>
              <w:rPr>
                <w:rFonts w:hint="eastAsia"/>
                <w:b/>
                <w:bCs/>
                <w:snapToGrid w:val="0"/>
                <w:color w:val="auto"/>
                <w:sz w:val="21"/>
                <w:szCs w:val="21"/>
                <w:lang w:val="en-US" w:eastAsia="zh-CN"/>
              </w:rPr>
              <w:t>2</w:t>
            </w:r>
            <w:r>
              <w:rPr>
                <w:rFonts w:hint="eastAsia"/>
                <w:b/>
                <w:bCs/>
                <w:snapToGrid w:val="0"/>
                <w:color w:val="auto"/>
                <w:sz w:val="21"/>
                <w:szCs w:val="21"/>
                <w:lang w:eastAsia="zh-CN"/>
              </w:rPr>
              <w:t>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6"/>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rPr>
      </w:pPr>
    </w:p>
    <w:p>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w:t>
      </w:r>
      <w:r>
        <w:rPr>
          <w:rFonts w:hint="eastAsia" w:cs="仿宋" w:asciiTheme="minorEastAsia" w:hAnsiTheme="minorEastAsia"/>
          <w:kern w:val="0"/>
          <w:szCs w:val="24"/>
        </w:rPr>
        <w:t>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pPr>
        <w:pStyle w:val="21"/>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val="en-US" w:eastAsia="zh-CN"/>
        </w:rPr>
        <w:t xml:space="preserve">25.1成交供应商的询价保证金将在签订合同并按要求缴纳履约保证金后全额无息退还。退保证金前，供应商必须提供加盖公章或财务专用章的收款收据。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val="en-US" w:eastAsia="zh-CN"/>
        </w:rPr>
        <w:t xml:space="preserve">25.2未成交供应商的询价保证金将在预成交结果公示无异议后及时全额无息退还。退保证金前，供应商必须提供加盖公章或财务专用章的收款收据。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6"/>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val="0"/>
          <w:color w:val="auto"/>
          <w:sz w:val="24"/>
          <w:szCs w:val="24"/>
          <w:lang w:eastAsia="zh-CN"/>
        </w:rPr>
      </w:pPr>
      <w:r>
        <w:rPr>
          <w:rFonts w:hint="eastAsia" w:cs="仿宋" w:asciiTheme="minorEastAsia" w:hAnsiTheme="minorEastAsia"/>
          <w:kern w:val="0"/>
        </w:rPr>
        <w:t>▲</w:t>
      </w: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default" w:cs="仿宋" w:asciiTheme="minorEastAsia" w:hAnsiTheme="minorEastAsia"/>
          <w:color w:val="auto"/>
          <w:sz w:val="24"/>
          <w:lang w:val="en-US" w:eastAsia="zh-CN"/>
        </w:rPr>
        <w:t>能源项目汽车衡自2020年开始服役至今，目前多台汽车衡出现称重传感器零点漂移现象、设备服务器响应慢及称台存在一定角差等故障，为保证汽车衡的稳定运行，需委托有梅特勒托利多汽车衡维修经验的供应商对6台汽车衡进行技术服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技术服务内容：</w:t>
      </w:r>
      <w:r>
        <w:rPr>
          <w:rFonts w:hint="default" w:cs="仿宋" w:asciiTheme="minorEastAsia" w:hAnsiTheme="minorEastAsia"/>
          <w:color w:val="auto"/>
          <w:sz w:val="24"/>
          <w:lang w:val="en-US" w:eastAsia="zh-CN"/>
        </w:rPr>
        <w:t>1.</w:t>
      </w:r>
      <w:r>
        <w:rPr>
          <w:rFonts w:hint="eastAsia" w:cs="仿宋" w:asciiTheme="minorEastAsia" w:hAnsiTheme="minorEastAsia"/>
          <w:color w:val="auto"/>
          <w:sz w:val="24"/>
          <w:lang w:val="en-US" w:eastAsia="zh-CN"/>
        </w:rPr>
        <w:t>供应商需根据采购人要求</w:t>
      </w:r>
      <w:r>
        <w:rPr>
          <w:rFonts w:hint="default" w:cs="仿宋" w:asciiTheme="minorEastAsia" w:hAnsiTheme="minorEastAsia"/>
          <w:color w:val="auto"/>
          <w:sz w:val="24"/>
          <w:lang w:val="en-US" w:eastAsia="zh-CN"/>
        </w:rPr>
        <w:t>对称架、称重传感器、上位机、道闸、欢迎屏、服务器、车检器、控制系统等设备进行全面检查</w:t>
      </w:r>
      <w:r>
        <w:rPr>
          <w:rFonts w:hint="eastAsia" w:cs="仿宋" w:asciiTheme="minorEastAsia" w:hAnsiTheme="minorEastAsia"/>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w:t>
      </w:r>
      <w:r>
        <w:rPr>
          <w:rFonts w:hint="default" w:cs="仿宋" w:asciiTheme="minorEastAsia" w:hAnsiTheme="minorEastAsia"/>
          <w:color w:val="auto"/>
          <w:sz w:val="24"/>
          <w:lang w:val="en-US" w:eastAsia="zh-CN"/>
        </w:rPr>
        <w:t>如</w:t>
      </w:r>
      <w:r>
        <w:rPr>
          <w:rFonts w:hint="eastAsia" w:cs="仿宋" w:asciiTheme="minorEastAsia" w:hAnsiTheme="minorEastAsia"/>
          <w:color w:val="auto"/>
          <w:sz w:val="24"/>
          <w:lang w:val="en-US" w:eastAsia="zh-CN"/>
        </w:rPr>
        <w:t>上术</w:t>
      </w:r>
      <w:r>
        <w:rPr>
          <w:rFonts w:hint="default" w:cs="仿宋" w:asciiTheme="minorEastAsia" w:hAnsiTheme="minorEastAsia"/>
          <w:color w:val="auto"/>
          <w:sz w:val="24"/>
          <w:lang w:val="en-US" w:eastAsia="zh-CN"/>
        </w:rPr>
        <w:t>检查</w:t>
      </w:r>
      <w:r>
        <w:rPr>
          <w:rFonts w:hint="eastAsia" w:cs="仿宋" w:asciiTheme="minorEastAsia" w:hAnsiTheme="minorEastAsia"/>
          <w:color w:val="auto"/>
          <w:sz w:val="24"/>
          <w:lang w:val="en-US" w:eastAsia="zh-CN"/>
        </w:rPr>
        <w:t>过程中</w:t>
      </w:r>
      <w:r>
        <w:rPr>
          <w:rFonts w:hint="default" w:cs="仿宋" w:asciiTheme="minorEastAsia" w:hAnsiTheme="minorEastAsia"/>
          <w:color w:val="auto"/>
          <w:sz w:val="24"/>
          <w:lang w:val="en-US" w:eastAsia="zh-CN"/>
        </w:rPr>
        <w:t>发现称体结构、基础、防腐严重等问题由采购人负责处理，</w:t>
      </w:r>
      <w:r>
        <w:rPr>
          <w:rFonts w:hint="eastAsia" w:cs="仿宋" w:asciiTheme="minorEastAsia" w:hAnsiTheme="minorEastAsia"/>
          <w:color w:val="auto"/>
          <w:sz w:val="24"/>
          <w:lang w:val="en-US" w:eastAsia="zh-CN"/>
        </w:rPr>
        <w:t>检查发现需要更换备件，备件由</w:t>
      </w:r>
      <w:r>
        <w:rPr>
          <w:rFonts w:hint="default" w:cs="仿宋" w:asciiTheme="minorEastAsia" w:hAnsiTheme="minorEastAsia"/>
          <w:color w:val="auto"/>
          <w:sz w:val="24"/>
          <w:lang w:val="en-US" w:eastAsia="zh-CN"/>
        </w:rPr>
        <w:t>采购人提供</w:t>
      </w:r>
      <w:r>
        <w:rPr>
          <w:rFonts w:hint="eastAsia" w:cs="仿宋" w:asciiTheme="minorEastAsia" w:hAnsiTheme="minorEastAsia"/>
          <w:color w:val="auto"/>
          <w:sz w:val="24"/>
          <w:lang w:val="en-US" w:eastAsia="zh-CN"/>
        </w:rPr>
        <w:t>，但供应商需负责拆旧换新；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w:t>
      </w:r>
      <w:r>
        <w:rPr>
          <w:rFonts w:hint="default" w:cs="仿宋" w:asciiTheme="minorEastAsia" w:hAnsiTheme="minorEastAsia"/>
          <w:color w:val="auto"/>
          <w:sz w:val="24"/>
          <w:lang w:val="en-US" w:eastAsia="zh-CN"/>
        </w:rPr>
        <w:t>.</w:t>
      </w:r>
      <w:r>
        <w:rPr>
          <w:rFonts w:hint="eastAsia" w:cs="仿宋" w:asciiTheme="minorEastAsia" w:hAnsiTheme="minorEastAsia"/>
          <w:color w:val="auto"/>
          <w:sz w:val="24"/>
          <w:lang w:val="en-US" w:eastAsia="zh-CN"/>
        </w:rPr>
        <w:t>供应商负责</w:t>
      </w:r>
      <w:r>
        <w:rPr>
          <w:rFonts w:hint="default" w:cs="仿宋" w:asciiTheme="minorEastAsia" w:hAnsiTheme="minorEastAsia"/>
          <w:color w:val="auto"/>
          <w:sz w:val="24"/>
          <w:lang w:val="en-US" w:eastAsia="zh-CN"/>
        </w:rPr>
        <w:t>安装、调试地磅防浮套件</w:t>
      </w:r>
      <w:r>
        <w:rPr>
          <w:rFonts w:hint="eastAsia" w:cs="仿宋" w:asciiTheme="minorEastAsia" w:hAnsiTheme="minorEastAsia"/>
          <w:color w:val="auto"/>
          <w:sz w:val="24"/>
          <w:lang w:val="en-US" w:eastAsia="zh-CN"/>
        </w:rPr>
        <w:t>，</w:t>
      </w:r>
      <w:r>
        <w:rPr>
          <w:rFonts w:hint="default" w:cs="仿宋" w:asciiTheme="minorEastAsia" w:hAnsiTheme="minorEastAsia"/>
          <w:color w:val="auto"/>
          <w:sz w:val="24"/>
          <w:lang w:val="en-US" w:eastAsia="zh-CN"/>
        </w:rPr>
        <w:t>防浮套件由采购人提供</w:t>
      </w:r>
      <w:r>
        <w:rPr>
          <w:rFonts w:hint="eastAsia" w:cs="仿宋" w:asciiTheme="minorEastAsia" w:hAnsiTheme="minorEastAsia"/>
          <w:color w:val="auto"/>
          <w:sz w:val="24"/>
          <w:lang w:val="en-US" w:eastAsia="zh-CN"/>
        </w:rPr>
        <w:t>，如有需要，采购人提前准备起重机。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w:t>
      </w:r>
      <w:r>
        <w:rPr>
          <w:rFonts w:hint="default" w:cs="仿宋" w:asciiTheme="minorEastAsia" w:hAnsiTheme="minorEastAsia"/>
          <w:color w:val="auto"/>
          <w:sz w:val="24"/>
          <w:lang w:val="en-US" w:eastAsia="zh-CN"/>
        </w:rPr>
        <w:t>.</w:t>
      </w:r>
      <w:r>
        <w:rPr>
          <w:rFonts w:hint="eastAsia" w:cs="仿宋" w:asciiTheme="minorEastAsia" w:hAnsiTheme="minorEastAsia"/>
          <w:color w:val="auto"/>
          <w:sz w:val="24"/>
          <w:lang w:val="en-US" w:eastAsia="zh-CN"/>
        </w:rPr>
        <w:t>供应商负责</w:t>
      </w:r>
      <w:r>
        <w:rPr>
          <w:rFonts w:hint="default" w:cs="仿宋" w:asciiTheme="minorEastAsia" w:hAnsiTheme="minorEastAsia"/>
          <w:color w:val="auto"/>
          <w:sz w:val="24"/>
          <w:lang w:val="en-US" w:eastAsia="zh-CN"/>
        </w:rPr>
        <w:t>服务器软件全面备份、整理</w:t>
      </w:r>
      <w:r>
        <w:rPr>
          <w:rFonts w:hint="eastAsia" w:cs="仿宋" w:asciiTheme="minorEastAsia" w:hAnsiTheme="minorEastAsia"/>
          <w:color w:val="auto"/>
          <w:sz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5.所有汽车衡技术服务全部结束后10个工作日内提供服务报告3份。</w:t>
      </w:r>
    </w:p>
    <w:p>
      <w:pPr>
        <w:pStyle w:val="6"/>
        <w:numPr>
          <w:ilvl w:val="0"/>
          <w:numId w:val="0"/>
        </w:numPr>
        <w:ind w:firstLine="480" w:firstLineChars="200"/>
        <w:rPr>
          <w:rFonts w:hint="default"/>
          <w:color w:val="auto"/>
          <w:lang w:val="en-US" w:eastAsia="zh-CN"/>
        </w:rPr>
      </w:pPr>
      <w:r>
        <w:rPr>
          <w:rFonts w:hint="eastAsia" w:cs="仿宋" w:asciiTheme="minorEastAsia" w:hAnsiTheme="minorEastAsia"/>
          <w:kern w:val="0"/>
        </w:rPr>
        <w:t>▲</w:t>
      </w:r>
      <w:r>
        <w:rPr>
          <w:rFonts w:hint="eastAsia"/>
          <w:b/>
          <w:bCs/>
          <w:color w:val="auto"/>
          <w:lang w:val="en-US" w:eastAsia="zh-CN"/>
        </w:rPr>
        <w:t>二、合同期限</w:t>
      </w:r>
      <w:r>
        <w:rPr>
          <w:rFonts w:hint="eastAsia"/>
          <w:color w:val="auto"/>
          <w:lang w:val="en-US" w:eastAsia="zh-CN"/>
        </w:rPr>
        <w:t>：本项目合同有效期自签订之日起1年。</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三、技术、服务要求</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1.要求供应商技术服务人员不少于2人（其中项目经理1人，专业工程师1人，机械服务工程师和电气服务工程师可由1人兼任），技能要求如下：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 项目经理：具备梅特勒托利多汽车衡维修，各项专业技术较全面，协调能力强，有责任心，能完成各项任务。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 机械服务工程师：熟悉汽车衡结构、性能及原理，熟悉系统，能快速判断问题并处理问题，对设备故障具备独立判断问题和解决问题的能力，能够独立处理梅特勒托利多各类机械设备故障。</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 电气服务工程师：具备独立判断问题和解决问题的能力，能够独立带领和指导处理现场的工作。能独自查找故障、处理故障；精通称重软件的故障和服务器设备故障处理；对梅特勒托利多电气故障排查经验丰富。</w:t>
      </w:r>
    </w:p>
    <w:p>
      <w:pPr>
        <w:pStyle w:val="7"/>
        <w:rPr>
          <w:rFonts w:hint="default"/>
          <w:lang w:val="en-US" w:eastAsia="zh-CN"/>
        </w:rPr>
      </w:pPr>
      <w:r>
        <w:rPr>
          <w:rFonts w:hint="eastAsia"/>
          <w:lang w:val="en-US" w:eastAsia="zh-CN"/>
        </w:rPr>
        <w:t>2.供应商应遵守国家、行业、地方法律法规，并满足采购人相关规定，技术服务过程所需的工具、人员、消防器材等均由供应商自行负责，其他损坏备件、材料由采购人提供。</w:t>
      </w:r>
    </w:p>
    <w:p>
      <w:pPr>
        <w:pStyle w:val="7"/>
        <w:rPr>
          <w:rFonts w:hint="eastAsia"/>
          <w:lang w:val="en-US" w:eastAsia="zh-CN"/>
        </w:rPr>
      </w:pPr>
      <w:r>
        <w:rPr>
          <w:rFonts w:hint="eastAsia"/>
          <w:lang w:val="en-US" w:eastAsia="zh-CN"/>
        </w:rPr>
        <w:t>3.供应商在技术服务作业过程中应负责对采购人生产场地进行保护，与检修区域无关进行必要隔离，若造成损坏应负责修复或赔偿。对检修区域必须做到工完料尽场地清，检修中更换下来的废旧物资应按时堆放至采购人指定的地点。</w:t>
      </w:r>
    </w:p>
    <w:p>
      <w:pPr>
        <w:pStyle w:val="7"/>
        <w:rPr>
          <w:rFonts w:hint="eastAsia"/>
          <w:lang w:val="en-US" w:eastAsia="zh-CN"/>
        </w:rPr>
      </w:pPr>
      <w:r>
        <w:rPr>
          <w:rFonts w:hint="eastAsia"/>
          <w:lang w:val="en-US" w:eastAsia="zh-CN"/>
        </w:rPr>
        <w:t>4.供应商应根据采购人生产计划安排技术服务。</w:t>
      </w:r>
    </w:p>
    <w:p>
      <w:pPr>
        <w:pStyle w:val="7"/>
        <w:rPr>
          <w:rFonts w:hint="eastAsia" w:cs="仿宋" w:asciiTheme="minorEastAsia" w:hAnsiTheme="minorEastAsia"/>
          <w:kern w:val="0"/>
          <w:lang w:val="en-US" w:eastAsia="zh-CN"/>
        </w:rPr>
      </w:pPr>
      <w:r>
        <w:rPr>
          <w:rFonts w:hint="eastAsia" w:cs="仿宋" w:asciiTheme="minorEastAsia" w:hAnsiTheme="minorEastAsia"/>
          <w:kern w:val="0"/>
          <w:lang w:val="en-US" w:eastAsia="zh-CN"/>
        </w:rPr>
        <w:t>5.技术服务标准详见下表。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0"/>
        <w:gridCol w:w="1980"/>
        <w:gridCol w:w="262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rPr>
              <w:t>环境检查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262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秤体外观</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腐蚀情况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有无严重锈蚀</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变形情况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有无明显变形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破损情况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是否完整，无破损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杂物检查</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有无堆积物</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秤底情况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有无杂物顶住秤底</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传感器周围情况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有无杂物淤积</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基础检查</w:t>
            </w:r>
          </w:p>
        </w:tc>
        <w:tc>
          <w:tcPr>
            <w:tcW w:w="1980" w:type="dxa"/>
            <w:vMerge w:val="restart"/>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护边角钢是否完好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sz w:val="18"/>
                <w:szCs w:val="18"/>
                <w:vertAlign w:val="baseline"/>
              </w:rPr>
            </w:pPr>
          </w:p>
        </w:tc>
        <w:tc>
          <w:tcPr>
            <w:tcW w:w="262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引坡路面破损是否严重</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汽车衡基础情况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基础有无明显沉降变形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lang w:val="en-US" w:eastAsia="zh-CN"/>
              </w:rPr>
              <w:t>秤体检查与维修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接线盒</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主板是否有潮湿、腐蚀现象</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电缆线端子接线是否牢固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接线盒密封是否良好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连接件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有无断裂、扭曲，无过度磨损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传感器</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传感器是否垂直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各传感器是否均匀受力，无悬空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是否干净无破损、扭曲</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传感器六角头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六角头是否过度磨损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外壳是否完好，无破损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秤台及接地</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秤台连接销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是否完好，无明显变形磨损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是否单独接地，接地铜牌完整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底板及螺栓</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是否完整，螺栓紧固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传感器电缆</w:t>
            </w:r>
          </w:p>
        </w:tc>
        <w:tc>
          <w:tcPr>
            <w:tcW w:w="2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有无无破损、断裂、老化</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总信号电缆</w:t>
            </w:r>
          </w:p>
        </w:tc>
        <w:tc>
          <w:tcPr>
            <w:tcW w:w="2625"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限位及间隙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秤台晃动</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是否晃动自如</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纵向限位间隙3～4mm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横向限位间隙1.5～2mm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秤体两端与引坡间隙</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仪表检查与维修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仪表电源</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220VAC(+10%～-15%)</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零地线电压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＜0.2VAC</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是否电源单独接地</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仪表功能</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仪表自检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有无缺笔划，有无出错代码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显示清晰度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数据显示是否清晰明亮</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键盘功能</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按键是否正常</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仪表内部检查</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仪表外壳铅封</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有无铅封并获得授权方可打开</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内部PCB板及线束插件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有无老化、破线及作弊隐患</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PCB板表面状况是否良好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仪表外观</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外壳是否清洁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外壳完整，密封是否良好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保养后性能检查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检查项目</w:t>
            </w:r>
          </w:p>
        </w:tc>
        <w:tc>
          <w:tcPr>
            <w:tcW w:w="262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测量值</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零点检查</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vAlign w:val="top"/>
          </w:tcPr>
          <w:p>
            <w:pPr>
              <w:jc w:val="center"/>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零点输出（保养后）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零点性能判定</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零点输出（调整后）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回零检查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加载检查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技术检查后调试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#1~#6地磅防浮套件安装调试情况</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服务器数据整理情况是否完成</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bl>
    <w:p>
      <w:pPr>
        <w:pStyle w:val="8"/>
        <w:ind w:left="0" w:leftChars="0" w:firstLine="0" w:firstLineChars="0"/>
        <w:rPr>
          <w:rFonts w:hint="eastAsia"/>
        </w:rPr>
      </w:pP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ascii="宋体"/>
          <w:b/>
          <w:bCs/>
          <w:color w:val="auto"/>
          <w:lang w:val="en-US" w:eastAsia="zh-CN"/>
        </w:rPr>
        <w:t>四、验收要求</w:t>
      </w:r>
    </w:p>
    <w:p>
      <w:pPr>
        <w:pStyle w:val="7"/>
        <w:numPr>
          <w:ilvl w:val="0"/>
          <w:numId w:val="1"/>
        </w:numPr>
        <w:rPr>
          <w:rFonts w:hint="eastAsia"/>
          <w:lang w:val="en-US" w:eastAsia="zh-CN"/>
        </w:rPr>
      </w:pPr>
      <w:r>
        <w:rPr>
          <w:rFonts w:hint="eastAsia"/>
          <w:lang w:val="en-US" w:eastAsia="zh-CN"/>
        </w:rPr>
        <w:t>所有汽车衡现场技术服务全部结束后10个工作日内提供服务报告3份。</w:t>
      </w:r>
    </w:p>
    <w:p>
      <w:pPr>
        <w:pStyle w:val="7"/>
        <w:numPr>
          <w:ilvl w:val="0"/>
          <w:numId w:val="1"/>
        </w:numPr>
        <w:ind w:left="0" w:leftChars="0" w:firstLine="420" w:firstLineChars="0"/>
        <w:rPr>
          <w:rFonts w:hint="eastAsia"/>
          <w:lang w:val="en-US" w:eastAsia="zh-CN"/>
        </w:rPr>
      </w:pPr>
      <w:r>
        <w:rPr>
          <w:rFonts w:hint="eastAsia"/>
          <w:lang w:val="en-US" w:eastAsia="zh-CN"/>
        </w:rPr>
        <w:t>报告内容包括但不限于：检查结果、状态、现场照片、发现的问题、问题的处理措施、整改建议、备件计划、安全总结、后续需要重点关注的地方。</w:t>
      </w:r>
    </w:p>
    <w:p>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pPr>
        <w:spacing w:line="360" w:lineRule="auto"/>
        <w:ind w:firstLine="480" w:firstLineChars="200"/>
        <w:rPr>
          <w:rFonts w:hint="default" w:ascii="宋体" w:hAnsi="Arial" w:cs="Arial" w:eastAsiaTheme="minorEastAsia"/>
          <w:b/>
          <w:bCs/>
          <w:snapToGrid w:val="0"/>
          <w:color w:val="auto"/>
          <w:kern w:val="2"/>
          <w:sz w:val="24"/>
          <w:szCs w:val="21"/>
          <w:lang w:val="en-US" w:eastAsia="zh-CN" w:bidi="ar-SA"/>
        </w:rPr>
      </w:pPr>
      <w:r>
        <w:rPr>
          <w:rFonts w:hint="eastAsia" w:ascii="宋体" w:hAnsi="Times New Roman" w:cs="Times New Roman"/>
          <w:snapToGrid/>
          <w:color w:val="auto"/>
          <w:kern w:val="2"/>
          <w:sz w:val="24"/>
          <w:szCs w:val="20"/>
          <w:lang w:val="en-US" w:eastAsia="zh-CN" w:bidi="ar-SA"/>
        </w:rPr>
        <w:t>根据采购人需求按实结算，供应商全部完成所有汽车衡的技术服务验收合格后出具服务报告后，采购人凭服务报告、验收单以及供应商开具的增值税专用发票于30日内完成付款。</w:t>
      </w:r>
    </w:p>
    <w:p>
      <w:pPr>
        <w:spacing w:line="360" w:lineRule="auto"/>
        <w:ind w:firstLine="455" w:firstLineChars="217"/>
        <w:rPr>
          <w:rFonts w:hint="eastAsia" w:ascii="宋体" w:hAnsi="Arial" w:cs="Arial" w:eastAsiaTheme="minorEastAsia"/>
          <w:b/>
          <w:bCs/>
          <w:snapToGrid w:val="0"/>
          <w:color w:val="auto"/>
          <w:kern w:val="2"/>
          <w:sz w:val="24"/>
          <w:szCs w:val="21"/>
          <w:lang w:val="en-US" w:eastAsia="zh-CN" w:bidi="ar-SA"/>
        </w:rPr>
      </w:pPr>
      <w:r>
        <w:rPr>
          <w:rFonts w:hint="eastAsia" w:cs="仿宋" w:asciiTheme="minorEastAsia" w:hAnsiTheme="minorEastAsia"/>
          <w:kern w:val="0"/>
        </w:rPr>
        <w:t>▲</w:t>
      </w:r>
      <w:r>
        <w:rPr>
          <w:rFonts w:hint="eastAsia" w:ascii="宋体" w:hAnsi="Arial" w:cs="Arial"/>
          <w:b/>
          <w:bCs/>
          <w:snapToGrid w:val="0"/>
          <w:color w:val="auto"/>
          <w:kern w:val="2"/>
          <w:sz w:val="24"/>
          <w:szCs w:val="21"/>
          <w:lang w:val="en-US" w:eastAsia="zh-CN" w:bidi="ar-SA"/>
        </w:rPr>
        <w:t>六</w:t>
      </w:r>
      <w:r>
        <w:rPr>
          <w:rFonts w:hint="eastAsia" w:ascii="宋体" w:hAnsi="Arial" w:cs="Arial" w:eastAsiaTheme="minorEastAsia"/>
          <w:b/>
          <w:bCs/>
          <w:snapToGrid w:val="0"/>
          <w:color w:val="auto"/>
          <w:kern w:val="2"/>
          <w:sz w:val="24"/>
          <w:szCs w:val="21"/>
          <w:lang w:val="en-US" w:eastAsia="zh-CN" w:bidi="ar-SA"/>
        </w:rPr>
        <w:t>、售后要求</w:t>
      </w:r>
    </w:p>
    <w:p>
      <w:pPr>
        <w:pStyle w:val="6"/>
        <w:numPr>
          <w:ilvl w:val="0"/>
          <w:numId w:val="0"/>
        </w:numPr>
        <w:ind w:firstLine="480" w:firstLineChars="200"/>
        <w:rPr>
          <w:rFonts w:hint="eastAsia"/>
          <w:color w:val="auto"/>
          <w:lang w:val="en-US" w:eastAsia="zh-CN"/>
        </w:rPr>
      </w:pPr>
      <w:r>
        <w:rPr>
          <w:rFonts w:hint="eastAsia"/>
          <w:color w:val="auto"/>
          <w:lang w:val="en-US" w:eastAsia="zh-CN"/>
        </w:rPr>
        <w:t>1.供应商必须满足采购人服务要求。如期间发生问题，供应商须在接到采购人通知后24小时内做出书面答复并提供解决方案。若需要派遣技术人员，则应在接到采购人通知后48小时内派人员到达现场进行免费指导解决问题。</w:t>
      </w:r>
    </w:p>
    <w:p>
      <w:pPr>
        <w:pStyle w:val="6"/>
        <w:numPr>
          <w:ilvl w:val="0"/>
          <w:numId w:val="0"/>
        </w:numPr>
        <w:ind w:firstLine="480" w:firstLineChars="200"/>
        <w:rPr>
          <w:rFonts w:hint="eastAsia"/>
          <w:color w:val="auto"/>
          <w:lang w:eastAsia="zh-CN"/>
        </w:rPr>
      </w:pPr>
      <w:r>
        <w:rPr>
          <w:rFonts w:hint="eastAsia"/>
          <w:color w:val="auto"/>
          <w:lang w:val="en-US" w:eastAsia="zh-CN"/>
        </w:rPr>
        <w:t>2.采购人不再对任何售后服务进行付费。供应商的派遣人员产生的一切费用由供应商承担。</w:t>
      </w:r>
    </w:p>
    <w:p>
      <w:pPr>
        <w:rPr>
          <w:rFonts w:hint="eastAsia"/>
          <w:color w:val="auto"/>
          <w:lang w:eastAsia="zh-CN"/>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2079"/>
      <w:bookmarkEnd w:id="19"/>
      <w:bookmarkStart w:id="20" w:name="_Toc184310295"/>
      <w:bookmarkEnd w:id="20"/>
      <w:bookmarkStart w:id="21" w:name="_Toc184312073"/>
      <w:bookmarkEnd w:id="21"/>
      <w:bookmarkStart w:id="22" w:name="_Toc184308080"/>
      <w:bookmarkEnd w:id="22"/>
      <w:bookmarkStart w:id="23" w:name="_Toc184312116"/>
      <w:bookmarkEnd w:id="23"/>
      <w:bookmarkStart w:id="24" w:name="_Toc184313245"/>
      <w:bookmarkEnd w:id="24"/>
      <w:bookmarkStart w:id="25" w:name="_Toc184310324"/>
      <w:bookmarkEnd w:id="25"/>
      <w:bookmarkStart w:id="26" w:name="_Toc184314456"/>
      <w:bookmarkEnd w:id="26"/>
      <w:bookmarkStart w:id="27" w:name="_Toc184313271"/>
      <w:bookmarkEnd w:id="27"/>
      <w:bookmarkStart w:id="28" w:name="_Toc184308082"/>
      <w:bookmarkEnd w:id="28"/>
      <w:bookmarkStart w:id="29" w:name="_Toc184313275"/>
      <w:bookmarkEnd w:id="29"/>
      <w:bookmarkStart w:id="30" w:name="_Toc184314413"/>
      <w:bookmarkEnd w:id="30"/>
      <w:bookmarkStart w:id="31" w:name="_Toc184310298"/>
      <w:bookmarkEnd w:id="31"/>
      <w:bookmarkStart w:id="32" w:name="_Toc184310326"/>
      <w:bookmarkEnd w:id="32"/>
      <w:bookmarkStart w:id="33" w:name="_Toc184314428"/>
      <w:bookmarkEnd w:id="33"/>
      <w:bookmarkStart w:id="34" w:name="_Toc184310291"/>
      <w:bookmarkEnd w:id="34"/>
      <w:bookmarkStart w:id="35" w:name="_Toc184313287"/>
      <w:bookmarkEnd w:id="35"/>
      <w:bookmarkStart w:id="36" w:name="_Toc184313292"/>
      <w:bookmarkEnd w:id="36"/>
      <w:bookmarkStart w:id="37" w:name="_Toc184313288"/>
      <w:bookmarkEnd w:id="37"/>
      <w:bookmarkStart w:id="38" w:name="_Toc184310294"/>
      <w:bookmarkEnd w:id="38"/>
      <w:bookmarkStart w:id="39" w:name="_Toc184310288"/>
      <w:bookmarkEnd w:id="39"/>
      <w:bookmarkStart w:id="40" w:name="_Toc184308061"/>
      <w:bookmarkEnd w:id="40"/>
      <w:bookmarkStart w:id="41" w:name="_Toc184312136"/>
      <w:bookmarkEnd w:id="41"/>
      <w:bookmarkStart w:id="42" w:name="_Toc184310299"/>
      <w:bookmarkEnd w:id="42"/>
      <w:bookmarkStart w:id="43" w:name="_Toc184314411"/>
      <w:bookmarkEnd w:id="43"/>
      <w:bookmarkStart w:id="44" w:name="_Toc184310287"/>
      <w:bookmarkEnd w:id="44"/>
      <w:bookmarkStart w:id="45" w:name="_Toc184313274"/>
      <w:bookmarkEnd w:id="45"/>
      <w:bookmarkStart w:id="46" w:name="_Toc184314451"/>
      <w:bookmarkEnd w:id="46"/>
      <w:bookmarkStart w:id="47" w:name="_Toc184312124"/>
      <w:bookmarkEnd w:id="47"/>
      <w:bookmarkStart w:id="48" w:name="_Toc184310290"/>
      <w:bookmarkEnd w:id="48"/>
      <w:bookmarkStart w:id="49" w:name="_Toc184314482"/>
      <w:bookmarkEnd w:id="49"/>
      <w:bookmarkStart w:id="50" w:name="_Toc184310289"/>
      <w:bookmarkEnd w:id="50"/>
      <w:bookmarkStart w:id="51" w:name="_Toc184312109"/>
      <w:bookmarkEnd w:id="51"/>
      <w:bookmarkStart w:id="52" w:name="_Toc184313277"/>
      <w:bookmarkEnd w:id="52"/>
      <w:bookmarkStart w:id="53" w:name="_Toc184313297"/>
      <w:bookmarkEnd w:id="53"/>
      <w:bookmarkStart w:id="54" w:name="_Toc184308102"/>
      <w:bookmarkEnd w:id="54"/>
      <w:bookmarkStart w:id="55" w:name="_Toc184312120"/>
      <w:bookmarkEnd w:id="55"/>
      <w:bookmarkStart w:id="56" w:name="_Toc184314453"/>
      <w:bookmarkEnd w:id="56"/>
      <w:bookmarkStart w:id="57" w:name="_Toc184310328"/>
      <w:bookmarkEnd w:id="57"/>
      <w:bookmarkStart w:id="58" w:name="_Toc184314426"/>
      <w:bookmarkEnd w:id="58"/>
      <w:bookmarkStart w:id="59" w:name="_Toc184308101"/>
      <w:bookmarkEnd w:id="59"/>
      <w:bookmarkStart w:id="60" w:name="_Toc184310272"/>
      <w:bookmarkEnd w:id="60"/>
      <w:bookmarkStart w:id="61" w:name="_Toc184312133"/>
      <w:bookmarkEnd w:id="61"/>
      <w:bookmarkStart w:id="62" w:name="_Toc184310283"/>
      <w:bookmarkEnd w:id="62"/>
      <w:bookmarkStart w:id="63" w:name="_Toc184314481"/>
      <w:bookmarkEnd w:id="63"/>
      <w:bookmarkStart w:id="64" w:name="_Toc184310285"/>
      <w:bookmarkEnd w:id="64"/>
      <w:bookmarkStart w:id="65" w:name="_Toc184312122"/>
      <w:bookmarkEnd w:id="65"/>
      <w:bookmarkStart w:id="66" w:name="_Toc184308093"/>
      <w:bookmarkEnd w:id="66"/>
      <w:bookmarkStart w:id="67" w:name="_Toc184308041"/>
      <w:bookmarkEnd w:id="67"/>
      <w:bookmarkStart w:id="68" w:name="_Toc184308070"/>
      <w:bookmarkEnd w:id="68"/>
      <w:bookmarkStart w:id="69" w:name="_Toc184314442"/>
      <w:bookmarkEnd w:id="69"/>
      <w:bookmarkStart w:id="70" w:name="_Toc184310338"/>
      <w:bookmarkEnd w:id="70"/>
      <w:bookmarkStart w:id="71" w:name="_Toc184313280"/>
      <w:bookmarkEnd w:id="71"/>
      <w:bookmarkStart w:id="72" w:name="_Toc184313293"/>
      <w:bookmarkEnd w:id="72"/>
      <w:bookmarkStart w:id="73" w:name="_Toc184312132"/>
      <w:bookmarkEnd w:id="73"/>
      <w:bookmarkStart w:id="74" w:name="_Toc184312117"/>
      <w:bookmarkEnd w:id="74"/>
      <w:bookmarkStart w:id="75" w:name="_Toc184310293"/>
      <w:bookmarkEnd w:id="75"/>
      <w:bookmarkStart w:id="76" w:name="_Toc184310340"/>
      <w:bookmarkEnd w:id="76"/>
      <w:bookmarkStart w:id="77" w:name="_Toc184308036"/>
      <w:bookmarkEnd w:id="77"/>
      <w:bookmarkStart w:id="78" w:name="_Toc184313294"/>
      <w:bookmarkEnd w:id="78"/>
      <w:bookmarkStart w:id="79" w:name="_Toc184312137"/>
      <w:bookmarkEnd w:id="79"/>
      <w:bookmarkStart w:id="80" w:name="_Toc184310282"/>
      <w:bookmarkEnd w:id="80"/>
      <w:bookmarkStart w:id="81" w:name="_Toc184313260"/>
      <w:bookmarkEnd w:id="81"/>
      <w:bookmarkStart w:id="82" w:name="_Toc184310339"/>
      <w:bookmarkEnd w:id="82"/>
      <w:bookmarkStart w:id="83" w:name="_Toc184314420"/>
      <w:bookmarkEnd w:id="83"/>
      <w:bookmarkStart w:id="84" w:name="_Toc184310275"/>
      <w:bookmarkEnd w:id="84"/>
      <w:bookmarkStart w:id="85" w:name="_Toc184314476"/>
      <w:bookmarkEnd w:id="85"/>
      <w:bookmarkStart w:id="86" w:name="_Toc184313252"/>
      <w:bookmarkEnd w:id="86"/>
      <w:bookmarkStart w:id="87" w:name="_Toc184308107"/>
      <w:bookmarkEnd w:id="87"/>
      <w:bookmarkStart w:id="88" w:name="_Toc184314443"/>
      <w:bookmarkEnd w:id="88"/>
      <w:bookmarkStart w:id="89" w:name="_Toc184308078"/>
      <w:bookmarkEnd w:id="89"/>
      <w:bookmarkStart w:id="90" w:name="_Toc184310306"/>
      <w:bookmarkEnd w:id="90"/>
      <w:bookmarkStart w:id="91" w:name="_Toc184312097"/>
      <w:bookmarkEnd w:id="91"/>
      <w:bookmarkStart w:id="92" w:name="_Toc184310341"/>
      <w:bookmarkEnd w:id="92"/>
      <w:bookmarkStart w:id="93" w:name="_Toc184314457"/>
      <w:bookmarkEnd w:id="93"/>
      <w:bookmarkStart w:id="94" w:name="_Toc184313251"/>
      <w:bookmarkEnd w:id="94"/>
      <w:bookmarkStart w:id="95" w:name="_Toc184313257"/>
      <w:bookmarkEnd w:id="95"/>
      <w:bookmarkStart w:id="96" w:name="_Toc184313306"/>
      <w:bookmarkEnd w:id="96"/>
      <w:bookmarkStart w:id="97" w:name="_Toc184308099"/>
      <w:bookmarkEnd w:id="97"/>
      <w:bookmarkStart w:id="98" w:name="_Toc184313308"/>
      <w:bookmarkEnd w:id="98"/>
      <w:bookmarkStart w:id="99" w:name="_Toc184314447"/>
      <w:bookmarkEnd w:id="99"/>
      <w:bookmarkStart w:id="100" w:name="_Toc184313268"/>
      <w:bookmarkEnd w:id="100"/>
      <w:bookmarkStart w:id="101" w:name="_Toc184313286"/>
      <w:bookmarkEnd w:id="101"/>
      <w:bookmarkStart w:id="102" w:name="_Toc184312084"/>
      <w:bookmarkEnd w:id="102"/>
      <w:bookmarkStart w:id="103" w:name="_Toc184308098"/>
      <w:bookmarkEnd w:id="103"/>
      <w:bookmarkStart w:id="104" w:name="_Toc184313276"/>
      <w:bookmarkEnd w:id="104"/>
      <w:bookmarkStart w:id="105" w:name="_Toc184313300"/>
      <w:bookmarkEnd w:id="105"/>
      <w:bookmarkStart w:id="106" w:name="_Toc184314466"/>
      <w:bookmarkEnd w:id="106"/>
      <w:bookmarkStart w:id="107" w:name="_Toc184314455"/>
      <w:bookmarkEnd w:id="107"/>
      <w:bookmarkStart w:id="108" w:name="_Toc184310332"/>
      <w:bookmarkEnd w:id="108"/>
      <w:bookmarkStart w:id="109" w:name="_Toc184313256"/>
      <w:bookmarkEnd w:id="109"/>
      <w:bookmarkStart w:id="110" w:name="_Toc184310308"/>
      <w:bookmarkEnd w:id="110"/>
      <w:bookmarkStart w:id="111" w:name="_Toc184312125"/>
      <w:bookmarkEnd w:id="111"/>
      <w:bookmarkStart w:id="112" w:name="_Toc184312072"/>
      <w:bookmarkEnd w:id="112"/>
      <w:bookmarkStart w:id="113" w:name="_Toc184308091"/>
      <w:bookmarkEnd w:id="113"/>
      <w:bookmarkStart w:id="114" w:name="_Toc184312083"/>
      <w:bookmarkEnd w:id="114"/>
      <w:bookmarkStart w:id="115" w:name="_Toc184308043"/>
      <w:bookmarkEnd w:id="115"/>
      <w:bookmarkStart w:id="116" w:name="_Toc184312092"/>
      <w:bookmarkEnd w:id="116"/>
      <w:bookmarkStart w:id="117" w:name="_Toc184308089"/>
      <w:bookmarkEnd w:id="117"/>
      <w:bookmarkStart w:id="118" w:name="_Toc184308055"/>
      <w:bookmarkEnd w:id="118"/>
      <w:bookmarkStart w:id="119" w:name="_Toc184308052"/>
      <w:bookmarkEnd w:id="119"/>
      <w:bookmarkStart w:id="120" w:name="_Toc184314433"/>
      <w:bookmarkEnd w:id="120"/>
      <w:bookmarkStart w:id="121" w:name="_Toc184313265"/>
      <w:bookmarkEnd w:id="121"/>
      <w:bookmarkStart w:id="122" w:name="_Toc184310305"/>
      <w:bookmarkEnd w:id="122"/>
      <w:bookmarkStart w:id="123" w:name="_Toc184310274"/>
      <w:bookmarkEnd w:id="123"/>
      <w:bookmarkStart w:id="124" w:name="_Toc184312067"/>
      <w:bookmarkEnd w:id="124"/>
      <w:bookmarkStart w:id="125" w:name="_Toc184310342"/>
      <w:bookmarkEnd w:id="125"/>
      <w:bookmarkStart w:id="126" w:name="_Toc184314417"/>
      <w:bookmarkEnd w:id="126"/>
      <w:bookmarkStart w:id="127" w:name="_Toc184313259"/>
      <w:bookmarkEnd w:id="127"/>
      <w:bookmarkStart w:id="128" w:name="_Toc184312093"/>
      <w:bookmarkEnd w:id="128"/>
      <w:bookmarkStart w:id="129" w:name="_Toc184313305"/>
      <w:bookmarkEnd w:id="129"/>
      <w:bookmarkStart w:id="130" w:name="_Toc184308075"/>
      <w:bookmarkEnd w:id="130"/>
      <w:bookmarkStart w:id="131" w:name="_Toc184313242"/>
      <w:bookmarkEnd w:id="131"/>
      <w:bookmarkStart w:id="132" w:name="_Toc184312103"/>
      <w:bookmarkEnd w:id="132"/>
      <w:bookmarkStart w:id="133" w:name="_Toc184310316"/>
      <w:bookmarkEnd w:id="133"/>
      <w:bookmarkStart w:id="134" w:name="_Toc184308040"/>
      <w:bookmarkEnd w:id="134"/>
      <w:bookmarkStart w:id="135" w:name="_Toc184310311"/>
      <w:bookmarkEnd w:id="135"/>
      <w:bookmarkStart w:id="136" w:name="_Toc184312118"/>
      <w:bookmarkEnd w:id="136"/>
      <w:bookmarkStart w:id="137" w:name="_Toc184312113"/>
      <w:bookmarkEnd w:id="137"/>
      <w:bookmarkStart w:id="138" w:name="_Toc184308059"/>
      <w:bookmarkEnd w:id="138"/>
      <w:bookmarkStart w:id="139" w:name="_Toc184314421"/>
      <w:bookmarkEnd w:id="139"/>
      <w:bookmarkStart w:id="140" w:name="_Toc184314444"/>
      <w:bookmarkEnd w:id="140"/>
      <w:bookmarkStart w:id="141" w:name="_Toc184313291"/>
      <w:bookmarkEnd w:id="141"/>
      <w:bookmarkStart w:id="142" w:name="_Toc184313243"/>
      <w:bookmarkEnd w:id="142"/>
      <w:bookmarkStart w:id="143" w:name="_Toc184312106"/>
      <w:bookmarkEnd w:id="143"/>
      <w:bookmarkStart w:id="144" w:name="_Toc184312123"/>
      <w:bookmarkEnd w:id="144"/>
      <w:bookmarkStart w:id="145" w:name="_Toc184308073"/>
      <w:bookmarkEnd w:id="145"/>
      <w:bookmarkStart w:id="146" w:name="_Toc184313278"/>
      <w:bookmarkEnd w:id="146"/>
      <w:bookmarkStart w:id="147" w:name="_Toc184312070"/>
      <w:bookmarkEnd w:id="147"/>
      <w:bookmarkStart w:id="148" w:name="_Toc184312076"/>
      <w:bookmarkEnd w:id="148"/>
      <w:bookmarkStart w:id="149" w:name="_Toc184308064"/>
      <w:bookmarkEnd w:id="149"/>
      <w:bookmarkStart w:id="150" w:name="_Toc184308072"/>
      <w:bookmarkEnd w:id="150"/>
      <w:bookmarkStart w:id="151" w:name="_Toc184313270"/>
      <w:bookmarkEnd w:id="151"/>
      <w:bookmarkStart w:id="152" w:name="_Toc184312095"/>
      <w:bookmarkEnd w:id="152"/>
      <w:bookmarkStart w:id="153" w:name="_Toc184308037"/>
      <w:bookmarkEnd w:id="153"/>
      <w:bookmarkStart w:id="154" w:name="_Toc184314479"/>
      <w:bookmarkEnd w:id="154"/>
      <w:bookmarkStart w:id="155" w:name="_Toc184314480"/>
      <w:bookmarkEnd w:id="155"/>
      <w:bookmarkStart w:id="156" w:name="_Toc184314462"/>
      <w:bookmarkEnd w:id="156"/>
      <w:bookmarkStart w:id="157" w:name="_Toc184310279"/>
      <w:bookmarkEnd w:id="157"/>
      <w:bookmarkStart w:id="158" w:name="_Toc184310337"/>
      <w:bookmarkEnd w:id="158"/>
      <w:bookmarkStart w:id="159" w:name="_Toc184314465"/>
      <w:bookmarkEnd w:id="159"/>
      <w:bookmarkStart w:id="160" w:name="_Toc184314441"/>
      <w:bookmarkEnd w:id="160"/>
      <w:bookmarkStart w:id="161" w:name="_Toc184314470"/>
      <w:bookmarkEnd w:id="161"/>
      <w:bookmarkStart w:id="162" w:name="_Toc184310296"/>
      <w:bookmarkEnd w:id="162"/>
      <w:bookmarkStart w:id="163" w:name="_Toc184314460"/>
      <w:bookmarkEnd w:id="163"/>
      <w:bookmarkStart w:id="164" w:name="_Toc184308044"/>
      <w:bookmarkEnd w:id="164"/>
      <w:bookmarkStart w:id="165" w:name="_Toc184310344"/>
      <w:bookmarkEnd w:id="165"/>
      <w:bookmarkStart w:id="166" w:name="_Toc184313238"/>
      <w:bookmarkEnd w:id="166"/>
      <w:bookmarkStart w:id="167" w:name="_Toc184313246"/>
      <w:bookmarkEnd w:id="167"/>
      <w:bookmarkStart w:id="168" w:name="_Toc184308106"/>
      <w:bookmarkEnd w:id="168"/>
      <w:bookmarkStart w:id="169" w:name="_Toc184313307"/>
      <w:bookmarkEnd w:id="169"/>
      <w:bookmarkStart w:id="170" w:name="_Toc184310309"/>
      <w:bookmarkEnd w:id="170"/>
      <w:bookmarkStart w:id="171" w:name="_Toc184314410"/>
      <w:bookmarkEnd w:id="171"/>
      <w:bookmarkStart w:id="172" w:name="_Toc184308065"/>
      <w:bookmarkEnd w:id="172"/>
      <w:bookmarkStart w:id="173" w:name="_Toc184310286"/>
      <w:bookmarkEnd w:id="173"/>
      <w:bookmarkStart w:id="174" w:name="_Toc184312094"/>
      <w:bookmarkEnd w:id="174"/>
      <w:bookmarkStart w:id="175" w:name="_Toc184308038"/>
      <w:bookmarkEnd w:id="175"/>
      <w:bookmarkStart w:id="176" w:name="_Toc184308056"/>
      <w:bookmarkEnd w:id="176"/>
      <w:bookmarkStart w:id="177" w:name="_Toc184312127"/>
      <w:bookmarkEnd w:id="177"/>
      <w:bookmarkStart w:id="178" w:name="_Toc184308039"/>
      <w:bookmarkEnd w:id="178"/>
      <w:bookmarkStart w:id="179" w:name="_Toc184310303"/>
      <w:bookmarkEnd w:id="179"/>
      <w:bookmarkStart w:id="180" w:name="_Toc184310278"/>
      <w:bookmarkEnd w:id="180"/>
      <w:bookmarkStart w:id="181" w:name="_Toc184312068"/>
      <w:bookmarkEnd w:id="181"/>
      <w:bookmarkStart w:id="182" w:name="_Toc184312104"/>
      <w:bookmarkEnd w:id="182"/>
      <w:bookmarkStart w:id="183" w:name="_Toc184308092"/>
      <w:bookmarkEnd w:id="183"/>
      <w:bookmarkStart w:id="184" w:name="_Toc184308095"/>
      <w:bookmarkEnd w:id="184"/>
      <w:bookmarkStart w:id="185" w:name="_Toc184308090"/>
      <w:bookmarkEnd w:id="185"/>
      <w:bookmarkStart w:id="186" w:name="_Toc184310315"/>
      <w:bookmarkEnd w:id="186"/>
      <w:bookmarkStart w:id="187" w:name="_Toc184312107"/>
      <w:bookmarkEnd w:id="187"/>
      <w:bookmarkStart w:id="188" w:name="_Toc184312074"/>
      <w:bookmarkEnd w:id="188"/>
      <w:bookmarkStart w:id="189" w:name="_Toc184310329"/>
      <w:bookmarkEnd w:id="189"/>
      <w:bookmarkStart w:id="190" w:name="_Toc184313248"/>
      <w:bookmarkEnd w:id="190"/>
      <w:bookmarkStart w:id="191" w:name="_Toc184313283"/>
      <w:bookmarkEnd w:id="191"/>
      <w:bookmarkStart w:id="192" w:name="_Toc184312075"/>
      <w:bookmarkEnd w:id="192"/>
      <w:bookmarkStart w:id="193" w:name="_Toc184314415"/>
      <w:bookmarkEnd w:id="193"/>
      <w:bookmarkStart w:id="194" w:name="_Toc184310284"/>
      <w:bookmarkEnd w:id="194"/>
      <w:bookmarkStart w:id="195" w:name="_Toc184310281"/>
      <w:bookmarkEnd w:id="195"/>
      <w:bookmarkStart w:id="196" w:name="_Toc184313244"/>
      <w:bookmarkEnd w:id="196"/>
      <w:bookmarkStart w:id="197" w:name="_Toc184314436"/>
      <w:bookmarkEnd w:id="197"/>
      <w:bookmarkStart w:id="198" w:name="_Toc184308100"/>
      <w:bookmarkEnd w:id="198"/>
      <w:bookmarkStart w:id="199" w:name="_Toc184312126"/>
      <w:bookmarkEnd w:id="199"/>
      <w:bookmarkStart w:id="200" w:name="_Toc184313285"/>
      <w:bookmarkEnd w:id="200"/>
      <w:bookmarkStart w:id="201" w:name="_Toc184312099"/>
      <w:bookmarkEnd w:id="201"/>
      <w:bookmarkStart w:id="202" w:name="_Toc184313254"/>
      <w:bookmarkEnd w:id="202"/>
      <w:bookmarkStart w:id="203" w:name="_Toc184312086"/>
      <w:bookmarkEnd w:id="203"/>
      <w:bookmarkStart w:id="204" w:name="_Toc184308049"/>
      <w:bookmarkEnd w:id="204"/>
      <w:bookmarkStart w:id="205" w:name="_Toc184314468"/>
      <w:bookmarkEnd w:id="205"/>
      <w:bookmarkStart w:id="206" w:name="_Toc184313267"/>
      <w:bookmarkEnd w:id="206"/>
      <w:bookmarkStart w:id="207" w:name="_Toc184310300"/>
      <w:bookmarkEnd w:id="207"/>
      <w:bookmarkStart w:id="208" w:name="_Toc184310322"/>
      <w:bookmarkEnd w:id="208"/>
      <w:bookmarkStart w:id="209" w:name="_Toc184308103"/>
      <w:bookmarkEnd w:id="209"/>
      <w:bookmarkStart w:id="210" w:name="_Toc184310301"/>
      <w:bookmarkEnd w:id="210"/>
      <w:bookmarkStart w:id="211" w:name="_Toc184313272"/>
      <w:bookmarkEnd w:id="211"/>
      <w:bookmarkStart w:id="212" w:name="_Toc184314432"/>
      <w:bookmarkEnd w:id="212"/>
      <w:bookmarkStart w:id="213" w:name="_Toc184314418"/>
      <w:bookmarkEnd w:id="213"/>
      <w:bookmarkStart w:id="214" w:name="_Toc184310343"/>
      <w:bookmarkEnd w:id="214"/>
      <w:bookmarkStart w:id="215" w:name="_Toc184312138"/>
      <w:bookmarkEnd w:id="215"/>
      <w:bookmarkStart w:id="216" w:name="_Toc184314463"/>
      <w:bookmarkEnd w:id="216"/>
      <w:bookmarkStart w:id="217" w:name="_Toc184313258"/>
      <w:bookmarkEnd w:id="217"/>
      <w:bookmarkStart w:id="218" w:name="_Toc184313250"/>
      <w:bookmarkEnd w:id="218"/>
      <w:bookmarkStart w:id="219" w:name="_Toc184312105"/>
      <w:bookmarkEnd w:id="219"/>
      <w:bookmarkStart w:id="220" w:name="_Toc184313264"/>
      <w:bookmarkEnd w:id="220"/>
      <w:bookmarkStart w:id="221" w:name="_Toc184308087"/>
      <w:bookmarkEnd w:id="221"/>
      <w:bookmarkStart w:id="222" w:name="_Toc184314434"/>
      <w:bookmarkEnd w:id="222"/>
      <w:bookmarkStart w:id="223" w:name="_Toc184314422"/>
      <w:bookmarkEnd w:id="223"/>
      <w:bookmarkStart w:id="224" w:name="_Toc184314475"/>
      <w:bookmarkEnd w:id="224"/>
      <w:bookmarkStart w:id="225" w:name="_Toc184308071"/>
      <w:bookmarkEnd w:id="225"/>
      <w:bookmarkStart w:id="226" w:name="_Toc184314472"/>
      <w:bookmarkEnd w:id="226"/>
      <w:bookmarkStart w:id="227" w:name="_Toc184308068"/>
      <w:bookmarkEnd w:id="227"/>
      <w:bookmarkStart w:id="228" w:name="_Toc184314458"/>
      <w:bookmarkEnd w:id="228"/>
      <w:bookmarkStart w:id="229" w:name="_Toc184313263"/>
      <w:bookmarkEnd w:id="229"/>
      <w:bookmarkStart w:id="230" w:name="_Toc184313303"/>
      <w:bookmarkEnd w:id="230"/>
      <w:bookmarkStart w:id="231" w:name="_Toc184308086"/>
      <w:bookmarkEnd w:id="231"/>
      <w:bookmarkStart w:id="232" w:name="_Toc184310325"/>
      <w:bookmarkEnd w:id="232"/>
      <w:bookmarkStart w:id="233" w:name="_Toc184313309"/>
      <w:bookmarkEnd w:id="233"/>
      <w:bookmarkStart w:id="234" w:name="_Toc184313310"/>
      <w:bookmarkEnd w:id="234"/>
      <w:bookmarkStart w:id="235" w:name="_Toc184310331"/>
      <w:bookmarkEnd w:id="235"/>
      <w:bookmarkStart w:id="236" w:name="_Toc184312130"/>
      <w:bookmarkEnd w:id="236"/>
      <w:bookmarkStart w:id="237" w:name="_Toc184314478"/>
      <w:bookmarkEnd w:id="237"/>
      <w:bookmarkStart w:id="238" w:name="_Toc184312101"/>
      <w:bookmarkEnd w:id="238"/>
      <w:bookmarkStart w:id="239" w:name="_Toc184308088"/>
      <w:bookmarkEnd w:id="239"/>
      <w:bookmarkStart w:id="240" w:name="_Toc184314454"/>
      <w:bookmarkEnd w:id="240"/>
      <w:bookmarkStart w:id="241" w:name="_Toc184308047"/>
      <w:bookmarkEnd w:id="241"/>
      <w:bookmarkStart w:id="242" w:name="_Toc184313282"/>
      <w:bookmarkEnd w:id="242"/>
      <w:bookmarkStart w:id="243" w:name="_Toc184308042"/>
      <w:bookmarkEnd w:id="243"/>
      <w:bookmarkStart w:id="244" w:name="_Toc184308066"/>
      <w:bookmarkEnd w:id="244"/>
      <w:bookmarkStart w:id="245" w:name="_Toc184314449"/>
      <w:bookmarkEnd w:id="245"/>
      <w:bookmarkStart w:id="246" w:name="_Toc184310307"/>
      <w:bookmarkEnd w:id="246"/>
      <w:bookmarkStart w:id="247" w:name="_Toc184308083"/>
      <w:bookmarkEnd w:id="247"/>
      <w:bookmarkStart w:id="248" w:name="_Toc184312121"/>
      <w:bookmarkEnd w:id="248"/>
      <w:bookmarkStart w:id="249" w:name="_Toc184310312"/>
      <w:bookmarkEnd w:id="249"/>
      <w:bookmarkStart w:id="250" w:name="_Toc184308079"/>
      <w:bookmarkEnd w:id="250"/>
      <w:bookmarkStart w:id="251" w:name="_Toc184313281"/>
      <w:bookmarkEnd w:id="251"/>
      <w:bookmarkStart w:id="252" w:name="_Toc184310336"/>
      <w:bookmarkEnd w:id="252"/>
      <w:bookmarkStart w:id="253" w:name="_Toc184313249"/>
      <w:bookmarkEnd w:id="253"/>
      <w:bookmarkStart w:id="254" w:name="_Toc184312129"/>
      <w:bookmarkEnd w:id="254"/>
      <w:bookmarkStart w:id="255" w:name="_Toc184310333"/>
      <w:bookmarkEnd w:id="255"/>
      <w:bookmarkStart w:id="256" w:name="_Toc184313241"/>
      <w:bookmarkEnd w:id="256"/>
      <w:bookmarkStart w:id="257" w:name="_Toc184312114"/>
      <w:bookmarkEnd w:id="257"/>
      <w:bookmarkStart w:id="258" w:name="_Toc184313239"/>
      <w:bookmarkEnd w:id="258"/>
      <w:bookmarkStart w:id="259" w:name="_Toc184312087"/>
      <w:bookmarkEnd w:id="259"/>
      <w:bookmarkStart w:id="260" w:name="_Toc184308050"/>
      <w:bookmarkEnd w:id="260"/>
      <w:bookmarkStart w:id="261" w:name="_Toc184310330"/>
      <w:bookmarkEnd w:id="261"/>
      <w:bookmarkStart w:id="262" w:name="_Toc184312090"/>
      <w:bookmarkEnd w:id="262"/>
      <w:bookmarkStart w:id="263" w:name="_Toc184312091"/>
      <w:bookmarkEnd w:id="263"/>
      <w:bookmarkStart w:id="264" w:name="_Toc184310334"/>
      <w:bookmarkEnd w:id="264"/>
      <w:bookmarkStart w:id="265" w:name="_Toc184314471"/>
      <w:bookmarkEnd w:id="265"/>
      <w:bookmarkStart w:id="266" w:name="_Toc184308060"/>
      <w:bookmarkEnd w:id="266"/>
      <w:bookmarkStart w:id="267" w:name="_Toc184313266"/>
      <w:bookmarkEnd w:id="267"/>
      <w:bookmarkStart w:id="268" w:name="_Toc184314430"/>
      <w:bookmarkEnd w:id="268"/>
      <w:bookmarkStart w:id="269" w:name="_Toc184310317"/>
      <w:bookmarkEnd w:id="269"/>
      <w:bookmarkStart w:id="270" w:name="_Toc184313273"/>
      <w:bookmarkEnd w:id="270"/>
      <w:bookmarkStart w:id="271" w:name="_Toc184308046"/>
      <w:bookmarkEnd w:id="271"/>
      <w:bookmarkStart w:id="272" w:name="_Toc184314440"/>
      <w:bookmarkEnd w:id="272"/>
      <w:bookmarkStart w:id="273" w:name="_Toc184310327"/>
      <w:bookmarkEnd w:id="273"/>
      <w:bookmarkStart w:id="274" w:name="_Toc184314446"/>
      <w:bookmarkEnd w:id="274"/>
      <w:bookmarkStart w:id="275" w:name="_Toc184312081"/>
      <w:bookmarkEnd w:id="275"/>
      <w:bookmarkStart w:id="276" w:name="_Toc184308084"/>
      <w:bookmarkEnd w:id="276"/>
      <w:bookmarkStart w:id="277" w:name="_Toc184308081"/>
      <w:bookmarkEnd w:id="277"/>
      <w:bookmarkStart w:id="278" w:name="_Toc184314412"/>
      <w:bookmarkEnd w:id="278"/>
      <w:bookmarkStart w:id="279" w:name="_Toc184313284"/>
      <w:bookmarkEnd w:id="279"/>
      <w:bookmarkStart w:id="280" w:name="_Toc184313262"/>
      <w:bookmarkEnd w:id="280"/>
      <w:bookmarkStart w:id="281" w:name="_Toc184308094"/>
      <w:bookmarkEnd w:id="281"/>
      <w:bookmarkStart w:id="282" w:name="_Toc184312077"/>
      <w:bookmarkEnd w:id="282"/>
      <w:bookmarkStart w:id="283" w:name="_Toc184312088"/>
      <w:bookmarkEnd w:id="283"/>
      <w:bookmarkStart w:id="284" w:name="_Toc184312131"/>
      <w:bookmarkEnd w:id="284"/>
      <w:bookmarkStart w:id="285" w:name="_Toc184313290"/>
      <w:bookmarkEnd w:id="285"/>
      <w:bookmarkStart w:id="286" w:name="_Toc184312108"/>
      <w:bookmarkEnd w:id="286"/>
      <w:bookmarkStart w:id="287" w:name="_Toc184308051"/>
      <w:bookmarkEnd w:id="287"/>
      <w:bookmarkStart w:id="288" w:name="_Toc184310277"/>
      <w:bookmarkEnd w:id="288"/>
      <w:bookmarkStart w:id="289" w:name="_Toc184308057"/>
      <w:bookmarkEnd w:id="289"/>
      <w:bookmarkStart w:id="290" w:name="_Toc184313298"/>
      <w:bookmarkEnd w:id="290"/>
      <w:bookmarkStart w:id="291" w:name="_Toc184312080"/>
      <w:bookmarkEnd w:id="291"/>
      <w:bookmarkStart w:id="292" w:name="_Toc184312111"/>
      <w:bookmarkEnd w:id="292"/>
      <w:bookmarkStart w:id="293" w:name="_Toc184310292"/>
      <w:bookmarkEnd w:id="293"/>
      <w:bookmarkStart w:id="294" w:name="_Toc184314414"/>
      <w:bookmarkEnd w:id="294"/>
      <w:bookmarkStart w:id="295" w:name="_Toc184314452"/>
      <w:bookmarkEnd w:id="295"/>
      <w:bookmarkStart w:id="296" w:name="_Toc184312135"/>
      <w:bookmarkEnd w:id="296"/>
      <w:bookmarkStart w:id="297" w:name="_Toc184314427"/>
      <w:bookmarkEnd w:id="297"/>
      <w:bookmarkStart w:id="298" w:name="_Toc184313253"/>
      <w:bookmarkEnd w:id="298"/>
      <w:bookmarkStart w:id="299" w:name="_Toc184314439"/>
      <w:bookmarkEnd w:id="299"/>
      <w:bookmarkStart w:id="300" w:name="_Toc184312139"/>
      <w:bookmarkEnd w:id="300"/>
      <w:bookmarkStart w:id="301" w:name="_Toc184314477"/>
      <w:bookmarkEnd w:id="301"/>
      <w:bookmarkStart w:id="302" w:name="_Toc184314469"/>
      <w:bookmarkEnd w:id="302"/>
      <w:bookmarkStart w:id="303" w:name="_Toc184313301"/>
      <w:bookmarkEnd w:id="303"/>
      <w:bookmarkStart w:id="304" w:name="_Toc184310302"/>
      <w:bookmarkEnd w:id="304"/>
      <w:bookmarkStart w:id="305" w:name="_Toc184308063"/>
      <w:bookmarkEnd w:id="305"/>
      <w:bookmarkStart w:id="306" w:name="_Toc184312078"/>
      <w:bookmarkEnd w:id="306"/>
      <w:bookmarkStart w:id="307" w:name="_Toc184310319"/>
      <w:bookmarkEnd w:id="307"/>
      <w:bookmarkStart w:id="308" w:name="_Toc184310273"/>
      <w:bookmarkEnd w:id="308"/>
      <w:bookmarkStart w:id="309" w:name="_Toc184308076"/>
      <w:bookmarkEnd w:id="309"/>
      <w:bookmarkStart w:id="310" w:name="_Toc184314467"/>
      <w:bookmarkEnd w:id="310"/>
      <w:bookmarkStart w:id="311" w:name="_Toc184312102"/>
      <w:bookmarkEnd w:id="311"/>
      <w:bookmarkStart w:id="312" w:name="_Toc184312098"/>
      <w:bookmarkEnd w:id="312"/>
      <w:bookmarkStart w:id="313" w:name="_Toc184312119"/>
      <w:bookmarkEnd w:id="313"/>
      <w:bookmarkStart w:id="314" w:name="_Toc184314438"/>
      <w:bookmarkEnd w:id="314"/>
      <w:bookmarkStart w:id="315" w:name="_Toc184308054"/>
      <w:bookmarkEnd w:id="315"/>
      <w:bookmarkStart w:id="316" w:name="_Toc184308074"/>
      <w:bookmarkEnd w:id="316"/>
      <w:bookmarkStart w:id="317" w:name="_Toc184308062"/>
      <w:bookmarkEnd w:id="317"/>
      <w:bookmarkStart w:id="318" w:name="_Toc184313299"/>
      <w:bookmarkEnd w:id="318"/>
      <w:bookmarkStart w:id="319" w:name="_Toc184310297"/>
      <w:bookmarkEnd w:id="319"/>
      <w:bookmarkStart w:id="320" w:name="_Toc184314445"/>
      <w:bookmarkEnd w:id="320"/>
      <w:bookmarkStart w:id="321" w:name="_Toc184308048"/>
      <w:bookmarkEnd w:id="321"/>
      <w:bookmarkStart w:id="322" w:name="_Toc184310310"/>
      <w:bookmarkEnd w:id="322"/>
      <w:bookmarkStart w:id="323" w:name="_Toc184313255"/>
      <w:bookmarkEnd w:id="323"/>
      <w:bookmarkStart w:id="324" w:name="_Toc184308053"/>
      <w:bookmarkEnd w:id="324"/>
      <w:bookmarkStart w:id="325" w:name="_Toc184314423"/>
      <w:bookmarkEnd w:id="325"/>
      <w:bookmarkStart w:id="326" w:name="_Toc184310280"/>
      <w:bookmarkEnd w:id="326"/>
      <w:bookmarkStart w:id="327" w:name="_Toc184308105"/>
      <w:bookmarkEnd w:id="327"/>
      <w:bookmarkStart w:id="328" w:name="_Toc184314429"/>
      <w:bookmarkEnd w:id="328"/>
      <w:bookmarkStart w:id="329" w:name="_Toc184314448"/>
      <w:bookmarkEnd w:id="329"/>
      <w:bookmarkStart w:id="330" w:name="_Toc184312115"/>
      <w:bookmarkEnd w:id="330"/>
      <w:bookmarkStart w:id="331" w:name="_Toc184312085"/>
      <w:bookmarkEnd w:id="331"/>
      <w:bookmarkStart w:id="332" w:name="_Toc184314450"/>
      <w:bookmarkEnd w:id="332"/>
      <w:bookmarkStart w:id="333" w:name="_Toc184312112"/>
      <w:bookmarkEnd w:id="333"/>
      <w:bookmarkStart w:id="334" w:name="_Toc184313302"/>
      <w:bookmarkEnd w:id="334"/>
      <w:bookmarkStart w:id="335" w:name="_Toc184313289"/>
      <w:bookmarkEnd w:id="335"/>
      <w:bookmarkStart w:id="336" w:name="_Toc184313247"/>
      <w:bookmarkEnd w:id="336"/>
      <w:bookmarkStart w:id="337" w:name="_Toc184312110"/>
      <w:bookmarkEnd w:id="337"/>
      <w:bookmarkStart w:id="338" w:name="_Toc184312089"/>
      <w:bookmarkEnd w:id="338"/>
      <w:bookmarkStart w:id="339" w:name="_Toc184308067"/>
      <w:bookmarkEnd w:id="339"/>
      <w:bookmarkStart w:id="340" w:name="_Toc184310313"/>
      <w:bookmarkEnd w:id="340"/>
      <w:bookmarkStart w:id="341" w:name="_Toc184313279"/>
      <w:bookmarkEnd w:id="341"/>
      <w:bookmarkStart w:id="342" w:name="_Toc184310335"/>
      <w:bookmarkEnd w:id="342"/>
      <w:bookmarkStart w:id="343" w:name="_Toc184314459"/>
      <w:bookmarkEnd w:id="343"/>
      <w:bookmarkStart w:id="344" w:name="_Toc184313295"/>
      <w:bookmarkEnd w:id="344"/>
      <w:bookmarkStart w:id="345" w:name="_Toc184313296"/>
      <w:bookmarkEnd w:id="345"/>
      <w:bookmarkStart w:id="346" w:name="_Toc184312134"/>
      <w:bookmarkEnd w:id="346"/>
      <w:bookmarkStart w:id="347" w:name="_Toc184313240"/>
      <w:bookmarkEnd w:id="347"/>
      <w:bookmarkStart w:id="348" w:name="_Toc184310321"/>
      <w:bookmarkEnd w:id="348"/>
      <w:bookmarkStart w:id="349" w:name="_Toc184308096"/>
      <w:bookmarkEnd w:id="349"/>
      <w:bookmarkStart w:id="350" w:name="_Toc184314437"/>
      <w:bookmarkEnd w:id="350"/>
      <w:bookmarkStart w:id="351" w:name="_Toc184310318"/>
      <w:bookmarkEnd w:id="351"/>
      <w:bookmarkStart w:id="352" w:name="_Toc184308058"/>
      <w:bookmarkEnd w:id="352"/>
      <w:bookmarkStart w:id="353" w:name="_Toc184314461"/>
      <w:bookmarkEnd w:id="353"/>
      <w:bookmarkStart w:id="354" w:name="_Toc184312100"/>
      <w:bookmarkEnd w:id="354"/>
      <w:bookmarkStart w:id="355" w:name="_Toc184313304"/>
      <w:bookmarkEnd w:id="355"/>
      <w:bookmarkStart w:id="356" w:name="_Toc184314435"/>
      <w:bookmarkEnd w:id="356"/>
      <w:bookmarkStart w:id="357" w:name="_Toc184313269"/>
      <w:bookmarkEnd w:id="357"/>
      <w:bookmarkStart w:id="358" w:name="_Toc184308104"/>
      <w:bookmarkEnd w:id="358"/>
      <w:bookmarkStart w:id="359" w:name="_Toc184312071"/>
      <w:bookmarkEnd w:id="359"/>
      <w:bookmarkStart w:id="360" w:name="_Toc184312128"/>
      <w:bookmarkEnd w:id="360"/>
      <w:bookmarkStart w:id="361" w:name="_Toc184314424"/>
      <w:bookmarkEnd w:id="361"/>
      <w:bookmarkStart w:id="362" w:name="_Toc184310320"/>
      <w:bookmarkEnd w:id="362"/>
      <w:bookmarkStart w:id="363" w:name="_Toc184308085"/>
      <w:bookmarkEnd w:id="363"/>
      <w:bookmarkStart w:id="364" w:name="_Toc184310314"/>
      <w:bookmarkEnd w:id="364"/>
      <w:bookmarkStart w:id="365" w:name="_Toc184313261"/>
      <w:bookmarkEnd w:id="365"/>
      <w:bookmarkStart w:id="366" w:name="_Toc184310276"/>
      <w:bookmarkEnd w:id="366"/>
      <w:bookmarkStart w:id="367" w:name="_Toc184314416"/>
      <w:bookmarkEnd w:id="367"/>
      <w:bookmarkStart w:id="368" w:name="_Toc184308077"/>
      <w:bookmarkEnd w:id="368"/>
      <w:bookmarkStart w:id="369" w:name="_Toc184308108"/>
      <w:bookmarkEnd w:id="369"/>
      <w:bookmarkStart w:id="370" w:name="_Toc184314474"/>
      <w:bookmarkEnd w:id="370"/>
      <w:bookmarkStart w:id="371" w:name="_Toc184312096"/>
      <w:bookmarkEnd w:id="371"/>
      <w:bookmarkStart w:id="372" w:name="_Toc184312069"/>
      <w:bookmarkEnd w:id="372"/>
      <w:bookmarkStart w:id="373" w:name="_Toc184312082"/>
      <w:bookmarkEnd w:id="373"/>
      <w:bookmarkStart w:id="374" w:name="_Toc184308045"/>
      <w:bookmarkEnd w:id="374"/>
      <w:bookmarkStart w:id="375" w:name="_Toc184314464"/>
      <w:bookmarkEnd w:id="375"/>
      <w:bookmarkStart w:id="376" w:name="_Toc184308069"/>
      <w:bookmarkEnd w:id="376"/>
      <w:bookmarkStart w:id="377" w:name="_Toc184314419"/>
      <w:bookmarkEnd w:id="377"/>
      <w:bookmarkStart w:id="378" w:name="_Toc184314473"/>
      <w:bookmarkEnd w:id="378"/>
      <w:bookmarkStart w:id="379" w:name="_Toc184310323"/>
      <w:bookmarkEnd w:id="379"/>
      <w:bookmarkStart w:id="380" w:name="_Toc184308097"/>
      <w:bookmarkEnd w:id="380"/>
      <w:bookmarkStart w:id="381" w:name="_Toc184310304"/>
      <w:bookmarkEnd w:id="381"/>
      <w:bookmarkStart w:id="382" w:name="_Toc184314431"/>
      <w:bookmarkEnd w:id="382"/>
      <w:bookmarkStart w:id="383" w:name="_Toc184314425"/>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w:t>
      </w:r>
      <w:r>
        <w:rPr>
          <w:rFonts w:hint="eastAsia" w:ascii="宋体" w:hAnsi="宋体" w:cs="宋体"/>
          <w:color w:val="auto"/>
          <w:kern w:val="0"/>
          <w:sz w:val="24"/>
          <w:lang w:eastAsia="zh-CN"/>
        </w:rPr>
        <w:t>法律法规</w:t>
      </w:r>
      <w:r>
        <w:rPr>
          <w:rFonts w:hint="eastAsia" w:ascii="宋体" w:hAnsi="宋体" w:cs="宋体"/>
          <w:color w:val="auto"/>
          <w:kern w:val="0"/>
          <w:sz w:val="24"/>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N.</w:t>
      </w:r>
      <w:r>
        <w:rPr>
          <w:rFonts w:hint="eastAsia" w:ascii="宋体" w:hAnsi="宋体" w:cs="宋体"/>
          <w:color w:val="auto"/>
          <w:kern w:val="0"/>
          <w:sz w:val="24"/>
          <w:lang w:eastAsia="zh-CN"/>
        </w:rPr>
        <w:t>未</w:t>
      </w:r>
      <w:r>
        <w:rPr>
          <w:rFonts w:hint="eastAsia" w:ascii="宋体" w:hAnsi="宋体" w:cs="宋体"/>
          <w:color w:val="auto"/>
          <w:kern w:val="0"/>
          <w:sz w:val="24"/>
          <w:lang w:val="en-US" w:eastAsia="zh-CN"/>
        </w:rPr>
        <w:t>按</w:t>
      </w:r>
      <w:r>
        <w:rPr>
          <w:rFonts w:hint="eastAsia" w:ascii="宋体" w:hAnsi="宋体" w:cs="宋体"/>
          <w:color w:val="auto"/>
          <w:kern w:val="0"/>
          <w:sz w:val="24"/>
        </w:rPr>
        <w:t>要求</w:t>
      </w:r>
      <w:r>
        <w:rPr>
          <w:rFonts w:hint="eastAsia" w:ascii="宋体" w:hAnsi="宋体" w:cs="宋体"/>
          <w:color w:val="auto"/>
          <w:kern w:val="0"/>
          <w:sz w:val="24"/>
          <w:lang w:val="en-US" w:eastAsia="zh-CN"/>
        </w:rPr>
        <w:t>提供样品</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O.</w:t>
      </w:r>
      <w:r>
        <w:rPr>
          <w:rFonts w:hint="eastAsia" w:cs="仿宋" w:asciiTheme="minorEastAsia" w:hAnsiTheme="minorEastAsia"/>
          <w:snapToGrid w:val="0"/>
          <w:kern w:val="0"/>
          <w:sz w:val="24"/>
          <w:lang w:val="en-US" w:eastAsia="zh-CN"/>
        </w:rPr>
        <w:t>报价清单中出现漏项或单价为0的。</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pPr>
        <w:widowControl/>
        <w:snapToGrid w:val="0"/>
        <w:spacing w:line="460" w:lineRule="exact"/>
        <w:ind w:firstLine="480" w:firstLineChars="200"/>
        <w:rPr>
          <w:rFonts w:hint="eastAsia" w:cs="仿宋" w:asciiTheme="minorEastAsia" w:hAnsiTheme="minorEastAsia"/>
          <w:color w:val="auto"/>
          <w:sz w:val="24"/>
        </w:rPr>
      </w:pPr>
      <w:r>
        <w:rPr>
          <w:rFonts w:hint="default" w:cs="仿宋" w:asciiTheme="minorEastAsia" w:hAnsiTheme="minorEastAsia"/>
          <w:color w:val="auto"/>
          <w:sz w:val="24"/>
          <w:lang w:val="en-US"/>
        </w:rPr>
        <w:t>1.1</w:t>
      </w:r>
      <w:r>
        <w:rPr>
          <w:rFonts w:hint="eastAsia" w:cs="仿宋" w:asciiTheme="minorEastAsia" w:hAnsiTheme="minorEastAsia"/>
          <w:color w:val="auto"/>
          <w:sz w:val="24"/>
        </w:rPr>
        <w:t>若出现税率不一致的情况，以除税总金额相对比。</w:t>
      </w:r>
    </w:p>
    <w:p>
      <w:pPr>
        <w:widowControl/>
        <w:snapToGrid w:val="0"/>
        <w:spacing w:line="460" w:lineRule="exact"/>
        <w:ind w:firstLine="480" w:firstLineChars="200"/>
        <w:rPr>
          <w:rFonts w:hint="eastAsia" w:cs="仿宋" w:asciiTheme="minorEastAsia" w:hAnsiTheme="minorEastAsia"/>
          <w:b/>
          <w:bCs/>
          <w:color w:val="auto"/>
          <w:sz w:val="24"/>
        </w:rPr>
      </w:pPr>
      <w:r>
        <w:rPr>
          <w:rFonts w:hint="eastAsia" w:cs="仿宋" w:asciiTheme="minorEastAsia" w:hAnsiTheme="minorEastAsia"/>
          <w:color w:val="auto"/>
          <w:sz w:val="24"/>
          <w:lang w:val="en-US"/>
        </w:rPr>
        <w:t>1.2.若出现相同总金额最低报价情况时，则由评审小组按少数服从多数的原则通过投票表决决定。</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jc w:val="left"/>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spacing w:line="460" w:lineRule="exact"/>
        <w:ind w:firstLine="480" w:firstLineChars="200"/>
        <w:jc w:val="left"/>
        <w:outlineLvl w:val="0"/>
        <w:rPr>
          <w:rFonts w:hint="eastAsia" w:cs="仿宋" w:asciiTheme="minorEastAsia" w:hAnsiTheme="minorEastAsia"/>
          <w:sz w:val="24"/>
          <w:highlight w:val="yellow"/>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pPr>
        <w:spacing w:line="460" w:lineRule="exact"/>
        <w:jc w:val="center"/>
        <w:outlineLvl w:val="0"/>
        <w:rPr>
          <w:rFonts w:hint="eastAsia" w:cs="仿宋" w:asciiTheme="minorEastAsia" w:hAnsiTheme="minorEastAsia"/>
          <w:sz w:val="24"/>
          <w:highlight w:val="yellow"/>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hint="eastAsia" w:cs="仿宋" w:asciiTheme="minorEastAsia" w:hAnsiTheme="minorEastAsia"/>
          <w:b/>
          <w:color w:val="auto"/>
          <w:sz w:val="36"/>
          <w:szCs w:val="36"/>
        </w:rPr>
      </w:pPr>
    </w:p>
    <w:p>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pPr>
        <w:pStyle w:val="8"/>
        <w:rPr>
          <w:rFonts w:cs="仿宋" w:asciiTheme="minorEastAsia" w:hAnsiTheme="minorEastAsia"/>
          <w:color w:val="auto"/>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jc w:val="center"/>
        <w:rPr>
          <w:rFonts w:ascii="宋体" w:hAnsi="宋体" w:cs="宋体"/>
          <w:b/>
          <w:sz w:val="28"/>
          <w:szCs w:val="28"/>
        </w:rPr>
      </w:pPr>
    </w:p>
    <w:p>
      <w:pPr>
        <w:spacing w:line="480" w:lineRule="auto"/>
        <w:jc w:val="center"/>
        <w:rPr>
          <w:rFonts w:ascii="宋体" w:hAnsi="宋体" w:cs="宋体"/>
          <w:b/>
          <w:sz w:val="24"/>
        </w:rPr>
      </w:pPr>
    </w:p>
    <w:p>
      <w:pPr>
        <w:spacing w:line="480" w:lineRule="auto"/>
        <w:jc w:val="center"/>
        <w:rPr>
          <w:rFonts w:ascii="宋体" w:hAnsi="宋体" w:cs="宋体"/>
          <w:b/>
          <w:sz w:val="24"/>
        </w:rPr>
      </w:pPr>
    </w:p>
    <w:p>
      <w:pPr>
        <w:spacing w:line="480" w:lineRule="auto"/>
        <w:jc w:val="center"/>
        <w:rPr>
          <w:rFonts w:ascii="宋体" w:hAnsi="宋体" w:cs="宋体"/>
          <w:b/>
          <w:sz w:val="36"/>
          <w:szCs w:val="36"/>
        </w:rPr>
      </w:pPr>
      <w:r>
        <w:rPr>
          <w:rFonts w:hint="eastAsia" w:ascii="宋体" w:hAnsi="宋体" w:cs="宋体"/>
          <w:b/>
          <w:sz w:val="36"/>
          <w:szCs w:val="36"/>
          <w:lang w:val="en-US" w:eastAsia="zh-CN"/>
        </w:rPr>
        <w:t>服务类采购</w:t>
      </w:r>
      <w:r>
        <w:rPr>
          <w:rFonts w:hint="eastAsia" w:ascii="宋体" w:hAnsi="宋体" w:cs="宋体"/>
          <w:b/>
          <w:sz w:val="36"/>
          <w:szCs w:val="36"/>
        </w:rPr>
        <w:t>合同</w:t>
      </w:r>
    </w:p>
    <w:p>
      <w:pPr>
        <w:spacing w:before="120" w:line="22" w:lineRule="atLeast"/>
        <w:rPr>
          <w:rFonts w:ascii="宋体" w:hAnsi="宋体" w:cs="宋体"/>
          <w:sz w:val="24"/>
        </w:rPr>
      </w:pPr>
    </w:p>
    <w:p>
      <w:pPr>
        <w:pStyle w:val="3"/>
        <w:tabs>
          <w:tab w:val="left" w:pos="432"/>
        </w:tabs>
        <w:rPr>
          <w:rFonts w:hint="default" w:eastAsia="黑体"/>
          <w:lang w:val="en-US" w:eastAsia="zh-CN"/>
        </w:rPr>
      </w:pPr>
      <w:r>
        <w:rPr>
          <w:rFonts w:hint="eastAsia"/>
          <w:lang w:val="en-US" w:eastAsia="zh-CN"/>
        </w:rPr>
        <w:t xml:space="preserve">              </w:t>
      </w: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2024年临江公司汽车衡技术服务采购项目     </w:t>
      </w:r>
      <w:r>
        <w:rPr>
          <w:rFonts w:hint="eastAsia" w:ascii="宋体" w:hAnsi="宋体" w:cs="宋体"/>
          <w:sz w:val="24"/>
          <w:u w:val="single"/>
          <w:lang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杭州临江环境能源有限公司</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hint="eastAsia" w:ascii="宋体" w:hAnsi="宋体" w:cs="宋体"/>
          <w:sz w:val="24"/>
          <w:lang w:val="en-US" w:eastAsia="zh-CN"/>
        </w:rPr>
        <w:t xml:space="preserve"> </w:t>
      </w:r>
      <w:r>
        <w:rPr>
          <w:rFonts w:hint="eastAsia" w:ascii="宋体" w:hAnsi="宋体" w:cs="宋体"/>
          <w:sz w:val="24"/>
        </w:rPr>
        <w:t>订</w:t>
      </w:r>
      <w:r>
        <w:rPr>
          <w:rFonts w:hint="eastAsia" w:ascii="宋体" w:hAnsi="宋体" w:cs="宋体"/>
          <w:sz w:val="24"/>
          <w:lang w:val="en-US" w:eastAsia="zh-CN"/>
        </w:rPr>
        <w:t xml:space="preserve"> </w:t>
      </w:r>
      <w:r>
        <w:rPr>
          <w:rFonts w:hint="eastAsia" w:ascii="宋体" w:hAnsi="宋体" w:cs="宋体"/>
          <w:sz w:val="24"/>
        </w:rPr>
        <w:t>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浙江省杭州市钱塘区</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kern w:val="0"/>
          <w:sz w:val="24"/>
        </w:rPr>
        <w:sectPr>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ind w:firstLine="214"/>
        <w:jc w:val="center"/>
        <w:rPr>
          <w:rFonts w:hint="eastAsia"/>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rPr>
          <w:rFonts w:hint="eastAsia"/>
        </w:rPr>
      </w:pPr>
      <w:r>
        <w:rPr>
          <w:rFonts w:hint="eastAsia"/>
        </w:rPr>
        <w:t>第二章 合同一般条款……………………………………………………（页码）</w:t>
      </w:r>
    </w:p>
    <w:p>
      <w:pPr>
        <w:pStyle w:val="9"/>
        <w:spacing w:line="360" w:lineRule="auto"/>
        <w:ind w:firstLine="240" w:firstLineChars="100"/>
        <w:rPr>
          <w:rFonts w:hint="eastAsia"/>
        </w:rPr>
      </w:pPr>
      <w:r>
        <w:rPr>
          <w:rFonts w:hint="eastAsia"/>
        </w:rPr>
        <w:t>第三章 安全协议…………………………………………………………（页码）</w:t>
      </w:r>
    </w:p>
    <w:p>
      <w:pPr>
        <w:pStyle w:val="9"/>
        <w:spacing w:line="360" w:lineRule="auto"/>
        <w:ind w:firstLine="240" w:firstLineChars="100"/>
      </w:pPr>
      <w:r>
        <w:rPr>
          <w:rFonts w:hint="eastAsia"/>
        </w:rPr>
        <w:t>第四章 廉洁协议…………………………………………………………（页码）</w:t>
      </w: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6"/>
        <w:rPr>
          <w:lang w:val="zh-CN"/>
        </w:rPr>
      </w:pPr>
    </w:p>
    <w:p>
      <w:pPr>
        <w:spacing w:line="360" w:lineRule="auto"/>
        <w:ind w:firstLine="480" w:firstLineChars="200"/>
        <w:rPr>
          <w:rFonts w:ascii="宋体" w:hAnsi="宋体"/>
          <w:sz w:val="24"/>
          <w:u w:val="single"/>
          <w:lang w:val="zh-CN"/>
        </w:rPr>
      </w:pPr>
    </w:p>
    <w:p>
      <w:pPr>
        <w:spacing w:line="360" w:lineRule="auto"/>
        <w:ind w:firstLine="480" w:firstLineChars="200"/>
        <w:rPr>
          <w:rFonts w:ascii="宋体" w:hAnsi="宋体"/>
          <w:sz w:val="24"/>
          <w:u w:val="single"/>
          <w:lang w:val="zh-CN"/>
        </w:rPr>
      </w:pPr>
    </w:p>
    <w:p>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询价</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w:t>
      </w:r>
      <w:r>
        <w:rPr>
          <w:rFonts w:hint="eastAsia" w:ascii="宋体" w:hAnsi="宋体" w:cs="宋体"/>
          <w:sz w:val="24"/>
          <w:u w:val="single"/>
          <w:lang w:eastAsia="zh-CN"/>
        </w:rPr>
        <w:t xml:space="preserve">   </w:t>
      </w:r>
      <w:r>
        <w:rPr>
          <w:rFonts w:hint="eastAsia" w:ascii="宋体" w:hAnsi="宋体" w:cs="宋体"/>
          <w:sz w:val="24"/>
          <w:u w:val="single"/>
        </w:rPr>
        <w:t>）</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w:t>
      </w:r>
      <w:r>
        <w:rPr>
          <w:rFonts w:hint="eastAsia" w:ascii="宋体" w:hAnsi="宋体"/>
          <w:sz w:val="24"/>
          <w:u w:val="single"/>
          <w:lang w:eastAsia="zh-CN"/>
        </w:rPr>
        <w:t xml:space="preserve"> </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pPr>
        <w:spacing w:line="360" w:lineRule="auto"/>
        <w:ind w:firstLine="482" w:firstLineChars="200"/>
        <w:outlineLvl w:val="0"/>
        <w:rPr>
          <w:rFonts w:ascii="宋体" w:hAnsi="宋体"/>
          <w:sz w:val="24"/>
        </w:rPr>
      </w:pPr>
      <w:bookmarkStart w:id="384" w:name="_Toc19273"/>
      <w:bookmarkStart w:id="385" w:name="_Toc22967"/>
      <w:bookmarkStart w:id="386" w:name="_Toc28855"/>
      <w:bookmarkStart w:id="387" w:name="_Toc15367"/>
      <w:bookmarkStart w:id="388" w:name="_Toc20421"/>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4"/>
      <w:bookmarkEnd w:id="385"/>
      <w:bookmarkEnd w:id="386"/>
      <w:bookmarkEnd w:id="387"/>
      <w:bookmarkEnd w:id="388"/>
    </w:p>
    <w:p>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pPr>
        <w:spacing w:line="360" w:lineRule="auto"/>
        <w:ind w:firstLine="480" w:firstLineChars="200"/>
        <w:rPr>
          <w:rFonts w:ascii="宋体" w:hAnsi="宋体"/>
          <w:sz w:val="24"/>
        </w:rPr>
      </w:pPr>
      <w:r>
        <w:rPr>
          <w:rFonts w:hint="eastAsia" w:ascii="宋体" w:hAnsi="宋体"/>
          <w:sz w:val="24"/>
        </w:rPr>
        <w:t>2.中标或者成交通知书；</w:t>
      </w:r>
    </w:p>
    <w:p>
      <w:pPr>
        <w:spacing w:line="360" w:lineRule="auto"/>
        <w:ind w:firstLine="480" w:firstLineChars="200"/>
        <w:rPr>
          <w:rFonts w:ascii="宋体" w:hAnsi="宋体"/>
          <w:sz w:val="24"/>
        </w:rPr>
      </w:pPr>
      <w:r>
        <w:rPr>
          <w:rFonts w:hint="eastAsia" w:ascii="宋体" w:hAnsi="宋体"/>
          <w:sz w:val="24"/>
        </w:rPr>
        <w:t>3.投标或者响应文件（含澄清或者说明文件）；</w:t>
      </w:r>
    </w:p>
    <w:p>
      <w:pPr>
        <w:spacing w:line="360" w:lineRule="auto"/>
        <w:ind w:firstLine="480" w:firstLineChars="200"/>
        <w:rPr>
          <w:rFonts w:ascii="宋体" w:hAnsi="宋体"/>
          <w:sz w:val="24"/>
        </w:rPr>
      </w:pPr>
      <w:r>
        <w:rPr>
          <w:rFonts w:hint="eastAsia" w:ascii="宋体" w:hAnsi="宋体"/>
          <w:sz w:val="24"/>
        </w:rPr>
        <w:t>4.采购文件（含澄清或者修改文件）；</w:t>
      </w:r>
    </w:p>
    <w:p>
      <w:pPr>
        <w:spacing w:line="360" w:lineRule="auto"/>
        <w:ind w:firstLine="480" w:firstLineChars="200"/>
        <w:rPr>
          <w:rFonts w:ascii="宋体" w:hAnsi="宋体"/>
          <w:sz w:val="24"/>
        </w:rPr>
      </w:pPr>
      <w:r>
        <w:rPr>
          <w:rFonts w:hint="eastAsia" w:ascii="宋体" w:hAnsi="宋体"/>
          <w:sz w:val="24"/>
        </w:rPr>
        <w:t>5.其他相关采购文件。</w:t>
      </w:r>
    </w:p>
    <w:p>
      <w:pPr>
        <w:spacing w:line="360" w:lineRule="auto"/>
        <w:ind w:firstLine="482" w:firstLineChars="200"/>
        <w:outlineLvl w:val="0"/>
        <w:rPr>
          <w:rFonts w:hint="eastAsia" w:ascii="宋体" w:hAnsi="宋体"/>
          <w:b/>
          <w:sz w:val="24"/>
        </w:rPr>
      </w:pPr>
      <w:bookmarkStart w:id="389" w:name="_Toc6311"/>
      <w:bookmarkStart w:id="390" w:name="_Toc6773"/>
      <w:bookmarkStart w:id="391" w:name="_Toc18585"/>
      <w:bookmarkStart w:id="392" w:name="_Toc2918"/>
      <w:bookmarkStart w:id="393" w:name="_Toc22185"/>
      <w:r>
        <w:rPr>
          <w:rFonts w:hint="eastAsia" w:ascii="宋体" w:hAnsi="宋体"/>
          <w:b/>
          <w:sz w:val="24"/>
        </w:rPr>
        <w:t>二、合同标的</w:t>
      </w:r>
      <w:bookmarkEnd w:id="389"/>
      <w:bookmarkEnd w:id="390"/>
      <w:bookmarkEnd w:id="391"/>
      <w:bookmarkEnd w:id="392"/>
      <w:bookmarkEnd w:id="393"/>
      <w:r>
        <w:rPr>
          <w:rFonts w:hint="eastAsia" w:ascii="宋体" w:hAnsi="宋体"/>
          <w:b/>
          <w:sz w:val="24"/>
        </w:rPr>
        <w:t>及价款</w:t>
      </w:r>
    </w:p>
    <w:p>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（2） </w:t>
      </w:r>
      <w:r>
        <w:rPr>
          <w:rFonts w:hint="eastAsia" w:ascii="宋体" w:hAnsi="宋体" w:cs="宋体"/>
          <w:sz w:val="24"/>
        </w:rPr>
        <w:t>条款规定的计价方式计价。</w:t>
      </w:r>
    </w:p>
    <w:p>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 </w:t>
      </w:r>
      <w:r>
        <w:rPr>
          <w:rFonts w:hint="eastAsia" w:ascii="宋体" w:hAnsi="宋体"/>
          <w:sz w:val="24"/>
        </w:rPr>
        <w:t xml:space="preserve"> %，</w:t>
      </w:r>
      <w:r>
        <w:rPr>
          <w:rFonts w:hint="eastAsia" w:ascii="宋体" w:hAnsi="宋体" w:cs="宋体"/>
          <w:sz w:val="24"/>
        </w:rPr>
        <w:t>单价和总价中均包括了服务类、运费、安装调试费、人工费、服务费、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w:t>
      </w:r>
      <w:r>
        <w:rPr>
          <w:rFonts w:hint="eastAsia" w:ascii="宋体" w:hAnsi="宋体" w:cs="宋体"/>
          <w:sz w:val="24"/>
        </w:rPr>
        <w:t xml:space="preserve"> </w:t>
      </w:r>
    </w:p>
    <w:p>
      <w:pPr>
        <w:spacing w:line="360" w:lineRule="auto"/>
        <w:rPr>
          <w:rFonts w:hint="default" w:ascii="宋体" w:hAnsi="宋体" w:cs="宋体"/>
          <w:sz w:val="24"/>
          <w:lang w:val="en-US" w:eastAsia="zh-CN"/>
        </w:rPr>
      </w:pPr>
    </w:p>
    <w:tbl>
      <w:tblPr>
        <w:tblStyle w:val="15"/>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900"/>
        <w:gridCol w:w="867"/>
        <w:gridCol w:w="1366"/>
        <w:gridCol w:w="450"/>
        <w:gridCol w:w="367"/>
        <w:gridCol w:w="767"/>
        <w:gridCol w:w="750"/>
        <w:gridCol w:w="34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汽车衡品牌</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汽车衡技术检修服务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w:t>
            </w:r>
          </w:p>
        </w:tc>
        <w:tc>
          <w:tcPr>
            <w:tcW w:w="13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汽车衡型号：SCS-100；规格：100T，精度等级：III类，地下基坑地磅，三组合磅。</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乙方需根据甲方要求</w:t>
            </w:r>
            <w:r>
              <w:rPr>
                <w:rFonts w:hint="default" w:ascii="宋体" w:hAnsi="宋体" w:eastAsia="宋体" w:cs="宋体"/>
                <w:i w:val="0"/>
                <w:iCs w:val="0"/>
                <w:color w:val="000000"/>
                <w:kern w:val="0"/>
                <w:sz w:val="20"/>
                <w:szCs w:val="20"/>
                <w:u w:val="none"/>
                <w:lang w:val="en-US" w:eastAsia="zh-CN" w:bidi="ar"/>
              </w:rPr>
              <w:t>对称架、称重传感器、上位机、道闸、欢迎屏、服务器、车检器、控制系统等设备进行全面检查</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2.检查发现需要更换备件，备件由</w:t>
            </w:r>
            <w:r>
              <w:rPr>
                <w:rFonts w:hint="default" w:ascii="宋体" w:hAnsi="宋体" w:eastAsia="宋体" w:cs="宋体"/>
                <w:i w:val="0"/>
                <w:iCs w:val="0"/>
                <w:color w:val="000000"/>
                <w:kern w:val="0"/>
                <w:sz w:val="20"/>
                <w:szCs w:val="20"/>
                <w:u w:val="none"/>
                <w:lang w:val="en-US" w:eastAsia="zh-CN" w:bidi="ar"/>
              </w:rPr>
              <w:t>采购人提供</w:t>
            </w:r>
            <w:r>
              <w:rPr>
                <w:rFonts w:hint="eastAsia" w:ascii="宋体" w:hAnsi="宋体" w:eastAsia="宋体" w:cs="宋体"/>
                <w:i w:val="0"/>
                <w:iCs w:val="0"/>
                <w:color w:val="000000"/>
                <w:kern w:val="0"/>
                <w:sz w:val="20"/>
                <w:szCs w:val="20"/>
                <w:u w:val="none"/>
                <w:lang w:val="en-US" w:eastAsia="zh-CN" w:bidi="ar"/>
              </w:rPr>
              <w:t>，但乙方需负责拆旧换新；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乙方负责</w:t>
            </w:r>
            <w:r>
              <w:rPr>
                <w:rFonts w:hint="default" w:ascii="宋体" w:hAnsi="宋体" w:eastAsia="宋体" w:cs="宋体"/>
                <w:i w:val="0"/>
                <w:iCs w:val="0"/>
                <w:color w:val="000000"/>
                <w:kern w:val="0"/>
                <w:sz w:val="20"/>
                <w:szCs w:val="20"/>
                <w:u w:val="none"/>
                <w:lang w:val="en-US" w:eastAsia="zh-CN" w:bidi="ar"/>
              </w:rPr>
              <w:t>安装、调试地磅防浮套件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防浮套件由</w:t>
            </w:r>
            <w:r>
              <w:rPr>
                <w:rFonts w:hint="eastAsia" w:ascii="宋体" w:hAnsi="宋体" w:eastAsia="宋体" w:cs="宋体"/>
                <w:i w:val="0"/>
                <w:iCs w:val="0"/>
                <w:color w:val="000000"/>
                <w:kern w:val="0"/>
                <w:sz w:val="20"/>
                <w:szCs w:val="20"/>
                <w:u w:val="none"/>
                <w:lang w:val="en-US" w:eastAsia="zh-CN" w:bidi="ar"/>
              </w:rPr>
              <w:t>甲方</w:t>
            </w:r>
            <w:r>
              <w:rPr>
                <w:rFonts w:hint="default" w:ascii="宋体" w:hAnsi="宋体" w:eastAsia="宋体" w:cs="宋体"/>
                <w:i w:val="0"/>
                <w:iCs w:val="0"/>
                <w:color w:val="000000"/>
                <w:kern w:val="0"/>
                <w:sz w:val="20"/>
                <w:szCs w:val="20"/>
                <w:u w:val="none"/>
                <w:lang w:val="en-US" w:eastAsia="zh-CN" w:bidi="ar"/>
              </w:rPr>
              <w:t>提供</w:t>
            </w:r>
            <w:r>
              <w:rPr>
                <w:rFonts w:hint="eastAsia" w:ascii="宋体" w:hAnsi="宋体" w:eastAsia="宋体" w:cs="宋体"/>
                <w:i w:val="0"/>
                <w:iCs w:val="0"/>
                <w:color w:val="000000"/>
                <w:kern w:val="0"/>
                <w:sz w:val="20"/>
                <w:szCs w:val="20"/>
                <w:u w:val="none"/>
                <w:lang w:val="en-US" w:eastAsia="zh-CN" w:bidi="ar"/>
              </w:rPr>
              <w:t>，如有需要，甲方提前准备起重机配合。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乙方负责</w:t>
            </w:r>
            <w:r>
              <w:rPr>
                <w:rFonts w:hint="default" w:ascii="宋体" w:hAnsi="宋体" w:eastAsia="宋体" w:cs="宋体"/>
                <w:i w:val="0"/>
                <w:iCs w:val="0"/>
                <w:color w:val="000000"/>
                <w:kern w:val="0"/>
                <w:sz w:val="20"/>
                <w:szCs w:val="20"/>
                <w:u w:val="none"/>
                <w:lang w:val="en-US" w:eastAsia="zh-CN" w:bidi="ar"/>
              </w:rPr>
              <w:t>服务器软件全面备份、整理</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5.乙方在所有汽车衡技术服务全部结束后10个工作日内提供服务报告3份。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426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pPr>
        <w:spacing w:line="360" w:lineRule="auto"/>
        <w:rPr>
          <w:rFonts w:hint="default" w:ascii="宋体" w:hAnsi="宋体" w:cs="宋体"/>
          <w:sz w:val="24"/>
          <w:lang w:val="en-US" w:eastAsia="zh-CN"/>
        </w:rPr>
      </w:pPr>
    </w:p>
    <w:p>
      <w:pPr>
        <w:pStyle w:val="24"/>
        <w:spacing w:before="0" w:beforeAutospacing="0" w:after="0" w:afterAutospacing="0" w:line="360" w:lineRule="auto"/>
        <w:ind w:firstLine="480" w:firstLineChars="200"/>
        <w:rPr>
          <w:rFonts w:hint="eastAsia" w:ascii="宋体" w:hAnsi="宋体" w:cs="宋体"/>
          <w:lang w:val="en-US" w:eastAsia="zh-CN"/>
        </w:rPr>
      </w:pPr>
      <w:r>
        <w:rPr>
          <w:rFonts w:hint="eastAsia" w:ascii="宋体" w:hAnsi="宋体" w:cs="宋体"/>
          <w:lang w:val="en-US" w:eastAsia="zh-CN"/>
        </w:rPr>
        <w:t>（3）其他计价方式：   /  。</w:t>
      </w:r>
    </w:p>
    <w:p>
      <w:pPr>
        <w:pStyle w:val="24"/>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cs="Times New Roman"/>
          <w:kern w:val="2"/>
          <w:u w:val="single"/>
        </w:rPr>
        <w:t xml:space="preserve">/  </w:t>
      </w:r>
      <w:r>
        <w:rPr>
          <w:rFonts w:hint="eastAsia" w:cs="Times New Roman"/>
          <w:kern w:val="2"/>
        </w:rPr>
        <w:t>条款规定的计价方式计价。</w:t>
      </w:r>
    </w:p>
    <w:p>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（1）单价和总价中均包括了</w:t>
      </w:r>
      <w:r>
        <w:rPr>
          <w:rFonts w:hint="eastAsia" w:ascii="宋体" w:hAnsi="宋体" w:cs="宋体"/>
          <w:sz w:val="24"/>
          <w:lang w:val="en-US" w:eastAsia="zh-CN"/>
        </w:rPr>
        <w:t>材料费</w:t>
      </w:r>
      <w:r>
        <w:rPr>
          <w:rFonts w:hint="eastAsia" w:ascii="宋体" w:hAnsi="宋体" w:cs="宋体"/>
          <w:sz w:val="24"/>
        </w:rPr>
        <w:t>、运费、安装费、人工费、服务费、税金、杂费等所有费用，该价格已包含甲方为履行本合同所需的全部费用，未列明的分项视为优惠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。合同清单内货物价格为综合价格，含货款、税金、安装费、工具费等所有费用。</w:t>
      </w:r>
    </w:p>
    <w:p>
      <w:pPr>
        <w:spacing w:line="360" w:lineRule="auto"/>
        <w:ind w:firstLine="482" w:firstLineChars="200"/>
        <w:outlineLvl w:val="0"/>
        <w:rPr>
          <w:rFonts w:ascii="宋体" w:hAnsi="宋体"/>
          <w:b/>
          <w:sz w:val="24"/>
        </w:rPr>
      </w:pPr>
      <w:bookmarkStart w:id="394" w:name="_Toc22618"/>
      <w:bookmarkStart w:id="395" w:name="_Toc10340"/>
      <w:bookmarkStart w:id="396" w:name="_Toc1814"/>
      <w:bookmarkStart w:id="397" w:name="_Toc8772"/>
      <w:bookmarkStart w:id="398" w:name="_Toc11108"/>
      <w:bookmarkStart w:id="399" w:name="_Toc4760"/>
      <w:bookmarkStart w:id="400" w:name="_Toc31421"/>
      <w:bookmarkStart w:id="401" w:name="_Toc3625"/>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pPr>
        <w:spacing w:line="360" w:lineRule="auto"/>
        <w:ind w:firstLine="480" w:firstLineChars="200"/>
        <w:rPr>
          <w:rFonts w:ascii="宋体" w:hAnsi="宋体"/>
          <w:sz w:val="24"/>
          <w:u w:val="single"/>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自合同签订</w:t>
      </w:r>
      <w:r>
        <w:rPr>
          <w:rFonts w:hint="eastAsia" w:ascii="宋体" w:hAnsi="宋体"/>
          <w:sz w:val="24"/>
          <w:u w:val="single"/>
          <w:lang w:val="en-US" w:eastAsia="zh-CN"/>
        </w:rPr>
        <w:t>之日起1年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pPr>
        <w:spacing w:line="360" w:lineRule="auto"/>
        <w:ind w:firstLine="480" w:firstLineChars="200"/>
        <w:rPr>
          <w:rFonts w:hint="default" w:ascii="宋体" w:hAnsi="宋体"/>
          <w:sz w:val="24"/>
          <w:lang w:val="en-US"/>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sz w:val="24"/>
          <w:u w:val="single"/>
          <w:lang w:val="en-US" w:eastAsia="zh-CN"/>
        </w:rPr>
        <w:t>根据甲方需求提供汽车衡技术服务；</w:t>
      </w:r>
    </w:p>
    <w:p>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1.乙方技术服务人员不少于2人（其中项目经理1人，专业工程师1人，机械服务工程师和电气服务工程师可由1人兼任），技能要求如下：</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1.1 项目经理：具备梅特勒托利多汽车衡维修，各项专业技术较全面，协调能力强，有责任心，能完成各项任务。</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1.2 机械服务工程师：熟悉汽车衡结构、性能及原理，熟悉系统，能快速判断问题并处理问题，对设备故障具备独立判断问题和解决问题的能力，能够独立处理梅特勒托利多各类机械设备故障。</w:t>
      </w:r>
    </w:p>
    <w:p>
      <w:pPr>
        <w:pStyle w:val="6"/>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lang w:val="en-US" w:eastAsia="zh-CN"/>
        </w:rPr>
        <w:t>1.3 电气服务工程师：具备独立判断问题和解决问题的能力，能够独立带领和指导处理现场的工作。能独自查找故障、处理故障；精通称重软件的故障和服务器设备故障处理；对梅特勒托利多电气故障排查经验丰富。</w:t>
      </w:r>
    </w:p>
    <w:p>
      <w:pPr>
        <w:pStyle w:val="7"/>
        <w:rPr>
          <w:rFonts w:hint="default"/>
          <w:lang w:val="en-US" w:eastAsia="zh-CN"/>
        </w:rPr>
      </w:pPr>
      <w:r>
        <w:rPr>
          <w:rFonts w:hint="eastAsia"/>
          <w:lang w:val="en-US" w:eastAsia="zh-CN"/>
        </w:rPr>
        <w:t>2.乙方应遵守国家、行业、地方法律法规，并满足甲方相关规定，技术服务过程所需的工具、人员、消防器材等均由乙方自行负责，其他损坏备件、材料由甲方提供。</w:t>
      </w:r>
    </w:p>
    <w:p>
      <w:pPr>
        <w:pStyle w:val="7"/>
        <w:rPr>
          <w:rFonts w:hint="eastAsia"/>
          <w:lang w:val="en-US" w:eastAsia="zh-CN"/>
        </w:rPr>
      </w:pPr>
      <w:r>
        <w:rPr>
          <w:rFonts w:hint="eastAsia"/>
          <w:lang w:val="en-US" w:eastAsia="zh-CN"/>
        </w:rPr>
        <w:t>3.乙方在技术服务作业过程中应负责对采购人生产场地进行保护，与检修区域无关进行必要隔离，若造成损坏应乙方负责修复或赔偿。并对检修区域做到工完料尽场地清，检修中更换下来的废旧物资应按时堆放至甲方指定的地点。</w:t>
      </w:r>
    </w:p>
    <w:p>
      <w:pPr>
        <w:pStyle w:val="7"/>
        <w:rPr>
          <w:rFonts w:hint="eastAsia"/>
          <w:lang w:val="en-US" w:eastAsia="zh-CN"/>
        </w:rPr>
      </w:pPr>
      <w:r>
        <w:rPr>
          <w:rFonts w:hint="eastAsia"/>
          <w:lang w:val="en-US" w:eastAsia="zh-CN"/>
        </w:rPr>
        <w:t>4.乙方应根据甲方生产实际安排技术服务。</w:t>
      </w:r>
    </w:p>
    <w:p>
      <w:pPr>
        <w:pStyle w:val="7"/>
        <w:rPr>
          <w:rFonts w:hint="eastAsia" w:ascii="宋体" w:hAnsi="宋体" w:cs="宋体"/>
          <w:sz w:val="24"/>
        </w:rPr>
      </w:pPr>
      <w:r>
        <w:rPr>
          <w:rFonts w:hint="eastAsia"/>
          <w:color w:val="auto"/>
          <w:lang w:val="en-US" w:eastAsia="zh-CN"/>
        </w:rPr>
        <w:t>5.乙方必须满足甲方甲方服务要求。如期间发生问题，乙方须在接到采购人通知后24小时内做出书面答复并提供解决方案。并在接到甲方通知后48小时内派人员到达现场进行免费指导解决问题。</w:t>
      </w:r>
    </w:p>
    <w:p>
      <w:pPr>
        <w:spacing w:line="360" w:lineRule="auto"/>
        <w:ind w:firstLine="482" w:firstLineChars="200"/>
        <w:outlineLvl w:val="0"/>
        <w:rPr>
          <w:rFonts w:ascii="宋体" w:hAnsi="宋体" w:cs="宋体"/>
          <w:b/>
          <w:sz w:val="24"/>
        </w:rPr>
      </w:pPr>
      <w:bookmarkStart w:id="402" w:name="_Toc14563"/>
      <w:bookmarkStart w:id="403" w:name="_Toc1125"/>
      <w:bookmarkStart w:id="404" w:name="_Toc6596"/>
      <w:r>
        <w:rPr>
          <w:rFonts w:hint="eastAsia" w:ascii="宋体" w:hAnsi="宋体" w:cs="宋体"/>
          <w:b/>
          <w:sz w:val="24"/>
        </w:rPr>
        <w:t>五、检验和验收</w:t>
      </w:r>
      <w:bookmarkEnd w:id="402"/>
      <w:bookmarkEnd w:id="403"/>
      <w:bookmarkEnd w:id="404"/>
    </w:p>
    <w:p>
      <w:pPr>
        <w:pStyle w:val="6"/>
        <w:numPr>
          <w:ilvl w:val="0"/>
          <w:numId w:val="0"/>
        </w:numPr>
        <w:ind w:firstLine="480" w:firstLineChars="200"/>
        <w:rPr>
          <w:rFonts w:hint="default" w:ascii="宋体"/>
          <w:color w:val="auto"/>
          <w:lang w:val="en-US" w:eastAsia="zh-CN"/>
        </w:rPr>
      </w:pPr>
      <w:r>
        <w:rPr>
          <w:rFonts w:hint="eastAsia" w:ascii="宋体"/>
          <w:color w:val="auto"/>
          <w:lang w:val="en-US" w:eastAsia="zh-CN"/>
        </w:rPr>
        <w:t xml:space="preserve">1. </w:t>
      </w:r>
      <w:r>
        <w:rPr>
          <w:rFonts w:hint="eastAsia" w:cs="仿宋" w:asciiTheme="minorEastAsia" w:hAnsiTheme="minorEastAsia"/>
          <w:kern w:val="0"/>
          <w:lang w:val="en-US" w:eastAsia="zh-CN"/>
        </w:rPr>
        <w:t>技术服务标准详见下表。</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 xml:space="preserve">2. </w:t>
      </w:r>
      <w:r>
        <w:rPr>
          <w:rFonts w:hint="eastAsia"/>
          <w:color w:val="auto"/>
          <w:lang w:val="en-US" w:eastAsia="zh-CN"/>
        </w:rPr>
        <w:t>所有</w:t>
      </w:r>
      <w:r>
        <w:rPr>
          <w:rFonts w:hint="eastAsia" w:ascii="宋体"/>
          <w:color w:val="auto"/>
          <w:lang w:val="en-US" w:eastAsia="zh-CN"/>
        </w:rPr>
        <w:t>汽车衡现场</w:t>
      </w:r>
      <w:r>
        <w:rPr>
          <w:rFonts w:hint="eastAsia"/>
          <w:color w:val="auto"/>
          <w:lang w:val="en-US" w:eastAsia="zh-CN"/>
        </w:rPr>
        <w:t>技术</w:t>
      </w:r>
      <w:r>
        <w:rPr>
          <w:rFonts w:hint="eastAsia" w:ascii="宋体"/>
          <w:color w:val="auto"/>
          <w:lang w:val="en-US" w:eastAsia="zh-CN"/>
        </w:rPr>
        <w:t>全部结束后10个工作日内提供服务报告3份。</w:t>
      </w:r>
    </w:p>
    <w:p>
      <w:pPr>
        <w:pStyle w:val="6"/>
        <w:numPr>
          <w:ilvl w:val="0"/>
          <w:numId w:val="0"/>
        </w:numPr>
        <w:ind w:firstLine="480" w:firstLineChars="200"/>
        <w:rPr>
          <w:rFonts w:hint="eastAsia" w:ascii="宋体"/>
          <w:color w:val="auto"/>
          <w:lang w:val="en-US" w:eastAsia="zh-CN"/>
        </w:rPr>
      </w:pPr>
      <w:r>
        <w:rPr>
          <w:rFonts w:hint="eastAsia" w:ascii="宋体"/>
          <w:color w:val="auto"/>
          <w:lang w:val="en-US" w:eastAsia="zh-CN"/>
        </w:rPr>
        <w:t>3. 报告内容包括但不限于：检查结果、状态、现场照片、发现的问题、问题的处理措施、整改建议、备件计划、安全总结、后续需要</w:t>
      </w:r>
      <w:r>
        <w:rPr>
          <w:rFonts w:hint="eastAsia"/>
          <w:color w:val="auto"/>
          <w:lang w:val="en-US" w:eastAsia="zh-CN"/>
        </w:rPr>
        <w:t>重点</w:t>
      </w:r>
      <w:r>
        <w:rPr>
          <w:rFonts w:hint="eastAsia" w:ascii="宋体"/>
          <w:color w:val="auto"/>
          <w:lang w:val="en-US" w:eastAsia="zh-CN"/>
        </w:rPr>
        <w:t>关注的地方。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200"/>
        <w:gridCol w:w="1980"/>
        <w:gridCol w:w="2625"/>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rPr>
              <w:t>环境检查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2625"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秤体外观</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腐蚀情况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有无严重锈蚀</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变形情况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有无明显变形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破损情况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是否完整，无破损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杂物检查</w:t>
            </w: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有无堆积物</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秤底情况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有无杂物顶住秤底</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传感器周围情况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有无杂物淤积</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基础检查</w:t>
            </w:r>
          </w:p>
        </w:tc>
        <w:tc>
          <w:tcPr>
            <w:tcW w:w="1980" w:type="dxa"/>
            <w:vMerge w:val="restart"/>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护边角钢是否完好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sz w:val="18"/>
                <w:szCs w:val="18"/>
                <w:vertAlign w:val="baseline"/>
              </w:rPr>
            </w:pPr>
          </w:p>
        </w:tc>
        <w:tc>
          <w:tcPr>
            <w:tcW w:w="2625"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引坡路面破损是否严重</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default" w:ascii="宋体" w:hAnsi="宋体" w:eastAsia="宋体" w:cs="宋体"/>
                <w:sz w:val="18"/>
                <w:szCs w:val="18"/>
                <w:vertAlign w:val="baseline"/>
                <w:lang w:val="en-US"/>
              </w:rPr>
            </w:pPr>
            <w:r>
              <w:rPr>
                <w:rFonts w:hint="eastAsia" w:ascii="宋体" w:hAnsi="宋体" w:eastAsia="宋体" w:cs="宋体"/>
                <w:i w:val="0"/>
                <w:iCs w:val="0"/>
                <w:color w:val="000000"/>
                <w:kern w:val="0"/>
                <w:sz w:val="18"/>
                <w:szCs w:val="18"/>
                <w:u w:val="none"/>
                <w:lang w:val="en-US" w:eastAsia="zh-CN" w:bidi="ar"/>
              </w:rPr>
              <w:t>汽车衡基础情况</w:t>
            </w:r>
          </w:p>
        </w:tc>
        <w:tc>
          <w:tcPr>
            <w:tcW w:w="2625"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基础有无明显沉降变形</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eastAsia" w:ascii="宋体" w:hAnsi="宋体" w:eastAsia="宋体" w:cs="宋体"/>
                <w:sz w:val="18"/>
                <w:szCs w:val="18"/>
                <w:vertAlign w:val="baseline"/>
              </w:rPr>
            </w:pPr>
            <w:r>
              <w:rPr>
                <w:rFonts w:hint="eastAsia" w:ascii="宋体" w:hAnsi="宋体" w:eastAsia="宋体" w:cs="宋体"/>
                <w:b/>
                <w:bCs/>
                <w:sz w:val="18"/>
                <w:szCs w:val="18"/>
                <w:vertAlign w:val="baseline"/>
                <w:lang w:val="en-US" w:eastAsia="zh-CN"/>
              </w:rPr>
              <w:t>秤体检查与维修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vAlign w:val="top"/>
          </w:tcPr>
          <w:p>
            <w:pPr>
              <w:jc w:val="center"/>
              <w:rPr>
                <w:rFonts w:hint="default" w:ascii="宋体" w:hAnsi="宋体" w:eastAsia="宋体" w:cs="宋体"/>
                <w:kern w:val="2"/>
                <w:sz w:val="18"/>
                <w:szCs w:val="18"/>
                <w:vertAlign w:val="baseline"/>
                <w:lang w:val="en-US" w:eastAsia="zh-CN" w:bidi="ar-SA"/>
              </w:rPr>
            </w:pPr>
            <w:r>
              <w:rPr>
                <w:rFonts w:hint="eastAsia" w:ascii="宋体" w:hAnsi="宋体" w:eastAsia="宋体" w:cs="宋体"/>
                <w:b/>
                <w:bCs/>
                <w:i w:val="0"/>
                <w:iCs w:val="0"/>
                <w:color w:val="000000"/>
                <w:kern w:val="0"/>
                <w:sz w:val="18"/>
                <w:szCs w:val="18"/>
                <w:u w:val="none"/>
                <w:lang w:val="en-US" w:eastAsia="zh-CN" w:bidi="ar"/>
              </w:rPr>
              <w:t>检查/维修结果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接线盒</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主板是否有潮湿、腐蚀现象</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电缆线端子接线是否牢固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接线盒密封是否良好</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连接件</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连接件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有无断裂、扭曲，无过度磨损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传感器</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垂直度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传感器是否垂直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水平度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各传感器是否均匀受力，无悬空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是否干净无破损、扭曲</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传感器六角头</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六角头是否过度磨损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sz w:val="18"/>
                <w:szCs w:val="18"/>
                <w:vertAlign w:val="baseline"/>
                <w:lang w:val="en-US" w:eastAsia="zh-CN"/>
              </w:rPr>
            </w:pPr>
          </w:p>
        </w:tc>
        <w:tc>
          <w:tcPr>
            <w:tcW w:w="1200" w:type="dxa"/>
            <w:vMerge w:val="continue"/>
            <w:vAlign w:val="center"/>
          </w:tcPr>
          <w:p>
            <w:pPr>
              <w:jc w:val="center"/>
              <w:rPr>
                <w:rFonts w:hint="eastAsia" w:ascii="宋体" w:hAnsi="宋体" w:eastAsia="宋体" w:cs="宋体"/>
                <w:sz w:val="18"/>
                <w:szCs w:val="18"/>
                <w:vertAlign w:val="baseline"/>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外壳是否完好，无破损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sz w:val="18"/>
                <w:szCs w:val="18"/>
                <w:vertAlign w:val="baseline"/>
              </w:rPr>
            </w:pPr>
            <w:r>
              <w:rPr>
                <w:rFonts w:hint="eastAsia" w:ascii="宋体" w:hAnsi="宋体" w:eastAsia="宋体" w:cs="宋体"/>
                <w:i w:val="0"/>
                <w:iCs w:val="0"/>
                <w:color w:val="000000"/>
                <w:kern w:val="0"/>
                <w:sz w:val="18"/>
                <w:szCs w:val="18"/>
                <w:u w:val="none"/>
                <w:lang w:val="en-US" w:eastAsia="zh-CN" w:bidi="ar"/>
              </w:rPr>
              <w:t>秤台及接地</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秤台连接销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是否完好，无明显变形磨损</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是否单独接地，接地铜牌完整</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底板及螺栓</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是否完整，螺栓紧固</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电缆</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传感器电缆</w:t>
            </w:r>
          </w:p>
        </w:tc>
        <w:tc>
          <w:tcPr>
            <w:tcW w:w="2625"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有无无破损、断裂、老化</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总信号电缆</w:t>
            </w:r>
          </w:p>
        </w:tc>
        <w:tc>
          <w:tcPr>
            <w:tcW w:w="2625"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限位及间隙</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秤台晃动</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是否晃动自如</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限位</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纵向限位间隙3～4mm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横向限位间隙1.5～2mm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jc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秤体两端与引坡间隙</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10～30mm</w:t>
            </w: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仪表检查与维修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120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检查维修</w:t>
            </w:r>
          </w:p>
        </w:tc>
        <w:tc>
          <w:tcPr>
            <w:tcW w:w="1980"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分项</w:t>
            </w:r>
          </w:p>
        </w:tc>
        <w:tc>
          <w:tcPr>
            <w:tcW w:w="2625" w:type="dxa"/>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质量要求</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仪表电源</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220VAC(+10%～-15%)</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零地线电压</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＜0.2VAC</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电源接地</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是否电源单独接地</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仪表功能</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仪表自检</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有无缺笔划，有无出错代码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显示清晰度</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数据显示是否清晰明亮</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键盘功能</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按键是否正常</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仪表内部检查</w:t>
            </w:r>
          </w:p>
        </w:tc>
        <w:tc>
          <w:tcPr>
            <w:tcW w:w="1980"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仪表外壳铅封</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有无铅封并获得授权方可打开</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内部PCB板及线束插件</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有无老化、破线及作弊隐患</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PCB板表面状况是否良好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20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仪表外观</w:t>
            </w:r>
          </w:p>
        </w:tc>
        <w:tc>
          <w:tcPr>
            <w:tcW w:w="1980" w:type="dxa"/>
            <w:vMerge w:val="restar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外壳是否清洁</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20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98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外壳完整，密封是否良好</w:t>
            </w:r>
          </w:p>
        </w:tc>
        <w:tc>
          <w:tcPr>
            <w:tcW w:w="1860" w:type="dxa"/>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保养后性能检查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检查项目</w:t>
            </w:r>
          </w:p>
        </w:tc>
        <w:tc>
          <w:tcPr>
            <w:tcW w:w="2625" w:type="dxa"/>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测量值</w:t>
            </w:r>
          </w:p>
        </w:tc>
        <w:tc>
          <w:tcPr>
            <w:tcW w:w="1860" w:type="dxa"/>
          </w:tcPr>
          <w:p>
            <w:pPr>
              <w:keepNext w:val="0"/>
              <w:keepLines w:val="0"/>
              <w:widowControl/>
              <w:suppressLineNumbers w:val="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零点检查</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vAlign w:val="top"/>
          </w:tcPr>
          <w:p>
            <w:pPr>
              <w:jc w:val="center"/>
              <w:rPr>
                <w:rFonts w:hint="eastAsia" w:ascii="宋体" w:hAnsi="宋体" w:eastAsia="宋体" w:cs="宋体"/>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零点输出（保养后）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零点性能判定</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零点输出（调整后）</w:t>
            </w:r>
          </w:p>
        </w:tc>
        <w:tc>
          <w:tcPr>
            <w:tcW w:w="262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center"/>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回零检查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3180" w:type="dxa"/>
            <w:gridSpan w:val="2"/>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加载检查</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79" w:type="dxa"/>
            <w:gridSpan w:val="5"/>
            <w:vAlign w:val="center"/>
          </w:tcPr>
          <w:p>
            <w:pPr>
              <w:jc w:val="center"/>
              <w:rPr>
                <w:rFonts w:hint="default" w:ascii="宋体" w:hAnsi="宋体" w:eastAsia="宋体" w:cs="宋体"/>
                <w:sz w:val="18"/>
                <w:szCs w:val="18"/>
                <w:vertAlign w:val="baseline"/>
                <w:lang w:val="en-US" w:eastAsia="zh-CN"/>
              </w:rPr>
            </w:pPr>
            <w:r>
              <w:rPr>
                <w:rFonts w:hint="eastAsia" w:ascii="宋体" w:hAnsi="宋体" w:eastAsia="宋体" w:cs="宋体"/>
                <w:b/>
                <w:bCs/>
                <w:sz w:val="18"/>
                <w:szCs w:val="18"/>
                <w:vertAlign w:val="baseline"/>
                <w:lang w:val="en-US" w:eastAsia="zh-CN"/>
              </w:rPr>
              <w:t>技术检查后调试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项目名称</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#1~#6地磅防浮套件安装调试情况</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3180" w:type="dxa"/>
            <w:gridSpan w:val="2"/>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服务器数据整理情况是否完成</w:t>
            </w:r>
          </w:p>
        </w:tc>
        <w:tc>
          <w:tcPr>
            <w:tcW w:w="2625"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1860" w:type="dxa"/>
          </w:tcPr>
          <w:p>
            <w:pPr>
              <w:jc w:val="left"/>
              <w:rPr>
                <w:rFonts w:hint="eastAsia" w:ascii="宋体" w:hAnsi="宋体" w:eastAsia="宋体" w:cs="宋体"/>
                <w:sz w:val="18"/>
                <w:szCs w:val="18"/>
                <w:vertAlign w:val="baseline"/>
              </w:rPr>
            </w:pPr>
          </w:p>
        </w:tc>
      </w:tr>
    </w:tbl>
    <w:p>
      <w:pPr>
        <w:pStyle w:val="6"/>
        <w:ind w:firstLine="482" w:firstLineChars="200"/>
        <w:rPr>
          <w:rFonts w:hint="eastAsia" w:ascii="宋体" w:hAnsi="宋体" w:cs="Arial"/>
          <w:b/>
          <w:snapToGrid w:val="0"/>
          <w:sz w:val="24"/>
          <w:szCs w:val="21"/>
        </w:rPr>
      </w:pPr>
    </w:p>
    <w:p>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w:t>
      </w:r>
      <w:r>
        <w:rPr>
          <w:rFonts w:hint="eastAsia" w:ascii="宋体" w:hAnsi="宋体" w:cs="宋体"/>
          <w:sz w:val="24"/>
          <w:u w:val="single"/>
        </w:rPr>
        <w:t>。</w:t>
      </w:r>
    </w:p>
    <w:p>
      <w:pPr>
        <w:pStyle w:val="24"/>
        <w:spacing w:before="0" w:beforeAutospacing="0" w:after="0" w:afterAutospacing="0" w:line="360" w:lineRule="auto"/>
        <w:ind w:firstLine="480"/>
        <w:rPr>
          <w:b/>
        </w:rPr>
      </w:pPr>
      <w:r>
        <w:rPr>
          <w:rFonts w:hint="eastAsia"/>
          <w:b/>
        </w:rPr>
        <w:t>七、履约保证金</w:t>
      </w:r>
    </w:p>
    <w:p>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val="0"/>
          <w:iCs w:val="0"/>
          <w:kern w:val="0"/>
          <w:sz w:val="24"/>
          <w:u w:val="single"/>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5.甲方在项目验收结束后及时退还履约保证金。甲方在项目通过验收之日起   30  个工作日内将履约保证金无息退还乙方。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bookmarkEnd w:id="394"/>
    <w:bookmarkEnd w:id="395"/>
    <w:bookmarkEnd w:id="396"/>
    <w:p>
      <w:pPr>
        <w:spacing w:line="360" w:lineRule="auto"/>
        <w:ind w:firstLine="482" w:firstLineChars="200"/>
        <w:outlineLvl w:val="0"/>
        <w:rPr>
          <w:rFonts w:ascii="宋体" w:hAnsi="宋体" w:cs="宋体"/>
          <w:b/>
          <w:sz w:val="24"/>
        </w:rPr>
      </w:pPr>
      <w:r>
        <w:rPr>
          <w:rFonts w:hint="eastAsia" w:ascii="宋体" w:hAnsi="宋体" w:cs="宋体"/>
          <w:b/>
          <w:sz w:val="24"/>
        </w:rPr>
        <w:t>八、预付款</w:t>
      </w:r>
    </w:p>
    <w:p>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4"/>
        <w:spacing w:before="0" w:beforeAutospacing="0" w:after="0" w:afterAutospacing="0" w:line="360" w:lineRule="auto"/>
        <w:ind w:firstLine="480"/>
        <w:rPr>
          <w:b/>
          <w:bCs/>
        </w:rPr>
      </w:pPr>
      <w:r>
        <w:rPr>
          <w:rFonts w:hint="eastAsia"/>
          <w:b/>
          <w:bCs/>
        </w:rPr>
        <w:t>九、资金支付</w:t>
      </w:r>
    </w:p>
    <w:p>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4"/>
        <w:spacing w:before="0" w:beforeAutospacing="0" w:after="0" w:afterAutospacing="0" w:line="360" w:lineRule="auto"/>
        <w:ind w:firstLine="480"/>
      </w:pPr>
      <w:r>
        <w:rPr>
          <w:rFonts w:hint="eastAsia"/>
        </w:rPr>
        <w:t>（2）质保金的比例为合同金额的</w:t>
      </w:r>
      <w:r>
        <w:rPr>
          <w:rFonts w:hint="eastAsia"/>
          <w:u w:val="single"/>
        </w:rPr>
        <w:t xml:space="preserve"> / </w:t>
      </w:r>
      <w:r>
        <w:rPr>
          <w:rFonts w:hint="eastAsia"/>
        </w:rPr>
        <w:t>%；</w:t>
      </w:r>
    </w:p>
    <w:p>
      <w:pPr>
        <w:pStyle w:val="24"/>
        <w:spacing w:before="0" w:beforeAutospacing="0" w:after="0" w:afterAutospacing="0" w:line="360" w:lineRule="auto"/>
        <w:ind w:firstLine="480"/>
        <w:rPr>
          <w:rFonts w:hint="eastAsia"/>
        </w:rPr>
      </w:pPr>
      <w:r>
        <w:rPr>
          <w:rFonts w:hint="eastAsia"/>
        </w:rPr>
        <w:t>（3）质保金支付条件：</w:t>
      </w:r>
      <w:r>
        <w:rPr>
          <w:rFonts w:hint="eastAsia"/>
          <w:u w:val="single"/>
        </w:rPr>
        <w:t>/</w:t>
      </w:r>
      <w:r>
        <w:rPr>
          <w:rFonts w:hint="eastAsia"/>
        </w:rPr>
        <w:t>。</w:t>
      </w:r>
    </w:p>
    <w:p>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p>
      <w:pPr>
        <w:pStyle w:val="24"/>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rPr>
        <w:t xml:space="preserve">     </w:t>
      </w:r>
    </w:p>
    <w:p>
      <w:pPr>
        <w:spacing w:line="360" w:lineRule="auto"/>
        <w:ind w:firstLine="455" w:firstLineChars="217"/>
        <w:rPr>
          <w:rFonts w:hint="eastAsia" w:ascii="宋体" w:hAnsi="宋体" w:cs="宋体" w:eastAsiaTheme="minorEastAsia"/>
          <w:kern w:val="0"/>
          <w:sz w:val="24"/>
          <w:szCs w:val="24"/>
          <w:u w:val="single"/>
          <w:lang w:val="en-US" w:eastAsia="zh-CN" w:bidi="ar-SA"/>
        </w:rPr>
      </w:pPr>
      <w:r>
        <w:rPr>
          <w:rFonts w:hint="eastAsia"/>
        </w:rPr>
        <w:t>（4）</w:t>
      </w:r>
      <w:r>
        <w:rPr>
          <w:rFonts w:hint="eastAsia" w:ascii="宋体" w:hAnsi="宋体" w:cs="宋体" w:eastAsiaTheme="minorEastAsia"/>
          <w:kern w:val="0"/>
          <w:sz w:val="24"/>
          <w:szCs w:val="24"/>
          <w:u w:val="single"/>
          <w:lang w:val="en-US" w:eastAsia="zh-CN" w:bidi="ar-SA"/>
        </w:rPr>
        <w:t>其他付款方式：</w:t>
      </w:r>
    </w:p>
    <w:p>
      <w:pPr>
        <w:spacing w:line="360" w:lineRule="auto"/>
        <w:ind w:firstLine="480" w:firstLineChars="200"/>
        <w:outlineLvl w:val="0"/>
        <w:rPr>
          <w:rFonts w:hint="eastAsia"/>
          <w:u w:val="single"/>
        </w:rPr>
      </w:pPr>
      <w:r>
        <w:rPr>
          <w:rFonts w:hint="eastAsia" w:ascii="宋体" w:hAnsi="宋体" w:cs="宋体"/>
          <w:sz w:val="24"/>
          <w:lang w:val="en-US" w:eastAsia="zh-CN"/>
        </w:rPr>
        <w:t>乙方单次完成甲方要求的所有点位检测，并出具检测报告，甲方凭检测报告、验收单或验收报告以及乙方开具的增值税专用发票于30日内完成付款。</w:t>
      </w:r>
    </w:p>
    <w:p>
      <w:pPr>
        <w:spacing w:line="360" w:lineRule="auto"/>
        <w:ind w:firstLine="482" w:firstLineChars="200"/>
        <w:rPr>
          <w:rFonts w:ascii="宋体" w:hAnsi="宋体"/>
          <w:sz w:val="24"/>
          <w:u w:val="single"/>
        </w:rPr>
      </w:pPr>
      <w:r>
        <w:rPr>
          <w:rFonts w:hint="eastAsia" w:ascii="宋体" w:hAnsi="宋体"/>
          <w:b/>
          <w:sz w:val="24"/>
        </w:rPr>
        <w:t>十、</w:t>
      </w:r>
      <w:bookmarkEnd w:id="397"/>
      <w:bookmarkEnd w:id="398"/>
      <w:bookmarkEnd w:id="399"/>
      <w:bookmarkEnd w:id="400"/>
      <w:bookmarkEnd w:id="401"/>
      <w:bookmarkStart w:id="405" w:name="_Toc5698"/>
      <w:bookmarkStart w:id="406" w:name="_Toc24662"/>
      <w:bookmarkStart w:id="407" w:name="_Toc3079"/>
      <w:bookmarkStart w:id="408" w:name="_Toc8586"/>
      <w:bookmarkStart w:id="409" w:name="_Toc2375"/>
      <w:r>
        <w:rPr>
          <w:rFonts w:hint="eastAsia" w:ascii="宋体" w:hAnsi="宋体"/>
          <w:b/>
          <w:sz w:val="24"/>
        </w:rPr>
        <w:t>违约责任</w:t>
      </w:r>
      <w:bookmarkEnd w:id="405"/>
      <w:bookmarkEnd w:id="406"/>
      <w:bookmarkEnd w:id="407"/>
      <w:bookmarkEnd w:id="408"/>
      <w:bookmarkEnd w:id="409"/>
    </w:p>
    <w:p>
      <w:pPr>
        <w:spacing w:line="360" w:lineRule="auto"/>
        <w:ind w:firstLine="480" w:firstLineChars="200"/>
        <w:rPr>
          <w:rFonts w:hint="eastAsia" w:ascii="宋体" w:hAnsi="宋体" w:cs="宋体" w:eastAsiaTheme="minorEastAsia"/>
          <w:sz w:val="24"/>
          <w:highlight w:val="none"/>
          <w:lang w:eastAsia="zh-CN"/>
        </w:rPr>
      </w:pPr>
      <w:bookmarkStart w:id="410" w:name="_Toc16021"/>
      <w:bookmarkStart w:id="411" w:name="_Toc15583"/>
      <w:bookmarkStart w:id="412" w:name="_Toc28375"/>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3" w:name="_Toc9497"/>
      <w:bookmarkStart w:id="414" w:name="_Toc32454"/>
      <w:bookmarkStart w:id="415" w:name="_Toc30329"/>
      <w:bookmarkStart w:id="416" w:name="_Toc26807"/>
      <w:bookmarkStart w:id="417" w:name="_Toc18683"/>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3"/>
    <w:bookmarkEnd w:id="414"/>
    <w:bookmarkEnd w:id="415"/>
    <w:bookmarkEnd w:id="416"/>
    <w:bookmarkEnd w:id="417"/>
    <w:p>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10"/>
      <w:bookmarkEnd w:id="411"/>
      <w:bookmarkEnd w:id="412"/>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p>
      <w:pPr>
        <w:spacing w:line="360" w:lineRule="auto"/>
        <w:ind w:firstLine="482" w:firstLineChars="200"/>
        <w:outlineLvl w:val="0"/>
        <w:rPr>
          <w:rFonts w:ascii="宋体" w:hAnsi="宋体" w:cs="宋体"/>
          <w:b/>
          <w:sz w:val="24"/>
        </w:rPr>
      </w:pPr>
      <w:bookmarkStart w:id="418" w:name="_Toc15322"/>
      <w:bookmarkStart w:id="419" w:name="_Toc7245"/>
      <w:bookmarkStart w:id="420" w:name="_Toc11173"/>
      <w:r>
        <w:rPr>
          <w:rFonts w:hint="eastAsia" w:ascii="宋体" w:hAnsi="宋体" w:cs="宋体"/>
          <w:b/>
          <w:sz w:val="24"/>
        </w:rPr>
        <w:t>十二、合同生效</w:t>
      </w:r>
      <w:bookmarkEnd w:id="418"/>
      <w:bookmarkEnd w:id="419"/>
      <w:bookmarkEnd w:id="420"/>
    </w:p>
    <w:p>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p>
    <w:p>
      <w:pPr>
        <w:pStyle w:val="23"/>
        <w:ind w:left="0" w:leftChars="0" w:firstLine="0" w:firstLineChars="0"/>
        <w:jc w:val="center"/>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rPr>
          <w:rFonts w:hint="eastAsia" w:ascii="宋体" w:hAnsi="宋体"/>
          <w:b/>
          <w:szCs w:val="24"/>
        </w:rPr>
      </w:pPr>
    </w:p>
    <w:p>
      <w:pPr>
        <w:pStyle w:val="9"/>
        <w:ind w:left="0" w:leftChars="0" w:firstLine="0" w:firstLineChars="0"/>
        <w:rPr>
          <w:rFonts w:hint="eastAsia" w:ascii="宋体" w:hAnsi="宋体" w:eastAsiaTheme="minorEastAsia"/>
          <w:b/>
          <w:szCs w:val="24"/>
          <w:lang w:eastAsia="zh-CN"/>
        </w:rPr>
      </w:pPr>
    </w:p>
    <w:p>
      <w:pPr>
        <w:pStyle w:val="23"/>
        <w:ind w:left="0" w:leftChars="0" w:firstLine="0" w:firstLineChars="0"/>
        <w:jc w:val="both"/>
        <w:rPr>
          <w:rFonts w:hint="eastAsia" w:ascii="宋体" w:hAnsi="宋体"/>
          <w:b/>
          <w:szCs w:val="24"/>
        </w:rPr>
      </w:pPr>
    </w:p>
    <w:p>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pPr>
        <w:spacing w:line="360" w:lineRule="auto"/>
        <w:ind w:firstLine="482" w:firstLineChars="200"/>
        <w:outlineLvl w:val="0"/>
        <w:rPr>
          <w:rFonts w:ascii="宋体" w:hAnsi="宋体"/>
          <w:b/>
          <w:sz w:val="24"/>
        </w:rPr>
      </w:pPr>
      <w:bookmarkStart w:id="421" w:name="_Toc14021"/>
      <w:bookmarkStart w:id="422" w:name="_Toc5228"/>
      <w:bookmarkStart w:id="423" w:name="_Toc19680"/>
      <w:bookmarkStart w:id="424" w:name="_Toc31297"/>
      <w:bookmarkStart w:id="425" w:name="_Toc25079"/>
      <w:r>
        <w:rPr>
          <w:rFonts w:hint="eastAsia" w:ascii="宋体" w:hAnsi="宋体"/>
          <w:b/>
          <w:sz w:val="24"/>
        </w:rPr>
        <w:t>一、</w:t>
      </w:r>
      <w:r>
        <w:rPr>
          <w:rFonts w:ascii="宋体" w:hAnsi="宋体"/>
          <w:b/>
          <w:sz w:val="24"/>
        </w:rPr>
        <w:t>定义</w:t>
      </w:r>
      <w:bookmarkEnd w:id="421"/>
      <w:bookmarkEnd w:id="422"/>
      <w:bookmarkEnd w:id="423"/>
      <w:bookmarkEnd w:id="424"/>
      <w:bookmarkEnd w:id="425"/>
    </w:p>
    <w:p>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pPr>
        <w:spacing w:line="360" w:lineRule="auto"/>
        <w:ind w:firstLine="482" w:firstLineChars="200"/>
        <w:outlineLvl w:val="0"/>
        <w:rPr>
          <w:rFonts w:ascii="宋体" w:hAnsi="宋体"/>
          <w:b/>
          <w:sz w:val="24"/>
        </w:rPr>
      </w:pPr>
      <w:bookmarkStart w:id="426" w:name="_Toc19539"/>
      <w:bookmarkStart w:id="427" w:name="_Toc23289"/>
      <w:bookmarkStart w:id="428" w:name="_Toc3769"/>
      <w:bookmarkStart w:id="429" w:name="_Toc31402"/>
      <w:bookmarkStart w:id="430" w:name="_Toc16752"/>
      <w:r>
        <w:rPr>
          <w:rFonts w:hint="eastAsia" w:ascii="宋体" w:hAnsi="宋体"/>
          <w:b/>
          <w:sz w:val="24"/>
        </w:rPr>
        <w:t>二、</w:t>
      </w:r>
      <w:r>
        <w:rPr>
          <w:rFonts w:ascii="宋体" w:hAnsi="宋体"/>
          <w:b/>
          <w:sz w:val="24"/>
        </w:rPr>
        <w:t xml:space="preserve"> 技术规范</w:t>
      </w:r>
      <w:bookmarkEnd w:id="426"/>
      <w:bookmarkEnd w:id="427"/>
      <w:bookmarkEnd w:id="428"/>
      <w:bookmarkEnd w:id="429"/>
      <w:bookmarkEnd w:id="430"/>
    </w:p>
    <w:p>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pPr>
        <w:spacing w:line="360" w:lineRule="auto"/>
        <w:ind w:firstLine="482" w:firstLineChars="200"/>
        <w:outlineLvl w:val="0"/>
        <w:rPr>
          <w:rFonts w:ascii="宋体" w:hAnsi="宋体"/>
          <w:b/>
          <w:sz w:val="24"/>
        </w:rPr>
      </w:pPr>
      <w:bookmarkStart w:id="431" w:name="_Toc9161"/>
      <w:bookmarkStart w:id="432" w:name="_Toc27945"/>
      <w:bookmarkStart w:id="433" w:name="_Toc13673"/>
      <w:bookmarkStart w:id="434" w:name="_Toc12412"/>
      <w:bookmarkStart w:id="435" w:name="_Toc4133"/>
      <w:r>
        <w:rPr>
          <w:rFonts w:hint="eastAsia" w:ascii="宋体" w:hAnsi="宋体"/>
          <w:b/>
          <w:sz w:val="24"/>
        </w:rPr>
        <w:t>三、</w:t>
      </w:r>
      <w:r>
        <w:rPr>
          <w:rFonts w:ascii="宋体" w:hAnsi="宋体"/>
          <w:b/>
          <w:sz w:val="24"/>
        </w:rPr>
        <w:t xml:space="preserve"> 知识产权</w:t>
      </w:r>
      <w:bookmarkEnd w:id="431"/>
      <w:bookmarkEnd w:id="432"/>
      <w:bookmarkEnd w:id="433"/>
      <w:bookmarkEnd w:id="434"/>
      <w:bookmarkEnd w:id="43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rPr>
      </w:pPr>
      <w:r>
        <w:rPr>
          <w:rFonts w:hint="eastAsia" w:ascii="宋体" w:hAnsi="宋体"/>
          <w:b/>
          <w:sz w:val="24"/>
        </w:rPr>
        <w:t>四、履约检查和问题反馈</w:t>
      </w:r>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rPr>
      </w:pPr>
      <w:bookmarkStart w:id="436" w:name="_Toc15447"/>
      <w:bookmarkStart w:id="437" w:name="_Toc32670"/>
      <w:bookmarkStart w:id="438" w:name="_Toc26555"/>
      <w:bookmarkStart w:id="439" w:name="_Toc22011"/>
      <w:bookmarkStart w:id="440" w:name="_Toc31233"/>
      <w:r>
        <w:rPr>
          <w:rFonts w:hint="eastAsia" w:ascii="宋体" w:hAnsi="宋体"/>
          <w:b/>
          <w:sz w:val="24"/>
        </w:rPr>
        <w:t>五、</w:t>
      </w:r>
      <w:r>
        <w:rPr>
          <w:rFonts w:ascii="宋体" w:hAnsi="宋体"/>
          <w:b/>
          <w:sz w:val="24"/>
        </w:rPr>
        <w:t>结算方式和付款条件</w:t>
      </w:r>
      <w:bookmarkEnd w:id="436"/>
      <w:bookmarkEnd w:id="437"/>
      <w:bookmarkEnd w:id="438"/>
      <w:bookmarkEnd w:id="439"/>
      <w:bookmarkEnd w:id="440"/>
    </w:p>
    <w:p>
      <w:pPr>
        <w:spacing w:line="360" w:lineRule="auto"/>
        <w:ind w:firstLine="480" w:firstLineChars="200"/>
        <w:outlineLvl w:val="0"/>
        <w:rPr>
          <w:rFonts w:hint="eastAsia" w:ascii="宋体" w:hAnsi="宋体"/>
          <w:bCs/>
          <w:sz w:val="24"/>
        </w:rPr>
      </w:pPr>
      <w:bookmarkStart w:id="441" w:name="_Toc13154"/>
      <w:bookmarkStart w:id="442" w:name="_Toc13467"/>
      <w:bookmarkStart w:id="443" w:name="_Toc30507"/>
      <w:bookmarkStart w:id="444" w:name="_Toc18990"/>
      <w:bookmarkStart w:id="445" w:name="_Toc16163"/>
      <w:r>
        <w:rPr>
          <w:rFonts w:hint="eastAsia" w:ascii="宋体" w:hAnsi="宋体"/>
          <w:bCs/>
          <w:sz w:val="24"/>
        </w:rPr>
        <w:t>1.结算方式为转账或者电汇 ，若甲方采用银行承兑支付，双方另行协商；</w:t>
      </w:r>
    </w:p>
    <w:p>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41"/>
      <w:bookmarkEnd w:id="442"/>
      <w:bookmarkEnd w:id="443"/>
      <w:bookmarkEnd w:id="444"/>
      <w:bookmarkEnd w:id="445"/>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rPr>
      </w:pPr>
      <w:bookmarkStart w:id="446" w:name="_Toc19069"/>
      <w:r>
        <w:rPr>
          <w:rFonts w:hint="eastAsia" w:ascii="宋体" w:hAnsi="宋体"/>
          <w:b/>
          <w:sz w:val="24"/>
        </w:rPr>
        <w:t>七、质量保证</w:t>
      </w:r>
      <w:bookmarkEnd w:id="446"/>
    </w:p>
    <w:p>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rPr>
      </w:pPr>
      <w:bookmarkStart w:id="44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47"/>
    </w:p>
    <w:p>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pPr>
        <w:spacing w:line="360" w:lineRule="auto"/>
        <w:ind w:firstLine="482" w:firstLineChars="200"/>
        <w:outlineLvl w:val="0"/>
        <w:rPr>
          <w:rFonts w:ascii="宋体" w:hAnsi="宋体"/>
          <w:b/>
          <w:sz w:val="24"/>
        </w:rPr>
      </w:pPr>
      <w:bookmarkStart w:id="448" w:name="_Toc10611"/>
      <w:r>
        <w:rPr>
          <w:rFonts w:hint="eastAsia" w:ascii="宋体" w:hAnsi="宋体"/>
          <w:b/>
          <w:sz w:val="24"/>
        </w:rPr>
        <w:t>九、合同变更</w:t>
      </w:r>
      <w:bookmarkEnd w:id="448"/>
      <w:r>
        <w:rPr>
          <w:rFonts w:hint="eastAsia" w:ascii="宋体" w:hAnsi="宋体" w:cs="宋体"/>
          <w:b/>
          <w:sz w:val="24"/>
        </w:rPr>
        <w:t>或补充</w:t>
      </w:r>
    </w:p>
    <w:p>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rPr>
      </w:pPr>
      <w:bookmarkStart w:id="449" w:name="_Toc10663"/>
      <w:bookmarkStart w:id="450" w:name="_Toc26689"/>
      <w:bookmarkStart w:id="451" w:name="_Toc21830"/>
      <w:bookmarkStart w:id="452" w:name="_Toc42"/>
      <w:bookmarkStart w:id="453"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49"/>
      <w:bookmarkEnd w:id="450"/>
      <w:bookmarkEnd w:id="451"/>
      <w:bookmarkEnd w:id="452"/>
      <w:bookmarkEnd w:id="453"/>
    </w:p>
    <w:p>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pPr>
        <w:spacing w:line="360" w:lineRule="auto"/>
        <w:ind w:firstLine="482" w:firstLineChars="200"/>
        <w:outlineLvl w:val="0"/>
        <w:rPr>
          <w:rFonts w:ascii="宋体" w:hAnsi="宋体"/>
          <w:b/>
          <w:sz w:val="24"/>
        </w:rPr>
      </w:pPr>
      <w:bookmarkStart w:id="454" w:name="_Toc25571"/>
      <w:bookmarkStart w:id="455" w:name="_Toc32494"/>
      <w:bookmarkStart w:id="456" w:name="_Toc26633"/>
      <w:bookmarkStart w:id="457" w:name="_Toc4720"/>
      <w:bookmarkStart w:id="458" w:name="_Toc14371"/>
      <w:r>
        <w:rPr>
          <w:rFonts w:hint="eastAsia" w:ascii="宋体" w:hAnsi="宋体"/>
          <w:b/>
          <w:sz w:val="24"/>
        </w:rPr>
        <w:t>十一、</w:t>
      </w:r>
      <w:r>
        <w:rPr>
          <w:rFonts w:ascii="宋体" w:hAnsi="宋体"/>
          <w:b/>
          <w:sz w:val="24"/>
        </w:rPr>
        <w:t>不可抗力</w:t>
      </w:r>
      <w:bookmarkEnd w:id="454"/>
      <w:bookmarkEnd w:id="455"/>
      <w:bookmarkEnd w:id="456"/>
      <w:bookmarkEnd w:id="457"/>
      <w:bookmarkEnd w:id="458"/>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b/>
          <w:sz w:val="24"/>
        </w:rPr>
      </w:pPr>
      <w:bookmarkStart w:id="459" w:name="_Toc14115"/>
      <w:bookmarkStart w:id="460" w:name="_Toc3638"/>
      <w:bookmarkStart w:id="461" w:name="_Toc25783"/>
      <w:bookmarkStart w:id="462" w:name="_Toc24465"/>
      <w:bookmarkStart w:id="463" w:name="_Toc23854"/>
      <w:r>
        <w:rPr>
          <w:rFonts w:hint="eastAsia" w:ascii="宋体" w:hAnsi="宋体"/>
          <w:b/>
          <w:sz w:val="24"/>
        </w:rPr>
        <w:t>十二、</w:t>
      </w:r>
      <w:r>
        <w:rPr>
          <w:rFonts w:ascii="宋体" w:hAnsi="宋体"/>
          <w:b/>
          <w:sz w:val="24"/>
        </w:rPr>
        <w:t>税费</w:t>
      </w:r>
      <w:bookmarkEnd w:id="459"/>
      <w:bookmarkEnd w:id="460"/>
      <w:bookmarkEnd w:id="461"/>
      <w:bookmarkEnd w:id="462"/>
      <w:bookmarkEnd w:id="463"/>
    </w:p>
    <w:p>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pPr>
        <w:spacing w:line="360" w:lineRule="auto"/>
        <w:ind w:firstLine="482" w:firstLineChars="200"/>
        <w:outlineLvl w:val="0"/>
        <w:rPr>
          <w:rFonts w:ascii="宋体" w:hAnsi="宋体"/>
          <w:b/>
          <w:sz w:val="24"/>
        </w:rPr>
      </w:pPr>
      <w:bookmarkStart w:id="464" w:name="_Toc14814"/>
      <w:bookmarkStart w:id="465" w:name="_Toc25525"/>
      <w:bookmarkStart w:id="466" w:name="_Toc30105"/>
      <w:bookmarkStart w:id="467" w:name="_Toc26883"/>
      <w:bookmarkStart w:id="468" w:name="_Toc7315"/>
      <w:r>
        <w:rPr>
          <w:rFonts w:hint="eastAsia" w:ascii="宋体" w:hAnsi="宋体"/>
          <w:b/>
          <w:sz w:val="24"/>
        </w:rPr>
        <w:t>十三、</w:t>
      </w:r>
      <w:r>
        <w:rPr>
          <w:rFonts w:ascii="宋体" w:hAnsi="宋体"/>
          <w:b/>
          <w:sz w:val="24"/>
        </w:rPr>
        <w:t>乙方破产</w:t>
      </w:r>
      <w:bookmarkEnd w:id="464"/>
      <w:bookmarkEnd w:id="465"/>
      <w:bookmarkEnd w:id="466"/>
      <w:bookmarkEnd w:id="467"/>
      <w:bookmarkEnd w:id="468"/>
    </w:p>
    <w:p>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pPr>
        <w:spacing w:line="360" w:lineRule="auto"/>
        <w:ind w:firstLine="482" w:firstLineChars="200"/>
        <w:outlineLvl w:val="0"/>
        <w:rPr>
          <w:rFonts w:ascii="宋体" w:hAnsi="宋体"/>
          <w:b/>
          <w:sz w:val="24"/>
        </w:rPr>
      </w:pPr>
      <w:bookmarkStart w:id="469" w:name="_Toc23323"/>
      <w:bookmarkStart w:id="470" w:name="_Toc1123"/>
      <w:bookmarkStart w:id="471" w:name="_Toc2016"/>
      <w:r>
        <w:rPr>
          <w:rFonts w:hint="eastAsia" w:ascii="宋体" w:hAnsi="宋体"/>
          <w:b/>
          <w:sz w:val="24"/>
        </w:rPr>
        <w:t>十四、</w:t>
      </w:r>
      <w:r>
        <w:rPr>
          <w:rFonts w:ascii="宋体" w:hAnsi="宋体"/>
          <w:b/>
          <w:sz w:val="24"/>
        </w:rPr>
        <w:t>合同中止、终止</w:t>
      </w:r>
      <w:bookmarkEnd w:id="469"/>
      <w:bookmarkEnd w:id="470"/>
      <w:bookmarkEnd w:id="471"/>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pPr>
        <w:spacing w:line="360" w:lineRule="auto"/>
        <w:ind w:firstLine="480" w:firstLineChars="200"/>
        <w:rPr>
          <w:rFonts w:hint="eastAsia" w:ascii="宋体" w:hAnsi="宋体" w:cs="宋体"/>
          <w:sz w:val="24"/>
        </w:rPr>
      </w:pPr>
      <w:r>
        <w:rPr>
          <w:rFonts w:hint="eastAsia" w:ascii="宋体" w:hAnsi="宋体" w:cs="宋体"/>
          <w:sz w:val="24"/>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rPr>
        <w:t>，自动终止合同；若在合同有效期之前完成的，提前终止合同，无须再另行签订终止补充协议，甲方按合同约定要求及时退还乙方履约保证金；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pPr>
        <w:spacing w:line="360" w:lineRule="auto"/>
        <w:ind w:firstLine="482" w:firstLineChars="200"/>
        <w:outlineLvl w:val="0"/>
        <w:rPr>
          <w:rFonts w:ascii="宋体" w:hAnsi="宋体"/>
          <w:b/>
          <w:sz w:val="24"/>
        </w:rPr>
      </w:pPr>
      <w:bookmarkStart w:id="472" w:name="_Toc17363"/>
      <w:bookmarkStart w:id="473" w:name="_Toc1969"/>
      <w:bookmarkStart w:id="474" w:name="_Toc14525"/>
      <w:r>
        <w:rPr>
          <w:rFonts w:hint="eastAsia" w:ascii="宋体" w:hAnsi="宋体"/>
          <w:b/>
          <w:sz w:val="24"/>
        </w:rPr>
        <w:t>十五</w:t>
      </w:r>
      <w:bookmarkEnd w:id="472"/>
      <w:bookmarkEnd w:id="473"/>
      <w:bookmarkEnd w:id="474"/>
      <w:bookmarkStart w:id="475" w:name="_Toc25198"/>
      <w:bookmarkStart w:id="476" w:name="_Toc2308"/>
      <w:bookmarkStart w:id="477" w:name="_Toc9808"/>
      <w:bookmarkStart w:id="478" w:name="_Toc12666"/>
      <w:bookmarkStart w:id="479" w:name="_Toc31892"/>
      <w:r>
        <w:rPr>
          <w:rFonts w:hint="eastAsia" w:ascii="宋体" w:hAnsi="宋体"/>
          <w:b/>
          <w:sz w:val="24"/>
        </w:rPr>
        <w:t>、</w:t>
      </w:r>
      <w:r>
        <w:rPr>
          <w:rFonts w:ascii="宋体" w:hAnsi="宋体"/>
          <w:b/>
          <w:sz w:val="24"/>
        </w:rPr>
        <w:t>通知和送达</w:t>
      </w:r>
      <w:bookmarkEnd w:id="475"/>
      <w:bookmarkEnd w:id="476"/>
      <w:bookmarkEnd w:id="477"/>
      <w:bookmarkEnd w:id="478"/>
      <w:bookmarkEnd w:id="479"/>
    </w:p>
    <w:p>
      <w:pPr>
        <w:spacing w:line="360" w:lineRule="auto"/>
        <w:ind w:firstLine="480" w:firstLineChars="200"/>
        <w:rPr>
          <w:rFonts w:ascii="宋体" w:hAnsi="宋体"/>
          <w:sz w:val="24"/>
        </w:rPr>
      </w:pPr>
      <w:bookmarkStart w:id="480" w:name="_Toc18401"/>
      <w:bookmarkStart w:id="481" w:name="_Toc27674"/>
      <w:r>
        <w:rPr>
          <w:rFonts w:hint="eastAsia" w:ascii="宋体" w:hAnsi="宋体"/>
          <w:sz w:val="24"/>
        </w:rPr>
        <w:t>1.任何一方因履行合同而以合同第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80"/>
      <w:bookmarkEnd w:id="481"/>
    </w:p>
    <w:p>
      <w:pPr>
        <w:spacing w:line="360" w:lineRule="auto"/>
        <w:ind w:firstLine="482" w:firstLineChars="200"/>
        <w:outlineLvl w:val="0"/>
        <w:rPr>
          <w:rFonts w:ascii="宋体" w:hAnsi="宋体" w:cs="宋体"/>
          <w:b/>
          <w:sz w:val="24"/>
        </w:rPr>
      </w:pPr>
      <w:bookmarkStart w:id="482" w:name="_Toc18540"/>
      <w:bookmarkStart w:id="483" w:name="_Toc4355"/>
      <w:bookmarkStart w:id="484" w:name="_Toc30599"/>
      <w:bookmarkStart w:id="485" w:name="_Toc5063"/>
      <w:bookmarkStart w:id="486" w:name="_Toc28906"/>
      <w:bookmarkStart w:id="487" w:name="_Toc27644"/>
      <w:bookmarkStart w:id="488" w:name="_Toc20808"/>
      <w:bookmarkStart w:id="489" w:name="_Toc12254"/>
      <w:r>
        <w:rPr>
          <w:rFonts w:hint="eastAsia" w:ascii="宋体" w:hAnsi="宋体" w:cs="宋体"/>
          <w:b/>
          <w:sz w:val="24"/>
        </w:rPr>
        <w:t>十六、计量单位</w:t>
      </w:r>
      <w:bookmarkEnd w:id="482"/>
      <w:bookmarkEnd w:id="483"/>
      <w:bookmarkEnd w:id="484"/>
    </w:p>
    <w:p>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85"/>
      <w:bookmarkEnd w:id="486"/>
      <w:bookmarkEnd w:id="487"/>
      <w:bookmarkEnd w:id="488"/>
      <w:bookmarkEnd w:id="489"/>
    </w:p>
    <w:p>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pPr>
        <w:spacing w:line="360" w:lineRule="auto"/>
        <w:ind w:firstLine="482" w:firstLineChars="200"/>
        <w:outlineLvl w:val="0"/>
        <w:rPr>
          <w:rFonts w:ascii="宋体" w:hAnsi="宋体"/>
          <w:b/>
          <w:sz w:val="24"/>
        </w:rPr>
      </w:pPr>
      <w:r>
        <w:rPr>
          <w:rFonts w:hint="eastAsia" w:ascii="宋体" w:hAnsi="宋体"/>
          <w:b/>
          <w:sz w:val="24"/>
        </w:rPr>
        <w:t>十八、特别提示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pPr>
              <w:spacing w:line="360" w:lineRule="auto"/>
              <w:rPr>
                <w:rFonts w:hint="eastAsia" w:ascii="宋体" w:hAnsi="宋体" w:eastAsia="宋体" w:cs="Times New Roman"/>
                <w:sz w:val="24"/>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pPr>
        <w:rPr>
          <w:rFonts w:hint="eastAsia"/>
        </w:rPr>
      </w:pPr>
    </w:p>
    <w:p>
      <w:pPr>
        <w:rPr>
          <w:rFonts w:hint="eastAsia"/>
        </w:rPr>
      </w:pP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u w:val="single"/>
          <w:lang w:val="en-US" w:eastAsia="zh-CN" w:bidi="ar"/>
        </w:rPr>
        <w:t xml:space="preserve">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sz w:val="24"/>
          <w:u w:val="single"/>
          <w:lang w:eastAsia="zh-CN"/>
        </w:rPr>
        <w:t>2024年临江公司汽车衡技术服务采购项目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eastAsia="zh-CN" w:bidi="ar"/>
        </w:rPr>
        <w:t>2024年临江公司汽车衡技术服务采购项目</w:t>
      </w:r>
      <w:r>
        <w:rPr>
          <w:rFonts w:hint="eastAsia" w:ascii="宋体" w:hAnsi="宋体" w:cs="宋体"/>
          <w:kern w:val="0"/>
          <w:sz w:val="24"/>
          <w:u w:val="single"/>
          <w:lang w:bidi="ar"/>
        </w:rPr>
        <w:t xml:space="preserve"> </w:t>
      </w:r>
    </w:p>
    <w:p>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pPr>
        <w:spacing w:line="360" w:lineRule="auto"/>
        <w:ind w:firstLine="602" w:firstLineChars="250"/>
        <w:rPr>
          <w:rFonts w:hint="eastAsia" w:ascii="宋体" w:hAnsi="宋体" w:cs="宋体"/>
          <w:b/>
          <w:sz w:val="24"/>
        </w:rPr>
      </w:pPr>
      <w:r>
        <w:rPr>
          <w:rFonts w:hint="eastAsia" w:ascii="宋体" w:hAnsi="宋体" w:cs="宋体"/>
          <w:b/>
          <w:sz w:val="24"/>
        </w:rPr>
        <w:t>二、甲方职责</w:t>
      </w:r>
    </w:p>
    <w:p>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pPr>
        <w:spacing w:line="360" w:lineRule="auto"/>
        <w:ind w:firstLine="482" w:firstLineChars="200"/>
        <w:rPr>
          <w:rFonts w:hint="eastAsia" w:ascii="宋体" w:hAnsi="宋体" w:cs="宋体"/>
          <w:b/>
          <w:sz w:val="24"/>
        </w:rPr>
      </w:pPr>
      <w:r>
        <w:rPr>
          <w:rFonts w:hint="eastAsia" w:ascii="宋体" w:hAnsi="宋体" w:cs="宋体"/>
          <w:b/>
          <w:sz w:val="24"/>
        </w:rPr>
        <w:t>三、乙方职责</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乙方应落实</w:t>
      </w:r>
      <w:r>
        <w:rPr>
          <w:rFonts w:hint="eastAsia" w:ascii="宋体" w:hAnsi="宋体" w:cs="宋体"/>
          <w:sz w:val="24"/>
        </w:rPr>
        <w:t>安全管理人员</w:t>
      </w:r>
      <w:r>
        <w:rPr>
          <w:rFonts w:hint="eastAsia" w:ascii="宋体" w:hAnsi="宋体" w:cs="宋体"/>
          <w:sz w:val="24"/>
          <w:lang w:val="en-US" w:eastAsia="zh-CN"/>
        </w:rPr>
        <w:t>和安全管理措施</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pPr>
        <w:spacing w:line="360" w:lineRule="auto"/>
        <w:ind w:firstLine="482" w:firstLineChars="200"/>
        <w:rPr>
          <w:rFonts w:hint="eastAsia" w:ascii="宋体" w:hAnsi="宋体" w:cs="宋体"/>
          <w:sz w:val="24"/>
        </w:rPr>
      </w:pPr>
      <w:r>
        <w:rPr>
          <w:rFonts w:hint="eastAsia" w:ascii="宋体" w:hAnsi="宋体" w:cs="宋体"/>
          <w:b/>
          <w:sz w:val="24"/>
        </w:rPr>
        <w:t>四、违约责任</w:t>
      </w:r>
    </w:p>
    <w:p>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pPr>
        <w:spacing w:line="360" w:lineRule="auto"/>
        <w:ind w:firstLine="482" w:firstLineChars="200"/>
        <w:rPr>
          <w:rFonts w:hint="eastAsia" w:ascii="宋体" w:hAnsi="宋体" w:cs="宋体"/>
          <w:b/>
          <w:sz w:val="24"/>
        </w:rPr>
      </w:pPr>
      <w:r>
        <w:rPr>
          <w:rFonts w:hint="eastAsia" w:ascii="宋体" w:hAnsi="宋体" w:cs="宋体"/>
          <w:b/>
          <w:sz w:val="24"/>
        </w:rPr>
        <w:t>五、其他</w:t>
      </w:r>
    </w:p>
    <w:p>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pPr>
        <w:pStyle w:val="9"/>
        <w:ind w:firstLine="0" w:firstLineChars="0"/>
        <w:rPr>
          <w:rFonts w:hint="eastAsia"/>
        </w:rPr>
      </w:pPr>
    </w:p>
    <w:p>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p>
    <w:p>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rPr>
      </w:pPr>
    </w:p>
    <w:p>
      <w:pPr>
        <w:rPr>
          <w:rFonts w:hint="eastAsia"/>
        </w:rPr>
      </w:pPr>
    </w:p>
    <w:p>
      <w:pPr>
        <w:rPr>
          <w:color w:val="auto"/>
        </w:rPr>
      </w:pPr>
    </w:p>
    <w:p>
      <w:pPr>
        <w:pStyle w:val="6"/>
      </w:pPr>
    </w:p>
    <w:p>
      <w:pPr>
        <w:pStyle w:val="6"/>
        <w:rPr>
          <w:color w:val="auto"/>
        </w:rPr>
      </w:pPr>
    </w:p>
    <w:p>
      <w:pPr>
        <w:pStyle w:val="7"/>
        <w:rPr>
          <w:color w:val="auto"/>
        </w:rPr>
      </w:pPr>
    </w:p>
    <w:p>
      <w:pPr>
        <w:pStyle w:val="8"/>
        <w:rPr>
          <w:color w:val="auto"/>
        </w:rPr>
      </w:pPr>
    </w:p>
    <w:p>
      <w:pPr>
        <w:rPr>
          <w:color w:val="auto"/>
        </w:rPr>
      </w:pPr>
    </w:p>
    <w:p>
      <w:pPr>
        <w:pStyle w:val="14"/>
        <w:rPr>
          <w:color w:val="auto"/>
        </w:rPr>
      </w:pPr>
    </w:p>
    <w:p>
      <w:pPr>
        <w:rPr>
          <w:color w:val="auto"/>
        </w:rPr>
      </w:pPr>
    </w:p>
    <w:p>
      <w:pPr>
        <w:pStyle w:val="14"/>
        <w:rPr>
          <w:color w:val="auto"/>
        </w:rPr>
      </w:pPr>
    </w:p>
    <w:p>
      <w:pPr>
        <w:rPr>
          <w:color w:val="auto"/>
        </w:rPr>
      </w:pPr>
    </w:p>
    <w:p>
      <w:pPr>
        <w:pStyle w:val="14"/>
      </w:pPr>
    </w:p>
    <w:p>
      <w:pPr>
        <w:pStyle w:val="7"/>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pStyle w:val="4"/>
        <w:spacing w:after="120" w:line="700" w:lineRule="exact"/>
        <w:ind w:left="0" w:firstLine="0"/>
        <w:rPr>
          <w:rFonts w:ascii="Times New Roman" w:hAnsi="Times New Roman" w:eastAsia="宋体" w:cs="Times New Roman"/>
          <w:sz w:val="32"/>
        </w:rPr>
      </w:pP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2024年临江公司汽车衡技术服务采购项目</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snapToGrid w:val="0"/>
        <w:spacing w:line="360" w:lineRule="auto"/>
        <w:rPr>
          <w:rFonts w:hint="eastAsia" w:cs="仿宋" w:asciiTheme="minorEastAsia" w:hAnsiTheme="minorEastAsia"/>
          <w:color w:val="auto"/>
          <w:sz w:val="24"/>
        </w:rPr>
      </w:pPr>
    </w:p>
    <w:p>
      <w:pPr>
        <w:pStyle w:val="6"/>
        <w:rPr>
          <w:color w:val="auto"/>
        </w:rPr>
      </w:pPr>
    </w:p>
    <w:p>
      <w:pPr>
        <w:pStyle w:val="7"/>
        <w:rPr>
          <w:color w:val="auto"/>
        </w:rPr>
      </w:pPr>
    </w:p>
    <w:p>
      <w:pPr>
        <w:rPr>
          <w:color w:val="auto"/>
        </w:rPr>
      </w:pPr>
    </w:p>
    <w:p>
      <w:pPr>
        <w:pStyle w:val="6"/>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pStyle w:val="8"/>
        <w:rPr>
          <w:color w:val="auto"/>
        </w:rPr>
      </w:pPr>
    </w:p>
    <w:p>
      <w:pPr>
        <w:rPr>
          <w:color w:val="auto"/>
        </w:rPr>
      </w:pPr>
    </w:p>
    <w:p>
      <w:pPr>
        <w:pStyle w:val="14"/>
      </w:pPr>
    </w:p>
    <w:p>
      <w:pPr>
        <w:rPr>
          <w:color w:val="auto"/>
        </w:rPr>
      </w:pPr>
    </w:p>
    <w:p>
      <w:pPr>
        <w:pStyle w:val="6"/>
        <w:rPr>
          <w:color w:val="auto"/>
        </w:rPr>
      </w:pPr>
    </w:p>
    <w:p>
      <w:pPr>
        <w:pStyle w:val="7"/>
        <w:rPr>
          <w:color w:val="auto"/>
        </w:rPr>
      </w:pPr>
    </w:p>
    <w:p>
      <w:pPr>
        <w:rPr>
          <w:color w:val="auto"/>
        </w:rPr>
      </w:pPr>
    </w:p>
    <w:p>
      <w:pPr>
        <w:pStyle w:val="6"/>
        <w:rPr>
          <w:color w:val="auto"/>
        </w:rPr>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color w:val="auto"/>
          <w:sz w:val="24"/>
          <w:u w:val="single"/>
          <w:lang w:val="en-US" w:eastAsia="zh-CN"/>
        </w:rPr>
        <w:t>2024年临江公司汽车衡技术服务采购项目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202406014</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480" w:firstLineChars="200"/>
        <w:rPr>
          <w:rFonts w:hint="eastAsia" w:cs="仿宋" w:asciiTheme="minorEastAsia" w:hAnsiTheme="minorEastAsia"/>
          <w:sz w:val="24"/>
        </w:rPr>
      </w:pP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pStyle w:val="6"/>
        <w:rPr>
          <w:color w:val="auto"/>
        </w:rPr>
      </w:pPr>
    </w:p>
    <w:p>
      <w:pPr>
        <w:pStyle w:val="7"/>
        <w:rPr>
          <w:color w:val="auto"/>
        </w:rPr>
      </w:pPr>
    </w:p>
    <w:p>
      <w:pPr>
        <w:rPr>
          <w:color w:val="auto"/>
        </w:rPr>
      </w:pPr>
    </w:p>
    <w:p>
      <w:pPr>
        <w:pStyle w:val="6"/>
        <w:rPr>
          <w:color w:val="auto"/>
        </w:rPr>
      </w:pPr>
    </w:p>
    <w:p>
      <w:pPr>
        <w:pStyle w:val="7"/>
      </w:pPr>
    </w:p>
    <w:p>
      <w:pPr>
        <w:pStyle w:val="7"/>
        <w:rPr>
          <w:color w:val="auto"/>
        </w:rPr>
      </w:pPr>
    </w:p>
    <w:p>
      <w:pPr>
        <w:rPr>
          <w:color w:val="auto"/>
        </w:rPr>
      </w:pPr>
    </w:p>
    <w:p>
      <w:pPr>
        <w:pStyle w:val="6"/>
        <w:rPr>
          <w:color w:val="auto"/>
        </w:rPr>
      </w:pPr>
    </w:p>
    <w:p>
      <w:pPr>
        <w:pStyle w:val="7"/>
        <w:rPr>
          <w:color w:val="auto"/>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6"/>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6"/>
        <w:rPr>
          <w:color w:val="auto"/>
        </w:rPr>
      </w:pPr>
    </w:p>
    <w:p>
      <w:pPr>
        <w:pStyle w:val="7"/>
        <w:rPr>
          <w:color w:val="auto"/>
        </w:rPr>
      </w:pPr>
    </w:p>
    <w:p>
      <w:pPr>
        <w:rPr>
          <w:color w:val="auto"/>
        </w:rPr>
      </w:pPr>
    </w:p>
    <w:p>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7"/>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pPr>
    </w:p>
    <w:p>
      <w:pPr>
        <w:pStyle w:val="6"/>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pStyle w:val="6"/>
        <w:rPr>
          <w:color w:val="auto"/>
        </w:rPr>
      </w:pPr>
    </w:p>
    <w:p>
      <w:pPr>
        <w:pStyle w:val="7"/>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7"/>
        <w:ind w:left="0" w:leftChars="0" w:firstLine="0" w:firstLineChars="0"/>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2024年临江公司汽车衡技术服务采购项目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202406014</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6"/>
        <w:widowControl w:val="0"/>
        <w:numPr>
          <w:ilvl w:val="0"/>
          <w:numId w:val="0"/>
        </w:numPr>
        <w:autoSpaceDE w:val="0"/>
        <w:autoSpaceDN w:val="0"/>
        <w:adjustRightInd w:val="0"/>
        <w:spacing w:line="360" w:lineRule="auto"/>
        <w:jc w:val="both"/>
        <w:rPr>
          <w:color w:val="auto"/>
        </w:rPr>
      </w:pPr>
    </w:p>
    <w:p>
      <w:pPr>
        <w:pStyle w:val="7"/>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2024年临江公司汽车衡技术服务采购项目（项目编号：202406014）</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响应采购整个过程中的一切事项，其在</w:t>
      </w:r>
      <w:r>
        <w:rPr>
          <w:rFonts w:hint="eastAsia" w:cs="仿宋" w:asciiTheme="minorEastAsia" w:hAnsiTheme="minorEastAsia"/>
          <w:color w:val="auto"/>
          <w:kern w:val="0"/>
          <w:sz w:val="24"/>
        </w:rPr>
        <w:t>报价</w:t>
      </w:r>
      <w:r>
        <w:rPr>
          <w:rFonts w:hint="eastAsia" w:cs="仿宋" w:asciiTheme="minorEastAsia" w:hAnsiTheme="minorEastAsia"/>
          <w:color w:val="auto"/>
          <w:kern w:val="0"/>
          <w:sz w:val="24"/>
          <w:lang w:eastAsia="zh-CN"/>
        </w:rPr>
        <w:t>、</w:t>
      </w:r>
      <w:r>
        <w:rPr>
          <w:rFonts w:hint="eastAsia" w:cs="仿宋" w:asciiTheme="minorEastAsia" w:hAnsiTheme="minorEastAsia"/>
          <w:color w:val="auto"/>
          <w:kern w:val="0"/>
          <w:sz w:val="24"/>
          <w:lang w:val="en-US" w:eastAsia="zh-CN"/>
        </w:rPr>
        <w:t>合同签订、合同履行等</w:t>
      </w:r>
      <w:r>
        <w:rPr>
          <w:rFonts w:hint="eastAsia" w:cs="仿宋" w:asciiTheme="minorEastAsia" w:hAnsiTheme="minorEastAsia"/>
          <w:color w:val="auto"/>
          <w:kern w:val="0"/>
          <w:sz w:val="24"/>
        </w:rPr>
        <w:t>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6"/>
        <w:rPr>
          <w:rFonts w:hint="eastAsia" w:cs="仿宋" w:asciiTheme="minorEastAsia" w:hAnsiTheme="minorEastAsia"/>
          <w:b/>
          <w:color w:val="auto"/>
          <w:kern w:val="0"/>
          <w:sz w:val="32"/>
          <w:szCs w:val="32"/>
          <w:lang w:val="zh-CN"/>
        </w:rPr>
      </w:pPr>
    </w:p>
    <w:p>
      <w:pPr>
        <w:pStyle w:val="7"/>
        <w:rPr>
          <w:rFonts w:hint="eastAsia"/>
          <w:color w:val="auto"/>
          <w:lang w:val="zh-CN"/>
        </w:rPr>
      </w:pPr>
    </w:p>
    <w:p>
      <w:pPr>
        <w:rPr>
          <w:color w:val="auto"/>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6"/>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numPr>
          <w:ilvl w:val="0"/>
          <w:numId w:val="0"/>
        </w:numPr>
        <w:ind w:leftChars="20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响应产品规格配置</w:t>
      </w:r>
      <w:r>
        <w:rPr>
          <w:rFonts w:hint="eastAsia" w:cs="仿宋" w:asciiTheme="minorEastAsia" w:hAnsiTheme="minorEastAsia"/>
          <w:b/>
          <w:color w:val="auto"/>
          <w:kern w:val="0"/>
          <w:sz w:val="32"/>
          <w:szCs w:val="32"/>
          <w:lang w:val="en-US" w:eastAsia="zh-CN"/>
        </w:rPr>
        <w:t>清单（若有）</w:t>
      </w:r>
    </w:p>
    <w:p>
      <w:pPr>
        <w:numPr>
          <w:ilvl w:val="0"/>
          <w:numId w:val="0"/>
        </w:numPr>
        <w:jc w:val="both"/>
        <w:rPr>
          <w:rFonts w:hint="eastAsia" w:cs="仿宋" w:asciiTheme="minorEastAsia" w:hAnsiTheme="minorEastAsia"/>
          <w:b/>
          <w:color w:val="auto"/>
          <w:kern w:val="0"/>
          <w:sz w:val="32"/>
          <w:szCs w:val="32"/>
          <w:lang w:val="en-US" w:eastAsia="zh-CN"/>
        </w:rPr>
      </w:pPr>
    </w:p>
    <w:tbl>
      <w:tblPr>
        <w:tblStyle w:val="15"/>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7"/>
        <w:rPr>
          <w:rFonts w:cs="仿宋" w:asciiTheme="minorEastAsia" w:hAnsiTheme="minorEastAsia"/>
          <w:color w:val="auto"/>
          <w:lang w:val="en-US"/>
        </w:rPr>
      </w:pPr>
    </w:p>
    <w:p>
      <w:pPr>
        <w:pStyle w:val="6"/>
        <w:rPr>
          <w:rFonts w:cs="仿宋_GB2312" w:asciiTheme="minorEastAsia" w:hAnsiTheme="minorEastAsia"/>
          <w:color w:val="auto"/>
        </w:rPr>
      </w:pPr>
    </w:p>
    <w:p>
      <w:pPr>
        <w:pStyle w:val="6"/>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6"/>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3"/>
        <w:widowControl w:val="0"/>
        <w:numPr>
          <w:ilvl w:val="0"/>
          <w:numId w:val="0"/>
        </w:numPr>
        <w:jc w:val="left"/>
        <w:rPr>
          <w:rFonts w:hint="eastAsia"/>
          <w:color w:val="auto"/>
          <w:lang w:val="zh-CN"/>
        </w:rPr>
      </w:pPr>
    </w:p>
    <w:p>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2024年临江公司汽车衡技术服务采购项目（项目编号：202406014）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lang w:eastAsia="zh-CN"/>
        </w:rPr>
        <w:t>2024年临江公司汽车衡技术服务采购项目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202406014</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ind w:firstLine="480" w:firstLineChars="200"/>
        <w:jc w:val="left"/>
        <w:rPr>
          <w:rFonts w:hint="eastAsia" w:ascii="宋体" w:hAnsi="宋体" w:cs="宋体"/>
          <w:color w:val="auto"/>
          <w:szCs w:val="21"/>
        </w:rPr>
      </w:pPr>
    </w:p>
    <w:p>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2024年临江公司汽车衡技术服务采购项目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202406014</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8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1"/>
        <w:gridCol w:w="1167"/>
        <w:gridCol w:w="1100"/>
        <w:gridCol w:w="3483"/>
        <w:gridCol w:w="900"/>
        <w:gridCol w:w="850"/>
        <w:gridCol w:w="950"/>
        <w:gridCol w:w="783"/>
        <w:gridCol w:w="41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物资名称</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汽车衡品牌</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单价（元）</w:t>
            </w: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总价（元）</w:t>
            </w: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汽车衡技术检修服务</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梅特勒托利多</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汽车衡型号:SCS-100；规格：100T，精度等级：III类，地下基坑地磅，三组合磅。</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4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1.</w:t>
            </w:r>
            <w:r>
              <w:rPr>
                <w:rFonts w:hint="eastAsia" w:ascii="宋体" w:hAnsi="宋体" w:eastAsia="宋体" w:cs="宋体"/>
                <w:i w:val="0"/>
                <w:iCs w:val="0"/>
                <w:color w:val="000000"/>
                <w:kern w:val="0"/>
                <w:sz w:val="20"/>
                <w:szCs w:val="20"/>
                <w:u w:val="none"/>
                <w:lang w:val="en-US" w:eastAsia="zh-CN" w:bidi="ar"/>
              </w:rPr>
              <w:t>供应商需根据采购人要求</w:t>
            </w:r>
            <w:r>
              <w:rPr>
                <w:rFonts w:hint="default" w:ascii="宋体" w:hAnsi="宋体" w:eastAsia="宋体" w:cs="宋体"/>
                <w:i w:val="0"/>
                <w:iCs w:val="0"/>
                <w:color w:val="000000"/>
                <w:kern w:val="0"/>
                <w:sz w:val="20"/>
                <w:szCs w:val="20"/>
                <w:u w:val="none"/>
                <w:lang w:val="en-US" w:eastAsia="zh-CN" w:bidi="ar"/>
              </w:rPr>
              <w:t>对称架、称重传感器、上位机、道闸、欢迎屏、服务器、车检器、控制系统等设备进行全面检查</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2.检查发现需要更换备件，备件由</w:t>
            </w:r>
            <w:r>
              <w:rPr>
                <w:rFonts w:hint="default" w:ascii="宋体" w:hAnsi="宋体" w:eastAsia="宋体" w:cs="宋体"/>
                <w:i w:val="0"/>
                <w:iCs w:val="0"/>
                <w:color w:val="000000"/>
                <w:kern w:val="0"/>
                <w:sz w:val="20"/>
                <w:szCs w:val="20"/>
                <w:u w:val="none"/>
                <w:lang w:val="en-US" w:eastAsia="zh-CN" w:bidi="ar"/>
              </w:rPr>
              <w:t>采购人提供</w:t>
            </w:r>
            <w:r>
              <w:rPr>
                <w:rFonts w:hint="eastAsia" w:ascii="宋体" w:hAnsi="宋体" w:eastAsia="宋体" w:cs="宋体"/>
                <w:i w:val="0"/>
                <w:iCs w:val="0"/>
                <w:color w:val="000000"/>
                <w:kern w:val="0"/>
                <w:sz w:val="20"/>
                <w:szCs w:val="20"/>
                <w:u w:val="none"/>
                <w:lang w:val="en-US" w:eastAsia="zh-CN" w:bidi="ar"/>
              </w:rPr>
              <w:t>，但供应商需负责拆旧换新；</w:t>
            </w:r>
          </w:p>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供应商负责</w:t>
            </w:r>
            <w:r>
              <w:rPr>
                <w:rFonts w:hint="default" w:ascii="宋体" w:hAnsi="宋体" w:eastAsia="宋体" w:cs="宋体"/>
                <w:i w:val="0"/>
                <w:iCs w:val="0"/>
                <w:color w:val="000000"/>
                <w:kern w:val="0"/>
                <w:sz w:val="20"/>
                <w:szCs w:val="20"/>
                <w:u w:val="none"/>
                <w:lang w:val="en-US" w:eastAsia="zh-CN" w:bidi="ar"/>
              </w:rPr>
              <w:t>安装、调试地磅防浮套件</w:t>
            </w:r>
            <w:r>
              <w:rPr>
                <w:rFonts w:hint="eastAsia" w:ascii="宋体" w:hAnsi="宋体" w:eastAsia="宋体" w:cs="宋体"/>
                <w:i w:val="0"/>
                <w:iCs w:val="0"/>
                <w:color w:val="000000"/>
                <w:kern w:val="0"/>
                <w:sz w:val="20"/>
                <w:szCs w:val="20"/>
                <w:u w:val="none"/>
                <w:lang w:val="en-US" w:eastAsia="zh-CN" w:bidi="ar"/>
              </w:rPr>
              <w:t>，</w:t>
            </w:r>
            <w:r>
              <w:rPr>
                <w:rFonts w:hint="default" w:ascii="宋体" w:hAnsi="宋体" w:eastAsia="宋体" w:cs="宋体"/>
                <w:i w:val="0"/>
                <w:iCs w:val="0"/>
                <w:color w:val="000000"/>
                <w:kern w:val="0"/>
                <w:sz w:val="20"/>
                <w:szCs w:val="20"/>
                <w:u w:val="none"/>
                <w:lang w:val="en-US" w:eastAsia="zh-CN" w:bidi="ar"/>
              </w:rPr>
              <w:t>防浮套件由采购人提供</w:t>
            </w:r>
            <w:r>
              <w:rPr>
                <w:rFonts w:hint="eastAsia" w:ascii="宋体" w:hAnsi="宋体" w:eastAsia="宋体" w:cs="宋体"/>
                <w:i w:val="0"/>
                <w:iCs w:val="0"/>
                <w:color w:val="000000"/>
                <w:kern w:val="0"/>
                <w:sz w:val="20"/>
                <w:szCs w:val="20"/>
                <w:u w:val="none"/>
                <w:lang w:val="en-US" w:eastAsia="zh-CN" w:bidi="ar"/>
              </w:rPr>
              <w:t>，如有需要，采购人提前准备起重机。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r>
              <w:rPr>
                <w:rFonts w:hint="default" w:ascii="宋体" w:hAnsi="宋体" w:eastAsia="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供应商负责</w:t>
            </w:r>
            <w:r>
              <w:rPr>
                <w:rFonts w:hint="default" w:ascii="宋体" w:hAnsi="宋体" w:eastAsia="宋体" w:cs="宋体"/>
                <w:i w:val="0"/>
                <w:iCs w:val="0"/>
                <w:color w:val="000000"/>
                <w:kern w:val="0"/>
                <w:sz w:val="20"/>
                <w:szCs w:val="20"/>
                <w:u w:val="none"/>
                <w:lang w:val="en-US" w:eastAsia="zh-CN" w:bidi="ar"/>
              </w:rPr>
              <w:t>服务器软件全面备份、整理</w:t>
            </w:r>
            <w:r>
              <w:rPr>
                <w:rFonts w:hint="eastAsia" w:ascii="宋体" w:hAnsi="宋体" w:eastAsia="宋体" w:cs="宋体"/>
                <w:i w:val="0"/>
                <w:iCs w:val="0"/>
                <w:color w:val="000000"/>
                <w:kern w:val="0"/>
                <w:sz w:val="20"/>
                <w:szCs w:val="20"/>
                <w:u w:val="none"/>
                <w:lang w:val="en-US" w:eastAsia="zh-CN" w:bidi="ar"/>
              </w:rPr>
              <w:t>；</w:t>
            </w:r>
          </w:p>
          <w:p>
            <w:pPr>
              <w:keepNext w:val="0"/>
              <w:keepLines w:val="0"/>
              <w:widowControl/>
              <w:suppressLineNumbers w:val="0"/>
              <w:jc w:val="both"/>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5.所有汽车衡技术服务全部结束后10个工作日内提供服务报告3份。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响应报价合计（小写）</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rPr>
              <w:t>响应报价合计（大写）</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b/>
                <w:color w:val="auto"/>
                <w:sz w:val="24"/>
                <w:lang w:eastAsia="zh-CN"/>
              </w:rPr>
              <w:t>税率</w:t>
            </w:r>
          </w:p>
        </w:tc>
        <w:tc>
          <w:tcPr>
            <w:tcW w:w="76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pacing w:line="360" w:lineRule="auto"/>
        <w:jc w:val="center"/>
        <w:rPr>
          <w:rFonts w:hint="eastAsia" w:cs="仿宋" w:asciiTheme="minorEastAsia" w:hAnsiTheme="minorEastAsia"/>
          <w:b/>
          <w:color w:val="auto"/>
          <w:kern w:val="0"/>
          <w:sz w:val="24"/>
          <w:lang w:val="zh-CN"/>
        </w:rPr>
      </w:pPr>
    </w:p>
    <w:p>
      <w:pPr>
        <w:snapToGrid w:val="0"/>
        <w:spacing w:line="360" w:lineRule="auto"/>
        <w:rPr>
          <w:rFonts w:ascii="宋体" w:hAnsi="宋体" w:cs="宋体"/>
          <w:color w:val="auto"/>
          <w:kern w:val="0"/>
          <w:sz w:val="24"/>
          <w:lang w:val="zh-CN"/>
        </w:rPr>
      </w:pPr>
      <w:r>
        <w:rPr>
          <w:rFonts w:hint="eastAsia" w:cs="仿宋" w:asciiTheme="minorEastAsia" w:hAnsiTheme="minorEastAsia"/>
          <w:b/>
          <w:color w:val="auto"/>
          <w:kern w:val="0"/>
          <w:sz w:val="24"/>
          <w:lang w:val="zh-CN"/>
        </w:rPr>
        <w:t>注：</w:t>
      </w: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hint="default" w:ascii="宋体" w:hAnsi="宋体" w:cs="宋体" w:eastAsiaTheme="minorEastAsia"/>
          <w:color w:val="auto"/>
          <w:kern w:val="0"/>
          <w:sz w:val="24"/>
          <w:lang w:val="en-US" w:eastAsia="zh-CN"/>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color w:val="auto"/>
        </w:rPr>
      </w:pPr>
      <w:r>
        <w:rPr>
          <w:rFonts w:hint="eastAsia" w:ascii="宋体" w:hAnsi="宋体" w:cs="宋体"/>
          <w:color w:val="auto"/>
          <w:kern w:val="0"/>
          <w:sz w:val="24"/>
          <w:lang w:val="en-US" w:eastAsia="zh-CN"/>
        </w:rPr>
        <w:t>3、</w:t>
      </w:r>
      <w:r>
        <w:rPr>
          <w:rFonts w:hint="eastAsia" w:ascii="宋体" w:hAnsi="宋体" w:cs="宋体"/>
          <w:color w:val="auto"/>
          <w:kern w:val="0"/>
          <w:sz w:val="24"/>
          <w:lang w:val="zh-CN"/>
        </w:rPr>
        <w:t>特别提示：采购人将对项目名称和项目编号，成交供应商名称、成交金额予以公示。</w:t>
      </w:r>
    </w:p>
    <w:p>
      <w:pPr>
        <w:rPr>
          <w:color w:val="auto"/>
        </w:rPr>
      </w:pPr>
    </w:p>
    <w:p>
      <w:pPr>
        <w:pStyle w:val="6"/>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490" w:name="_Toc465665161"/>
      <w:r>
        <w:rPr>
          <w:rFonts w:hint="eastAsia" w:cs="宋体" w:asciiTheme="minorEastAsia" w:hAnsiTheme="minorEastAsia"/>
          <w:b/>
          <w:bCs/>
          <w:color w:val="auto"/>
          <w:kern w:val="44"/>
          <w:sz w:val="44"/>
          <w:szCs w:val="44"/>
        </w:rPr>
        <w:t>附件</w:t>
      </w:r>
      <w:bookmarkEnd w:id="490"/>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u w:val="single"/>
          <w:lang w:val="en-US" w:eastAsia="zh-CN"/>
        </w:rPr>
        <w:t>2024年临江公司汽车衡技术服务采购项目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202406014</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lang w:val="en-US" w:eastAsia="zh-CN"/>
        </w:rPr>
        <w:t>2024年临江公司汽车衡技术服务采购项目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202406014</w:t>
      </w:r>
      <w:r>
        <w:rPr>
          <w:rFonts w:hint="eastAsia" w:cs="仿宋" w:asciiTheme="minorEastAsia" w:hAnsiTheme="minorEastAsia"/>
          <w:color w:val="auto"/>
          <w:sz w:val="24"/>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6"/>
        <w:rPr>
          <w:color w:val="auto"/>
        </w:rPr>
      </w:pPr>
    </w:p>
    <w:p>
      <w:pPr>
        <w:rPr>
          <w:color w:val="auto"/>
        </w:rPr>
      </w:pPr>
    </w:p>
    <w:p>
      <w:pPr>
        <w:pStyle w:val="6"/>
        <w:rPr>
          <w:color w:val="auto"/>
        </w:rPr>
      </w:pPr>
    </w:p>
    <w:p>
      <w:pPr>
        <w:rPr>
          <w:color w:val="auto"/>
        </w:rPr>
      </w:pPr>
    </w:p>
    <w:p>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附件4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ascii="宋体" w:hAnsi="宋体" w:cs="宋体"/>
          <w:sz w:val="24"/>
          <w:u w:val="single"/>
          <w:lang w:eastAsia="zh-CN"/>
        </w:rPr>
        <w:t>2024年临江公司汽车衡技术服务采购项目</w:t>
      </w:r>
      <w:r>
        <w:rPr>
          <w:rFonts w:hint="eastAsia" w:ascii="宋体" w:hAnsi="宋体" w:cs="宋体"/>
          <w:sz w:val="24"/>
          <w:u w:val="single"/>
        </w:rPr>
        <w:t>（项目编号：</w:t>
      </w:r>
      <w:r>
        <w:rPr>
          <w:rFonts w:hint="eastAsia" w:ascii="宋体" w:hAnsi="宋体" w:cs="宋体"/>
          <w:sz w:val="24"/>
          <w:u w:val="single"/>
          <w:lang w:eastAsia="zh-CN"/>
        </w:rPr>
        <w:t>202406014</w:t>
      </w:r>
      <w:r>
        <w:rPr>
          <w:rFonts w:hint="eastAsia" w:ascii="宋体" w:hAnsi="宋体" w:cs="宋体"/>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，现申请退还该笔响应保证金，本申请书也作为收款凭证。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6"/>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hint="eastAsia"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             ），小写（RMB          ）。</w:t>
      </w:r>
    </w:p>
    <w:p>
      <w:pPr>
        <w:pBdr>
          <w:top w:val="single" w:color="auto" w:sz="4" w:space="1"/>
          <w:left w:val="single" w:color="auto" w:sz="4" w:space="4"/>
          <w:bottom w:val="single" w:color="auto" w:sz="4" w:space="1"/>
          <w:right w:val="single" w:color="auto" w:sz="4" w:space="0"/>
        </w:pBdr>
        <w:spacing w:line="360" w:lineRule="auto"/>
        <w:rPr>
          <w:rFonts w:hint="eastAsia" w:ascii="宋体" w:hAnsi="宋体" w:cs="宋体"/>
          <w:sz w:val="24"/>
        </w:rPr>
      </w:pP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pPr>
        <w:pStyle w:val="6"/>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1C03A305"/>
    <w:multiLevelType w:val="singleLevel"/>
    <w:tmpl w:val="1C03A305"/>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23E1286"/>
    <w:rsid w:val="035117FA"/>
    <w:rsid w:val="037A38B6"/>
    <w:rsid w:val="046A1781"/>
    <w:rsid w:val="04E634F4"/>
    <w:rsid w:val="05150472"/>
    <w:rsid w:val="051B17AF"/>
    <w:rsid w:val="056A436C"/>
    <w:rsid w:val="0805754C"/>
    <w:rsid w:val="08670640"/>
    <w:rsid w:val="08E37A2F"/>
    <w:rsid w:val="09545F70"/>
    <w:rsid w:val="09EC7123"/>
    <w:rsid w:val="09ED56C9"/>
    <w:rsid w:val="0A1D0FFF"/>
    <w:rsid w:val="0AD025A1"/>
    <w:rsid w:val="0BD07B44"/>
    <w:rsid w:val="0C492847"/>
    <w:rsid w:val="0D0F13F2"/>
    <w:rsid w:val="0DCB6F7B"/>
    <w:rsid w:val="0F095788"/>
    <w:rsid w:val="0F81598B"/>
    <w:rsid w:val="0FE66327"/>
    <w:rsid w:val="10BE08E9"/>
    <w:rsid w:val="1157552B"/>
    <w:rsid w:val="11E9626A"/>
    <w:rsid w:val="14521AA0"/>
    <w:rsid w:val="15BE749A"/>
    <w:rsid w:val="16641C4A"/>
    <w:rsid w:val="166F3635"/>
    <w:rsid w:val="16902A0A"/>
    <w:rsid w:val="185A544F"/>
    <w:rsid w:val="18890233"/>
    <w:rsid w:val="198737C7"/>
    <w:rsid w:val="19DC6BDA"/>
    <w:rsid w:val="1AA56FDE"/>
    <w:rsid w:val="1AB95DDA"/>
    <w:rsid w:val="1B701CEB"/>
    <w:rsid w:val="1B7913A6"/>
    <w:rsid w:val="1C742A28"/>
    <w:rsid w:val="1CD34128"/>
    <w:rsid w:val="1CDE6781"/>
    <w:rsid w:val="1D4749BC"/>
    <w:rsid w:val="1F457921"/>
    <w:rsid w:val="21677697"/>
    <w:rsid w:val="22A244DC"/>
    <w:rsid w:val="22CE045F"/>
    <w:rsid w:val="23AE001C"/>
    <w:rsid w:val="26694EA0"/>
    <w:rsid w:val="284A39BF"/>
    <w:rsid w:val="29E67293"/>
    <w:rsid w:val="2A1060BE"/>
    <w:rsid w:val="2A6366FF"/>
    <w:rsid w:val="2A6807FA"/>
    <w:rsid w:val="2B32649C"/>
    <w:rsid w:val="2C270527"/>
    <w:rsid w:val="2C4141D8"/>
    <w:rsid w:val="2CF9120A"/>
    <w:rsid w:val="2D265BF9"/>
    <w:rsid w:val="2F1F33A8"/>
    <w:rsid w:val="2F5836E9"/>
    <w:rsid w:val="30123142"/>
    <w:rsid w:val="304A7E50"/>
    <w:rsid w:val="305B1FD4"/>
    <w:rsid w:val="30A029D7"/>
    <w:rsid w:val="31027BB0"/>
    <w:rsid w:val="314B6E80"/>
    <w:rsid w:val="32843E96"/>
    <w:rsid w:val="33F64577"/>
    <w:rsid w:val="346C4CFD"/>
    <w:rsid w:val="352F03C1"/>
    <w:rsid w:val="35BB2786"/>
    <w:rsid w:val="36162BCB"/>
    <w:rsid w:val="36412810"/>
    <w:rsid w:val="365A6285"/>
    <w:rsid w:val="36BD312A"/>
    <w:rsid w:val="37514AF4"/>
    <w:rsid w:val="377C0298"/>
    <w:rsid w:val="37F61CA1"/>
    <w:rsid w:val="39C31C6C"/>
    <w:rsid w:val="3C283344"/>
    <w:rsid w:val="3C3420E0"/>
    <w:rsid w:val="3C485F9D"/>
    <w:rsid w:val="3C7C70D7"/>
    <w:rsid w:val="3CDD4740"/>
    <w:rsid w:val="3CE34536"/>
    <w:rsid w:val="3CF15D03"/>
    <w:rsid w:val="3DD607FC"/>
    <w:rsid w:val="3E0C6463"/>
    <w:rsid w:val="3F9801F6"/>
    <w:rsid w:val="403E57B7"/>
    <w:rsid w:val="40532D51"/>
    <w:rsid w:val="40642A4A"/>
    <w:rsid w:val="409A36F1"/>
    <w:rsid w:val="4179370E"/>
    <w:rsid w:val="41986976"/>
    <w:rsid w:val="42112513"/>
    <w:rsid w:val="42BF647C"/>
    <w:rsid w:val="43496F4C"/>
    <w:rsid w:val="435518AD"/>
    <w:rsid w:val="437A2DA4"/>
    <w:rsid w:val="44873A1C"/>
    <w:rsid w:val="472961BF"/>
    <w:rsid w:val="47DA67C1"/>
    <w:rsid w:val="47DB3E83"/>
    <w:rsid w:val="48D971FE"/>
    <w:rsid w:val="49105C83"/>
    <w:rsid w:val="49A53D97"/>
    <w:rsid w:val="49EF0F16"/>
    <w:rsid w:val="4A0D4F09"/>
    <w:rsid w:val="4AE27CAC"/>
    <w:rsid w:val="4BAC48C9"/>
    <w:rsid w:val="4F251D5C"/>
    <w:rsid w:val="4FD65994"/>
    <w:rsid w:val="4FEB08B0"/>
    <w:rsid w:val="50886E1D"/>
    <w:rsid w:val="50F171DC"/>
    <w:rsid w:val="51185048"/>
    <w:rsid w:val="513B5867"/>
    <w:rsid w:val="514563A8"/>
    <w:rsid w:val="523875F5"/>
    <w:rsid w:val="52506204"/>
    <w:rsid w:val="52B35FD7"/>
    <w:rsid w:val="52F37398"/>
    <w:rsid w:val="52F74C34"/>
    <w:rsid w:val="533B163F"/>
    <w:rsid w:val="53FA1DF3"/>
    <w:rsid w:val="547C34F6"/>
    <w:rsid w:val="54AB2D04"/>
    <w:rsid w:val="56F563A5"/>
    <w:rsid w:val="571F3A0C"/>
    <w:rsid w:val="57AE1752"/>
    <w:rsid w:val="57F2034A"/>
    <w:rsid w:val="58235318"/>
    <w:rsid w:val="58354DBE"/>
    <w:rsid w:val="59121C77"/>
    <w:rsid w:val="592A109F"/>
    <w:rsid w:val="59DE0E09"/>
    <w:rsid w:val="5A283DD0"/>
    <w:rsid w:val="5ACD76EE"/>
    <w:rsid w:val="5B3D7F5F"/>
    <w:rsid w:val="5CAB26FD"/>
    <w:rsid w:val="5CDE7F34"/>
    <w:rsid w:val="5DC10EA2"/>
    <w:rsid w:val="5E8D24F9"/>
    <w:rsid w:val="5EE70DDC"/>
    <w:rsid w:val="5EFD2476"/>
    <w:rsid w:val="5F0279C4"/>
    <w:rsid w:val="5F944466"/>
    <w:rsid w:val="6139287F"/>
    <w:rsid w:val="620526DE"/>
    <w:rsid w:val="62121B84"/>
    <w:rsid w:val="63CF15A0"/>
    <w:rsid w:val="657B7ADB"/>
    <w:rsid w:val="666E5DC4"/>
    <w:rsid w:val="673151A3"/>
    <w:rsid w:val="673E5F91"/>
    <w:rsid w:val="67762CFD"/>
    <w:rsid w:val="679754A0"/>
    <w:rsid w:val="67BA0661"/>
    <w:rsid w:val="67D649B5"/>
    <w:rsid w:val="68C66552"/>
    <w:rsid w:val="68EA3AA2"/>
    <w:rsid w:val="6A4E3ABD"/>
    <w:rsid w:val="6A9310E7"/>
    <w:rsid w:val="6AA36AD3"/>
    <w:rsid w:val="6AE63D7E"/>
    <w:rsid w:val="6B462C2B"/>
    <w:rsid w:val="6CCA1DA6"/>
    <w:rsid w:val="700D088C"/>
    <w:rsid w:val="700E4F44"/>
    <w:rsid w:val="70173239"/>
    <w:rsid w:val="704830DB"/>
    <w:rsid w:val="721A5B23"/>
    <w:rsid w:val="72B931C1"/>
    <w:rsid w:val="72FA0088"/>
    <w:rsid w:val="73013453"/>
    <w:rsid w:val="738D03F5"/>
    <w:rsid w:val="75232BA7"/>
    <w:rsid w:val="75622B13"/>
    <w:rsid w:val="75E9767E"/>
    <w:rsid w:val="767E5B01"/>
    <w:rsid w:val="774E334F"/>
    <w:rsid w:val="784D0635"/>
    <w:rsid w:val="78DE0825"/>
    <w:rsid w:val="795D0218"/>
    <w:rsid w:val="79EB254B"/>
    <w:rsid w:val="7AF4716D"/>
    <w:rsid w:val="7BA82ABD"/>
    <w:rsid w:val="7C585B25"/>
    <w:rsid w:val="7C662D96"/>
    <w:rsid w:val="7D797C2B"/>
    <w:rsid w:val="7D955BFE"/>
    <w:rsid w:val="7DAC6A56"/>
    <w:rsid w:val="7E60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21"/>
    <w:basedOn w:val="17"/>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26295</Words>
  <Characters>27527</Characters>
  <Lines>0</Lines>
  <Paragraphs>0</Paragraphs>
  <TotalTime>8</TotalTime>
  <ScaleCrop>false</ScaleCrop>
  <LinksUpToDate>false</LinksUpToDate>
  <CharactersWithSpaces>30759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陈培</cp:lastModifiedBy>
  <dcterms:modified xsi:type="dcterms:W3CDTF">2024-06-20T07:29:49Z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A1ED29D5195F42DC88B15D6E555041E6</vt:lpwstr>
  </property>
</Properties>
</file>