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2024年临江公司垃圾吊抓斗备件</w:t>
      </w:r>
    </w:p>
    <w:p>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202407013</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2024年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9</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2024年临江公司垃圾吊抓斗备件采购项目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202407013</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2024年临江公司垃圾吊抓斗备件采购项目</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6.7</w:t>
      </w:r>
      <w:r>
        <w:rPr>
          <w:rFonts w:hint="eastAsia" w:cs="仿宋" w:asciiTheme="minorEastAsia" w:hAnsiTheme="minorEastAsia"/>
          <w:color w:val="auto"/>
          <w:sz w:val="24"/>
          <w:highlight w:val="none"/>
          <w:u w:val="singl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垃圾吊抓斗备件</w:t>
      </w:r>
      <w:r>
        <w:rPr>
          <w:rFonts w:hint="eastAsia" w:hAnsi="宋体" w:cs="宋体"/>
          <w:bCs/>
          <w:color w:val="auto"/>
          <w:sz w:val="24"/>
          <w:highlight w:val="none"/>
        </w:rPr>
        <w:t>一批</w:t>
      </w:r>
      <w:r>
        <w:rPr>
          <w:rFonts w:hint="eastAsia"/>
          <w:color w:val="auto"/>
          <w:highlight w:val="none"/>
          <w:lang w:val="en-US" w:eastAsia="zh-CN"/>
        </w:rPr>
        <w:t>，用于</w:t>
      </w:r>
      <w:r>
        <w:rPr>
          <w:rFonts w:hint="eastAsia" w:ascii="宋体" w:hAnsi="宋体" w:eastAsia="宋体" w:cs="宋体"/>
          <w:color w:val="auto"/>
          <w:sz w:val="24"/>
          <w:highlight w:val="none"/>
        </w:rPr>
        <w:t>MMGL 12000-4进口佩纳垃圾吊抓斗</w:t>
      </w:r>
      <w:r>
        <w:rPr>
          <w:rFonts w:hint="eastAsia" w:ascii="宋体" w:hAnsi="宋体" w:eastAsia="宋体" w:cs="宋体"/>
          <w:color w:val="auto"/>
          <w:sz w:val="24"/>
          <w:highlight w:val="none"/>
          <w:lang w:val="en-US" w:eastAsia="zh-CN"/>
        </w:rPr>
        <w:t>日常维修</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供货结束后合同自行终止。</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供应商提供自202</w:t>
      </w:r>
      <w:r>
        <w:rPr>
          <w:rFonts w:hint="eastAsia" w:cs="仿宋" w:asciiTheme="minorEastAsia" w:hAnsiTheme="minorEastAsia"/>
          <w:bCs/>
          <w:color w:val="auto"/>
          <w:sz w:val="24"/>
          <w:highlight w:val="none"/>
          <w:u w:val="single"/>
          <w:lang w:val="en-US" w:eastAsia="zh-CN"/>
        </w:rPr>
        <w:t>1</w:t>
      </w:r>
      <w:r>
        <w:rPr>
          <w:rFonts w:hint="eastAsia" w:cs="仿宋" w:asciiTheme="minorEastAsia" w:hAnsiTheme="minorEastAsia"/>
          <w:bCs/>
          <w:color w:val="auto"/>
          <w:sz w:val="24"/>
          <w:highlight w:val="none"/>
          <w:u w:val="single"/>
        </w:rPr>
        <w:t>年1月1日起至少1例</w:t>
      </w:r>
      <w:r>
        <w:rPr>
          <w:rFonts w:hint="eastAsia" w:cs="仿宋" w:asciiTheme="minorEastAsia" w:hAnsiTheme="minorEastAsia"/>
          <w:color w:val="auto"/>
          <w:sz w:val="24"/>
          <w:highlight w:val="none"/>
          <w:u w:val="single"/>
          <w:lang w:val="en-US" w:eastAsia="zh-CN"/>
        </w:rPr>
        <w:t>佩纳抓斗备件销售或佩纳抓斗的维修</w:t>
      </w:r>
      <w:r>
        <w:rPr>
          <w:rFonts w:hint="eastAsia" w:cs="仿宋" w:asciiTheme="minorEastAsia" w:hAnsiTheme="minorEastAsia"/>
          <w:bCs/>
          <w:color w:val="auto"/>
          <w:sz w:val="24"/>
          <w:highlight w:val="none"/>
          <w:u w:val="single"/>
        </w:rPr>
        <w:t>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4.供应商不得为杭州市环境集团有限公司不合格供应商或者在黑名单之内。</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7月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7月17</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叶</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 xml:space="preserve"> 7月9</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bookmarkStart w:id="517" w:name="_GoBack"/>
      <w:bookmarkEnd w:id="517"/>
    </w:p>
    <w:p>
      <w:pPr>
        <w:spacing w:line="460" w:lineRule="exact"/>
        <w:jc w:val="both"/>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pStyle w:val="6"/>
        <w:rPr>
          <w:rFonts w:cs="仿宋" w:asciiTheme="minorEastAsia" w:hAnsiTheme="minorEastAsia"/>
          <w:b/>
          <w:color w:val="auto"/>
          <w:sz w:val="32"/>
          <w:szCs w:val="20"/>
          <w:highlight w:val="none"/>
        </w:rPr>
      </w:pPr>
    </w:p>
    <w:p>
      <w:pPr>
        <w:pStyle w:val="7"/>
        <w:rPr>
          <w:color w:val="auto"/>
          <w:highlight w:val="none"/>
        </w:rPr>
      </w:pPr>
    </w:p>
    <w:p>
      <w:pPr>
        <w:rPr>
          <w:rFonts w:cs="仿宋" w:asciiTheme="minorEastAsia" w:hAnsiTheme="minorEastAsia"/>
          <w:b/>
          <w:color w:val="auto"/>
          <w:sz w:val="32"/>
          <w:szCs w:val="20"/>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1"/>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2"/>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highlight w:val="none"/>
        </w:rPr>
      </w:pP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1"/>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1"/>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6"/>
        <w:ind w:firstLine="480" w:firstLineChars="200"/>
        <w:rPr>
          <w:color w:val="auto"/>
          <w:highlight w:val="none"/>
        </w:rPr>
      </w:pPr>
      <w:r>
        <w:rPr>
          <w:rFonts w:hint="eastAsia"/>
          <w:color w:val="auto"/>
          <w:highlight w:val="none"/>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highlight w:val="none"/>
        </w:rPr>
      </w:pPr>
    </w:p>
    <w:p>
      <w:pPr>
        <w:pStyle w:val="6"/>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6"/>
        <w:ind w:firstLine="480" w:firstLineChars="200"/>
        <w:rPr>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垃圾吊抓斗备件</w:t>
      </w:r>
      <w:r>
        <w:rPr>
          <w:rFonts w:hint="eastAsia"/>
          <w:color w:val="auto"/>
          <w:highlight w:val="none"/>
          <w:lang w:val="en-US"/>
        </w:rPr>
        <w:t>一批</w:t>
      </w:r>
      <w:r>
        <w:rPr>
          <w:rFonts w:hint="eastAsia"/>
          <w:color w:val="auto"/>
          <w:highlight w:val="none"/>
          <w:lang w:val="en-US" w:eastAsia="zh-CN"/>
        </w:rPr>
        <w:t>，用于</w:t>
      </w:r>
      <w:r>
        <w:rPr>
          <w:rFonts w:hint="eastAsia" w:ascii="宋体" w:hAnsi="宋体" w:eastAsia="宋体" w:cs="宋体"/>
          <w:color w:val="auto"/>
          <w:sz w:val="24"/>
          <w:highlight w:val="none"/>
        </w:rPr>
        <w:t>MMGL 12000-4进口佩纳垃圾吊抓斗</w:t>
      </w:r>
      <w:r>
        <w:rPr>
          <w:rFonts w:hint="eastAsia" w:hAnsi="宋体" w:eastAsia="宋体" w:cs="宋体"/>
          <w:color w:val="auto"/>
          <w:sz w:val="24"/>
          <w:highlight w:val="none"/>
          <w:lang w:val="en-US" w:eastAsia="zh-CN"/>
        </w:rPr>
        <w:t>日常维修</w:t>
      </w:r>
      <w:r>
        <w:rPr>
          <w:rFonts w:hint="eastAsia"/>
          <w:color w:val="auto"/>
          <w:highlight w:val="none"/>
          <w:lang w:val="en-US"/>
        </w:rPr>
        <w:t>，具体如下：</w:t>
      </w:r>
    </w:p>
    <w:tbl>
      <w:tblPr>
        <w:tblStyle w:val="15"/>
        <w:tblW w:w="87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616"/>
        <w:gridCol w:w="4904"/>
        <w:gridCol w:w="532"/>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4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型号规格</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4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主销轴</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BCM30721-004</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主销轴垫片</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撑杆销轴</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撑杆衬套</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CM0514-303</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油缸销轴</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BCM30721-008</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油缸销轴（下）</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23141516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斗瓣销轴</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1000073590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斗体衬套</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1000058084</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液控单向阀</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SV1/SV2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单向阀</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R1/R2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开闭电磁换向阀</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RPE3-062X11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隔离圈</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材质：16Mn 规格：内径110mm*外径120mm*宽20mm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挡圈</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材质：16Mn 规格：内径100mm*外径160mm*厚6mm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油缸护额</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1000057887</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bl>
    <w:p>
      <w:pPr>
        <w:spacing w:line="360" w:lineRule="auto"/>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自合同签订后一次性供货结束自动终止</w:t>
      </w:r>
      <w:r>
        <w:rPr>
          <w:rFonts w:hint="eastAsia" w:ascii="宋体" w:hAnsi="宋体" w:cs="宋体"/>
          <w:color w:val="auto"/>
          <w:sz w:val="24"/>
          <w:highlight w:val="none"/>
        </w:rPr>
        <w:t>；</w:t>
      </w:r>
    </w:p>
    <w:p>
      <w:pPr>
        <w:pStyle w:val="6"/>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ascii="宋体" w:eastAsia="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供应商提供的备件需满足</w:t>
      </w:r>
      <w:r>
        <w:rPr>
          <w:rFonts w:hint="eastAsia" w:ascii="宋体" w:hAnsi="宋体" w:eastAsia="宋体" w:cs="宋体"/>
          <w:color w:val="auto"/>
          <w:sz w:val="24"/>
          <w:highlight w:val="none"/>
        </w:rPr>
        <w:t>MMGL 12000-4进口佩纳垃圾吊抓斗</w:t>
      </w:r>
      <w:r>
        <w:rPr>
          <w:rFonts w:hint="eastAsia" w:ascii="宋体" w:hAnsi="宋体" w:eastAsia="宋体" w:cs="宋体"/>
          <w:color w:val="auto"/>
          <w:sz w:val="24"/>
          <w:highlight w:val="none"/>
          <w:lang w:val="en-US" w:eastAsia="zh-CN"/>
        </w:rPr>
        <w:t>的安装和运行要求，若因尺寸、接口等问题无法安装或者安装之后达不到运行标准的，供应商应无条件免费换货，直至满足运行要求为止。</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质保期限为自验收合格后12个月，若质保期内出现质量问题（非质量问题除外），由供应商负责联系生产厂家免费维修，产生的费用全部由供应商承担。</w:t>
      </w:r>
    </w:p>
    <w:p>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五</w:t>
      </w:r>
      <w:r>
        <w:rPr>
          <w:rFonts w:hint="eastAsia"/>
          <w:b/>
          <w:bCs/>
          <w:color w:val="auto"/>
          <w:highlight w:val="none"/>
          <w:lang w:val="en-US"/>
        </w:rPr>
        <w:t>、验收方式</w:t>
      </w:r>
    </w:p>
    <w:p>
      <w:pPr>
        <w:pStyle w:val="6"/>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供应商</w:t>
      </w:r>
      <w:r>
        <w:rPr>
          <w:rFonts w:hint="eastAsia"/>
          <w:color w:val="auto"/>
          <w:highlight w:val="none"/>
          <w:lang w:val="en-US"/>
        </w:rPr>
        <w:t>须提供该批次货物</w:t>
      </w:r>
      <w:r>
        <w:rPr>
          <w:rFonts w:hint="eastAsia"/>
          <w:color w:val="auto"/>
          <w:highlight w:val="none"/>
          <w:lang w:val="en-US" w:eastAsia="zh-CN"/>
        </w:rPr>
        <w:t>生产厂家的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双方指定人员现场确认送货数量并由双方签字确认。</w:t>
      </w:r>
    </w:p>
    <w:p>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五、服务要求</w:t>
      </w:r>
    </w:p>
    <w:p>
      <w:pPr>
        <w:pStyle w:val="6"/>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一次性</w:t>
      </w:r>
      <w:r>
        <w:rPr>
          <w:rFonts w:hint="eastAsia"/>
          <w:color w:val="auto"/>
          <w:highlight w:val="none"/>
          <w:lang w:val="en-US"/>
        </w:rPr>
        <w:t>次供货，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w:t>
      </w:r>
      <w:r>
        <w:rPr>
          <w:rFonts w:hint="eastAsia"/>
          <w:color w:val="auto"/>
          <w:highlight w:val="none"/>
          <w:lang w:val="en-US"/>
        </w:rPr>
        <w:t>日内完成供货。</w:t>
      </w:r>
    </w:p>
    <w:p>
      <w:pPr>
        <w:pStyle w:val="6"/>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六、结算方式</w:t>
      </w:r>
    </w:p>
    <w:p>
      <w:pPr>
        <w:pStyle w:val="7"/>
        <w:ind w:firstLine="480" w:firstLineChars="200"/>
        <w:rPr>
          <w:color w:val="auto"/>
          <w:highlight w:val="none"/>
          <w:lang w:val="en-US"/>
        </w:rPr>
      </w:pPr>
      <w:r>
        <w:rPr>
          <w:rFonts w:hint="eastAsia"/>
          <w:color w:val="auto"/>
          <w:highlight w:val="none"/>
          <w:lang w:val="en-US"/>
        </w:rPr>
        <w:t>以本询价采购文件中的合同条款为准。</w:t>
      </w:r>
    </w:p>
    <w:p>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七、售后要求</w:t>
      </w:r>
    </w:p>
    <w:p>
      <w:pPr>
        <w:pStyle w:val="6"/>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小时内赶到现场进行处理，</w:t>
      </w:r>
      <w:r>
        <w:rPr>
          <w:rFonts w:hint="eastAsia"/>
          <w:color w:val="auto"/>
          <w:highlight w:val="none"/>
          <w:lang w:val="en-US" w:eastAsia="zh-CN"/>
        </w:rPr>
        <w:t>8</w:t>
      </w:r>
      <w:r>
        <w:rPr>
          <w:rFonts w:hint="eastAsia" w:ascii="宋体"/>
          <w:color w:val="auto"/>
          <w:highlight w:val="none"/>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pPr>
        <w:pStyle w:val="6"/>
        <w:ind w:firstLine="480" w:firstLineChars="200"/>
        <w:rPr>
          <w:rFonts w:hint="eastAsia" w:ascii="宋体"/>
          <w:color w:val="auto"/>
          <w:highlight w:val="none"/>
          <w:lang w:val="en-US"/>
        </w:rPr>
      </w:pPr>
      <w:r>
        <w:rPr>
          <w:rFonts w:hint="eastAsia" w:ascii="宋体"/>
          <w:color w:val="auto"/>
          <w:highlight w:val="none"/>
          <w:lang w:val="en-US"/>
        </w:rPr>
        <w:t>3.在设备使用过程中，因产品质量问题给他机械设备造成故障或货物损坏，由供应商承担采购人的一切损失，包括直接和间接损失。</w:t>
      </w:r>
    </w:p>
    <w:p>
      <w:pPr>
        <w:pStyle w:val="13"/>
        <w:rPr>
          <w:color w:val="auto"/>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26"/>
      <w:bookmarkEnd w:id="19"/>
      <w:bookmarkStart w:id="20" w:name="_Toc184313255"/>
      <w:bookmarkEnd w:id="20"/>
      <w:bookmarkStart w:id="21" w:name="_Toc184314450"/>
      <w:bookmarkEnd w:id="21"/>
      <w:bookmarkStart w:id="22" w:name="_Toc184314426"/>
      <w:bookmarkEnd w:id="22"/>
      <w:bookmarkStart w:id="23" w:name="_Toc184308038"/>
      <w:bookmarkEnd w:id="23"/>
      <w:bookmarkStart w:id="24" w:name="_Toc184312110"/>
      <w:bookmarkEnd w:id="24"/>
      <w:bookmarkStart w:id="25" w:name="_Toc184314441"/>
      <w:bookmarkEnd w:id="25"/>
      <w:bookmarkStart w:id="26" w:name="_Toc184314421"/>
      <w:bookmarkEnd w:id="26"/>
      <w:bookmarkStart w:id="27" w:name="_Toc184312104"/>
      <w:bookmarkEnd w:id="27"/>
      <w:bookmarkStart w:id="28" w:name="_Toc184310333"/>
      <w:bookmarkEnd w:id="28"/>
      <w:bookmarkStart w:id="29" w:name="_Toc184308066"/>
      <w:bookmarkEnd w:id="29"/>
      <w:bookmarkStart w:id="30" w:name="_Toc184312107"/>
      <w:bookmarkEnd w:id="30"/>
      <w:bookmarkStart w:id="31" w:name="_Toc184313241"/>
      <w:bookmarkEnd w:id="31"/>
      <w:bookmarkStart w:id="32" w:name="_Toc184314480"/>
      <w:bookmarkEnd w:id="32"/>
      <w:bookmarkStart w:id="33" w:name="_Toc184308094"/>
      <w:bookmarkEnd w:id="33"/>
      <w:bookmarkStart w:id="34" w:name="_Toc184313281"/>
      <w:bookmarkEnd w:id="34"/>
      <w:bookmarkStart w:id="35" w:name="_Toc184308057"/>
      <w:bookmarkEnd w:id="35"/>
      <w:bookmarkStart w:id="36" w:name="_Toc184308044"/>
      <w:bookmarkEnd w:id="36"/>
      <w:bookmarkStart w:id="37" w:name="_Toc184310297"/>
      <w:bookmarkEnd w:id="37"/>
      <w:bookmarkStart w:id="38" w:name="_Toc184308088"/>
      <w:bookmarkEnd w:id="38"/>
      <w:bookmarkStart w:id="39" w:name="_Toc184313289"/>
      <w:bookmarkEnd w:id="39"/>
      <w:bookmarkStart w:id="40" w:name="_Toc184312088"/>
      <w:bookmarkEnd w:id="40"/>
      <w:bookmarkStart w:id="41" w:name="_Toc184308093"/>
      <w:bookmarkEnd w:id="41"/>
      <w:bookmarkStart w:id="42" w:name="_Toc184314447"/>
      <w:bookmarkEnd w:id="42"/>
      <w:bookmarkStart w:id="43" w:name="_Toc184308042"/>
      <w:bookmarkEnd w:id="43"/>
      <w:bookmarkStart w:id="44" w:name="_Toc184310338"/>
      <w:bookmarkEnd w:id="44"/>
      <w:bookmarkStart w:id="45" w:name="_Toc184310286"/>
      <w:bookmarkEnd w:id="45"/>
      <w:bookmarkStart w:id="46" w:name="_Toc184310295"/>
      <w:bookmarkEnd w:id="46"/>
      <w:bookmarkStart w:id="47" w:name="_Toc184313284"/>
      <w:bookmarkEnd w:id="47"/>
      <w:bookmarkStart w:id="48" w:name="_Toc184312136"/>
      <w:bookmarkEnd w:id="48"/>
      <w:bookmarkStart w:id="49" w:name="_Toc184312069"/>
      <w:bookmarkEnd w:id="49"/>
      <w:bookmarkStart w:id="50" w:name="_Toc184314434"/>
      <w:bookmarkEnd w:id="50"/>
      <w:bookmarkStart w:id="51" w:name="_Toc184308051"/>
      <w:bookmarkEnd w:id="51"/>
      <w:bookmarkStart w:id="52" w:name="_Toc184312116"/>
      <w:bookmarkEnd w:id="52"/>
      <w:bookmarkStart w:id="53" w:name="_Toc184313293"/>
      <w:bookmarkEnd w:id="53"/>
      <w:bookmarkStart w:id="54" w:name="_Toc184313250"/>
      <w:bookmarkEnd w:id="54"/>
      <w:bookmarkStart w:id="55" w:name="_Toc184312096"/>
      <w:bookmarkEnd w:id="55"/>
      <w:bookmarkStart w:id="56" w:name="_Toc184313262"/>
      <w:bookmarkEnd w:id="56"/>
      <w:bookmarkStart w:id="57" w:name="_Toc184310290"/>
      <w:bookmarkEnd w:id="57"/>
      <w:bookmarkStart w:id="58" w:name="_Toc184312108"/>
      <w:bookmarkEnd w:id="58"/>
      <w:bookmarkStart w:id="59" w:name="_Toc184310321"/>
      <w:bookmarkEnd w:id="59"/>
      <w:bookmarkStart w:id="60" w:name="_Toc184312131"/>
      <w:bookmarkEnd w:id="60"/>
      <w:bookmarkStart w:id="61" w:name="_Toc184310331"/>
      <w:bookmarkEnd w:id="61"/>
      <w:bookmarkStart w:id="62" w:name="_Toc184313303"/>
      <w:bookmarkEnd w:id="62"/>
      <w:bookmarkStart w:id="63" w:name="_Toc184308059"/>
      <w:bookmarkEnd w:id="63"/>
      <w:bookmarkStart w:id="64" w:name="_Toc184314417"/>
      <w:bookmarkEnd w:id="64"/>
      <w:bookmarkStart w:id="65" w:name="_Toc184314412"/>
      <w:bookmarkEnd w:id="65"/>
      <w:bookmarkStart w:id="66" w:name="_Toc184314430"/>
      <w:bookmarkEnd w:id="66"/>
      <w:bookmarkStart w:id="67" w:name="_Toc184314473"/>
      <w:bookmarkEnd w:id="67"/>
      <w:bookmarkStart w:id="68" w:name="_Toc184310288"/>
      <w:bookmarkEnd w:id="68"/>
      <w:bookmarkStart w:id="69" w:name="_Toc184310307"/>
      <w:bookmarkEnd w:id="69"/>
      <w:bookmarkStart w:id="70" w:name="_Toc184308040"/>
      <w:bookmarkEnd w:id="70"/>
      <w:bookmarkStart w:id="71" w:name="_Toc184313295"/>
      <w:bookmarkEnd w:id="71"/>
      <w:bookmarkStart w:id="72" w:name="_Toc184314463"/>
      <w:bookmarkEnd w:id="72"/>
      <w:bookmarkStart w:id="73" w:name="_Toc184312139"/>
      <w:bookmarkEnd w:id="73"/>
      <w:bookmarkStart w:id="74" w:name="_Toc184313260"/>
      <w:bookmarkEnd w:id="74"/>
      <w:bookmarkStart w:id="75" w:name="_Toc184308064"/>
      <w:bookmarkEnd w:id="75"/>
      <w:bookmarkStart w:id="76" w:name="_Toc184308107"/>
      <w:bookmarkEnd w:id="76"/>
      <w:bookmarkStart w:id="77" w:name="_Toc184313299"/>
      <w:bookmarkEnd w:id="77"/>
      <w:bookmarkStart w:id="78" w:name="_Toc184312087"/>
      <w:bookmarkEnd w:id="78"/>
      <w:bookmarkStart w:id="79" w:name="_Toc184313257"/>
      <w:bookmarkEnd w:id="79"/>
      <w:bookmarkStart w:id="80" w:name="_Toc184313309"/>
      <w:bookmarkEnd w:id="80"/>
      <w:bookmarkStart w:id="81" w:name="_Toc184314478"/>
      <w:bookmarkEnd w:id="81"/>
      <w:bookmarkStart w:id="82" w:name="_Toc184313292"/>
      <w:bookmarkEnd w:id="82"/>
      <w:bookmarkStart w:id="83" w:name="_Toc184310310"/>
      <w:bookmarkEnd w:id="83"/>
      <w:bookmarkStart w:id="84" w:name="_Toc184314416"/>
      <w:bookmarkEnd w:id="84"/>
      <w:bookmarkStart w:id="85" w:name="_Toc184313307"/>
      <w:bookmarkEnd w:id="85"/>
      <w:bookmarkStart w:id="86" w:name="_Toc184308069"/>
      <w:bookmarkEnd w:id="86"/>
      <w:bookmarkStart w:id="87" w:name="_Toc184312067"/>
      <w:bookmarkEnd w:id="87"/>
      <w:bookmarkStart w:id="88" w:name="_Toc184312135"/>
      <w:bookmarkEnd w:id="88"/>
      <w:bookmarkStart w:id="89" w:name="_Toc184313304"/>
      <w:bookmarkEnd w:id="89"/>
      <w:bookmarkStart w:id="90" w:name="_Toc184313288"/>
      <w:bookmarkEnd w:id="90"/>
      <w:bookmarkStart w:id="91" w:name="_Toc184310324"/>
      <w:bookmarkEnd w:id="91"/>
      <w:bookmarkStart w:id="92" w:name="_Toc184308041"/>
      <w:bookmarkEnd w:id="92"/>
      <w:bookmarkStart w:id="93" w:name="_Toc184314468"/>
      <w:bookmarkEnd w:id="93"/>
      <w:bookmarkStart w:id="94" w:name="_Toc184314427"/>
      <w:bookmarkEnd w:id="94"/>
      <w:bookmarkStart w:id="95" w:name="_Toc184310299"/>
      <w:bookmarkEnd w:id="95"/>
      <w:bookmarkStart w:id="96" w:name="_Toc184312070"/>
      <w:bookmarkEnd w:id="96"/>
      <w:bookmarkStart w:id="97" w:name="_Toc184314422"/>
      <w:bookmarkEnd w:id="97"/>
      <w:bookmarkStart w:id="98" w:name="_Toc184313271"/>
      <w:bookmarkEnd w:id="98"/>
      <w:bookmarkStart w:id="99" w:name="_Toc184312082"/>
      <w:bookmarkEnd w:id="99"/>
      <w:bookmarkStart w:id="100" w:name="_Toc184308065"/>
      <w:bookmarkEnd w:id="100"/>
      <w:bookmarkStart w:id="101" w:name="_Toc184312125"/>
      <w:bookmarkEnd w:id="101"/>
      <w:bookmarkStart w:id="102" w:name="_Toc184314481"/>
      <w:bookmarkEnd w:id="102"/>
      <w:bookmarkStart w:id="103" w:name="_Toc184312090"/>
      <w:bookmarkEnd w:id="103"/>
      <w:bookmarkStart w:id="104" w:name="_Toc184313245"/>
      <w:bookmarkEnd w:id="104"/>
      <w:bookmarkStart w:id="105" w:name="_Toc184314419"/>
      <w:bookmarkEnd w:id="105"/>
      <w:bookmarkStart w:id="106" w:name="_Toc184313263"/>
      <w:bookmarkEnd w:id="106"/>
      <w:bookmarkStart w:id="107" w:name="_Toc184310280"/>
      <w:bookmarkEnd w:id="107"/>
      <w:bookmarkStart w:id="108" w:name="_Toc184312106"/>
      <w:bookmarkEnd w:id="108"/>
      <w:bookmarkStart w:id="109" w:name="_Toc184312113"/>
      <w:bookmarkEnd w:id="109"/>
      <w:bookmarkStart w:id="110" w:name="_Toc184308037"/>
      <w:bookmarkEnd w:id="110"/>
      <w:bookmarkStart w:id="111" w:name="_Toc184314415"/>
      <w:bookmarkEnd w:id="111"/>
      <w:bookmarkStart w:id="112" w:name="_Toc184310322"/>
      <w:bookmarkEnd w:id="112"/>
      <w:bookmarkStart w:id="113" w:name="_Toc184313240"/>
      <w:bookmarkEnd w:id="113"/>
      <w:bookmarkStart w:id="114" w:name="_Toc184310272"/>
      <w:bookmarkEnd w:id="114"/>
      <w:bookmarkStart w:id="115" w:name="_Toc184314411"/>
      <w:bookmarkEnd w:id="115"/>
      <w:bookmarkStart w:id="116" w:name="_Toc184308089"/>
      <w:bookmarkEnd w:id="116"/>
      <w:bookmarkStart w:id="117" w:name="_Toc184314457"/>
      <w:bookmarkEnd w:id="117"/>
      <w:bookmarkStart w:id="118" w:name="_Toc184314443"/>
      <w:bookmarkEnd w:id="118"/>
      <w:bookmarkStart w:id="119" w:name="_Toc184308083"/>
      <w:bookmarkEnd w:id="119"/>
      <w:bookmarkStart w:id="120" w:name="_Toc184312119"/>
      <w:bookmarkEnd w:id="120"/>
      <w:bookmarkStart w:id="121" w:name="_Toc184308062"/>
      <w:bookmarkEnd w:id="121"/>
      <w:bookmarkStart w:id="122" w:name="_Toc184308052"/>
      <w:bookmarkEnd w:id="122"/>
      <w:bookmarkStart w:id="123" w:name="_Toc184313267"/>
      <w:bookmarkEnd w:id="123"/>
      <w:bookmarkStart w:id="124" w:name="_Toc184313280"/>
      <w:bookmarkEnd w:id="124"/>
      <w:bookmarkStart w:id="125" w:name="_Toc184312075"/>
      <w:bookmarkEnd w:id="125"/>
      <w:bookmarkStart w:id="126" w:name="_Toc184310273"/>
      <w:bookmarkEnd w:id="126"/>
      <w:bookmarkStart w:id="127" w:name="_Toc184314475"/>
      <w:bookmarkEnd w:id="127"/>
      <w:bookmarkStart w:id="128" w:name="_Toc184314460"/>
      <w:bookmarkEnd w:id="128"/>
      <w:bookmarkStart w:id="129" w:name="_Toc184314424"/>
      <w:bookmarkEnd w:id="129"/>
      <w:bookmarkStart w:id="130" w:name="_Toc184308073"/>
      <w:bookmarkEnd w:id="130"/>
      <w:bookmarkStart w:id="131" w:name="_Toc184313279"/>
      <w:bookmarkEnd w:id="131"/>
      <w:bookmarkStart w:id="132" w:name="_Toc184313277"/>
      <w:bookmarkEnd w:id="132"/>
      <w:bookmarkStart w:id="133" w:name="_Toc184308039"/>
      <w:bookmarkEnd w:id="133"/>
      <w:bookmarkStart w:id="134" w:name="_Toc184314459"/>
      <w:bookmarkEnd w:id="134"/>
      <w:bookmarkStart w:id="135" w:name="_Toc184312120"/>
      <w:bookmarkEnd w:id="135"/>
      <w:bookmarkStart w:id="136" w:name="_Toc184310293"/>
      <w:bookmarkEnd w:id="136"/>
      <w:bookmarkStart w:id="137" w:name="_Toc184313297"/>
      <w:bookmarkEnd w:id="137"/>
      <w:bookmarkStart w:id="138" w:name="_Toc184313243"/>
      <w:bookmarkEnd w:id="138"/>
      <w:bookmarkStart w:id="139" w:name="_Toc184308075"/>
      <w:bookmarkEnd w:id="139"/>
      <w:bookmarkStart w:id="140" w:name="_Toc184313242"/>
      <w:bookmarkEnd w:id="140"/>
      <w:bookmarkStart w:id="141" w:name="_Toc184314435"/>
      <w:bookmarkEnd w:id="141"/>
      <w:bookmarkStart w:id="142" w:name="_Toc184310341"/>
      <w:bookmarkEnd w:id="142"/>
      <w:bookmarkStart w:id="143" w:name="_Toc184314445"/>
      <w:bookmarkEnd w:id="143"/>
      <w:bookmarkStart w:id="144" w:name="_Toc184314439"/>
      <w:bookmarkEnd w:id="144"/>
      <w:bookmarkStart w:id="145" w:name="_Toc184313266"/>
      <w:bookmarkEnd w:id="145"/>
      <w:bookmarkStart w:id="146" w:name="_Toc184313258"/>
      <w:bookmarkEnd w:id="146"/>
      <w:bookmarkStart w:id="147" w:name="_Toc184313253"/>
      <w:bookmarkEnd w:id="147"/>
      <w:bookmarkStart w:id="148" w:name="_Toc184310292"/>
      <w:bookmarkEnd w:id="148"/>
      <w:bookmarkStart w:id="149" w:name="_Toc184313310"/>
      <w:bookmarkEnd w:id="149"/>
      <w:bookmarkStart w:id="150" w:name="_Toc184308070"/>
      <w:bookmarkEnd w:id="150"/>
      <w:bookmarkStart w:id="151" w:name="_Toc184313301"/>
      <w:bookmarkEnd w:id="151"/>
      <w:bookmarkStart w:id="152" w:name="_Toc184310298"/>
      <w:bookmarkEnd w:id="152"/>
      <w:bookmarkStart w:id="153" w:name="_Toc184313287"/>
      <w:bookmarkEnd w:id="153"/>
      <w:bookmarkStart w:id="154" w:name="_Toc184312079"/>
      <w:bookmarkEnd w:id="154"/>
      <w:bookmarkStart w:id="155" w:name="_Toc184308047"/>
      <w:bookmarkEnd w:id="155"/>
      <w:bookmarkStart w:id="156" w:name="_Toc184312084"/>
      <w:bookmarkEnd w:id="156"/>
      <w:bookmarkStart w:id="157" w:name="_Toc184312112"/>
      <w:bookmarkEnd w:id="157"/>
      <w:bookmarkStart w:id="158" w:name="_Toc184314458"/>
      <w:bookmarkEnd w:id="158"/>
      <w:bookmarkStart w:id="159" w:name="_Toc184314452"/>
      <w:bookmarkEnd w:id="159"/>
      <w:bookmarkStart w:id="160" w:name="_Toc184314433"/>
      <w:bookmarkEnd w:id="160"/>
      <w:bookmarkStart w:id="161" w:name="_Toc184310311"/>
      <w:bookmarkEnd w:id="161"/>
      <w:bookmarkStart w:id="162" w:name="_Toc184310274"/>
      <w:bookmarkEnd w:id="162"/>
      <w:bookmarkStart w:id="163" w:name="_Toc184310329"/>
      <w:bookmarkEnd w:id="163"/>
      <w:bookmarkStart w:id="164" w:name="_Toc184314431"/>
      <w:bookmarkEnd w:id="164"/>
      <w:bookmarkStart w:id="165" w:name="_Toc184313272"/>
      <w:bookmarkEnd w:id="165"/>
      <w:bookmarkStart w:id="166" w:name="_Toc184312105"/>
      <w:bookmarkEnd w:id="166"/>
      <w:bookmarkStart w:id="167" w:name="_Toc184310337"/>
      <w:bookmarkEnd w:id="167"/>
      <w:bookmarkStart w:id="168" w:name="_Toc184314464"/>
      <w:bookmarkEnd w:id="168"/>
      <w:bookmarkStart w:id="169" w:name="_Toc184310287"/>
      <w:bookmarkEnd w:id="169"/>
      <w:bookmarkStart w:id="170" w:name="_Toc184308068"/>
      <w:bookmarkEnd w:id="170"/>
      <w:bookmarkStart w:id="171" w:name="_Toc184314420"/>
      <w:bookmarkEnd w:id="171"/>
      <w:bookmarkStart w:id="172" w:name="_Toc184313300"/>
      <w:bookmarkEnd w:id="172"/>
      <w:bookmarkStart w:id="173" w:name="_Toc184314461"/>
      <w:bookmarkEnd w:id="173"/>
      <w:bookmarkStart w:id="174" w:name="_Toc184314423"/>
      <w:bookmarkEnd w:id="174"/>
      <w:bookmarkStart w:id="175" w:name="_Toc184308055"/>
      <w:bookmarkEnd w:id="175"/>
      <w:bookmarkStart w:id="176" w:name="_Toc184312124"/>
      <w:bookmarkEnd w:id="176"/>
      <w:bookmarkStart w:id="177" w:name="_Toc184310301"/>
      <w:bookmarkEnd w:id="177"/>
      <w:bookmarkStart w:id="178" w:name="_Toc184313285"/>
      <w:bookmarkEnd w:id="178"/>
      <w:bookmarkStart w:id="179" w:name="_Toc184314436"/>
      <w:bookmarkEnd w:id="179"/>
      <w:bookmarkStart w:id="180" w:name="_Toc184308036"/>
      <w:bookmarkEnd w:id="180"/>
      <w:bookmarkStart w:id="181" w:name="_Toc184313308"/>
      <w:bookmarkEnd w:id="181"/>
      <w:bookmarkStart w:id="182" w:name="_Toc184310323"/>
      <w:bookmarkEnd w:id="182"/>
      <w:bookmarkStart w:id="183" w:name="_Toc184308090"/>
      <w:bookmarkEnd w:id="183"/>
      <w:bookmarkStart w:id="184" w:name="_Toc184313247"/>
      <w:bookmarkEnd w:id="184"/>
      <w:bookmarkStart w:id="185" w:name="_Toc184314477"/>
      <w:bookmarkEnd w:id="185"/>
      <w:bookmarkStart w:id="186" w:name="_Toc184310306"/>
      <w:bookmarkEnd w:id="186"/>
      <w:bookmarkStart w:id="187" w:name="_Toc184308101"/>
      <w:bookmarkEnd w:id="187"/>
      <w:bookmarkStart w:id="188" w:name="_Toc184310342"/>
      <w:bookmarkEnd w:id="188"/>
      <w:bookmarkStart w:id="189" w:name="_Toc184310283"/>
      <w:bookmarkEnd w:id="189"/>
      <w:bookmarkStart w:id="190" w:name="_Toc184310284"/>
      <w:bookmarkEnd w:id="190"/>
      <w:bookmarkStart w:id="191" w:name="_Toc184312130"/>
      <w:bookmarkEnd w:id="191"/>
      <w:bookmarkStart w:id="192" w:name="_Toc184308048"/>
      <w:bookmarkEnd w:id="192"/>
      <w:bookmarkStart w:id="193" w:name="_Toc184308046"/>
      <w:bookmarkEnd w:id="193"/>
      <w:bookmarkStart w:id="194" w:name="_Toc184310305"/>
      <w:bookmarkEnd w:id="194"/>
      <w:bookmarkStart w:id="195" w:name="_Toc184313264"/>
      <w:bookmarkEnd w:id="195"/>
      <w:bookmarkStart w:id="196" w:name="_Toc184308054"/>
      <w:bookmarkEnd w:id="196"/>
      <w:bookmarkStart w:id="197" w:name="_Toc184308077"/>
      <w:bookmarkEnd w:id="197"/>
      <w:bookmarkStart w:id="198" w:name="_Toc184308058"/>
      <w:bookmarkEnd w:id="198"/>
      <w:bookmarkStart w:id="199" w:name="_Toc184312132"/>
      <w:bookmarkEnd w:id="199"/>
      <w:bookmarkStart w:id="200" w:name="_Toc184308096"/>
      <w:bookmarkEnd w:id="200"/>
      <w:bookmarkStart w:id="201" w:name="_Toc184312076"/>
      <w:bookmarkEnd w:id="201"/>
      <w:bookmarkStart w:id="202" w:name="_Toc184313306"/>
      <w:bookmarkEnd w:id="202"/>
      <w:bookmarkStart w:id="203" w:name="_Toc184308074"/>
      <w:bookmarkEnd w:id="203"/>
      <w:bookmarkStart w:id="204" w:name="_Toc184312081"/>
      <w:bookmarkEnd w:id="204"/>
      <w:bookmarkStart w:id="205" w:name="_Toc184308043"/>
      <w:bookmarkEnd w:id="205"/>
      <w:bookmarkStart w:id="206" w:name="_Toc184314438"/>
      <w:bookmarkEnd w:id="206"/>
      <w:bookmarkStart w:id="207" w:name="_Toc184313278"/>
      <w:bookmarkEnd w:id="207"/>
      <w:bookmarkStart w:id="208" w:name="_Toc184310330"/>
      <w:bookmarkEnd w:id="208"/>
      <w:bookmarkStart w:id="209" w:name="_Toc184308053"/>
      <w:bookmarkEnd w:id="209"/>
      <w:bookmarkStart w:id="210" w:name="_Toc184312072"/>
      <w:bookmarkEnd w:id="210"/>
      <w:bookmarkStart w:id="211" w:name="_Toc184310294"/>
      <w:bookmarkEnd w:id="211"/>
      <w:bookmarkStart w:id="212" w:name="_Toc184312137"/>
      <w:bookmarkEnd w:id="212"/>
      <w:bookmarkStart w:id="213" w:name="_Toc184310304"/>
      <w:bookmarkEnd w:id="213"/>
      <w:bookmarkStart w:id="214" w:name="_Toc184310316"/>
      <w:bookmarkEnd w:id="214"/>
      <w:bookmarkStart w:id="215" w:name="_Toc184310336"/>
      <w:bookmarkEnd w:id="215"/>
      <w:bookmarkStart w:id="216" w:name="_Toc184313276"/>
      <w:bookmarkEnd w:id="216"/>
      <w:bookmarkStart w:id="217" w:name="_Toc184310319"/>
      <w:bookmarkEnd w:id="217"/>
      <w:bookmarkStart w:id="218" w:name="_Toc184312091"/>
      <w:bookmarkEnd w:id="218"/>
      <w:bookmarkStart w:id="219" w:name="_Toc184312103"/>
      <w:bookmarkEnd w:id="219"/>
      <w:bookmarkStart w:id="220" w:name="_Toc184313296"/>
      <w:bookmarkEnd w:id="220"/>
      <w:bookmarkStart w:id="221" w:name="_Toc184310296"/>
      <w:bookmarkEnd w:id="221"/>
      <w:bookmarkStart w:id="222" w:name="_Toc184312115"/>
      <w:bookmarkEnd w:id="222"/>
      <w:bookmarkStart w:id="223" w:name="_Toc184312133"/>
      <w:bookmarkEnd w:id="223"/>
      <w:bookmarkStart w:id="224" w:name="_Toc184313244"/>
      <w:bookmarkEnd w:id="224"/>
      <w:bookmarkStart w:id="225" w:name="_Toc184313239"/>
      <w:bookmarkEnd w:id="225"/>
      <w:bookmarkStart w:id="226" w:name="_Toc184314437"/>
      <w:bookmarkEnd w:id="226"/>
      <w:bookmarkStart w:id="227" w:name="_Toc184312117"/>
      <w:bookmarkEnd w:id="227"/>
      <w:bookmarkStart w:id="228" w:name="_Toc184308097"/>
      <w:bookmarkEnd w:id="228"/>
      <w:bookmarkStart w:id="229" w:name="_Toc184314414"/>
      <w:bookmarkEnd w:id="229"/>
      <w:bookmarkStart w:id="230" w:name="_Toc184308079"/>
      <w:bookmarkEnd w:id="230"/>
      <w:bookmarkStart w:id="231" w:name="_Toc184312129"/>
      <w:bookmarkEnd w:id="231"/>
      <w:bookmarkStart w:id="232" w:name="_Toc184313290"/>
      <w:bookmarkEnd w:id="232"/>
      <w:bookmarkStart w:id="233" w:name="_Toc184308103"/>
      <w:bookmarkEnd w:id="233"/>
      <w:bookmarkStart w:id="234" w:name="_Toc184310302"/>
      <w:bookmarkEnd w:id="234"/>
      <w:bookmarkStart w:id="235" w:name="_Toc184310277"/>
      <w:bookmarkEnd w:id="235"/>
      <w:bookmarkStart w:id="236" w:name="_Toc184312138"/>
      <w:bookmarkEnd w:id="236"/>
      <w:bookmarkStart w:id="237" w:name="_Toc184308050"/>
      <w:bookmarkEnd w:id="237"/>
      <w:bookmarkStart w:id="238" w:name="_Toc184314470"/>
      <w:bookmarkEnd w:id="238"/>
      <w:bookmarkStart w:id="239" w:name="_Toc184314442"/>
      <w:bookmarkEnd w:id="239"/>
      <w:bookmarkStart w:id="240" w:name="_Toc184308087"/>
      <w:bookmarkEnd w:id="240"/>
      <w:bookmarkStart w:id="241" w:name="_Toc184313259"/>
      <w:bookmarkEnd w:id="241"/>
      <w:bookmarkStart w:id="242" w:name="_Toc184314428"/>
      <w:bookmarkEnd w:id="242"/>
      <w:bookmarkStart w:id="243" w:name="_Toc184308106"/>
      <w:bookmarkEnd w:id="243"/>
      <w:bookmarkStart w:id="244" w:name="_Toc184314467"/>
      <w:bookmarkEnd w:id="244"/>
      <w:bookmarkStart w:id="245" w:name="_Toc184310309"/>
      <w:bookmarkEnd w:id="245"/>
      <w:bookmarkStart w:id="246" w:name="_Toc184308099"/>
      <w:bookmarkEnd w:id="246"/>
      <w:bookmarkStart w:id="247" w:name="_Toc184312102"/>
      <w:bookmarkEnd w:id="247"/>
      <w:bookmarkStart w:id="248" w:name="_Toc184314471"/>
      <w:bookmarkEnd w:id="248"/>
      <w:bookmarkStart w:id="249" w:name="_Toc184314469"/>
      <w:bookmarkEnd w:id="249"/>
      <w:bookmarkStart w:id="250" w:name="_Toc184314465"/>
      <w:bookmarkEnd w:id="250"/>
      <w:bookmarkStart w:id="251" w:name="_Toc184312114"/>
      <w:bookmarkEnd w:id="251"/>
      <w:bookmarkStart w:id="252" w:name="_Toc184313305"/>
      <w:bookmarkEnd w:id="252"/>
      <w:bookmarkStart w:id="253" w:name="_Toc184310344"/>
      <w:bookmarkEnd w:id="253"/>
      <w:bookmarkStart w:id="254" w:name="_Toc184313251"/>
      <w:bookmarkEnd w:id="254"/>
      <w:bookmarkStart w:id="255" w:name="_Toc184313261"/>
      <w:bookmarkEnd w:id="255"/>
      <w:bookmarkStart w:id="256" w:name="_Toc184312121"/>
      <w:bookmarkEnd w:id="256"/>
      <w:bookmarkStart w:id="257" w:name="_Toc184313275"/>
      <w:bookmarkEnd w:id="257"/>
      <w:bookmarkStart w:id="258" w:name="_Toc184314454"/>
      <w:bookmarkEnd w:id="258"/>
      <w:bookmarkStart w:id="259" w:name="_Toc184308049"/>
      <w:bookmarkEnd w:id="259"/>
      <w:bookmarkStart w:id="260" w:name="_Toc184310320"/>
      <w:bookmarkEnd w:id="260"/>
      <w:bookmarkStart w:id="261" w:name="_Toc184314432"/>
      <w:bookmarkEnd w:id="261"/>
      <w:bookmarkStart w:id="262" w:name="_Toc184313273"/>
      <w:bookmarkEnd w:id="262"/>
      <w:bookmarkStart w:id="263" w:name="_Toc184312093"/>
      <w:bookmarkEnd w:id="263"/>
      <w:bookmarkStart w:id="264" w:name="_Toc184308092"/>
      <w:bookmarkEnd w:id="264"/>
      <w:bookmarkStart w:id="265" w:name="_Toc184308072"/>
      <w:bookmarkEnd w:id="265"/>
      <w:bookmarkStart w:id="266" w:name="_Toc184310285"/>
      <w:bookmarkEnd w:id="266"/>
      <w:bookmarkStart w:id="267" w:name="_Toc184313270"/>
      <w:bookmarkEnd w:id="267"/>
      <w:bookmarkStart w:id="268" w:name="_Toc184310343"/>
      <w:bookmarkEnd w:id="268"/>
      <w:bookmarkStart w:id="269" w:name="_Toc184312118"/>
      <w:bookmarkEnd w:id="269"/>
      <w:bookmarkStart w:id="270" w:name="_Toc184313294"/>
      <w:bookmarkEnd w:id="270"/>
      <w:bookmarkStart w:id="271" w:name="_Toc184314472"/>
      <w:bookmarkEnd w:id="271"/>
      <w:bookmarkStart w:id="272" w:name="_Toc184310325"/>
      <w:bookmarkEnd w:id="272"/>
      <w:bookmarkStart w:id="273" w:name="_Toc184310340"/>
      <w:bookmarkEnd w:id="273"/>
      <w:bookmarkStart w:id="274" w:name="_Toc184313283"/>
      <w:bookmarkEnd w:id="274"/>
      <w:bookmarkStart w:id="275" w:name="_Toc184314413"/>
      <w:bookmarkEnd w:id="275"/>
      <w:bookmarkStart w:id="276" w:name="_Toc184310289"/>
      <w:bookmarkEnd w:id="276"/>
      <w:bookmarkStart w:id="277" w:name="_Toc184310279"/>
      <w:bookmarkEnd w:id="277"/>
      <w:bookmarkStart w:id="278" w:name="_Toc184312123"/>
      <w:bookmarkEnd w:id="278"/>
      <w:bookmarkStart w:id="279" w:name="_Toc184312092"/>
      <w:bookmarkEnd w:id="279"/>
      <w:bookmarkStart w:id="280" w:name="_Toc184308085"/>
      <w:bookmarkEnd w:id="280"/>
      <w:bookmarkStart w:id="281" w:name="_Toc184314482"/>
      <w:bookmarkEnd w:id="281"/>
      <w:bookmarkStart w:id="282" w:name="_Toc184313269"/>
      <w:bookmarkEnd w:id="282"/>
      <w:bookmarkStart w:id="283" w:name="_Toc184308091"/>
      <w:bookmarkEnd w:id="283"/>
      <w:bookmarkStart w:id="284" w:name="_Toc184312098"/>
      <w:bookmarkEnd w:id="284"/>
      <w:bookmarkStart w:id="285" w:name="_Toc184314444"/>
      <w:bookmarkEnd w:id="285"/>
      <w:bookmarkStart w:id="286" w:name="_Toc184314466"/>
      <w:bookmarkEnd w:id="286"/>
      <w:bookmarkStart w:id="287" w:name="_Toc184313286"/>
      <w:bookmarkEnd w:id="287"/>
      <w:bookmarkStart w:id="288" w:name="_Toc184312128"/>
      <w:bookmarkEnd w:id="288"/>
      <w:bookmarkStart w:id="289" w:name="_Toc184308102"/>
      <w:bookmarkEnd w:id="289"/>
      <w:bookmarkStart w:id="290" w:name="_Toc184310335"/>
      <w:bookmarkEnd w:id="290"/>
      <w:bookmarkStart w:id="291" w:name="_Toc184308108"/>
      <w:bookmarkEnd w:id="291"/>
      <w:bookmarkStart w:id="292" w:name="_Toc184310275"/>
      <w:bookmarkEnd w:id="292"/>
      <w:bookmarkStart w:id="293" w:name="_Toc184314476"/>
      <w:bookmarkEnd w:id="293"/>
      <w:bookmarkStart w:id="294" w:name="_Toc184313282"/>
      <w:bookmarkEnd w:id="294"/>
      <w:bookmarkStart w:id="295" w:name="_Toc184308067"/>
      <w:bookmarkEnd w:id="295"/>
      <w:bookmarkStart w:id="296" w:name="_Toc184314455"/>
      <w:bookmarkEnd w:id="296"/>
      <w:bookmarkStart w:id="297" w:name="_Toc184314410"/>
      <w:bookmarkEnd w:id="297"/>
      <w:bookmarkStart w:id="298" w:name="_Toc184308045"/>
      <w:bookmarkEnd w:id="298"/>
      <w:bookmarkStart w:id="299" w:name="_Toc184312068"/>
      <w:bookmarkEnd w:id="299"/>
      <w:bookmarkStart w:id="300" w:name="_Toc184313252"/>
      <w:bookmarkEnd w:id="300"/>
      <w:bookmarkStart w:id="301" w:name="_Toc184308082"/>
      <w:bookmarkEnd w:id="301"/>
      <w:bookmarkStart w:id="302" w:name="_Toc184310281"/>
      <w:bookmarkEnd w:id="302"/>
      <w:bookmarkStart w:id="303" w:name="_Toc184310313"/>
      <w:bookmarkEnd w:id="303"/>
      <w:bookmarkStart w:id="304" w:name="_Toc184308095"/>
      <w:bookmarkEnd w:id="304"/>
      <w:bookmarkStart w:id="305" w:name="_Toc184310300"/>
      <w:bookmarkEnd w:id="305"/>
      <w:bookmarkStart w:id="306" w:name="_Toc184312122"/>
      <w:bookmarkEnd w:id="306"/>
      <w:bookmarkStart w:id="307" w:name="_Toc184314451"/>
      <w:bookmarkEnd w:id="307"/>
      <w:bookmarkStart w:id="308" w:name="_Toc184313254"/>
      <w:bookmarkEnd w:id="308"/>
      <w:bookmarkStart w:id="309" w:name="_Toc184314440"/>
      <w:bookmarkEnd w:id="309"/>
      <w:bookmarkStart w:id="310" w:name="_Toc184308060"/>
      <w:bookmarkEnd w:id="310"/>
      <w:bookmarkStart w:id="311" w:name="_Toc184314474"/>
      <w:bookmarkEnd w:id="311"/>
      <w:bookmarkStart w:id="312" w:name="_Toc184314462"/>
      <w:bookmarkEnd w:id="312"/>
      <w:bookmarkStart w:id="313" w:name="_Toc184313268"/>
      <w:bookmarkEnd w:id="313"/>
      <w:bookmarkStart w:id="314" w:name="_Toc184312089"/>
      <w:bookmarkEnd w:id="314"/>
      <w:bookmarkStart w:id="315" w:name="_Toc184312134"/>
      <w:bookmarkEnd w:id="315"/>
      <w:bookmarkStart w:id="316" w:name="_Toc184312074"/>
      <w:bookmarkEnd w:id="316"/>
      <w:bookmarkStart w:id="317" w:name="_Toc184313249"/>
      <w:bookmarkEnd w:id="317"/>
      <w:bookmarkStart w:id="318" w:name="_Toc184310312"/>
      <w:bookmarkEnd w:id="318"/>
      <w:bookmarkStart w:id="319" w:name="_Toc184308071"/>
      <w:bookmarkEnd w:id="319"/>
      <w:bookmarkStart w:id="320" w:name="_Toc184310332"/>
      <w:bookmarkEnd w:id="320"/>
      <w:bookmarkStart w:id="321" w:name="_Toc184310318"/>
      <w:bookmarkEnd w:id="321"/>
      <w:bookmarkStart w:id="322" w:name="_Toc184310276"/>
      <w:bookmarkEnd w:id="322"/>
      <w:bookmarkStart w:id="323" w:name="_Toc184312086"/>
      <w:bookmarkEnd w:id="323"/>
      <w:bookmarkStart w:id="324" w:name="_Toc184312127"/>
      <w:bookmarkEnd w:id="324"/>
      <w:bookmarkStart w:id="325" w:name="_Toc184310314"/>
      <w:bookmarkEnd w:id="325"/>
      <w:bookmarkStart w:id="326" w:name="_Toc184312099"/>
      <w:bookmarkEnd w:id="326"/>
      <w:bookmarkStart w:id="327" w:name="_Toc184308078"/>
      <w:bookmarkEnd w:id="327"/>
      <w:bookmarkStart w:id="328" w:name="_Toc184313298"/>
      <w:bookmarkEnd w:id="328"/>
      <w:bookmarkStart w:id="329" w:name="_Toc184312100"/>
      <w:bookmarkEnd w:id="329"/>
      <w:bookmarkStart w:id="330" w:name="_Toc184314479"/>
      <w:bookmarkEnd w:id="330"/>
      <w:bookmarkStart w:id="331" w:name="_Toc184308098"/>
      <w:bookmarkEnd w:id="331"/>
      <w:bookmarkStart w:id="332" w:name="_Toc184310315"/>
      <w:bookmarkEnd w:id="332"/>
      <w:bookmarkStart w:id="333" w:name="_Toc184310326"/>
      <w:bookmarkEnd w:id="333"/>
      <w:bookmarkStart w:id="334" w:name="_Toc184308081"/>
      <w:bookmarkEnd w:id="334"/>
      <w:bookmarkStart w:id="335" w:name="_Toc184308063"/>
      <w:bookmarkEnd w:id="335"/>
      <w:bookmarkStart w:id="336" w:name="_Toc184312094"/>
      <w:bookmarkEnd w:id="336"/>
      <w:bookmarkStart w:id="337" w:name="_Toc184310317"/>
      <w:bookmarkEnd w:id="337"/>
      <w:bookmarkStart w:id="338" w:name="_Toc184314446"/>
      <w:bookmarkEnd w:id="338"/>
      <w:bookmarkStart w:id="339" w:name="_Toc184313256"/>
      <w:bookmarkEnd w:id="339"/>
      <w:bookmarkStart w:id="340" w:name="_Toc184313274"/>
      <w:bookmarkEnd w:id="340"/>
      <w:bookmarkStart w:id="341" w:name="_Toc184312080"/>
      <w:bookmarkEnd w:id="341"/>
      <w:bookmarkStart w:id="342" w:name="_Toc184312095"/>
      <w:bookmarkEnd w:id="342"/>
      <w:bookmarkStart w:id="343" w:name="_Toc184314418"/>
      <w:bookmarkEnd w:id="343"/>
      <w:bookmarkStart w:id="344" w:name="_Toc184313246"/>
      <w:bookmarkEnd w:id="344"/>
      <w:bookmarkStart w:id="345" w:name="_Toc184308086"/>
      <w:bookmarkEnd w:id="345"/>
      <w:bookmarkStart w:id="346" w:name="_Toc184312109"/>
      <w:bookmarkEnd w:id="346"/>
      <w:bookmarkStart w:id="347" w:name="_Toc184308061"/>
      <w:bookmarkEnd w:id="347"/>
      <w:bookmarkStart w:id="348" w:name="_Toc184308104"/>
      <w:bookmarkEnd w:id="348"/>
      <w:bookmarkStart w:id="349" w:name="_Toc184312077"/>
      <w:bookmarkEnd w:id="349"/>
      <w:bookmarkStart w:id="350" w:name="_Toc184312078"/>
      <w:bookmarkEnd w:id="350"/>
      <w:bookmarkStart w:id="351" w:name="_Toc184314453"/>
      <w:bookmarkEnd w:id="351"/>
      <w:bookmarkStart w:id="352" w:name="_Toc184308100"/>
      <w:bookmarkEnd w:id="352"/>
      <w:bookmarkStart w:id="353" w:name="_Toc184313265"/>
      <w:bookmarkEnd w:id="353"/>
      <w:bookmarkStart w:id="354" w:name="_Toc184308080"/>
      <w:bookmarkEnd w:id="354"/>
      <w:bookmarkStart w:id="355" w:name="_Toc184312071"/>
      <w:bookmarkEnd w:id="355"/>
      <w:bookmarkStart w:id="356" w:name="_Toc184312073"/>
      <w:bookmarkEnd w:id="356"/>
      <w:bookmarkStart w:id="357" w:name="_Toc184313302"/>
      <w:bookmarkEnd w:id="357"/>
      <w:bookmarkStart w:id="358" w:name="_Toc184314449"/>
      <w:bookmarkEnd w:id="358"/>
      <w:bookmarkStart w:id="359" w:name="_Toc184314448"/>
      <w:bookmarkEnd w:id="359"/>
      <w:bookmarkStart w:id="360" w:name="_Toc184310328"/>
      <w:bookmarkEnd w:id="360"/>
      <w:bookmarkStart w:id="361" w:name="_Toc184310339"/>
      <w:bookmarkEnd w:id="361"/>
      <w:bookmarkStart w:id="362" w:name="_Toc184308076"/>
      <w:bookmarkEnd w:id="362"/>
      <w:bookmarkStart w:id="363" w:name="_Toc184313248"/>
      <w:bookmarkEnd w:id="363"/>
      <w:bookmarkStart w:id="364" w:name="_Toc184314456"/>
      <w:bookmarkEnd w:id="364"/>
      <w:bookmarkStart w:id="365" w:name="_Toc184310308"/>
      <w:bookmarkEnd w:id="365"/>
      <w:bookmarkStart w:id="366" w:name="_Toc184310303"/>
      <w:bookmarkEnd w:id="366"/>
      <w:bookmarkStart w:id="367" w:name="_Toc184313238"/>
      <w:bookmarkEnd w:id="367"/>
      <w:bookmarkStart w:id="368" w:name="_Toc184312083"/>
      <w:bookmarkEnd w:id="368"/>
      <w:bookmarkStart w:id="369" w:name="_Toc184310334"/>
      <w:bookmarkEnd w:id="369"/>
      <w:bookmarkStart w:id="370" w:name="_Toc184312097"/>
      <w:bookmarkEnd w:id="370"/>
      <w:bookmarkStart w:id="371" w:name="_Toc184314429"/>
      <w:bookmarkEnd w:id="371"/>
      <w:bookmarkStart w:id="372" w:name="_Toc184312101"/>
      <w:bookmarkEnd w:id="372"/>
      <w:bookmarkStart w:id="373" w:name="_Toc184312111"/>
      <w:bookmarkEnd w:id="373"/>
      <w:bookmarkStart w:id="374" w:name="_Toc184308105"/>
      <w:bookmarkEnd w:id="374"/>
      <w:bookmarkStart w:id="375" w:name="_Toc184310291"/>
      <w:bookmarkEnd w:id="375"/>
      <w:bookmarkStart w:id="376" w:name="_Toc184310278"/>
      <w:bookmarkEnd w:id="376"/>
      <w:bookmarkStart w:id="377" w:name="_Toc184308084"/>
      <w:bookmarkEnd w:id="377"/>
      <w:bookmarkStart w:id="378" w:name="_Toc184310282"/>
      <w:bookmarkEnd w:id="378"/>
      <w:bookmarkStart w:id="379" w:name="_Toc184312085"/>
      <w:bookmarkEnd w:id="379"/>
      <w:bookmarkStart w:id="380" w:name="_Toc184308056"/>
      <w:bookmarkEnd w:id="380"/>
      <w:bookmarkStart w:id="381" w:name="_Toc184310327"/>
      <w:bookmarkEnd w:id="381"/>
      <w:bookmarkStart w:id="382" w:name="_Toc184313291"/>
      <w:bookmarkEnd w:id="382"/>
      <w:bookmarkStart w:id="383" w:name="_Toc184314425"/>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eastAsia"/>
          <w:b/>
          <w:bCs/>
          <w:highlight w:val="none"/>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w:t>
      </w:r>
      <w:r>
        <w:rPr>
          <w:rFonts w:hint="eastAsia"/>
          <w:b/>
          <w:bCs/>
          <w:highlight w:val="none"/>
        </w:rPr>
        <w:t>则由评审小组按少数服从多数的原则通过投票表决决定。</w:t>
      </w:r>
    </w:p>
    <w:p>
      <w:pPr>
        <w:pStyle w:val="6"/>
        <w:ind w:firstLine="480" w:firstLineChars="200"/>
        <w:rPr>
          <w:color w:val="auto"/>
          <w:highlight w:val="none"/>
        </w:rPr>
      </w:pP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pPr>
        <w:spacing w:line="480" w:lineRule="auto"/>
        <w:rPr>
          <w:rFonts w:ascii="宋体" w:hAnsi="宋体" w:cs="宋体"/>
          <w:b/>
          <w:color w:val="auto"/>
          <w:sz w:val="24"/>
          <w:highlight w:val="none"/>
        </w:rPr>
      </w:pPr>
    </w:p>
    <w:p>
      <w:pPr>
        <w:pStyle w:val="3"/>
        <w:rPr>
          <w:rFonts w:ascii="宋体" w:hAnsi="宋体" w:cs="宋体"/>
          <w:color w:val="auto"/>
          <w:sz w:val="24"/>
          <w:highlight w:val="none"/>
        </w:rPr>
      </w:pPr>
    </w:p>
    <w:p>
      <w:pPr>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pPr>
        <w:pStyle w:val="23"/>
        <w:rPr>
          <w:rFonts w:ascii="宋体" w:hAnsi="宋体" w:cs="宋体"/>
          <w:color w:val="auto"/>
          <w:szCs w:val="24"/>
          <w:highlight w:val="none"/>
        </w:rPr>
      </w:pPr>
    </w:p>
    <w:p>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2024年临江公司垃圾吊抓斗备件采购项目</w:t>
      </w:r>
    </w:p>
    <w:p>
      <w:pPr>
        <w:spacing w:before="120" w:line="22" w:lineRule="atLeast"/>
        <w:ind w:left="960"/>
        <w:rPr>
          <w:rFonts w:hint="eastAsia"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23"/>
        <w:ind w:left="0" w:leftChars="0" w:firstLine="0" w:firstLineChars="0"/>
        <w:rPr>
          <w:rFonts w:ascii="宋体" w:hAnsi="宋体" w:cs="宋体"/>
          <w:b/>
          <w:color w:val="auto"/>
          <w:szCs w:val="24"/>
          <w:highlight w:val="none"/>
        </w:rPr>
      </w:pPr>
    </w:p>
    <w:p>
      <w:pPr>
        <w:pStyle w:val="7"/>
        <w:jc w:val="center"/>
        <w:rPr>
          <w:rFonts w:eastAsia="宋体"/>
          <w:b/>
          <w:bCs/>
          <w:color w:val="auto"/>
          <w:highlight w:val="none"/>
        </w:rPr>
      </w:pPr>
      <w:r>
        <w:rPr>
          <w:rFonts w:hint="eastAsia"/>
          <w:b/>
          <w:bCs/>
          <w:color w:val="auto"/>
          <w:highlight w:val="none"/>
        </w:rPr>
        <w:t>目录</w:t>
      </w:r>
    </w:p>
    <w:p>
      <w:pPr>
        <w:pStyle w:val="9"/>
        <w:spacing w:line="360" w:lineRule="auto"/>
        <w:ind w:firstLine="240" w:firstLineChars="100"/>
        <w:rPr>
          <w:color w:val="auto"/>
          <w:highlight w:val="none"/>
        </w:rPr>
      </w:pPr>
      <w:r>
        <w:rPr>
          <w:rFonts w:hint="eastAsia"/>
          <w:color w:val="auto"/>
          <w:highlight w:val="none"/>
        </w:rPr>
        <w:t>第一章 合同书  ……………………………………………………………（页码）</w:t>
      </w:r>
    </w:p>
    <w:p>
      <w:pPr>
        <w:pStyle w:val="9"/>
        <w:spacing w:line="360" w:lineRule="auto"/>
        <w:ind w:firstLine="240" w:firstLineChars="100"/>
        <w:rPr>
          <w:color w:val="auto"/>
          <w:highlight w:val="none"/>
        </w:rPr>
      </w:pPr>
      <w:r>
        <w:rPr>
          <w:rFonts w:hint="eastAsia"/>
          <w:color w:val="auto"/>
          <w:highlight w:val="none"/>
        </w:rPr>
        <w:t>第二章 合同一般条款………………………………………………………（页码）</w:t>
      </w:r>
    </w:p>
    <w:p>
      <w:pPr>
        <w:pStyle w:val="9"/>
        <w:spacing w:line="360" w:lineRule="auto"/>
        <w:ind w:firstLine="240" w:firstLineChars="100"/>
        <w:rPr>
          <w:color w:val="auto"/>
          <w:highlight w:val="none"/>
        </w:rPr>
      </w:pPr>
      <w:r>
        <w:rPr>
          <w:rFonts w:hint="eastAsia"/>
          <w:color w:val="auto"/>
          <w:highlight w:val="none"/>
        </w:rPr>
        <w:t>第三章 廉洁协议……………………………………………………………（页码）</w:t>
      </w:r>
    </w:p>
    <w:p>
      <w:pPr>
        <w:pStyle w:val="9"/>
        <w:spacing w:line="360" w:lineRule="auto"/>
        <w:ind w:firstLine="240" w:firstLineChars="100"/>
        <w:rPr>
          <w:rFonts w:hint="eastAsia"/>
          <w:color w:val="auto"/>
          <w:highlight w:val="none"/>
        </w:rPr>
      </w:pPr>
    </w:p>
    <w:p>
      <w:pPr>
        <w:pStyle w:val="23"/>
        <w:rPr>
          <w:rFonts w:ascii="宋体" w:hAnsi="宋体" w:cs="宋体"/>
          <w:color w:val="auto"/>
          <w:szCs w:val="24"/>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23"/>
        <w:ind w:left="0" w:leftChars="0" w:firstLine="0" w:firstLineChars="0"/>
        <w:jc w:val="both"/>
        <w:rPr>
          <w:rFonts w:ascii="宋体" w:hAnsi="宋体" w:cs="宋体"/>
          <w:b/>
          <w:color w:val="auto"/>
          <w:szCs w:val="24"/>
          <w:highlight w:val="none"/>
        </w:rPr>
      </w:pPr>
    </w:p>
    <w:p>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2024年临江公司垃圾吊抓斗备件采购项目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（中标或者成交供应商名称）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（中标或者成交供应商名称）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其中能源事业部</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元，三固事业部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单价和总价均包括但不限于货款、包装费、运输费及运输保险费（如有）、装卸费、安装调试费（如有）、售后服务费及税费等全部费用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pPr>
        <w:pStyle w:val="24"/>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5"/>
        <w:tblW w:w="86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616"/>
        <w:gridCol w:w="2074"/>
        <w:gridCol w:w="1094"/>
        <w:gridCol w:w="774"/>
        <w:gridCol w:w="773"/>
        <w:gridCol w:w="773"/>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型号规格</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主销轴</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主销轴垫片</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撑杆销轴</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撑杆衬套</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CM0514-303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油缸销轴</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BCM30721-008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油缸销轴（下）</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23141516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斗瓣销轴</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1000073590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斗体衬套</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1000058084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液控单向阀</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SV1/SV2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单向阀</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R1/R2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开闭电磁换向阀</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RPE3-062X11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隔离圈</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材质：16Mn 规格：内径110mm*外径120mm*宽20mm</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挡圈</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材质：16Mn 规格：内径100mm*外径160mm*厚6mm</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油缸护额</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1000057887</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按合同约定数量供货</w:t>
      </w:r>
      <w:r>
        <w:rPr>
          <w:rFonts w:hint="eastAsia" w:ascii="宋体" w:hAnsi="宋体" w:cs="宋体"/>
          <w:color w:val="auto"/>
          <w:sz w:val="24"/>
          <w:highlight w:val="none"/>
          <w:u w:val="single"/>
        </w:rPr>
        <w:t>。</w:t>
      </w:r>
    </w:p>
    <w:p>
      <w:pPr>
        <w:pStyle w:val="24"/>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三、合同期限、货物交付期限、地点和联系方式、交付方式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自合同签订后一次性供货结束自动终止</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pPr>
        <w:pStyle w:val="24"/>
        <w:spacing w:before="0" w:beforeAutospacing="0" w:after="0" w:afterAutospacing="0" w:line="360" w:lineRule="auto"/>
        <w:ind w:firstLine="480"/>
        <w:rPr>
          <w:b/>
          <w:color w:val="auto"/>
          <w:highlight w:val="none"/>
        </w:rPr>
      </w:pPr>
      <w:r>
        <w:rPr>
          <w:rFonts w:hint="eastAsia"/>
          <w:b/>
          <w:color w:val="auto"/>
          <w:highlight w:val="none"/>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ascii="宋体" w:eastAsia="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乙方提供的备件需满足</w:t>
      </w:r>
      <w:r>
        <w:rPr>
          <w:rFonts w:hint="eastAsia" w:ascii="宋体" w:hAnsi="宋体" w:eastAsia="宋体" w:cs="宋体"/>
          <w:color w:val="auto"/>
          <w:sz w:val="24"/>
          <w:highlight w:val="none"/>
        </w:rPr>
        <w:t>MMGL 12000-4进口佩纳垃圾吊抓斗</w:t>
      </w:r>
      <w:r>
        <w:rPr>
          <w:rFonts w:hint="eastAsia" w:ascii="宋体" w:hAnsi="宋体" w:eastAsia="宋体" w:cs="宋体"/>
          <w:color w:val="auto"/>
          <w:sz w:val="24"/>
          <w:highlight w:val="none"/>
          <w:lang w:val="en-US" w:eastAsia="zh-CN"/>
        </w:rPr>
        <w:t>的安装和运行要求，若因尺寸、接口等问题无法安装或者安装之后达不到运行标准的，</w:t>
      </w:r>
      <w:r>
        <w:rPr>
          <w:rFonts w:hint="eastAsia"/>
          <w:color w:val="auto"/>
          <w:highlight w:val="none"/>
          <w:lang w:val="en-US" w:eastAsia="zh-CN"/>
        </w:rPr>
        <w:t>乙方</w:t>
      </w:r>
      <w:r>
        <w:rPr>
          <w:rFonts w:hint="eastAsia" w:ascii="宋体" w:hAnsi="宋体" w:eastAsia="宋体" w:cs="宋体"/>
          <w:color w:val="auto"/>
          <w:sz w:val="24"/>
          <w:highlight w:val="none"/>
          <w:lang w:val="en-US" w:eastAsia="zh-CN"/>
        </w:rPr>
        <w:t>应无条件</w:t>
      </w:r>
      <w:r>
        <w:rPr>
          <w:rFonts w:hint="eastAsia"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eastAsia="zh-CN"/>
        </w:rPr>
        <w:t>换货，直至满足运行要求为止。</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3.乙方</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6"/>
        <w:ind w:firstLine="480" w:firstLineChars="200"/>
        <w:rPr>
          <w:color w:val="auto"/>
          <w:highlight w:val="none"/>
          <w:lang w:val="en-US"/>
        </w:rPr>
      </w:pPr>
      <w:r>
        <w:rPr>
          <w:rFonts w:hint="eastAsia"/>
          <w:color w:val="auto"/>
          <w:highlight w:val="none"/>
          <w:lang w:val="en-US"/>
        </w:rPr>
        <w:t>1.根据甲方生产计划，确定送货数量要求，</w:t>
      </w:r>
      <w:r>
        <w:rPr>
          <w:rFonts w:hint="eastAsia"/>
          <w:color w:val="auto"/>
          <w:highlight w:val="none"/>
          <w:lang w:val="en-US" w:eastAsia="zh-CN"/>
        </w:rPr>
        <w:t>一次性</w:t>
      </w:r>
      <w:r>
        <w:rPr>
          <w:rFonts w:hint="eastAsia"/>
          <w:color w:val="auto"/>
          <w:highlight w:val="none"/>
          <w:lang w:val="en-US"/>
        </w:rPr>
        <w:t>次供货，乙方负责在接到甲方电话或书面通知后在</w:t>
      </w:r>
      <w:r>
        <w:rPr>
          <w:rFonts w:hint="eastAsia"/>
          <w:color w:val="auto"/>
          <w:highlight w:val="none"/>
          <w:lang w:val="en-US" w:eastAsia="zh-CN"/>
        </w:rPr>
        <w:t>30</w:t>
      </w:r>
      <w:r>
        <w:rPr>
          <w:rFonts w:hint="eastAsia"/>
          <w:color w:val="auto"/>
          <w:highlight w:val="none"/>
          <w:lang w:val="en-US"/>
        </w:rPr>
        <w:t>日内完成供货。乙方负责卸货，人工费由乙方承担，甲方可免费提供叉车服务。</w:t>
      </w:r>
    </w:p>
    <w:p>
      <w:pPr>
        <w:pStyle w:val="6"/>
        <w:ind w:firstLine="480" w:firstLineChars="200"/>
        <w:rPr>
          <w:color w:val="auto"/>
          <w:highlight w:val="none"/>
          <w:lang w:val="en-US"/>
        </w:rPr>
      </w:pPr>
      <w:r>
        <w:rPr>
          <w:rFonts w:hint="eastAsia"/>
          <w:color w:val="auto"/>
          <w:highlight w:val="none"/>
          <w:lang w:val="en-US"/>
        </w:rPr>
        <w:t>2.乙方必须满足甲方售后服务要求。如使用过程发生问题，乙方须在接到甲方通知后必须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小时内做出书面答复并提供解决方案。若需要派遣技术人员，则应在接到甲方通知后,24小时内派人员到达现场进行免费指导解决问题。</w:t>
      </w:r>
    </w:p>
    <w:p>
      <w:pPr>
        <w:pStyle w:val="6"/>
        <w:ind w:firstLine="480" w:firstLineChars="200"/>
        <w:rPr>
          <w:color w:val="auto"/>
          <w:highlight w:val="none"/>
          <w:lang w:val="en-US"/>
        </w:rPr>
      </w:pPr>
      <w:r>
        <w:rPr>
          <w:rFonts w:hint="eastAsia"/>
          <w:color w:val="auto"/>
          <w:highlight w:val="none"/>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rPr>
        <w:t>1.货物交付前，乙方应对货物的质量、数量等方面进行详细、全面的检验，并向甲方</w:t>
      </w:r>
      <w:r>
        <w:rPr>
          <w:rFonts w:hint="eastAsia" w:ascii="宋体" w:hAnsi="宋体" w:cs="宋体"/>
          <w:b/>
          <w:bCs/>
          <w:color w:val="auto"/>
          <w:sz w:val="24"/>
          <w:highlight w:val="none"/>
          <w:u w:val="single"/>
        </w:rPr>
        <w:t>出具证明货物符合合同约定的文件</w:t>
      </w:r>
      <w:r>
        <w:rPr>
          <w:rFonts w:hint="eastAsia" w:ascii="宋体" w:hAnsi="宋体" w:cs="宋体"/>
          <w:color w:val="auto"/>
          <w:sz w:val="24"/>
          <w:highlight w:val="none"/>
        </w:rPr>
        <w:t>；货物交付时，甲方在</w:t>
      </w:r>
      <w:r>
        <w:rPr>
          <w:rFonts w:hint="eastAsia" w:ascii="宋体" w:hAnsi="宋体" w:cs="宋体"/>
          <w:b/>
          <w:color w:val="auto"/>
          <w:sz w:val="24"/>
          <w:highlight w:val="none"/>
          <w:u w:val="single"/>
        </w:rPr>
        <w:t>5个工作日</w:t>
      </w:r>
      <w:r>
        <w:rPr>
          <w:rFonts w:hint="eastAsia" w:ascii="宋体" w:hAnsi="宋体" w:cs="宋体"/>
          <w:color w:val="auto"/>
          <w:sz w:val="24"/>
          <w:highlight w:val="none"/>
        </w:rPr>
        <w:t>内组织验收，验收应出具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如因货物检测需要更长时间的，组织验收时间为自货物交付之日起至甲方收到检测报告后5个工作日内）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r>
        <w:rPr>
          <w:rFonts w:hint="eastAsia" w:ascii="宋体" w:hAnsi="宋体" w:cs="宋体"/>
          <w:b/>
          <w:bCs/>
          <w:color w:val="auto"/>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证明货物符合合同约定的文件是指包括但不限于合格证、检测报告（制造厂家或者第三方机构）、质量承诺</w:t>
      </w:r>
      <w:r>
        <w:rPr>
          <w:rFonts w:hint="eastAsia" w:ascii="宋体" w:hAnsi="宋体" w:cs="宋体"/>
          <w:color w:val="auto"/>
          <w:sz w:val="24"/>
          <w:highlight w:val="none"/>
        </w:rPr>
        <w:t>（格式自拟）</w:t>
      </w:r>
      <w:r>
        <w:rPr>
          <w:rFonts w:hint="eastAsia" w:ascii="宋体" w:hAnsi="宋体" w:eastAsia="宋体" w:cs="宋体"/>
          <w:color w:val="auto"/>
          <w:sz w:val="24"/>
          <w:highlight w:val="none"/>
        </w:rPr>
        <w:t>等证明材料。以下情况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highlight w:val="none"/>
        </w:rPr>
      </w:pPr>
      <w:r>
        <w:rPr>
          <w:rFonts w:hint="eastAsia" w:ascii="宋体" w:hAnsi="宋体" w:cs="宋体"/>
          <w:color w:val="auto"/>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1.备件以满足</w:t>
      </w:r>
      <w:r>
        <w:rPr>
          <w:rFonts w:hint="eastAsia" w:ascii="宋体" w:hAnsi="宋体" w:cs="宋体"/>
          <w:color w:val="auto"/>
          <w:sz w:val="24"/>
          <w:highlight w:val="none"/>
          <w:u w:val="single"/>
        </w:rPr>
        <w:t>MMGL 12000-4进口佩纳垃圾吊抓斗</w:t>
      </w:r>
      <w:r>
        <w:rPr>
          <w:rFonts w:hint="eastAsia" w:ascii="宋体" w:hAnsi="宋体" w:cs="宋体"/>
          <w:color w:val="auto"/>
          <w:sz w:val="24"/>
          <w:highlight w:val="none"/>
          <w:u w:val="single"/>
          <w:lang w:val="en-US" w:eastAsia="zh-CN"/>
        </w:rPr>
        <w:t>的安装和运行要求为验收标准</w:t>
      </w:r>
      <w:r>
        <w:rPr>
          <w:rFonts w:hint="eastAsia" w:ascii="宋体" w:hAnsi="宋体" w:cs="宋体"/>
          <w:color w:val="auto"/>
          <w:sz w:val="24"/>
          <w:highlight w:val="none"/>
          <w:u w:val="single"/>
          <w:lang w:val="en-US"/>
        </w:rPr>
        <w:t xml:space="preserve">。 </w:t>
      </w:r>
    </w:p>
    <w:p>
      <w:pPr>
        <w:pStyle w:val="6"/>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en-US" w:eastAsia="zh-CN"/>
        </w:rPr>
        <w:tab/>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pPr>
        <w:spacing w:line="360" w:lineRule="auto"/>
        <w:ind w:firstLine="480" w:firstLineChars="200"/>
        <w:outlineLvl w:val="0"/>
        <w:rPr>
          <w:color w:val="auto"/>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 xml:space="preserve">.甲方在验收结束后及时退还履约保证金。甲方在项目通过验收之日起 </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个工作日内将履约保证金无息退还乙方。</w:t>
      </w:r>
    </w:p>
    <w:p>
      <w:pPr>
        <w:spacing w:line="360" w:lineRule="auto"/>
        <w:ind w:firstLine="480" w:firstLineChars="200"/>
        <w:outlineLvl w:val="0"/>
        <w:rPr>
          <w:color w:val="auto"/>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pPr>
        <w:pStyle w:val="2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4"/>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4"/>
        <w:spacing w:before="0" w:beforeAutospacing="0" w:after="0" w:afterAutospacing="0" w:line="360" w:lineRule="auto"/>
        <w:ind w:firstLine="480"/>
        <w:rPr>
          <w:b/>
          <w:bCs/>
          <w:color w:val="auto"/>
          <w:highlight w:val="none"/>
        </w:rPr>
      </w:pPr>
      <w:r>
        <w:rPr>
          <w:rFonts w:hint="eastAsia"/>
          <w:b/>
          <w:bCs/>
          <w:color w:val="auto"/>
          <w:highlight w:val="none"/>
        </w:rPr>
        <w:t>十、资金支付</w:t>
      </w:r>
    </w:p>
    <w:p>
      <w:pPr>
        <w:pStyle w:val="24"/>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自验收合格后12个月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w:t>
      </w:r>
      <w:r>
        <w:rPr>
          <w:rFonts w:hint="eastAsia" w:cs="宋体"/>
          <w:b/>
          <w:bCs/>
          <w:color w:val="auto"/>
          <w:kern w:val="0"/>
          <w:sz w:val="24"/>
          <w:szCs w:val="24"/>
          <w:highlight w:val="none"/>
          <w:u w:val="single"/>
          <w:lang w:val="en-US" w:eastAsia="zh-CN" w:bidi="ar-SA"/>
        </w:rPr>
        <w:t>1</w:t>
      </w:r>
      <w:r>
        <w:rPr>
          <w:rFonts w:hint="eastAsia" w:ascii="宋体" w:hAnsi="宋体" w:cs="宋体" w:eastAsiaTheme="minorEastAsia"/>
          <w:b/>
          <w:bCs/>
          <w:color w:val="auto"/>
          <w:kern w:val="0"/>
          <w:sz w:val="24"/>
          <w:szCs w:val="24"/>
          <w:highlight w:val="none"/>
          <w:u w:val="single"/>
          <w:lang w:val="en-US" w:eastAsia="zh-CN" w:bidi="ar-SA"/>
        </w:rPr>
        <w:t>0</w:t>
      </w:r>
      <w:r>
        <w:rPr>
          <w:rFonts w:hint="eastAsia" w:ascii="宋体" w:hAnsi="宋体" w:cs="宋体" w:eastAsiaTheme="minorEastAsia"/>
          <w:color w:val="auto"/>
          <w:kern w:val="0"/>
          <w:sz w:val="24"/>
          <w:szCs w:val="24"/>
          <w:highlight w:val="none"/>
          <w:u w:val="single"/>
          <w:lang w:val="en-US" w:eastAsia="zh-CN" w:bidi="ar-SA"/>
        </w:rPr>
        <w:t xml:space="preserve"> %</w:t>
      </w:r>
      <w:r>
        <w:rPr>
          <w:rFonts w:hint="eastAsia"/>
          <w:color w:val="auto"/>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（3） </w:t>
      </w:r>
      <w:r>
        <w:rPr>
          <w:rFonts w:hint="eastAsia"/>
          <w:color w:val="auto"/>
          <w:highlight w:val="none"/>
          <w:u w:val="single"/>
        </w:rPr>
        <w:t xml:space="preserve">   </w:t>
      </w:r>
      <w:r>
        <w:rPr>
          <w:rFonts w:hint="eastAsia"/>
          <w:color w:val="auto"/>
          <w:highlight w:val="none"/>
        </w:rPr>
        <w:t>条款规定：</w:t>
      </w:r>
    </w:p>
    <w:bookmarkEnd w:id="396"/>
    <w:bookmarkEnd w:id="397"/>
    <w:bookmarkEnd w:id="398"/>
    <w:p>
      <w:pPr>
        <w:pStyle w:val="24"/>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val="en-US" w:eastAsia="zh-CN"/>
        </w:rPr>
        <w:t>的90%，余款10%在质保期结束双方确定无遗留问题后无息支付</w:t>
      </w:r>
      <w:r>
        <w:rPr>
          <w:rFonts w:hint="eastAsia"/>
          <w:color w:val="auto"/>
          <w:highlight w:val="none"/>
          <w:u w:val="single"/>
        </w:rPr>
        <w:t xml:space="preserve">。  </w:t>
      </w:r>
    </w:p>
    <w:p>
      <w:pPr>
        <w:pStyle w:val="24"/>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     </w:t>
      </w:r>
      <w:r>
        <w:rPr>
          <w:rFonts w:hint="eastAsia"/>
          <w:color w:val="auto"/>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承担（□本合同累计已发生金额/□合同约定总金额</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（2）中止或解除合同的，甲方扣除全额履约保证金，</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highlight w:val="none"/>
        </w:rPr>
      </w:pPr>
      <w:bookmarkStart w:id="402" w:name="_Toc16021"/>
      <w:bookmarkStart w:id="403" w:name="_Toc28375"/>
      <w:bookmarkStart w:id="404" w:name="_Toc15583"/>
      <w:r>
        <w:rPr>
          <w:rFonts w:hint="eastAsia" w:ascii="宋体" w:hAnsi="宋体" w:cs="宋体"/>
          <w:b/>
          <w:color w:val="auto"/>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2  </w:t>
      </w:r>
      <w:r>
        <w:rPr>
          <w:rFonts w:hint="eastAsia" w:ascii="宋体" w:hAnsi="宋体" w:cs="宋体"/>
          <w:color w:val="auto"/>
          <w:sz w:val="24"/>
          <w:highlight w:val="none"/>
        </w:rPr>
        <w:t>条款规定的方式解决：</w:t>
      </w:r>
    </w:p>
    <w:p>
      <w:pPr>
        <w:spacing w:line="360" w:lineRule="auto"/>
        <w:ind w:right="-420" w:rightChars="-200" w:firstLine="480" w:firstLineChars="200"/>
        <w:rPr>
          <w:rFonts w:ascii="宋体" w:hAnsi="宋体" w:cs="宋体"/>
          <w:color w:val="auto"/>
          <w:sz w:val="24"/>
          <w:highlight w:val="none"/>
        </w:rPr>
      </w:pPr>
      <w:bookmarkStart w:id="405" w:name="_Toc15322"/>
      <w:bookmarkStart w:id="406" w:name="_Toc11173"/>
      <w:bookmarkStart w:id="407" w:name="_Toc7245"/>
      <w:r>
        <w:rPr>
          <w:rFonts w:hint="eastAsia" w:ascii="宋体" w:hAnsi="宋体" w:cs="宋体"/>
          <w:color w:val="auto"/>
          <w:sz w:val="24"/>
          <w:highlight w:val="none"/>
        </w:rPr>
        <w:t>1. 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w:t>
      </w:r>
      <w:r>
        <w:rPr>
          <w:rFonts w:hint="eastAsia" w:ascii="宋体" w:hAnsi="宋体" w:cs="宋体"/>
          <w:color w:val="auto"/>
          <w:sz w:val="24"/>
          <w:highlight w:val="none"/>
        </w:rPr>
        <w:t>人民法院起诉。</w:t>
      </w:r>
    </w:p>
    <w:bookmarkEnd w:id="405"/>
    <w:bookmarkEnd w:id="406"/>
    <w:bookmarkEnd w:id="407"/>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pPr>
        <w:pStyle w:val="23"/>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pPr>
        <w:pStyle w:val="23"/>
        <w:ind w:left="0" w:leftChars="0" w:firstLine="0" w:firstLineChars="0"/>
        <w:rPr>
          <w:rFonts w:ascii="宋体" w:hAnsi="宋体" w:cs="宋体"/>
          <w:b/>
          <w:color w:val="auto"/>
          <w:szCs w:val="24"/>
          <w:highlight w:val="none"/>
        </w:rPr>
      </w:pPr>
    </w:p>
    <w:p>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pPr>
        <w:spacing w:line="360" w:lineRule="auto"/>
        <w:ind w:firstLine="482" w:firstLineChars="200"/>
        <w:outlineLvl w:val="0"/>
        <w:rPr>
          <w:rFonts w:ascii="宋体" w:hAnsi="宋体" w:cs="宋体"/>
          <w:b/>
          <w:color w:val="auto"/>
          <w:sz w:val="24"/>
          <w:highlight w:val="none"/>
        </w:rPr>
      </w:pPr>
      <w:bookmarkStart w:id="408" w:name="_Toc28763"/>
      <w:bookmarkStart w:id="409" w:name="_Ref467378499"/>
      <w:bookmarkStart w:id="410" w:name="_Ref467379225"/>
      <w:bookmarkStart w:id="411" w:name="_Toc487900349"/>
      <w:bookmarkStart w:id="412" w:name="_Toc279701240"/>
      <w:bookmarkStart w:id="413" w:name="_Toc16917"/>
      <w:bookmarkStart w:id="414" w:name="_Ref467379101"/>
      <w:bookmarkStart w:id="415" w:name="_Ref467379205"/>
      <w:bookmarkStart w:id="416" w:name="_Toc19614"/>
      <w:bookmarkStart w:id="417" w:name="_Ref467378404"/>
      <w:bookmarkStart w:id="418" w:name="_Ref467379094"/>
      <w:bookmarkStart w:id="419" w:name="_Ref467379109"/>
      <w:bookmarkStart w:id="420" w:name="_Ref467379195"/>
      <w:bookmarkStart w:id="421" w:name="_Ref467379214"/>
      <w:bookmarkStart w:id="422" w:name="_Toc259093669"/>
      <w:bookmarkStart w:id="423" w:name="_Ref4673784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color w:val="auto"/>
          <w:sz w:val="24"/>
          <w:highlight w:val="none"/>
        </w:rPr>
      </w:pPr>
      <w:bookmarkStart w:id="427" w:name="_Toc487900350"/>
      <w:bookmarkStart w:id="428" w:name="_Toc32504"/>
      <w:bookmarkStart w:id="429" w:name="_Toc259093670"/>
      <w:bookmarkStart w:id="430" w:name="_Toc279701241"/>
      <w:bookmarkStart w:id="431" w:name="_Toc13336"/>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highlight w:val="none"/>
        </w:rPr>
      </w:pPr>
      <w:bookmarkStart w:id="433" w:name="_Toc259093671"/>
      <w:bookmarkStart w:id="434" w:name="_Toc487900351"/>
      <w:bookmarkStart w:id="435" w:name="_Toc31634"/>
      <w:bookmarkStart w:id="436" w:name="_Toc27853"/>
      <w:bookmarkStart w:id="437" w:name="_Toc279701242"/>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79701247"/>
      <w:bookmarkStart w:id="448" w:name="_Toc259093676"/>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highlight w:val="none"/>
        </w:rPr>
      </w:pPr>
      <w:bookmarkStart w:id="452" w:name="_Ref467379863"/>
      <w:bookmarkStart w:id="453" w:name="_Ref467379852"/>
      <w:bookmarkStart w:id="454" w:name="_Toc487900358"/>
      <w:bookmarkStart w:id="455" w:name="_Toc279701248"/>
      <w:bookmarkStart w:id="456" w:name="_Toc259093677"/>
      <w:bookmarkStart w:id="457" w:name="_Ref467379923"/>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r>
        <w:rPr>
          <w:rFonts w:hint="eastAsia" w:ascii="宋体" w:hAnsi="宋体" w:cs="宋体"/>
          <w:b/>
          <w:color w:val="auto"/>
          <w:sz w:val="24"/>
          <w:highlight w:val="none"/>
        </w:rPr>
        <w:t>和分包</w:t>
      </w:r>
      <w:bookmarkEnd w:id="475"/>
      <w:bookmarkEnd w:id="476"/>
      <w:bookmarkEnd w:id="47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pPr>
        <w:spacing w:line="360" w:lineRule="auto"/>
        <w:ind w:firstLine="480" w:firstLineChars="200"/>
        <w:rPr>
          <w:rFonts w:ascii="宋体" w:hAnsi="宋体"/>
          <w:color w:val="auto"/>
          <w:sz w:val="24"/>
          <w:highlight w:val="none"/>
        </w:rPr>
      </w:pPr>
      <w:bookmarkStart w:id="481" w:name="_Toc689"/>
      <w:bookmarkStart w:id="482" w:name="_Toc30676"/>
      <w:bookmarkStart w:id="483" w:name="_Toc487900365"/>
      <w:bookmarkStart w:id="484" w:name="_Toc259093684"/>
      <w:bookmarkStart w:id="485" w:name="_Toc279701255"/>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outlineLvl w:val="0"/>
        <w:rPr>
          <w:rFonts w:ascii="宋体" w:hAnsi="宋体" w:cs="宋体"/>
          <w:b/>
          <w:color w:val="auto"/>
          <w:sz w:val="24"/>
          <w:highlight w:val="none"/>
        </w:rPr>
      </w:pPr>
      <w:bookmarkStart w:id="487" w:name="_Toc16959"/>
      <w:bookmarkStart w:id="488" w:name="_Toc259093687"/>
      <w:bookmarkStart w:id="489" w:name="_Toc7102"/>
      <w:bookmarkStart w:id="490" w:name="_Toc8298"/>
      <w:bookmarkStart w:id="491" w:name="_Toc279701258"/>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w:t>
      </w:r>
      <w:r>
        <w:rPr>
          <w:rFonts w:hint="eastAsia" w:ascii="宋体" w:hAnsi="宋体" w:cs="宋体"/>
          <w:color w:val="auto"/>
          <w:sz w:val="24"/>
          <w:highlight w:val="none"/>
          <w:lang w:val="en-US" w:eastAsia="zh-CN"/>
        </w:rPr>
        <w:t>或者履约金额达到</w:t>
      </w:r>
      <w:r>
        <w:rPr>
          <w:rFonts w:hint="eastAsia" w:ascii="宋体" w:hAnsi="宋体" w:cs="宋体"/>
          <w:color w:val="auto"/>
          <w:sz w:val="24"/>
          <w:highlight w:val="none"/>
        </w:rPr>
        <w:t>合同总金额</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highlight w:val="none"/>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pP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18540"/>
      <w:bookmarkStart w:id="506" w:name="_Toc487900372"/>
      <w:bookmarkStart w:id="507" w:name="_Toc30599"/>
      <w:bookmarkStart w:id="508" w:name="_Toc27970126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highlight w:val="none"/>
        </w:rPr>
      </w:pPr>
      <w:bookmarkStart w:id="510" w:name="_Toc10330"/>
      <w:bookmarkStart w:id="511" w:name="_Toc487900373"/>
      <w:bookmarkStart w:id="512" w:name="_Toc259093692"/>
      <w:bookmarkStart w:id="513" w:name="_Toc12773"/>
      <w:bookmarkStart w:id="514" w:name="_Toc18567"/>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color w:val="auto"/>
          <w:sz w:val="32"/>
          <w:highlight w:val="none"/>
        </w:rPr>
      </w:pPr>
    </w:p>
    <w:p>
      <w:pPr>
        <w:jc w:val="center"/>
        <w:rPr>
          <w:rFonts w:ascii="宋体" w:hAnsi="宋体" w:eastAsia="宋体" w:cs="Times New Roman"/>
          <w:b/>
          <w:color w:val="auto"/>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pPr>
              <w:spacing w:line="360" w:lineRule="auto"/>
              <w:rPr>
                <w:rFonts w:hint="eastAsia"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color w:val="auto"/>
          <w:highlight w:val="none"/>
        </w:rPr>
      </w:pPr>
    </w:p>
    <w:p>
      <w:pPr>
        <w:jc w:val="center"/>
        <w:rPr>
          <w:rFonts w:ascii="宋体" w:hAnsi="宋体" w:eastAsia="宋体" w:cs="Times New Roman"/>
          <w:b/>
          <w:color w:val="auto"/>
          <w:highlight w:val="none"/>
        </w:rPr>
      </w:pPr>
    </w:p>
    <w:p>
      <w:pPr>
        <w:pStyle w:val="23"/>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pPr>
        <w:pStyle w:val="23"/>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第</w:t>
      </w:r>
      <w:r>
        <w:rPr>
          <w:rFonts w:hint="eastAsia" w:ascii="宋体" w:hAnsi="宋体" w:cs="Times New Roman"/>
          <w:b/>
          <w:color w:val="auto"/>
          <w:szCs w:val="24"/>
          <w:highlight w:val="none"/>
          <w:lang w:val="en-US" w:eastAsia="zh-CN"/>
        </w:rPr>
        <w:t>三</w:t>
      </w:r>
      <w:r>
        <w:rPr>
          <w:rFonts w:hint="eastAsia" w:ascii="宋体" w:hAnsi="宋体" w:cs="Times New Roman"/>
          <w:b/>
          <w:color w:val="auto"/>
          <w:szCs w:val="24"/>
          <w:highlight w:val="none"/>
        </w:rPr>
        <w:t xml:space="preserve">章 </w:t>
      </w:r>
      <w:r>
        <w:rPr>
          <w:rFonts w:hint="eastAsia" w:ascii="宋体" w:hAnsi="宋体"/>
          <w:b/>
          <w:color w:val="auto"/>
          <w:szCs w:val="24"/>
          <w:highlight w:val="none"/>
        </w:rPr>
        <w:t>廉洁协议</w:t>
      </w:r>
    </w:p>
    <w:p>
      <w:pPr>
        <w:pStyle w:val="9"/>
        <w:ind w:firstLine="0" w:firstLineChars="0"/>
        <w:rPr>
          <w:color w:val="auto"/>
          <w:highlight w:val="none"/>
        </w:rPr>
      </w:pPr>
    </w:p>
    <w:p>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auto"/>
          <w:sz w:val="24"/>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pStyle w:val="7"/>
        <w:ind w:firstLine="0"/>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pPr>
        <w:spacing w:line="360" w:lineRule="auto"/>
        <w:rPr>
          <w:rFonts w:ascii="宋体" w:hAnsi="宋体" w:eastAsia="宋体" w:cs="宋体"/>
          <w:color w:val="auto"/>
          <w:sz w:val="44"/>
          <w:szCs w:val="44"/>
          <w:highlight w:val="none"/>
        </w:rPr>
      </w:pPr>
    </w:p>
    <w:p>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2024年临江公司垃圾吊抓斗备件采购项目</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202407013</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auto"/>
          <w:sz w:val="24"/>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2024年临江公司垃圾吊抓斗备件采购项目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color w:val="auto"/>
          <w:sz w:val="24"/>
          <w:highlight w:val="none"/>
        </w:rPr>
      </w:pPr>
    </w:p>
    <w:p>
      <w:pPr>
        <w:snapToGrid w:val="0"/>
        <w:spacing w:line="360" w:lineRule="auto"/>
        <w:ind w:firstLine="480" w:firstLineChars="200"/>
        <w:rPr>
          <w:rFonts w:hint="eastAsia" w:cs="仿宋" w:asciiTheme="minorEastAsia" w:hAnsiTheme="minorEastAsia"/>
          <w:color w:val="auto"/>
          <w:sz w:val="24"/>
          <w:highlight w:val="none"/>
        </w:rPr>
      </w:pP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13"/>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6"/>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pPr>
        <w:pStyle w:val="7"/>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7"/>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6"/>
        <w:rPr>
          <w:rFonts w:cs="仿宋" w:asciiTheme="minorEastAsia" w:hAnsiTheme="minorEastAsia"/>
          <w:b/>
          <w:color w:val="auto"/>
          <w:kern w:val="0"/>
          <w:sz w:val="32"/>
          <w:szCs w:val="32"/>
          <w:highlight w:val="none"/>
        </w:rPr>
      </w:pPr>
    </w:p>
    <w:p>
      <w:pPr>
        <w:pStyle w:val="7"/>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6"/>
        <w:rPr>
          <w:rFonts w:cs="仿宋" w:asciiTheme="minorEastAsia" w:hAnsiTheme="minorEastAsia"/>
          <w:b/>
          <w:color w:val="auto"/>
          <w:kern w:val="0"/>
          <w:sz w:val="32"/>
          <w:szCs w:val="32"/>
          <w:highlight w:val="none"/>
        </w:rPr>
      </w:pPr>
    </w:p>
    <w:p>
      <w:pPr>
        <w:pStyle w:val="7"/>
        <w:rPr>
          <w:color w:val="auto"/>
          <w:highlight w:val="none"/>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pPr>
        <w:pStyle w:val="13"/>
        <w:rPr>
          <w:color w:val="auto"/>
          <w:highlight w:val="none"/>
          <w:lang w:val="zh-CN"/>
        </w:rPr>
      </w:pPr>
    </w:p>
    <w:p>
      <w:pPr>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both"/>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color w:val="auto"/>
          <w:sz w:val="32"/>
          <w:szCs w:val="32"/>
          <w:highlight w:val="none"/>
        </w:rPr>
      </w:pPr>
      <w:r>
        <w:rPr>
          <w:rFonts w:hint="eastAsia"/>
          <w:color w:val="auto"/>
          <w:sz w:val="32"/>
          <w:szCs w:val="32"/>
          <w:highlight w:val="none"/>
        </w:rPr>
        <w:t>一 、 报价函</w:t>
      </w:r>
    </w:p>
    <w:p>
      <w:pPr>
        <w:pStyle w:val="6"/>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8"/>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6"/>
        <w:ind w:firstLine="480" w:firstLineChars="200"/>
        <w:jc w:val="left"/>
        <w:rPr>
          <w:rFonts w:hAnsi="宋体" w:cs="宋体"/>
          <w:color w:val="auto"/>
          <w:highlight w:val="none"/>
        </w:rPr>
      </w:pPr>
    </w:p>
    <w:p>
      <w:pPr>
        <w:pStyle w:val="6"/>
        <w:ind w:firstLine="480" w:firstLineChars="200"/>
        <w:jc w:val="left"/>
        <w:rPr>
          <w:rFonts w:hAnsi="宋体" w:cs="宋体"/>
          <w:color w:val="auto"/>
          <w:highlight w:val="none"/>
        </w:rPr>
      </w:pPr>
    </w:p>
    <w:p>
      <w:pPr>
        <w:pStyle w:val="6"/>
        <w:jc w:val="left"/>
        <w:rPr>
          <w:rFonts w:hAnsi="宋体" w:cs="宋体"/>
          <w:color w:val="auto"/>
          <w:highlight w:val="none"/>
        </w:rPr>
      </w:pPr>
      <w:r>
        <w:rPr>
          <w:rFonts w:hint="eastAsia" w:hAnsi="宋体" w:cs="宋体"/>
          <w:color w:val="auto"/>
          <w:highlight w:val="none"/>
        </w:rPr>
        <w:t>供应商名称：（盖单位公章）</w:t>
      </w:r>
    </w:p>
    <w:p>
      <w:pPr>
        <w:pStyle w:val="6"/>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6"/>
        <w:tabs>
          <w:tab w:val="left" w:pos="4101"/>
        </w:tabs>
        <w:jc w:val="left"/>
        <w:rPr>
          <w:rFonts w:hAnsi="宋体" w:cs="宋体"/>
          <w:color w:val="auto"/>
          <w:highlight w:val="none"/>
        </w:rPr>
      </w:pPr>
      <w:r>
        <w:rPr>
          <w:rFonts w:hint="eastAsia" w:hAnsi="宋体" w:cs="宋体"/>
          <w:color w:val="auto"/>
          <w:highlight w:val="none"/>
        </w:rPr>
        <w:t>地址：</w:t>
      </w:r>
    </w:p>
    <w:p>
      <w:pPr>
        <w:pStyle w:val="6"/>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4"/>
        <w:gridCol w:w="2160"/>
        <w:gridCol w:w="2786"/>
        <w:gridCol w:w="968"/>
        <w:gridCol w:w="1222"/>
        <w:gridCol w:w="1167"/>
        <w:gridCol w:w="135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894"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160"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rPr>
              <w:t>品牌</w:t>
            </w:r>
            <w:r>
              <w:rPr>
                <w:rFonts w:hint="eastAsia" w:cs="仿宋" w:asciiTheme="minorEastAsia" w:hAnsiTheme="minorEastAsia"/>
                <w:b/>
                <w:color w:val="auto"/>
                <w:sz w:val="24"/>
                <w:highlight w:val="none"/>
                <w:lang w:val="en-US" w:eastAsia="zh-CN"/>
              </w:rPr>
              <w:t>/生产厂家</w:t>
            </w:r>
          </w:p>
        </w:tc>
        <w:tc>
          <w:tcPr>
            <w:tcW w:w="2786"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规格型号</w:t>
            </w:r>
          </w:p>
        </w:tc>
        <w:tc>
          <w:tcPr>
            <w:tcW w:w="968"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22"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116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35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644"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主销轴</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BCM30721-004</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主销轴垫片</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BCM30721-005</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撑杆销轴</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BCM30721-001</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撑杆衬套</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CM0514-303</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油缸销轴</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BCM30721-008</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油缸销轴（下）</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23141516</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斗瓣销轴</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1000073590</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斗体衬套</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1000058084</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89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液控单向阀</w:t>
            </w:r>
          </w:p>
        </w:tc>
        <w:tc>
          <w:tcPr>
            <w:tcW w:w="21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278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SV1/SV2</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89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单向阀</w:t>
            </w:r>
          </w:p>
        </w:tc>
        <w:tc>
          <w:tcPr>
            <w:tcW w:w="21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278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R1/R2</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89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开闭电磁换向阀</w:t>
            </w:r>
          </w:p>
        </w:tc>
        <w:tc>
          <w:tcPr>
            <w:tcW w:w="21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278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RPE3-062X11</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89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隔离圈</w:t>
            </w:r>
          </w:p>
        </w:tc>
        <w:tc>
          <w:tcPr>
            <w:tcW w:w="21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278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材质：16Mn 规格：内径110mm*外径120mm*宽20mm</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22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89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挡圈</w:t>
            </w:r>
          </w:p>
        </w:tc>
        <w:tc>
          <w:tcPr>
            <w:tcW w:w="21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278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材质：16Mn 规格：内径100mm*外径160mm*厚6mm</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50</w:t>
            </w:r>
          </w:p>
        </w:tc>
        <w:tc>
          <w:tcPr>
            <w:tcW w:w="122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894"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油缸护额</w:t>
            </w:r>
          </w:p>
        </w:tc>
        <w:tc>
          <w:tcPr>
            <w:tcW w:w="2160"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p>
        </w:tc>
        <w:tc>
          <w:tcPr>
            <w:tcW w:w="2786"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1000057887</w:t>
            </w:r>
          </w:p>
        </w:tc>
        <w:tc>
          <w:tcPr>
            <w:tcW w:w="968"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vAlign w:val="center"/>
          </w:tcPr>
          <w:p>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67" w:type="dxa"/>
            <w:vAlign w:val="center"/>
          </w:tcPr>
          <w:p>
            <w:pPr>
              <w:spacing w:line="360" w:lineRule="auto"/>
              <w:jc w:val="center"/>
              <w:rPr>
                <w:rFonts w:cs="仿宋" w:asciiTheme="minorEastAsia" w:hAnsiTheme="minorEastAsia"/>
                <w:b/>
                <w:color w:val="auto"/>
                <w:sz w:val="24"/>
                <w:highlight w:val="none"/>
              </w:rPr>
            </w:pPr>
          </w:p>
        </w:tc>
        <w:tc>
          <w:tcPr>
            <w:tcW w:w="1350" w:type="dxa"/>
            <w:vAlign w:val="center"/>
          </w:tcPr>
          <w:p>
            <w:pPr>
              <w:spacing w:line="360" w:lineRule="auto"/>
              <w:jc w:val="center"/>
              <w:rPr>
                <w:rFonts w:cs="仿宋" w:asciiTheme="minorEastAsia" w:hAnsiTheme="minorEastAsia"/>
                <w:b/>
                <w:color w:val="auto"/>
                <w:sz w:val="24"/>
                <w:highlight w:val="none"/>
              </w:rPr>
            </w:pPr>
          </w:p>
        </w:tc>
        <w:tc>
          <w:tcPr>
            <w:tcW w:w="1644" w:type="dxa"/>
            <w:vAlign w:val="center"/>
          </w:tcPr>
          <w:p>
            <w:pPr>
              <w:spacing w:line="360" w:lineRule="auto"/>
              <w:jc w:val="center"/>
              <w:rPr>
                <w:rFonts w:cs="仿宋" w:asciiTheme="minorEastAsia" w:hAnsi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83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9137" w:type="dxa"/>
            <w:gridSpan w:val="6"/>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83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9137" w:type="dxa"/>
            <w:gridSpan w:val="6"/>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83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9137" w:type="dxa"/>
            <w:gridSpan w:val="6"/>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pPr>
        <w:snapToGrid w:val="0"/>
        <w:spacing w:line="360" w:lineRule="auto"/>
        <w:ind w:left="480"/>
        <w:rPr>
          <w:rFonts w:hint="eastAsia" w:cs="仿宋" w:asciiTheme="minorEastAsia" w:hAnsiTheme="minorEastAsia"/>
          <w:b/>
          <w:color w:val="auto"/>
          <w:kern w:val="0"/>
          <w:sz w:val="24"/>
          <w:highlight w:val="none"/>
          <w:lang w:val="zh-CN"/>
        </w:rPr>
      </w:pPr>
    </w:p>
    <w:p>
      <w:pPr>
        <w:snapToGrid w:val="0"/>
        <w:spacing w:line="360" w:lineRule="auto"/>
        <w:ind w:left="480"/>
        <w:rPr>
          <w:rFonts w:hint="eastAsia" w:cs="仿宋" w:asciiTheme="minorEastAsia" w:hAnsiTheme="minorEastAsia"/>
          <w:b/>
          <w:color w:val="auto"/>
          <w:kern w:val="0"/>
          <w:sz w:val="24"/>
          <w:highlight w:val="none"/>
          <w:lang w:val="zh-CN"/>
        </w:rPr>
      </w:pPr>
    </w:p>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rPr>
          <w:color w:val="auto"/>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pStyle w:val="10"/>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hAnsi="宋体" w:cs="宋体"/>
          <w:b/>
          <w:color w:val="auto"/>
          <w:sz w:val="32"/>
          <w:szCs w:val="32"/>
          <w:highlight w:val="none"/>
          <w:lang w:val="en-US" w:eastAsia="zh-CN"/>
        </w:rPr>
        <w:t xml:space="preserve">附件3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本项目不适用</w:t>
      </w:r>
      <w:r>
        <w:rPr>
          <w:rFonts w:hint="eastAsia" w:hAnsi="宋体" w:cs="宋体"/>
          <w:b/>
          <w:color w:val="auto"/>
          <w:sz w:val="32"/>
          <w:szCs w:val="32"/>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tblPrEx>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133"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color w:val="auto"/>
                <w:sz w:val="24"/>
                <w:highlight w:val="none"/>
              </w:rPr>
            </w:pPr>
          </w:p>
        </w:tc>
        <w:tc>
          <w:tcPr>
            <w:tcW w:w="340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42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color w:val="auto"/>
                <w:sz w:val="24"/>
                <w:highlight w:val="none"/>
              </w:rPr>
            </w:pPr>
          </w:p>
        </w:tc>
        <w:tc>
          <w:tcPr>
            <w:tcW w:w="340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42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color w:val="auto"/>
                <w:sz w:val="24"/>
                <w:highlight w:val="none"/>
              </w:rPr>
            </w:pPr>
          </w:p>
        </w:tc>
        <w:tc>
          <w:tcPr>
            <w:tcW w:w="7133"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人民币</w:t>
            </w:r>
          </w:p>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color w:val="auto"/>
                <w:sz w:val="24"/>
                <w:highlight w:val="none"/>
              </w:rPr>
            </w:pPr>
          </w:p>
        </w:tc>
        <w:tc>
          <w:tcPr>
            <w:tcW w:w="7133" w:type="dxa"/>
            <w:gridSpan w:val="3"/>
            <w:vAlign w:val="center"/>
          </w:tcPr>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133"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color w:val="auto"/>
                <w:sz w:val="24"/>
                <w:highlight w:val="none"/>
              </w:rPr>
            </w:pPr>
          </w:p>
        </w:tc>
        <w:tc>
          <w:tcPr>
            <w:tcW w:w="7133"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color w:val="auto"/>
                <w:sz w:val="24"/>
                <w:highlight w:val="none"/>
              </w:rPr>
            </w:pPr>
          </w:p>
        </w:tc>
        <w:tc>
          <w:tcPr>
            <w:tcW w:w="7133"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pPr>
        <w:pStyle w:val="6"/>
        <w:rPr>
          <w:rFonts w:ascii="宋体" w:hAnsi="宋体" w:cs="宋体"/>
          <w:color w:val="auto"/>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垃圾吊抓斗备件采购项目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202407013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pPr>
        <w:pStyle w:val="10"/>
        <w:rPr>
          <w:rFonts w:hint="eastAsia" w:hAnsi="宋体" w:cs="宋体"/>
          <w:b/>
          <w:bCs/>
          <w:color w:val="auto"/>
          <w:sz w:val="24"/>
          <w:highlight w:val="none"/>
        </w:rPr>
      </w:pPr>
    </w:p>
    <w:p>
      <w:pPr>
        <w:pStyle w:val="10"/>
        <w:rPr>
          <w:rFonts w:hint="eastAsia" w:hAnsi="宋体" w:cs="宋体"/>
          <w:b/>
          <w:bCs/>
          <w:color w:val="auto"/>
          <w:sz w:val="24"/>
          <w:highlight w:val="none"/>
        </w:rPr>
      </w:pPr>
    </w:p>
    <w:p>
      <w:pPr>
        <w:pStyle w:val="10"/>
        <w:rPr>
          <w:color w:val="auto"/>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0D120C"/>
    <w:rsid w:val="032B7E17"/>
    <w:rsid w:val="034B5FC8"/>
    <w:rsid w:val="03CA5C6D"/>
    <w:rsid w:val="04E634F4"/>
    <w:rsid w:val="057311F3"/>
    <w:rsid w:val="05A4392C"/>
    <w:rsid w:val="05B622F4"/>
    <w:rsid w:val="060519C4"/>
    <w:rsid w:val="06803F38"/>
    <w:rsid w:val="06897EFF"/>
    <w:rsid w:val="07013F3A"/>
    <w:rsid w:val="078B333A"/>
    <w:rsid w:val="07A67451"/>
    <w:rsid w:val="07C24B12"/>
    <w:rsid w:val="07D15ABF"/>
    <w:rsid w:val="07EB09E1"/>
    <w:rsid w:val="087E795F"/>
    <w:rsid w:val="09104908"/>
    <w:rsid w:val="09E57882"/>
    <w:rsid w:val="09EC7123"/>
    <w:rsid w:val="09ED56C9"/>
    <w:rsid w:val="0A382368"/>
    <w:rsid w:val="0B530D41"/>
    <w:rsid w:val="0B770C6E"/>
    <w:rsid w:val="0BF7590B"/>
    <w:rsid w:val="0BFE313E"/>
    <w:rsid w:val="0C177D5B"/>
    <w:rsid w:val="0C2A044F"/>
    <w:rsid w:val="0C492847"/>
    <w:rsid w:val="0CD0364E"/>
    <w:rsid w:val="0CF31D21"/>
    <w:rsid w:val="0D89320B"/>
    <w:rsid w:val="0D8B0B2E"/>
    <w:rsid w:val="0EC870E3"/>
    <w:rsid w:val="0F111837"/>
    <w:rsid w:val="0F2F6501"/>
    <w:rsid w:val="0F81598B"/>
    <w:rsid w:val="0FB91E94"/>
    <w:rsid w:val="0FE409A7"/>
    <w:rsid w:val="10C76755"/>
    <w:rsid w:val="11B04EDA"/>
    <w:rsid w:val="11C46A46"/>
    <w:rsid w:val="11D64215"/>
    <w:rsid w:val="11F35B37"/>
    <w:rsid w:val="12D86145"/>
    <w:rsid w:val="12E110C3"/>
    <w:rsid w:val="135A601C"/>
    <w:rsid w:val="143E2438"/>
    <w:rsid w:val="14DF7D0B"/>
    <w:rsid w:val="152B7330"/>
    <w:rsid w:val="152C0D1B"/>
    <w:rsid w:val="15655FDB"/>
    <w:rsid w:val="15CB2DA0"/>
    <w:rsid w:val="16135A37"/>
    <w:rsid w:val="166F3635"/>
    <w:rsid w:val="16806E74"/>
    <w:rsid w:val="16D9538A"/>
    <w:rsid w:val="17233A58"/>
    <w:rsid w:val="178A2F73"/>
    <w:rsid w:val="17AF353E"/>
    <w:rsid w:val="18001FEB"/>
    <w:rsid w:val="185870FA"/>
    <w:rsid w:val="185A544F"/>
    <w:rsid w:val="18890233"/>
    <w:rsid w:val="18A60DE5"/>
    <w:rsid w:val="190D49C0"/>
    <w:rsid w:val="198737C7"/>
    <w:rsid w:val="19976A31"/>
    <w:rsid w:val="19DC6BDA"/>
    <w:rsid w:val="1A4B1C44"/>
    <w:rsid w:val="1AA56FDE"/>
    <w:rsid w:val="1B1B25BA"/>
    <w:rsid w:val="1B7913A6"/>
    <w:rsid w:val="1D1A76AB"/>
    <w:rsid w:val="1D61352C"/>
    <w:rsid w:val="1D882867"/>
    <w:rsid w:val="1DCF6B00"/>
    <w:rsid w:val="1DFA0457"/>
    <w:rsid w:val="1E5F5CBE"/>
    <w:rsid w:val="1E8307F5"/>
    <w:rsid w:val="1F457921"/>
    <w:rsid w:val="1F564138"/>
    <w:rsid w:val="20457135"/>
    <w:rsid w:val="20D12777"/>
    <w:rsid w:val="20FB672E"/>
    <w:rsid w:val="212E5E1B"/>
    <w:rsid w:val="213339C4"/>
    <w:rsid w:val="21677697"/>
    <w:rsid w:val="21937F27"/>
    <w:rsid w:val="21C81DCC"/>
    <w:rsid w:val="228D26CE"/>
    <w:rsid w:val="22916FA5"/>
    <w:rsid w:val="230E1A60"/>
    <w:rsid w:val="23922209"/>
    <w:rsid w:val="23C64579"/>
    <w:rsid w:val="241A4435"/>
    <w:rsid w:val="247C6E9E"/>
    <w:rsid w:val="25650E5F"/>
    <w:rsid w:val="259F4411"/>
    <w:rsid w:val="25C26B32"/>
    <w:rsid w:val="26010880"/>
    <w:rsid w:val="26F15921"/>
    <w:rsid w:val="28D92620"/>
    <w:rsid w:val="294E0F60"/>
    <w:rsid w:val="29634188"/>
    <w:rsid w:val="2987716A"/>
    <w:rsid w:val="298A635B"/>
    <w:rsid w:val="29AE18A7"/>
    <w:rsid w:val="2A6366FF"/>
    <w:rsid w:val="2AD25A69"/>
    <w:rsid w:val="2B3D5BF4"/>
    <w:rsid w:val="2C4141D8"/>
    <w:rsid w:val="2C950AFD"/>
    <w:rsid w:val="2D210C4A"/>
    <w:rsid w:val="2E582A52"/>
    <w:rsid w:val="2E7A56DC"/>
    <w:rsid w:val="2E9F315C"/>
    <w:rsid w:val="2EBA484A"/>
    <w:rsid w:val="2F4D3609"/>
    <w:rsid w:val="2F5836E9"/>
    <w:rsid w:val="300206D5"/>
    <w:rsid w:val="30062480"/>
    <w:rsid w:val="30556F21"/>
    <w:rsid w:val="308C5F1F"/>
    <w:rsid w:val="31111553"/>
    <w:rsid w:val="31191AA6"/>
    <w:rsid w:val="314B6E80"/>
    <w:rsid w:val="3164130D"/>
    <w:rsid w:val="32843E96"/>
    <w:rsid w:val="32C410E7"/>
    <w:rsid w:val="32EC2577"/>
    <w:rsid w:val="334341C1"/>
    <w:rsid w:val="34155E66"/>
    <w:rsid w:val="34454474"/>
    <w:rsid w:val="34AF40BC"/>
    <w:rsid w:val="359978AF"/>
    <w:rsid w:val="35E13004"/>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C33464"/>
    <w:rsid w:val="3E0C6463"/>
    <w:rsid w:val="3EE43BF5"/>
    <w:rsid w:val="403E57B7"/>
    <w:rsid w:val="407D1B7C"/>
    <w:rsid w:val="411A0F39"/>
    <w:rsid w:val="415A5C88"/>
    <w:rsid w:val="41CE08E1"/>
    <w:rsid w:val="42112513"/>
    <w:rsid w:val="433C7ACC"/>
    <w:rsid w:val="435518AD"/>
    <w:rsid w:val="43C04259"/>
    <w:rsid w:val="43C354C4"/>
    <w:rsid w:val="44A040E0"/>
    <w:rsid w:val="44C67F95"/>
    <w:rsid w:val="45375E5B"/>
    <w:rsid w:val="4557347D"/>
    <w:rsid w:val="4559568A"/>
    <w:rsid w:val="45A47533"/>
    <w:rsid w:val="45F97EF6"/>
    <w:rsid w:val="46603AD2"/>
    <w:rsid w:val="46766CD3"/>
    <w:rsid w:val="46BC402D"/>
    <w:rsid w:val="472961BF"/>
    <w:rsid w:val="475528CD"/>
    <w:rsid w:val="47B265AF"/>
    <w:rsid w:val="47BA490B"/>
    <w:rsid w:val="485D0FF3"/>
    <w:rsid w:val="4916491B"/>
    <w:rsid w:val="496717C4"/>
    <w:rsid w:val="49F11610"/>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AB2D04"/>
    <w:rsid w:val="557B35BC"/>
    <w:rsid w:val="561A1EEF"/>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4A4BB0"/>
    <w:rsid w:val="5C643EC4"/>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6B6197"/>
    <w:rsid w:val="65A92947"/>
    <w:rsid w:val="661A50B7"/>
    <w:rsid w:val="66976C44"/>
    <w:rsid w:val="66F30BCE"/>
    <w:rsid w:val="670E5BF9"/>
    <w:rsid w:val="673C0170"/>
    <w:rsid w:val="673E5F91"/>
    <w:rsid w:val="677A6041"/>
    <w:rsid w:val="67BC07C3"/>
    <w:rsid w:val="67D6317A"/>
    <w:rsid w:val="67D649B5"/>
    <w:rsid w:val="68ED6365"/>
    <w:rsid w:val="69D30C3E"/>
    <w:rsid w:val="6A4E3ABD"/>
    <w:rsid w:val="6AE63D7E"/>
    <w:rsid w:val="6B462C2B"/>
    <w:rsid w:val="6B8359E9"/>
    <w:rsid w:val="6BD277B9"/>
    <w:rsid w:val="6C321620"/>
    <w:rsid w:val="6CE30E35"/>
    <w:rsid w:val="6DA02882"/>
    <w:rsid w:val="6DA12E69"/>
    <w:rsid w:val="6DBB3B60"/>
    <w:rsid w:val="6E2C6F5B"/>
    <w:rsid w:val="6ED509D7"/>
    <w:rsid w:val="6F0B4673"/>
    <w:rsid w:val="6F4831D1"/>
    <w:rsid w:val="700E4F44"/>
    <w:rsid w:val="70124E0E"/>
    <w:rsid w:val="70173239"/>
    <w:rsid w:val="704F058F"/>
    <w:rsid w:val="711D3FA5"/>
    <w:rsid w:val="721A5B23"/>
    <w:rsid w:val="72B931C1"/>
    <w:rsid w:val="730100E0"/>
    <w:rsid w:val="734A515C"/>
    <w:rsid w:val="73792BA9"/>
    <w:rsid w:val="738D03F5"/>
    <w:rsid w:val="73987BB2"/>
    <w:rsid w:val="73E442FB"/>
    <w:rsid w:val="73EF1E6D"/>
    <w:rsid w:val="74173DA2"/>
    <w:rsid w:val="74186428"/>
    <w:rsid w:val="74341F76"/>
    <w:rsid w:val="75465FCB"/>
    <w:rsid w:val="759E3B4B"/>
    <w:rsid w:val="76471CF3"/>
    <w:rsid w:val="76723FC6"/>
    <w:rsid w:val="767E5B01"/>
    <w:rsid w:val="76930879"/>
    <w:rsid w:val="76AE4262"/>
    <w:rsid w:val="77132317"/>
    <w:rsid w:val="778F44F9"/>
    <w:rsid w:val="77F2017E"/>
    <w:rsid w:val="78A551F0"/>
    <w:rsid w:val="78D36201"/>
    <w:rsid w:val="79017606"/>
    <w:rsid w:val="79D7762B"/>
    <w:rsid w:val="79EB254B"/>
    <w:rsid w:val="7BA82ABD"/>
    <w:rsid w:val="7C757EAB"/>
    <w:rsid w:val="7CA57EB5"/>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25584</Words>
  <Characters>27244</Characters>
  <Lines>224</Lines>
  <Paragraphs>63</Paragraphs>
  <TotalTime>1</TotalTime>
  <ScaleCrop>false</ScaleCrop>
  <LinksUpToDate>false</LinksUpToDate>
  <CharactersWithSpaces>29880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2024-07-09T00:16:54Z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