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2024年临江公司斗提机链条及料斗</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202407014</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202407014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2024年临江公司斗提机链条及料斗采购项目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19.96</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一批斗提机链条及料斗</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r>
        <w:rPr>
          <w:rFonts w:hint="eastAsia" w:cs="仿宋" w:asciiTheme="minorEastAsia" w:hAnsiTheme="minorEastAsia"/>
          <w:sz w:val="24"/>
          <w:u w:val="single"/>
          <w:lang w:val="en-US" w:eastAsia="zh-CN"/>
        </w:rPr>
        <w:t>在合同签订后一次性</w:t>
      </w:r>
      <w:r>
        <w:rPr>
          <w:rFonts w:hint="eastAsia" w:cs="仿宋" w:asciiTheme="minorEastAsia" w:hAnsiTheme="minorEastAsia"/>
          <w:sz w:val="24"/>
          <w:u w:val="single"/>
        </w:rPr>
        <w:t>交付。在采购人发出送货通知后，</w:t>
      </w:r>
      <w:r>
        <w:rPr>
          <w:rFonts w:hint="eastAsia" w:cs="仿宋" w:asciiTheme="minorEastAsia" w:hAnsiTheme="minorEastAsia"/>
          <w:sz w:val="24"/>
          <w:u w:val="single"/>
          <w:lang w:val="en-US" w:eastAsia="zh-CN"/>
        </w:rPr>
        <w:t>成交供应商</w:t>
      </w:r>
      <w:r>
        <w:rPr>
          <w:rFonts w:hint="eastAsia" w:cs="仿宋" w:asciiTheme="minorEastAsia" w:hAnsiTheme="minorEastAsia"/>
          <w:sz w:val="24"/>
          <w:highlight w:val="none"/>
          <w:u w:val="single"/>
          <w:lang w:val="en-US" w:eastAsia="zh-CN"/>
        </w:rPr>
        <w:t>45天内</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color w:val="auto"/>
          <w:sz w:val="24"/>
          <w:u w:val="single"/>
        </w:rPr>
        <w:t>供应商提供自202</w:t>
      </w:r>
      <w:r>
        <w:rPr>
          <w:rFonts w:hint="eastAsia" w:cs="仿宋" w:asciiTheme="minorEastAsia" w:hAnsiTheme="minorEastAsia"/>
          <w:bCs/>
          <w:color w:val="auto"/>
          <w:sz w:val="24"/>
          <w:u w:val="single"/>
          <w:lang w:val="en-US" w:eastAsia="zh-CN"/>
        </w:rPr>
        <w:t>1</w:t>
      </w:r>
      <w:r>
        <w:rPr>
          <w:rFonts w:hint="eastAsia" w:cs="仿宋" w:asciiTheme="minorEastAsia" w:hAnsiTheme="minorEastAsia"/>
          <w:bCs/>
          <w:color w:val="auto"/>
          <w:sz w:val="24"/>
          <w:u w:val="single"/>
        </w:rPr>
        <w:t>年1月1日起至少</w:t>
      </w:r>
      <w:r>
        <w:rPr>
          <w:rFonts w:hint="eastAsia" w:cs="仿宋" w:asciiTheme="minorEastAsia" w:hAnsiTheme="minorEastAsia"/>
          <w:bCs/>
          <w:color w:val="auto"/>
          <w:sz w:val="24"/>
          <w:u w:val="single"/>
          <w:lang w:val="en-US" w:eastAsia="zh-CN"/>
        </w:rPr>
        <w:t>1</w:t>
      </w:r>
      <w:r>
        <w:rPr>
          <w:rFonts w:hint="eastAsia" w:cs="仿宋" w:asciiTheme="minorEastAsia" w:hAnsiTheme="minorEastAsia"/>
          <w:bCs/>
          <w:color w:val="auto"/>
          <w:sz w:val="24"/>
          <w:u w:val="single"/>
        </w:rPr>
        <w:t>例</w:t>
      </w:r>
      <w:r>
        <w:rPr>
          <w:rFonts w:hint="eastAsia" w:cs="仿宋" w:asciiTheme="minorEastAsia" w:hAnsiTheme="minorEastAsia"/>
          <w:bCs/>
          <w:color w:val="auto"/>
          <w:sz w:val="24"/>
          <w:u w:val="single"/>
          <w:lang w:val="en-US" w:eastAsia="zh-CN"/>
        </w:rPr>
        <w:t>斗提机</w:t>
      </w:r>
      <w:r>
        <w:rPr>
          <w:rFonts w:hint="eastAsia" w:cs="仿宋" w:asciiTheme="minorEastAsia" w:hAnsiTheme="minorEastAsia"/>
          <w:bCs/>
          <w:color w:val="auto"/>
          <w:sz w:val="24"/>
          <w:highlight w:val="none"/>
          <w:u w:val="single"/>
          <w:lang w:val="en-US" w:eastAsia="zh-CN"/>
        </w:rPr>
        <w:t>非标件</w:t>
      </w:r>
      <w:r>
        <w:rPr>
          <w:rFonts w:hint="eastAsia" w:cs="仿宋" w:asciiTheme="minorEastAsia" w:hAnsiTheme="minorEastAsia"/>
          <w:bCs/>
          <w:color w:val="auto"/>
          <w:sz w:val="24"/>
          <w:u w:val="single"/>
          <w:lang w:val="en-US" w:eastAsia="zh-CN"/>
        </w:rPr>
        <w:t>制作或供货业绩</w:t>
      </w:r>
      <w:r>
        <w:rPr>
          <w:rFonts w:hint="eastAsia" w:cs="仿宋" w:asciiTheme="minorEastAsia" w:hAnsiTheme="minorEastAsia"/>
          <w:bCs/>
          <w:color w:val="auto"/>
          <w:sz w:val="24"/>
          <w:u w:val="single"/>
        </w:rPr>
        <w:t>（证明材料为合同复印件</w:t>
      </w:r>
      <w:r>
        <w:rPr>
          <w:rFonts w:hint="eastAsia" w:cs="仿宋" w:asciiTheme="minorEastAsia" w:hAnsiTheme="minorEastAsia"/>
          <w:bCs/>
          <w:color w:val="auto"/>
          <w:sz w:val="24"/>
          <w:u w:val="single"/>
          <w:lang w:val="en-US" w:eastAsia="zh-CN"/>
        </w:rPr>
        <w:t>和</w:t>
      </w:r>
      <w:r>
        <w:rPr>
          <w:rFonts w:hint="eastAsia" w:cs="仿宋" w:asciiTheme="minorEastAsia" w:hAnsiTheme="minorEastAsia"/>
          <w:bCs/>
          <w:color w:val="auto"/>
          <w:sz w:val="24"/>
          <w:u w:val="single"/>
        </w:rPr>
        <w:t>发票复印件等）</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val="0"/>
                    <w:bCs w:val="0"/>
                    <w:color w:val="auto"/>
                    <w:szCs w:val="21"/>
                    <w:lang w:val="en-US" w:eastAsia="zh-CN"/>
                  </w:rPr>
                  <w:t>否</w:t>
                </w:r>
                <w:r>
                  <w:rPr>
                    <w:rFonts w:hint="eastAsia" w:ascii="宋体" w:hAnsi="宋体" w:eastAsia="宋体" w:cs="宋体"/>
                    <w:b w:val="0"/>
                    <w:bCs w:val="0"/>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pPr>
    </w:p>
    <w:p>
      <w:pPr>
        <w:pStyle w:val="7"/>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szCs w:val="21"/>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rPr>
          <w:rFonts w:cs="仿宋" w:asciiTheme="minorEastAsia" w:hAnsiTheme="minorEastAsia"/>
          <w:sz w:val="24"/>
        </w:rPr>
      </w:pPr>
      <w:r>
        <w:rPr>
          <w:rFonts w:hint="eastAsia"/>
        </w:rPr>
        <w:t>本项目无预付款。</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斗提机链条及料斗</w:t>
      </w:r>
      <w:r>
        <w:rPr>
          <w:rFonts w:hint="eastAsia"/>
          <w:lang w:val="en-US"/>
        </w:rPr>
        <w:t>一批，</w:t>
      </w:r>
      <w:r>
        <w:rPr>
          <w:rFonts w:hint="eastAsia"/>
          <w:lang w:val="en-US" w:eastAsia="zh-CN"/>
        </w:rPr>
        <w:t>用于飞灰系统备件更换。初步尺寸和材质、需求如下表，具体尺寸以供应商现场实际测绘尺寸为准，采购人提供的尺寸数据仅供参考：</w:t>
      </w:r>
    </w:p>
    <w:tbl>
      <w:tblPr>
        <w:tblStyle w:val="15"/>
        <w:tblW w:w="10425" w:type="dxa"/>
        <w:tblInd w:w="-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718"/>
        <w:gridCol w:w="611"/>
        <w:gridCol w:w="1554"/>
        <w:gridCol w:w="653"/>
        <w:gridCol w:w="686"/>
        <w:gridCol w:w="3107"/>
        <w:gridCol w:w="2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3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现场照片</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初步尺寸数据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1"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斗提机斗链</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型号：P152.4节距 材质：40Cr</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-11430</wp:posOffset>
                  </wp:positionH>
                  <wp:positionV relativeFrom="paragraph">
                    <wp:posOffset>40005</wp:posOffset>
                  </wp:positionV>
                  <wp:extent cx="1859280" cy="1332230"/>
                  <wp:effectExtent l="0" t="0" r="7620" b="1270"/>
                  <wp:wrapNone/>
                  <wp:docPr id="29" name="图片_6"/>
                  <wp:cNvGraphicFramePr/>
                  <a:graphic xmlns:a="http://schemas.openxmlformats.org/drawingml/2006/main">
                    <a:graphicData uri="http://schemas.openxmlformats.org/drawingml/2006/picture">
                      <pic:pic xmlns:pic="http://schemas.openxmlformats.org/drawingml/2006/picture">
                        <pic:nvPicPr>
                          <pic:cNvPr id="29" name="图片_6"/>
                          <pic:cNvPicPr/>
                        </pic:nvPicPr>
                        <pic:blipFill>
                          <a:blip r:embed="rId23"/>
                          <a:stretch>
                            <a:fillRect/>
                          </a:stretch>
                        </pic:blipFill>
                        <pic:spPr>
                          <a:xfrm>
                            <a:off x="0" y="0"/>
                            <a:ext cx="1859280" cy="1332230"/>
                          </a:xfrm>
                          <a:prstGeom prst="rect">
                            <a:avLst/>
                          </a:prstGeom>
                          <a:noFill/>
                          <a:ln>
                            <a:noFill/>
                          </a:ln>
                        </pic:spPr>
                      </pic:pic>
                    </a:graphicData>
                  </a:graphic>
                </wp:anchor>
              </w:drawing>
            </w: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节距：152.4，链节总长200，链厚56，链条厚8，链条外轮尺寸36.1，内孔15.8；销子：长86.8，大头20，小头15.6；料斗孔距：横向间距75，纵向70，螺丝孔25.5-13.5；单位：mm；材质：40Cr。双链条，隔一节一块刮板。（有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斗提机料斗</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 35cm*21cm*27cm 材质：Q235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750</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989965</wp:posOffset>
                  </wp:positionH>
                  <wp:positionV relativeFrom="paragraph">
                    <wp:posOffset>52705</wp:posOffset>
                  </wp:positionV>
                  <wp:extent cx="830580" cy="958850"/>
                  <wp:effectExtent l="0" t="0" r="7620" b="12700"/>
                  <wp:wrapNone/>
                  <wp:docPr id="27" name="图片_8"/>
                  <wp:cNvGraphicFramePr/>
                  <a:graphic xmlns:a="http://schemas.openxmlformats.org/drawingml/2006/main">
                    <a:graphicData uri="http://schemas.openxmlformats.org/drawingml/2006/picture">
                      <pic:pic xmlns:pic="http://schemas.openxmlformats.org/drawingml/2006/picture">
                        <pic:nvPicPr>
                          <pic:cNvPr id="27" name="图片_8"/>
                          <pic:cNvPicPr/>
                        </pic:nvPicPr>
                        <pic:blipFill>
                          <a:blip r:embed="rId24"/>
                          <a:stretch>
                            <a:fillRect/>
                          </a:stretch>
                        </pic:blipFill>
                        <pic:spPr>
                          <a:xfrm>
                            <a:off x="0" y="0"/>
                            <a:ext cx="830580" cy="958850"/>
                          </a:xfrm>
                          <a:prstGeom prst="rect">
                            <a:avLst/>
                          </a:prstGeom>
                          <a:noFill/>
                          <a:ln>
                            <a:noFill/>
                          </a:ln>
                        </pic:spPr>
                      </pic:pic>
                    </a:graphicData>
                  </a:graphic>
                </wp:anchor>
              </w:drawing>
            </w: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-30480</wp:posOffset>
                  </wp:positionH>
                  <wp:positionV relativeFrom="paragraph">
                    <wp:posOffset>26035</wp:posOffset>
                  </wp:positionV>
                  <wp:extent cx="966470" cy="991235"/>
                  <wp:effectExtent l="0" t="0" r="5080" b="18415"/>
                  <wp:wrapNone/>
                  <wp:docPr id="26" name="图片_7"/>
                  <wp:cNvGraphicFramePr/>
                  <a:graphic xmlns:a="http://schemas.openxmlformats.org/drawingml/2006/main">
                    <a:graphicData uri="http://schemas.openxmlformats.org/drawingml/2006/picture">
                      <pic:pic xmlns:pic="http://schemas.openxmlformats.org/drawingml/2006/picture">
                        <pic:nvPicPr>
                          <pic:cNvPr id="26" name="图片_7"/>
                          <pic:cNvPicPr/>
                        </pic:nvPicPr>
                        <pic:blipFill>
                          <a:blip r:embed="rId25"/>
                          <a:stretch>
                            <a:fillRect/>
                          </a:stretch>
                        </pic:blipFill>
                        <pic:spPr>
                          <a:xfrm>
                            <a:off x="0" y="0"/>
                            <a:ext cx="966470" cy="991235"/>
                          </a:xfrm>
                          <a:prstGeom prst="rect">
                            <a:avLst/>
                          </a:prstGeom>
                          <a:noFill/>
                          <a:ln>
                            <a:noFill/>
                          </a:ln>
                        </pic:spPr>
                      </pic:pic>
                    </a:graphicData>
                  </a:graphic>
                </wp:anchor>
              </w:drawing>
            </w: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尺寸：见照片标注；材质：Q235;单位：mm（有样品）。</w:t>
            </w:r>
          </w:p>
        </w:tc>
      </w:tr>
    </w:tbl>
    <w:p>
      <w:pPr>
        <w:pStyle w:val="6"/>
        <w:rPr>
          <w:rFonts w:hint="eastAsia"/>
          <w:lang w:val="en-US"/>
        </w:rPr>
      </w:pP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Arial" w:cs="Arial" w:eastAsiaTheme="minorEastAsia"/>
          <w:b w:val="0"/>
          <w:bCs w:val="0"/>
          <w:snapToGrid w:val="0"/>
          <w:kern w:val="2"/>
          <w:sz w:val="24"/>
          <w:szCs w:val="21"/>
          <w:lang w:val="en-US" w:eastAsia="zh-CN" w:bidi="ar-SA"/>
        </w:rPr>
        <w:t>供货结束后合同自行终止。</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lang w:val="en-US" w:eastAsia="zh-CN"/>
        </w:rPr>
        <w:t>合同签订后</w:t>
      </w:r>
      <w:r>
        <w:rPr>
          <w:rFonts w:hint="eastAsia"/>
          <w:color w:val="auto"/>
          <w:highlight w:val="none"/>
          <w:lang w:val="en-US" w:eastAsia="zh-CN"/>
        </w:rPr>
        <w:t>45天</w:t>
      </w:r>
      <w:r>
        <w:rPr>
          <w:rFonts w:hint="eastAsia"/>
          <w:color w:val="auto"/>
          <w:highlight w:val="none"/>
          <w:lang w:val="en-US"/>
        </w:rPr>
        <w:t>内</w:t>
      </w:r>
      <w:r>
        <w:rPr>
          <w:rFonts w:hint="eastAsia"/>
          <w:color w:val="auto"/>
          <w:highlight w:val="none"/>
          <w:lang w:val="en-US" w:eastAsia="zh-CN"/>
        </w:rPr>
        <w:t>一</w:t>
      </w:r>
      <w:r>
        <w:rPr>
          <w:rFonts w:hint="eastAsia"/>
          <w:color w:val="auto"/>
          <w:highlight w:val="none"/>
          <w:lang w:val="en-US"/>
        </w:rPr>
        <w:t>次</w:t>
      </w:r>
      <w:r>
        <w:rPr>
          <w:rFonts w:hint="eastAsia"/>
          <w:color w:val="auto"/>
          <w:highlight w:val="none"/>
          <w:lang w:val="en-US" w:eastAsia="zh-CN"/>
        </w:rPr>
        <w:t>性</w:t>
      </w:r>
      <w:r>
        <w:rPr>
          <w:rFonts w:hint="eastAsia"/>
          <w:color w:val="auto"/>
          <w:highlight w:val="none"/>
          <w:lang w:val="en-US"/>
        </w:rPr>
        <w:t>完成交</w:t>
      </w:r>
      <w:r>
        <w:rPr>
          <w:rFonts w:hint="eastAsia"/>
          <w:lang w:val="en-US"/>
        </w:rPr>
        <w:t>付</w:t>
      </w:r>
      <w:r>
        <w:rPr>
          <w:rFonts w:hint="eastAsia"/>
          <w:color w:val="auto"/>
          <w:highlight w:val="none"/>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1.采购人的提供尺寸为初步测绘尺寸，详细尺寸以供应商现场实际测绘为准；</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供应商所提</w:t>
      </w:r>
      <w:r>
        <w:rPr>
          <w:rFonts w:hint="eastAsia" w:ascii="宋体"/>
          <w:color w:val="auto"/>
          <w:highlight w:val="none"/>
          <w:lang w:val="en-US" w:eastAsia="zh-CN"/>
        </w:rPr>
        <w:t>供的备件的材质必须符合</w:t>
      </w:r>
      <w:r>
        <w:rPr>
          <w:rFonts w:hint="eastAsia"/>
          <w:color w:val="auto"/>
          <w:highlight w:val="none"/>
          <w:lang w:val="en-US" w:eastAsia="zh-CN"/>
        </w:rPr>
        <w:t>上表中</w:t>
      </w:r>
      <w:r>
        <w:rPr>
          <w:rFonts w:hint="eastAsia" w:ascii="宋体"/>
          <w:color w:val="auto"/>
          <w:highlight w:val="none"/>
          <w:lang w:val="en-US" w:eastAsia="zh-CN"/>
        </w:rPr>
        <w:t>的要求，并提供材质证明；</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3.其他要求：加工误差避免正偏差；</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4.若</w:t>
      </w:r>
      <w:r>
        <w:rPr>
          <w:rFonts w:hint="eastAsia"/>
          <w:color w:val="auto"/>
          <w:highlight w:val="none"/>
          <w:lang w:val="en-US" w:eastAsia="zh-CN"/>
        </w:rPr>
        <w:t>供应商</w:t>
      </w:r>
      <w:r>
        <w:rPr>
          <w:rFonts w:hint="eastAsia" w:ascii="宋体"/>
          <w:color w:val="auto"/>
          <w:highlight w:val="none"/>
          <w:lang w:val="en-US" w:eastAsia="zh-CN"/>
        </w:rPr>
        <w:t>提供的备件尺寸与现场设备不相符，应无条件免费更改，直至符合现场原设备为止。</w:t>
      </w:r>
    </w:p>
    <w:p>
      <w:pPr>
        <w:pStyle w:val="6"/>
        <w:ind w:firstLine="480" w:firstLineChars="200"/>
        <w:rPr>
          <w:rFonts w:hint="default" w:eastAsiaTheme="minorEastAsia"/>
          <w:highlight w:val="none"/>
          <w:lang w:val="en-US" w:eastAsia="zh-CN"/>
        </w:rPr>
      </w:pPr>
      <w:r>
        <w:rPr>
          <w:rFonts w:hint="eastAsia"/>
          <w:highlight w:val="none"/>
          <w:lang w:val="en-US" w:eastAsia="zh-CN"/>
        </w:rPr>
        <w:t>5</w:t>
      </w:r>
      <w:r>
        <w:rPr>
          <w:rFonts w:hint="eastAsia"/>
          <w:highlight w:val="none"/>
          <w:lang w:val="en-US"/>
        </w:rPr>
        <w:t>.</w:t>
      </w:r>
      <w:r>
        <w:rPr>
          <w:rFonts w:hint="eastAsia"/>
          <w:highlight w:val="none"/>
          <w:lang w:val="en-US" w:eastAsia="zh-CN"/>
        </w:rPr>
        <w:t>质保期限自验收合格后3个月，若质保期内出现质量问题（非质量问题除外），由供应商负责免费维修，产生的费用全部由供应商承担。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45天</w:t>
      </w:r>
      <w:r>
        <w:rPr>
          <w:rFonts w:hint="eastAsia"/>
          <w:lang w:val="en-US"/>
        </w:rPr>
        <w:t>内</w:t>
      </w:r>
      <w:r>
        <w:rPr>
          <w:rFonts w:hint="eastAsia"/>
          <w:lang w:val="en-US" w:eastAsia="zh-CN"/>
        </w:rPr>
        <w:t>依次完成</w:t>
      </w:r>
      <w:r>
        <w:rPr>
          <w:rFonts w:hint="eastAsia"/>
          <w:lang w:val="en-US"/>
        </w:rPr>
        <w:t>供货。</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spacing w:line="460" w:lineRule="exact"/>
        <w:jc w:val="left"/>
        <w:rPr>
          <w:rFonts w:cs="仿宋" w:asciiTheme="minorEastAsia" w:hAnsiTheme="minorEastAsia"/>
          <w:b/>
          <w:sz w:val="36"/>
          <w:szCs w:val="36"/>
        </w:rPr>
      </w:pP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21"/>
      <w:bookmarkEnd w:id="19"/>
      <w:bookmarkStart w:id="20" w:name="_Toc184312097"/>
      <w:bookmarkEnd w:id="20"/>
      <w:bookmarkStart w:id="21" w:name="_Toc184308074"/>
      <w:bookmarkEnd w:id="21"/>
      <w:bookmarkStart w:id="22" w:name="_Toc184310277"/>
      <w:bookmarkEnd w:id="22"/>
      <w:bookmarkStart w:id="23" w:name="_Toc184313286"/>
      <w:bookmarkEnd w:id="23"/>
      <w:bookmarkStart w:id="24" w:name="_Toc184308097"/>
      <w:bookmarkEnd w:id="24"/>
      <w:bookmarkStart w:id="25" w:name="_Toc184310282"/>
      <w:bookmarkEnd w:id="25"/>
      <w:bookmarkStart w:id="26" w:name="_Toc184308076"/>
      <w:bookmarkEnd w:id="26"/>
      <w:bookmarkStart w:id="27" w:name="_Toc184308069"/>
      <w:bookmarkEnd w:id="27"/>
      <w:bookmarkStart w:id="28" w:name="_Toc184308042"/>
      <w:bookmarkEnd w:id="28"/>
      <w:bookmarkStart w:id="29" w:name="_Toc184310309"/>
      <w:bookmarkEnd w:id="29"/>
      <w:bookmarkStart w:id="30" w:name="_Toc184310320"/>
      <w:bookmarkEnd w:id="30"/>
      <w:bookmarkStart w:id="31" w:name="_Toc184314472"/>
      <w:bookmarkEnd w:id="31"/>
      <w:bookmarkStart w:id="32" w:name="_Toc184314437"/>
      <w:bookmarkEnd w:id="32"/>
      <w:bookmarkStart w:id="33" w:name="_Toc184308103"/>
      <w:bookmarkEnd w:id="33"/>
      <w:bookmarkStart w:id="34" w:name="_Toc184312096"/>
      <w:bookmarkEnd w:id="34"/>
      <w:bookmarkStart w:id="35" w:name="_Toc184314471"/>
      <w:bookmarkEnd w:id="35"/>
      <w:bookmarkStart w:id="36" w:name="_Toc184310290"/>
      <w:bookmarkEnd w:id="36"/>
      <w:bookmarkStart w:id="37" w:name="_Toc184314433"/>
      <w:bookmarkEnd w:id="37"/>
      <w:bookmarkStart w:id="38" w:name="_Toc184310295"/>
      <w:bookmarkEnd w:id="38"/>
      <w:bookmarkStart w:id="39" w:name="_Toc184312067"/>
      <w:bookmarkEnd w:id="39"/>
      <w:bookmarkStart w:id="40" w:name="_Toc184308102"/>
      <w:bookmarkEnd w:id="40"/>
      <w:bookmarkStart w:id="41" w:name="_Toc184313250"/>
      <w:bookmarkEnd w:id="41"/>
      <w:bookmarkStart w:id="42" w:name="_Toc184314417"/>
      <w:bookmarkEnd w:id="42"/>
      <w:bookmarkStart w:id="43" w:name="_Toc184310289"/>
      <w:bookmarkEnd w:id="43"/>
      <w:bookmarkStart w:id="44" w:name="_Toc184313284"/>
      <w:bookmarkEnd w:id="44"/>
      <w:bookmarkStart w:id="45" w:name="_Toc184312116"/>
      <w:bookmarkEnd w:id="45"/>
      <w:bookmarkStart w:id="46" w:name="_Toc184312126"/>
      <w:bookmarkEnd w:id="46"/>
      <w:bookmarkStart w:id="47" w:name="_Toc184314451"/>
      <w:bookmarkEnd w:id="47"/>
      <w:bookmarkStart w:id="48" w:name="_Toc184308091"/>
      <w:bookmarkEnd w:id="48"/>
      <w:bookmarkStart w:id="49" w:name="_Toc184314447"/>
      <w:bookmarkEnd w:id="49"/>
      <w:bookmarkStart w:id="50" w:name="_Toc184308066"/>
      <w:bookmarkEnd w:id="50"/>
      <w:bookmarkStart w:id="51" w:name="_Toc184310318"/>
      <w:bookmarkEnd w:id="51"/>
      <w:bookmarkStart w:id="52" w:name="_Toc184308108"/>
      <w:bookmarkEnd w:id="52"/>
      <w:bookmarkStart w:id="53" w:name="_Toc184310293"/>
      <w:bookmarkEnd w:id="53"/>
      <w:bookmarkStart w:id="54" w:name="_Toc184313281"/>
      <w:bookmarkEnd w:id="54"/>
      <w:bookmarkStart w:id="55" w:name="_Toc184308092"/>
      <w:bookmarkEnd w:id="55"/>
      <w:bookmarkStart w:id="56" w:name="_Toc184313275"/>
      <w:bookmarkEnd w:id="56"/>
      <w:bookmarkStart w:id="57" w:name="_Toc184313270"/>
      <w:bookmarkEnd w:id="57"/>
      <w:bookmarkStart w:id="58" w:name="_Toc184314441"/>
      <w:bookmarkEnd w:id="58"/>
      <w:bookmarkStart w:id="59" w:name="_Toc184308060"/>
      <w:bookmarkEnd w:id="59"/>
      <w:bookmarkStart w:id="60" w:name="_Toc184314467"/>
      <w:bookmarkEnd w:id="60"/>
      <w:bookmarkStart w:id="61" w:name="_Toc184314454"/>
      <w:bookmarkEnd w:id="61"/>
      <w:bookmarkStart w:id="62" w:name="_Toc184314448"/>
      <w:bookmarkEnd w:id="62"/>
      <w:bookmarkStart w:id="63" w:name="_Toc184312113"/>
      <w:bookmarkEnd w:id="63"/>
      <w:bookmarkStart w:id="64" w:name="_Toc184308071"/>
      <w:bookmarkEnd w:id="64"/>
      <w:bookmarkStart w:id="65" w:name="_Toc184312071"/>
      <w:bookmarkEnd w:id="65"/>
      <w:bookmarkStart w:id="66" w:name="_Toc184310292"/>
      <w:bookmarkEnd w:id="66"/>
      <w:bookmarkStart w:id="67" w:name="_Toc184313283"/>
      <w:bookmarkEnd w:id="67"/>
      <w:bookmarkStart w:id="68" w:name="_Toc184312130"/>
      <w:bookmarkEnd w:id="68"/>
      <w:bookmarkStart w:id="69" w:name="_Toc184312100"/>
      <w:bookmarkEnd w:id="69"/>
      <w:bookmarkStart w:id="70" w:name="_Toc184312098"/>
      <w:bookmarkEnd w:id="70"/>
      <w:bookmarkStart w:id="71" w:name="_Toc184314455"/>
      <w:bookmarkEnd w:id="71"/>
      <w:bookmarkStart w:id="72" w:name="_Toc184310274"/>
      <w:bookmarkEnd w:id="72"/>
      <w:bookmarkStart w:id="73" w:name="_Toc184312083"/>
      <w:bookmarkEnd w:id="73"/>
      <w:bookmarkStart w:id="74" w:name="_Toc184310317"/>
      <w:bookmarkEnd w:id="74"/>
      <w:bookmarkStart w:id="75" w:name="_Toc184312080"/>
      <w:bookmarkEnd w:id="75"/>
      <w:bookmarkStart w:id="76" w:name="_Toc184314426"/>
      <w:bookmarkEnd w:id="76"/>
      <w:bookmarkStart w:id="77" w:name="_Toc184310333"/>
      <w:bookmarkEnd w:id="77"/>
      <w:bookmarkStart w:id="78" w:name="_Toc184314446"/>
      <w:bookmarkEnd w:id="78"/>
      <w:bookmarkStart w:id="79" w:name="_Toc184308080"/>
      <w:bookmarkEnd w:id="79"/>
      <w:bookmarkStart w:id="80" w:name="_Toc184314440"/>
      <w:bookmarkEnd w:id="80"/>
      <w:bookmarkStart w:id="81" w:name="_Toc184313246"/>
      <w:bookmarkEnd w:id="81"/>
      <w:bookmarkStart w:id="82" w:name="_Toc184313265"/>
      <w:bookmarkEnd w:id="82"/>
      <w:bookmarkStart w:id="83" w:name="_Toc184313245"/>
      <w:bookmarkEnd w:id="83"/>
      <w:bookmarkStart w:id="84" w:name="_Toc184312092"/>
      <w:bookmarkEnd w:id="84"/>
      <w:bookmarkStart w:id="85" w:name="_Toc184313301"/>
      <w:bookmarkEnd w:id="85"/>
      <w:bookmarkStart w:id="86" w:name="_Toc184310303"/>
      <w:bookmarkEnd w:id="86"/>
      <w:bookmarkStart w:id="87" w:name="_Toc184313256"/>
      <w:bookmarkEnd w:id="87"/>
      <w:bookmarkStart w:id="88" w:name="_Toc184312094"/>
      <w:bookmarkEnd w:id="88"/>
      <w:bookmarkStart w:id="89" w:name="_Toc184308063"/>
      <w:bookmarkEnd w:id="89"/>
      <w:bookmarkStart w:id="90" w:name="_Toc184310276"/>
      <w:bookmarkEnd w:id="90"/>
      <w:bookmarkStart w:id="91" w:name="_Toc184312111"/>
      <w:bookmarkEnd w:id="91"/>
      <w:bookmarkStart w:id="92" w:name="_Toc184312099"/>
      <w:bookmarkEnd w:id="92"/>
      <w:bookmarkStart w:id="93" w:name="_Toc184310344"/>
      <w:bookmarkEnd w:id="93"/>
      <w:bookmarkStart w:id="94" w:name="_Toc184313274"/>
      <w:bookmarkEnd w:id="94"/>
      <w:bookmarkStart w:id="95" w:name="_Toc184310319"/>
      <w:bookmarkEnd w:id="95"/>
      <w:bookmarkStart w:id="96" w:name="_Toc184308098"/>
      <w:bookmarkEnd w:id="96"/>
      <w:bookmarkStart w:id="97" w:name="_Toc184313241"/>
      <w:bookmarkEnd w:id="97"/>
      <w:bookmarkStart w:id="98" w:name="_Toc184308100"/>
      <w:bookmarkEnd w:id="98"/>
      <w:bookmarkStart w:id="99" w:name="_Toc184314449"/>
      <w:bookmarkEnd w:id="99"/>
      <w:bookmarkStart w:id="100" w:name="_Toc184314470"/>
      <w:bookmarkEnd w:id="100"/>
      <w:bookmarkStart w:id="101" w:name="_Toc184314412"/>
      <w:bookmarkEnd w:id="101"/>
      <w:bookmarkStart w:id="102" w:name="_Toc184314425"/>
      <w:bookmarkEnd w:id="102"/>
      <w:bookmarkStart w:id="103" w:name="_Toc184314422"/>
      <w:bookmarkEnd w:id="103"/>
      <w:bookmarkStart w:id="104" w:name="_Toc184310281"/>
      <w:bookmarkEnd w:id="104"/>
      <w:bookmarkStart w:id="105" w:name="_Toc184310280"/>
      <w:bookmarkEnd w:id="105"/>
      <w:bookmarkStart w:id="106" w:name="_Toc184308094"/>
      <w:bookmarkEnd w:id="106"/>
      <w:bookmarkStart w:id="107" w:name="_Toc184312123"/>
      <w:bookmarkEnd w:id="107"/>
      <w:bookmarkStart w:id="108" w:name="_Toc184310327"/>
      <w:bookmarkEnd w:id="108"/>
      <w:bookmarkStart w:id="109" w:name="_Toc184312074"/>
      <w:bookmarkEnd w:id="109"/>
      <w:bookmarkStart w:id="110" w:name="_Toc184313302"/>
      <w:bookmarkEnd w:id="110"/>
      <w:bookmarkStart w:id="111" w:name="_Toc184310291"/>
      <w:bookmarkEnd w:id="111"/>
      <w:bookmarkStart w:id="112" w:name="_Toc184308075"/>
      <w:bookmarkEnd w:id="112"/>
      <w:bookmarkStart w:id="113" w:name="_Toc184310294"/>
      <w:bookmarkEnd w:id="113"/>
      <w:bookmarkStart w:id="114" w:name="_Toc184312127"/>
      <w:bookmarkEnd w:id="114"/>
      <w:bookmarkStart w:id="115" w:name="_Toc184312088"/>
      <w:bookmarkEnd w:id="115"/>
      <w:bookmarkStart w:id="116" w:name="_Toc184312133"/>
      <w:bookmarkEnd w:id="116"/>
      <w:bookmarkStart w:id="117" w:name="_Toc184312102"/>
      <w:bookmarkEnd w:id="117"/>
      <w:bookmarkStart w:id="118" w:name="_Toc184314479"/>
      <w:bookmarkEnd w:id="118"/>
      <w:bookmarkStart w:id="119" w:name="_Toc184310314"/>
      <w:bookmarkEnd w:id="119"/>
      <w:bookmarkStart w:id="120" w:name="_Toc184312095"/>
      <w:bookmarkEnd w:id="120"/>
      <w:bookmarkStart w:id="121" w:name="_Toc184313298"/>
      <w:bookmarkEnd w:id="121"/>
      <w:bookmarkStart w:id="122" w:name="_Toc184314410"/>
      <w:bookmarkEnd w:id="122"/>
      <w:bookmarkStart w:id="123" w:name="_Toc184312136"/>
      <w:bookmarkEnd w:id="123"/>
      <w:bookmarkStart w:id="124" w:name="_Toc184310278"/>
      <w:bookmarkEnd w:id="124"/>
      <w:bookmarkStart w:id="125" w:name="_Toc184310332"/>
      <w:bookmarkEnd w:id="125"/>
      <w:bookmarkStart w:id="126" w:name="_Toc184308051"/>
      <w:bookmarkEnd w:id="126"/>
      <w:bookmarkStart w:id="127" w:name="_Toc184308045"/>
      <w:bookmarkEnd w:id="127"/>
      <w:bookmarkStart w:id="128" w:name="_Toc184308059"/>
      <w:bookmarkEnd w:id="128"/>
      <w:bookmarkStart w:id="129" w:name="_Toc184308044"/>
      <w:bookmarkEnd w:id="129"/>
      <w:bookmarkStart w:id="130" w:name="_Toc184312089"/>
      <w:bookmarkEnd w:id="130"/>
      <w:bookmarkStart w:id="131" w:name="_Toc184314481"/>
      <w:bookmarkEnd w:id="131"/>
      <w:bookmarkStart w:id="132" w:name="_Toc184312078"/>
      <w:bookmarkEnd w:id="132"/>
      <w:bookmarkStart w:id="133" w:name="_Toc184312086"/>
      <w:bookmarkEnd w:id="133"/>
      <w:bookmarkStart w:id="134" w:name="_Toc184313244"/>
      <w:bookmarkEnd w:id="134"/>
      <w:bookmarkStart w:id="135" w:name="_Toc184310279"/>
      <w:bookmarkEnd w:id="135"/>
      <w:bookmarkStart w:id="136" w:name="_Toc184310331"/>
      <w:bookmarkEnd w:id="136"/>
      <w:bookmarkStart w:id="137" w:name="_Toc184308077"/>
      <w:bookmarkEnd w:id="137"/>
      <w:bookmarkStart w:id="138" w:name="_Toc184312093"/>
      <w:bookmarkEnd w:id="138"/>
      <w:bookmarkStart w:id="139" w:name="_Toc184310288"/>
      <w:bookmarkEnd w:id="139"/>
      <w:bookmarkStart w:id="140" w:name="_Toc184308072"/>
      <w:bookmarkEnd w:id="140"/>
      <w:bookmarkStart w:id="141" w:name="_Toc184312104"/>
      <w:bookmarkEnd w:id="141"/>
      <w:bookmarkStart w:id="142" w:name="_Toc184313258"/>
      <w:bookmarkEnd w:id="142"/>
      <w:bookmarkStart w:id="143" w:name="_Toc184312101"/>
      <w:bookmarkEnd w:id="143"/>
      <w:bookmarkStart w:id="144" w:name="_Toc184314429"/>
      <w:bookmarkEnd w:id="144"/>
      <w:bookmarkStart w:id="145" w:name="_Toc184314432"/>
      <w:bookmarkEnd w:id="145"/>
      <w:bookmarkStart w:id="146" w:name="_Toc184310323"/>
      <w:bookmarkEnd w:id="146"/>
      <w:bookmarkStart w:id="147" w:name="_Toc184310302"/>
      <w:bookmarkEnd w:id="147"/>
      <w:bookmarkStart w:id="148" w:name="_Toc184308081"/>
      <w:bookmarkEnd w:id="148"/>
      <w:bookmarkStart w:id="149" w:name="_Toc184314476"/>
      <w:bookmarkEnd w:id="149"/>
      <w:bookmarkStart w:id="150" w:name="_Toc184312110"/>
      <w:bookmarkEnd w:id="150"/>
      <w:bookmarkStart w:id="151" w:name="_Toc184308079"/>
      <w:bookmarkEnd w:id="151"/>
      <w:bookmarkStart w:id="152" w:name="_Toc184308084"/>
      <w:bookmarkEnd w:id="152"/>
      <w:bookmarkStart w:id="153" w:name="_Toc184313261"/>
      <w:bookmarkEnd w:id="153"/>
      <w:bookmarkStart w:id="154" w:name="_Toc184312105"/>
      <w:bookmarkEnd w:id="154"/>
      <w:bookmarkStart w:id="155" w:name="_Toc184308104"/>
      <w:bookmarkEnd w:id="155"/>
      <w:bookmarkStart w:id="156" w:name="_Toc184308037"/>
      <w:bookmarkEnd w:id="156"/>
      <w:bookmarkStart w:id="157" w:name="_Toc184308105"/>
      <w:bookmarkEnd w:id="157"/>
      <w:bookmarkStart w:id="158" w:name="_Toc184314462"/>
      <w:bookmarkEnd w:id="158"/>
      <w:bookmarkStart w:id="159" w:name="_Toc184312085"/>
      <w:bookmarkEnd w:id="159"/>
      <w:bookmarkStart w:id="160" w:name="_Toc184313249"/>
      <w:bookmarkEnd w:id="160"/>
      <w:bookmarkStart w:id="161" w:name="_Toc184313306"/>
      <w:bookmarkEnd w:id="161"/>
      <w:bookmarkStart w:id="162" w:name="_Toc184314450"/>
      <w:bookmarkEnd w:id="162"/>
      <w:bookmarkStart w:id="163" w:name="_Toc184313255"/>
      <w:bookmarkEnd w:id="163"/>
      <w:bookmarkStart w:id="164" w:name="_Toc184312128"/>
      <w:bookmarkEnd w:id="164"/>
      <w:bookmarkStart w:id="165" w:name="_Toc184313273"/>
      <w:bookmarkEnd w:id="165"/>
      <w:bookmarkStart w:id="166" w:name="_Toc184313238"/>
      <w:bookmarkEnd w:id="166"/>
      <w:bookmarkStart w:id="167" w:name="_Toc184314418"/>
      <w:bookmarkEnd w:id="167"/>
      <w:bookmarkStart w:id="168" w:name="_Toc184314456"/>
      <w:bookmarkEnd w:id="168"/>
      <w:bookmarkStart w:id="169" w:name="_Toc184308099"/>
      <w:bookmarkEnd w:id="169"/>
      <w:bookmarkStart w:id="170" w:name="_Toc184314453"/>
      <w:bookmarkEnd w:id="170"/>
      <w:bookmarkStart w:id="171" w:name="_Toc184312118"/>
      <w:bookmarkEnd w:id="171"/>
      <w:bookmarkStart w:id="172" w:name="_Toc184314473"/>
      <w:bookmarkEnd w:id="172"/>
      <w:bookmarkStart w:id="173" w:name="_Toc184313303"/>
      <w:bookmarkEnd w:id="173"/>
      <w:bookmarkStart w:id="174" w:name="_Toc184312134"/>
      <w:bookmarkEnd w:id="174"/>
      <w:bookmarkStart w:id="175" w:name="_Toc184313252"/>
      <w:bookmarkEnd w:id="175"/>
      <w:bookmarkStart w:id="176" w:name="_Toc184310321"/>
      <w:bookmarkEnd w:id="176"/>
      <w:bookmarkStart w:id="177" w:name="_Toc184313262"/>
      <w:bookmarkEnd w:id="177"/>
      <w:bookmarkStart w:id="178" w:name="_Toc184308106"/>
      <w:bookmarkEnd w:id="178"/>
      <w:bookmarkStart w:id="179" w:name="_Toc184313293"/>
      <w:bookmarkEnd w:id="179"/>
      <w:bookmarkStart w:id="180" w:name="_Toc184312115"/>
      <w:bookmarkEnd w:id="180"/>
      <w:bookmarkStart w:id="181" w:name="_Toc184313290"/>
      <w:bookmarkEnd w:id="181"/>
      <w:bookmarkStart w:id="182" w:name="_Toc184310338"/>
      <w:bookmarkEnd w:id="182"/>
      <w:bookmarkStart w:id="183" w:name="_Toc184312108"/>
      <w:bookmarkEnd w:id="183"/>
      <w:bookmarkStart w:id="184" w:name="_Toc184314434"/>
      <w:bookmarkEnd w:id="184"/>
      <w:bookmarkStart w:id="185" w:name="_Toc184310296"/>
      <w:bookmarkEnd w:id="185"/>
      <w:bookmarkStart w:id="186" w:name="_Toc184312107"/>
      <w:bookmarkEnd w:id="186"/>
      <w:bookmarkStart w:id="187" w:name="_Toc184310312"/>
      <w:bookmarkEnd w:id="187"/>
      <w:bookmarkStart w:id="188" w:name="_Toc184314414"/>
      <w:bookmarkEnd w:id="188"/>
      <w:bookmarkStart w:id="189" w:name="_Toc184312069"/>
      <w:bookmarkEnd w:id="189"/>
      <w:bookmarkStart w:id="190" w:name="_Toc184313278"/>
      <w:bookmarkEnd w:id="190"/>
      <w:bookmarkStart w:id="191" w:name="_Toc184312117"/>
      <w:bookmarkEnd w:id="191"/>
      <w:bookmarkStart w:id="192" w:name="_Toc184310315"/>
      <w:bookmarkEnd w:id="192"/>
      <w:bookmarkStart w:id="193" w:name="_Toc184310328"/>
      <w:bookmarkEnd w:id="193"/>
      <w:bookmarkStart w:id="194" w:name="_Toc184312073"/>
      <w:bookmarkEnd w:id="194"/>
      <w:bookmarkStart w:id="195" w:name="_Toc184310334"/>
      <w:bookmarkEnd w:id="195"/>
      <w:bookmarkStart w:id="196" w:name="_Toc184314444"/>
      <w:bookmarkEnd w:id="196"/>
      <w:bookmarkStart w:id="197" w:name="_Toc184308067"/>
      <w:bookmarkEnd w:id="197"/>
      <w:bookmarkStart w:id="198" w:name="_Toc184312091"/>
      <w:bookmarkEnd w:id="198"/>
      <w:bookmarkStart w:id="199" w:name="_Toc184310307"/>
      <w:bookmarkEnd w:id="199"/>
      <w:bookmarkStart w:id="200" w:name="_Toc184308058"/>
      <w:bookmarkEnd w:id="200"/>
      <w:bookmarkStart w:id="201" w:name="_Toc184313239"/>
      <w:bookmarkEnd w:id="201"/>
      <w:bookmarkStart w:id="202" w:name="_Toc184314474"/>
      <w:bookmarkEnd w:id="202"/>
      <w:bookmarkStart w:id="203" w:name="_Toc184312138"/>
      <w:bookmarkEnd w:id="203"/>
      <w:bookmarkStart w:id="204" w:name="_Toc184310297"/>
      <w:bookmarkEnd w:id="204"/>
      <w:bookmarkStart w:id="205" w:name="_Toc184314466"/>
      <w:bookmarkEnd w:id="205"/>
      <w:bookmarkStart w:id="206" w:name="_Toc184310335"/>
      <w:bookmarkEnd w:id="206"/>
      <w:bookmarkStart w:id="207" w:name="_Toc184308078"/>
      <w:bookmarkEnd w:id="207"/>
      <w:bookmarkStart w:id="208" w:name="_Toc184314428"/>
      <w:bookmarkEnd w:id="208"/>
      <w:bookmarkStart w:id="209" w:name="_Toc184314477"/>
      <w:bookmarkEnd w:id="209"/>
      <w:bookmarkStart w:id="210" w:name="_Toc184310340"/>
      <w:bookmarkEnd w:id="210"/>
      <w:bookmarkStart w:id="211" w:name="_Toc184313305"/>
      <w:bookmarkEnd w:id="211"/>
      <w:bookmarkStart w:id="212" w:name="_Toc184310285"/>
      <w:bookmarkEnd w:id="212"/>
      <w:bookmarkStart w:id="213" w:name="_Toc184312121"/>
      <w:bookmarkEnd w:id="213"/>
      <w:bookmarkStart w:id="214" w:name="_Toc184308038"/>
      <w:bookmarkEnd w:id="214"/>
      <w:bookmarkStart w:id="215" w:name="_Toc184310306"/>
      <w:bookmarkEnd w:id="215"/>
      <w:bookmarkStart w:id="216" w:name="_Toc184308049"/>
      <w:bookmarkEnd w:id="216"/>
      <w:bookmarkStart w:id="217" w:name="_Toc184312103"/>
      <w:bookmarkEnd w:id="217"/>
      <w:bookmarkStart w:id="218" w:name="_Toc184314469"/>
      <w:bookmarkEnd w:id="218"/>
      <w:bookmarkStart w:id="219" w:name="_Toc184310343"/>
      <w:bookmarkEnd w:id="219"/>
      <w:bookmarkStart w:id="220" w:name="_Toc184313294"/>
      <w:bookmarkEnd w:id="220"/>
      <w:bookmarkStart w:id="221" w:name="_Toc184314460"/>
      <w:bookmarkEnd w:id="221"/>
      <w:bookmarkStart w:id="222" w:name="_Toc184314413"/>
      <w:bookmarkEnd w:id="222"/>
      <w:bookmarkStart w:id="223" w:name="_Toc184308087"/>
      <w:bookmarkEnd w:id="223"/>
      <w:bookmarkStart w:id="224" w:name="_Toc184312114"/>
      <w:bookmarkEnd w:id="224"/>
      <w:bookmarkStart w:id="225" w:name="_Toc184310284"/>
      <w:bookmarkEnd w:id="225"/>
      <w:bookmarkStart w:id="226" w:name="_Toc184312068"/>
      <w:bookmarkEnd w:id="226"/>
      <w:bookmarkStart w:id="227" w:name="_Toc184313280"/>
      <w:bookmarkEnd w:id="227"/>
      <w:bookmarkStart w:id="228" w:name="_Toc184308086"/>
      <w:bookmarkEnd w:id="228"/>
      <w:bookmarkStart w:id="229" w:name="_Toc184313248"/>
      <w:bookmarkEnd w:id="229"/>
      <w:bookmarkStart w:id="230" w:name="_Toc184308043"/>
      <w:bookmarkEnd w:id="230"/>
      <w:bookmarkStart w:id="231" w:name="_Toc184310336"/>
      <w:bookmarkEnd w:id="231"/>
      <w:bookmarkStart w:id="232" w:name="_Toc184313269"/>
      <w:bookmarkEnd w:id="232"/>
      <w:bookmarkStart w:id="233" w:name="_Toc184308050"/>
      <w:bookmarkEnd w:id="233"/>
      <w:bookmarkStart w:id="234" w:name="_Toc184308095"/>
      <w:bookmarkEnd w:id="234"/>
      <w:bookmarkStart w:id="235" w:name="_Toc184313251"/>
      <w:bookmarkEnd w:id="235"/>
      <w:bookmarkStart w:id="236" w:name="_Toc184310300"/>
      <w:bookmarkEnd w:id="236"/>
      <w:bookmarkStart w:id="237" w:name="_Toc184313310"/>
      <w:bookmarkEnd w:id="237"/>
      <w:bookmarkStart w:id="238" w:name="_Toc184314430"/>
      <w:bookmarkEnd w:id="238"/>
      <w:bookmarkStart w:id="239" w:name="_Toc184308061"/>
      <w:bookmarkEnd w:id="239"/>
      <w:bookmarkStart w:id="240" w:name="_Toc184308053"/>
      <w:bookmarkEnd w:id="240"/>
      <w:bookmarkStart w:id="241" w:name="_Toc184313268"/>
      <w:bookmarkEnd w:id="241"/>
      <w:bookmarkStart w:id="242" w:name="_Toc184310305"/>
      <w:bookmarkEnd w:id="242"/>
      <w:bookmarkStart w:id="243" w:name="_Toc184312079"/>
      <w:bookmarkEnd w:id="243"/>
      <w:bookmarkStart w:id="244" w:name="_Toc184308101"/>
      <w:bookmarkEnd w:id="244"/>
      <w:bookmarkStart w:id="245" w:name="_Toc184308057"/>
      <w:bookmarkEnd w:id="245"/>
      <w:bookmarkStart w:id="246" w:name="_Toc184312131"/>
      <w:bookmarkEnd w:id="246"/>
      <w:bookmarkStart w:id="247" w:name="_Toc184313276"/>
      <w:bookmarkEnd w:id="247"/>
      <w:bookmarkStart w:id="248" w:name="_Toc184314445"/>
      <w:bookmarkEnd w:id="248"/>
      <w:bookmarkStart w:id="249" w:name="_Toc184308088"/>
      <w:bookmarkEnd w:id="249"/>
      <w:bookmarkStart w:id="250" w:name="_Toc184310286"/>
      <w:bookmarkEnd w:id="250"/>
      <w:bookmarkStart w:id="251" w:name="_Toc184310339"/>
      <w:bookmarkEnd w:id="251"/>
      <w:bookmarkStart w:id="252" w:name="_Toc184313299"/>
      <w:bookmarkEnd w:id="252"/>
      <w:bookmarkStart w:id="253" w:name="_Toc184310283"/>
      <w:bookmarkEnd w:id="253"/>
      <w:bookmarkStart w:id="254" w:name="_Toc184310341"/>
      <w:bookmarkEnd w:id="254"/>
      <w:bookmarkStart w:id="255" w:name="_Toc184314436"/>
      <w:bookmarkEnd w:id="255"/>
      <w:bookmarkStart w:id="256" w:name="_Toc184310308"/>
      <w:bookmarkEnd w:id="256"/>
      <w:bookmarkStart w:id="257" w:name="_Toc184308085"/>
      <w:bookmarkEnd w:id="257"/>
      <w:bookmarkStart w:id="258" w:name="_Toc184314423"/>
      <w:bookmarkEnd w:id="258"/>
      <w:bookmarkStart w:id="259" w:name="_Toc184312122"/>
      <w:bookmarkEnd w:id="259"/>
      <w:bookmarkStart w:id="260" w:name="_Toc184313291"/>
      <w:bookmarkEnd w:id="260"/>
      <w:bookmarkStart w:id="261" w:name="_Toc184308068"/>
      <w:bookmarkEnd w:id="261"/>
      <w:bookmarkStart w:id="262" w:name="_Toc184310313"/>
      <w:bookmarkEnd w:id="262"/>
      <w:bookmarkStart w:id="263" w:name="_Toc184314465"/>
      <w:bookmarkEnd w:id="263"/>
      <w:bookmarkStart w:id="264" w:name="_Toc184312084"/>
      <w:bookmarkEnd w:id="264"/>
      <w:bookmarkStart w:id="265" w:name="_Toc184314442"/>
      <w:bookmarkEnd w:id="265"/>
      <w:bookmarkStart w:id="266" w:name="_Toc184312077"/>
      <w:bookmarkEnd w:id="266"/>
      <w:bookmarkStart w:id="267" w:name="_Toc184314461"/>
      <w:bookmarkEnd w:id="267"/>
      <w:bookmarkStart w:id="268" w:name="_Toc184308089"/>
      <w:bookmarkEnd w:id="268"/>
      <w:bookmarkStart w:id="269" w:name="_Toc184308073"/>
      <w:bookmarkEnd w:id="269"/>
      <w:bookmarkStart w:id="270" w:name="_Toc184313296"/>
      <w:bookmarkEnd w:id="270"/>
      <w:bookmarkStart w:id="271" w:name="_Toc184310325"/>
      <w:bookmarkEnd w:id="271"/>
      <w:bookmarkStart w:id="272" w:name="_Toc184313264"/>
      <w:bookmarkEnd w:id="272"/>
      <w:bookmarkStart w:id="273" w:name="_Toc184313304"/>
      <w:bookmarkEnd w:id="273"/>
      <w:bookmarkStart w:id="274" w:name="_Toc184313254"/>
      <w:bookmarkEnd w:id="274"/>
      <w:bookmarkStart w:id="275" w:name="_Toc184308070"/>
      <w:bookmarkEnd w:id="275"/>
      <w:bookmarkStart w:id="276" w:name="_Toc184313259"/>
      <w:bookmarkEnd w:id="276"/>
      <w:bookmarkStart w:id="277" w:name="_Toc184308036"/>
      <w:bookmarkEnd w:id="277"/>
      <w:bookmarkStart w:id="278" w:name="_Toc184308090"/>
      <w:bookmarkEnd w:id="278"/>
      <w:bookmarkStart w:id="279" w:name="_Toc184308056"/>
      <w:bookmarkEnd w:id="279"/>
      <w:bookmarkStart w:id="280" w:name="_Toc184308093"/>
      <w:bookmarkEnd w:id="280"/>
      <w:bookmarkStart w:id="281" w:name="_Toc184310322"/>
      <w:bookmarkEnd w:id="281"/>
      <w:bookmarkStart w:id="282" w:name="_Toc184308082"/>
      <w:bookmarkEnd w:id="282"/>
      <w:bookmarkStart w:id="283" w:name="_Toc184313266"/>
      <w:bookmarkEnd w:id="283"/>
      <w:bookmarkStart w:id="284" w:name="_Toc184314420"/>
      <w:bookmarkEnd w:id="284"/>
      <w:bookmarkStart w:id="285" w:name="_Toc184310287"/>
      <w:bookmarkEnd w:id="285"/>
      <w:bookmarkStart w:id="286" w:name="_Toc184312072"/>
      <w:bookmarkEnd w:id="286"/>
      <w:bookmarkStart w:id="287" w:name="_Toc184310337"/>
      <w:bookmarkEnd w:id="287"/>
      <w:bookmarkStart w:id="288" w:name="_Toc184312106"/>
      <w:bookmarkEnd w:id="288"/>
      <w:bookmarkStart w:id="289" w:name="_Toc184312120"/>
      <w:bookmarkEnd w:id="289"/>
      <w:bookmarkStart w:id="290" w:name="_Toc184312076"/>
      <w:bookmarkEnd w:id="290"/>
      <w:bookmarkStart w:id="291" w:name="_Toc184310330"/>
      <w:bookmarkEnd w:id="291"/>
      <w:bookmarkStart w:id="292" w:name="_Toc184313285"/>
      <w:bookmarkEnd w:id="292"/>
      <w:bookmarkStart w:id="293" w:name="_Toc184313289"/>
      <w:bookmarkEnd w:id="293"/>
      <w:bookmarkStart w:id="294" w:name="_Toc184312137"/>
      <w:bookmarkEnd w:id="294"/>
      <w:bookmarkStart w:id="295" w:name="_Toc184310326"/>
      <w:bookmarkEnd w:id="295"/>
      <w:bookmarkStart w:id="296" w:name="_Toc184310342"/>
      <w:bookmarkEnd w:id="296"/>
      <w:bookmarkStart w:id="297" w:name="_Toc184313295"/>
      <w:bookmarkEnd w:id="297"/>
      <w:bookmarkStart w:id="298" w:name="_Toc184308041"/>
      <w:bookmarkEnd w:id="298"/>
      <w:bookmarkStart w:id="299" w:name="_Toc184312087"/>
      <w:bookmarkEnd w:id="299"/>
      <w:bookmarkStart w:id="300" w:name="_Toc184314480"/>
      <w:bookmarkEnd w:id="300"/>
      <w:bookmarkStart w:id="301" w:name="_Toc184310311"/>
      <w:bookmarkEnd w:id="301"/>
      <w:bookmarkStart w:id="302" w:name="_Toc184314415"/>
      <w:bookmarkEnd w:id="302"/>
      <w:bookmarkStart w:id="303" w:name="_Toc184313253"/>
      <w:bookmarkEnd w:id="303"/>
      <w:bookmarkStart w:id="304" w:name="_Toc184313243"/>
      <w:bookmarkEnd w:id="304"/>
      <w:bookmarkStart w:id="305" w:name="_Toc184313287"/>
      <w:bookmarkEnd w:id="305"/>
      <w:bookmarkStart w:id="306" w:name="_Toc184313257"/>
      <w:bookmarkEnd w:id="306"/>
      <w:bookmarkStart w:id="307" w:name="_Toc184313282"/>
      <w:bookmarkEnd w:id="307"/>
      <w:bookmarkStart w:id="308" w:name="_Toc184310273"/>
      <w:bookmarkEnd w:id="308"/>
      <w:bookmarkStart w:id="309" w:name="_Toc184314443"/>
      <w:bookmarkEnd w:id="309"/>
      <w:bookmarkStart w:id="310" w:name="_Toc184312124"/>
      <w:bookmarkEnd w:id="310"/>
      <w:bookmarkStart w:id="311" w:name="_Toc184314431"/>
      <w:bookmarkEnd w:id="311"/>
      <w:bookmarkStart w:id="312" w:name="_Toc184314464"/>
      <w:bookmarkEnd w:id="312"/>
      <w:bookmarkStart w:id="313" w:name="_Toc184308047"/>
      <w:bookmarkEnd w:id="313"/>
      <w:bookmarkStart w:id="314" w:name="_Toc184312129"/>
      <w:bookmarkEnd w:id="314"/>
      <w:bookmarkStart w:id="315" w:name="_Toc184313297"/>
      <w:bookmarkEnd w:id="315"/>
      <w:bookmarkStart w:id="316" w:name="_Toc184312090"/>
      <w:bookmarkEnd w:id="316"/>
      <w:bookmarkStart w:id="317" w:name="_Toc184314416"/>
      <w:bookmarkEnd w:id="317"/>
      <w:bookmarkStart w:id="318" w:name="_Toc184312081"/>
      <w:bookmarkEnd w:id="318"/>
      <w:bookmarkStart w:id="319" w:name="_Toc184314424"/>
      <w:bookmarkEnd w:id="319"/>
      <w:bookmarkStart w:id="320" w:name="_Toc184312082"/>
      <w:bookmarkEnd w:id="320"/>
      <w:bookmarkStart w:id="321" w:name="_Toc184310304"/>
      <w:bookmarkEnd w:id="321"/>
      <w:bookmarkStart w:id="322" w:name="_Toc184308083"/>
      <w:bookmarkEnd w:id="322"/>
      <w:bookmarkStart w:id="323" w:name="_Toc184308107"/>
      <w:bookmarkEnd w:id="323"/>
      <w:bookmarkStart w:id="324" w:name="_Toc184310275"/>
      <w:bookmarkEnd w:id="324"/>
      <w:bookmarkStart w:id="325" w:name="_Toc184314438"/>
      <w:bookmarkEnd w:id="325"/>
      <w:bookmarkStart w:id="326" w:name="_Toc184313272"/>
      <w:bookmarkEnd w:id="326"/>
      <w:bookmarkStart w:id="327" w:name="_Toc184308048"/>
      <w:bookmarkEnd w:id="327"/>
      <w:bookmarkStart w:id="328" w:name="_Toc184313242"/>
      <w:bookmarkEnd w:id="328"/>
      <w:bookmarkStart w:id="329" w:name="_Toc184312070"/>
      <w:bookmarkEnd w:id="329"/>
      <w:bookmarkStart w:id="330" w:name="_Toc184310324"/>
      <w:bookmarkEnd w:id="330"/>
      <w:bookmarkStart w:id="331" w:name="_Toc184312125"/>
      <w:bookmarkEnd w:id="331"/>
      <w:bookmarkStart w:id="332" w:name="_Toc184313292"/>
      <w:bookmarkEnd w:id="332"/>
      <w:bookmarkStart w:id="333" w:name="_Toc184314439"/>
      <w:bookmarkEnd w:id="333"/>
      <w:bookmarkStart w:id="334" w:name="_Toc184308052"/>
      <w:bookmarkEnd w:id="334"/>
      <w:bookmarkStart w:id="335" w:name="_Toc184314435"/>
      <w:bookmarkEnd w:id="335"/>
      <w:bookmarkStart w:id="336" w:name="_Toc184310316"/>
      <w:bookmarkEnd w:id="336"/>
      <w:bookmarkStart w:id="337" w:name="_Toc184314427"/>
      <w:bookmarkEnd w:id="337"/>
      <w:bookmarkStart w:id="338" w:name="_Toc184312109"/>
      <w:bookmarkEnd w:id="338"/>
      <w:bookmarkStart w:id="339" w:name="_Toc184308039"/>
      <w:bookmarkEnd w:id="339"/>
      <w:bookmarkStart w:id="340" w:name="_Toc184313260"/>
      <w:bookmarkEnd w:id="340"/>
      <w:bookmarkStart w:id="341" w:name="_Toc184310329"/>
      <w:bookmarkEnd w:id="341"/>
      <w:bookmarkStart w:id="342" w:name="_Toc184308046"/>
      <w:bookmarkEnd w:id="342"/>
      <w:bookmarkStart w:id="343" w:name="_Toc184313263"/>
      <w:bookmarkEnd w:id="343"/>
      <w:bookmarkStart w:id="344" w:name="_Toc184312075"/>
      <w:bookmarkEnd w:id="344"/>
      <w:bookmarkStart w:id="345" w:name="_Toc184313271"/>
      <w:bookmarkEnd w:id="345"/>
      <w:bookmarkStart w:id="346" w:name="_Toc184313300"/>
      <w:bookmarkEnd w:id="346"/>
      <w:bookmarkStart w:id="347" w:name="_Toc184314419"/>
      <w:bookmarkEnd w:id="347"/>
      <w:bookmarkStart w:id="348" w:name="_Toc184313308"/>
      <w:bookmarkEnd w:id="348"/>
      <w:bookmarkStart w:id="349" w:name="_Toc184314482"/>
      <w:bookmarkEnd w:id="349"/>
      <w:bookmarkStart w:id="350" w:name="_Toc184312132"/>
      <w:bookmarkEnd w:id="350"/>
      <w:bookmarkStart w:id="351" w:name="_Toc184308054"/>
      <w:bookmarkEnd w:id="351"/>
      <w:bookmarkStart w:id="352" w:name="_Toc184308062"/>
      <w:bookmarkEnd w:id="352"/>
      <w:bookmarkStart w:id="353" w:name="_Toc184313267"/>
      <w:bookmarkEnd w:id="353"/>
      <w:bookmarkStart w:id="354" w:name="_Toc184308064"/>
      <w:bookmarkEnd w:id="354"/>
      <w:bookmarkStart w:id="355" w:name="_Toc184313307"/>
      <w:bookmarkEnd w:id="355"/>
      <w:bookmarkStart w:id="356" w:name="_Toc184308065"/>
      <w:bookmarkEnd w:id="356"/>
      <w:bookmarkStart w:id="357" w:name="_Toc184312119"/>
      <w:bookmarkEnd w:id="357"/>
      <w:bookmarkStart w:id="358" w:name="_Toc184313288"/>
      <w:bookmarkEnd w:id="358"/>
      <w:bookmarkStart w:id="359" w:name="_Toc184313277"/>
      <w:bookmarkEnd w:id="359"/>
      <w:bookmarkStart w:id="360" w:name="_Toc184314463"/>
      <w:bookmarkEnd w:id="360"/>
      <w:bookmarkStart w:id="361" w:name="_Toc184310298"/>
      <w:bookmarkEnd w:id="361"/>
      <w:bookmarkStart w:id="362" w:name="_Toc184312135"/>
      <w:bookmarkEnd w:id="362"/>
      <w:bookmarkStart w:id="363" w:name="_Toc184314457"/>
      <w:bookmarkEnd w:id="363"/>
      <w:bookmarkStart w:id="364" w:name="_Toc184308096"/>
      <w:bookmarkEnd w:id="364"/>
      <w:bookmarkStart w:id="365" w:name="_Toc184308055"/>
      <w:bookmarkEnd w:id="365"/>
      <w:bookmarkStart w:id="366" w:name="_Toc184314411"/>
      <w:bookmarkEnd w:id="366"/>
      <w:bookmarkStart w:id="367" w:name="_Toc184310272"/>
      <w:bookmarkEnd w:id="367"/>
      <w:bookmarkStart w:id="368" w:name="_Toc184310299"/>
      <w:bookmarkEnd w:id="368"/>
      <w:bookmarkStart w:id="369" w:name="_Toc184312112"/>
      <w:bookmarkEnd w:id="369"/>
      <w:bookmarkStart w:id="370" w:name="_Toc184310301"/>
      <w:bookmarkEnd w:id="370"/>
      <w:bookmarkStart w:id="371" w:name="_Toc184312139"/>
      <w:bookmarkEnd w:id="371"/>
      <w:bookmarkStart w:id="372" w:name="_Toc184308040"/>
      <w:bookmarkEnd w:id="372"/>
      <w:bookmarkStart w:id="373" w:name="_Toc184313240"/>
      <w:bookmarkEnd w:id="373"/>
      <w:bookmarkStart w:id="374" w:name="_Toc184310310"/>
      <w:bookmarkEnd w:id="374"/>
      <w:bookmarkStart w:id="375" w:name="_Toc184314478"/>
      <w:bookmarkEnd w:id="375"/>
      <w:bookmarkStart w:id="376" w:name="_Toc184314468"/>
      <w:bookmarkEnd w:id="376"/>
      <w:bookmarkStart w:id="377" w:name="_Toc184314459"/>
      <w:bookmarkEnd w:id="377"/>
      <w:bookmarkStart w:id="378" w:name="_Toc184313247"/>
      <w:bookmarkEnd w:id="378"/>
      <w:bookmarkStart w:id="379" w:name="_Toc184314475"/>
      <w:bookmarkEnd w:id="379"/>
      <w:bookmarkStart w:id="380" w:name="_Toc184313309"/>
      <w:bookmarkEnd w:id="380"/>
      <w:bookmarkStart w:id="381" w:name="_Toc184313279"/>
      <w:bookmarkEnd w:id="381"/>
      <w:bookmarkStart w:id="382" w:name="_Toc184314458"/>
      <w:bookmarkEnd w:id="382"/>
      <w:bookmarkStart w:id="383" w:name="_Toc18431445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jc w:val="left"/>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2024年临江公司斗提机链条及料斗采购项目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r>
        <w:rPr>
          <w:rFonts w:hint="eastAsia" w:ascii="宋体" w:hAnsi="宋体" w:cs="宋体"/>
          <w:sz w:val="24"/>
          <w:u w:val="single"/>
          <w:lang w:val="en-US" w:eastAsia="zh-CN"/>
        </w:rPr>
        <w:t xml:space="preserve">    </w:t>
      </w:r>
    </w:p>
    <w:p>
      <w:pPr>
        <w:spacing w:before="120" w:line="22" w:lineRule="atLeast"/>
        <w:rPr>
          <w:rFonts w:hint="default"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2024年临江公司斗提机链条及料斗采购项目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按合同清单数量和型号供货。</w:t>
      </w:r>
    </w:p>
    <w:p>
      <w:pPr>
        <w:spacing w:line="360" w:lineRule="auto"/>
        <w:ind w:firstLine="480" w:firstLineChars="200"/>
        <w:rPr>
          <w:rFonts w:hint="eastAsia" w:ascii="宋体" w:hAnsi="宋体" w:cs="宋体"/>
          <w:sz w:val="24"/>
          <w:u w:val="single"/>
          <w:lang w:val="en-US" w:eastAsia="zh-CN"/>
        </w:rPr>
      </w:pPr>
    </w:p>
    <w:p>
      <w:pPr>
        <w:spacing w:line="360" w:lineRule="auto"/>
        <w:ind w:firstLine="480" w:firstLineChars="200"/>
        <w:rPr>
          <w:rFonts w:hint="eastAsia" w:ascii="宋体" w:hAnsi="宋体" w:cs="宋体"/>
          <w:sz w:val="24"/>
          <w:u w:val="single"/>
          <w:lang w:val="en-US" w:eastAsia="zh-CN"/>
        </w:rPr>
      </w:pPr>
    </w:p>
    <w:tbl>
      <w:tblPr>
        <w:tblStyle w:val="15"/>
        <w:tblW w:w="8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718"/>
        <w:gridCol w:w="1554"/>
        <w:gridCol w:w="653"/>
        <w:gridCol w:w="686"/>
        <w:gridCol w:w="686"/>
        <w:gridCol w:w="684"/>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6"/>
                <w:szCs w:val="16"/>
                <w:u w:val="none"/>
                <w:lang w:val="en-US" w:eastAsia="zh-CN" w:bidi="ar-SA"/>
              </w:rPr>
            </w:pPr>
            <w:r>
              <w:rPr>
                <w:rFonts w:hint="eastAsia" w:ascii="宋体" w:hAnsi="宋体" w:eastAsia="宋体" w:cs="宋体"/>
                <w:b/>
                <w:bCs/>
                <w:i w:val="0"/>
                <w:iCs w:val="0"/>
                <w:color w:val="000000"/>
                <w:kern w:val="0"/>
                <w:sz w:val="16"/>
                <w:szCs w:val="16"/>
                <w:u w:val="none"/>
                <w:lang w:val="en-US" w:eastAsia="zh-CN" w:bidi="ar"/>
              </w:rPr>
              <w:t>数量</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lang w:val="en-US" w:eastAsia="zh-CN"/>
              </w:rPr>
            </w:pPr>
            <w:r>
              <w:rPr>
                <w:rFonts w:hint="eastAsia" w:ascii="宋体" w:hAnsi="宋体" w:eastAsia="宋体" w:cs="宋体"/>
                <w:b/>
                <w:bCs/>
                <w:i w:val="0"/>
                <w:iCs w:val="0"/>
                <w:color w:val="000000"/>
                <w:sz w:val="16"/>
                <w:szCs w:val="16"/>
                <w:u w:val="none"/>
                <w:lang w:val="en-US" w:eastAsia="zh-CN"/>
              </w:rPr>
              <w:t>总价（元）</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8"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斗提机斗链</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型号：P152.4节距 材质：40Cr</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2300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节距：152.4，链节总长200，链厚56，链条厚8，链条外轮尺寸36.1，内孔15.8；销子：长86.8，大头20，小头15.6；料斗孔距：横向间距75，纵向70，螺丝孔25.5-13.5；单位：mm；材质：40Cr。双链条，隔一节一块刮板。（有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斗提机料斗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 35cm*21cm*27cm 材质：Q235</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750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尺寸：见照片标注；材质：Q235；单位：mm（有样品）。</w:t>
            </w:r>
          </w:p>
        </w:tc>
      </w:tr>
    </w:tbl>
    <w:p>
      <w:pPr>
        <w:pStyle w:val="24"/>
        <w:spacing w:before="0" w:beforeAutospacing="0" w:after="0" w:afterAutospacing="0" w:line="360" w:lineRule="auto"/>
        <w:rPr>
          <w:rFonts w:hint="eastAsia"/>
          <w:b/>
        </w:rPr>
      </w:pPr>
      <w:bookmarkStart w:id="390" w:name="_Toc10340"/>
      <w:bookmarkStart w:id="391" w:name="_Toc22618"/>
      <w:bookmarkStart w:id="392" w:name="_Toc1814"/>
    </w:p>
    <w:p>
      <w:pPr>
        <w:pStyle w:val="24"/>
        <w:spacing w:before="0" w:beforeAutospacing="0" w:after="0" w:afterAutospacing="0" w:line="360" w:lineRule="auto"/>
        <w:ind w:firstLine="482" w:firstLineChars="200"/>
        <w:rPr>
          <w:b/>
        </w:rPr>
      </w:pPr>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自合同签订后至验收合格后自动终止；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合同签订后45天</w:t>
      </w:r>
      <w:r>
        <w:rPr>
          <w:rFonts w:hint="eastAsia" w:ascii="宋体" w:hAnsi="宋体" w:cs="宋体"/>
          <w:sz w:val="24"/>
          <w:u w:val="single"/>
          <w:lang w:val="en-US"/>
        </w:rPr>
        <w:t>内</w:t>
      </w:r>
      <w:r>
        <w:rPr>
          <w:rFonts w:hint="eastAsia" w:ascii="宋体" w:hAnsi="宋体" w:cs="宋体"/>
          <w:sz w:val="24"/>
          <w:u w:val="single"/>
          <w:lang w:val="en-US" w:eastAsia="zh-CN"/>
        </w:rPr>
        <w:t>一</w:t>
      </w:r>
      <w:r>
        <w:rPr>
          <w:rFonts w:hint="eastAsia" w:ascii="宋体" w:hAnsi="宋体" w:cs="宋体"/>
          <w:sz w:val="24"/>
          <w:u w:val="single"/>
          <w:lang w:val="en-US"/>
        </w:rPr>
        <w:t>次</w:t>
      </w:r>
      <w:r>
        <w:rPr>
          <w:rFonts w:hint="eastAsia" w:ascii="宋体" w:hAnsi="宋体" w:cs="宋体"/>
          <w:sz w:val="24"/>
          <w:u w:val="single"/>
          <w:lang w:val="en-US" w:eastAsia="zh-CN"/>
        </w:rPr>
        <w:t>性</w:t>
      </w:r>
      <w:r>
        <w:rPr>
          <w:rFonts w:hint="eastAsia" w:ascii="宋体" w:hAnsi="宋体" w:cs="宋体"/>
          <w:sz w:val="24"/>
          <w:u w:val="single"/>
          <w:lang w:val="en-US"/>
        </w:rPr>
        <w:t>完成交付</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numPr>
          <w:ilvl w:val="0"/>
          <w:numId w:val="0"/>
        </w:numPr>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甲方</w:t>
      </w:r>
      <w:r>
        <w:rPr>
          <w:rFonts w:hint="eastAsia" w:ascii="宋体"/>
          <w:color w:val="auto"/>
          <w:highlight w:val="none"/>
          <w:lang w:val="en-US" w:eastAsia="zh-CN"/>
        </w:rPr>
        <w:t>提供尺寸为初步测绘尺寸，详细尺寸以供应商现场实际测绘为准；</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所供的备件的材质必须符合要求，并提供材质证明；</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3.其他要求：加工误差避免正偏差；</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4.若</w:t>
      </w:r>
      <w:r>
        <w:rPr>
          <w:rFonts w:hint="eastAsia"/>
          <w:color w:val="auto"/>
          <w:highlight w:val="none"/>
          <w:lang w:val="en-US" w:eastAsia="zh-CN"/>
        </w:rPr>
        <w:t>乙方</w:t>
      </w:r>
      <w:r>
        <w:rPr>
          <w:rFonts w:hint="eastAsia" w:ascii="宋体"/>
          <w:color w:val="auto"/>
          <w:highlight w:val="none"/>
          <w:lang w:val="en-US" w:eastAsia="zh-CN"/>
        </w:rPr>
        <w:t>提供的备件尺寸与现场设备不相符，应无条件免费更改，直至符合现场原设备为止。</w:t>
      </w:r>
    </w:p>
    <w:p>
      <w:pPr>
        <w:pStyle w:val="6"/>
        <w:numPr>
          <w:ilvl w:val="0"/>
          <w:numId w:val="0"/>
        </w:numPr>
        <w:ind w:firstLine="480" w:firstLineChars="200"/>
        <w:rPr>
          <w:rFonts w:hint="eastAsia"/>
          <w:lang w:val="en-US" w:eastAsia="zh-CN"/>
        </w:rPr>
      </w:pPr>
      <w:r>
        <w:rPr>
          <w:rFonts w:hint="eastAsia" w:ascii="宋体"/>
          <w:color w:val="auto"/>
          <w:highlight w:val="none"/>
          <w:lang w:val="en-US" w:eastAsia="zh-CN"/>
        </w:rPr>
        <w:t>5.</w:t>
      </w:r>
      <w:r>
        <w:rPr>
          <w:rFonts w:hint="eastAsia"/>
          <w:color w:val="auto"/>
          <w:highlight w:val="none"/>
          <w:lang w:val="en-US" w:eastAsia="zh-CN"/>
        </w:rPr>
        <w:t>链条及料斗</w:t>
      </w:r>
      <w:r>
        <w:rPr>
          <w:rFonts w:hint="eastAsia" w:ascii="宋体"/>
          <w:color w:val="auto"/>
          <w:highlight w:val="none"/>
          <w:lang w:val="en-US" w:eastAsia="zh-CN"/>
        </w:rPr>
        <w:t>质保期限自验收合格后3个月，若质保期内出现质量问题（非质量问题除外），由</w:t>
      </w:r>
      <w:r>
        <w:rPr>
          <w:rFonts w:hint="eastAsia"/>
          <w:color w:val="auto"/>
          <w:highlight w:val="none"/>
          <w:lang w:val="en-US" w:eastAsia="zh-CN"/>
        </w:rPr>
        <w:t>乙方</w:t>
      </w:r>
      <w:r>
        <w:rPr>
          <w:rFonts w:hint="eastAsia" w:ascii="宋体"/>
          <w:color w:val="auto"/>
          <w:highlight w:val="none"/>
          <w:lang w:val="en-US" w:eastAsia="zh-CN"/>
        </w:rPr>
        <w:t>负责免费维修，产生的费用全部由</w:t>
      </w:r>
      <w:r>
        <w:rPr>
          <w:rFonts w:hint="eastAsia"/>
          <w:color w:val="auto"/>
          <w:highlight w:val="none"/>
          <w:lang w:val="en-US" w:eastAsia="zh-CN"/>
        </w:rPr>
        <w:t>乙方</w:t>
      </w:r>
      <w:r>
        <w:rPr>
          <w:rFonts w:hint="eastAsia" w:ascii="宋体"/>
          <w:color w:val="auto"/>
          <w:highlight w:val="none"/>
          <w:lang w:val="en-US" w:eastAsia="zh-CN"/>
        </w:rPr>
        <w:t>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ascii="宋体"/>
          <w:lang w:val="en-US"/>
        </w:rPr>
      </w:pPr>
      <w:r>
        <w:rPr>
          <w:rFonts w:hint="eastAsia"/>
          <w:lang w:val="en-US"/>
        </w:rPr>
        <w:t>1</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售后服务要求。如使用过程发生问题，</w:t>
      </w:r>
      <w:r>
        <w:rPr>
          <w:rFonts w:hint="eastAsia"/>
          <w:lang w:val="en-US" w:eastAsia="zh-CN"/>
        </w:rPr>
        <w:t>供应商</w:t>
      </w:r>
      <w:r>
        <w:rPr>
          <w:rFonts w:hint="eastAsia"/>
          <w:lang w:val="en-US"/>
        </w:rPr>
        <w:t>须在接到</w:t>
      </w:r>
      <w:r>
        <w:rPr>
          <w:rFonts w:hint="eastAsia"/>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w:t>
      </w:r>
      <w:r>
        <w:rPr>
          <w:rFonts w:hint="eastAsia"/>
          <w:lang w:val="en-US" w:eastAsia="zh-CN"/>
        </w:rPr>
        <w:t>甲方</w:t>
      </w:r>
      <w:r>
        <w:rPr>
          <w:rFonts w:hint="eastAsia" w:ascii="宋体"/>
          <w:lang w:val="en-US"/>
        </w:rPr>
        <w:t>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w:t>
      </w:r>
      <w:r>
        <w:rPr>
          <w:rFonts w:hint="eastAsia"/>
          <w:lang w:val="en-US" w:eastAsia="zh-CN"/>
        </w:rPr>
        <w:t>甲方</w:t>
      </w:r>
      <w:r>
        <w:rPr>
          <w:rFonts w:hint="eastAsia" w:ascii="宋体"/>
          <w:lang w:val="en-US"/>
        </w:rPr>
        <w:t>不再对任何售后服务进行付费。</w:t>
      </w:r>
      <w:r>
        <w:rPr>
          <w:rFonts w:hint="eastAsia"/>
          <w:lang w:val="en-US" w:eastAsia="zh-CN"/>
        </w:rPr>
        <w:t>甲方</w:t>
      </w:r>
      <w:r>
        <w:rPr>
          <w:rFonts w:hint="eastAsia" w:ascii="宋体"/>
          <w:lang w:val="en-US"/>
        </w:rPr>
        <w:t>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  。</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（3</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w:t>
      </w:r>
      <w:r>
        <w:rPr>
          <w:rFonts w:hint="eastAsia" w:ascii="宋体" w:hAnsi="宋体" w:cs="宋体"/>
          <w:sz w:val="24"/>
          <w:lang w:val="en-US" w:eastAsia="zh-CN"/>
        </w:rPr>
        <w:t>/</w:t>
      </w:r>
      <w:r>
        <w:rPr>
          <w:rFonts w:hint="eastAsia" w:ascii="宋体" w:hAnsi="宋体" w:cs="宋体"/>
          <w:sz w:val="24"/>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ind w:left="0" w:leftChars="0" w:firstLine="0" w:firstLineChars="0"/>
        <w:rPr>
          <w:rFonts w:ascii="宋体" w:hAnsi="宋体" w:cs="宋体"/>
          <w:b/>
          <w:szCs w:val="24"/>
        </w:rPr>
      </w:pPr>
    </w:p>
    <w:p>
      <w:pPr>
        <w:pStyle w:val="8"/>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Toc259093669"/>
      <w:bookmarkStart w:id="410" w:name="_Ref467379214"/>
      <w:bookmarkStart w:id="411" w:name="_Ref467379225"/>
      <w:bookmarkStart w:id="412" w:name="_Toc19614"/>
      <w:bookmarkStart w:id="413" w:name="_Ref467378463"/>
      <w:bookmarkStart w:id="414" w:name="_Ref467379109"/>
      <w:bookmarkStart w:id="415" w:name="_Toc28763"/>
      <w:bookmarkStart w:id="416" w:name="_Ref467379101"/>
      <w:bookmarkStart w:id="417" w:name="_Ref467378404"/>
      <w:bookmarkStart w:id="418" w:name="_Toc16917"/>
      <w:bookmarkStart w:id="419" w:name="_Ref467379195"/>
      <w:bookmarkStart w:id="420" w:name="_Toc487900349"/>
      <w:bookmarkStart w:id="421" w:name="_Ref467378499"/>
      <w:bookmarkStart w:id="422" w:name="_Toc279701240"/>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487900350"/>
      <w:bookmarkStart w:id="429" w:name="_Toc32504"/>
      <w:bookmarkStart w:id="430" w:name="_Toc259093670"/>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9829"/>
      <w:bookmarkStart w:id="435" w:name="_Toc279701242"/>
      <w:bookmarkStart w:id="436" w:name="_Toc31634"/>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487900357"/>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63"/>
      <w:bookmarkStart w:id="454" w:name="_Toc279701248"/>
      <w:bookmarkStart w:id="455" w:name="_Ref467379923"/>
      <w:bookmarkStart w:id="456" w:name="_Ref467379852"/>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969"/>
      <w:bookmarkStart w:id="483" w:name="_Toc689"/>
      <w:bookmarkStart w:id="484" w:name="_Toc279701255"/>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59093687"/>
      <w:bookmarkStart w:id="489" w:name="_Toc279701258"/>
      <w:bookmarkStart w:id="490" w:name="_Toc8298"/>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259093691"/>
      <w:bookmarkStart w:id="506" w:name="_Toc30599"/>
      <w:bookmarkStart w:id="507" w:name="_Toc18540"/>
      <w:bookmarkStart w:id="508" w:name="_Toc487900372"/>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2773"/>
      <w:bookmarkStart w:id="512" w:name="_Toc259093692"/>
      <w:bookmarkStart w:id="513" w:name="_Toc18567"/>
      <w:bookmarkStart w:id="514" w:name="_Toc27970126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仿宋" w:asciiTheme="minorEastAsia" w:hAnsiTheme="minorEastAsia"/>
          <w:sz w:val="24"/>
          <w:u w:val="single"/>
          <w:lang w:eastAsia="zh-CN"/>
        </w:rPr>
        <w:t>2024年临江公司斗提机链条及料斗采购项目</w:t>
      </w:r>
      <w:r>
        <w:rPr>
          <w:rFonts w:hint="eastAsia" w:ascii="宋体" w:hAnsi="宋体" w:eastAsia="宋体" w:cs="宋体"/>
          <w:sz w:val="28"/>
          <w:szCs w:val="22"/>
          <w:u w:val="single"/>
          <w:lang w:val="en-US" w:eastAsia="zh-CN"/>
        </w:rPr>
        <w:t xml:space="preserve">      </w:t>
      </w:r>
      <w:bookmarkStart w:id="517" w:name="_GoBack"/>
      <w:bookmarkEnd w:id="517"/>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202407014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13"/>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
        <w:gridCol w:w="914"/>
        <w:gridCol w:w="655"/>
        <w:gridCol w:w="1241"/>
        <w:gridCol w:w="654"/>
        <w:gridCol w:w="778"/>
        <w:gridCol w:w="1063"/>
        <w:gridCol w:w="1132"/>
        <w:gridCol w:w="3123"/>
        <w:gridCol w:w="3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总计（元）</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现场照片</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初步尺寸数据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9"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斗提机斗链</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型号：P152.4节距 材质：40Cr</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-11430</wp:posOffset>
                  </wp:positionH>
                  <wp:positionV relativeFrom="paragraph">
                    <wp:posOffset>40005</wp:posOffset>
                  </wp:positionV>
                  <wp:extent cx="1859280" cy="1332230"/>
                  <wp:effectExtent l="0" t="0" r="7620" b="1270"/>
                  <wp:wrapNone/>
                  <wp:docPr id="17" name="图片_6"/>
                  <wp:cNvGraphicFramePr/>
                  <a:graphic xmlns:a="http://schemas.openxmlformats.org/drawingml/2006/main">
                    <a:graphicData uri="http://schemas.openxmlformats.org/drawingml/2006/picture">
                      <pic:pic xmlns:pic="http://schemas.openxmlformats.org/drawingml/2006/picture">
                        <pic:nvPicPr>
                          <pic:cNvPr id="17" name="图片_6"/>
                          <pic:cNvPicPr/>
                        </pic:nvPicPr>
                        <pic:blipFill>
                          <a:blip r:embed="rId23"/>
                          <a:stretch>
                            <a:fillRect/>
                          </a:stretch>
                        </pic:blipFill>
                        <pic:spPr>
                          <a:xfrm>
                            <a:off x="0" y="0"/>
                            <a:ext cx="1859280" cy="1332230"/>
                          </a:xfrm>
                          <a:prstGeom prst="rect">
                            <a:avLst/>
                          </a:prstGeom>
                          <a:noFill/>
                          <a:ln>
                            <a:noFill/>
                          </a:ln>
                        </pic:spPr>
                      </pic:pic>
                    </a:graphicData>
                  </a:graphic>
                </wp:anchor>
              </w:drawing>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节距：152.4，链节总长200，链厚56，链条厚8，链条外轮尺寸36.1，内孔15.8；销子：长86.8，大头20，小头15.6；料斗孔距：横向间距75，纵向70，螺丝孔25.5-13.5；单位：mm；材质：40Cr。双链条，隔一节一块刮板。（有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斗提机料斗</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 35cm*21cm*27cm 材质：Q235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989965</wp:posOffset>
                  </wp:positionH>
                  <wp:positionV relativeFrom="paragraph">
                    <wp:posOffset>52705</wp:posOffset>
                  </wp:positionV>
                  <wp:extent cx="830580" cy="958850"/>
                  <wp:effectExtent l="0" t="0" r="7620" b="12700"/>
                  <wp:wrapNone/>
                  <wp:docPr id="18" name="图片_8"/>
                  <wp:cNvGraphicFramePr/>
                  <a:graphic xmlns:a="http://schemas.openxmlformats.org/drawingml/2006/main">
                    <a:graphicData uri="http://schemas.openxmlformats.org/drawingml/2006/picture">
                      <pic:pic xmlns:pic="http://schemas.openxmlformats.org/drawingml/2006/picture">
                        <pic:nvPicPr>
                          <pic:cNvPr id="18" name="图片_8"/>
                          <pic:cNvPicPr/>
                        </pic:nvPicPr>
                        <pic:blipFill>
                          <a:blip r:embed="rId24"/>
                          <a:stretch>
                            <a:fillRect/>
                          </a:stretch>
                        </pic:blipFill>
                        <pic:spPr>
                          <a:xfrm>
                            <a:off x="0" y="0"/>
                            <a:ext cx="830580" cy="958850"/>
                          </a:xfrm>
                          <a:prstGeom prst="rect">
                            <a:avLst/>
                          </a:prstGeom>
                          <a:noFill/>
                          <a:ln>
                            <a:noFill/>
                          </a:ln>
                        </pic:spPr>
                      </pic:pic>
                    </a:graphicData>
                  </a:graphic>
                </wp:anchor>
              </w:drawing>
            </w:r>
            <w:r>
              <w:rPr>
                <w:rFonts w:hint="eastAsia" w:ascii="宋体" w:hAnsi="宋体" w:eastAsia="宋体" w:cs="宋体"/>
                <w:i w:val="0"/>
                <w:iCs w:val="0"/>
                <w:color w:val="000000"/>
                <w:kern w:val="0"/>
                <w:sz w:val="16"/>
                <w:szCs w:val="16"/>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-30480</wp:posOffset>
                  </wp:positionH>
                  <wp:positionV relativeFrom="paragraph">
                    <wp:posOffset>26035</wp:posOffset>
                  </wp:positionV>
                  <wp:extent cx="966470" cy="991235"/>
                  <wp:effectExtent l="0" t="0" r="5080" b="18415"/>
                  <wp:wrapNone/>
                  <wp:docPr id="19" name="图片_7"/>
                  <wp:cNvGraphicFramePr/>
                  <a:graphic xmlns:a="http://schemas.openxmlformats.org/drawingml/2006/main">
                    <a:graphicData uri="http://schemas.openxmlformats.org/drawingml/2006/picture">
                      <pic:pic xmlns:pic="http://schemas.openxmlformats.org/drawingml/2006/picture">
                        <pic:nvPicPr>
                          <pic:cNvPr id="19" name="图片_7"/>
                          <pic:cNvPicPr/>
                        </pic:nvPicPr>
                        <pic:blipFill>
                          <a:blip r:embed="rId25"/>
                          <a:stretch>
                            <a:fillRect/>
                          </a:stretch>
                        </pic:blipFill>
                        <pic:spPr>
                          <a:xfrm>
                            <a:off x="0" y="0"/>
                            <a:ext cx="966470" cy="991235"/>
                          </a:xfrm>
                          <a:prstGeom prst="rect">
                            <a:avLst/>
                          </a:prstGeom>
                          <a:noFill/>
                          <a:ln>
                            <a:noFill/>
                          </a:ln>
                        </pic:spPr>
                      </pic:pic>
                    </a:graphicData>
                  </a:graphic>
                </wp:anchor>
              </w:drawing>
            </w:r>
          </w:p>
        </w:tc>
        <w:tc>
          <w:tcPr>
            <w:tcW w:w="3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尺寸：见照片标注；材质：Q235；单位：mm（有样品）。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6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69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69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69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13"/>
      </w:pPr>
    </w:p>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2024年临江公司斗提机链条及料斗采购项目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60752A"/>
    <w:rsid w:val="03CA5C6D"/>
    <w:rsid w:val="04E634F4"/>
    <w:rsid w:val="057311F3"/>
    <w:rsid w:val="05A4392C"/>
    <w:rsid w:val="05B622F4"/>
    <w:rsid w:val="06351E5B"/>
    <w:rsid w:val="06803F38"/>
    <w:rsid w:val="06897EFF"/>
    <w:rsid w:val="07013F3A"/>
    <w:rsid w:val="078B333A"/>
    <w:rsid w:val="07A67451"/>
    <w:rsid w:val="07C24B12"/>
    <w:rsid w:val="07D15ABF"/>
    <w:rsid w:val="087E795F"/>
    <w:rsid w:val="09104908"/>
    <w:rsid w:val="09EC7123"/>
    <w:rsid w:val="09ED56C9"/>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F15921"/>
    <w:rsid w:val="28261749"/>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4A040E0"/>
    <w:rsid w:val="44C67F95"/>
    <w:rsid w:val="44F22D84"/>
    <w:rsid w:val="4557347D"/>
    <w:rsid w:val="4559568A"/>
    <w:rsid w:val="45A47533"/>
    <w:rsid w:val="45F97EF6"/>
    <w:rsid w:val="4605415C"/>
    <w:rsid w:val="46BC402D"/>
    <w:rsid w:val="472961BF"/>
    <w:rsid w:val="475528CD"/>
    <w:rsid w:val="47B265AF"/>
    <w:rsid w:val="4916491B"/>
    <w:rsid w:val="496717C4"/>
    <w:rsid w:val="49A86802"/>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09228E"/>
    <w:rsid w:val="65A92947"/>
    <w:rsid w:val="661A50B7"/>
    <w:rsid w:val="664B13EA"/>
    <w:rsid w:val="66976C44"/>
    <w:rsid w:val="66F30BCE"/>
    <w:rsid w:val="673C0170"/>
    <w:rsid w:val="673E5F91"/>
    <w:rsid w:val="677A6041"/>
    <w:rsid w:val="67BC07C3"/>
    <w:rsid w:val="67D6317A"/>
    <w:rsid w:val="67D649B5"/>
    <w:rsid w:val="68ED5FB8"/>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4F141CB"/>
    <w:rsid w:val="75465FCB"/>
    <w:rsid w:val="76471CF3"/>
    <w:rsid w:val="76723FC6"/>
    <w:rsid w:val="767E5B01"/>
    <w:rsid w:val="76930879"/>
    <w:rsid w:val="76AE4262"/>
    <w:rsid w:val="76F83EE1"/>
    <w:rsid w:val="778F44F9"/>
    <w:rsid w:val="77F2017E"/>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27025</Words>
  <Characters>28282</Characters>
  <Lines>224</Lines>
  <Paragraphs>63</Paragraphs>
  <TotalTime>11</TotalTime>
  <ScaleCrop>false</ScaleCrop>
  <LinksUpToDate>false</LinksUpToDate>
  <CharactersWithSpaces>31562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2024-07-09T02:30:38Z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