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eastAsiaTheme="minorEastAsia"/>
          <w:color w:val="auto"/>
          <w:highlight w:val="none"/>
          <w:lang w:eastAsia="zh-CN"/>
        </w:rPr>
      </w:pPr>
      <w:r>
        <w:rPr>
          <w:rFonts w:hint="eastAsia" w:cs="宋体" w:asciiTheme="minorEastAsia" w:hAnsiTheme="minorEastAsia"/>
          <w:color w:val="auto"/>
          <w:sz w:val="48"/>
          <w:szCs w:val="48"/>
          <w:highlight w:val="none"/>
          <w:u w:val="single"/>
          <w:lang w:eastAsia="zh-CN"/>
        </w:rPr>
        <w:t>2024年度艾默生 Ovation DCS系统年度维保采购项目（</w:t>
      </w:r>
      <w:r>
        <w:rPr>
          <w:rFonts w:hint="eastAsia" w:cs="宋体" w:asciiTheme="minorEastAsia" w:hAnsiTheme="minorEastAsia"/>
          <w:color w:val="auto"/>
          <w:sz w:val="48"/>
          <w:szCs w:val="48"/>
          <w:highlight w:val="none"/>
          <w:u w:val="single"/>
          <w:lang w:val="en-US" w:eastAsia="zh-CN"/>
        </w:rPr>
        <w:t>重新询价</w:t>
      </w:r>
      <w:r>
        <w:rPr>
          <w:rFonts w:hint="eastAsia" w:cs="宋体" w:asciiTheme="minorEastAsia" w:hAnsiTheme="minorEastAsia"/>
          <w:color w:val="auto"/>
          <w:sz w:val="48"/>
          <w:szCs w:val="48"/>
          <w:highlight w:val="none"/>
          <w:u w:val="single"/>
          <w:lang w:eastAsia="zh-CN"/>
        </w:rPr>
        <w:t>）</w:t>
      </w:r>
    </w:p>
    <w:p>
      <w:pPr>
        <w:adjustRightInd w:val="0"/>
        <w:snapToGrid w:val="0"/>
        <w:spacing w:line="360" w:lineRule="auto"/>
        <w:jc w:val="center"/>
        <w:rPr>
          <w:rFonts w:hint="eastAsia" w:cs="宋体" w:asciiTheme="minorEastAsia" w:hAnsiTheme="minorEastAsia"/>
          <w:color w:val="auto"/>
          <w:sz w:val="48"/>
          <w:szCs w:val="48"/>
          <w:highlight w:val="none"/>
        </w:rPr>
      </w:pPr>
    </w:p>
    <w:p>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202407009-1</w:t>
      </w:r>
    </w:p>
    <w:p>
      <w:pPr>
        <w:spacing w:line="360" w:lineRule="auto"/>
        <w:jc w:val="center"/>
        <w:rPr>
          <w:rFonts w:cs="仿宋" w:asciiTheme="minorEastAsia" w:hAnsiTheme="minorEastAsia"/>
          <w:b/>
          <w:bCs/>
          <w:color w:val="auto"/>
          <w:sz w:val="72"/>
          <w:szCs w:val="72"/>
          <w:highlight w:val="none"/>
        </w:rPr>
      </w:pPr>
    </w:p>
    <w:p>
      <w:pPr>
        <w:pStyle w:val="6"/>
        <w:rPr>
          <w:rFonts w:asciiTheme="minorEastAsia" w:hAnsiTheme="minorEastAsia"/>
          <w:color w:val="auto"/>
          <w:highlight w:val="none"/>
        </w:rPr>
      </w:pPr>
    </w:p>
    <w:p>
      <w:pPr>
        <w:spacing w:line="360" w:lineRule="auto"/>
        <w:jc w:val="center"/>
        <w:rPr>
          <w:rFonts w:cs="仿宋" w:asciiTheme="minorEastAsia" w:hAnsiTheme="minorEastAsia"/>
          <w:b/>
          <w:bCs/>
          <w:color w:val="auto"/>
          <w:sz w:val="72"/>
          <w:szCs w:val="72"/>
          <w:highlight w:val="none"/>
        </w:rPr>
      </w:pPr>
    </w:p>
    <w:p>
      <w:pPr>
        <w:pStyle w:val="10"/>
        <w:rPr>
          <w:color w:val="auto"/>
          <w:highlight w:val="none"/>
        </w:rPr>
      </w:pPr>
    </w:p>
    <w:p>
      <w:pPr>
        <w:rPr>
          <w:color w:val="auto"/>
          <w:highlight w:val="none"/>
        </w:rPr>
      </w:pPr>
    </w:p>
    <w:p>
      <w:pPr>
        <w:pStyle w:val="10"/>
        <w:rPr>
          <w:color w:val="auto"/>
          <w:highlight w:val="none"/>
        </w:rPr>
      </w:pPr>
    </w:p>
    <w:p>
      <w:pPr>
        <w:rPr>
          <w:color w:val="auto"/>
          <w:highlight w:val="none"/>
        </w:rPr>
      </w:pPr>
    </w:p>
    <w:p>
      <w:pPr>
        <w:spacing w:line="360" w:lineRule="auto"/>
        <w:rPr>
          <w:rFonts w:cs="仿宋" w:asciiTheme="minorEastAsia" w:hAnsiTheme="minorEastAsia"/>
          <w:color w:val="auto"/>
          <w:sz w:val="24"/>
          <w:highlight w:val="none"/>
        </w:rPr>
      </w:pPr>
    </w:p>
    <w:p>
      <w:pPr>
        <w:pStyle w:val="10"/>
        <w:rPr>
          <w:rFonts w:cs="仿宋" w:asciiTheme="minorEastAsia" w:hAnsiTheme="minorEastAsia"/>
          <w:color w:val="auto"/>
          <w:sz w:val="24"/>
          <w:szCs w:val="24"/>
          <w:highlight w:val="none"/>
        </w:rPr>
      </w:pPr>
    </w:p>
    <w:p>
      <w:pPr>
        <w:pStyle w:val="10"/>
        <w:jc w:val="center"/>
        <w:rPr>
          <w:rFonts w:cs="仿宋" w:asciiTheme="minorEastAsia" w:hAnsiTheme="minorEastAsia"/>
          <w:color w:val="auto"/>
          <w:sz w:val="24"/>
          <w:szCs w:val="24"/>
          <w:highlight w:val="none"/>
        </w:rPr>
      </w:pPr>
    </w:p>
    <w:p>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val="en-US" w:eastAsia="zh-CN"/>
        </w:rPr>
        <w:t>2024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7</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10</w:t>
      </w:r>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highlight w:val="none"/>
        </w:rPr>
      </w:pPr>
    </w:p>
    <w:p>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2024年度艾默生 Ovation DCS系统年度维保采购项目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bookmarkStart w:id="496" w:name="_GoBack"/>
      <w:r>
        <w:rPr>
          <w:rFonts w:hint="eastAsia" w:cs="仿宋" w:asciiTheme="minorEastAsia" w:hAnsiTheme="minorEastAsia"/>
          <w:b/>
          <w:bCs/>
          <w:color w:val="auto"/>
          <w:sz w:val="24"/>
          <w:highlight w:val="none"/>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202407009-1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2024年度艾默生 Ovation DCS系统年度维保采购项目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19万元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cs="仿宋" w:asciiTheme="minorEastAsia" w:hAnsiTheme="minorEastAsia"/>
          <w:color w:val="auto"/>
          <w:sz w:val="24"/>
          <w:highlight w:val="none"/>
        </w:rPr>
        <w:t xml:space="preserve"> </w:t>
      </w:r>
      <w:r>
        <w:rPr>
          <w:rFonts w:hint="eastAsia" w:hAnsi="宋体" w:cs="宋体"/>
          <w:bCs/>
          <w:color w:val="auto"/>
          <w:sz w:val="24"/>
          <w:highlight w:val="none"/>
          <w:lang w:eastAsia="zh-CN"/>
        </w:rPr>
        <w:t>主要负责</w:t>
      </w:r>
      <w:r>
        <w:rPr>
          <w:rFonts w:hint="eastAsia" w:hAnsi="宋体" w:cs="宋体"/>
          <w:bCs/>
          <w:color w:val="auto"/>
          <w:sz w:val="24"/>
          <w:highlight w:val="none"/>
          <w:lang w:val="en-US" w:eastAsia="zh-CN"/>
        </w:rPr>
        <w:t>电厂</w:t>
      </w:r>
      <w:r>
        <w:rPr>
          <w:rFonts w:hint="eastAsia" w:cs="仿宋" w:asciiTheme="minorEastAsia" w:hAnsiTheme="minorEastAsia"/>
          <w:color w:val="auto"/>
          <w:sz w:val="24"/>
          <w:highlight w:val="none"/>
          <w:lang w:val="en-US" w:eastAsia="zh-CN"/>
        </w:rPr>
        <w:t>艾默生Ovation DCS系统</w:t>
      </w:r>
      <w:r>
        <w:rPr>
          <w:rFonts w:hint="eastAsia" w:hAnsi="宋体" w:cs="宋体"/>
          <w:bCs/>
          <w:color w:val="auto"/>
          <w:sz w:val="24"/>
          <w:highlight w:val="none"/>
        </w:rPr>
        <w:t>日常维护</w:t>
      </w:r>
      <w:r>
        <w:rPr>
          <w:rFonts w:hint="eastAsia" w:hAnsi="宋体" w:cs="宋体"/>
          <w:bCs/>
          <w:color w:val="auto"/>
          <w:sz w:val="24"/>
          <w:highlight w:val="none"/>
          <w:lang w:eastAsia="zh-CN"/>
        </w:rPr>
        <w:t>，</w:t>
      </w:r>
      <w:r>
        <w:rPr>
          <w:rFonts w:hint="eastAsia" w:cs="仿宋" w:asciiTheme="minorEastAsia" w:hAnsiTheme="minorEastAsia"/>
          <w:color w:val="auto"/>
          <w:sz w:val="24"/>
          <w:highlight w:val="none"/>
          <w:lang w:val="en-US" w:eastAsia="zh-CN"/>
        </w:rPr>
        <w:t>服务期1年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 xml:space="preserve"> 自合同签订后1年。</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35393791"/>
      <w:bookmarkStart w:id="7" w:name="_Toc35393622"/>
      <w:bookmarkStart w:id="8" w:name="_Toc28359003"/>
      <w:bookmarkStart w:id="9" w:name="_Toc28359080"/>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35393623"/>
      <w:bookmarkStart w:id="11" w:name="_Toc35393792"/>
      <w:bookmarkStart w:id="12" w:name="_Toc28359081"/>
      <w:bookmarkStart w:id="13" w:name="_Toc2835900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sz w:val="24"/>
          <w:highlight w:val="none"/>
          <w:lang w:val="en-US" w:eastAsia="zh-CN"/>
        </w:rPr>
      </w:pPr>
      <w:r>
        <w:rPr>
          <w:rFonts w:hint="eastAsia" w:cs="仿宋" w:asciiTheme="minorEastAsia" w:hAnsiTheme="minorEastAsia"/>
          <w:bCs/>
          <w:sz w:val="24"/>
          <w:highlight w:val="none"/>
        </w:rPr>
        <w:t>3.</w:t>
      </w:r>
      <w:r>
        <w:rPr>
          <w:rFonts w:hint="eastAsia" w:cs="仿宋" w:asciiTheme="minorEastAsia" w:hAnsiTheme="minorEastAsia"/>
          <w:bCs/>
          <w:sz w:val="24"/>
          <w:highlight w:val="none"/>
          <w:lang w:val="en-US" w:eastAsia="zh-CN"/>
        </w:rPr>
        <w:t>业绩要求：/。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sz w:val="24"/>
          <w:highlight w:val="none"/>
          <w:lang w:val="en-US" w:eastAsia="zh-CN"/>
        </w:rPr>
        <w:t>4.</w:t>
      </w:r>
      <w:r>
        <w:rPr>
          <w:rFonts w:hint="eastAsia" w:cs="仿宋" w:asciiTheme="minorEastAsia" w:hAnsiTheme="minorEastAsia"/>
          <w:bCs/>
          <w:color w:val="auto"/>
          <w:sz w:val="24"/>
          <w:highlight w:val="none"/>
        </w:rPr>
        <w:t>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lang w:val="en-US" w:eastAsia="zh-CN"/>
        </w:rPr>
        <w:t>5</w:t>
      </w:r>
      <w:r>
        <w:rPr>
          <w:rFonts w:hint="eastAsia" w:cs="仿宋" w:asciiTheme="minorEastAsia" w:hAnsiTheme="minorEastAsia"/>
          <w:bCs/>
          <w:color w:val="auto"/>
          <w:sz w:val="24"/>
          <w:highlight w:val="none"/>
        </w:rPr>
        <w:t xml:space="preserve">.供应商负责人为同一人或者存在控股、管理关系的不同单位，不得同时参加本项目。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lang w:val="en-US" w:eastAsia="zh-CN"/>
        </w:rPr>
        <w:t>6</w:t>
      </w:r>
      <w:r>
        <w:rPr>
          <w:rFonts w:hint="eastAsia" w:cs="仿宋" w:asciiTheme="minorEastAsia" w:hAnsiTheme="minorEastAsia"/>
          <w:bCs/>
          <w:color w:val="auto"/>
          <w:sz w:val="24"/>
          <w:highlight w:val="none"/>
        </w:rPr>
        <w:t>.供应商须提供其股东信息及出资比例信息。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eastAsia" w:cs="仿宋" w:asciiTheme="minorEastAsia" w:hAnsiTheme="minorEastAsia"/>
          <w:bCs/>
          <w:color w:val="auto"/>
          <w:sz w:val="24"/>
          <w:highlight w:val="none"/>
          <w:lang w:val="en-US" w:eastAsia="zh-CN"/>
        </w:rPr>
        <w:t>7</w:t>
      </w:r>
      <w:r>
        <w:rPr>
          <w:rFonts w:hint="default" w:cs="仿宋" w:asciiTheme="minorEastAsia" w:hAnsiTheme="minorEastAsia"/>
          <w:bCs/>
          <w:color w:val="auto"/>
          <w:sz w:val="24"/>
          <w:highlight w:val="none"/>
          <w:lang w:val="en-US"/>
        </w:rPr>
        <w:t>.</w:t>
      </w:r>
      <w:r>
        <w:rPr>
          <w:rFonts w:hint="eastAsia" w:cs="仿宋" w:asciiTheme="minorEastAsia" w:hAnsiTheme="minorEastAsia"/>
          <w:bCs/>
          <w:color w:val="auto"/>
          <w:sz w:val="24"/>
          <w:highlight w:val="none"/>
          <w:lang w:val="en-US" w:eastAsia="zh-CN"/>
        </w:rPr>
        <w:t>本项目特定资格要求： 供应商须提供艾默生厂家授权或合作的有效协议或代理证明。（原厂家除外）</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35393793"/>
      <w:bookmarkStart w:id="15" w:name="_Toc28359005"/>
      <w:bookmarkStart w:id="16" w:name="_Toc35393624"/>
      <w:bookmarkStart w:id="17" w:name="_Toc28359082"/>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7</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7</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non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十</w:t>
      </w:r>
      <w:r>
        <w:rPr>
          <w:rFonts w:hint="eastAsia" w:cs="仿宋" w:asciiTheme="minorEastAsia" w:hAnsiTheme="minorEastAsia"/>
          <w:b/>
          <w:bCs/>
          <w:color w:val="auto"/>
          <w:sz w:val="24"/>
          <w:highlight w:val="none"/>
          <w:lang w:eastAsia="zh-CN"/>
        </w:rPr>
        <w:t>、</w:t>
      </w:r>
      <w:r>
        <w:rPr>
          <w:rFonts w:hint="eastAsia" w:cs="仿宋" w:asciiTheme="minorEastAsia" w:hAnsiTheme="minorEastAsia"/>
          <w:b/>
          <w:bCs/>
          <w:color w:val="auto"/>
          <w:sz w:val="24"/>
          <w:highlight w:val="none"/>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联系人</w:t>
      </w:r>
      <w:r>
        <w:rPr>
          <w:rFonts w:hint="eastAsia" w:cs="仿宋" w:asciiTheme="minorEastAsia" w:hAnsiTheme="minorEastAsia"/>
          <w:color w:val="auto"/>
          <w:sz w:val="24"/>
          <w:highlight w:val="none"/>
        </w:rPr>
        <w:t xml:space="preserve">：李文拓 </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7月10</w:t>
      </w:r>
      <w:r>
        <w:rPr>
          <w:rFonts w:hint="eastAsia" w:cs="仿宋" w:asciiTheme="minorEastAsia" w:hAnsiTheme="minorEastAsia"/>
          <w:color w:val="auto"/>
          <w:sz w:val="24"/>
          <w:highlight w:val="none"/>
        </w:rPr>
        <w:t>日</w:t>
      </w: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hint="eastAsia" w:cs="仿宋" w:asciiTheme="minorEastAsia" w:hAnsiTheme="minorEastAsia"/>
          <w:b/>
          <w:bCs/>
          <w:color w:val="auto"/>
          <w:sz w:val="36"/>
          <w:szCs w:val="36"/>
          <w:highlight w:val="none"/>
        </w:rPr>
      </w:pPr>
    </w:p>
    <w:bookmarkEnd w:id="496"/>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hint="eastAsia" w:cs="仿宋" w:asciiTheme="minorEastAsia" w:hAnsiTheme="minorEastAsia"/>
          <w:b/>
          <w:bCs/>
          <w:color w:val="auto"/>
          <w:sz w:val="36"/>
          <w:szCs w:val="36"/>
          <w:highlight w:val="none"/>
        </w:rPr>
      </w:pPr>
    </w:p>
    <w:p>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p>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提交电子版文件：</w:t>
                </w:r>
              </w:p>
              <w:p>
                <w:pPr>
                  <w:spacing w:line="360" w:lineRule="auto"/>
                  <w:outlineLvl w:val="1"/>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sym w:font="Wingdings" w:char="00FE"/>
                </w:r>
                <w:r>
                  <w:rPr>
                    <w:rFonts w:hint="eastAsia" w:ascii="宋体" w:hAnsi="宋体" w:eastAsia="宋体" w:cs="宋体"/>
                    <w:b/>
                    <w:bCs/>
                    <w:color w:val="auto"/>
                    <w:szCs w:val="21"/>
                    <w:highlight w:val="none"/>
                    <w:lang w:val="en-US" w:eastAsia="zh-CN"/>
                  </w:rPr>
                  <w:t>否</w:t>
                </w:r>
                <w:r>
                  <w:rPr>
                    <w:rFonts w:hint="eastAsia" w:ascii="宋体" w:hAnsi="宋体" w:eastAsia="宋体" w:cs="宋体"/>
                    <w:b/>
                    <w:bCs/>
                    <w:color w:val="auto"/>
                    <w:szCs w:val="21"/>
                    <w:highlight w:val="none"/>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参加响应文件开启的</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pStyle w:val="7"/>
        <w:ind w:left="0" w:leftChars="0" w:firstLine="0" w:firstLineChars="0"/>
        <w:rPr>
          <w:rFonts w:hint="eastAsia" w:cs="仿宋" w:asciiTheme="minorEastAsia" w:hAnsiTheme="minorEastAsia"/>
          <w:b/>
          <w:color w:val="auto"/>
          <w:sz w:val="32"/>
          <w:szCs w:val="20"/>
          <w:highlight w:val="none"/>
        </w:rPr>
      </w:pPr>
    </w:p>
    <w:p>
      <w:pPr>
        <w:rPr>
          <w:rFonts w:hint="eastAsia"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pPr>
        <w:pStyle w:val="6"/>
        <w:rPr>
          <w:rFonts w:cs="仿宋" w:asciiTheme="minorEastAsia" w:hAnsiTheme="minorEastAsia"/>
          <w:color w:val="auto"/>
          <w:sz w:val="18"/>
          <w:szCs w:val="18"/>
          <w:highlight w:val="none"/>
          <w:lang w:val="en-US"/>
        </w:rPr>
      </w:pPr>
    </w:p>
    <w:p>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pPr>
        <w:pStyle w:val="10"/>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pPr>
        <w:pStyle w:val="9"/>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highlight w:val="none"/>
        </w:rPr>
      </w:pPr>
    </w:p>
    <w:p>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将被拒绝参与杭州临江环境能源有限公司采购活动。</w:t>
      </w:r>
    </w:p>
    <w:p>
      <w:pPr>
        <w:pStyle w:val="22"/>
        <w:spacing w:before="0"/>
        <w:ind w:firstLine="495" w:firstLineChars="0"/>
        <w:rPr>
          <w:rFonts w:cs="仿宋" w:asciiTheme="minorEastAsia" w:hAnsiTheme="minorEastAsia"/>
          <w:color w:val="auto"/>
          <w:kern w:val="0"/>
          <w:szCs w:val="24"/>
          <w:highlight w:val="none"/>
        </w:rPr>
      </w:pPr>
    </w:p>
    <w:p>
      <w:pPr>
        <w:pStyle w:val="22"/>
        <w:spacing w:before="0"/>
        <w:ind w:firstLine="480"/>
        <w:rPr>
          <w:rFonts w:cs="仿宋" w:asciiTheme="minorEastAsia" w:hAnsiTheme="minorEastAsia"/>
          <w:color w:val="auto"/>
          <w:kern w:val="0"/>
          <w:szCs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pPr>
        <w:spacing w:line="360" w:lineRule="auto"/>
        <w:rPr>
          <w:rFonts w:cs="仿宋" w:asciiTheme="minorEastAsia" w:hAnsiTheme="minorEastAsia"/>
          <w:b/>
          <w:color w:val="auto"/>
          <w:sz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pPr>
        <w:pStyle w:val="22"/>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pPr>
        <w:pStyle w:val="22"/>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pPr>
        <w:pStyle w:val="22"/>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pPr>
        <w:tabs>
          <w:tab w:val="left" w:pos="0"/>
        </w:tabs>
        <w:spacing w:line="360" w:lineRule="auto"/>
        <w:ind w:firstLine="480"/>
        <w:rPr>
          <w:rFonts w:cs="仿宋" w:asciiTheme="minorEastAsia" w:hAnsiTheme="minorEastAsia"/>
          <w:color w:val="auto"/>
          <w:sz w:val="24"/>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pPr>
        <w:pStyle w:val="9"/>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highlight w:val="none"/>
        </w:rPr>
      </w:pPr>
    </w:p>
    <w:p>
      <w:pPr>
        <w:pStyle w:val="6"/>
        <w:rPr>
          <w:rFonts w:hint="eastAsia"/>
          <w:color w:val="auto"/>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概况：艾默生Ovation是一种分布式控制系统（DCS），其模块化设计允许按照实际需要配置过程管理系统。Ovation是控制行业中可靠、快速响应的实时工厂监控和过程控制系统，参与到工厂控制的各个方面。目前全厂共2套系统，6炉3机。</w:t>
      </w:r>
    </w:p>
    <w:p>
      <w:pPr>
        <w:pStyle w:val="6"/>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2.主要维护内容具体如下：</w:t>
      </w:r>
    </w:p>
    <w:p>
      <w:pPr>
        <w:pStyle w:val="6"/>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DCS系统维护：1年6次。具体时间以运行情况确定，采购人提前两周通知。</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供应商配合甲方每年对Ovation DCS进行系统保养</w:t>
      </w:r>
      <w:r>
        <w:rPr>
          <w:rFonts w:hint="eastAsia" w:ascii="宋体"/>
          <w:color w:val="auto"/>
          <w:highlight w:val="none"/>
          <w:lang w:val="en-US" w:eastAsia="zh-CN"/>
        </w:rPr>
        <w:t>服务，</w:t>
      </w:r>
      <w:r>
        <w:rPr>
          <w:rFonts w:hint="eastAsia"/>
          <w:color w:val="auto"/>
          <w:highlight w:val="none"/>
          <w:lang w:val="en-US" w:eastAsia="zh-CN"/>
        </w:rPr>
        <w:t>服务人员到现场工作如下：</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A．检查系统自动生成的各项报警记录文件，分析其中的异常报警，处理由此发现的软、硬件故障；</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B．检查系统状态图，处理其中提示的站报警和站故障；</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C．检查所有网络设备的自动事件记录文件，对照网络实际连接和网络工程图纸，纠正发现的网络连接错误和网络配置错误；</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D．检查网络交换机每个端口的工作状态以及错误包累计情况；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E．检查网络的物理连接状况，处理网络连接故障；</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F．检查系统的接地方式，和接地状况；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G．检查控制器供电模块的工作情况和直流输出工作电压；</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H．比较冗余控制器之间，以及控制器与数据库之间内容的差异。对存在的差异，根据实际需要，对控制器做下装处理，直至清空、重装控制器内容；</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I．比较并消除服务器和工作站之间存在的软件安装差异；</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J．检查所有控制器的内部逻辑执行情况，根据各控制区逻辑执行速度差异，发现并纠正Flash卡的读写故障；</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K．检查机柜散热风扇的工作状况；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L．检查系统时间同步状态的设置和工作状况；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M．检查当前版本补丁包的安装、投用情况；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N．检查并纠正每个控制器的数据库错误；</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O．检查历史站配置，和各项子历史功能的运行情况；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P．检查OPC服务器的配置，连接和运行情况；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Q．检查其他第三方通讯的配置和运行情况；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R．检查并测试打印机的配置和工作情况；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S．检查报表软件的工作情况；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T．检查系统网络负荷和各个工作站的负荷情况；</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U．在维护服务开始前和完成后都要对系统做一次完整的备份，并且为了可靠起见，服务专家会把备份内容从服务器拷贝到其他设备。</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 xml:space="preserve">  备份的内容包括：</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1. 控制器参数上传；</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2．全数据库备份；</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3．分数据库备份；</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4．系统的工程数据文件备份，包括过程图，逻辑图，系统配置等；</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5．系统的各项授权许可代码备份；</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6．打印机配置情况备份；</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7．强制点的强制状况和强制值备份；</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V.系统故障分析</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对系统的运行状况及软件故障、通讯故障（含接口故障）、硬件故障做常规检查。对出现的问题做出诊断、处理和维护。</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W.现场培训及答疑</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a）每次服务完毕后向电厂工程师详细解释所做的工作；</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b）做好服务记录以便将来查阅；</w:t>
      </w:r>
    </w:p>
    <w:p>
      <w:pPr>
        <w:pStyle w:val="6"/>
        <w:numPr>
          <w:ilvl w:val="0"/>
          <w:numId w:val="0"/>
        </w:numPr>
        <w:ind w:firstLine="720" w:firstLineChars="300"/>
        <w:rPr>
          <w:rFonts w:hint="eastAsia"/>
          <w:color w:val="auto"/>
          <w:highlight w:val="none"/>
          <w:lang w:val="en-US" w:eastAsia="zh-CN"/>
        </w:rPr>
      </w:pPr>
      <w:r>
        <w:rPr>
          <w:rFonts w:hint="eastAsia"/>
          <w:color w:val="auto"/>
          <w:highlight w:val="none"/>
          <w:lang w:val="en-US" w:eastAsia="zh-CN"/>
        </w:rPr>
        <w:t>c）耐心解答电厂维护人员提出的问题；</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X.协助进行检修期间必要的系统组态修改</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 xml:space="preserve">  在检修期间协助电厂维护人员进行必要的系统画面和回路组态修改，必要时协助进行回路调试。对OVATION有关的技改项目提供技术支持。</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Y.服务完毕，服务工程师将最终版本的软件备份，并向甲方递交现场报告和工作计时单。</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Z.技术咨询热线服务</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在合同生效后乙方须提供甲方一个用于技术咨询的热线电话号码。技术咨询的方式为甲乙双方通过电话、传真、E—mail等通讯手段进行交流。甲方可通过热线电话在合同有效期的时间内得到乙方的技术咨询热线服务。技术咨询热线服务的内容：</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—硬件系统故障诊断的咨询。</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—艾默生的产品技术咨询。</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—有关技术资料、信息的索要。</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—现场服务请求。</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—其他技术服务及信息的咨询，等等。</w:t>
      </w:r>
    </w:p>
    <w:p>
      <w:pPr>
        <w:pStyle w:val="6"/>
        <w:numPr>
          <w:ilvl w:val="0"/>
          <w:numId w:val="0"/>
        </w:numPr>
        <w:ind w:firstLine="482" w:firstLineChars="200"/>
        <w:rPr>
          <w:rFonts w:hint="eastAsia"/>
          <w:color w:val="auto"/>
          <w:highlight w:val="none"/>
          <w:lang w:val="en-US" w:eastAsia="zh-CN"/>
        </w:rPr>
      </w:pPr>
      <w:r>
        <w:rPr>
          <w:rFonts w:hint="eastAsia"/>
          <w:b/>
          <w:bCs/>
          <w:color w:val="auto"/>
          <w:highlight w:val="none"/>
          <w:lang w:val="en-US" w:eastAsia="zh-CN"/>
        </w:rPr>
        <w:t>二、合同期限</w:t>
      </w:r>
      <w:r>
        <w:rPr>
          <w:rFonts w:hint="eastAsia"/>
          <w:color w:val="auto"/>
          <w:highlight w:val="none"/>
          <w:lang w:val="en-US" w:eastAsia="zh-CN"/>
        </w:rPr>
        <w:t>：自合同签订后1年；</w:t>
      </w:r>
    </w:p>
    <w:p>
      <w:pPr>
        <w:pStyle w:val="6"/>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三、技术要求</w:t>
      </w:r>
    </w:p>
    <w:p>
      <w:pPr>
        <w:pStyle w:val="6"/>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确保Ovation DCS稳定高质量运行，符合采购人验收要求。</w:t>
      </w:r>
    </w:p>
    <w:p>
      <w:pPr>
        <w:pStyle w:val="6"/>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四、</w:t>
      </w:r>
      <w:r>
        <w:rPr>
          <w:rFonts w:hint="eastAsia"/>
          <w:b/>
          <w:bCs/>
          <w:color w:val="auto"/>
          <w:highlight w:val="none"/>
          <w:lang w:val="en-US" w:eastAsia="zh-CN"/>
        </w:rPr>
        <w:t>验收方式</w:t>
      </w:r>
    </w:p>
    <w:p>
      <w:pPr>
        <w:pStyle w:val="7"/>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供应商</w:t>
      </w:r>
      <w:r>
        <w:rPr>
          <w:rFonts w:hint="eastAsia"/>
          <w:color w:val="auto"/>
          <w:highlight w:val="none"/>
          <w:lang w:val="en-US" w:eastAsia="zh-CN"/>
        </w:rPr>
        <w:t>每次形成一个服务书面报告</w:t>
      </w:r>
      <w:r>
        <w:rPr>
          <w:rFonts w:hint="eastAsia" w:ascii="宋体" w:hAnsi="Arial" w:cs="Arial" w:eastAsiaTheme="minorEastAsia"/>
          <w:snapToGrid w:val="0"/>
          <w:color w:val="auto"/>
          <w:kern w:val="2"/>
          <w:sz w:val="24"/>
          <w:szCs w:val="21"/>
          <w:highlight w:val="none"/>
          <w:lang w:val="en-US" w:eastAsia="zh-CN" w:bidi="ar-SA"/>
        </w:rPr>
        <w:t>，</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验收服务报告。</w:t>
      </w:r>
    </w:p>
    <w:p>
      <w:pPr>
        <w:pStyle w:val="6"/>
        <w:numPr>
          <w:ilvl w:val="0"/>
          <w:numId w:val="1"/>
        </w:numPr>
        <w:ind w:firstLine="482" w:firstLineChars="200"/>
        <w:rPr>
          <w:rFonts w:hint="eastAsia"/>
          <w:b/>
          <w:bCs/>
          <w:color w:val="auto"/>
          <w:highlight w:val="none"/>
          <w:lang w:val="en-US" w:eastAsia="zh-CN"/>
        </w:rPr>
      </w:pPr>
      <w:r>
        <w:rPr>
          <w:rFonts w:hint="eastAsia"/>
          <w:b/>
          <w:bCs/>
          <w:color w:val="auto"/>
          <w:highlight w:val="none"/>
          <w:lang w:val="en-US" w:eastAsia="zh-CN"/>
        </w:rPr>
        <w:t>服务和质量要求</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w:t>
      </w:r>
      <w:r>
        <w:rPr>
          <w:rFonts w:hint="eastAsia" w:cs="Arial"/>
          <w:snapToGrid w:val="0"/>
          <w:color w:val="auto"/>
          <w:kern w:val="2"/>
          <w:sz w:val="24"/>
          <w:szCs w:val="21"/>
          <w:highlight w:val="none"/>
          <w:lang w:val="en-US" w:eastAsia="zh-CN" w:bidi="ar-SA"/>
        </w:rPr>
        <w:t>供应商</w:t>
      </w:r>
      <w:r>
        <w:rPr>
          <w:rFonts w:hint="eastAsia"/>
          <w:color w:val="auto"/>
          <w:highlight w:val="none"/>
          <w:lang w:val="en-US" w:eastAsia="zh-CN"/>
        </w:rPr>
        <w:t>应明确项目经理，指派专人人员与业主方进行技术对接，项目经理及技术人员应保持手机24小时开机。如需更换技术人员，需提前与采购人沟通；运维人员必须熟悉能源项目Ovation DCS及相关硬件，具有操作维护经验；</w:t>
      </w:r>
    </w:p>
    <w:p>
      <w:pPr>
        <w:pStyle w:val="6"/>
        <w:numPr>
          <w:ilvl w:val="0"/>
          <w:numId w:val="0"/>
        </w:numPr>
        <w:ind w:firstLine="480" w:firstLineChars="200"/>
        <w:rPr>
          <w:rFonts w:hint="eastAsia"/>
          <w:lang w:val="en-US"/>
        </w:rPr>
      </w:pPr>
      <w:r>
        <w:rPr>
          <w:rFonts w:hint="eastAsia"/>
          <w:color w:val="auto"/>
          <w:highlight w:val="none"/>
          <w:lang w:val="en-US" w:eastAsia="zh-CN"/>
        </w:rPr>
        <w:t>2.</w:t>
      </w:r>
      <w:r>
        <w:rPr>
          <w:rFonts w:hint="eastAsia"/>
          <w:lang w:val="en-US" w:eastAsia="zh-CN"/>
        </w:rPr>
        <w:t>采购人</w:t>
      </w:r>
      <w:r>
        <w:rPr>
          <w:rFonts w:hint="eastAsia"/>
          <w:color w:val="auto"/>
          <w:lang w:val="en-US" w:eastAsia="zh-CN"/>
        </w:rPr>
        <w:t>提前两周通知乙方到场服务日期，供应商按时到现场服务</w:t>
      </w:r>
      <w:r>
        <w:rPr>
          <w:rFonts w:hint="eastAsia"/>
          <w:lang w:val="en-US"/>
        </w:rPr>
        <w:t>。</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3.接到维护要求时，运维人员需在白天2小时、夜间8小时内（0：00-8：00为夜间）做出响应，及时处理系统现场异常情况，确保系统正常使用；如遇设备损坏等特殊情况，出具处理办法，双方协商解决。</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4.每次维护形成一个服务报告。</w:t>
      </w:r>
    </w:p>
    <w:p>
      <w:pPr>
        <w:pStyle w:val="6"/>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六、结算方式</w:t>
      </w:r>
    </w:p>
    <w:p>
      <w:pPr>
        <w:pStyle w:val="7"/>
        <w:ind w:left="0" w:leftChars="0" w:firstLine="480" w:firstLineChars="200"/>
        <w:rPr>
          <w:rFonts w:hint="default"/>
          <w:b w:val="0"/>
          <w:bCs w:val="0"/>
          <w:color w:val="auto"/>
          <w:highlight w:val="none"/>
          <w:lang w:val="en-US" w:eastAsia="zh-CN"/>
        </w:rPr>
      </w:pPr>
      <w:r>
        <w:rPr>
          <w:rFonts w:hint="eastAsia"/>
          <w:b w:val="0"/>
          <w:bCs w:val="0"/>
          <w:color w:val="auto"/>
          <w:highlight w:val="none"/>
          <w:lang w:val="en-US" w:eastAsia="zh-CN"/>
        </w:rPr>
        <w:t>1.合同金额为包干价，合同期限内采购人不再额外支付费用，特殊情况除外。</w:t>
      </w:r>
    </w:p>
    <w:p>
      <w:pPr>
        <w:pStyle w:val="7"/>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2.以本询价采购文件中的合同条款为准。</w:t>
      </w:r>
    </w:p>
    <w:p>
      <w:pPr>
        <w:pStyle w:val="13"/>
        <w:rPr>
          <w:rFonts w:hint="eastAsia"/>
          <w:color w:val="auto"/>
          <w:highlight w:val="none"/>
          <w:lang w:eastAsia="zh-CN"/>
        </w:rPr>
      </w:pPr>
    </w:p>
    <w:p>
      <w:pPr>
        <w:rPr>
          <w:rFonts w:hint="eastAsia"/>
          <w:color w:val="auto"/>
          <w:highlight w:val="none"/>
          <w:lang w:eastAsia="zh-CN"/>
        </w:rPr>
      </w:pPr>
    </w:p>
    <w:p>
      <w:pPr>
        <w:pStyle w:val="13"/>
        <w:rPr>
          <w:rFonts w:hint="eastAsia"/>
          <w:color w:val="auto"/>
          <w:highlight w:val="none"/>
          <w:lang w:eastAsia="zh-CN"/>
        </w:rPr>
      </w:pPr>
    </w:p>
    <w:p>
      <w:pPr>
        <w:rPr>
          <w:rFonts w:hint="eastAsia"/>
          <w:color w:val="auto"/>
          <w:highlight w:val="none"/>
          <w:lang w:eastAsia="zh-CN"/>
        </w:rPr>
      </w:pPr>
    </w:p>
    <w:p>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2104"/>
      <w:bookmarkEnd w:id="19"/>
      <w:bookmarkStart w:id="20" w:name="_Toc184310309"/>
      <w:bookmarkEnd w:id="20"/>
      <w:bookmarkStart w:id="21" w:name="_Toc184310318"/>
      <w:bookmarkEnd w:id="21"/>
      <w:bookmarkStart w:id="22" w:name="_Toc184312079"/>
      <w:bookmarkEnd w:id="22"/>
      <w:bookmarkStart w:id="23" w:name="_Toc184314468"/>
      <w:bookmarkEnd w:id="23"/>
      <w:bookmarkStart w:id="24" w:name="_Toc184310330"/>
      <w:bookmarkEnd w:id="24"/>
      <w:bookmarkStart w:id="25" w:name="_Toc184313262"/>
      <w:bookmarkEnd w:id="25"/>
      <w:bookmarkStart w:id="26" w:name="_Toc184312095"/>
      <w:bookmarkEnd w:id="26"/>
      <w:bookmarkStart w:id="27" w:name="_Toc184314423"/>
      <w:bookmarkEnd w:id="27"/>
      <w:bookmarkStart w:id="28" w:name="_Toc184314440"/>
      <w:bookmarkEnd w:id="28"/>
      <w:bookmarkStart w:id="29" w:name="_Toc184310278"/>
      <w:bookmarkEnd w:id="29"/>
      <w:bookmarkStart w:id="30" w:name="_Toc184314441"/>
      <w:bookmarkEnd w:id="30"/>
      <w:bookmarkStart w:id="31" w:name="_Toc184308096"/>
      <w:bookmarkEnd w:id="31"/>
      <w:bookmarkStart w:id="32" w:name="_Toc184308036"/>
      <w:bookmarkEnd w:id="32"/>
      <w:bookmarkStart w:id="33" w:name="_Toc184310337"/>
      <w:bookmarkEnd w:id="33"/>
      <w:bookmarkStart w:id="34" w:name="_Toc184308058"/>
      <w:bookmarkEnd w:id="34"/>
      <w:bookmarkStart w:id="35" w:name="_Toc184313238"/>
      <w:bookmarkEnd w:id="35"/>
      <w:bookmarkStart w:id="36" w:name="_Toc184312090"/>
      <w:bookmarkEnd w:id="36"/>
      <w:bookmarkStart w:id="37" w:name="_Toc184314438"/>
      <w:bookmarkEnd w:id="37"/>
      <w:bookmarkStart w:id="38" w:name="_Toc184312137"/>
      <w:bookmarkEnd w:id="38"/>
      <w:bookmarkStart w:id="39" w:name="_Toc184308080"/>
      <w:bookmarkEnd w:id="39"/>
      <w:bookmarkStart w:id="40" w:name="_Toc184313247"/>
      <w:bookmarkEnd w:id="40"/>
      <w:bookmarkStart w:id="41" w:name="_Toc184314462"/>
      <w:bookmarkEnd w:id="41"/>
      <w:bookmarkStart w:id="42" w:name="_Toc184312108"/>
      <w:bookmarkEnd w:id="42"/>
      <w:bookmarkStart w:id="43" w:name="_Toc184314444"/>
      <w:bookmarkEnd w:id="43"/>
      <w:bookmarkStart w:id="44" w:name="_Toc184312093"/>
      <w:bookmarkEnd w:id="44"/>
      <w:bookmarkStart w:id="45" w:name="_Toc184313272"/>
      <w:bookmarkEnd w:id="45"/>
      <w:bookmarkStart w:id="46" w:name="_Toc184308097"/>
      <w:bookmarkEnd w:id="46"/>
      <w:bookmarkStart w:id="47" w:name="_Toc184314455"/>
      <w:bookmarkEnd w:id="47"/>
      <w:bookmarkStart w:id="48" w:name="_Toc184308070"/>
      <w:bookmarkEnd w:id="48"/>
      <w:bookmarkStart w:id="49" w:name="_Toc184308082"/>
      <w:bookmarkEnd w:id="49"/>
      <w:bookmarkStart w:id="50" w:name="_Toc184308046"/>
      <w:bookmarkEnd w:id="50"/>
      <w:bookmarkStart w:id="51" w:name="_Toc184308066"/>
      <w:bookmarkEnd w:id="51"/>
      <w:bookmarkStart w:id="52" w:name="_Toc184310291"/>
      <w:bookmarkEnd w:id="52"/>
      <w:bookmarkStart w:id="53" w:name="_Toc184312076"/>
      <w:bookmarkEnd w:id="53"/>
      <w:bookmarkStart w:id="54" w:name="_Toc184312122"/>
      <w:bookmarkEnd w:id="54"/>
      <w:bookmarkStart w:id="55" w:name="_Toc184312113"/>
      <w:bookmarkEnd w:id="55"/>
      <w:bookmarkStart w:id="56" w:name="_Toc184314471"/>
      <w:bookmarkEnd w:id="56"/>
      <w:bookmarkStart w:id="57" w:name="_Toc184308087"/>
      <w:bookmarkEnd w:id="57"/>
      <w:bookmarkStart w:id="58" w:name="_Toc184313248"/>
      <w:bookmarkEnd w:id="58"/>
      <w:bookmarkStart w:id="59" w:name="_Toc184314442"/>
      <w:bookmarkEnd w:id="59"/>
      <w:bookmarkStart w:id="60" w:name="_Toc184310275"/>
      <w:bookmarkEnd w:id="60"/>
      <w:bookmarkStart w:id="61" w:name="_Toc184313269"/>
      <w:bookmarkEnd w:id="61"/>
      <w:bookmarkStart w:id="62" w:name="_Toc184310302"/>
      <w:bookmarkEnd w:id="62"/>
      <w:bookmarkStart w:id="63" w:name="_Toc184313295"/>
      <w:bookmarkEnd w:id="63"/>
      <w:bookmarkStart w:id="64" w:name="_Toc184312135"/>
      <w:bookmarkEnd w:id="64"/>
      <w:bookmarkStart w:id="65" w:name="_Toc184312092"/>
      <w:bookmarkEnd w:id="65"/>
      <w:bookmarkStart w:id="66" w:name="_Toc184308101"/>
      <w:bookmarkEnd w:id="66"/>
      <w:bookmarkStart w:id="67" w:name="_Toc184313302"/>
      <w:bookmarkEnd w:id="67"/>
      <w:bookmarkStart w:id="68" w:name="_Toc184308048"/>
      <w:bookmarkEnd w:id="68"/>
      <w:bookmarkStart w:id="69" w:name="_Toc184310316"/>
      <w:bookmarkEnd w:id="69"/>
      <w:bookmarkStart w:id="70" w:name="_Toc184310312"/>
      <w:bookmarkEnd w:id="70"/>
      <w:bookmarkStart w:id="71" w:name="_Toc184308099"/>
      <w:bookmarkEnd w:id="71"/>
      <w:bookmarkStart w:id="72" w:name="_Toc184310272"/>
      <w:bookmarkEnd w:id="72"/>
      <w:bookmarkStart w:id="73" w:name="_Toc184308059"/>
      <w:bookmarkEnd w:id="73"/>
      <w:bookmarkStart w:id="74" w:name="_Toc184313292"/>
      <w:bookmarkEnd w:id="74"/>
      <w:bookmarkStart w:id="75" w:name="_Toc184310285"/>
      <w:bookmarkEnd w:id="75"/>
      <w:bookmarkStart w:id="76" w:name="_Toc184314417"/>
      <w:bookmarkEnd w:id="76"/>
      <w:bookmarkStart w:id="77" w:name="_Toc184310319"/>
      <w:bookmarkEnd w:id="77"/>
      <w:bookmarkStart w:id="78" w:name="_Toc184314419"/>
      <w:bookmarkEnd w:id="78"/>
      <w:bookmarkStart w:id="79" w:name="_Toc184308041"/>
      <w:bookmarkEnd w:id="79"/>
      <w:bookmarkStart w:id="80" w:name="_Toc184310300"/>
      <w:bookmarkEnd w:id="80"/>
      <w:bookmarkStart w:id="81" w:name="_Toc184310315"/>
      <w:bookmarkEnd w:id="81"/>
      <w:bookmarkStart w:id="82" w:name="_Toc184314464"/>
      <w:bookmarkEnd w:id="82"/>
      <w:bookmarkStart w:id="83" w:name="_Toc184313301"/>
      <w:bookmarkEnd w:id="83"/>
      <w:bookmarkStart w:id="84" w:name="_Toc184308052"/>
      <w:bookmarkEnd w:id="84"/>
      <w:bookmarkStart w:id="85" w:name="_Toc184312099"/>
      <w:bookmarkEnd w:id="85"/>
      <w:bookmarkStart w:id="86" w:name="_Toc184308103"/>
      <w:bookmarkEnd w:id="86"/>
      <w:bookmarkStart w:id="87" w:name="_Toc184308093"/>
      <w:bookmarkEnd w:id="87"/>
      <w:bookmarkStart w:id="88" w:name="_Toc184313282"/>
      <w:bookmarkEnd w:id="88"/>
      <w:bookmarkStart w:id="89" w:name="_Toc184313310"/>
      <w:bookmarkEnd w:id="89"/>
      <w:bookmarkStart w:id="90" w:name="_Toc184312112"/>
      <w:bookmarkEnd w:id="90"/>
      <w:bookmarkStart w:id="91" w:name="_Toc184313240"/>
      <w:bookmarkEnd w:id="91"/>
      <w:bookmarkStart w:id="92" w:name="_Toc184313241"/>
      <w:bookmarkEnd w:id="92"/>
      <w:bookmarkStart w:id="93" w:name="_Toc184310331"/>
      <w:bookmarkEnd w:id="93"/>
      <w:bookmarkStart w:id="94" w:name="_Toc184313251"/>
      <w:bookmarkEnd w:id="94"/>
      <w:bookmarkStart w:id="95" w:name="_Toc184312109"/>
      <w:bookmarkEnd w:id="95"/>
      <w:bookmarkStart w:id="96" w:name="_Toc184314431"/>
      <w:bookmarkEnd w:id="96"/>
      <w:bookmarkStart w:id="97" w:name="_Toc184308098"/>
      <w:bookmarkEnd w:id="97"/>
      <w:bookmarkStart w:id="98" w:name="_Toc184312136"/>
      <w:bookmarkEnd w:id="98"/>
      <w:bookmarkStart w:id="99" w:name="_Toc184312133"/>
      <w:bookmarkEnd w:id="99"/>
      <w:bookmarkStart w:id="100" w:name="_Toc184314432"/>
      <w:bookmarkEnd w:id="100"/>
      <w:bookmarkStart w:id="101" w:name="_Toc184312075"/>
      <w:bookmarkEnd w:id="101"/>
      <w:bookmarkStart w:id="102" w:name="_Toc184313296"/>
      <w:bookmarkEnd w:id="102"/>
      <w:bookmarkStart w:id="103" w:name="_Toc184312080"/>
      <w:bookmarkEnd w:id="103"/>
      <w:bookmarkStart w:id="104" w:name="_Toc184310310"/>
      <w:bookmarkEnd w:id="104"/>
      <w:bookmarkStart w:id="105" w:name="_Toc184308083"/>
      <w:bookmarkEnd w:id="105"/>
      <w:bookmarkStart w:id="106" w:name="_Toc184308095"/>
      <w:bookmarkEnd w:id="106"/>
      <w:bookmarkStart w:id="107" w:name="_Toc184310274"/>
      <w:bookmarkEnd w:id="107"/>
      <w:bookmarkStart w:id="108" w:name="_Toc184308064"/>
      <w:bookmarkEnd w:id="108"/>
      <w:bookmarkStart w:id="109" w:name="_Toc184312087"/>
      <w:bookmarkEnd w:id="109"/>
      <w:bookmarkStart w:id="110" w:name="_Toc184313259"/>
      <w:bookmarkEnd w:id="110"/>
      <w:bookmarkStart w:id="111" w:name="_Toc184312067"/>
      <w:bookmarkEnd w:id="111"/>
      <w:bookmarkStart w:id="112" w:name="_Toc184310323"/>
      <w:bookmarkEnd w:id="112"/>
      <w:bookmarkStart w:id="113" w:name="_Toc184310297"/>
      <w:bookmarkEnd w:id="113"/>
      <w:bookmarkStart w:id="114" w:name="_Toc184313250"/>
      <w:bookmarkEnd w:id="114"/>
      <w:bookmarkStart w:id="115" w:name="_Toc184310281"/>
      <w:bookmarkEnd w:id="115"/>
      <w:bookmarkStart w:id="116" w:name="_Toc184313254"/>
      <w:bookmarkEnd w:id="116"/>
      <w:bookmarkStart w:id="117" w:name="_Toc184308056"/>
      <w:bookmarkEnd w:id="117"/>
      <w:bookmarkStart w:id="118" w:name="_Toc184314481"/>
      <w:bookmarkEnd w:id="118"/>
      <w:bookmarkStart w:id="119" w:name="_Toc184312102"/>
      <w:bookmarkEnd w:id="119"/>
      <w:bookmarkStart w:id="120" w:name="_Toc184308062"/>
      <w:bookmarkEnd w:id="120"/>
      <w:bookmarkStart w:id="121" w:name="_Toc184310340"/>
      <w:bookmarkEnd w:id="121"/>
      <w:bookmarkStart w:id="122" w:name="_Toc184312126"/>
      <w:bookmarkEnd w:id="122"/>
      <w:bookmarkStart w:id="123" w:name="_Toc184314466"/>
      <w:bookmarkEnd w:id="123"/>
      <w:bookmarkStart w:id="124" w:name="_Toc184314467"/>
      <w:bookmarkEnd w:id="124"/>
      <w:bookmarkStart w:id="125" w:name="_Toc184308073"/>
      <w:bookmarkEnd w:id="125"/>
      <w:bookmarkStart w:id="126" w:name="_Toc184308040"/>
      <w:bookmarkEnd w:id="126"/>
      <w:bookmarkStart w:id="127" w:name="_Toc184308061"/>
      <w:bookmarkEnd w:id="127"/>
      <w:bookmarkStart w:id="128" w:name="_Toc184310327"/>
      <w:bookmarkEnd w:id="128"/>
      <w:bookmarkStart w:id="129" w:name="_Toc184312119"/>
      <w:bookmarkEnd w:id="129"/>
      <w:bookmarkStart w:id="130" w:name="_Toc184312068"/>
      <w:bookmarkEnd w:id="130"/>
      <w:bookmarkStart w:id="131" w:name="_Toc184308055"/>
      <w:bookmarkEnd w:id="131"/>
      <w:bookmarkStart w:id="132" w:name="_Toc184314410"/>
      <w:bookmarkEnd w:id="132"/>
      <w:bookmarkStart w:id="133" w:name="_Toc184314427"/>
      <w:bookmarkEnd w:id="133"/>
      <w:bookmarkStart w:id="134" w:name="_Toc184312077"/>
      <w:bookmarkEnd w:id="134"/>
      <w:bookmarkStart w:id="135" w:name="_Toc184308042"/>
      <w:bookmarkEnd w:id="135"/>
      <w:bookmarkStart w:id="136" w:name="_Toc184308084"/>
      <w:bookmarkEnd w:id="136"/>
      <w:bookmarkStart w:id="137" w:name="_Toc184312085"/>
      <w:bookmarkEnd w:id="137"/>
      <w:bookmarkStart w:id="138" w:name="_Toc184314430"/>
      <w:bookmarkEnd w:id="138"/>
      <w:bookmarkStart w:id="139" w:name="_Toc184310313"/>
      <w:bookmarkEnd w:id="139"/>
      <w:bookmarkStart w:id="140" w:name="_Toc184313307"/>
      <w:bookmarkEnd w:id="140"/>
      <w:bookmarkStart w:id="141" w:name="_Toc184313260"/>
      <w:bookmarkEnd w:id="141"/>
      <w:bookmarkStart w:id="142" w:name="_Toc184310324"/>
      <w:bookmarkEnd w:id="142"/>
      <w:bookmarkStart w:id="143" w:name="_Toc184314428"/>
      <w:bookmarkEnd w:id="143"/>
      <w:bookmarkStart w:id="144" w:name="_Toc184310341"/>
      <w:bookmarkEnd w:id="144"/>
      <w:bookmarkStart w:id="145" w:name="_Toc184310288"/>
      <w:bookmarkEnd w:id="145"/>
      <w:bookmarkStart w:id="146" w:name="_Toc184308081"/>
      <w:bookmarkEnd w:id="146"/>
      <w:bookmarkStart w:id="147" w:name="_Toc184310335"/>
      <w:bookmarkEnd w:id="147"/>
      <w:bookmarkStart w:id="148" w:name="_Toc184314460"/>
      <w:bookmarkEnd w:id="148"/>
      <w:bookmarkStart w:id="149" w:name="_Toc184312071"/>
      <w:bookmarkEnd w:id="149"/>
      <w:bookmarkStart w:id="150" w:name="_Toc184313243"/>
      <w:bookmarkEnd w:id="150"/>
      <w:bookmarkStart w:id="151" w:name="_Toc184310282"/>
      <w:bookmarkEnd w:id="151"/>
      <w:bookmarkStart w:id="152" w:name="_Toc184308105"/>
      <w:bookmarkEnd w:id="152"/>
      <w:bookmarkStart w:id="153" w:name="_Toc184308068"/>
      <w:bookmarkEnd w:id="153"/>
      <w:bookmarkStart w:id="154" w:name="_Toc184314470"/>
      <w:bookmarkEnd w:id="154"/>
      <w:bookmarkStart w:id="155" w:name="_Toc184314433"/>
      <w:bookmarkEnd w:id="155"/>
      <w:bookmarkStart w:id="156" w:name="_Toc184314447"/>
      <w:bookmarkEnd w:id="156"/>
      <w:bookmarkStart w:id="157" w:name="_Toc184314443"/>
      <w:bookmarkEnd w:id="157"/>
      <w:bookmarkStart w:id="158" w:name="_Toc184308100"/>
      <w:bookmarkEnd w:id="158"/>
      <w:bookmarkStart w:id="159" w:name="_Toc184310326"/>
      <w:bookmarkEnd w:id="159"/>
      <w:bookmarkStart w:id="160" w:name="_Toc184314478"/>
      <w:bookmarkEnd w:id="160"/>
      <w:bookmarkStart w:id="161" w:name="_Toc184308086"/>
      <w:bookmarkEnd w:id="161"/>
      <w:bookmarkStart w:id="162" w:name="_Toc184310305"/>
      <w:bookmarkEnd w:id="162"/>
      <w:bookmarkStart w:id="163" w:name="_Toc184308104"/>
      <w:bookmarkEnd w:id="163"/>
      <w:bookmarkStart w:id="164" w:name="_Toc184313264"/>
      <w:bookmarkEnd w:id="164"/>
      <w:bookmarkStart w:id="165" w:name="_Toc184313281"/>
      <w:bookmarkEnd w:id="165"/>
      <w:bookmarkStart w:id="166" w:name="_Toc184313244"/>
      <w:bookmarkEnd w:id="166"/>
      <w:bookmarkStart w:id="167" w:name="_Toc184308106"/>
      <w:bookmarkEnd w:id="167"/>
      <w:bookmarkStart w:id="168" w:name="_Toc184312074"/>
      <w:bookmarkEnd w:id="168"/>
      <w:bookmarkStart w:id="169" w:name="_Toc184310283"/>
      <w:bookmarkEnd w:id="169"/>
      <w:bookmarkStart w:id="170" w:name="_Toc184308085"/>
      <w:bookmarkEnd w:id="170"/>
      <w:bookmarkStart w:id="171" w:name="_Toc184314476"/>
      <w:bookmarkEnd w:id="171"/>
      <w:bookmarkStart w:id="172" w:name="_Toc184314482"/>
      <w:bookmarkEnd w:id="172"/>
      <w:bookmarkStart w:id="173" w:name="_Toc184310338"/>
      <w:bookmarkEnd w:id="173"/>
      <w:bookmarkStart w:id="174" w:name="_Toc184310295"/>
      <w:bookmarkEnd w:id="174"/>
      <w:bookmarkStart w:id="175" w:name="_Toc184308108"/>
      <w:bookmarkEnd w:id="175"/>
      <w:bookmarkStart w:id="176" w:name="_Toc184313239"/>
      <w:bookmarkEnd w:id="176"/>
      <w:bookmarkStart w:id="177" w:name="_Toc184308088"/>
      <w:bookmarkEnd w:id="177"/>
      <w:bookmarkStart w:id="178" w:name="_Toc184314435"/>
      <w:bookmarkEnd w:id="178"/>
      <w:bookmarkStart w:id="179" w:name="_Toc184310289"/>
      <w:bookmarkEnd w:id="179"/>
      <w:bookmarkStart w:id="180" w:name="_Toc184312072"/>
      <w:bookmarkEnd w:id="180"/>
      <w:bookmarkStart w:id="181" w:name="_Toc184312107"/>
      <w:bookmarkEnd w:id="181"/>
      <w:bookmarkStart w:id="182" w:name="_Toc184314459"/>
      <w:bookmarkEnd w:id="182"/>
      <w:bookmarkStart w:id="183" w:name="_Toc184314454"/>
      <w:bookmarkEnd w:id="183"/>
      <w:bookmarkStart w:id="184" w:name="_Toc184313305"/>
      <w:bookmarkEnd w:id="184"/>
      <w:bookmarkStart w:id="185" w:name="_Toc184314461"/>
      <w:bookmarkEnd w:id="185"/>
      <w:bookmarkStart w:id="186" w:name="_Toc184308054"/>
      <w:bookmarkEnd w:id="186"/>
      <w:bookmarkStart w:id="187" w:name="_Toc184312131"/>
      <w:bookmarkEnd w:id="187"/>
      <w:bookmarkStart w:id="188" w:name="_Toc184308091"/>
      <w:bookmarkEnd w:id="188"/>
      <w:bookmarkStart w:id="189" w:name="_Toc184313309"/>
      <w:bookmarkEnd w:id="189"/>
      <w:bookmarkStart w:id="190" w:name="_Toc184310306"/>
      <w:bookmarkEnd w:id="190"/>
      <w:bookmarkStart w:id="191" w:name="_Toc184310311"/>
      <w:bookmarkEnd w:id="191"/>
      <w:bookmarkStart w:id="192" w:name="_Toc184313297"/>
      <w:bookmarkEnd w:id="192"/>
      <w:bookmarkStart w:id="193" w:name="_Toc184312129"/>
      <w:bookmarkEnd w:id="193"/>
      <w:bookmarkStart w:id="194" w:name="_Toc184312084"/>
      <w:bookmarkEnd w:id="194"/>
      <w:bookmarkStart w:id="195" w:name="_Toc184312128"/>
      <w:bookmarkEnd w:id="195"/>
      <w:bookmarkStart w:id="196" w:name="_Toc184313300"/>
      <w:bookmarkEnd w:id="196"/>
      <w:bookmarkStart w:id="197" w:name="_Toc184312098"/>
      <w:bookmarkEnd w:id="197"/>
      <w:bookmarkStart w:id="198" w:name="_Toc184310325"/>
      <w:bookmarkEnd w:id="198"/>
      <w:bookmarkStart w:id="199" w:name="_Toc184314474"/>
      <w:bookmarkEnd w:id="199"/>
      <w:bookmarkStart w:id="200" w:name="_Toc184308077"/>
      <w:bookmarkEnd w:id="200"/>
      <w:bookmarkStart w:id="201" w:name="_Toc184313286"/>
      <w:bookmarkEnd w:id="201"/>
      <w:bookmarkStart w:id="202" w:name="_Toc184310317"/>
      <w:bookmarkEnd w:id="202"/>
      <w:bookmarkStart w:id="203" w:name="_Toc184314448"/>
      <w:bookmarkEnd w:id="203"/>
      <w:bookmarkStart w:id="204" w:name="_Toc184310293"/>
      <w:bookmarkEnd w:id="204"/>
      <w:bookmarkStart w:id="205" w:name="_Toc184308047"/>
      <w:bookmarkEnd w:id="205"/>
      <w:bookmarkStart w:id="206" w:name="_Toc184310343"/>
      <w:bookmarkEnd w:id="206"/>
      <w:bookmarkStart w:id="207" w:name="_Toc184310287"/>
      <w:bookmarkEnd w:id="207"/>
      <w:bookmarkStart w:id="208" w:name="_Toc184314450"/>
      <w:bookmarkEnd w:id="208"/>
      <w:bookmarkStart w:id="209" w:name="_Toc184308038"/>
      <w:bookmarkEnd w:id="209"/>
      <w:bookmarkStart w:id="210" w:name="_Toc184308089"/>
      <w:bookmarkEnd w:id="210"/>
      <w:bookmarkStart w:id="211" w:name="_Toc184313273"/>
      <w:bookmarkEnd w:id="211"/>
      <w:bookmarkStart w:id="212" w:name="_Toc184313279"/>
      <w:bookmarkEnd w:id="212"/>
      <w:bookmarkStart w:id="213" w:name="_Toc184314473"/>
      <w:bookmarkEnd w:id="213"/>
      <w:bookmarkStart w:id="214" w:name="_Toc184310299"/>
      <w:bookmarkEnd w:id="214"/>
      <w:bookmarkStart w:id="215" w:name="_Toc184310277"/>
      <w:bookmarkEnd w:id="215"/>
      <w:bookmarkStart w:id="216" w:name="_Toc184313293"/>
      <w:bookmarkEnd w:id="216"/>
      <w:bookmarkStart w:id="217" w:name="_Toc184313258"/>
      <w:bookmarkEnd w:id="217"/>
      <w:bookmarkStart w:id="218" w:name="_Toc184314477"/>
      <w:bookmarkEnd w:id="218"/>
      <w:bookmarkStart w:id="219" w:name="_Toc184312132"/>
      <w:bookmarkEnd w:id="219"/>
      <w:bookmarkStart w:id="220" w:name="_Toc184313242"/>
      <w:bookmarkEnd w:id="220"/>
      <w:bookmarkStart w:id="221" w:name="_Toc184313266"/>
      <w:bookmarkEnd w:id="221"/>
      <w:bookmarkStart w:id="222" w:name="_Toc184313257"/>
      <w:bookmarkEnd w:id="222"/>
      <w:bookmarkStart w:id="223" w:name="_Toc184308057"/>
      <w:bookmarkEnd w:id="223"/>
      <w:bookmarkStart w:id="224" w:name="_Toc184314457"/>
      <w:bookmarkEnd w:id="224"/>
      <w:bookmarkStart w:id="225" w:name="_Toc184313246"/>
      <w:bookmarkEnd w:id="225"/>
      <w:bookmarkStart w:id="226" w:name="_Toc184314436"/>
      <w:bookmarkEnd w:id="226"/>
      <w:bookmarkStart w:id="227" w:name="_Toc184312123"/>
      <w:bookmarkEnd w:id="227"/>
      <w:bookmarkStart w:id="228" w:name="_Toc184312073"/>
      <w:bookmarkEnd w:id="228"/>
      <w:bookmarkStart w:id="229" w:name="_Toc184310307"/>
      <w:bookmarkEnd w:id="229"/>
      <w:bookmarkStart w:id="230" w:name="_Toc184308078"/>
      <w:bookmarkEnd w:id="230"/>
      <w:bookmarkStart w:id="231" w:name="_Toc184313255"/>
      <w:bookmarkEnd w:id="231"/>
      <w:bookmarkStart w:id="232" w:name="_Toc184310303"/>
      <w:bookmarkEnd w:id="232"/>
      <w:bookmarkStart w:id="233" w:name="_Toc184310276"/>
      <w:bookmarkEnd w:id="233"/>
      <w:bookmarkStart w:id="234" w:name="_Toc184314437"/>
      <w:bookmarkEnd w:id="234"/>
      <w:bookmarkStart w:id="235" w:name="_Toc184310336"/>
      <w:bookmarkEnd w:id="235"/>
      <w:bookmarkStart w:id="236" w:name="_Toc184314424"/>
      <w:bookmarkEnd w:id="236"/>
      <w:bookmarkStart w:id="237" w:name="_Toc184312120"/>
      <w:bookmarkEnd w:id="237"/>
      <w:bookmarkStart w:id="238" w:name="_Toc184310273"/>
      <w:bookmarkEnd w:id="238"/>
      <w:bookmarkStart w:id="239" w:name="_Toc184314416"/>
      <w:bookmarkEnd w:id="239"/>
      <w:bookmarkStart w:id="240" w:name="_Toc184312106"/>
      <w:bookmarkEnd w:id="240"/>
      <w:bookmarkStart w:id="241" w:name="_Toc184314449"/>
      <w:bookmarkEnd w:id="241"/>
      <w:bookmarkStart w:id="242" w:name="_Toc184313245"/>
      <w:bookmarkEnd w:id="242"/>
      <w:bookmarkStart w:id="243" w:name="_Toc184310342"/>
      <w:bookmarkEnd w:id="243"/>
      <w:bookmarkStart w:id="244" w:name="_Toc184313274"/>
      <w:bookmarkEnd w:id="244"/>
      <w:bookmarkStart w:id="245" w:name="_Toc184310296"/>
      <w:bookmarkEnd w:id="245"/>
      <w:bookmarkStart w:id="246" w:name="_Toc184310308"/>
      <w:bookmarkEnd w:id="246"/>
      <w:bookmarkStart w:id="247" w:name="_Toc184313276"/>
      <w:bookmarkEnd w:id="247"/>
      <w:bookmarkStart w:id="248" w:name="_Toc184312082"/>
      <w:bookmarkEnd w:id="248"/>
      <w:bookmarkStart w:id="249" w:name="_Toc184314415"/>
      <w:bookmarkEnd w:id="249"/>
      <w:bookmarkStart w:id="250" w:name="_Toc184313263"/>
      <w:bookmarkEnd w:id="250"/>
      <w:bookmarkStart w:id="251" w:name="_Toc184308043"/>
      <w:bookmarkEnd w:id="251"/>
      <w:bookmarkStart w:id="252" w:name="_Toc184312139"/>
      <w:bookmarkEnd w:id="252"/>
      <w:bookmarkStart w:id="253" w:name="_Toc184312111"/>
      <w:bookmarkEnd w:id="253"/>
      <w:bookmarkStart w:id="254" w:name="_Toc184308094"/>
      <w:bookmarkEnd w:id="254"/>
      <w:bookmarkStart w:id="255" w:name="_Toc184314480"/>
      <w:bookmarkEnd w:id="255"/>
      <w:bookmarkStart w:id="256" w:name="_Toc184313284"/>
      <w:bookmarkEnd w:id="256"/>
      <w:bookmarkStart w:id="257" w:name="_Toc184313278"/>
      <w:bookmarkEnd w:id="257"/>
      <w:bookmarkStart w:id="258" w:name="_Toc184310332"/>
      <w:bookmarkEnd w:id="258"/>
      <w:bookmarkStart w:id="259" w:name="_Toc184310298"/>
      <w:bookmarkEnd w:id="259"/>
      <w:bookmarkStart w:id="260" w:name="_Toc184314452"/>
      <w:bookmarkEnd w:id="260"/>
      <w:bookmarkStart w:id="261" w:name="_Toc184310280"/>
      <w:bookmarkEnd w:id="261"/>
      <w:bookmarkStart w:id="262" w:name="_Toc184313288"/>
      <w:bookmarkEnd w:id="262"/>
      <w:bookmarkStart w:id="263" w:name="_Toc184308065"/>
      <w:bookmarkEnd w:id="263"/>
      <w:bookmarkStart w:id="264" w:name="_Toc184313261"/>
      <w:bookmarkEnd w:id="264"/>
      <w:bookmarkStart w:id="265" w:name="_Toc184313298"/>
      <w:bookmarkEnd w:id="265"/>
      <w:bookmarkStart w:id="266" w:name="_Toc184312125"/>
      <w:bookmarkEnd w:id="266"/>
      <w:bookmarkStart w:id="267" w:name="_Toc184313283"/>
      <w:bookmarkEnd w:id="267"/>
      <w:bookmarkStart w:id="268" w:name="_Toc184313270"/>
      <w:bookmarkEnd w:id="268"/>
      <w:bookmarkStart w:id="269" w:name="_Toc184312121"/>
      <w:bookmarkEnd w:id="269"/>
      <w:bookmarkStart w:id="270" w:name="_Toc184310286"/>
      <w:bookmarkEnd w:id="270"/>
      <w:bookmarkStart w:id="271" w:name="_Toc184314413"/>
      <w:bookmarkEnd w:id="271"/>
      <w:bookmarkStart w:id="272" w:name="_Toc184308079"/>
      <w:bookmarkEnd w:id="272"/>
      <w:bookmarkStart w:id="273" w:name="_Toc184313294"/>
      <w:bookmarkEnd w:id="273"/>
      <w:bookmarkStart w:id="274" w:name="_Toc184314412"/>
      <w:bookmarkEnd w:id="274"/>
      <w:bookmarkStart w:id="275" w:name="_Toc184312078"/>
      <w:bookmarkEnd w:id="275"/>
      <w:bookmarkStart w:id="276" w:name="_Toc184314458"/>
      <w:bookmarkEnd w:id="276"/>
      <w:bookmarkStart w:id="277" w:name="_Toc184308074"/>
      <w:bookmarkEnd w:id="277"/>
      <w:bookmarkStart w:id="278" w:name="_Toc184308049"/>
      <w:bookmarkEnd w:id="278"/>
      <w:bookmarkStart w:id="279" w:name="_Toc184314420"/>
      <w:bookmarkEnd w:id="279"/>
      <w:bookmarkStart w:id="280" w:name="_Toc184313308"/>
      <w:bookmarkEnd w:id="280"/>
      <w:bookmarkStart w:id="281" w:name="_Toc184314434"/>
      <w:bookmarkEnd w:id="281"/>
      <w:bookmarkStart w:id="282" w:name="_Toc184310301"/>
      <w:bookmarkEnd w:id="282"/>
      <w:bookmarkStart w:id="283" w:name="_Toc184308102"/>
      <w:bookmarkEnd w:id="283"/>
      <w:bookmarkStart w:id="284" w:name="_Toc184313299"/>
      <w:bookmarkEnd w:id="284"/>
      <w:bookmarkStart w:id="285" w:name="_Toc184308037"/>
      <w:bookmarkEnd w:id="285"/>
      <w:bookmarkStart w:id="286" w:name="_Toc184312088"/>
      <w:bookmarkEnd w:id="286"/>
      <w:bookmarkStart w:id="287" w:name="_Toc184312069"/>
      <w:bookmarkEnd w:id="287"/>
      <w:bookmarkStart w:id="288" w:name="_Toc184314453"/>
      <w:bookmarkEnd w:id="288"/>
      <w:bookmarkStart w:id="289" w:name="_Toc184312124"/>
      <w:bookmarkEnd w:id="289"/>
      <w:bookmarkStart w:id="290" w:name="_Toc184312070"/>
      <w:bookmarkEnd w:id="290"/>
      <w:bookmarkStart w:id="291" w:name="_Toc184312081"/>
      <w:bookmarkEnd w:id="291"/>
      <w:bookmarkStart w:id="292" w:name="_Toc184314472"/>
      <w:bookmarkEnd w:id="292"/>
      <w:bookmarkStart w:id="293" w:name="_Toc184310339"/>
      <w:bookmarkEnd w:id="293"/>
      <w:bookmarkStart w:id="294" w:name="_Toc184310304"/>
      <w:bookmarkEnd w:id="294"/>
      <w:bookmarkStart w:id="295" w:name="_Toc184313290"/>
      <w:bookmarkEnd w:id="295"/>
      <w:bookmarkStart w:id="296" w:name="_Toc184313275"/>
      <w:bookmarkEnd w:id="296"/>
      <w:bookmarkStart w:id="297" w:name="_Toc184312096"/>
      <w:bookmarkEnd w:id="297"/>
      <w:bookmarkStart w:id="298" w:name="_Toc184308039"/>
      <w:bookmarkEnd w:id="298"/>
      <w:bookmarkStart w:id="299" w:name="_Toc184313306"/>
      <w:bookmarkEnd w:id="299"/>
      <w:bookmarkStart w:id="300" w:name="_Toc184310334"/>
      <w:bookmarkEnd w:id="300"/>
      <w:bookmarkStart w:id="301" w:name="_Toc184313303"/>
      <w:bookmarkEnd w:id="301"/>
      <w:bookmarkStart w:id="302" w:name="_Toc184308060"/>
      <w:bookmarkEnd w:id="302"/>
      <w:bookmarkStart w:id="303" w:name="_Toc184310294"/>
      <w:bookmarkEnd w:id="303"/>
      <w:bookmarkStart w:id="304" w:name="_Toc184314425"/>
      <w:bookmarkEnd w:id="304"/>
      <w:bookmarkStart w:id="305" w:name="_Toc184314451"/>
      <w:bookmarkEnd w:id="305"/>
      <w:bookmarkStart w:id="306" w:name="_Toc184310290"/>
      <w:bookmarkEnd w:id="306"/>
      <w:bookmarkStart w:id="307" w:name="_Toc184313291"/>
      <w:bookmarkEnd w:id="307"/>
      <w:bookmarkStart w:id="308" w:name="_Toc184310329"/>
      <w:bookmarkEnd w:id="308"/>
      <w:bookmarkStart w:id="309" w:name="_Toc184312134"/>
      <w:bookmarkEnd w:id="309"/>
      <w:bookmarkStart w:id="310" w:name="_Toc184312138"/>
      <w:bookmarkEnd w:id="310"/>
      <w:bookmarkStart w:id="311" w:name="_Toc184313289"/>
      <w:bookmarkEnd w:id="311"/>
      <w:bookmarkStart w:id="312" w:name="_Toc184313280"/>
      <w:bookmarkEnd w:id="312"/>
      <w:bookmarkStart w:id="313" w:name="_Toc184313253"/>
      <w:bookmarkEnd w:id="313"/>
      <w:bookmarkStart w:id="314" w:name="_Toc184312083"/>
      <w:bookmarkEnd w:id="314"/>
      <w:bookmarkStart w:id="315" w:name="_Toc184310284"/>
      <w:bookmarkEnd w:id="315"/>
      <w:bookmarkStart w:id="316" w:name="_Toc184312094"/>
      <w:bookmarkEnd w:id="316"/>
      <w:bookmarkStart w:id="317" w:name="_Toc184308071"/>
      <w:bookmarkEnd w:id="317"/>
      <w:bookmarkStart w:id="318" w:name="_Toc184314429"/>
      <w:bookmarkEnd w:id="318"/>
      <w:bookmarkStart w:id="319" w:name="_Toc184312089"/>
      <w:bookmarkEnd w:id="319"/>
      <w:bookmarkStart w:id="320" w:name="_Toc184308107"/>
      <w:bookmarkEnd w:id="320"/>
      <w:bookmarkStart w:id="321" w:name="_Toc184314426"/>
      <w:bookmarkEnd w:id="321"/>
      <w:bookmarkStart w:id="322" w:name="_Toc184312114"/>
      <w:bookmarkEnd w:id="322"/>
      <w:bookmarkStart w:id="323" w:name="_Toc184308053"/>
      <w:bookmarkEnd w:id="323"/>
      <w:bookmarkStart w:id="324" w:name="_Toc184313268"/>
      <w:bookmarkEnd w:id="324"/>
      <w:bookmarkStart w:id="325" w:name="_Toc184313249"/>
      <w:bookmarkEnd w:id="325"/>
      <w:bookmarkStart w:id="326" w:name="_Toc184313277"/>
      <w:bookmarkEnd w:id="326"/>
      <w:bookmarkStart w:id="327" w:name="_Toc184313285"/>
      <w:bookmarkEnd w:id="327"/>
      <w:bookmarkStart w:id="328" w:name="_Toc184314456"/>
      <w:bookmarkEnd w:id="328"/>
      <w:bookmarkStart w:id="329" w:name="_Toc184313252"/>
      <w:bookmarkEnd w:id="329"/>
      <w:bookmarkStart w:id="330" w:name="_Toc184312105"/>
      <w:bookmarkEnd w:id="330"/>
      <w:bookmarkStart w:id="331" w:name="_Toc184314465"/>
      <w:bookmarkEnd w:id="331"/>
      <w:bookmarkStart w:id="332" w:name="_Toc184312100"/>
      <w:bookmarkEnd w:id="332"/>
      <w:bookmarkStart w:id="333" w:name="_Toc184313265"/>
      <w:bookmarkEnd w:id="333"/>
      <w:bookmarkStart w:id="334" w:name="_Toc184308050"/>
      <w:bookmarkEnd w:id="334"/>
      <w:bookmarkStart w:id="335" w:name="_Toc184312116"/>
      <w:bookmarkEnd w:id="335"/>
      <w:bookmarkStart w:id="336" w:name="_Toc184312110"/>
      <w:bookmarkEnd w:id="336"/>
      <w:bookmarkStart w:id="337" w:name="_Toc184312117"/>
      <w:bookmarkEnd w:id="337"/>
      <w:bookmarkStart w:id="338" w:name="_Toc184308069"/>
      <w:bookmarkEnd w:id="338"/>
      <w:bookmarkStart w:id="339" w:name="_Toc184308090"/>
      <w:bookmarkEnd w:id="339"/>
      <w:bookmarkStart w:id="340" w:name="_Toc184314445"/>
      <w:bookmarkEnd w:id="340"/>
      <w:bookmarkStart w:id="341" w:name="_Toc184314418"/>
      <w:bookmarkEnd w:id="341"/>
      <w:bookmarkStart w:id="342" w:name="_Toc184312091"/>
      <w:bookmarkEnd w:id="342"/>
      <w:bookmarkStart w:id="343" w:name="_Toc184308067"/>
      <w:bookmarkEnd w:id="343"/>
      <w:bookmarkStart w:id="344" w:name="_Toc184314463"/>
      <w:bookmarkEnd w:id="344"/>
      <w:bookmarkStart w:id="345" w:name="_Toc184308072"/>
      <w:bookmarkEnd w:id="345"/>
      <w:bookmarkStart w:id="346" w:name="_Toc184308051"/>
      <w:bookmarkEnd w:id="346"/>
      <w:bookmarkStart w:id="347" w:name="_Toc184308075"/>
      <w:bookmarkEnd w:id="347"/>
      <w:bookmarkStart w:id="348" w:name="_Toc184308045"/>
      <w:bookmarkEnd w:id="348"/>
      <w:bookmarkStart w:id="349" w:name="_Toc184312086"/>
      <w:bookmarkEnd w:id="349"/>
      <w:bookmarkStart w:id="350" w:name="_Toc184308092"/>
      <w:bookmarkEnd w:id="350"/>
      <w:bookmarkStart w:id="351" w:name="_Toc184313304"/>
      <w:bookmarkEnd w:id="351"/>
      <w:bookmarkStart w:id="352" w:name="_Toc184314439"/>
      <w:bookmarkEnd w:id="352"/>
      <w:bookmarkStart w:id="353" w:name="_Toc184314422"/>
      <w:bookmarkEnd w:id="353"/>
      <w:bookmarkStart w:id="354" w:name="_Toc184313256"/>
      <w:bookmarkEnd w:id="354"/>
      <w:bookmarkStart w:id="355" w:name="_Toc184310322"/>
      <w:bookmarkEnd w:id="355"/>
      <w:bookmarkStart w:id="356" w:name="_Toc184314475"/>
      <w:bookmarkEnd w:id="356"/>
      <w:bookmarkStart w:id="357" w:name="_Toc184312130"/>
      <w:bookmarkEnd w:id="357"/>
      <w:bookmarkStart w:id="358" w:name="_Toc184312127"/>
      <w:bookmarkEnd w:id="358"/>
      <w:bookmarkStart w:id="359" w:name="_Toc184314469"/>
      <w:bookmarkEnd w:id="359"/>
      <w:bookmarkStart w:id="360" w:name="_Toc184310279"/>
      <w:bookmarkEnd w:id="360"/>
      <w:bookmarkStart w:id="361" w:name="_Toc184312103"/>
      <w:bookmarkEnd w:id="361"/>
      <w:bookmarkStart w:id="362" w:name="_Toc184310314"/>
      <w:bookmarkEnd w:id="362"/>
      <w:bookmarkStart w:id="363" w:name="_Toc184308076"/>
      <w:bookmarkEnd w:id="363"/>
      <w:bookmarkStart w:id="364" w:name="_Toc184314421"/>
      <w:bookmarkEnd w:id="364"/>
      <w:bookmarkStart w:id="365" w:name="_Toc184310344"/>
      <w:bookmarkEnd w:id="365"/>
      <w:bookmarkStart w:id="366" w:name="_Toc184312118"/>
      <w:bookmarkEnd w:id="366"/>
      <w:bookmarkStart w:id="367" w:name="_Toc184310328"/>
      <w:bookmarkEnd w:id="367"/>
      <w:bookmarkStart w:id="368" w:name="_Toc184313267"/>
      <w:bookmarkEnd w:id="368"/>
      <w:bookmarkStart w:id="369" w:name="_Toc184314479"/>
      <w:bookmarkEnd w:id="369"/>
      <w:bookmarkStart w:id="370" w:name="_Toc184314411"/>
      <w:bookmarkEnd w:id="370"/>
      <w:bookmarkStart w:id="371" w:name="_Toc184310333"/>
      <w:bookmarkEnd w:id="371"/>
      <w:bookmarkStart w:id="372" w:name="_Toc184308063"/>
      <w:bookmarkEnd w:id="372"/>
      <w:bookmarkStart w:id="373" w:name="_Toc184310292"/>
      <w:bookmarkEnd w:id="373"/>
      <w:bookmarkStart w:id="374" w:name="_Toc184308044"/>
      <w:bookmarkEnd w:id="374"/>
      <w:bookmarkStart w:id="375" w:name="_Toc184314446"/>
      <w:bookmarkEnd w:id="375"/>
      <w:bookmarkStart w:id="376" w:name="_Toc184314414"/>
      <w:bookmarkEnd w:id="376"/>
      <w:bookmarkStart w:id="377" w:name="_Toc184310321"/>
      <w:bookmarkEnd w:id="377"/>
      <w:bookmarkStart w:id="378" w:name="_Toc184310320"/>
      <w:bookmarkEnd w:id="378"/>
      <w:bookmarkStart w:id="379" w:name="_Toc184313287"/>
      <w:bookmarkEnd w:id="379"/>
      <w:bookmarkStart w:id="380" w:name="_Toc184312097"/>
      <w:bookmarkEnd w:id="380"/>
      <w:bookmarkStart w:id="381" w:name="_Toc184312101"/>
      <w:bookmarkEnd w:id="381"/>
      <w:bookmarkStart w:id="382" w:name="_Toc184312115"/>
      <w:bookmarkEnd w:id="382"/>
      <w:bookmarkStart w:id="383" w:name="_Toc184313271"/>
      <w:bookmarkEnd w:id="383"/>
      <w:r>
        <w:rPr>
          <w:rFonts w:hint="eastAsia" w:cs="仿宋" w:asciiTheme="minorEastAsia" w:hAnsiTheme="minorEastAsia"/>
          <w:b/>
          <w:color w:val="auto"/>
          <w:sz w:val="36"/>
          <w:szCs w:val="36"/>
          <w:highlight w:val="none"/>
        </w:rPr>
        <w:t>评审方法</w:t>
      </w:r>
    </w:p>
    <w:p>
      <w:pPr>
        <w:adjustRightInd w:val="0"/>
        <w:snapToGrid w:val="0"/>
        <w:spacing w:line="460" w:lineRule="exact"/>
        <w:ind w:firstLine="480" w:firstLineChars="200"/>
        <w:rPr>
          <w:rFonts w:cs="仿宋" w:asciiTheme="minorEastAsia" w:hAnsiTheme="minorEastAsia"/>
          <w:color w:val="auto"/>
          <w:sz w:val="24"/>
          <w:highlight w:val="none"/>
        </w:rPr>
      </w:pP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p>
    <w:p>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实质性响应要求的供应商中，按照报价由低到高的顺序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6"/>
        <w:ind w:firstLine="480" w:firstLineChars="200"/>
        <w:rPr>
          <w:rFonts w:hint="eastAsia"/>
          <w:color w:val="auto"/>
          <w:highlight w:val="none"/>
        </w:rPr>
      </w:pPr>
      <w:r>
        <w:rPr>
          <w:rFonts w:hint="default"/>
          <w:color w:val="auto"/>
          <w:highlight w:val="none"/>
          <w:lang w:val="en-US"/>
        </w:rPr>
        <w:t>1.2</w:t>
      </w:r>
      <w:r>
        <w:rPr>
          <w:rFonts w:hint="eastAsia"/>
          <w:color w:val="auto"/>
          <w:highlight w:val="none"/>
          <w:lang w:val="en-US" w:eastAsia="zh-CN"/>
        </w:rPr>
        <w:t>若</w:t>
      </w:r>
      <w:r>
        <w:rPr>
          <w:rFonts w:hint="eastAsia"/>
          <w:color w:val="auto"/>
          <w:highlight w:val="none"/>
        </w:rPr>
        <w:t>出现相同总金额最低报价情况时，</w:t>
      </w:r>
      <w:r>
        <w:rPr>
          <w:rFonts w:hint="eastAsia"/>
          <w:b/>
          <w:bCs/>
          <w:color w:val="auto"/>
          <w:highlight w:val="none"/>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pPr>
        <w:widowControl/>
        <w:snapToGrid w:val="0"/>
        <w:spacing w:line="460" w:lineRule="exact"/>
        <w:ind w:firstLine="480" w:firstLineChars="200"/>
        <w:rPr>
          <w:rFonts w:hint="eastAsia"/>
          <w:color w:val="auto"/>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.3在采购过程中符合竞争要求的供应商或者报价未超过采购</w:t>
      </w:r>
      <w:r>
        <w:rPr>
          <w:rFonts w:hint="eastAsia" w:cs="仿宋" w:asciiTheme="minorEastAsia" w:hAnsiTheme="minorEastAsia"/>
          <w:color w:val="auto"/>
          <w:sz w:val="24"/>
          <w:highlight w:val="none"/>
          <w:lang w:val="en-US" w:eastAsia="zh-CN"/>
        </w:rPr>
        <w:t>限价</w:t>
      </w:r>
      <w:r>
        <w:rPr>
          <w:rFonts w:hint="eastAsia" w:cs="仿宋" w:asciiTheme="minorEastAsia" w:hAnsiTheme="minorEastAsia"/>
          <w:color w:val="auto"/>
          <w:sz w:val="24"/>
          <w:highlight w:val="none"/>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pPr>
        <w:pStyle w:val="8"/>
        <w:rPr>
          <w:rFonts w:cs="仿宋" w:asciiTheme="minorEastAsia" w:hAnsiTheme="minorEastAsia"/>
          <w:color w:val="auto"/>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服务类采购合同</w:t>
      </w:r>
    </w:p>
    <w:p>
      <w:pPr>
        <w:spacing w:before="120" w:line="22" w:lineRule="atLeast"/>
        <w:rPr>
          <w:rFonts w:ascii="宋体" w:hAnsi="宋体" w:cs="宋体"/>
          <w:sz w:val="24"/>
          <w:highlight w:val="none"/>
        </w:rPr>
      </w:pPr>
    </w:p>
    <w:p>
      <w:pPr>
        <w:pStyle w:val="3"/>
        <w:tabs>
          <w:tab w:val="left" w:pos="432"/>
        </w:tabs>
        <w:rPr>
          <w:rFonts w:hint="default" w:eastAsia="黑体"/>
          <w:highlight w:val="none"/>
          <w:lang w:val="en-US" w:eastAsia="zh-CN"/>
        </w:rPr>
      </w:pPr>
      <w:r>
        <w:rPr>
          <w:rFonts w:hint="eastAsia"/>
          <w:highlight w:val="none"/>
          <w:lang w:val="en-US" w:eastAsia="zh-CN"/>
        </w:rPr>
        <w:t xml:space="preserve">              </w:t>
      </w:r>
    </w:p>
    <w:p>
      <w:pPr>
        <w:spacing w:before="120" w:line="22" w:lineRule="atLeast"/>
        <w:ind w:firstLine="480" w:firstLineChars="2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lang w:eastAsia="zh-CN"/>
        </w:rPr>
        <w:t xml:space="preserve">  2024年度艾默生 Ovation DCS系统年度维保采购项目 </w:t>
      </w:r>
      <w:r>
        <w:rPr>
          <w:rFonts w:hint="eastAsia" w:ascii="宋体" w:hAnsi="宋体" w:cs="宋体"/>
          <w:sz w:val="24"/>
          <w:highlight w:val="none"/>
          <w:u w:val="single"/>
          <w:lang w:val="en-US" w:eastAsia="zh-CN"/>
        </w:rPr>
        <w:t xml:space="preserve"> </w:t>
      </w:r>
    </w:p>
    <w:p>
      <w:pPr>
        <w:rPr>
          <w:rFonts w:ascii="宋体" w:hAnsi="宋体" w:cs="宋体"/>
          <w:sz w:val="24"/>
          <w:highlight w:val="none"/>
        </w:rPr>
      </w:pPr>
    </w:p>
    <w:p>
      <w:pPr>
        <w:spacing w:before="120" w:line="22" w:lineRule="atLeast"/>
        <w:ind w:firstLine="480" w:firstLineChars="20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杭州临江环境能源有限公司         </w:t>
      </w:r>
    </w:p>
    <w:p>
      <w:pPr>
        <w:spacing w:before="120" w:line="22" w:lineRule="atLeast"/>
        <w:rPr>
          <w:rFonts w:ascii="宋体" w:hAnsi="宋体" w:cs="宋体"/>
          <w:sz w:val="24"/>
          <w:highlight w:val="none"/>
        </w:rPr>
      </w:pPr>
    </w:p>
    <w:p>
      <w:pPr>
        <w:spacing w:before="120" w:line="22" w:lineRule="atLeast"/>
        <w:ind w:firstLine="480" w:firstLineChars="20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480" w:firstLineChars="2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浙江省杭州市钱塘区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480" w:firstLineChars="200"/>
        <w:rPr>
          <w:rFonts w:ascii="宋体" w:hAnsi="宋体" w:cs="宋体"/>
          <w:kern w:val="0"/>
          <w:sz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7"/>
        <w:ind w:firstLine="214"/>
        <w:jc w:val="center"/>
        <w:rPr>
          <w:rFonts w:hint="eastAsia"/>
          <w:b/>
          <w:bCs/>
          <w:highlight w:val="none"/>
        </w:rPr>
      </w:pPr>
      <w:r>
        <w:rPr>
          <w:rFonts w:hint="eastAsia"/>
          <w:b/>
          <w:bCs/>
          <w:highlight w:val="none"/>
        </w:rPr>
        <w:t>目录</w:t>
      </w:r>
    </w:p>
    <w:p>
      <w:pPr>
        <w:pStyle w:val="9"/>
        <w:spacing w:line="360" w:lineRule="auto"/>
        <w:ind w:firstLine="240" w:firstLineChars="100"/>
        <w:rPr>
          <w:highlight w:val="none"/>
        </w:rPr>
      </w:pPr>
      <w:r>
        <w:rPr>
          <w:rFonts w:hint="eastAsia"/>
          <w:highlight w:val="none"/>
        </w:rPr>
        <w:t>第一章 合同书  …………………………………………………………（页码）</w:t>
      </w:r>
    </w:p>
    <w:p>
      <w:pPr>
        <w:pStyle w:val="9"/>
        <w:spacing w:line="360" w:lineRule="auto"/>
        <w:ind w:firstLine="240" w:firstLineChars="100"/>
        <w:rPr>
          <w:rFonts w:hint="eastAsia"/>
          <w:highlight w:val="none"/>
        </w:rPr>
      </w:pPr>
      <w:r>
        <w:rPr>
          <w:rFonts w:hint="eastAsia"/>
          <w:highlight w:val="none"/>
        </w:rPr>
        <w:t>第二章 合同一般条款……………………………………………………（页码）</w:t>
      </w:r>
    </w:p>
    <w:p>
      <w:pPr>
        <w:pStyle w:val="9"/>
        <w:spacing w:line="360" w:lineRule="auto"/>
        <w:ind w:firstLine="240" w:firstLineChars="100"/>
        <w:rPr>
          <w:rFonts w:hint="eastAsia"/>
          <w:highlight w:val="none"/>
        </w:rPr>
      </w:pPr>
      <w:r>
        <w:rPr>
          <w:rFonts w:hint="eastAsia"/>
          <w:highlight w:val="none"/>
        </w:rPr>
        <w:t>第三章 安全协议…………………………………………………………（页码）</w:t>
      </w:r>
    </w:p>
    <w:p>
      <w:pPr>
        <w:pStyle w:val="9"/>
        <w:spacing w:line="360" w:lineRule="auto"/>
        <w:ind w:firstLine="240" w:firstLineChars="100"/>
        <w:rPr>
          <w:highlight w:val="none"/>
        </w:rPr>
      </w:pPr>
      <w:r>
        <w:rPr>
          <w:rFonts w:hint="eastAsia"/>
          <w:highlight w:val="none"/>
        </w:rPr>
        <w:t>第四章 廉洁协议…………………………………………………………（页码）</w:t>
      </w: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pStyle w:val="6"/>
        <w:rPr>
          <w:highlight w:val="non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pStyle w:val="24"/>
        <w:ind w:left="0" w:leftChars="0" w:firstLine="0" w:firstLineChars="0"/>
        <w:jc w:val="center"/>
        <w:rPr>
          <w:rFonts w:ascii="宋体" w:hAnsi="宋体"/>
          <w:highlight w:val="none"/>
          <w:u w:val="single"/>
          <w:lang w:val="zh-CN"/>
        </w:rPr>
      </w:pPr>
      <w:r>
        <w:rPr>
          <w:rFonts w:hint="eastAsia" w:ascii="宋体" w:hAnsi="宋体" w:cs="宋体"/>
          <w:b/>
          <w:szCs w:val="24"/>
          <w:highlight w:val="none"/>
        </w:rPr>
        <w:t>第一章 合同书</w:t>
      </w:r>
    </w:p>
    <w:p>
      <w:pPr>
        <w:spacing w:line="360" w:lineRule="auto"/>
        <w:ind w:firstLine="480" w:firstLineChars="200"/>
        <w:rPr>
          <w:rFonts w:hint="eastAsia" w:ascii="宋体" w:hAnsi="宋体"/>
          <w:sz w:val="24"/>
          <w:highlight w:val="none"/>
          <w:lang w:val="en-US" w:eastAsia="zh-CN"/>
        </w:rPr>
      </w:pPr>
      <w:r>
        <w:rPr>
          <w:rFonts w:ascii="宋体" w:hAnsi="宋体"/>
          <w:sz w:val="24"/>
          <w:highlight w:val="none"/>
          <w:u w:val="single"/>
          <w:lang w:val="zh-CN"/>
        </w:rPr>
        <w:t xml:space="preserve"> </w:t>
      </w:r>
      <w:r>
        <w:rPr>
          <w:rFonts w:hint="eastAsia" w:ascii="宋体" w:hAnsi="宋体"/>
          <w:sz w:val="24"/>
          <w:highlight w:val="none"/>
          <w:u w:val="single"/>
          <w:lang w:eastAsia="zh-CN"/>
        </w:rPr>
        <w:t>2024</w:t>
      </w:r>
      <w:r>
        <w:rPr>
          <w:rFonts w:ascii="宋体" w:hAnsi="宋体"/>
          <w:sz w:val="24"/>
          <w:highlight w:val="none"/>
          <w:u w:val="single"/>
          <w:lang w:val="zh-CN"/>
        </w:rPr>
        <w:t xml:space="preserve">  </w:t>
      </w:r>
      <w:r>
        <w:rPr>
          <w:rFonts w:hint="eastAsia" w:ascii="宋体" w:hAnsi="宋体"/>
          <w:sz w:val="24"/>
          <w:highlight w:val="none"/>
          <w:lang w:val="zh-CN"/>
        </w:rPr>
        <w:t>年</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月</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日</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hint="eastAsia" w:ascii="宋体" w:hAnsi="宋体"/>
          <w:sz w:val="24"/>
          <w:highlight w:val="none"/>
        </w:rPr>
        <w:t>以</w:t>
      </w:r>
      <w:r>
        <w:rPr>
          <w:rFonts w:ascii="宋体" w:hAnsi="宋体"/>
          <w:sz w:val="24"/>
          <w:highlight w:val="none"/>
          <w:u w:val="single"/>
        </w:rPr>
        <w:t xml:space="preserve">  </w:t>
      </w:r>
      <w:r>
        <w:rPr>
          <w:rFonts w:hint="eastAsia" w:ascii="宋体" w:hAnsi="宋体"/>
          <w:sz w:val="24"/>
          <w:highlight w:val="none"/>
          <w:u w:val="single"/>
          <w:lang w:val="en-US" w:eastAsia="zh-CN"/>
        </w:rPr>
        <w:t xml:space="preserve"> 询价 </w:t>
      </w:r>
      <w:r>
        <w:rPr>
          <w:rFonts w:hint="eastAsia" w:ascii="宋体" w:hAnsi="宋体"/>
          <w:sz w:val="24"/>
          <w:highlight w:val="none"/>
          <w:u w:val="single"/>
        </w:rPr>
        <w:t xml:space="preserve"> </w:t>
      </w:r>
      <w:r>
        <w:rPr>
          <w:rFonts w:hint="eastAsia" w:ascii="宋体" w:hAnsi="宋体"/>
          <w:sz w:val="24"/>
          <w:highlight w:val="none"/>
        </w:rPr>
        <w:t>形式对</w:t>
      </w:r>
      <w:r>
        <w:rPr>
          <w:rFonts w:hint="eastAsia" w:ascii="宋体" w:hAnsi="宋体" w:cs="宋体"/>
          <w:sz w:val="24"/>
          <w:highlight w:val="none"/>
          <w:u w:val="single"/>
          <w:lang w:eastAsia="zh-CN"/>
        </w:rPr>
        <w:t>2024年度艾默生 Ovation DCS系统年度维保采购项目</w:t>
      </w:r>
      <w:r>
        <w:rPr>
          <w:rFonts w:hint="eastAsia" w:ascii="宋体" w:hAnsi="宋体"/>
          <w:sz w:val="24"/>
          <w:highlight w:val="none"/>
        </w:rPr>
        <w:t>进行了采购。经</w:t>
      </w:r>
      <w:r>
        <w:rPr>
          <w:rFonts w:ascii="宋体" w:hAnsi="宋体"/>
          <w:sz w:val="24"/>
          <w:highlight w:val="none"/>
          <w:u w:val="single"/>
        </w:rPr>
        <w:t xml:space="preserve"> </w:t>
      </w:r>
      <w:r>
        <w:rPr>
          <w:rFonts w:hint="eastAsia" w:ascii="宋体" w:hAnsi="宋体"/>
          <w:sz w:val="24"/>
          <w:highlight w:val="none"/>
          <w:u w:val="single"/>
          <w:lang w:val="en-US" w:eastAsia="zh-CN"/>
        </w:rPr>
        <w:t>评审小组</w:t>
      </w:r>
      <w:r>
        <w:rPr>
          <w:rFonts w:ascii="宋体" w:hAnsi="宋体"/>
          <w:sz w:val="24"/>
          <w:highlight w:val="none"/>
          <w:u w:val="single"/>
        </w:rPr>
        <w:t xml:space="preserve"> </w:t>
      </w:r>
      <w:r>
        <w:rPr>
          <w:rFonts w:hint="eastAsia" w:ascii="宋体" w:hAnsi="宋体"/>
          <w:sz w:val="24"/>
          <w:highlight w:val="none"/>
        </w:rPr>
        <w:t>评定，</w:t>
      </w:r>
      <w:r>
        <w:rPr>
          <w:rFonts w:hint="eastAsia" w:ascii="宋体" w:hAnsi="宋体"/>
          <w:sz w:val="24"/>
          <w:highlight w:val="none"/>
          <w:lang w:val="en-US" w:eastAsia="zh-CN"/>
        </w:rPr>
        <w:t xml:space="preserve"> </w:t>
      </w:r>
    </w:p>
    <w:p>
      <w:pPr>
        <w:spacing w:line="360" w:lineRule="auto"/>
        <w:rPr>
          <w:rFonts w:ascii="宋体" w:hAnsi="宋体"/>
          <w:sz w:val="24"/>
          <w:highlight w:val="none"/>
        </w:rPr>
      </w:pP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 xml:space="preserve"> </w:t>
      </w:r>
      <w:r>
        <w:rPr>
          <w:rFonts w:hint="eastAsia" w:ascii="宋体" w:hAnsi="宋体"/>
          <w:sz w:val="24"/>
          <w:highlight w:val="none"/>
        </w:rPr>
        <w:t>为该项目</w:t>
      </w:r>
      <w:r>
        <w:rPr>
          <w:rFonts w:hint="eastAsia" w:ascii="宋体" w:hAnsi="宋体" w:cs="宋体"/>
          <w:sz w:val="24"/>
          <w:highlight w:val="none"/>
        </w:rPr>
        <w:t>中标或者成交供应商</w:t>
      </w:r>
      <w:r>
        <w:rPr>
          <w:rFonts w:hint="eastAsia" w:ascii="宋体" w:hAnsi="宋体"/>
          <w:sz w:val="24"/>
          <w:highlight w:val="none"/>
        </w:rPr>
        <w:t>。现于</w:t>
      </w:r>
      <w:r>
        <w:rPr>
          <w:rFonts w:hint="eastAsia" w:ascii="宋体" w:hAnsi="宋体" w:cs="宋体"/>
          <w:sz w:val="24"/>
          <w:highlight w:val="none"/>
        </w:rPr>
        <w:t>中标或者成交通知书</w:t>
      </w:r>
      <w:r>
        <w:rPr>
          <w:rFonts w:hint="eastAsia" w:ascii="宋体" w:hAnsi="宋体"/>
          <w:sz w:val="24"/>
          <w:highlight w:val="none"/>
        </w:rPr>
        <w:t>发出之日起30</w:t>
      </w:r>
      <w:r>
        <w:rPr>
          <w:rFonts w:hint="eastAsia" w:ascii="宋体" w:hAnsi="宋体"/>
          <w:sz w:val="24"/>
          <w:highlight w:val="none"/>
          <w:lang w:val="en-US" w:eastAsia="zh-CN"/>
        </w:rPr>
        <w:t>天</w:t>
      </w:r>
      <w:r>
        <w:rPr>
          <w:rFonts w:hint="eastAsia" w:ascii="宋体" w:hAnsi="宋体"/>
          <w:sz w:val="24"/>
          <w:highlight w:val="none"/>
        </w:rPr>
        <w:t>内，按照采购文件确定的事项签订本合同。</w:t>
      </w:r>
    </w:p>
    <w:p>
      <w:pPr>
        <w:spacing w:line="360" w:lineRule="auto"/>
        <w:ind w:firstLine="480" w:firstLineChars="200"/>
        <w:rPr>
          <w:rFonts w:ascii="宋体" w:hAnsi="宋体"/>
          <w:sz w:val="24"/>
          <w:highlight w:val="none"/>
        </w:rPr>
      </w:pPr>
      <w:r>
        <w:rPr>
          <w:rFonts w:hint="eastAsia" w:ascii="宋体" w:hAnsi="宋体"/>
          <w:sz w:val="24"/>
          <w:highlight w:val="none"/>
          <w:lang w:val="zh-CN"/>
        </w:rPr>
        <w:t>根据《中华人民共和国民法典》等相关法律法规之规定，按照平等、自愿、公平和诚实信用的原则，经</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ascii="宋体" w:hAnsi="宋体"/>
          <w:sz w:val="24"/>
          <w:highlight w:val="none"/>
          <w:u w:val="single"/>
        </w:rPr>
        <w:t xml:space="preserve"> </w:t>
      </w:r>
      <w:r>
        <w:rPr>
          <w:rFonts w:hint="eastAsia" w:ascii="宋体" w:hAnsi="宋体"/>
          <w:sz w:val="24"/>
          <w:highlight w:val="none"/>
          <w:u w:val="single"/>
          <w:lang w:eastAsia="zh-CN"/>
        </w:rPr>
        <w:t>（</w:t>
      </w:r>
      <w:r>
        <w:rPr>
          <w:rFonts w:ascii="宋体" w:hAnsi="宋体"/>
          <w:sz w:val="24"/>
          <w:highlight w:val="none"/>
          <w:lang w:val="zh-CN"/>
        </w:rPr>
        <w:t>以下简称：甲方</w:t>
      </w:r>
      <w:r>
        <w:rPr>
          <w:rFonts w:hint="eastAsia" w:ascii="宋体" w:hAnsi="宋体"/>
          <w:sz w:val="24"/>
          <w:highlight w:val="none"/>
          <w:lang w:val="zh-CN"/>
        </w:rPr>
        <w:t>）</w:t>
      </w:r>
      <w:r>
        <w:rPr>
          <w:rFonts w:ascii="宋体" w:hAnsi="宋体"/>
          <w:sz w:val="24"/>
          <w:highlight w:val="none"/>
          <w:lang w:val="zh-CN"/>
        </w:rPr>
        <w:t>和</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 xml:space="preserve"> </w:t>
      </w:r>
      <w:r>
        <w:rPr>
          <w:rFonts w:ascii="宋体" w:hAnsi="宋体"/>
          <w:sz w:val="24"/>
          <w:highlight w:val="none"/>
          <w:u w:val="single"/>
        </w:rPr>
        <w:t xml:space="preserve">  </w:t>
      </w:r>
      <w:r>
        <w:rPr>
          <w:rFonts w:hint="eastAsia" w:ascii="宋体" w:hAnsi="宋体"/>
          <w:sz w:val="24"/>
          <w:highlight w:val="none"/>
          <w:u w:val="single"/>
          <w:lang w:eastAsia="zh-CN"/>
        </w:rPr>
        <w:t>（</w:t>
      </w:r>
      <w:r>
        <w:rPr>
          <w:rFonts w:ascii="宋体" w:hAnsi="宋体"/>
          <w:sz w:val="24"/>
          <w:highlight w:val="none"/>
          <w:lang w:val="zh-CN"/>
        </w:rPr>
        <w:t>以下简称：乙方</w:t>
      </w:r>
      <w:r>
        <w:rPr>
          <w:rFonts w:hint="eastAsia" w:ascii="宋体" w:hAnsi="宋体"/>
          <w:sz w:val="24"/>
          <w:highlight w:val="none"/>
          <w:lang w:val="zh-CN"/>
        </w:rPr>
        <w:t>）</w:t>
      </w:r>
      <w:r>
        <w:rPr>
          <w:rFonts w:ascii="宋体" w:hAnsi="宋体"/>
          <w:sz w:val="24"/>
          <w:highlight w:val="none"/>
          <w:lang w:val="zh-CN"/>
        </w:rPr>
        <w:t>协商一致，约定以下合同</w:t>
      </w:r>
      <w:r>
        <w:rPr>
          <w:rFonts w:hint="eastAsia" w:ascii="宋体" w:hAnsi="宋体"/>
          <w:sz w:val="24"/>
          <w:highlight w:val="none"/>
        </w:rPr>
        <w:t>条款，以兹共同遵守、全面履行。</w:t>
      </w:r>
    </w:p>
    <w:p>
      <w:pPr>
        <w:spacing w:line="360" w:lineRule="auto"/>
        <w:ind w:firstLine="482" w:firstLineChars="200"/>
        <w:outlineLvl w:val="0"/>
        <w:rPr>
          <w:rFonts w:ascii="宋体" w:hAnsi="宋体"/>
          <w:sz w:val="24"/>
          <w:highlight w:val="none"/>
        </w:rPr>
      </w:pPr>
      <w:bookmarkStart w:id="384" w:name="_Toc15367"/>
      <w:bookmarkStart w:id="385" w:name="_Toc22967"/>
      <w:bookmarkStart w:id="386" w:name="_Toc19273"/>
      <w:bookmarkStart w:id="387" w:name="_Toc28855"/>
      <w:bookmarkStart w:id="388" w:name="_Toc20421"/>
      <w:r>
        <w:rPr>
          <w:rFonts w:hint="eastAsia" w:ascii="宋体" w:hAnsi="宋体"/>
          <w:b/>
          <w:sz w:val="24"/>
          <w:highlight w:val="none"/>
        </w:rPr>
        <w:t>一、</w:t>
      </w:r>
      <w:r>
        <w:rPr>
          <w:rFonts w:ascii="宋体" w:hAnsi="宋体"/>
          <w:b/>
          <w:sz w:val="24"/>
          <w:highlight w:val="none"/>
        </w:rPr>
        <w:t xml:space="preserve"> </w:t>
      </w:r>
      <w:r>
        <w:rPr>
          <w:rFonts w:hint="eastAsia" w:ascii="宋体" w:hAnsi="宋体"/>
          <w:b/>
          <w:sz w:val="24"/>
          <w:highlight w:val="none"/>
        </w:rPr>
        <w:t>合同组成部分</w:t>
      </w:r>
      <w:bookmarkEnd w:id="384"/>
      <w:bookmarkEnd w:id="385"/>
      <w:bookmarkEnd w:id="386"/>
      <w:bookmarkEnd w:id="387"/>
      <w:bookmarkEnd w:id="388"/>
    </w:p>
    <w:p>
      <w:pPr>
        <w:spacing w:line="360" w:lineRule="auto"/>
        <w:ind w:firstLine="480" w:firstLineChars="200"/>
        <w:rPr>
          <w:rFonts w:ascii="宋体" w:hAnsi="宋体"/>
          <w:sz w:val="24"/>
          <w:highlight w:val="none"/>
        </w:rPr>
      </w:pPr>
      <w:r>
        <w:rPr>
          <w:rFonts w:hint="eastAsia" w:ascii="宋体" w:hAnsi="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highlight w:val="none"/>
          <w:lang w:eastAsia="zh-CN"/>
        </w:rPr>
        <w:t>份文件</w:t>
      </w:r>
      <w:r>
        <w:rPr>
          <w:rFonts w:hint="eastAsia" w:ascii="宋体" w:hAnsi="宋体"/>
          <w:sz w:val="24"/>
          <w:highlight w:val="none"/>
        </w:rPr>
        <w:t>的优先适用顺序如下：</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本合同及其补充合同、变更协议；</w:t>
      </w:r>
    </w:p>
    <w:p>
      <w:pPr>
        <w:spacing w:line="360" w:lineRule="auto"/>
        <w:ind w:firstLine="480" w:firstLineChars="200"/>
        <w:rPr>
          <w:rFonts w:ascii="宋体" w:hAnsi="宋体"/>
          <w:sz w:val="24"/>
          <w:highlight w:val="none"/>
        </w:rPr>
      </w:pPr>
      <w:r>
        <w:rPr>
          <w:rFonts w:hint="eastAsia" w:ascii="宋体" w:hAnsi="宋体"/>
          <w:sz w:val="24"/>
          <w:highlight w:val="none"/>
        </w:rPr>
        <w:t>2.中标或者成交通知书；</w:t>
      </w:r>
    </w:p>
    <w:p>
      <w:pPr>
        <w:spacing w:line="360" w:lineRule="auto"/>
        <w:ind w:firstLine="480" w:firstLineChars="200"/>
        <w:rPr>
          <w:rFonts w:ascii="宋体" w:hAnsi="宋体"/>
          <w:sz w:val="24"/>
          <w:highlight w:val="none"/>
        </w:rPr>
      </w:pPr>
      <w:r>
        <w:rPr>
          <w:rFonts w:hint="eastAsia" w:ascii="宋体" w:hAnsi="宋体"/>
          <w:sz w:val="24"/>
          <w:highlight w:val="none"/>
        </w:rPr>
        <w:t>3.投标或者响应文件（含澄清或者说明文件）；</w:t>
      </w:r>
    </w:p>
    <w:p>
      <w:pPr>
        <w:spacing w:line="360" w:lineRule="auto"/>
        <w:ind w:firstLine="480" w:firstLineChars="200"/>
        <w:rPr>
          <w:rFonts w:ascii="宋体" w:hAnsi="宋体"/>
          <w:sz w:val="24"/>
          <w:highlight w:val="none"/>
        </w:rPr>
      </w:pPr>
      <w:r>
        <w:rPr>
          <w:rFonts w:hint="eastAsia" w:ascii="宋体" w:hAnsi="宋体"/>
          <w:sz w:val="24"/>
          <w:highlight w:val="none"/>
        </w:rPr>
        <w:t>4.采购文件（含澄清或者修改文件）；</w:t>
      </w:r>
    </w:p>
    <w:p>
      <w:pPr>
        <w:spacing w:line="360" w:lineRule="auto"/>
        <w:ind w:firstLine="480" w:firstLineChars="200"/>
        <w:rPr>
          <w:rFonts w:ascii="宋体" w:hAnsi="宋体"/>
          <w:sz w:val="24"/>
          <w:highlight w:val="none"/>
        </w:rPr>
      </w:pPr>
      <w:r>
        <w:rPr>
          <w:rFonts w:hint="eastAsia" w:ascii="宋体" w:hAnsi="宋体"/>
          <w:sz w:val="24"/>
          <w:highlight w:val="none"/>
        </w:rPr>
        <w:t>5.其他相关采购文件。</w:t>
      </w:r>
    </w:p>
    <w:p>
      <w:pPr>
        <w:spacing w:line="360" w:lineRule="auto"/>
        <w:ind w:firstLine="482" w:firstLineChars="200"/>
        <w:outlineLvl w:val="0"/>
        <w:rPr>
          <w:rFonts w:hint="eastAsia" w:ascii="宋体" w:hAnsi="宋体"/>
          <w:b/>
          <w:sz w:val="24"/>
          <w:highlight w:val="none"/>
        </w:rPr>
      </w:pPr>
      <w:bookmarkStart w:id="389" w:name="_Toc2918"/>
      <w:bookmarkStart w:id="390" w:name="_Toc18585"/>
      <w:bookmarkStart w:id="391" w:name="_Toc6311"/>
      <w:bookmarkStart w:id="392" w:name="_Toc6773"/>
      <w:bookmarkStart w:id="393" w:name="_Toc22185"/>
      <w:r>
        <w:rPr>
          <w:rFonts w:hint="eastAsia" w:ascii="宋体" w:hAnsi="宋体"/>
          <w:b/>
          <w:sz w:val="24"/>
          <w:highlight w:val="none"/>
        </w:rPr>
        <w:t>二、合同标的</w:t>
      </w:r>
      <w:bookmarkEnd w:id="389"/>
      <w:bookmarkEnd w:id="390"/>
      <w:bookmarkEnd w:id="391"/>
      <w:bookmarkEnd w:id="392"/>
      <w:bookmarkEnd w:id="393"/>
      <w:r>
        <w:rPr>
          <w:rFonts w:hint="eastAsia" w:ascii="宋体" w:hAnsi="宋体"/>
          <w:b/>
          <w:sz w:val="24"/>
          <w:highlight w:val="none"/>
        </w:rPr>
        <w:t>及价款</w:t>
      </w:r>
    </w:p>
    <w:p>
      <w:pPr>
        <w:spacing w:line="360" w:lineRule="auto"/>
        <w:ind w:firstLine="480" w:firstLineChars="200"/>
        <w:rPr>
          <w:rFonts w:ascii="宋体" w:hAnsi="宋体"/>
          <w:sz w:val="24"/>
          <w:highlight w:val="none"/>
        </w:rPr>
      </w:pPr>
      <w:r>
        <w:rPr>
          <w:rFonts w:hint="eastAsia" w:ascii="宋体" w:hAnsi="宋体" w:cs="宋体"/>
          <w:sz w:val="24"/>
          <w:highlight w:val="none"/>
        </w:rPr>
        <w:t>本合同总价（含税）为：￥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元人民币），其中服务费￥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sz w:val="24"/>
          <w:highlight w:val="none"/>
          <w:u w:val="single"/>
          <w:lang w:val="en-US" w:eastAsia="zh-CN"/>
        </w:rPr>
        <w:t xml:space="preserve">  </w:t>
      </w:r>
      <w:r>
        <w:rPr>
          <w:rFonts w:hint="eastAsia" w:ascii="宋体" w:hAnsi="宋体"/>
          <w:b/>
          <w:bCs/>
          <w:sz w:val="24"/>
          <w:highlight w:val="none"/>
          <w:u w:val="single"/>
        </w:rPr>
        <w:t xml:space="preserve"> </w:t>
      </w:r>
      <w:r>
        <w:rPr>
          <w:rFonts w:hint="eastAsia" w:ascii="宋体" w:hAnsi="宋体"/>
          <w:sz w:val="24"/>
          <w:highlight w:val="none"/>
        </w:rPr>
        <w:t xml:space="preserve"> %；货物</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 %。其中三固事业部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元，能源事业部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w:t>
      </w:r>
    </w:p>
    <w:p>
      <w:pPr>
        <w:spacing w:line="360" w:lineRule="auto"/>
        <w:ind w:firstLine="480" w:firstLineChars="200"/>
        <w:rPr>
          <w:rFonts w:ascii="宋体" w:hAnsi="宋体"/>
          <w:sz w:val="24"/>
          <w:highlight w:val="none"/>
        </w:rPr>
      </w:pPr>
      <w:r>
        <w:rPr>
          <w:rFonts w:hint="eastAsia" w:ascii="宋体" w:hAnsi="宋体" w:cs="宋体"/>
          <w:sz w:val="24"/>
          <w:highlight w:val="none"/>
        </w:rPr>
        <w:t>1.服务费采用以下第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（1）</w:t>
      </w:r>
      <w:r>
        <w:rPr>
          <w:rFonts w:hint="eastAsia" w:ascii="宋体" w:hAnsi="宋体" w:cs="宋体"/>
          <w:sz w:val="24"/>
          <w:highlight w:val="none"/>
          <w:u w:val="single"/>
        </w:rPr>
        <w:t xml:space="preserve"> </w:t>
      </w:r>
      <w:r>
        <w:rPr>
          <w:rFonts w:hint="eastAsia" w:ascii="宋体" w:hAnsi="宋体" w:cs="宋体"/>
          <w:sz w:val="24"/>
          <w:highlight w:val="none"/>
        </w:rPr>
        <w:t>条款规定的计价方式计价。</w:t>
      </w:r>
    </w:p>
    <w:p>
      <w:pPr>
        <w:spacing w:line="360" w:lineRule="auto"/>
        <w:ind w:firstLine="480" w:firstLineChars="200"/>
        <w:rPr>
          <w:rFonts w:hint="eastAsia" w:ascii="宋体" w:hAnsi="宋体" w:cs="宋体"/>
          <w:sz w:val="24"/>
          <w:highlight w:val="none"/>
          <w:lang w:val="en-US" w:eastAsia="zh-CN"/>
        </w:rPr>
      </w:pPr>
      <w:r>
        <w:rPr>
          <w:rFonts w:hint="eastAsia" w:ascii="宋体" w:hAnsi="宋体"/>
          <w:sz w:val="24"/>
          <w:highlight w:val="none"/>
        </w:rPr>
        <w:t>（1）总价合同，</w:t>
      </w:r>
      <w:r>
        <w:rPr>
          <w:rFonts w:ascii="宋体" w:hAnsi="宋体"/>
          <w:sz w:val="24"/>
          <w:highlight w:val="none"/>
        </w:rPr>
        <w:t>本合同总价</w:t>
      </w:r>
      <w:r>
        <w:rPr>
          <w:rFonts w:hint="eastAsia" w:ascii="宋体" w:hAnsi="宋体"/>
          <w:sz w:val="24"/>
          <w:highlight w:val="none"/>
        </w:rPr>
        <w:t>（含税）</w:t>
      </w:r>
      <w:r>
        <w:rPr>
          <w:rFonts w:ascii="宋体" w:hAnsi="宋体"/>
          <w:sz w:val="24"/>
          <w:highlight w:val="none"/>
        </w:rPr>
        <w:t>为</w:t>
      </w:r>
      <w:r>
        <w:rPr>
          <w:rFonts w:hint="eastAsia" w:ascii="宋体" w:hAnsi="宋体"/>
          <w:sz w:val="24"/>
          <w:highlight w:val="none"/>
        </w:rPr>
        <w:t>：￥</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元人民币），税率为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w:t>
      </w:r>
      <w:r>
        <w:rPr>
          <w:rFonts w:hint="eastAsia" w:ascii="宋体" w:hAnsi="宋体" w:cs="宋体"/>
          <w:sz w:val="24"/>
          <w:highlight w:val="none"/>
        </w:rPr>
        <w:t>单价和总价中均包括了服务</w:t>
      </w:r>
      <w:r>
        <w:rPr>
          <w:rFonts w:hint="eastAsia" w:ascii="宋体" w:hAnsi="宋体" w:cs="宋体"/>
          <w:sz w:val="24"/>
          <w:highlight w:val="none"/>
          <w:lang w:val="en-US" w:eastAsia="zh-CN"/>
        </w:rPr>
        <w:t>费</w:t>
      </w:r>
      <w:r>
        <w:rPr>
          <w:rFonts w:hint="eastAsia" w:ascii="宋体" w:hAnsi="宋体" w:cs="宋体"/>
          <w:sz w:val="24"/>
          <w:highlight w:val="none"/>
        </w:rPr>
        <w:t>、运费、安装调试费、人工费、</w:t>
      </w:r>
      <w:r>
        <w:rPr>
          <w:rFonts w:hint="eastAsia" w:ascii="宋体" w:hAnsi="宋体" w:cs="宋体"/>
          <w:sz w:val="24"/>
          <w:highlight w:val="none"/>
          <w:lang w:eastAsia="zh-CN"/>
        </w:rPr>
        <w:t>税费</w:t>
      </w:r>
      <w:r>
        <w:rPr>
          <w:rFonts w:hint="eastAsia" w:ascii="宋体" w:hAnsi="宋体" w:cs="宋体"/>
          <w:sz w:val="24"/>
          <w:highlight w:val="none"/>
        </w:rPr>
        <w:t>、</w:t>
      </w:r>
      <w:r>
        <w:rPr>
          <w:rFonts w:hint="eastAsia" w:ascii="宋体" w:hAnsi="宋体" w:cs="宋体"/>
          <w:sz w:val="24"/>
          <w:highlight w:val="none"/>
          <w:lang w:val="en-US" w:eastAsia="zh-CN"/>
        </w:rPr>
        <w:t>各项检测试验费用、</w:t>
      </w:r>
      <w:r>
        <w:rPr>
          <w:rFonts w:hint="eastAsia" w:ascii="宋体" w:hAnsi="宋体" w:cs="宋体"/>
          <w:sz w:val="24"/>
          <w:highlight w:val="none"/>
        </w:rPr>
        <w:t>杂费等所有费用，</w:t>
      </w:r>
      <w:r>
        <w:rPr>
          <w:rFonts w:ascii="宋体" w:hAnsi="宋体" w:cs="宋体"/>
          <w:sz w:val="24"/>
          <w:highlight w:val="none"/>
        </w:rPr>
        <w:t>该价格已包含甲方为履行本合同所需的全部费用，未</w:t>
      </w:r>
      <w:r>
        <w:rPr>
          <w:rFonts w:hint="eastAsia" w:ascii="宋体" w:hAnsi="宋体" w:cs="宋体"/>
          <w:sz w:val="24"/>
          <w:highlight w:val="none"/>
          <w:lang w:eastAsia="zh-CN"/>
        </w:rPr>
        <w:t>列明</w:t>
      </w:r>
      <w:r>
        <w:rPr>
          <w:rFonts w:ascii="宋体" w:hAnsi="宋体" w:cs="宋体"/>
          <w:sz w:val="24"/>
          <w:highlight w:val="none"/>
        </w:rPr>
        <w:t>的分项视为优惠</w:t>
      </w:r>
      <w:r>
        <w:rPr>
          <w:rFonts w:hint="eastAsia" w:ascii="宋体" w:hAnsi="宋体" w:cs="宋体"/>
          <w:sz w:val="24"/>
          <w:highlight w:val="none"/>
          <w:lang w:eastAsia="zh-CN"/>
        </w:rPr>
        <w:t>，</w:t>
      </w:r>
      <w:r>
        <w:rPr>
          <w:rFonts w:hint="eastAsia" w:ascii="宋体" w:hAnsi="宋体" w:cs="宋体"/>
          <w:sz w:val="24"/>
          <w:highlight w:val="none"/>
        </w:rPr>
        <w:t>本合同履行中，甲方不再另行支付任何费用。</w:t>
      </w:r>
      <w:r>
        <w:rPr>
          <w:rFonts w:hint="eastAsia" w:ascii="宋体" w:hAnsi="宋体" w:cs="宋体"/>
          <w:sz w:val="24"/>
          <w:highlight w:val="none"/>
          <w:lang w:val="en-US" w:eastAsia="zh-CN"/>
        </w:rPr>
        <w:t>工作内容如下：</w:t>
      </w:r>
    </w:p>
    <w:tbl>
      <w:tblPr>
        <w:tblStyle w:val="16"/>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880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after="240" w:afterAutospacing="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DCS系统维护：1年6次。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配合甲方机组检修，每年对Ovation DCS进行系统保养服务（甲方全厂共2套系统，6炉3机），</w:t>
            </w:r>
            <w:r>
              <w:rPr>
                <w:rStyle w:val="35"/>
                <w:lang w:val="en-US" w:eastAsia="zh-CN" w:bidi="ar"/>
              </w:rPr>
              <w:t>服务人员到现场工作如下：</w:t>
            </w:r>
            <w:r>
              <w:rPr>
                <w:rStyle w:val="35"/>
                <w:lang w:val="en-US" w:eastAsia="zh-CN" w:bidi="ar"/>
              </w:rPr>
              <w:br w:type="textWrapping"/>
            </w:r>
            <w:r>
              <w:rPr>
                <w:rStyle w:val="35"/>
                <w:lang w:val="en-US" w:eastAsia="zh-CN" w:bidi="ar"/>
              </w:rPr>
              <w:t>A．检查系统自动生成的各项报警记录文件，分析其中的异常报警，处理由此发现的软、硬件故障；</w:t>
            </w:r>
            <w:r>
              <w:rPr>
                <w:rStyle w:val="35"/>
                <w:lang w:val="en-US" w:eastAsia="zh-CN" w:bidi="ar"/>
              </w:rPr>
              <w:br w:type="textWrapping"/>
            </w:r>
            <w:r>
              <w:rPr>
                <w:rStyle w:val="35"/>
                <w:lang w:val="en-US" w:eastAsia="zh-CN" w:bidi="ar"/>
              </w:rPr>
              <w:t>B．检查系统状态图，处理其中提示的站报警和站故障；</w:t>
            </w:r>
            <w:r>
              <w:rPr>
                <w:rStyle w:val="35"/>
                <w:lang w:val="en-US" w:eastAsia="zh-CN" w:bidi="ar"/>
              </w:rPr>
              <w:br w:type="textWrapping"/>
            </w:r>
            <w:r>
              <w:rPr>
                <w:rStyle w:val="35"/>
                <w:lang w:val="en-US" w:eastAsia="zh-CN" w:bidi="ar"/>
              </w:rPr>
              <w:t>C．检查所有网络设备的自动事件记录文件，对照网络实际连接和网络工程图纸，纠正发现的网络连接错误和网络配置错误；</w:t>
            </w:r>
            <w:r>
              <w:rPr>
                <w:rStyle w:val="35"/>
                <w:lang w:val="en-US" w:eastAsia="zh-CN" w:bidi="ar"/>
              </w:rPr>
              <w:br w:type="textWrapping"/>
            </w:r>
            <w:r>
              <w:rPr>
                <w:rStyle w:val="35"/>
                <w:lang w:val="en-US" w:eastAsia="zh-CN" w:bidi="ar"/>
              </w:rPr>
              <w:t>D．检查网络交换机每个端口的工作状态以及错误包累计情况；</w:t>
            </w:r>
            <w:r>
              <w:rPr>
                <w:rStyle w:val="35"/>
                <w:lang w:val="en-US" w:eastAsia="zh-CN" w:bidi="ar"/>
              </w:rPr>
              <w:br w:type="textWrapping"/>
            </w:r>
            <w:r>
              <w:rPr>
                <w:rStyle w:val="35"/>
                <w:lang w:val="en-US" w:eastAsia="zh-CN" w:bidi="ar"/>
              </w:rPr>
              <w:t>E．检查网络的物理连接状况，处理网络连接故障；</w:t>
            </w:r>
            <w:r>
              <w:rPr>
                <w:rStyle w:val="35"/>
                <w:lang w:val="en-US" w:eastAsia="zh-CN" w:bidi="ar"/>
              </w:rPr>
              <w:br w:type="textWrapping"/>
            </w:r>
            <w:r>
              <w:rPr>
                <w:rStyle w:val="35"/>
                <w:lang w:val="en-US" w:eastAsia="zh-CN" w:bidi="ar"/>
              </w:rPr>
              <w:t>F．检查系统的接地方式，和接地状况；</w:t>
            </w:r>
            <w:r>
              <w:rPr>
                <w:rStyle w:val="35"/>
                <w:lang w:val="en-US" w:eastAsia="zh-CN" w:bidi="ar"/>
              </w:rPr>
              <w:br w:type="textWrapping"/>
            </w:r>
            <w:r>
              <w:rPr>
                <w:rStyle w:val="35"/>
                <w:lang w:val="en-US" w:eastAsia="zh-CN" w:bidi="ar"/>
              </w:rPr>
              <w:t>G．检查控制器供电模块的工作情况和直流输出工作电压；</w:t>
            </w:r>
            <w:r>
              <w:rPr>
                <w:rStyle w:val="35"/>
                <w:lang w:val="en-US" w:eastAsia="zh-CN" w:bidi="ar"/>
              </w:rPr>
              <w:br w:type="textWrapping"/>
            </w:r>
            <w:r>
              <w:rPr>
                <w:rStyle w:val="35"/>
                <w:lang w:val="en-US" w:eastAsia="zh-CN" w:bidi="ar"/>
              </w:rPr>
              <w:t>H．比较冗余控制器之间，以及控制器与数据库之间内容的差异。对存在的差异，根据实际需要，对控制器做下装处理，直至清空、重装控制器内容；</w:t>
            </w:r>
            <w:r>
              <w:rPr>
                <w:rStyle w:val="35"/>
                <w:lang w:val="en-US" w:eastAsia="zh-CN" w:bidi="ar"/>
              </w:rPr>
              <w:br w:type="textWrapping"/>
            </w:r>
            <w:r>
              <w:rPr>
                <w:rStyle w:val="35"/>
                <w:lang w:val="en-US" w:eastAsia="zh-CN" w:bidi="ar"/>
              </w:rPr>
              <w:t>I．比较并消除服务器和工作站之间存在的软件下装差异；</w:t>
            </w:r>
            <w:r>
              <w:rPr>
                <w:rStyle w:val="35"/>
                <w:lang w:val="en-US" w:eastAsia="zh-CN" w:bidi="ar"/>
              </w:rPr>
              <w:br w:type="textWrapping"/>
            </w:r>
            <w:r>
              <w:rPr>
                <w:rStyle w:val="35"/>
                <w:lang w:val="en-US" w:eastAsia="zh-CN" w:bidi="ar"/>
              </w:rPr>
              <w:t>J．检查所有控制器的内部逻辑执行情况，根据各控制区逻辑执行速度差异，发现并纠正Flash卡的读写故障；</w:t>
            </w:r>
            <w:r>
              <w:rPr>
                <w:rStyle w:val="35"/>
                <w:lang w:val="en-US" w:eastAsia="zh-CN" w:bidi="ar"/>
              </w:rPr>
              <w:br w:type="textWrapping"/>
            </w:r>
            <w:r>
              <w:rPr>
                <w:rStyle w:val="35"/>
                <w:lang w:val="en-US" w:eastAsia="zh-CN" w:bidi="ar"/>
              </w:rPr>
              <w:t>K．检查机柜散热风扇的工作状况；</w:t>
            </w:r>
            <w:r>
              <w:rPr>
                <w:rStyle w:val="35"/>
                <w:lang w:val="en-US" w:eastAsia="zh-CN" w:bidi="ar"/>
              </w:rPr>
              <w:br w:type="textWrapping"/>
            </w:r>
            <w:r>
              <w:rPr>
                <w:rStyle w:val="35"/>
                <w:lang w:val="en-US" w:eastAsia="zh-CN" w:bidi="ar"/>
              </w:rPr>
              <w:t>L．检查系统时间同步状态的设置和工作状况；</w:t>
            </w:r>
            <w:r>
              <w:rPr>
                <w:rStyle w:val="35"/>
                <w:lang w:val="en-US" w:eastAsia="zh-CN" w:bidi="ar"/>
              </w:rPr>
              <w:br w:type="textWrapping"/>
            </w:r>
            <w:r>
              <w:rPr>
                <w:rStyle w:val="35"/>
                <w:lang w:val="en-US" w:eastAsia="zh-CN" w:bidi="ar"/>
              </w:rPr>
              <w:t>M．检查当前版本补丁包的安装、投用情况；</w:t>
            </w:r>
            <w:r>
              <w:rPr>
                <w:rStyle w:val="35"/>
                <w:lang w:val="en-US" w:eastAsia="zh-CN" w:bidi="ar"/>
              </w:rPr>
              <w:br w:type="textWrapping"/>
            </w:r>
            <w:r>
              <w:rPr>
                <w:rStyle w:val="35"/>
                <w:lang w:val="en-US" w:eastAsia="zh-CN" w:bidi="ar"/>
              </w:rPr>
              <w:t>N．检查并纠正每个控制器的数据库错误；</w:t>
            </w:r>
            <w:r>
              <w:rPr>
                <w:rStyle w:val="35"/>
                <w:lang w:val="en-US" w:eastAsia="zh-CN" w:bidi="ar"/>
              </w:rPr>
              <w:br w:type="textWrapping"/>
            </w:r>
            <w:r>
              <w:rPr>
                <w:rStyle w:val="35"/>
                <w:lang w:val="en-US" w:eastAsia="zh-CN" w:bidi="ar"/>
              </w:rPr>
              <w:t>O．检查历史站配置，和各项子历史功能的运行情况；</w:t>
            </w:r>
            <w:r>
              <w:rPr>
                <w:rStyle w:val="35"/>
                <w:lang w:val="en-US" w:eastAsia="zh-CN" w:bidi="ar"/>
              </w:rPr>
              <w:br w:type="textWrapping"/>
            </w:r>
            <w:r>
              <w:rPr>
                <w:rStyle w:val="35"/>
                <w:lang w:val="en-US" w:eastAsia="zh-CN" w:bidi="ar"/>
              </w:rPr>
              <w:t>P．检查OPC服务器的配置，连接和运行情况；</w:t>
            </w:r>
            <w:r>
              <w:rPr>
                <w:rStyle w:val="35"/>
                <w:lang w:val="en-US" w:eastAsia="zh-CN" w:bidi="ar"/>
              </w:rPr>
              <w:br w:type="textWrapping"/>
            </w:r>
            <w:r>
              <w:rPr>
                <w:rStyle w:val="35"/>
                <w:lang w:val="en-US" w:eastAsia="zh-CN" w:bidi="ar"/>
              </w:rPr>
              <w:t>Q．检查其他第三方通讯的配置和运行情况；</w:t>
            </w:r>
            <w:r>
              <w:rPr>
                <w:rStyle w:val="35"/>
                <w:lang w:val="en-US" w:eastAsia="zh-CN" w:bidi="ar"/>
              </w:rPr>
              <w:br w:type="textWrapping"/>
            </w:r>
            <w:r>
              <w:rPr>
                <w:rStyle w:val="35"/>
                <w:lang w:val="en-US" w:eastAsia="zh-CN" w:bidi="ar"/>
              </w:rPr>
              <w:t>R．检查并测试打印机的配置和工作情况；</w:t>
            </w:r>
            <w:r>
              <w:rPr>
                <w:rStyle w:val="35"/>
                <w:lang w:val="en-US" w:eastAsia="zh-CN" w:bidi="ar"/>
              </w:rPr>
              <w:br w:type="textWrapping"/>
            </w:r>
            <w:r>
              <w:rPr>
                <w:rStyle w:val="35"/>
                <w:lang w:val="en-US" w:eastAsia="zh-CN" w:bidi="ar"/>
              </w:rPr>
              <w:t>S．检查报表软件的工作情况；</w:t>
            </w:r>
            <w:r>
              <w:rPr>
                <w:rStyle w:val="35"/>
                <w:lang w:val="en-US" w:eastAsia="zh-CN" w:bidi="ar"/>
              </w:rPr>
              <w:br w:type="textWrapping"/>
            </w:r>
            <w:r>
              <w:rPr>
                <w:rStyle w:val="35"/>
                <w:lang w:val="en-US" w:eastAsia="zh-CN" w:bidi="ar"/>
              </w:rPr>
              <w:t>T．检查系统网络负荷和各个工作站的负荷情况；</w:t>
            </w:r>
            <w:r>
              <w:rPr>
                <w:rStyle w:val="35"/>
                <w:lang w:val="en-US" w:eastAsia="zh-CN" w:bidi="ar"/>
              </w:rPr>
              <w:br w:type="textWrapping"/>
            </w:r>
            <w:r>
              <w:rPr>
                <w:rStyle w:val="35"/>
                <w:lang w:val="en-US" w:eastAsia="zh-CN" w:bidi="ar"/>
              </w:rPr>
              <w:t>U．在维护服务开始前和完成后都要对系统做一次完整的备份，并且为了可靠起见，服务专家会把备份内容从服务器拷贝到其他设备。</w:t>
            </w:r>
            <w:r>
              <w:rPr>
                <w:rStyle w:val="35"/>
                <w:lang w:val="en-US" w:eastAsia="zh-CN" w:bidi="ar"/>
              </w:rPr>
              <w:br w:type="textWrapping"/>
            </w:r>
            <w:r>
              <w:rPr>
                <w:rStyle w:val="35"/>
                <w:lang w:val="en-US" w:eastAsia="zh-CN" w:bidi="ar"/>
              </w:rPr>
              <w:t xml:space="preserve">  备份的内容包括：</w:t>
            </w:r>
            <w:r>
              <w:rPr>
                <w:rStyle w:val="35"/>
                <w:lang w:val="en-US" w:eastAsia="zh-CN" w:bidi="ar"/>
              </w:rPr>
              <w:br w:type="textWrapping"/>
            </w:r>
            <w:r>
              <w:rPr>
                <w:rStyle w:val="35"/>
                <w:lang w:val="en-US" w:eastAsia="zh-CN" w:bidi="ar"/>
              </w:rPr>
              <w:t>1  控制器参数上传；</w:t>
            </w:r>
            <w:r>
              <w:rPr>
                <w:rStyle w:val="35"/>
                <w:lang w:val="en-US" w:eastAsia="zh-CN" w:bidi="ar"/>
              </w:rPr>
              <w:br w:type="textWrapping"/>
            </w:r>
            <w:r>
              <w:rPr>
                <w:rStyle w:val="35"/>
                <w:lang w:val="en-US" w:eastAsia="zh-CN" w:bidi="ar"/>
              </w:rPr>
              <w:t>2．全数据库备份；</w:t>
            </w:r>
            <w:r>
              <w:rPr>
                <w:rStyle w:val="35"/>
                <w:lang w:val="en-US" w:eastAsia="zh-CN" w:bidi="ar"/>
              </w:rPr>
              <w:br w:type="textWrapping"/>
            </w:r>
            <w:r>
              <w:rPr>
                <w:rStyle w:val="35"/>
                <w:lang w:val="en-US" w:eastAsia="zh-CN" w:bidi="ar"/>
              </w:rPr>
              <w:t>3．分数据库备份；</w:t>
            </w:r>
            <w:r>
              <w:rPr>
                <w:rStyle w:val="35"/>
                <w:lang w:val="en-US" w:eastAsia="zh-CN" w:bidi="ar"/>
              </w:rPr>
              <w:br w:type="textWrapping"/>
            </w:r>
            <w:r>
              <w:rPr>
                <w:rStyle w:val="35"/>
                <w:lang w:val="en-US" w:eastAsia="zh-CN" w:bidi="ar"/>
              </w:rPr>
              <w:t>4．系统的工程数据文件备份，包括过程图，逻辑图，系统配置等；</w:t>
            </w:r>
            <w:r>
              <w:rPr>
                <w:rStyle w:val="35"/>
                <w:lang w:val="en-US" w:eastAsia="zh-CN" w:bidi="ar"/>
              </w:rPr>
              <w:br w:type="textWrapping"/>
            </w:r>
            <w:r>
              <w:rPr>
                <w:rStyle w:val="35"/>
                <w:lang w:val="en-US" w:eastAsia="zh-CN" w:bidi="ar"/>
              </w:rPr>
              <w:t>5．系统的各项授权许可代码备份；</w:t>
            </w:r>
            <w:r>
              <w:rPr>
                <w:rStyle w:val="35"/>
                <w:lang w:val="en-US" w:eastAsia="zh-CN" w:bidi="ar"/>
              </w:rPr>
              <w:br w:type="textWrapping"/>
            </w:r>
            <w:r>
              <w:rPr>
                <w:rStyle w:val="35"/>
                <w:lang w:val="en-US" w:eastAsia="zh-CN" w:bidi="ar"/>
              </w:rPr>
              <w:t>6．打印机配置情况备份；</w:t>
            </w:r>
            <w:r>
              <w:rPr>
                <w:rStyle w:val="35"/>
                <w:lang w:val="en-US" w:eastAsia="zh-CN" w:bidi="ar"/>
              </w:rPr>
              <w:br w:type="textWrapping"/>
            </w:r>
            <w:r>
              <w:rPr>
                <w:rStyle w:val="35"/>
                <w:lang w:val="en-US" w:eastAsia="zh-CN" w:bidi="ar"/>
              </w:rPr>
              <w:t>7．强制点的强制状况和强制值备份；</w:t>
            </w:r>
            <w:r>
              <w:rPr>
                <w:rStyle w:val="35"/>
                <w:lang w:val="en-US" w:eastAsia="zh-CN" w:bidi="ar"/>
              </w:rPr>
              <w:br w:type="textWrapping"/>
            </w:r>
            <w:r>
              <w:rPr>
                <w:rStyle w:val="35"/>
                <w:lang w:val="en-US" w:eastAsia="zh-CN" w:bidi="ar"/>
              </w:rPr>
              <w:t>V.系统故障分析</w:t>
            </w:r>
            <w:r>
              <w:rPr>
                <w:rStyle w:val="35"/>
                <w:lang w:val="en-US" w:eastAsia="zh-CN" w:bidi="ar"/>
              </w:rPr>
              <w:br w:type="textWrapping"/>
            </w:r>
            <w:r>
              <w:rPr>
                <w:rStyle w:val="35"/>
                <w:lang w:val="en-US" w:eastAsia="zh-CN" w:bidi="ar"/>
              </w:rPr>
              <w:t>对系统的运行状况及软件故障、通讯故障（含接口故障）、硬件故障做常规检查。对出现的问题做出诊断、处理和维护。</w:t>
            </w:r>
            <w:r>
              <w:rPr>
                <w:rStyle w:val="35"/>
                <w:lang w:val="en-US" w:eastAsia="zh-CN" w:bidi="ar"/>
              </w:rPr>
              <w:br w:type="textWrapping"/>
            </w:r>
            <w:r>
              <w:rPr>
                <w:rStyle w:val="35"/>
                <w:lang w:val="en-US" w:eastAsia="zh-CN" w:bidi="ar"/>
              </w:rPr>
              <w:t>W.现场培训及答疑</w:t>
            </w:r>
            <w:r>
              <w:rPr>
                <w:rStyle w:val="35"/>
                <w:lang w:val="en-US" w:eastAsia="zh-CN" w:bidi="ar"/>
              </w:rPr>
              <w:br w:type="textWrapping"/>
            </w:r>
            <w:r>
              <w:rPr>
                <w:rStyle w:val="35"/>
                <w:lang w:val="en-US" w:eastAsia="zh-CN" w:bidi="ar"/>
              </w:rPr>
              <w:t>a）每次服务完毕后向电厂工程师详细解释所做的工作；</w:t>
            </w:r>
            <w:r>
              <w:rPr>
                <w:rStyle w:val="35"/>
                <w:lang w:val="en-US" w:eastAsia="zh-CN" w:bidi="ar"/>
              </w:rPr>
              <w:br w:type="textWrapping"/>
            </w:r>
            <w:r>
              <w:rPr>
                <w:rStyle w:val="35"/>
                <w:lang w:val="en-US" w:eastAsia="zh-CN" w:bidi="ar"/>
              </w:rPr>
              <w:t>b）做好服务记录以便将来查阅；</w:t>
            </w:r>
            <w:r>
              <w:rPr>
                <w:rStyle w:val="35"/>
                <w:lang w:val="en-US" w:eastAsia="zh-CN" w:bidi="ar"/>
              </w:rPr>
              <w:br w:type="textWrapping"/>
            </w:r>
            <w:r>
              <w:rPr>
                <w:rStyle w:val="35"/>
                <w:lang w:val="en-US" w:eastAsia="zh-CN" w:bidi="ar"/>
              </w:rPr>
              <w:t>耐心解答电厂维护人员提出的问题；</w:t>
            </w:r>
            <w:r>
              <w:rPr>
                <w:rStyle w:val="35"/>
                <w:lang w:val="en-US" w:eastAsia="zh-CN" w:bidi="ar"/>
              </w:rPr>
              <w:br w:type="textWrapping"/>
            </w:r>
            <w:r>
              <w:rPr>
                <w:rStyle w:val="35"/>
                <w:lang w:val="en-US" w:eastAsia="zh-CN" w:bidi="ar"/>
              </w:rPr>
              <w:t>X.协助进行检修期间必要的系统组态修改</w:t>
            </w:r>
            <w:r>
              <w:rPr>
                <w:rStyle w:val="35"/>
                <w:lang w:val="en-US" w:eastAsia="zh-CN" w:bidi="ar"/>
              </w:rPr>
              <w:br w:type="textWrapping"/>
            </w:r>
            <w:r>
              <w:rPr>
                <w:rStyle w:val="35"/>
                <w:lang w:val="en-US" w:eastAsia="zh-CN" w:bidi="ar"/>
              </w:rPr>
              <w:t xml:space="preserve">  在检修期间协助电厂维护人员进行必要的系统画面和回路组态修改，必要时协助进行回路调试。对OVATION有关的技改项目提供技术支持。</w:t>
            </w:r>
            <w:r>
              <w:rPr>
                <w:rStyle w:val="35"/>
                <w:lang w:val="en-US" w:eastAsia="zh-CN" w:bidi="ar"/>
              </w:rPr>
              <w:br w:type="textWrapping"/>
            </w:r>
            <w:r>
              <w:rPr>
                <w:rStyle w:val="35"/>
                <w:lang w:val="en-US" w:eastAsia="zh-CN" w:bidi="ar"/>
              </w:rPr>
              <w:t>Y.服务完毕，服务工程师将最终版本的软件备份，并向甲方递交现场报告和工作计时单。</w:t>
            </w:r>
            <w:r>
              <w:rPr>
                <w:rStyle w:val="35"/>
                <w:lang w:val="en-US" w:eastAsia="zh-CN" w:bidi="ar"/>
              </w:rPr>
              <w:br w:type="textWrapping"/>
            </w:r>
            <w:r>
              <w:rPr>
                <w:rStyle w:val="35"/>
                <w:lang w:val="en-US" w:eastAsia="zh-CN" w:bidi="ar"/>
              </w:rPr>
              <w:t>Z.技术咨询热线服务</w:t>
            </w:r>
            <w:r>
              <w:rPr>
                <w:rStyle w:val="35"/>
                <w:lang w:val="en-US" w:eastAsia="zh-CN" w:bidi="ar"/>
              </w:rPr>
              <w:br w:type="textWrapping"/>
            </w:r>
            <w:r>
              <w:rPr>
                <w:rStyle w:val="35"/>
                <w:lang w:val="en-US" w:eastAsia="zh-CN" w:bidi="ar"/>
              </w:rPr>
              <w:t>在合同生效后乙方须提供甲方一个用于技术咨询的热线电话号码。技术咨询的方式为甲乙双方通过电话、传真、E—mail等通讯手段进行交流。甲方可通过热线电话在合同有效期的时间内得到乙方的技术咨询热线服务。技术咨询热线服务的内容：</w:t>
            </w:r>
            <w:r>
              <w:rPr>
                <w:rStyle w:val="35"/>
                <w:lang w:val="en-US" w:eastAsia="zh-CN" w:bidi="ar"/>
              </w:rPr>
              <w:br w:type="textWrapping"/>
            </w:r>
            <w:r>
              <w:rPr>
                <w:rStyle w:val="35"/>
                <w:lang w:val="en-US" w:eastAsia="zh-CN" w:bidi="ar"/>
              </w:rPr>
              <w:t>—硬件系统故障诊断的咨询。</w:t>
            </w:r>
            <w:r>
              <w:rPr>
                <w:rStyle w:val="35"/>
                <w:lang w:val="en-US" w:eastAsia="zh-CN" w:bidi="ar"/>
              </w:rPr>
              <w:br w:type="textWrapping"/>
            </w:r>
            <w:r>
              <w:rPr>
                <w:rStyle w:val="35"/>
                <w:lang w:val="en-US" w:eastAsia="zh-CN" w:bidi="ar"/>
              </w:rPr>
              <w:t>—艾默生的产品技术咨询。</w:t>
            </w:r>
            <w:r>
              <w:rPr>
                <w:rStyle w:val="35"/>
                <w:lang w:val="en-US" w:eastAsia="zh-CN" w:bidi="ar"/>
              </w:rPr>
              <w:br w:type="textWrapping"/>
            </w:r>
            <w:r>
              <w:rPr>
                <w:rStyle w:val="35"/>
                <w:lang w:val="en-US" w:eastAsia="zh-CN" w:bidi="ar"/>
              </w:rPr>
              <w:t>—有关技术资料、信息的索要。</w:t>
            </w:r>
            <w:r>
              <w:rPr>
                <w:rStyle w:val="35"/>
                <w:lang w:val="en-US" w:eastAsia="zh-CN" w:bidi="ar"/>
              </w:rPr>
              <w:br w:type="textWrapping"/>
            </w:r>
            <w:r>
              <w:rPr>
                <w:rStyle w:val="35"/>
                <w:lang w:val="en-US" w:eastAsia="zh-CN" w:bidi="ar"/>
              </w:rPr>
              <w:t>—现场服务请求。</w:t>
            </w:r>
            <w:r>
              <w:rPr>
                <w:rStyle w:val="35"/>
                <w:lang w:val="en-US" w:eastAsia="zh-CN" w:bidi="ar"/>
              </w:rPr>
              <w:br w:type="textWrapping"/>
            </w:r>
            <w:r>
              <w:rPr>
                <w:rStyle w:val="35"/>
                <w:lang w:val="en-US" w:eastAsia="zh-CN" w:bidi="ar"/>
              </w:rPr>
              <w:t>—其他技术服务及信息的咨询，等等。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880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880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r>
    </w:tbl>
    <w:p>
      <w:pPr>
        <w:spacing w:line="360" w:lineRule="auto"/>
        <w:ind w:firstLine="480" w:firstLineChars="200"/>
        <w:rPr>
          <w:rFonts w:hint="eastAsia" w:ascii="宋体" w:hAnsi="宋体" w:cs="宋体"/>
          <w:sz w:val="24"/>
          <w:highlight w:val="none"/>
        </w:rPr>
      </w:pPr>
      <w:r>
        <w:rPr>
          <w:rFonts w:hint="eastAsia" w:ascii="宋体" w:hAnsi="宋体"/>
          <w:bCs/>
          <w:sz w:val="24"/>
          <w:highlight w:val="none"/>
        </w:rPr>
        <w:t>（2）单价合同，</w:t>
      </w:r>
      <w:r>
        <w:rPr>
          <w:rFonts w:hint="eastAsia" w:ascii="宋体" w:hAnsi="宋体"/>
          <w:sz w:val="24"/>
          <w:highlight w:val="none"/>
        </w:rPr>
        <w:t>在合同履行期间内，根据实际完成的工作量据实按分项单价结算，但结算总价上限不得超过预算金额或者双方确定的金额￥</w:t>
      </w:r>
      <w:r>
        <w:rPr>
          <w:rFonts w:ascii="宋体" w:hAnsi="宋体"/>
          <w:sz w:val="24"/>
          <w:highlight w:val="none"/>
          <w:u w:val="single"/>
        </w:rPr>
        <w:t xml:space="preserve"> </w:t>
      </w:r>
      <w:r>
        <w:rPr>
          <w:rFonts w:hint="eastAsia" w:ascii="宋体" w:hAnsi="宋体" w:cs="宋体"/>
          <w:sz w:val="24"/>
          <w:highlight w:val="none"/>
          <w:u w:val="single"/>
          <w:lang w:val="en-US" w:eastAsia="zh-CN"/>
        </w:rPr>
        <w:t xml:space="preserve"> / </w:t>
      </w:r>
      <w:r>
        <w:rPr>
          <w:rFonts w:hint="eastAsia" w:ascii="宋体" w:hAnsi="宋体" w:cs="宋体"/>
          <w:sz w:val="24"/>
          <w:highlight w:val="none"/>
        </w:rPr>
        <w:t>元（大写：</w:t>
      </w:r>
      <w:r>
        <w:rPr>
          <w:rFonts w:hint="eastAsia" w:ascii="宋体" w:hAnsi="宋体" w:cs="宋体"/>
          <w:sz w:val="24"/>
          <w:highlight w:val="none"/>
          <w:u w:val="single"/>
          <w:lang w:val="en-US" w:eastAsia="zh-CN"/>
        </w:rPr>
        <w:t xml:space="preserve">   / </w:t>
      </w:r>
      <w:r>
        <w:rPr>
          <w:rFonts w:ascii="宋体" w:hAnsi="宋体"/>
          <w:sz w:val="24"/>
          <w:highlight w:val="none"/>
          <w:u w:val="single"/>
        </w:rPr>
        <w:t xml:space="preserve"> </w:t>
      </w:r>
      <w:r>
        <w:rPr>
          <w:rFonts w:hint="eastAsia" w:ascii="宋体" w:hAnsi="宋体"/>
          <w:sz w:val="24"/>
          <w:highlight w:val="none"/>
        </w:rPr>
        <w:t>元人民币），该分项价格已包含甲方为履行本合同所需的全部费用，未</w:t>
      </w:r>
      <w:r>
        <w:rPr>
          <w:rFonts w:hint="eastAsia" w:ascii="宋体" w:hAnsi="宋体"/>
          <w:sz w:val="24"/>
          <w:highlight w:val="none"/>
          <w:lang w:eastAsia="zh-CN"/>
        </w:rPr>
        <w:t>列明</w:t>
      </w:r>
      <w:r>
        <w:rPr>
          <w:rFonts w:hint="eastAsia" w:ascii="宋体" w:hAnsi="宋体"/>
          <w:sz w:val="24"/>
          <w:highlight w:val="none"/>
        </w:rPr>
        <w:t>的分项视为优惠</w:t>
      </w:r>
      <w:r>
        <w:rPr>
          <w:rFonts w:hint="eastAsia" w:ascii="宋体" w:hAnsi="宋体"/>
          <w:sz w:val="24"/>
          <w:highlight w:val="none"/>
          <w:lang w:eastAsia="zh-CN"/>
        </w:rPr>
        <w:t>，</w:t>
      </w:r>
      <w:r>
        <w:rPr>
          <w:rFonts w:hint="eastAsia" w:ascii="宋体" w:hAnsi="宋体"/>
          <w:sz w:val="24"/>
          <w:highlight w:val="none"/>
        </w:rPr>
        <w:t>本合同履行中，</w:t>
      </w:r>
      <w:r>
        <w:rPr>
          <w:rFonts w:hint="eastAsia" w:ascii="宋体" w:hAnsi="宋体"/>
          <w:sz w:val="24"/>
          <w:highlight w:val="none"/>
          <w:lang w:val="en-US" w:eastAsia="zh-CN"/>
        </w:rPr>
        <w:t>合同单价不作调整，</w:t>
      </w:r>
      <w:r>
        <w:rPr>
          <w:rFonts w:hint="eastAsia" w:ascii="宋体" w:hAnsi="宋体"/>
          <w:sz w:val="24"/>
          <w:highlight w:val="none"/>
        </w:rPr>
        <w:t>甲方不再另行支付任何费用。分项清单如下：</w:t>
      </w:r>
      <w:r>
        <w:rPr>
          <w:rFonts w:hint="eastAsia" w:ascii="宋体" w:hAnsi="宋体" w:cs="宋体"/>
          <w:sz w:val="24"/>
          <w:highlight w:val="none"/>
        </w:rPr>
        <w:t xml:space="preserve"> </w:t>
      </w:r>
    </w:p>
    <w:tbl>
      <w:tblPr>
        <w:tblStyle w:val="16"/>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sz w:val="20"/>
                <w:szCs w:val="20"/>
                <w:highlight w:val="none"/>
                <w:lang w:val="en-US" w:eastAsia="zh-CN"/>
              </w:rPr>
              <w:t>服务</w:t>
            </w:r>
            <w:r>
              <w:rPr>
                <w:rFonts w:hint="eastAsia" w:ascii="宋体" w:hAnsi="宋体" w:cs="宋体"/>
                <w:kern w:val="0"/>
                <w:sz w:val="20"/>
                <w:szCs w:val="20"/>
                <w:highlight w:val="none"/>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r>
    </w:tbl>
    <w:p>
      <w:pPr>
        <w:pStyle w:val="3"/>
        <w:tabs>
          <w:tab w:val="left" w:pos="432"/>
        </w:tabs>
        <w:ind w:firstLine="480" w:firstLineChars="200"/>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eastAsiaTheme="minorEastAsia"/>
          <w:b w:val="0"/>
          <w:bCs w:val="0"/>
          <w:kern w:val="2"/>
          <w:sz w:val="24"/>
          <w:szCs w:val="24"/>
          <w:highlight w:val="none"/>
          <w:lang w:val="en-US" w:eastAsia="zh-CN" w:bidi="ar-SA"/>
        </w:rPr>
        <w:t xml:space="preserve">（3）其他计价方式： </w:t>
      </w:r>
      <w:r>
        <w:rPr>
          <w:rFonts w:hint="eastAsia" w:ascii="宋体" w:hAnsi="宋体" w:cs="宋体" w:eastAsiaTheme="minorEastAsia"/>
          <w:b w:val="0"/>
          <w:bCs w:val="0"/>
          <w:kern w:val="2"/>
          <w:sz w:val="24"/>
          <w:szCs w:val="24"/>
          <w:highlight w:val="none"/>
          <w:u w:val="single"/>
          <w:lang w:val="en-US" w:eastAsia="zh-CN" w:bidi="ar-SA"/>
        </w:rPr>
        <w:t xml:space="preserve">  / </w:t>
      </w:r>
      <w:r>
        <w:rPr>
          <w:rFonts w:hint="eastAsia" w:ascii="宋体" w:hAnsi="宋体" w:cs="宋体" w:eastAsiaTheme="minorEastAsia"/>
          <w:b w:val="0"/>
          <w:bCs w:val="0"/>
          <w:kern w:val="2"/>
          <w:sz w:val="24"/>
          <w:szCs w:val="24"/>
          <w:highlight w:val="none"/>
          <w:lang w:val="en-US" w:eastAsia="zh-CN" w:bidi="ar-SA"/>
        </w:rPr>
        <w:t xml:space="preserve"> 。</w:t>
      </w:r>
    </w:p>
    <w:p>
      <w:pPr>
        <w:pStyle w:val="25"/>
        <w:spacing w:before="0" w:beforeAutospacing="0" w:after="0" w:afterAutospacing="0" w:line="360" w:lineRule="auto"/>
        <w:ind w:firstLine="480" w:firstLineChars="200"/>
        <w:rPr>
          <w:rFonts w:hint="eastAsia"/>
          <w:highlight w:val="none"/>
        </w:rPr>
      </w:pPr>
      <w:r>
        <w:rPr>
          <w:rFonts w:hint="eastAsia"/>
          <w:highlight w:val="none"/>
        </w:rPr>
        <w:t>2.合同</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否</w:t>
      </w:r>
      <w:r>
        <w:rPr>
          <w:highlight w:val="none"/>
          <w:u w:val="single"/>
        </w:rPr>
        <w:t xml:space="preserve">  </w:t>
      </w:r>
      <w:r>
        <w:rPr>
          <w:rFonts w:hint="eastAsia"/>
          <w:highlight w:val="none"/>
        </w:rPr>
        <w:t>涉及货物。若涉及</w:t>
      </w:r>
      <w:r>
        <w:rPr>
          <w:rFonts w:hint="eastAsia"/>
          <w:highlight w:val="none"/>
          <w:lang w:eastAsia="zh-CN"/>
        </w:rPr>
        <w:t>货物的</w:t>
      </w:r>
      <w:r>
        <w:rPr>
          <w:rFonts w:hint="eastAsia"/>
          <w:highlight w:val="none"/>
        </w:rPr>
        <w:t>，</w:t>
      </w:r>
      <w:r>
        <w:rPr>
          <w:rFonts w:hint="eastAsia" w:cs="Times New Roman"/>
          <w:kern w:val="2"/>
          <w:highlight w:val="none"/>
        </w:rPr>
        <w:t xml:space="preserve">货物采用以下第 </w:t>
      </w:r>
      <w:r>
        <w:rPr>
          <w:rFonts w:hint="eastAsia" w:cs="Times New Roman"/>
          <w:kern w:val="2"/>
          <w:highlight w:val="none"/>
          <w:u w:val="single"/>
          <w:lang w:val="en-US" w:eastAsia="zh-CN"/>
        </w:rPr>
        <w:t xml:space="preserve"> /</w:t>
      </w:r>
      <w:r>
        <w:rPr>
          <w:rFonts w:hint="eastAsia" w:cs="Times New Roman"/>
          <w:kern w:val="2"/>
          <w:highlight w:val="none"/>
          <w:u w:val="single"/>
        </w:rPr>
        <w:t xml:space="preserve"> </w:t>
      </w:r>
      <w:r>
        <w:rPr>
          <w:rFonts w:hint="eastAsia" w:cs="Times New Roman"/>
          <w:kern w:val="2"/>
          <w:highlight w:val="none"/>
        </w:rPr>
        <w:t>条款规定的计价方式计价。</w:t>
      </w:r>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总价合同，</w:t>
      </w:r>
      <w:r>
        <w:rPr>
          <w:rFonts w:hint="eastAsia" w:ascii="宋体" w:hAnsi="宋体" w:cs="宋体"/>
          <w:sz w:val="24"/>
          <w:highlight w:val="none"/>
        </w:rPr>
        <w:t>单价和总价中均包括了</w:t>
      </w:r>
      <w:r>
        <w:rPr>
          <w:rFonts w:hint="eastAsia" w:ascii="宋体" w:hAnsi="宋体" w:cs="宋体"/>
          <w:sz w:val="24"/>
          <w:highlight w:val="none"/>
          <w:lang w:val="en-US" w:eastAsia="zh-CN"/>
        </w:rPr>
        <w:t>设备费、材料费</w:t>
      </w:r>
      <w:r>
        <w:rPr>
          <w:rFonts w:hint="eastAsia" w:ascii="宋体" w:hAnsi="宋体" w:cs="宋体"/>
          <w:sz w:val="24"/>
          <w:highlight w:val="none"/>
        </w:rPr>
        <w:t>、运费、安装调试费、人工费、服务费、税金、杂费等所有费用，该价格已包含甲方为履行本合同所需的全部费用，未列明的分项视为优惠</w:t>
      </w:r>
      <w:r>
        <w:rPr>
          <w:rFonts w:hint="eastAsia" w:ascii="宋体" w:hAnsi="宋体" w:cs="宋体"/>
          <w:sz w:val="24"/>
          <w:highlight w:val="none"/>
          <w:lang w:eastAsia="zh-CN"/>
        </w:rPr>
        <w:t>，</w:t>
      </w:r>
      <w:r>
        <w:rPr>
          <w:rFonts w:hint="eastAsia" w:ascii="宋体" w:hAnsi="宋体" w:cs="宋体"/>
          <w:sz w:val="24"/>
          <w:highlight w:val="none"/>
        </w:rPr>
        <w:t>本合同履行中，甲方不再另行支付货物的任何费用</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（2）单价合同，</w:t>
      </w:r>
      <w:r>
        <w:rPr>
          <w:rFonts w:hint="eastAsia" w:ascii="宋体" w:hAnsi="宋体" w:cs="宋体"/>
          <w:sz w:val="24"/>
          <w:highlight w:val="none"/>
          <w:u w:val="single"/>
        </w:rPr>
        <w:t>按需更换、按实结算，货物总额控制</w:t>
      </w:r>
      <w:r>
        <w:rPr>
          <w:rFonts w:hint="eastAsia" w:ascii="宋体" w:hAnsi="宋体" w:cs="宋体"/>
          <w:sz w:val="24"/>
          <w:highlight w:val="none"/>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pPr>
        <w:spacing w:line="360" w:lineRule="auto"/>
        <w:ind w:firstLine="480" w:firstLineChars="200"/>
        <w:rPr>
          <w:rFonts w:hint="eastAsia"/>
          <w:highlight w:val="none"/>
        </w:rPr>
      </w:pPr>
      <w:r>
        <w:rPr>
          <w:rFonts w:ascii="宋体" w:hAnsi="宋体"/>
          <w:sz w:val="24"/>
          <w:highlight w:val="none"/>
        </w:rPr>
        <w:t>分项价格</w:t>
      </w:r>
      <w:r>
        <w:rPr>
          <w:rFonts w:hint="eastAsia" w:ascii="宋体" w:hAnsi="宋体" w:cs="宋体"/>
          <w:sz w:val="24"/>
          <w:highlight w:val="none"/>
        </w:rPr>
        <w:t>如下：</w:t>
      </w:r>
    </w:p>
    <w:tbl>
      <w:tblPr>
        <w:tblStyle w:val="16"/>
        <w:tblW w:w="9496" w:type="dxa"/>
        <w:tblInd w:w="-22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1187"/>
        <w:gridCol w:w="1652"/>
        <w:gridCol w:w="1655"/>
        <w:gridCol w:w="870"/>
        <w:gridCol w:w="755"/>
        <w:gridCol w:w="952"/>
        <w:gridCol w:w="14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73"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rPr>
            </w:pPr>
            <w:bookmarkStart w:id="394" w:name="_Toc21124"/>
            <w:bookmarkStart w:id="395" w:name="_Toc4929"/>
            <w:bookmarkStart w:id="396" w:name="_Toc1386"/>
            <w:bookmarkStart w:id="397" w:name="_Toc13918"/>
            <w:bookmarkStart w:id="398" w:name="_Toc5635"/>
            <w:r>
              <w:rPr>
                <w:rFonts w:hint="eastAsia" w:ascii="宋体" w:hAnsi="宋体" w:eastAsia="宋体"/>
                <w:b w:val="0"/>
                <w:sz w:val="24"/>
                <w:szCs w:val="24"/>
                <w:highlight w:val="none"/>
                <w:lang w:val="en-US"/>
              </w:rPr>
              <w:t>序号</w:t>
            </w:r>
          </w:p>
        </w:tc>
        <w:tc>
          <w:tcPr>
            <w:tcW w:w="1187"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货物名称</w:t>
            </w:r>
          </w:p>
        </w:tc>
        <w:tc>
          <w:tcPr>
            <w:tcW w:w="1652"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规格型号/技术要求</w:t>
            </w:r>
          </w:p>
        </w:tc>
        <w:tc>
          <w:tcPr>
            <w:tcW w:w="1655"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品牌/制造商</w:t>
            </w:r>
          </w:p>
        </w:tc>
        <w:tc>
          <w:tcPr>
            <w:tcW w:w="870"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暂定数量</w:t>
            </w:r>
          </w:p>
        </w:tc>
        <w:tc>
          <w:tcPr>
            <w:tcW w:w="755"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单价</w:t>
            </w:r>
          </w:p>
        </w:tc>
        <w:tc>
          <w:tcPr>
            <w:tcW w:w="952"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金额</w:t>
            </w:r>
          </w:p>
        </w:tc>
        <w:tc>
          <w:tcPr>
            <w:tcW w:w="1452"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73"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1</w:t>
            </w:r>
          </w:p>
        </w:tc>
        <w:tc>
          <w:tcPr>
            <w:tcW w:w="1187"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1652"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1655"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870"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755"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952"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1452" w:type="dxa"/>
            <w:tcBorders>
              <w:tl2br w:val="nil"/>
              <w:tr2bl w:val="nil"/>
            </w:tcBorders>
            <w:noWrap w:val="0"/>
            <w:vAlign w:val="center"/>
          </w:tcPr>
          <w:p>
            <w:pPr>
              <w:pStyle w:val="3"/>
              <w:keepNext/>
              <w:keepLines/>
              <w:pageBreakBefore w:val="0"/>
              <w:widowControl w:val="0"/>
              <w:tabs>
                <w:tab w:val="left" w:pos="432"/>
              </w:tabs>
              <w:kinsoku/>
              <w:wordWrap/>
              <w:overflowPunct/>
              <w:topLinePunct w:val="0"/>
              <w:autoSpaceDE/>
              <w:autoSpaceDN/>
              <w:bidi w:val="0"/>
              <w:adjustRightInd w:val="0"/>
              <w:snapToGrid w:val="0"/>
              <w:spacing w:line="240" w:lineRule="auto"/>
              <w:ind w:left="0" w:firstLine="0"/>
              <w:jc w:val="center"/>
              <w:textAlignment w:val="auto"/>
              <w:rPr>
                <w:rFonts w:hint="default"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税率</w:t>
            </w:r>
            <w:r>
              <w:rPr>
                <w:rFonts w:hint="eastAsia" w:ascii="宋体" w:hAnsi="宋体" w:eastAsia="宋体"/>
                <w:b w:val="0"/>
                <w:sz w:val="24"/>
                <w:szCs w:val="24"/>
                <w:highlight w:val="none"/>
                <w:u w:val="single"/>
                <w:lang w:val="en-US" w:eastAsia="zh-CN"/>
              </w:rPr>
              <w:t xml:space="preserve"> /   </w:t>
            </w:r>
            <w:r>
              <w:rPr>
                <w:rFonts w:hint="eastAsia" w:ascii="宋体" w:hAnsi="宋体" w:eastAsia="宋体"/>
                <w:b w:val="0"/>
                <w:sz w:val="24"/>
                <w:szCs w:val="24"/>
                <w:highlight w:val="none"/>
                <w:lang w:val="en-US" w:eastAsia="zh-CN"/>
              </w:rPr>
              <w:t>%</w:t>
            </w:r>
          </w:p>
        </w:tc>
      </w:tr>
      <w:bookmarkEnd w:id="394"/>
      <w:bookmarkEnd w:id="395"/>
      <w:bookmarkEnd w:id="396"/>
      <w:bookmarkEnd w:id="397"/>
      <w:bookmarkEnd w:id="398"/>
    </w:tbl>
    <w:p>
      <w:pPr>
        <w:spacing w:line="360" w:lineRule="auto"/>
        <w:ind w:firstLine="482" w:firstLineChars="200"/>
        <w:outlineLvl w:val="0"/>
        <w:rPr>
          <w:rFonts w:ascii="宋体" w:hAnsi="宋体"/>
          <w:b/>
          <w:sz w:val="24"/>
          <w:highlight w:val="none"/>
        </w:rPr>
      </w:pPr>
      <w:bookmarkStart w:id="399" w:name="_Toc10340"/>
      <w:bookmarkStart w:id="400" w:name="_Toc1814"/>
      <w:bookmarkStart w:id="401" w:name="_Toc22618"/>
      <w:bookmarkStart w:id="402" w:name="_Toc8772"/>
      <w:bookmarkStart w:id="403" w:name="_Toc4760"/>
      <w:bookmarkStart w:id="404" w:name="_Toc31421"/>
      <w:bookmarkStart w:id="405" w:name="_Toc11108"/>
      <w:bookmarkStart w:id="406" w:name="_Toc3625"/>
      <w:r>
        <w:rPr>
          <w:rFonts w:hint="eastAsia" w:ascii="宋体" w:hAnsi="宋体"/>
          <w:b/>
          <w:sz w:val="24"/>
          <w:highlight w:val="none"/>
        </w:rPr>
        <w:t>三、</w:t>
      </w:r>
      <w:r>
        <w:rPr>
          <w:rFonts w:ascii="宋体" w:hAnsi="宋体"/>
          <w:b/>
          <w:sz w:val="24"/>
          <w:highlight w:val="none"/>
        </w:rPr>
        <w:t>履行期限</w:t>
      </w:r>
      <w:r>
        <w:rPr>
          <w:rFonts w:hint="eastAsia" w:ascii="宋体" w:hAnsi="宋体"/>
          <w:b/>
          <w:sz w:val="24"/>
          <w:highlight w:val="none"/>
        </w:rPr>
        <w:t>、地点、联系方式、交付方式</w:t>
      </w:r>
    </w:p>
    <w:p>
      <w:pPr>
        <w:spacing w:line="360" w:lineRule="auto"/>
        <w:ind w:firstLine="480" w:firstLineChars="200"/>
        <w:rPr>
          <w:rFonts w:ascii="宋体" w:hAnsi="宋体" w:cs="宋体"/>
          <w:sz w:val="24"/>
          <w:highlight w:val="none"/>
        </w:rPr>
      </w:pPr>
      <w:r>
        <w:rPr>
          <w:rFonts w:hint="eastAsia" w:ascii="宋体" w:hAnsi="宋体"/>
          <w:sz w:val="24"/>
          <w:highlight w:val="none"/>
        </w:rPr>
        <w:t>1.服务交付（实施）的时间（期限）</w:t>
      </w:r>
      <w:r>
        <w:rPr>
          <w:rFonts w:ascii="宋体" w:hAnsi="宋体"/>
          <w:sz w:val="24"/>
          <w:highlight w:val="none"/>
        </w:rPr>
        <w:t>：</w:t>
      </w:r>
      <w:r>
        <w:rPr>
          <w:rFonts w:hint="eastAsia" w:ascii="宋体" w:hAnsi="宋体"/>
          <w:sz w:val="24"/>
          <w:highlight w:val="none"/>
          <w:u w:val="single"/>
        </w:rPr>
        <w:t xml:space="preserve"> 自合同签订后</w:t>
      </w:r>
      <w:r>
        <w:rPr>
          <w:rFonts w:hint="eastAsia" w:ascii="宋体" w:hAnsi="宋体"/>
          <w:b/>
          <w:bCs/>
          <w:sz w:val="24"/>
          <w:highlight w:val="none"/>
          <w:u w:val="single"/>
        </w:rPr>
        <w:t>12个月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2.服</w:t>
      </w:r>
      <w:r>
        <w:rPr>
          <w:rFonts w:hint="eastAsia" w:ascii="宋体" w:hAnsi="宋体" w:cs="宋体"/>
          <w:sz w:val="24"/>
          <w:highlight w:val="none"/>
        </w:rPr>
        <w:t>务交付（实施）的地点（地域范围）：</w:t>
      </w:r>
      <w:r>
        <w:rPr>
          <w:rFonts w:hint="eastAsia" w:ascii="宋体" w:hAnsi="宋体"/>
          <w:b/>
          <w:i/>
          <w:sz w:val="24"/>
          <w:highlight w:val="none"/>
          <w:u w:val="single"/>
        </w:rPr>
        <w:t xml:space="preserve"> </w:t>
      </w:r>
      <w:r>
        <w:rPr>
          <w:rFonts w:hint="eastAsia" w:ascii="宋体" w:hAnsi="宋体"/>
          <w:b/>
          <w:iCs/>
          <w:sz w:val="24"/>
          <w:highlight w:val="none"/>
          <w:u w:val="single"/>
        </w:rPr>
        <w:t xml:space="preserve">浙江省杭州市钱塘区临江街道红十五路10388-123号，杭州临江环境能源有限公司厂区内 </w:t>
      </w:r>
      <w:r>
        <w:rPr>
          <w:rFonts w:hint="eastAsia" w:ascii="宋体" w:hAnsi="宋体"/>
          <w:iCs/>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3.服务交付（实施）的方式：</w:t>
      </w:r>
      <w:r>
        <w:rPr>
          <w:rFonts w:hint="eastAsia" w:ascii="宋体" w:hAnsi="宋体"/>
          <w:b/>
          <w:i/>
          <w:sz w:val="24"/>
          <w:highlight w:val="none"/>
          <w:u w:val="single"/>
        </w:rPr>
        <w:t xml:space="preserve"> </w:t>
      </w:r>
      <w:r>
        <w:rPr>
          <w:rFonts w:hint="eastAsia" w:ascii="宋体" w:hAnsi="宋体"/>
          <w:b/>
          <w:iCs/>
          <w:sz w:val="24"/>
          <w:highlight w:val="none"/>
          <w:u w:val="single"/>
          <w:lang w:val="en-US" w:eastAsia="zh-CN"/>
        </w:rPr>
        <w:t xml:space="preserve"> 实现甲方的需求； 每次服务形成一个服务报告</w:t>
      </w:r>
      <w:r>
        <w:rPr>
          <w:rFonts w:hint="eastAsia" w:ascii="宋体" w:hAnsi="宋体"/>
          <w:b/>
          <w:i/>
          <w:sz w:val="24"/>
          <w:highlight w:val="none"/>
          <w:u w:val="single"/>
        </w:rPr>
        <w:t xml:space="preserve">  </w:t>
      </w:r>
      <w:r>
        <w:rPr>
          <w:rFonts w:hint="eastAsia" w:ascii="宋体" w:hAnsi="宋体"/>
          <w:sz w:val="24"/>
          <w:highlight w:val="none"/>
        </w:rPr>
        <w:t>。</w:t>
      </w:r>
    </w:p>
    <w:p>
      <w:pPr>
        <w:spacing w:line="360" w:lineRule="auto"/>
        <w:ind w:firstLine="480" w:firstLineChars="200"/>
        <w:outlineLvl w:val="0"/>
        <w:rPr>
          <w:rFonts w:hint="eastAsia" w:ascii="宋体" w:hAnsi="宋体" w:cs="宋体"/>
          <w:sz w:val="24"/>
          <w:highlight w:val="none"/>
          <w:u w:val="single"/>
        </w:rPr>
      </w:pPr>
      <w:r>
        <w:rPr>
          <w:rFonts w:hint="eastAsia" w:ascii="宋体" w:hAnsi="宋体"/>
          <w:bCs/>
          <w:sz w:val="24"/>
          <w:highlight w:val="none"/>
        </w:rPr>
        <w:t>4.</w:t>
      </w:r>
      <w:r>
        <w:rPr>
          <w:rFonts w:hint="eastAsia" w:ascii="宋体" w:hAnsi="宋体" w:cs="宋体"/>
          <w:sz w:val="24"/>
          <w:highlight w:val="none"/>
        </w:rPr>
        <w:t>交付甲方联系人及联系方式：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p>
    <w:p>
      <w:pPr>
        <w:spacing w:line="360" w:lineRule="auto"/>
        <w:ind w:firstLine="482" w:firstLineChars="200"/>
        <w:outlineLvl w:val="0"/>
        <w:rPr>
          <w:rFonts w:hint="eastAsia" w:ascii="宋体" w:hAnsi="宋体" w:cs="宋体"/>
          <w:b/>
          <w:kern w:val="0"/>
          <w:sz w:val="24"/>
          <w:highlight w:val="none"/>
        </w:rPr>
      </w:pPr>
      <w:r>
        <w:rPr>
          <w:rFonts w:hint="eastAsia" w:ascii="宋体" w:hAnsi="宋体" w:cs="宋体"/>
          <w:b/>
          <w:kern w:val="0"/>
          <w:sz w:val="24"/>
          <w:highlight w:val="none"/>
        </w:rPr>
        <w:t>四、质量和服务要求</w:t>
      </w:r>
    </w:p>
    <w:p>
      <w:pPr>
        <w:pStyle w:val="6"/>
        <w:numPr>
          <w:ilvl w:val="0"/>
          <w:numId w:val="0"/>
        </w:numPr>
        <w:ind w:firstLine="480" w:firstLineChars="200"/>
        <w:rPr>
          <w:rFonts w:hint="eastAsia"/>
          <w:color w:val="auto"/>
          <w:highlight w:val="none"/>
          <w:lang w:val="en-US" w:eastAsia="zh-CN"/>
        </w:rPr>
      </w:pPr>
      <w:bookmarkStart w:id="407" w:name="_Toc6596"/>
      <w:bookmarkStart w:id="408" w:name="_Toc1125"/>
      <w:bookmarkStart w:id="409" w:name="_Toc14563"/>
      <w:r>
        <w:rPr>
          <w:rFonts w:hint="eastAsia"/>
          <w:color w:val="auto"/>
          <w:highlight w:val="none"/>
          <w:lang w:val="en-US" w:eastAsia="zh-CN"/>
        </w:rPr>
        <w:t>1.</w:t>
      </w:r>
      <w:r>
        <w:rPr>
          <w:rFonts w:hint="eastAsia" w:cs="Arial"/>
          <w:snapToGrid w:val="0"/>
          <w:color w:val="auto"/>
          <w:kern w:val="2"/>
          <w:sz w:val="24"/>
          <w:szCs w:val="21"/>
          <w:highlight w:val="none"/>
          <w:lang w:val="en-US" w:eastAsia="zh-CN" w:bidi="ar-SA"/>
        </w:rPr>
        <w:t>乙方</w:t>
      </w:r>
      <w:r>
        <w:rPr>
          <w:rFonts w:hint="eastAsia"/>
          <w:color w:val="auto"/>
          <w:highlight w:val="none"/>
          <w:lang w:val="en-US" w:eastAsia="zh-CN"/>
        </w:rPr>
        <w:t>应明确项目经理，指派专人人员与业主方进行技术对接，项目经理及技术人员应保持手机24小时开机。如需更换技术人员，需提前与采购人沟通；运维人员必须熟悉能源项目Ovation DCS及相关硬件，具有操作维护经验；</w:t>
      </w:r>
    </w:p>
    <w:p>
      <w:pPr>
        <w:pStyle w:val="6"/>
        <w:numPr>
          <w:ilvl w:val="0"/>
          <w:numId w:val="0"/>
        </w:numPr>
        <w:ind w:firstLine="480" w:firstLineChars="200"/>
        <w:rPr>
          <w:rFonts w:hint="eastAsia"/>
          <w:lang w:val="en-US"/>
        </w:rPr>
      </w:pPr>
      <w:r>
        <w:rPr>
          <w:rFonts w:hint="eastAsia"/>
          <w:color w:val="auto"/>
          <w:highlight w:val="none"/>
          <w:lang w:val="en-US" w:eastAsia="zh-CN"/>
        </w:rPr>
        <w:t>2.</w:t>
      </w:r>
      <w:r>
        <w:rPr>
          <w:rFonts w:hint="eastAsia"/>
          <w:lang w:val="en-US" w:eastAsia="zh-CN"/>
        </w:rPr>
        <w:t>甲方</w:t>
      </w:r>
      <w:r>
        <w:rPr>
          <w:rFonts w:hint="eastAsia"/>
          <w:color w:val="auto"/>
          <w:lang w:val="en-US" w:eastAsia="zh-CN"/>
        </w:rPr>
        <w:t>提前两周通知乙方到场服务日期，乙方按时到现场服务</w:t>
      </w:r>
      <w:r>
        <w:rPr>
          <w:rFonts w:hint="eastAsia"/>
          <w:lang w:val="en-US"/>
        </w:rPr>
        <w:t>。</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3.接到维护要求时，运维人员需在白天2小时、夜间8小时内（0：00-8：00为夜间）做出响应，及时处理系统现场异常情况，确保系统正常使用；如遇设备损坏等特殊情况，出具处理办法，双方协商解决。</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4.每次维护形成一个服务报告。</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r>
        <w:rPr>
          <w:rFonts w:hint="eastAsia" w:ascii="宋体" w:hAnsi="宋体" w:cs="宋体"/>
          <w:b/>
          <w:bCs/>
          <w:sz w:val="24"/>
          <w:highlight w:val="none"/>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pStyle w:val="6"/>
        <w:ind w:firstLine="482" w:firstLineChars="200"/>
        <w:rPr>
          <w:rFonts w:hint="eastAsia" w:ascii="宋体" w:hAnsi="宋体"/>
          <w:b/>
          <w:sz w:val="24"/>
          <w:highlight w:val="none"/>
        </w:rPr>
      </w:pPr>
      <w:r>
        <w:rPr>
          <w:rFonts w:hint="eastAsia" w:ascii="宋体" w:hAnsi="宋体" w:cs="Arial"/>
          <w:b/>
          <w:snapToGrid w:val="0"/>
          <w:sz w:val="24"/>
          <w:szCs w:val="21"/>
          <w:highlight w:val="none"/>
        </w:rPr>
        <w:t>六、</w:t>
      </w:r>
      <w:r>
        <w:rPr>
          <w:rFonts w:hint="eastAsia" w:ascii="宋体" w:hAnsi="宋体"/>
          <w:b/>
          <w:sz w:val="24"/>
          <w:highlight w:val="none"/>
        </w:rPr>
        <w:t>验收特别约定条款</w:t>
      </w:r>
    </w:p>
    <w:p>
      <w:pPr>
        <w:tabs>
          <w:tab w:val="left" w:pos="360"/>
          <w:tab w:val="left" w:pos="540"/>
          <w:tab w:val="left" w:pos="1080"/>
        </w:tabs>
        <w:spacing w:line="360" w:lineRule="auto"/>
        <w:ind w:firstLine="480" w:firstLineChars="200"/>
        <w:rPr>
          <w:rFonts w:hint="eastAsia" w:ascii="宋体" w:hAnsi="宋体" w:cs="宋体"/>
          <w:sz w:val="24"/>
          <w:highlight w:val="none"/>
          <w:u w:val="single"/>
        </w:rPr>
      </w:pPr>
      <w:r>
        <w:rPr>
          <w:rFonts w:ascii="宋体" w:hAnsi="宋体" w:cs="宋体"/>
          <w:sz w:val="24"/>
          <w:highlight w:val="none"/>
        </w:rPr>
        <w:t>1.</w:t>
      </w:r>
      <w:r>
        <w:rPr>
          <w:rFonts w:hint="eastAsia" w:ascii="宋体" w:hAnsi="宋体" w:cs="宋体"/>
          <w:sz w:val="24"/>
          <w:highlight w:val="none"/>
          <w:u w:val="single"/>
          <w:lang w:val="en-US" w:eastAsia="zh-CN"/>
        </w:rPr>
        <w:t xml:space="preserve"> </w:t>
      </w:r>
      <w:r>
        <w:rPr>
          <w:rFonts w:hint="eastAsia" w:ascii="宋体" w:hAnsi="宋体"/>
          <w:sz w:val="24"/>
          <w:highlight w:val="none"/>
          <w:u w:val="single"/>
          <w:lang w:val="en-US" w:eastAsia="zh-CN"/>
        </w:rPr>
        <w:t>乙方每次形成一个服务报告，甲方认为合格后签字验收</w:t>
      </w:r>
      <w:r>
        <w:rPr>
          <w:rFonts w:hint="eastAsia" w:ascii="宋体" w:hAnsi="宋体"/>
          <w:sz w:val="24"/>
          <w:highlight w:val="none"/>
          <w:u w:val="single"/>
        </w:rPr>
        <w:t>。</w:t>
      </w:r>
    </w:p>
    <w:p>
      <w:pPr>
        <w:pStyle w:val="25"/>
        <w:spacing w:before="0" w:beforeAutospacing="0" w:after="0" w:afterAutospacing="0" w:line="360" w:lineRule="auto"/>
        <w:ind w:firstLine="480"/>
        <w:rPr>
          <w:b/>
          <w:highlight w:val="none"/>
        </w:rPr>
      </w:pPr>
      <w:r>
        <w:rPr>
          <w:rFonts w:hint="eastAsia"/>
          <w:b/>
          <w:highlight w:val="none"/>
        </w:rPr>
        <w:t>七、履约保证金</w:t>
      </w:r>
    </w:p>
    <w:p>
      <w:pPr>
        <w:pStyle w:val="25"/>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5</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3.履约保证金支付方式：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5.甲方在验收结束后及时退还履约保证金。甲方在项目通过验收之日起 30个工作日内将履约保证金无息退还乙方。</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八、预付款</w:t>
      </w:r>
    </w:p>
    <w:p>
      <w:pPr>
        <w:pStyle w:val="25"/>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5"/>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5"/>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5"/>
        <w:spacing w:before="0" w:beforeAutospacing="0" w:after="0" w:afterAutospacing="0" w:line="360" w:lineRule="auto"/>
        <w:ind w:firstLine="480"/>
        <w:rPr>
          <w:b/>
          <w:bCs/>
          <w:highlight w:val="none"/>
        </w:rPr>
      </w:pPr>
      <w:r>
        <w:rPr>
          <w:rFonts w:hint="eastAsia"/>
          <w:b/>
          <w:bCs/>
          <w:highlight w:val="none"/>
        </w:rPr>
        <w:t>九、资金支付</w:t>
      </w:r>
    </w:p>
    <w:p>
      <w:pPr>
        <w:pStyle w:val="25"/>
        <w:spacing w:before="0" w:beforeAutospacing="0" w:after="0" w:afterAutospacing="0" w:line="360" w:lineRule="auto"/>
        <w:ind w:firstLine="480"/>
        <w:rPr>
          <w:rFonts w:hint="eastAsia"/>
          <w:highlight w:val="none"/>
        </w:rPr>
      </w:pPr>
      <w:r>
        <w:rPr>
          <w:rFonts w:hint="eastAsia"/>
          <w:highlight w:val="none"/>
        </w:rPr>
        <w:t>1.甲方应严格履行合同，及时组织验收，验收合格后及时将合同款支付完毕。对于满足合同约定支付条件的，甲方自收到合格发票后</w:t>
      </w:r>
      <w:r>
        <w:rPr>
          <w:rFonts w:hint="eastAsia"/>
          <w:b/>
          <w:bCs/>
          <w:highlight w:val="none"/>
          <w:u w:val="single"/>
        </w:rPr>
        <w:t>30</w:t>
      </w:r>
      <w:r>
        <w:rPr>
          <w:rFonts w:hint="eastAsia"/>
          <w:highlight w:val="none"/>
        </w:rPr>
        <w:t>个工作日内将资金支付到合同约定的乙方账户。如乙方提供的发票存在问题，甲方有权延迟付款且不承担任何责任。</w:t>
      </w:r>
    </w:p>
    <w:p>
      <w:pPr>
        <w:pStyle w:val="25"/>
        <w:spacing w:before="0" w:beforeAutospacing="0" w:after="0" w:afterAutospacing="0" w:line="360" w:lineRule="auto"/>
        <w:ind w:firstLine="480"/>
        <w:rPr>
          <w:rFonts w:hint="eastAsia"/>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adjustRightInd/>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5"/>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 </w:t>
      </w:r>
      <w:r>
        <w:rPr>
          <w:rFonts w:hint="eastAsia"/>
          <w:highlight w:val="none"/>
        </w:rPr>
        <w:t>%；</w:t>
      </w:r>
    </w:p>
    <w:p>
      <w:pPr>
        <w:pStyle w:val="25"/>
        <w:spacing w:before="0" w:beforeAutospacing="0" w:after="0" w:afterAutospacing="0" w:line="360" w:lineRule="auto"/>
        <w:ind w:firstLine="480"/>
        <w:rPr>
          <w:rFonts w:hint="eastAsia"/>
          <w:highlight w:val="none"/>
        </w:rPr>
      </w:pPr>
      <w:r>
        <w:rPr>
          <w:rFonts w:hint="eastAsia"/>
          <w:highlight w:val="none"/>
        </w:rPr>
        <w:t>（3）质保金支付条件：</w:t>
      </w:r>
      <w:r>
        <w:rPr>
          <w:rFonts w:hint="eastAsia"/>
          <w:highlight w:val="none"/>
          <w:u w:val="single"/>
        </w:rPr>
        <w:t>/</w:t>
      </w:r>
      <w:r>
        <w:rPr>
          <w:rFonts w:hint="eastAsia"/>
          <w:highlight w:val="none"/>
        </w:rPr>
        <w:t>。</w:t>
      </w:r>
    </w:p>
    <w:p>
      <w:pPr>
        <w:pStyle w:val="25"/>
        <w:spacing w:before="0" w:beforeAutospacing="0" w:after="0" w:afterAutospacing="0" w:line="360" w:lineRule="auto"/>
        <w:ind w:firstLine="480"/>
        <w:rPr>
          <w:rFonts w:hint="eastAsia"/>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（4）</w:t>
      </w:r>
      <w:r>
        <w:rPr>
          <w:rFonts w:hint="eastAsia"/>
          <w:highlight w:val="none"/>
          <w:u w:val="single"/>
        </w:rPr>
        <w:t xml:space="preserve"> </w:t>
      </w:r>
      <w:r>
        <w:rPr>
          <w:rFonts w:hint="eastAsia"/>
          <w:highlight w:val="none"/>
        </w:rPr>
        <w:t>条款规定：</w:t>
      </w:r>
    </w:p>
    <w:p>
      <w:pPr>
        <w:pStyle w:val="25"/>
        <w:spacing w:before="0" w:beforeAutospacing="0" w:after="0" w:afterAutospacing="0" w:line="360" w:lineRule="auto"/>
        <w:ind w:firstLine="480"/>
        <w:rPr>
          <w:rFonts w:hint="eastAsia"/>
          <w:highlight w:val="none"/>
          <w:u w:val="single"/>
        </w:rPr>
      </w:pPr>
      <w:r>
        <w:rPr>
          <w:rFonts w:hint="eastAsia"/>
          <w:highlight w:val="none"/>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按验收特别约定条款、甲方制度规定（以要求较高者为准）执行，如前述条款/规定无考核要求、标准的，乙方于次月1</w:t>
      </w:r>
      <w:r>
        <w:rPr>
          <w:b/>
          <w:bCs/>
          <w:highlight w:val="none"/>
        </w:rPr>
        <w:t>5</w:t>
      </w:r>
      <w:r>
        <w:rPr>
          <w:rFonts w:hint="eastAsia"/>
          <w:b/>
          <w:bCs/>
          <w:highlight w:val="none"/>
        </w:rPr>
        <w:t>日前向甲方提供增值税专用发票，</w:t>
      </w:r>
      <w:r>
        <w:rPr>
          <w:rFonts w:hint="eastAsia"/>
          <w:highlight w:val="none"/>
          <w:u w:val="single"/>
        </w:rPr>
        <w:t>甲方收到乙方提供的增值税专用发票后，甲方在本合同约定时间内完成支付；</w:t>
      </w:r>
    </w:p>
    <w:p>
      <w:pPr>
        <w:pStyle w:val="25"/>
        <w:spacing w:before="0" w:beforeAutospacing="0" w:after="0" w:afterAutospacing="0" w:line="360" w:lineRule="auto"/>
        <w:ind w:firstLine="480"/>
        <w:rPr>
          <w:highlight w:val="none"/>
          <w:u w:val="single"/>
        </w:rPr>
      </w:pPr>
      <w:r>
        <w:rPr>
          <w:rFonts w:hint="eastAsia"/>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按验收特别约定条款、甲方制度规定（以要求较高者为准）执行，如前述条款/规定无考核要求、标准的，乙方于下一季度开始后</w:t>
      </w:r>
      <w:r>
        <w:rPr>
          <w:b/>
          <w:bCs/>
          <w:highlight w:val="none"/>
        </w:rPr>
        <w:t>30</w:t>
      </w:r>
      <w:r>
        <w:rPr>
          <w:rFonts w:hint="eastAsia"/>
          <w:b/>
          <w:bCs/>
          <w:highlight w:val="none"/>
        </w:rPr>
        <w:t>日内向甲方提供增值税专用发票，</w:t>
      </w:r>
      <w:r>
        <w:rPr>
          <w:rFonts w:hint="eastAsia"/>
          <w:highlight w:val="none"/>
          <w:u w:val="single"/>
        </w:rPr>
        <w:t>甲方收到乙方提供的增值税专用发票后，甲方在本合同约定时间内完成支付；</w:t>
      </w:r>
    </w:p>
    <w:p>
      <w:pPr>
        <w:pStyle w:val="25"/>
        <w:spacing w:before="0" w:beforeAutospacing="0" w:after="0" w:afterAutospacing="0" w:line="360" w:lineRule="auto"/>
        <w:ind w:firstLine="480" w:firstLineChars="200"/>
        <w:rPr>
          <w:rFonts w:hint="eastAsia"/>
          <w:highlight w:val="none"/>
        </w:rPr>
      </w:pPr>
      <w:r>
        <w:rPr>
          <w:rFonts w:hint="eastAsia"/>
          <w:highlight w:val="none"/>
          <w:u w:val="single"/>
        </w:rPr>
        <w:t>（3）一次性付款，经甲方验收合格后，甲方收到乙方提供的增值税专用发票后，甲方在本合同约定时间内完成支付。</w:t>
      </w:r>
      <w:r>
        <w:rPr>
          <w:rFonts w:hint="eastAsia"/>
          <w:highlight w:val="none"/>
        </w:rPr>
        <w:t xml:space="preserve">     </w:t>
      </w:r>
    </w:p>
    <w:p>
      <w:pPr>
        <w:pStyle w:val="25"/>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其他付款方式</w:t>
      </w:r>
      <w:r>
        <w:rPr>
          <w:rFonts w:hint="eastAsia"/>
          <w:highlight w:val="none"/>
          <w:u w:val="single"/>
          <w:lang w:eastAsia="zh-CN"/>
        </w:rPr>
        <w:t>：合同签订后一个月内收到乙方开具的增值税专用发票后，30天内</w:t>
      </w:r>
      <w:r>
        <w:rPr>
          <w:rFonts w:hint="eastAsia"/>
          <w:highlight w:val="none"/>
          <w:u w:val="single"/>
          <w:lang w:val="en-US" w:eastAsia="zh-CN"/>
        </w:rPr>
        <w:t>支付</w:t>
      </w:r>
      <w:r>
        <w:rPr>
          <w:rFonts w:hint="eastAsia"/>
          <w:highlight w:val="none"/>
          <w:u w:val="single"/>
          <w:lang w:eastAsia="zh-CN"/>
        </w:rPr>
        <w:t>合同总价的</w:t>
      </w:r>
      <w:r>
        <w:rPr>
          <w:rFonts w:hint="eastAsia"/>
          <w:highlight w:val="none"/>
          <w:u w:val="single"/>
          <w:lang w:val="en-US" w:eastAsia="zh-CN"/>
        </w:rPr>
        <w:t>50</w:t>
      </w:r>
      <w:r>
        <w:rPr>
          <w:rFonts w:hint="eastAsia"/>
          <w:highlight w:val="none"/>
          <w:u w:val="single"/>
          <w:lang w:eastAsia="zh-CN"/>
        </w:rPr>
        <w:t>%(人民币￥</w:t>
      </w:r>
      <w:r>
        <w:rPr>
          <w:rFonts w:hint="eastAsia"/>
          <w:highlight w:val="none"/>
          <w:u w:val="single"/>
          <w:lang w:val="en-US" w:eastAsia="zh-CN"/>
        </w:rPr>
        <w:t>*</w:t>
      </w:r>
      <w:r>
        <w:rPr>
          <w:rFonts w:hint="eastAsia"/>
          <w:highlight w:val="none"/>
          <w:u w:val="single"/>
          <w:lang w:eastAsia="zh-CN"/>
        </w:rPr>
        <w:t>元);合同期满后收到乙方开具的增值税专用发票后，30天内支付合同总价的</w:t>
      </w:r>
      <w:r>
        <w:rPr>
          <w:rFonts w:hint="eastAsia"/>
          <w:highlight w:val="none"/>
          <w:u w:val="single"/>
          <w:lang w:val="en-US" w:eastAsia="zh-CN"/>
        </w:rPr>
        <w:t>50</w:t>
      </w:r>
      <w:r>
        <w:rPr>
          <w:rFonts w:hint="eastAsia"/>
          <w:highlight w:val="none"/>
          <w:u w:val="single"/>
          <w:lang w:eastAsia="zh-CN"/>
        </w:rPr>
        <w:t>%(人民币￥</w:t>
      </w:r>
      <w:r>
        <w:rPr>
          <w:rFonts w:hint="eastAsia"/>
          <w:highlight w:val="none"/>
          <w:u w:val="single"/>
          <w:lang w:val="en-US" w:eastAsia="zh-CN"/>
        </w:rPr>
        <w:t>*</w:t>
      </w:r>
      <w:r>
        <w:rPr>
          <w:rFonts w:hint="eastAsia"/>
          <w:highlight w:val="none"/>
          <w:u w:val="single"/>
          <w:lang w:eastAsia="zh-CN"/>
        </w:rPr>
        <w:t>元)。如有考核款项，在结算时一并扣除</w:t>
      </w:r>
      <w:r>
        <w:rPr>
          <w:rFonts w:hint="eastAsia"/>
          <w:highlight w:val="none"/>
        </w:rPr>
        <w:t>。</w:t>
      </w:r>
    </w:p>
    <w:p>
      <w:pPr>
        <w:spacing w:line="360" w:lineRule="auto"/>
        <w:ind w:firstLine="482" w:firstLineChars="200"/>
        <w:rPr>
          <w:rFonts w:ascii="宋体" w:hAnsi="宋体"/>
          <w:sz w:val="24"/>
          <w:highlight w:val="none"/>
          <w:u w:val="single"/>
        </w:rPr>
      </w:pPr>
      <w:r>
        <w:rPr>
          <w:rFonts w:hint="eastAsia" w:ascii="宋体" w:hAnsi="宋体"/>
          <w:b/>
          <w:sz w:val="24"/>
          <w:highlight w:val="none"/>
        </w:rPr>
        <w:t>十、</w:t>
      </w:r>
      <w:bookmarkEnd w:id="402"/>
      <w:bookmarkEnd w:id="403"/>
      <w:bookmarkEnd w:id="404"/>
      <w:bookmarkEnd w:id="405"/>
      <w:bookmarkEnd w:id="406"/>
      <w:bookmarkStart w:id="410" w:name="_Toc24662"/>
      <w:bookmarkStart w:id="411" w:name="_Toc5698"/>
      <w:bookmarkStart w:id="412" w:name="_Toc8586"/>
      <w:bookmarkStart w:id="413" w:name="_Toc2375"/>
      <w:bookmarkStart w:id="414" w:name="_Toc3079"/>
      <w:r>
        <w:rPr>
          <w:rFonts w:hint="eastAsia" w:ascii="宋体" w:hAnsi="宋体"/>
          <w:b/>
          <w:sz w:val="24"/>
          <w:highlight w:val="none"/>
        </w:rPr>
        <w:t>违约责任</w:t>
      </w:r>
      <w:bookmarkEnd w:id="410"/>
      <w:bookmarkEnd w:id="411"/>
      <w:bookmarkEnd w:id="412"/>
      <w:bookmarkEnd w:id="413"/>
      <w:bookmarkEnd w:id="414"/>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highlight w:val="none"/>
        </w:rPr>
        <w:t>1.</w:t>
      </w:r>
      <w:r>
        <w:rPr>
          <w:rFonts w:ascii="宋体" w:hAnsi="宋体"/>
          <w:sz w:val="24"/>
          <w:highlight w:val="none"/>
        </w:rPr>
        <w:t>除不可抗力外，如果乙方没有按照本合同约定的期限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rPr>
        <w:t>2.服务中涉及的货物，除不可抗力外，如果乙方没有按照本合同约定的期限、地点和方式交付货物，那么甲方可要求乙方支付违约金，迟延履行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highlight w:val="none"/>
        </w:rPr>
      </w:pPr>
      <w:r>
        <w:rPr>
          <w:rFonts w:hint="eastAsia" w:ascii="宋体" w:hAnsi="宋体"/>
          <w:sz w:val="24"/>
          <w:highlight w:val="none"/>
        </w:rPr>
        <w:t>3.除不可抗力外，如果甲方没有按照本合同约定的付款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pPr>
        <w:spacing w:line="360" w:lineRule="auto"/>
        <w:ind w:firstLine="480" w:firstLineChars="200"/>
        <w:rPr>
          <w:rFonts w:ascii="宋体" w:hAnsi="宋体" w:cs="宋体"/>
          <w:sz w:val="24"/>
          <w:highlight w:val="none"/>
        </w:rPr>
      </w:pPr>
      <w:bookmarkStart w:id="415" w:name="_Toc30329"/>
      <w:bookmarkStart w:id="416" w:name="_Toc26807"/>
      <w:bookmarkStart w:id="417" w:name="_Toc9497"/>
      <w:bookmarkStart w:id="418" w:name="_Toc18683"/>
      <w:bookmarkStart w:id="419" w:name="_Toc32454"/>
      <w:r>
        <w:rPr>
          <w:rFonts w:hint="eastAsia" w:ascii="宋体" w:hAnsi="宋体" w:cs="宋体"/>
          <w:sz w:val="24"/>
          <w:highlight w:val="none"/>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rPr>
        <w:t>7.违约责任另有约定的，从其约定，具体如下：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 xml:space="preserve">（3）甲方无故拒收成果交付，乙方有权要求甲方按照合同原价支付费用  </w:t>
      </w:r>
      <w:r>
        <w:rPr>
          <w:rFonts w:hint="eastAsia" w:ascii="宋体" w:hAnsi="宋体" w:cs="宋体"/>
          <w:sz w:val="24"/>
          <w:highlight w:val="none"/>
          <w:u w:val="single"/>
          <w:lang w:eastAsia="zh-CN"/>
        </w:rPr>
        <w:t>；</w:t>
      </w:r>
    </w:p>
    <w:p>
      <w:pPr>
        <w:spacing w:line="360" w:lineRule="auto"/>
        <w:ind w:right="-420" w:rightChars="-200" w:firstLine="480" w:firstLineChars="200"/>
        <w:rPr>
          <w:rFonts w:ascii="宋体" w:hAnsi="宋体" w:cs="宋体"/>
          <w:highlight w:val="none"/>
          <w:u w:val="single"/>
        </w:rPr>
      </w:pPr>
      <w:r>
        <w:rPr>
          <w:rFonts w:hint="eastAsia" w:ascii="宋体" w:hAnsi="宋体" w:cs="宋体"/>
          <w:sz w:val="24"/>
          <w:highlight w:val="none"/>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highlight w:val="none"/>
        </w:rPr>
      </w:pPr>
      <w:bookmarkStart w:id="420" w:name="_Toc16021"/>
      <w:bookmarkStart w:id="421" w:name="_Toc15583"/>
      <w:bookmarkStart w:id="422" w:name="_Toc28375"/>
      <w:r>
        <w:rPr>
          <w:rFonts w:hint="eastAsia" w:ascii="宋体" w:hAnsi="宋体" w:cs="宋体"/>
          <w:b/>
          <w:sz w:val="24"/>
          <w:highlight w:val="none"/>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Cs/>
          <w:sz w:val="24"/>
          <w:highlight w:val="none"/>
          <w:u w:val="single"/>
        </w:rPr>
        <w:t xml:space="preserve"> 2 </w:t>
      </w:r>
      <w:r>
        <w:rPr>
          <w:rFonts w:hint="eastAsia" w:ascii="宋体" w:hAnsi="宋体" w:cs="宋体"/>
          <w:b/>
          <w:i/>
          <w:sz w:val="24"/>
          <w:highlight w:val="none"/>
          <w:u w:val="single"/>
        </w:rPr>
        <w:t xml:space="preserve">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left="-420" w:leftChars="-200" w:right="-420" w:rightChars="-200" w:firstLine="840" w:firstLineChars="35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甲方所在地人</w:t>
      </w:r>
      <w:r>
        <w:rPr>
          <w:rFonts w:hint="eastAsia" w:ascii="宋体" w:hAnsi="宋体" w:cs="宋体"/>
          <w:sz w:val="24"/>
          <w:highlight w:val="none"/>
        </w:rPr>
        <w:t>民法院起诉。</w:t>
      </w:r>
    </w:p>
    <w:p>
      <w:pPr>
        <w:spacing w:line="360" w:lineRule="auto"/>
        <w:ind w:firstLine="482" w:firstLineChars="200"/>
        <w:outlineLvl w:val="0"/>
        <w:rPr>
          <w:rFonts w:ascii="宋体" w:hAnsi="宋体" w:cs="宋体"/>
          <w:b/>
          <w:sz w:val="24"/>
          <w:highlight w:val="none"/>
        </w:rPr>
      </w:pPr>
      <w:bookmarkStart w:id="423" w:name="_Toc15322"/>
      <w:bookmarkStart w:id="424" w:name="_Toc7245"/>
      <w:bookmarkStart w:id="425" w:name="_Toc11173"/>
      <w:r>
        <w:rPr>
          <w:rFonts w:hint="eastAsia" w:ascii="宋体" w:hAnsi="宋体" w:cs="宋体"/>
          <w:b/>
          <w:sz w:val="24"/>
          <w:highlight w:val="none"/>
        </w:rPr>
        <w:t>十二、合同生效</w:t>
      </w:r>
      <w:bookmarkEnd w:id="423"/>
      <w:bookmarkEnd w:id="424"/>
      <w:bookmarkEnd w:id="425"/>
    </w:p>
    <w:p>
      <w:pPr>
        <w:pStyle w:val="24"/>
        <w:ind w:left="0" w:leftChars="0"/>
        <w:jc w:val="left"/>
        <w:rPr>
          <w:rFonts w:ascii="宋体" w:hAnsi="宋体"/>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、第三章安全协议、第四章廉洁协议为本合同不可分割的一部分，</w:t>
      </w:r>
      <w:r>
        <w:rPr>
          <w:rFonts w:ascii="宋体" w:hAnsi="宋体"/>
          <w:highlight w:val="none"/>
        </w:rPr>
        <w:t>均具有同等法律效力</w:t>
      </w:r>
      <w:r>
        <w:rPr>
          <w:rFonts w:hint="eastAsia" w:ascii="宋体" w:hAnsi="宋体"/>
          <w:highlight w:val="none"/>
        </w:rPr>
        <w:t>。</w:t>
      </w:r>
    </w:p>
    <w:p>
      <w:pPr>
        <w:spacing w:line="360" w:lineRule="auto"/>
        <w:ind w:firstLine="480" w:firstLineChars="200"/>
        <w:rPr>
          <w:rFonts w:hint="eastAsia" w:ascii="宋体" w:hAnsi="宋体" w:cs="宋体"/>
          <w:sz w:val="24"/>
          <w:highlight w:val="none"/>
        </w:rPr>
      </w:pPr>
    </w:p>
    <w:p>
      <w:pPr>
        <w:pStyle w:val="24"/>
        <w:ind w:left="0" w:leftChars="0" w:firstLine="0" w:firstLineChars="0"/>
        <w:jc w:val="center"/>
        <w:rPr>
          <w:rFonts w:hint="eastAsia" w:ascii="宋体" w:hAnsi="宋体"/>
          <w:b/>
          <w:szCs w:val="24"/>
          <w:highlight w:val="none"/>
        </w:rPr>
      </w:pPr>
    </w:p>
    <w:p>
      <w:pPr>
        <w:pStyle w:val="24"/>
        <w:ind w:left="0" w:leftChars="0" w:firstLine="0" w:firstLineChars="0"/>
        <w:jc w:val="center"/>
        <w:rPr>
          <w:rFonts w:ascii="宋体" w:hAnsi="宋体"/>
          <w:b/>
          <w:szCs w:val="24"/>
          <w:highlight w:val="none"/>
        </w:rPr>
      </w:pPr>
      <w:r>
        <w:rPr>
          <w:rFonts w:hint="eastAsia" w:ascii="宋体" w:hAnsi="宋体"/>
          <w:b/>
          <w:szCs w:val="24"/>
          <w:highlight w:val="none"/>
        </w:rPr>
        <w:t>第二章</w:t>
      </w:r>
      <w:r>
        <w:rPr>
          <w:rFonts w:ascii="宋体" w:hAnsi="宋体"/>
          <w:b/>
          <w:szCs w:val="24"/>
          <w:highlight w:val="none"/>
        </w:rPr>
        <w:t xml:space="preserve"> </w:t>
      </w:r>
      <w:r>
        <w:rPr>
          <w:rFonts w:hint="eastAsia" w:ascii="宋体" w:hAnsi="宋体"/>
          <w:b/>
          <w:szCs w:val="24"/>
          <w:highlight w:val="none"/>
        </w:rPr>
        <w:t>合同一般条款</w:t>
      </w:r>
    </w:p>
    <w:p>
      <w:pPr>
        <w:spacing w:line="360" w:lineRule="auto"/>
        <w:ind w:firstLine="482" w:firstLineChars="200"/>
        <w:outlineLvl w:val="0"/>
        <w:rPr>
          <w:rFonts w:ascii="宋体" w:hAnsi="宋体"/>
          <w:b/>
          <w:sz w:val="24"/>
          <w:highlight w:val="none"/>
        </w:rPr>
      </w:pPr>
      <w:bookmarkStart w:id="426" w:name="_Toc31297"/>
      <w:bookmarkStart w:id="427" w:name="_Toc5228"/>
      <w:bookmarkStart w:id="428" w:name="_Toc14021"/>
      <w:bookmarkStart w:id="429" w:name="_Toc25079"/>
      <w:bookmarkStart w:id="430" w:name="_Toc19680"/>
      <w:r>
        <w:rPr>
          <w:rFonts w:hint="eastAsia" w:ascii="宋体" w:hAnsi="宋体"/>
          <w:b/>
          <w:sz w:val="24"/>
          <w:highlight w:val="none"/>
        </w:rPr>
        <w:t>一、</w:t>
      </w:r>
      <w:r>
        <w:rPr>
          <w:rFonts w:ascii="宋体" w:hAnsi="宋体"/>
          <w:b/>
          <w:sz w:val="24"/>
          <w:highlight w:val="none"/>
        </w:rPr>
        <w:t>定义</w:t>
      </w:r>
      <w:bookmarkEnd w:id="426"/>
      <w:bookmarkEnd w:id="427"/>
      <w:bookmarkEnd w:id="428"/>
      <w:bookmarkEnd w:id="429"/>
      <w:bookmarkEnd w:id="430"/>
    </w:p>
    <w:p>
      <w:pPr>
        <w:spacing w:line="360" w:lineRule="auto"/>
        <w:ind w:firstLine="480" w:firstLineChars="200"/>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“合同”系指采购人和</w:t>
      </w:r>
      <w:r>
        <w:rPr>
          <w:rFonts w:hint="eastAsia" w:ascii="宋体" w:hAnsi="宋体" w:cs="宋体"/>
          <w:sz w:val="24"/>
          <w:highlight w:val="none"/>
        </w:rPr>
        <w:t>中标或成交</w:t>
      </w:r>
      <w:r>
        <w:rPr>
          <w:rFonts w:ascii="宋体" w:hAnsi="宋体"/>
          <w:sz w:val="24"/>
          <w:highlight w:val="none"/>
        </w:rPr>
        <w:t>供应商签订的载明双方当事人所达成的协议，并包括所有的附件、附录和构成合同的其他文件。</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“合同价”系指根据合同约定，</w:t>
      </w:r>
      <w:r>
        <w:rPr>
          <w:rFonts w:hint="eastAsia" w:ascii="宋体" w:hAnsi="宋体" w:cs="宋体"/>
          <w:sz w:val="24"/>
          <w:highlight w:val="none"/>
        </w:rPr>
        <w:t>中标或成交</w:t>
      </w:r>
      <w:r>
        <w:rPr>
          <w:rFonts w:ascii="宋体" w:hAnsi="宋体"/>
          <w:sz w:val="24"/>
          <w:highlight w:val="none"/>
        </w:rPr>
        <w:t>供应商在完全履行合同义务后</w:t>
      </w:r>
      <w:r>
        <w:rPr>
          <w:rFonts w:hint="eastAsia" w:ascii="宋体" w:hAnsi="宋体"/>
          <w:sz w:val="24"/>
          <w:highlight w:val="none"/>
        </w:rPr>
        <w:t>，</w:t>
      </w:r>
      <w:r>
        <w:rPr>
          <w:rFonts w:ascii="宋体" w:hAnsi="宋体"/>
          <w:sz w:val="24"/>
          <w:highlight w:val="none"/>
        </w:rPr>
        <w:t>采购人应支付给</w:t>
      </w:r>
      <w:r>
        <w:rPr>
          <w:rFonts w:hint="eastAsia" w:ascii="宋体" w:hAnsi="宋体" w:cs="宋体"/>
          <w:sz w:val="24"/>
          <w:highlight w:val="none"/>
        </w:rPr>
        <w:t>中标或成交</w:t>
      </w:r>
      <w:r>
        <w:rPr>
          <w:rFonts w:ascii="宋体" w:hAnsi="宋体"/>
          <w:sz w:val="24"/>
          <w:highlight w:val="none"/>
        </w:rPr>
        <w:t>供应商的价格。</w:t>
      </w:r>
    </w:p>
    <w:p>
      <w:pPr>
        <w:spacing w:line="360" w:lineRule="auto"/>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服务</w:t>
      </w:r>
      <w:r>
        <w:rPr>
          <w:rFonts w:ascii="宋体" w:hAnsi="宋体"/>
          <w:sz w:val="24"/>
          <w:highlight w:val="none"/>
        </w:rPr>
        <w:t>”系指</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根据合同约定应向采购人</w:t>
      </w:r>
      <w:r>
        <w:rPr>
          <w:rFonts w:hint="eastAsia" w:ascii="宋体" w:hAnsi="宋体"/>
          <w:sz w:val="24"/>
          <w:highlight w:val="none"/>
        </w:rPr>
        <w:t>履行</w:t>
      </w:r>
      <w:r>
        <w:rPr>
          <w:rFonts w:hint="eastAsia" w:ascii="宋体" w:hAnsi="宋体"/>
          <w:sz w:val="24"/>
          <w:highlight w:val="none"/>
          <w:lang w:val="en-US" w:eastAsia="zh-CN"/>
        </w:rPr>
        <w:t>的</w:t>
      </w:r>
      <w:r>
        <w:rPr>
          <w:rFonts w:hint="eastAsia" w:ascii="宋体" w:hAnsi="宋体"/>
          <w:sz w:val="24"/>
          <w:highlight w:val="none"/>
        </w:rPr>
        <w:t>服务。</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签署合同的采购人</w:t>
      </w:r>
      <w:r>
        <w:rPr>
          <w:rFonts w:hint="eastAsia" w:ascii="宋体" w:hAnsi="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“乙方”系指根据合同约定提供服务的</w:t>
      </w:r>
      <w:r>
        <w:rPr>
          <w:rFonts w:hint="eastAsia" w:ascii="宋体" w:hAnsi="宋体" w:cs="宋体"/>
          <w:sz w:val="24"/>
          <w:highlight w:val="none"/>
        </w:rPr>
        <w:t>中标或成交</w:t>
      </w:r>
      <w:r>
        <w:rPr>
          <w:rFonts w:ascii="宋体" w:hAnsi="宋体"/>
          <w:sz w:val="24"/>
          <w:highlight w:val="none"/>
        </w:rPr>
        <w:t>供应商</w:t>
      </w:r>
      <w:r>
        <w:rPr>
          <w:rFonts w:hint="eastAsia" w:ascii="宋体" w:hAnsi="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“现场”系指合同约定提供服务的地点。</w:t>
      </w:r>
    </w:p>
    <w:p>
      <w:pPr>
        <w:spacing w:line="360" w:lineRule="auto"/>
        <w:ind w:firstLine="482" w:firstLineChars="200"/>
        <w:outlineLvl w:val="0"/>
        <w:rPr>
          <w:rFonts w:ascii="宋体" w:hAnsi="宋体"/>
          <w:b/>
          <w:sz w:val="24"/>
          <w:highlight w:val="none"/>
        </w:rPr>
      </w:pPr>
      <w:bookmarkStart w:id="431" w:name="_Toc31402"/>
      <w:bookmarkStart w:id="432" w:name="_Toc16752"/>
      <w:bookmarkStart w:id="433" w:name="_Toc19539"/>
      <w:bookmarkStart w:id="434" w:name="_Toc3769"/>
      <w:bookmarkStart w:id="435" w:name="_Toc23289"/>
      <w:r>
        <w:rPr>
          <w:rFonts w:hint="eastAsia" w:ascii="宋体" w:hAnsi="宋体"/>
          <w:b/>
          <w:sz w:val="24"/>
          <w:highlight w:val="none"/>
        </w:rPr>
        <w:t>二、</w:t>
      </w:r>
      <w:r>
        <w:rPr>
          <w:rFonts w:ascii="宋体" w:hAnsi="宋体"/>
          <w:b/>
          <w:sz w:val="24"/>
          <w:highlight w:val="none"/>
        </w:rPr>
        <w:t xml:space="preserve"> 技术规范</w:t>
      </w:r>
      <w:bookmarkEnd w:id="431"/>
      <w:bookmarkEnd w:id="432"/>
      <w:bookmarkEnd w:id="433"/>
      <w:bookmarkEnd w:id="434"/>
      <w:bookmarkEnd w:id="435"/>
    </w:p>
    <w:p>
      <w:pPr>
        <w:spacing w:line="360" w:lineRule="auto"/>
        <w:ind w:firstLine="480" w:firstLineChars="200"/>
        <w:rPr>
          <w:rFonts w:ascii="宋体" w:hAnsi="宋体"/>
          <w:sz w:val="24"/>
          <w:highlight w:val="none"/>
        </w:rPr>
      </w:pPr>
      <w:r>
        <w:rPr>
          <w:rFonts w:hint="eastAsia" w:ascii="宋体" w:hAnsi="宋体"/>
          <w:sz w:val="24"/>
          <w:highlight w:val="none"/>
        </w:rPr>
        <w:t>服务</w:t>
      </w:r>
      <w:r>
        <w:rPr>
          <w:rFonts w:ascii="宋体" w:hAnsi="宋体"/>
          <w:sz w:val="24"/>
          <w:highlight w:val="none"/>
        </w:rPr>
        <w:t>所应遵守的技术规范应与采购文件规定的技术规范和技术规范附件</w:t>
      </w:r>
      <w:r>
        <w:rPr>
          <w:rFonts w:hint="eastAsia" w:ascii="宋体" w:hAnsi="宋体"/>
          <w:sz w:val="24"/>
          <w:highlight w:val="none"/>
          <w:lang w:eastAsia="zh-CN"/>
        </w:rPr>
        <w:t>（</w:t>
      </w:r>
      <w:r>
        <w:rPr>
          <w:rFonts w:ascii="宋体" w:hAnsi="宋体"/>
          <w:b/>
          <w:bCs/>
          <w:sz w:val="24"/>
          <w:highlight w:val="none"/>
          <w:u w:val="single"/>
        </w:rPr>
        <w:t>如果有的话</w:t>
      </w:r>
      <w:r>
        <w:rPr>
          <w:rFonts w:hint="eastAsia" w:ascii="宋体" w:hAnsi="宋体"/>
          <w:b/>
          <w:bCs/>
          <w:sz w:val="24"/>
          <w:highlight w:val="none"/>
          <w:u w:val="single"/>
          <w:lang w:eastAsia="zh-CN"/>
        </w:rPr>
        <w:t>）</w:t>
      </w:r>
      <w:r>
        <w:rPr>
          <w:rFonts w:ascii="宋体" w:hAnsi="宋体"/>
          <w:sz w:val="24"/>
          <w:highlight w:val="none"/>
        </w:rPr>
        <w:t>及其技术规范偏差表</w:t>
      </w:r>
      <w:r>
        <w:rPr>
          <w:rFonts w:hint="eastAsia" w:ascii="宋体" w:hAnsi="宋体"/>
          <w:sz w:val="24"/>
          <w:highlight w:val="none"/>
          <w:lang w:eastAsia="zh-CN"/>
        </w:rPr>
        <w:t>（</w:t>
      </w:r>
      <w:r>
        <w:rPr>
          <w:rFonts w:ascii="宋体" w:hAnsi="宋体"/>
          <w:b/>
          <w:bCs/>
          <w:sz w:val="24"/>
          <w:highlight w:val="none"/>
          <w:u w:val="single"/>
        </w:rPr>
        <w:t>如果被甲方接受的话</w:t>
      </w:r>
      <w:r>
        <w:rPr>
          <w:rFonts w:hint="eastAsia" w:ascii="宋体" w:hAnsi="宋体"/>
          <w:b/>
          <w:bCs/>
          <w:sz w:val="24"/>
          <w:highlight w:val="none"/>
          <w:u w:val="single"/>
          <w:lang w:eastAsia="zh-CN"/>
        </w:rPr>
        <w:t>）</w:t>
      </w:r>
      <w:r>
        <w:rPr>
          <w:rFonts w:ascii="宋体" w:hAnsi="宋体"/>
          <w:sz w:val="24"/>
          <w:highlight w:val="none"/>
        </w:rPr>
        <w:t>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pPr>
        <w:spacing w:line="360" w:lineRule="auto"/>
        <w:ind w:firstLine="482" w:firstLineChars="200"/>
        <w:outlineLvl w:val="0"/>
        <w:rPr>
          <w:rFonts w:ascii="宋体" w:hAnsi="宋体"/>
          <w:b/>
          <w:sz w:val="24"/>
          <w:highlight w:val="none"/>
        </w:rPr>
      </w:pPr>
      <w:bookmarkStart w:id="436" w:name="_Toc13673"/>
      <w:bookmarkStart w:id="437" w:name="_Toc4133"/>
      <w:bookmarkStart w:id="438" w:name="_Toc9161"/>
      <w:bookmarkStart w:id="439" w:name="_Toc27945"/>
      <w:bookmarkStart w:id="440" w:name="_Toc12412"/>
      <w:r>
        <w:rPr>
          <w:rFonts w:hint="eastAsia" w:ascii="宋体" w:hAnsi="宋体"/>
          <w:b/>
          <w:sz w:val="24"/>
          <w:highlight w:val="none"/>
        </w:rPr>
        <w:t>三、</w:t>
      </w:r>
      <w:r>
        <w:rPr>
          <w:rFonts w:ascii="宋体" w:hAnsi="宋体"/>
          <w:b/>
          <w:sz w:val="24"/>
          <w:highlight w:val="none"/>
        </w:rPr>
        <w:t xml:space="preserve"> 知识产权</w:t>
      </w:r>
      <w:bookmarkEnd w:id="436"/>
      <w:bookmarkEnd w:id="437"/>
      <w:bookmarkEnd w:id="438"/>
      <w:bookmarkEnd w:id="439"/>
      <w:bookmarkEnd w:id="440"/>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乙</w:t>
      </w:r>
      <w:r>
        <w:rPr>
          <w:rFonts w:ascii="宋体" w:hAnsi="宋体"/>
          <w:sz w:val="24"/>
          <w:highlight w:val="none"/>
        </w:rPr>
        <w:t>方应保证</w:t>
      </w:r>
      <w:r>
        <w:rPr>
          <w:rFonts w:hint="eastAsia" w:ascii="宋体" w:hAnsi="宋体"/>
          <w:sz w:val="24"/>
          <w:highlight w:val="none"/>
        </w:rPr>
        <w:t>其提供的服务</w:t>
      </w:r>
      <w:r>
        <w:rPr>
          <w:rFonts w:ascii="宋体" w:hAnsi="宋体"/>
          <w:sz w:val="24"/>
          <w:highlight w:val="none"/>
        </w:rPr>
        <w:t>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sz w:val="24"/>
          <w:highlight w:val="none"/>
        </w:rPr>
      </w:pPr>
      <w:r>
        <w:rPr>
          <w:rFonts w:hint="eastAsia" w:ascii="宋体" w:hAnsi="宋体"/>
          <w:sz w:val="24"/>
          <w:highlight w:val="none"/>
        </w:rPr>
        <w:t>2.合同涉及技术成果的归属和收益的分成办法的，双方另行商定签订协议</w:t>
      </w:r>
      <w:r>
        <w:rPr>
          <w:rFonts w:ascii="宋体" w:hAnsi="宋体"/>
          <w:sz w:val="24"/>
          <w:highlight w:val="none"/>
        </w:rPr>
        <w:t>。</w:t>
      </w:r>
      <w:r>
        <w:rPr>
          <w:rFonts w:hint="eastAsia" w:ascii="宋体" w:hAnsi="宋体"/>
          <w:sz w:val="24"/>
          <w:highlight w:val="none"/>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highlight w:val="none"/>
        </w:rPr>
      </w:pPr>
      <w:r>
        <w:rPr>
          <w:rFonts w:hint="eastAsia" w:ascii="宋体" w:hAnsi="宋体"/>
          <w:b/>
          <w:sz w:val="24"/>
          <w:highlight w:val="none"/>
        </w:rPr>
        <w:t>四、履约检查和问题反馈</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highlight w:val="none"/>
        </w:rPr>
      </w:pPr>
      <w:r>
        <w:rPr>
          <w:rFonts w:hint="eastAsia" w:ascii="宋体" w:hAnsi="宋体"/>
          <w:sz w:val="24"/>
          <w:highlight w:val="none"/>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highlight w:val="none"/>
        </w:rPr>
      </w:pPr>
      <w:bookmarkStart w:id="441" w:name="_Toc22011"/>
      <w:bookmarkStart w:id="442" w:name="_Toc15447"/>
      <w:bookmarkStart w:id="443" w:name="_Toc32670"/>
      <w:bookmarkStart w:id="444" w:name="_Toc31233"/>
      <w:bookmarkStart w:id="445" w:name="_Toc26555"/>
      <w:r>
        <w:rPr>
          <w:rFonts w:hint="eastAsia" w:ascii="宋体" w:hAnsi="宋体"/>
          <w:b/>
          <w:sz w:val="24"/>
          <w:highlight w:val="none"/>
        </w:rPr>
        <w:t>五、</w:t>
      </w:r>
      <w:r>
        <w:rPr>
          <w:rFonts w:ascii="宋体" w:hAnsi="宋体"/>
          <w:b/>
          <w:sz w:val="24"/>
          <w:highlight w:val="none"/>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highlight w:val="none"/>
        </w:rPr>
      </w:pPr>
      <w:bookmarkStart w:id="446" w:name="_Toc13467"/>
      <w:bookmarkStart w:id="447" w:name="_Toc30507"/>
      <w:bookmarkStart w:id="448" w:name="_Toc18990"/>
      <w:bookmarkStart w:id="449" w:name="_Toc16163"/>
      <w:bookmarkStart w:id="450" w:name="_Toc13154"/>
      <w:r>
        <w:rPr>
          <w:rFonts w:hint="eastAsia" w:ascii="宋体" w:hAnsi="宋体"/>
          <w:bCs/>
          <w:sz w:val="24"/>
          <w:highlight w:val="none"/>
        </w:rPr>
        <w:t>1.结算方式为转账或者电汇 ，若甲方采用银行承兑支付，双方另行协商；</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2.付款条件：乙方提供的服务或者货物应满足合同约定要求，未出现违规违约的情况 ；</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六、</w:t>
      </w:r>
      <w:r>
        <w:rPr>
          <w:rFonts w:ascii="宋体" w:hAnsi="宋体"/>
          <w:b/>
          <w:sz w:val="24"/>
          <w:highlight w:val="none"/>
        </w:rPr>
        <w:t>技术资料和保密义务</w:t>
      </w:r>
      <w:bookmarkEnd w:id="446"/>
      <w:bookmarkEnd w:id="447"/>
      <w:bookmarkEnd w:id="448"/>
      <w:bookmarkEnd w:id="449"/>
      <w:bookmarkEnd w:id="450"/>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乙方有权依据合同约定和项目需要，向甲方了解有关情况，调阅有关资料等，甲方应予积极配合；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乙方有义务妥善保管和保护由甲方提供的前款信息和资料等；</w:t>
      </w:r>
    </w:p>
    <w:p>
      <w:pPr>
        <w:spacing w:line="360" w:lineRule="auto"/>
        <w:ind w:firstLine="480" w:firstLineChars="200"/>
        <w:rPr>
          <w:rFonts w:ascii="宋体" w:hAnsi="宋体"/>
          <w:sz w:val="24"/>
          <w:highlight w:val="none"/>
        </w:rPr>
      </w:pP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highlight w:val="none"/>
        </w:rPr>
      </w:pPr>
      <w:bookmarkStart w:id="451" w:name="_Toc19069"/>
      <w:r>
        <w:rPr>
          <w:rFonts w:hint="eastAsia" w:ascii="宋体" w:hAnsi="宋体"/>
          <w:b/>
          <w:sz w:val="24"/>
          <w:highlight w:val="none"/>
        </w:rPr>
        <w:t>七、质量保证</w:t>
      </w:r>
      <w:bookmarkEnd w:id="451"/>
    </w:p>
    <w:p>
      <w:pPr>
        <w:spacing w:line="360" w:lineRule="auto"/>
        <w:ind w:firstLine="480" w:firstLineChars="200"/>
        <w:rPr>
          <w:rFonts w:ascii="宋体" w:hAnsi="宋体"/>
          <w:sz w:val="24"/>
          <w:highlight w:val="none"/>
        </w:rPr>
      </w:pPr>
      <w:r>
        <w:rPr>
          <w:rFonts w:ascii="宋体" w:hAnsi="宋体"/>
          <w:sz w:val="24"/>
          <w:highlight w:val="none"/>
        </w:rPr>
        <w:t xml:space="preserve"> </w:t>
      </w:r>
      <w:r>
        <w:rPr>
          <w:rFonts w:hint="eastAsia" w:ascii="宋体" w:hAnsi="宋体"/>
          <w:sz w:val="24"/>
          <w:highlight w:val="none"/>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highlight w:val="none"/>
        </w:rPr>
      </w:pPr>
      <w:bookmarkStart w:id="452" w:name="_Toc22267"/>
      <w:r>
        <w:rPr>
          <w:rFonts w:hint="eastAsia" w:ascii="宋体" w:hAnsi="宋体"/>
          <w:b/>
          <w:sz w:val="24"/>
          <w:highlight w:val="none"/>
        </w:rPr>
        <w:t>八、</w:t>
      </w:r>
      <w:r>
        <w:rPr>
          <w:rFonts w:ascii="宋体" w:hAnsi="宋体"/>
          <w:b/>
          <w:sz w:val="24"/>
          <w:highlight w:val="none"/>
        </w:rPr>
        <w:t xml:space="preserve"> </w:t>
      </w:r>
      <w:r>
        <w:rPr>
          <w:rFonts w:hint="eastAsia" w:ascii="宋体" w:hAnsi="宋体"/>
          <w:b/>
          <w:sz w:val="24"/>
          <w:highlight w:val="none"/>
        </w:rPr>
        <w:t>延迟履行</w:t>
      </w:r>
      <w:bookmarkEnd w:id="452"/>
    </w:p>
    <w:p>
      <w:pPr>
        <w:spacing w:line="360" w:lineRule="auto"/>
        <w:ind w:firstLine="480" w:firstLineChars="200"/>
        <w:rPr>
          <w:rFonts w:ascii="宋体" w:hAnsi="宋体"/>
          <w:sz w:val="24"/>
          <w:highlight w:val="none"/>
        </w:rPr>
      </w:pPr>
      <w:r>
        <w:rPr>
          <w:rFonts w:hint="eastAsia" w:ascii="宋体" w:hAnsi="宋体"/>
          <w:sz w:val="24"/>
          <w:highlight w:val="none"/>
        </w:rPr>
        <w:t>甲乙双方签订合同后，乙方应按照合同约定履行合同义务，除不可抗力外，乙方不得延迟履行。</w:t>
      </w:r>
      <w:r>
        <w:rPr>
          <w:rFonts w:ascii="宋体" w:hAnsi="宋体"/>
          <w:sz w:val="24"/>
          <w:highlight w:val="none"/>
        </w:rPr>
        <w:t>在合同履行过程中，如果</w:t>
      </w:r>
      <w:r>
        <w:rPr>
          <w:rFonts w:hint="eastAsia" w:ascii="宋体" w:hAnsi="宋体"/>
          <w:sz w:val="24"/>
          <w:highlight w:val="none"/>
        </w:rPr>
        <w:t>因不可抗力，</w:t>
      </w:r>
      <w:r>
        <w:rPr>
          <w:rFonts w:ascii="宋体" w:hAnsi="宋体"/>
          <w:sz w:val="24"/>
          <w:highlight w:val="none"/>
        </w:rPr>
        <w:t>乙方遇到不能按时</w:t>
      </w:r>
      <w:r>
        <w:rPr>
          <w:rFonts w:hint="eastAsia" w:ascii="宋体" w:hAnsi="宋体"/>
          <w:sz w:val="24"/>
          <w:highlight w:val="none"/>
        </w:rPr>
        <w:t>提供服务</w:t>
      </w:r>
      <w:r>
        <w:rPr>
          <w:rFonts w:ascii="宋体" w:hAnsi="宋体"/>
          <w:sz w:val="24"/>
          <w:highlight w:val="none"/>
        </w:rPr>
        <w:t>的情况，应及时以书面形式将不能按时</w:t>
      </w:r>
      <w:r>
        <w:rPr>
          <w:rFonts w:hint="eastAsia" w:ascii="宋体" w:hAnsi="宋体"/>
          <w:sz w:val="24"/>
          <w:highlight w:val="none"/>
        </w:rPr>
        <w:t>提供服务</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w:t>
      </w:r>
      <w:r>
        <w:rPr>
          <w:rFonts w:hint="eastAsia" w:ascii="宋体" w:hAnsi="宋体"/>
          <w:sz w:val="24"/>
          <w:highlight w:val="none"/>
        </w:rPr>
        <w:t>履行</w:t>
      </w:r>
      <w:r>
        <w:rPr>
          <w:rFonts w:ascii="宋体" w:hAnsi="宋体"/>
          <w:sz w:val="24"/>
          <w:highlight w:val="none"/>
        </w:rPr>
        <w:t>的具体时间。</w:t>
      </w:r>
    </w:p>
    <w:p>
      <w:pPr>
        <w:spacing w:line="360" w:lineRule="auto"/>
        <w:ind w:firstLine="482" w:firstLineChars="200"/>
        <w:outlineLvl w:val="0"/>
        <w:rPr>
          <w:rFonts w:ascii="宋体" w:hAnsi="宋体"/>
          <w:b/>
          <w:sz w:val="24"/>
          <w:highlight w:val="none"/>
        </w:rPr>
      </w:pPr>
      <w:bookmarkStart w:id="453" w:name="_Toc10611"/>
      <w:r>
        <w:rPr>
          <w:rFonts w:hint="eastAsia" w:ascii="宋体" w:hAnsi="宋体"/>
          <w:b/>
          <w:sz w:val="24"/>
          <w:highlight w:val="none"/>
        </w:rPr>
        <w:t>九、合同变更</w:t>
      </w:r>
      <w:bookmarkEnd w:id="453"/>
      <w:r>
        <w:rPr>
          <w:rFonts w:hint="eastAsia" w:ascii="宋体" w:hAnsi="宋体" w:cs="宋体"/>
          <w:b/>
          <w:sz w:val="24"/>
          <w:highlight w:val="none"/>
        </w:rPr>
        <w:t>或补充</w:t>
      </w:r>
    </w:p>
    <w:p>
      <w:pPr>
        <w:spacing w:line="360" w:lineRule="auto"/>
        <w:ind w:firstLine="480" w:firstLineChars="200"/>
        <w:rPr>
          <w:rFonts w:hint="eastAsia" w:ascii="宋体" w:hAnsi="宋体"/>
          <w:sz w:val="24"/>
          <w:highlight w:val="none"/>
        </w:rPr>
      </w:pPr>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highlight w:val="none"/>
        </w:rPr>
      </w:pPr>
      <w:bookmarkStart w:id="454" w:name="_Toc42"/>
      <w:bookmarkStart w:id="455" w:name="_Toc10663"/>
      <w:bookmarkStart w:id="456" w:name="_Toc26689"/>
      <w:bookmarkStart w:id="457" w:name="_Toc23368"/>
      <w:bookmarkStart w:id="458" w:name="_Toc21830"/>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w:t>
      </w:r>
      <w:r>
        <w:rPr>
          <w:rFonts w:ascii="宋体" w:hAnsi="宋体"/>
          <w:b/>
          <w:sz w:val="24"/>
          <w:highlight w:val="none"/>
        </w:rPr>
        <w:t>合同转让和分包</w:t>
      </w:r>
      <w:bookmarkEnd w:id="454"/>
      <w:bookmarkEnd w:id="455"/>
      <w:bookmarkEnd w:id="456"/>
      <w:bookmarkEnd w:id="457"/>
      <w:bookmarkEnd w:id="458"/>
    </w:p>
    <w:p>
      <w:pPr>
        <w:spacing w:line="360" w:lineRule="auto"/>
        <w:ind w:firstLine="480" w:firstLineChars="200"/>
        <w:rPr>
          <w:rFonts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与分包供应商就分包项目向甲方承担连带责任。</w:t>
      </w:r>
    </w:p>
    <w:p>
      <w:pPr>
        <w:spacing w:line="360" w:lineRule="auto"/>
        <w:ind w:firstLine="482" w:firstLineChars="200"/>
        <w:outlineLvl w:val="0"/>
        <w:rPr>
          <w:rFonts w:ascii="宋体" w:hAnsi="宋体"/>
          <w:b/>
          <w:sz w:val="24"/>
          <w:highlight w:val="none"/>
        </w:rPr>
      </w:pPr>
      <w:bookmarkStart w:id="459" w:name="_Toc4720"/>
      <w:bookmarkStart w:id="460" w:name="_Toc25571"/>
      <w:bookmarkStart w:id="461" w:name="_Toc32494"/>
      <w:bookmarkStart w:id="462" w:name="_Toc14371"/>
      <w:bookmarkStart w:id="463" w:name="_Toc26633"/>
      <w:r>
        <w:rPr>
          <w:rFonts w:hint="eastAsia" w:ascii="宋体" w:hAnsi="宋体"/>
          <w:b/>
          <w:sz w:val="24"/>
          <w:highlight w:val="none"/>
        </w:rPr>
        <w:t>十一、</w:t>
      </w:r>
      <w:r>
        <w:rPr>
          <w:rFonts w:ascii="宋体" w:hAnsi="宋体"/>
          <w:b/>
          <w:sz w:val="24"/>
          <w:highlight w:val="none"/>
        </w:rPr>
        <w:t>不可抗力</w:t>
      </w:r>
      <w:bookmarkEnd w:id="459"/>
      <w:bookmarkEnd w:id="460"/>
      <w:bookmarkEnd w:id="461"/>
      <w:bookmarkEnd w:id="462"/>
      <w:bookmarkEnd w:id="463"/>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b/>
          <w:sz w:val="24"/>
          <w:highlight w:val="none"/>
        </w:rPr>
      </w:pPr>
      <w:bookmarkStart w:id="464" w:name="_Toc3638"/>
      <w:bookmarkStart w:id="465" w:name="_Toc25783"/>
      <w:bookmarkStart w:id="466" w:name="_Toc14115"/>
      <w:bookmarkStart w:id="467" w:name="_Toc24465"/>
      <w:bookmarkStart w:id="468" w:name="_Toc23854"/>
      <w:r>
        <w:rPr>
          <w:rFonts w:hint="eastAsia" w:ascii="宋体" w:hAnsi="宋体"/>
          <w:b/>
          <w:sz w:val="24"/>
          <w:highlight w:val="none"/>
        </w:rPr>
        <w:t>十二、</w:t>
      </w:r>
      <w:r>
        <w:rPr>
          <w:rFonts w:ascii="宋体" w:hAnsi="宋体"/>
          <w:b/>
          <w:sz w:val="24"/>
          <w:highlight w:val="none"/>
        </w:rPr>
        <w:t>税费</w:t>
      </w:r>
      <w:bookmarkEnd w:id="464"/>
      <w:bookmarkEnd w:id="465"/>
      <w:bookmarkEnd w:id="466"/>
      <w:bookmarkEnd w:id="467"/>
      <w:bookmarkEnd w:id="468"/>
    </w:p>
    <w:p>
      <w:pPr>
        <w:spacing w:line="360" w:lineRule="auto"/>
        <w:ind w:firstLine="480" w:firstLineChars="200"/>
        <w:rPr>
          <w:rFonts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均按照中华人民共和国法律的相关规定缴纳。</w:t>
      </w:r>
    </w:p>
    <w:p>
      <w:pPr>
        <w:spacing w:line="360" w:lineRule="auto"/>
        <w:ind w:firstLine="482" w:firstLineChars="200"/>
        <w:outlineLvl w:val="0"/>
        <w:rPr>
          <w:rFonts w:ascii="宋体" w:hAnsi="宋体"/>
          <w:b/>
          <w:sz w:val="24"/>
          <w:highlight w:val="none"/>
        </w:rPr>
      </w:pPr>
      <w:bookmarkStart w:id="469" w:name="_Toc25525"/>
      <w:bookmarkStart w:id="470" w:name="_Toc7315"/>
      <w:bookmarkStart w:id="471" w:name="_Toc30105"/>
      <w:bookmarkStart w:id="472" w:name="_Toc14814"/>
      <w:bookmarkStart w:id="473" w:name="_Toc26883"/>
      <w:r>
        <w:rPr>
          <w:rFonts w:hint="eastAsia" w:ascii="宋体" w:hAnsi="宋体"/>
          <w:b/>
          <w:sz w:val="24"/>
          <w:highlight w:val="none"/>
        </w:rPr>
        <w:t>十三、</w:t>
      </w:r>
      <w:r>
        <w:rPr>
          <w:rFonts w:ascii="宋体" w:hAnsi="宋体"/>
          <w:b/>
          <w:sz w:val="24"/>
          <w:highlight w:val="none"/>
        </w:rPr>
        <w:t>乙方破产</w:t>
      </w:r>
      <w:bookmarkEnd w:id="469"/>
      <w:bookmarkEnd w:id="470"/>
      <w:bookmarkEnd w:id="471"/>
      <w:bookmarkEnd w:id="472"/>
      <w:bookmarkEnd w:id="473"/>
    </w:p>
    <w:p>
      <w:pPr>
        <w:spacing w:line="360" w:lineRule="auto"/>
        <w:ind w:firstLine="480" w:firstLineChars="200"/>
        <w:rPr>
          <w:rFonts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pPr>
        <w:spacing w:line="360" w:lineRule="auto"/>
        <w:ind w:firstLine="482" w:firstLineChars="200"/>
        <w:outlineLvl w:val="0"/>
        <w:rPr>
          <w:rFonts w:ascii="宋体" w:hAnsi="宋体"/>
          <w:b/>
          <w:sz w:val="24"/>
          <w:highlight w:val="none"/>
        </w:rPr>
      </w:pPr>
      <w:bookmarkStart w:id="474" w:name="_Toc1123"/>
      <w:bookmarkStart w:id="475" w:name="_Toc23323"/>
      <w:bookmarkStart w:id="476" w:name="_Toc2016"/>
      <w:r>
        <w:rPr>
          <w:rFonts w:hint="eastAsia" w:ascii="宋体" w:hAnsi="宋体"/>
          <w:b/>
          <w:sz w:val="24"/>
          <w:highlight w:val="none"/>
        </w:rPr>
        <w:t>十四、</w:t>
      </w:r>
      <w:r>
        <w:rPr>
          <w:rFonts w:ascii="宋体" w:hAnsi="宋体"/>
          <w:b/>
          <w:sz w:val="24"/>
          <w:highlight w:val="none"/>
        </w:rPr>
        <w:t>合同中止、终止</w:t>
      </w:r>
      <w:bookmarkEnd w:id="474"/>
      <w:bookmarkEnd w:id="475"/>
      <w:bookmarkEnd w:id="476"/>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双方当事人不得擅自中止或者终止合同；</w:t>
      </w:r>
    </w:p>
    <w:p>
      <w:pPr>
        <w:spacing w:line="360" w:lineRule="auto"/>
        <w:ind w:firstLine="480" w:firstLineChars="200"/>
        <w:rPr>
          <w:rFonts w:hint="eastAsia" w:ascii="宋体" w:hAnsi="宋体" w:cs="宋体"/>
          <w:sz w:val="24"/>
          <w:highlight w:val="none"/>
        </w:rPr>
      </w:pPr>
      <w:r>
        <w:rPr>
          <w:rFonts w:hint="eastAsia" w:ascii="宋体" w:hAnsi="宋体"/>
          <w:sz w:val="24"/>
          <w:highlight w:val="none"/>
        </w:rPr>
        <w:t>2.</w:t>
      </w:r>
      <w:r>
        <w:rPr>
          <w:rFonts w:hint="eastAsia" w:ascii="宋体" w:hAnsi="宋体" w:cs="宋体"/>
          <w:sz w:val="24"/>
          <w:highlight w:val="none"/>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p>
      <w:pPr>
        <w:spacing w:line="360" w:lineRule="auto"/>
        <w:ind w:firstLine="482" w:firstLineChars="200"/>
        <w:outlineLvl w:val="0"/>
        <w:rPr>
          <w:rFonts w:ascii="宋体" w:hAnsi="宋体"/>
          <w:b/>
          <w:sz w:val="24"/>
          <w:highlight w:val="none"/>
        </w:rPr>
      </w:pPr>
      <w:bookmarkStart w:id="477" w:name="_Toc14525"/>
      <w:bookmarkStart w:id="478" w:name="_Toc1969"/>
      <w:bookmarkStart w:id="479" w:name="_Toc17363"/>
      <w:r>
        <w:rPr>
          <w:rFonts w:hint="eastAsia" w:ascii="宋体" w:hAnsi="宋体"/>
          <w:b/>
          <w:sz w:val="24"/>
          <w:highlight w:val="none"/>
        </w:rPr>
        <w:t>十五</w:t>
      </w:r>
      <w:bookmarkEnd w:id="477"/>
      <w:bookmarkEnd w:id="478"/>
      <w:bookmarkEnd w:id="479"/>
      <w:bookmarkStart w:id="480" w:name="_Toc2308"/>
      <w:bookmarkStart w:id="481" w:name="_Toc25198"/>
      <w:bookmarkStart w:id="482" w:name="_Toc12666"/>
      <w:bookmarkStart w:id="483" w:name="_Toc31892"/>
      <w:bookmarkStart w:id="484" w:name="_Toc9808"/>
      <w:r>
        <w:rPr>
          <w:rFonts w:hint="eastAsia" w:ascii="宋体" w:hAnsi="宋体"/>
          <w:b/>
          <w:sz w:val="24"/>
          <w:highlight w:val="none"/>
        </w:rPr>
        <w:t>、</w:t>
      </w:r>
      <w:r>
        <w:rPr>
          <w:rFonts w:ascii="宋体" w:hAnsi="宋体"/>
          <w:b/>
          <w:sz w:val="24"/>
          <w:highlight w:val="none"/>
        </w:rPr>
        <w:t>通知和送达</w:t>
      </w:r>
      <w:bookmarkEnd w:id="480"/>
      <w:bookmarkEnd w:id="481"/>
      <w:bookmarkEnd w:id="482"/>
      <w:bookmarkEnd w:id="483"/>
      <w:bookmarkEnd w:id="484"/>
    </w:p>
    <w:p>
      <w:pPr>
        <w:spacing w:line="360" w:lineRule="auto"/>
        <w:ind w:firstLine="480" w:firstLineChars="200"/>
        <w:rPr>
          <w:rFonts w:ascii="宋体" w:hAnsi="宋体"/>
          <w:sz w:val="24"/>
          <w:highlight w:val="none"/>
        </w:rPr>
      </w:pPr>
      <w:bookmarkStart w:id="485" w:name="_Toc18401"/>
      <w:bookmarkStart w:id="486" w:name="_Toc27674"/>
      <w:r>
        <w:rPr>
          <w:rFonts w:hint="eastAsia" w:ascii="宋体" w:hAnsi="宋体"/>
          <w:sz w:val="24"/>
          <w:highlight w:val="none"/>
        </w:rPr>
        <w:t>1.任何一方因履行合同</w:t>
      </w:r>
      <w:r>
        <w:rPr>
          <w:rFonts w:hint="eastAsia" w:ascii="宋体" w:hAnsi="宋体"/>
          <w:sz w:val="24"/>
          <w:highlight w:val="none"/>
          <w:lang w:val="en-US" w:eastAsia="zh-CN"/>
        </w:rPr>
        <w:t>等问题</w:t>
      </w:r>
      <w:r>
        <w:rPr>
          <w:rFonts w:hint="eastAsia" w:ascii="宋体" w:hAnsi="宋体"/>
          <w:sz w:val="24"/>
          <w:highlight w:val="none"/>
        </w:rPr>
        <w:t>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485"/>
      <w:bookmarkEnd w:id="486"/>
    </w:p>
    <w:p>
      <w:pPr>
        <w:spacing w:line="360" w:lineRule="auto"/>
        <w:ind w:firstLine="482" w:firstLineChars="200"/>
        <w:outlineLvl w:val="0"/>
        <w:rPr>
          <w:rFonts w:ascii="宋体" w:hAnsi="宋体" w:cs="宋体"/>
          <w:b/>
          <w:sz w:val="24"/>
          <w:highlight w:val="none"/>
        </w:rPr>
      </w:pPr>
      <w:bookmarkStart w:id="487" w:name="_Toc30599"/>
      <w:bookmarkStart w:id="488" w:name="_Toc4355"/>
      <w:bookmarkStart w:id="489" w:name="_Toc18540"/>
      <w:bookmarkStart w:id="490" w:name="_Toc27644"/>
      <w:bookmarkStart w:id="491" w:name="_Toc20808"/>
      <w:bookmarkStart w:id="492" w:name="_Toc12254"/>
      <w:bookmarkStart w:id="493" w:name="_Toc5063"/>
      <w:bookmarkStart w:id="494" w:name="_Toc28906"/>
      <w:r>
        <w:rPr>
          <w:rFonts w:hint="eastAsia" w:ascii="宋体" w:hAnsi="宋体" w:cs="宋体"/>
          <w:b/>
          <w:sz w:val="24"/>
          <w:highlight w:val="none"/>
        </w:rPr>
        <w:t>十六、计量单位</w:t>
      </w:r>
      <w:bookmarkEnd w:id="487"/>
      <w:bookmarkEnd w:id="488"/>
      <w:bookmarkEnd w:id="489"/>
    </w:p>
    <w:p>
      <w:pPr>
        <w:spacing w:line="360" w:lineRule="auto"/>
        <w:ind w:firstLine="480" w:firstLineChars="200"/>
        <w:rPr>
          <w:rFonts w:hint="eastAsia" w:ascii="宋体" w:hAnsi="宋体"/>
          <w:b/>
          <w:sz w:val="24"/>
          <w:highlight w:val="none"/>
        </w:rPr>
      </w:pPr>
      <w:r>
        <w:rPr>
          <w:rFonts w:hint="eastAsia" w:ascii="宋体" w:hAnsi="宋体" w:cs="宋体"/>
          <w:sz w:val="24"/>
          <w:highlight w:val="none"/>
        </w:rPr>
        <w:t>除技术规范中另有规定外</w:t>
      </w:r>
      <w:r>
        <w:rPr>
          <w:rFonts w:hint="eastAsia" w:ascii="宋体" w:hAnsi="宋体" w:cs="宋体"/>
          <w:sz w:val="24"/>
          <w:highlight w:val="none"/>
          <w:lang w:eastAsia="zh-CN"/>
        </w:rPr>
        <w:t>，</w:t>
      </w:r>
      <w:r>
        <w:rPr>
          <w:rFonts w:hint="eastAsia" w:ascii="宋体" w:hAnsi="宋体" w:cs="宋体"/>
          <w:sz w:val="24"/>
          <w:highlight w:val="none"/>
        </w:rPr>
        <w:t>合同的计量单位均使用国家法定计量单位。</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十七、合同使用的文字和</w:t>
      </w:r>
      <w:r>
        <w:rPr>
          <w:rFonts w:ascii="宋体" w:hAnsi="宋体"/>
          <w:b/>
          <w:sz w:val="24"/>
          <w:highlight w:val="none"/>
        </w:rPr>
        <w:t>适用的法律</w:t>
      </w:r>
      <w:bookmarkEnd w:id="490"/>
      <w:bookmarkEnd w:id="491"/>
      <w:bookmarkEnd w:id="492"/>
      <w:bookmarkEnd w:id="493"/>
      <w:bookmarkEnd w:id="494"/>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合同使用汉语书</w:t>
      </w:r>
      <w:r>
        <w:rPr>
          <w:rFonts w:hint="eastAsia" w:ascii="宋体" w:hAnsi="宋体"/>
          <w:sz w:val="24"/>
          <w:highlight w:val="none"/>
          <w:lang w:val="en-US" w:eastAsia="zh-CN"/>
        </w:rPr>
        <w:t>写</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2.合同适用</w:t>
      </w:r>
      <w:r>
        <w:rPr>
          <w:rFonts w:ascii="宋体" w:hAnsi="宋体"/>
          <w:sz w:val="24"/>
          <w:highlight w:val="none"/>
        </w:rPr>
        <w:t>中华人民共和国法律。</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十八、特别提示</w:t>
      </w:r>
    </w:p>
    <w:p>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rPr>
          <w:highlight w:val="none"/>
        </w:rPr>
      </w:pPr>
    </w:p>
    <w:p>
      <w:pPr>
        <w:pStyle w:val="24"/>
        <w:spacing w:line="560" w:lineRule="exact"/>
        <w:ind w:left="0" w:leftChars="0" w:firstLine="0" w:firstLineChars="0"/>
        <w:jc w:val="center"/>
        <w:rPr>
          <w:rFonts w:hint="eastAsia" w:ascii="宋体" w:hAnsi="宋体"/>
          <w:b/>
          <w:szCs w:val="24"/>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统一社会信用代码：</w:t>
            </w:r>
          </w:p>
          <w:p>
            <w:pPr>
              <w:spacing w:line="360" w:lineRule="auto"/>
              <w:rPr>
                <w:rFonts w:hint="eastAsia" w:ascii="宋体" w:hAnsi="宋体" w:eastAsia="宋体" w:cs="Times New Roman"/>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pPr>
        <w:pStyle w:val="24"/>
        <w:spacing w:line="560" w:lineRule="exact"/>
        <w:ind w:left="0" w:leftChars="0" w:firstLine="0" w:firstLineChars="0"/>
        <w:jc w:val="center"/>
        <w:rPr>
          <w:rFonts w:hint="eastAsia" w:ascii="宋体" w:hAnsi="宋体"/>
          <w:b/>
          <w:szCs w:val="24"/>
          <w:highlight w:val="none"/>
        </w:rPr>
      </w:pPr>
    </w:p>
    <w:p>
      <w:pPr>
        <w:pStyle w:val="24"/>
        <w:spacing w:line="560" w:lineRule="exact"/>
        <w:ind w:left="0" w:leftChars="0" w:firstLine="0" w:firstLineChars="0"/>
        <w:jc w:val="center"/>
        <w:rPr>
          <w:rFonts w:hint="eastAsia" w:ascii="宋体" w:hAnsi="宋体"/>
          <w:b/>
          <w:szCs w:val="24"/>
          <w:highlight w:val="none"/>
        </w:rPr>
      </w:pPr>
    </w:p>
    <w:p>
      <w:pPr>
        <w:rPr>
          <w:rFonts w:hint="eastAsia"/>
          <w:highlight w:val="none"/>
        </w:rPr>
      </w:pPr>
    </w:p>
    <w:p>
      <w:pPr>
        <w:rPr>
          <w:rFonts w:hint="eastAsia"/>
          <w:highlight w:val="none"/>
        </w:rPr>
      </w:pPr>
    </w:p>
    <w:p>
      <w:pPr>
        <w:rPr>
          <w:rFonts w:hint="eastAsia" w:ascii="宋体" w:hAnsi="宋体"/>
          <w:b/>
          <w:szCs w:val="24"/>
          <w:highlight w:val="none"/>
        </w:rPr>
      </w:pPr>
      <w:r>
        <w:rPr>
          <w:rFonts w:hint="eastAsia" w:ascii="宋体" w:hAnsi="宋体"/>
          <w:b/>
          <w:szCs w:val="24"/>
          <w:highlight w:val="none"/>
        </w:rPr>
        <w:br w:type="page"/>
      </w:r>
    </w:p>
    <w:p>
      <w:pPr>
        <w:pStyle w:val="24"/>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t>第三章  安全协议</w:t>
      </w:r>
    </w:p>
    <w:p>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发包单位：</w:t>
      </w:r>
      <w:r>
        <w:rPr>
          <w:rFonts w:hint="eastAsia" w:ascii="宋体" w:hAnsi="宋体" w:cs="宋体"/>
          <w:kern w:val="0"/>
          <w:sz w:val="24"/>
          <w:highlight w:val="none"/>
          <w:u w:val="single"/>
          <w:lang w:bidi="ar"/>
        </w:rPr>
        <w:t>杭州临江环境能源有限公司</w:t>
      </w:r>
      <w:r>
        <w:rPr>
          <w:rFonts w:hint="eastAsia" w:ascii="宋体" w:hAnsi="宋体" w:cs="宋体"/>
          <w:kern w:val="0"/>
          <w:sz w:val="24"/>
          <w:highlight w:val="none"/>
          <w:lang w:bidi="ar"/>
        </w:rPr>
        <w:t xml:space="preserve">（简称甲方） </w:t>
      </w:r>
    </w:p>
    <w:p>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承包单位：</w:t>
      </w:r>
      <w:r>
        <w:rPr>
          <w:rFonts w:hint="eastAsia" w:ascii="宋体" w:hAnsi="宋体" w:cs="宋体"/>
          <w:kern w:val="0"/>
          <w:sz w:val="24"/>
          <w:highlight w:val="none"/>
          <w:u w:val="single"/>
          <w:lang w:eastAsia="zh-CN" w:bidi="ar"/>
        </w:rPr>
        <w:t xml:space="preserve">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val="en-US" w:eastAsia="zh-CN" w:bidi="ar"/>
        </w:rPr>
        <w:t xml:space="preserve">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（简称乙方）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甲方将</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2024年度艾默生 Ovation DCS系统年度维保采购项目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一、服务项目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1.项目名称：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2024年度艾默生 Ovation DCS系统年度维保采购项目</w:t>
      </w:r>
      <w:r>
        <w:rPr>
          <w:rFonts w:hint="eastAsia" w:ascii="宋体" w:hAnsi="宋体" w:cs="宋体"/>
          <w:kern w:val="0"/>
          <w:sz w:val="24"/>
          <w:highlight w:val="none"/>
          <w:u w:val="single"/>
          <w:lang w:bidi="ar"/>
        </w:rPr>
        <w:t xml:space="preserve">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highlight w:val="none"/>
        </w:rPr>
      </w:pPr>
      <w:r>
        <w:rPr>
          <w:rFonts w:hint="eastAsia" w:ascii="宋体" w:hAnsi="宋体" w:cs="宋体"/>
          <w:b/>
          <w:sz w:val="24"/>
          <w:highlight w:val="none"/>
        </w:rPr>
        <w:t>二、甲方职责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1.甲方对乙方资质进行审查，确保符合要求，并为乙方正常服务场所工作提供便利，</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2.为本项目指定专人负责具体的联系沟通工作。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3.做好与本项目有关的其他各级单位的沟通协调工作。</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6．安全、规范、文明、科学作业，不损坏甲方的地上地下各类设施，确保项目实施区域安全有序。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7.接受甲方的监督检查。</w:t>
      </w:r>
    </w:p>
    <w:p>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四、违约责任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不服从甲方指挥，强令冒险作业；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未按要求参加甲方组织的各项安全检查、会议活动；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3 \* GB3 </w:instrText>
      </w:r>
      <w:r>
        <w:rPr>
          <w:rFonts w:hint="eastAsia" w:ascii="宋体" w:hAnsi="宋体" w:cs="宋体"/>
          <w:sz w:val="24"/>
          <w:highlight w:val="none"/>
        </w:rPr>
        <w:fldChar w:fldCharType="separate"/>
      </w:r>
      <w:r>
        <w:rPr>
          <w:rFonts w:hint="eastAsia" w:ascii="宋体" w:hAnsi="宋体" w:cs="宋体"/>
          <w:sz w:val="24"/>
          <w:highlight w:val="none"/>
        </w:rPr>
        <w:t>③</w:t>
      </w:r>
      <w:r>
        <w:rPr>
          <w:rFonts w:hint="eastAsia" w:ascii="宋体" w:hAnsi="宋体" w:cs="宋体"/>
          <w:sz w:val="24"/>
          <w:highlight w:val="none"/>
        </w:rPr>
        <w:fldChar w:fldCharType="end"/>
      </w:r>
      <w:r>
        <w:rPr>
          <w:rFonts w:hint="eastAsia" w:ascii="宋体" w:hAnsi="宋体" w:cs="宋体"/>
          <w:sz w:val="24"/>
          <w:highlight w:val="none"/>
        </w:rPr>
        <w:t>工作人员在禁烟区擅自动火、吸烟；</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4 \* GB3 </w:instrText>
      </w:r>
      <w:r>
        <w:rPr>
          <w:rFonts w:hint="eastAsia" w:ascii="宋体" w:hAnsi="宋体" w:cs="宋体"/>
          <w:sz w:val="24"/>
          <w:highlight w:val="none"/>
        </w:rPr>
        <w:fldChar w:fldCharType="separate"/>
      </w:r>
      <w:r>
        <w:rPr>
          <w:rFonts w:hint="eastAsia" w:ascii="宋体" w:hAnsi="宋体" w:cs="宋体"/>
          <w:sz w:val="24"/>
          <w:highlight w:val="none"/>
        </w:rPr>
        <w:t>④</w:t>
      </w:r>
      <w:r>
        <w:rPr>
          <w:rFonts w:hint="eastAsia" w:ascii="宋体" w:hAnsi="宋体" w:cs="宋体"/>
          <w:sz w:val="24"/>
          <w:highlight w:val="none"/>
        </w:rPr>
        <w:fldChar w:fldCharType="end"/>
      </w:r>
      <w:r>
        <w:rPr>
          <w:rFonts w:hint="eastAsia" w:ascii="宋体" w:hAnsi="宋体" w:cs="宋体"/>
          <w:sz w:val="24"/>
          <w:highlight w:val="none"/>
        </w:rPr>
        <w:t>工作人员未按规定穿戴劳动防护用品，经劝说不听或不服从管理的；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5 \* GB3 </w:instrText>
      </w:r>
      <w:r>
        <w:rPr>
          <w:rFonts w:hint="eastAsia" w:ascii="宋体" w:hAnsi="宋体" w:cs="宋体"/>
          <w:sz w:val="24"/>
          <w:highlight w:val="none"/>
        </w:rPr>
        <w:fldChar w:fldCharType="separate"/>
      </w:r>
      <w:r>
        <w:rPr>
          <w:rFonts w:hint="eastAsia" w:ascii="宋体" w:hAnsi="宋体" w:cs="宋体"/>
          <w:sz w:val="24"/>
          <w:highlight w:val="none"/>
        </w:rPr>
        <w:t>⑤</w:t>
      </w:r>
      <w:r>
        <w:rPr>
          <w:rFonts w:hint="eastAsia" w:ascii="宋体" w:hAnsi="宋体" w:cs="宋体"/>
          <w:sz w:val="24"/>
          <w:highlight w:val="none"/>
        </w:rPr>
        <w:fldChar w:fldCharType="end"/>
      </w:r>
      <w:r>
        <w:rPr>
          <w:rFonts w:hint="eastAsia" w:ascii="宋体" w:hAnsi="宋体" w:cs="宋体"/>
          <w:sz w:val="24"/>
          <w:highlight w:val="none"/>
        </w:rPr>
        <w:t>项目服务过程造成环境影响。</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2.乙方在项目服务过程中有下列行为的，扣罚履约保证金5000元/次：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乙方未履行职责，经甲方三次书面警告的，进行停业整顿的，每次停业整顿。</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4.乙方在项目服务过程中，对甲方的设施、绿化道路造成影响</w:t>
      </w:r>
      <w:r>
        <w:rPr>
          <w:rFonts w:hint="eastAsia" w:ascii="宋体" w:hAnsi="宋体" w:cs="宋体"/>
          <w:sz w:val="24"/>
          <w:highlight w:val="none"/>
          <w:lang w:eastAsia="zh-CN"/>
        </w:rPr>
        <w:t>，</w:t>
      </w:r>
      <w:r>
        <w:rPr>
          <w:rFonts w:hint="eastAsia" w:ascii="宋体" w:hAnsi="宋体" w:cs="宋体"/>
          <w:sz w:val="24"/>
          <w:highlight w:val="none"/>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6.发生紧急情况，乙方应及时向上级主管和甲方报告，同时向相关领导或值班人员汇报。如发生人员伤亡应迅速抢救伤员，并在第一时间</w:t>
      </w:r>
      <w:r>
        <w:rPr>
          <w:rFonts w:hint="eastAsia" w:ascii="宋体" w:hAnsi="宋体" w:cs="宋体"/>
          <w:sz w:val="24"/>
          <w:highlight w:val="none"/>
          <w:lang w:eastAsia="zh-CN"/>
        </w:rPr>
        <w:t>送往</w:t>
      </w:r>
      <w:r>
        <w:rPr>
          <w:rFonts w:hint="eastAsia" w:ascii="宋体" w:hAnsi="宋体" w:cs="宋体"/>
          <w:sz w:val="24"/>
          <w:highlight w:val="none"/>
        </w:rPr>
        <w:t>就近医院。</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7.在项目服务期间，乙方发生的安全事故以及造成的人员或财产损失由乙方全额负责。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五、其他</w:t>
      </w:r>
    </w:p>
    <w:p>
      <w:pPr>
        <w:widowControl/>
        <w:spacing w:line="360" w:lineRule="auto"/>
        <w:rPr>
          <w:rFonts w:hint="eastAsia" w:ascii="宋体" w:hAnsi="宋体" w:cs="宋体"/>
          <w:sz w:val="24"/>
          <w:highlight w:val="none"/>
        </w:rPr>
      </w:pPr>
      <w:r>
        <w:rPr>
          <w:rFonts w:hint="eastAsia" w:ascii="宋体" w:hAnsi="宋体" w:cs="宋体"/>
          <w:sz w:val="24"/>
          <w:highlight w:val="none"/>
        </w:rPr>
        <w:t xml:space="preserve">    本协议有效期为双方签署之日起至双方权利义务履行完毕为止。有效期内发生的违约事实，有效期后发现的适用本协议。</w:t>
      </w:r>
    </w:p>
    <w:p>
      <w:pPr>
        <w:pStyle w:val="24"/>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br w:type="page"/>
      </w:r>
      <w:r>
        <w:rPr>
          <w:rFonts w:hint="eastAsia" w:ascii="宋体" w:hAnsi="宋体"/>
          <w:b/>
          <w:szCs w:val="24"/>
          <w:highlight w:val="none"/>
        </w:rPr>
        <w:t>第四章 廉洁协议</w:t>
      </w:r>
    </w:p>
    <w:p>
      <w:pPr>
        <w:pStyle w:val="9"/>
        <w:ind w:firstLine="0" w:firstLineChars="0"/>
        <w:rPr>
          <w:rFonts w:hint="eastAsia"/>
          <w:highlight w:val="none"/>
        </w:rPr>
      </w:pPr>
    </w:p>
    <w:p>
      <w:pPr>
        <w:spacing w:line="360" w:lineRule="auto"/>
        <w:ind w:left="1" w:right="77" w:firstLine="426"/>
        <w:rPr>
          <w:rFonts w:hint="eastAsia"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杭州临江环境能源有限公司</w:t>
      </w:r>
    </w:p>
    <w:p>
      <w:pPr>
        <w:spacing w:line="360" w:lineRule="auto"/>
        <w:ind w:left="1" w:right="77" w:firstLine="426"/>
        <w:rPr>
          <w:rFonts w:hint="default" w:ascii="宋体" w:hAnsi="宋体" w:cs="宋体" w:eastAsiaTheme="minorEastAsia"/>
          <w:sz w:val="24"/>
          <w:highlight w:val="none"/>
          <w:u w:val="single"/>
          <w:lang w:val="en-US" w:eastAsia="zh-CN"/>
        </w:rPr>
      </w:pPr>
      <w:r>
        <w:rPr>
          <w:rFonts w:hint="eastAsia" w:ascii="宋体" w:hAnsi="宋体" w:cs="宋体"/>
          <w:sz w:val="24"/>
          <w:highlight w:val="none"/>
        </w:rPr>
        <w:t>乙方：</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p>
    <w:p>
      <w:pPr>
        <w:spacing w:line="360" w:lineRule="auto"/>
        <w:ind w:left="1" w:right="77" w:firstLine="426"/>
        <w:rPr>
          <w:rFonts w:hint="eastAsia" w:ascii="宋体" w:hAnsi="宋体" w:cs="宋体"/>
          <w:sz w:val="24"/>
          <w:highlight w:val="none"/>
        </w:rPr>
      </w:pPr>
      <w:r>
        <w:rPr>
          <w:rFonts w:hint="eastAsia" w:ascii="宋体" w:hAnsi="宋体" w:cs="宋体"/>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一、甲、乙双方约定</w:t>
      </w:r>
    </w:p>
    <w:p>
      <w:pPr>
        <w:spacing w:line="360" w:lineRule="auto"/>
        <w:ind w:right="115" w:firstLine="480" w:firstLineChars="200"/>
        <w:rPr>
          <w:rFonts w:hint="eastAsia" w:ascii="宋体" w:hAnsi="宋体" w:cs="宋体"/>
          <w:sz w:val="24"/>
          <w:highlight w:val="none"/>
        </w:rPr>
      </w:pPr>
      <w:r>
        <w:rPr>
          <w:rFonts w:hint="eastAsia" w:ascii="宋体" w:hAnsi="宋体" w:cs="宋体"/>
          <w:sz w:val="24"/>
          <w:highlight w:val="none"/>
        </w:rPr>
        <w:t>1.甲、乙双方应共同严格遵守国家和省市以及</w:t>
      </w:r>
      <w:r>
        <w:rPr>
          <w:rFonts w:hint="eastAsia" w:ascii="宋体" w:hAnsi="宋体" w:cs="宋体"/>
          <w:sz w:val="24"/>
          <w:highlight w:val="none"/>
          <w:lang w:eastAsia="zh-CN"/>
        </w:rPr>
        <w:t>采购人</w:t>
      </w:r>
      <w:r>
        <w:rPr>
          <w:rFonts w:hint="eastAsia" w:ascii="宋体" w:hAnsi="宋体" w:cs="宋体"/>
          <w:sz w:val="24"/>
          <w:highlight w:val="none"/>
        </w:rPr>
        <w:t>主管部门关于市场准入、项目招标投标、市场经济活动等有关</w:t>
      </w:r>
      <w:r>
        <w:rPr>
          <w:rFonts w:hint="eastAsia" w:ascii="宋体" w:hAnsi="宋体" w:cs="宋体"/>
          <w:sz w:val="24"/>
          <w:highlight w:val="none"/>
          <w:lang w:eastAsia="zh-CN"/>
        </w:rPr>
        <w:t>法律法规</w:t>
      </w:r>
      <w:r>
        <w:rPr>
          <w:rFonts w:hint="eastAsia" w:ascii="宋体" w:hAnsi="宋体" w:cs="宋体"/>
          <w:sz w:val="24"/>
          <w:highlight w:val="none"/>
        </w:rPr>
        <w:t>和相关政策，以及项目廉政建设的各项规定。</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2.甲、乙双方应认真执行双方签订的合同文件，  自觉按合同约定履行责任。</w:t>
      </w:r>
    </w:p>
    <w:p>
      <w:pPr>
        <w:spacing w:line="360" w:lineRule="auto"/>
        <w:ind w:left="4" w:right="77" w:firstLine="480" w:firstLineChars="200"/>
        <w:rPr>
          <w:rFonts w:hint="eastAsia" w:ascii="宋体" w:hAnsi="宋体" w:cs="宋体"/>
          <w:sz w:val="24"/>
          <w:highlight w:val="none"/>
        </w:rPr>
      </w:pPr>
      <w:r>
        <w:rPr>
          <w:rFonts w:hint="eastAsia" w:ascii="宋体" w:hAnsi="宋体" w:cs="宋体"/>
          <w:sz w:val="24"/>
          <w:highlight w:val="none"/>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4.甲、乙双方有对本方人员开展廉政告知、廉政教育和职业道德教育的义务。</w:t>
      </w:r>
    </w:p>
    <w:p>
      <w:pPr>
        <w:spacing w:line="360" w:lineRule="auto"/>
        <w:ind w:left="3" w:right="77" w:firstLine="480" w:firstLineChars="200"/>
        <w:rPr>
          <w:rFonts w:hint="eastAsia" w:ascii="宋体" w:hAnsi="宋体" w:cs="宋体"/>
          <w:sz w:val="24"/>
          <w:highlight w:val="none"/>
        </w:rPr>
      </w:pPr>
      <w:r>
        <w:rPr>
          <w:rFonts w:hint="eastAsia" w:ascii="宋体" w:hAnsi="宋体" w:cs="宋体"/>
          <w:sz w:val="24"/>
          <w:highlight w:val="none"/>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highlight w:val="none"/>
        </w:rPr>
      </w:pPr>
      <w:r>
        <w:rPr>
          <w:rFonts w:hint="eastAsia" w:ascii="宋体" w:hAnsi="宋体" w:cs="宋体"/>
          <w:sz w:val="24"/>
          <w:highlight w:val="none"/>
        </w:rPr>
        <w:t>6.甲、乙双方如发现对方人员在业务活动中有违规、违纪、违法行为的，应及时提醒对方并督促其纠正，或直接向对方</w:t>
      </w:r>
      <w:r>
        <w:rPr>
          <w:rFonts w:hint="eastAsia" w:ascii="宋体" w:hAnsi="宋体" w:cs="宋体"/>
          <w:sz w:val="24"/>
          <w:highlight w:val="none"/>
          <w:lang w:eastAsia="zh-CN"/>
        </w:rPr>
        <w:t>法定代表人</w:t>
      </w:r>
      <w:r>
        <w:rPr>
          <w:rFonts w:hint="eastAsia" w:ascii="宋体" w:hAnsi="宋体" w:cs="宋体"/>
          <w:sz w:val="24"/>
          <w:highlight w:val="none"/>
        </w:rPr>
        <w:t>、纪检监察部门及检察机关如实反映情况。</w:t>
      </w:r>
    </w:p>
    <w:p>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二、甲方（含甲方人员）廉政责任</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1.不得接受乙方或向乙方索取或以借用为名占用乙方的任何财物；不得接受乙方的礼金、</w:t>
      </w:r>
    </w:p>
    <w:p>
      <w:pPr>
        <w:spacing w:line="360" w:lineRule="auto"/>
        <w:ind w:left="4" w:hanging="3"/>
        <w:rPr>
          <w:rFonts w:hint="eastAsia" w:ascii="宋体" w:hAnsi="宋体" w:cs="宋体"/>
          <w:sz w:val="24"/>
          <w:highlight w:val="none"/>
        </w:rPr>
      </w:pPr>
      <w:r>
        <w:rPr>
          <w:rFonts w:hint="eastAsia" w:ascii="宋体" w:hAnsi="宋体" w:cs="宋体"/>
          <w:sz w:val="24"/>
          <w:highlight w:val="none"/>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4.不得接受乙方购置的或长期提供的通信工具、交通工具等。</w:t>
      </w:r>
    </w:p>
    <w:p>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highlight w:val="none"/>
        </w:rPr>
      </w:pPr>
      <w:r>
        <w:rPr>
          <w:rFonts w:hint="eastAsia" w:ascii="宋体" w:hAnsi="宋体" w:cs="宋体"/>
          <w:sz w:val="24"/>
          <w:highlight w:val="none"/>
        </w:rPr>
        <w:t>6.对乙方提供的有关信息，应及时调查处理并反馈结果。</w:t>
      </w:r>
    </w:p>
    <w:p>
      <w:pPr>
        <w:spacing w:line="360" w:lineRule="auto"/>
        <w:ind w:left="244" w:leftChars="116" w:right="3503" w:firstLine="477" w:firstLineChars="198"/>
        <w:rPr>
          <w:rFonts w:hint="eastAsia" w:ascii="宋体" w:hAnsi="宋体" w:cs="宋体"/>
          <w:b/>
          <w:bCs/>
          <w:sz w:val="24"/>
          <w:highlight w:val="none"/>
        </w:rPr>
      </w:pPr>
      <w:r>
        <w:rPr>
          <w:rFonts w:hint="eastAsia" w:ascii="宋体" w:hAnsi="宋体" w:cs="宋体"/>
          <w:b/>
          <w:bCs/>
          <w:sz w:val="24"/>
          <w:highlight w:val="none"/>
        </w:rPr>
        <w:t>三、乙方（含乙方人员）廉政责任</w:t>
      </w:r>
    </w:p>
    <w:p>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highlight w:val="none"/>
        </w:rPr>
      </w:pPr>
      <w:r>
        <w:rPr>
          <w:rFonts w:hint="eastAsia" w:ascii="宋体" w:hAnsi="宋体" w:cs="宋体"/>
          <w:sz w:val="24"/>
          <w:highlight w:val="none"/>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highlight w:val="none"/>
        </w:rPr>
      </w:pPr>
      <w:r>
        <w:rPr>
          <w:rFonts w:hint="eastAsia" w:ascii="宋体" w:hAnsi="宋体" w:cs="宋体"/>
          <w:sz w:val="24"/>
          <w:highlight w:val="none"/>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highlight w:val="none"/>
        </w:rPr>
      </w:pPr>
      <w:r>
        <w:rPr>
          <w:rFonts w:hint="eastAsia" w:ascii="宋体" w:hAnsi="宋体" w:cs="宋体"/>
          <w:b/>
          <w:bCs/>
          <w:sz w:val="24"/>
          <w:highlight w:val="none"/>
        </w:rPr>
        <w:t>四、违约责任</w:t>
      </w:r>
    </w:p>
    <w:p>
      <w:pPr>
        <w:spacing w:line="360" w:lineRule="auto"/>
        <w:ind w:left="3" w:right="24" w:firstLine="506" w:firstLineChars="211"/>
        <w:rPr>
          <w:rFonts w:hint="eastAsia" w:ascii="宋体" w:hAnsi="宋体" w:cs="宋体"/>
          <w:sz w:val="24"/>
          <w:highlight w:val="none"/>
        </w:rPr>
      </w:pPr>
      <w:r>
        <w:rPr>
          <w:rFonts w:hint="eastAsia" w:ascii="宋体" w:hAnsi="宋体" w:cs="宋体"/>
          <w:sz w:val="24"/>
          <w:highlight w:val="none"/>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highlight w:val="none"/>
        </w:rPr>
      </w:pPr>
      <w:r>
        <w:rPr>
          <w:rFonts w:hint="eastAsia" w:ascii="宋体" w:hAnsi="宋体" w:cs="宋体"/>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2.乙方贿赂甲方人员的，被纪检监察部门或检察机关立案查处的，甲方有权</w:t>
      </w:r>
      <w:r>
        <w:rPr>
          <w:rFonts w:hint="eastAsia" w:ascii="宋体" w:hAnsi="宋体" w:cs="宋体"/>
          <w:sz w:val="24"/>
          <w:highlight w:val="none"/>
          <w:lang w:eastAsia="zh-CN"/>
        </w:rPr>
        <w:t>终止</w:t>
      </w:r>
      <w:r>
        <w:rPr>
          <w:rFonts w:hint="eastAsia" w:ascii="宋体" w:hAnsi="宋体" w:cs="宋体"/>
          <w:sz w:val="24"/>
          <w:highlight w:val="none"/>
        </w:rPr>
        <w:t>项目合同，由此造成甲方的损失以及一切费用均由乙方承担。</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highlight w:val="none"/>
        </w:rPr>
      </w:pPr>
      <w:r>
        <w:rPr>
          <w:rFonts w:hint="eastAsia" w:ascii="宋体" w:hAnsi="宋体" w:cs="宋体"/>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highlight w:val="none"/>
        </w:rPr>
      </w:pPr>
      <w:r>
        <w:rPr>
          <w:rFonts w:hint="eastAsia" w:ascii="宋体" w:hAnsi="宋体" w:cs="宋体"/>
          <w:b/>
          <w:bCs/>
          <w:sz w:val="24"/>
          <w:highlight w:val="none"/>
        </w:rPr>
        <w:t>五、有效期</w:t>
      </w:r>
    </w:p>
    <w:p>
      <w:pPr>
        <w:spacing w:line="360" w:lineRule="auto"/>
        <w:ind w:firstLine="489" w:firstLineChars="204"/>
        <w:rPr>
          <w:rFonts w:hint="eastAsia" w:ascii="宋体" w:hAnsi="宋体" w:cs="宋体"/>
          <w:sz w:val="24"/>
          <w:highlight w:val="none"/>
        </w:rPr>
      </w:pPr>
      <w:r>
        <w:rPr>
          <w:rFonts w:hint="eastAsia" w:ascii="宋体" w:hAnsi="宋体" w:cs="宋体"/>
          <w:sz w:val="24"/>
          <w:highlight w:val="none"/>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highlight w:val="none"/>
        </w:rPr>
      </w:pPr>
    </w:p>
    <w:p>
      <w:pPr>
        <w:rPr>
          <w:rFonts w:hint="eastAsia"/>
          <w:highlight w:val="none"/>
        </w:rPr>
      </w:pPr>
    </w:p>
    <w:p>
      <w:pPr>
        <w:rPr>
          <w:color w:val="auto"/>
          <w:highlight w:val="none"/>
        </w:rPr>
      </w:pPr>
    </w:p>
    <w:p>
      <w:pPr>
        <w:pStyle w:val="6"/>
        <w:rPr>
          <w:highlight w:val="none"/>
        </w:rPr>
      </w:pPr>
    </w:p>
    <w:p>
      <w:pPr>
        <w:pStyle w:val="6"/>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highlight w:val="none"/>
        </w:rPr>
      </w:pPr>
    </w:p>
    <w:p>
      <w:pPr>
        <w:pStyle w:val="7"/>
        <w:rPr>
          <w:color w:val="auto"/>
          <w:highlight w:val="none"/>
        </w:rPr>
      </w:pPr>
    </w:p>
    <w:p>
      <w:pPr>
        <w:rPr>
          <w:color w:val="auto"/>
          <w:highlight w:val="none"/>
        </w:rPr>
      </w:pPr>
    </w:p>
    <w:p>
      <w:pPr>
        <w:rPr>
          <w:color w:val="auto"/>
          <w:highlight w:val="none"/>
        </w:rPr>
      </w:pPr>
    </w:p>
    <w:p>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pPr>
        <w:spacing w:line="460" w:lineRule="exact"/>
        <w:jc w:val="center"/>
        <w:outlineLvl w:val="0"/>
        <w:rPr>
          <w:rFonts w:cs="仿宋" w:asciiTheme="minorEastAsia" w:hAnsiTheme="minorEastAsia"/>
          <w:b/>
          <w:color w:val="auto"/>
          <w:kern w:val="0"/>
          <w:sz w:val="24"/>
          <w:highlight w:val="none"/>
        </w:rPr>
      </w:pPr>
    </w:p>
    <w:p>
      <w:pPr>
        <w:pStyle w:val="4"/>
        <w:spacing w:after="120" w:line="700" w:lineRule="exact"/>
        <w:ind w:left="0" w:firstLine="0"/>
        <w:rPr>
          <w:rFonts w:ascii="Times New Roman" w:hAnsi="Times New Roman" w:eastAsia="宋体" w:cs="Times New Roman"/>
          <w:sz w:val="32"/>
          <w:highlight w:val="none"/>
        </w:rPr>
      </w:pP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pPr>
        <w:spacing w:line="480" w:lineRule="auto"/>
        <w:rPr>
          <w:rFonts w:hint="default" w:ascii="宋体" w:hAnsi="宋体" w:eastAsia="宋体" w:cs="宋体"/>
          <w:sz w:val="28"/>
          <w:szCs w:val="22"/>
          <w:highlight w:val="none"/>
          <w:u w:val="single"/>
          <w:lang w:val="en-US" w:eastAsia="zh-CN"/>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lang w:eastAsia="zh-CN"/>
        </w:rPr>
        <w:t>2024年度艾默生 Ovation DCS系统年度维保采购项目</w:t>
      </w:r>
    </w:p>
    <w:p>
      <w:pPr>
        <w:spacing w:line="480" w:lineRule="auto"/>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202407009-1</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pPr>
        <w:spacing w:line="480" w:lineRule="auto"/>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杭州临江环境能源有限公司               </w:t>
      </w:r>
    </w:p>
    <w:p>
      <w:pPr>
        <w:spacing w:line="48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pPr>
        <w:spacing w:line="480" w:lineRule="auto"/>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pPr>
        <w:spacing w:line="480" w:lineRule="auto"/>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hint="eastAsia" w:ascii="Times New Roman" w:hAnsi="Times New Roman" w:eastAsia="宋体" w:cs="Times New Roman"/>
          <w:sz w:val="28"/>
          <w:szCs w:val="22"/>
          <w:highlight w:val="none"/>
          <w:u w:val="single"/>
          <w:lang w:val="en-US" w:eastAsia="zh-CN"/>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lang w:val="en-US" w:eastAsia="zh-CN"/>
        </w:rPr>
        <w:t xml:space="preserve"> </w:t>
      </w:r>
      <w:r>
        <w:rPr>
          <w:rFonts w:ascii="Times New Roman" w:hAnsi="Times New Roman" w:eastAsia="Cambria Math" w:cs="Times New Roman"/>
          <w:sz w:val="28"/>
          <w:szCs w:val="22"/>
          <w:highlight w:val="none"/>
          <w:u w:val="single"/>
        </w:rPr>
        <w:t xml:space="preserve">     </w:t>
      </w:r>
    </w:p>
    <w:p>
      <w:pPr>
        <w:spacing w:line="480" w:lineRule="auto"/>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hint="eastAsia" w:ascii="Times New Roman" w:hAnsi="Times New Roman" w:eastAsia="宋体" w:cs="Times New Roman"/>
          <w:sz w:val="28"/>
          <w:szCs w:val="22"/>
          <w:highlight w:val="none"/>
          <w:u w:val="single"/>
          <w:lang w:val="en-US" w:eastAsia="zh-CN"/>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both"/>
        <w:outlineLvl w:val="0"/>
        <w:rPr>
          <w:rFonts w:cs="仿宋" w:asciiTheme="minorEastAsia" w:hAnsiTheme="minorEastAsia"/>
          <w:b/>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pPr>
        <w:spacing w:line="360" w:lineRule="auto"/>
        <w:jc w:val="center"/>
        <w:outlineLvl w:val="0"/>
        <w:rPr>
          <w:rFonts w:cs="仿宋" w:asciiTheme="minorEastAsia" w:hAnsiTheme="minorEastAsia"/>
          <w:b/>
          <w:color w:val="auto"/>
          <w:kern w:val="0"/>
          <w:sz w:val="36"/>
          <w:szCs w:val="36"/>
          <w:highlight w:val="none"/>
        </w:rPr>
      </w:pP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6"/>
        <w:rPr>
          <w:color w:val="auto"/>
          <w:highlight w:val="none"/>
        </w:rPr>
      </w:pPr>
    </w:p>
    <w:p>
      <w:pPr>
        <w:pStyle w:val="7"/>
        <w:rPr>
          <w:color w:val="auto"/>
          <w:highlight w:val="none"/>
        </w:rPr>
      </w:pPr>
    </w:p>
    <w:p>
      <w:pPr>
        <w:rPr>
          <w:color w:val="auto"/>
          <w:highlight w:val="none"/>
        </w:rPr>
      </w:pPr>
    </w:p>
    <w:p>
      <w:pPr>
        <w:pStyle w:val="6"/>
        <w:rPr>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14"/>
        <w:rPr>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2024年度艾默生 Ovation DCS系统年度维保采购项目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202407009-1</w:t>
      </w:r>
      <w:r>
        <w:rPr>
          <w:rFonts w:hint="eastAsia" w:cs="仿宋" w:asciiTheme="minorEastAsia" w:hAnsiTheme="minorEastAsia"/>
          <w:color w:val="auto"/>
          <w:sz w:val="24"/>
          <w:highlight w:val="none"/>
        </w:rPr>
        <w:t>】采购活动，郑重承诺：</w:t>
      </w:r>
    </w:p>
    <w:p>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pPr>
        <w:snapToGrid w:val="0"/>
        <w:spacing w:line="360" w:lineRule="auto"/>
        <w:ind w:right="480"/>
        <w:jc w:val="center"/>
        <w:rPr>
          <w:rFonts w:cs="仿宋" w:asciiTheme="minorEastAsia" w:hAnsiTheme="minorEastAsia"/>
          <w:b/>
          <w:color w:val="auto"/>
          <w:kern w:val="0"/>
          <w:sz w:val="32"/>
          <w:szCs w:val="32"/>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pPr>
        <w:pStyle w:val="6"/>
        <w:numPr>
          <w:ilvl w:val="0"/>
          <w:numId w:val="0"/>
        </w:numPr>
        <w:ind w:leftChars="0"/>
        <w:rPr>
          <w:rFonts w:hint="default"/>
          <w:color w:val="auto"/>
          <w:highlight w:val="none"/>
          <w:lang w:val="en-US" w:eastAsia="zh-CN"/>
        </w:rPr>
      </w:pPr>
    </w:p>
    <w:p>
      <w:pPr>
        <w:spacing w:line="360" w:lineRule="auto"/>
        <w:ind w:firstLine="643" w:firstLineChars="200"/>
        <w:rPr>
          <w:rFonts w:cs="仿宋" w:asciiTheme="minorEastAsia" w:hAnsiTheme="minorEastAsia"/>
          <w:b/>
          <w:color w:val="auto"/>
          <w:kern w:val="0"/>
          <w:sz w:val="32"/>
          <w:szCs w:val="32"/>
          <w:highlight w:val="none"/>
        </w:rPr>
      </w:pPr>
    </w:p>
    <w:p>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pStyle w:val="6"/>
        <w:rPr>
          <w:color w:val="auto"/>
          <w:highlight w:val="none"/>
        </w:rPr>
      </w:pPr>
    </w:p>
    <w:p>
      <w:pPr>
        <w:pStyle w:val="7"/>
        <w:rPr>
          <w:highlight w:val="none"/>
        </w:rPr>
      </w:pPr>
    </w:p>
    <w:p>
      <w:pPr>
        <w:pStyle w:val="6"/>
        <w:rPr>
          <w:color w:val="auto"/>
          <w:highlight w:val="none"/>
        </w:rPr>
      </w:pPr>
    </w:p>
    <w:p>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pPr>
        <w:spacing w:line="360" w:lineRule="auto"/>
        <w:jc w:val="center"/>
        <w:outlineLvl w:val="0"/>
        <w:rPr>
          <w:rFonts w:cs="仿宋" w:asciiTheme="minorEastAsia" w:hAnsiTheme="minorEastAsia"/>
          <w:b/>
          <w:color w:val="auto"/>
          <w:kern w:val="0"/>
          <w:sz w:val="24"/>
          <w:highlight w:val="none"/>
        </w:rPr>
      </w:pPr>
    </w:p>
    <w:p>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7"/>
        <w:ind w:left="0" w:leftChars="0" w:firstLine="0" w:firstLineChars="0"/>
        <w:rPr>
          <w:highlight w:val="none"/>
        </w:rPr>
      </w:pPr>
    </w:p>
    <w:p>
      <w:pPr>
        <w:pStyle w:val="7"/>
        <w:rPr>
          <w:color w:val="auto"/>
          <w:highlight w:val="none"/>
        </w:rPr>
      </w:pPr>
    </w:p>
    <w:p>
      <w:pPr>
        <w:pStyle w:val="8"/>
        <w:rPr>
          <w:color w:val="auto"/>
          <w:highlight w:val="none"/>
        </w:rPr>
      </w:pPr>
    </w:p>
    <w:p/>
    <w:p>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val="en-US" w:eastAsia="zh-CN"/>
        </w:rPr>
        <w:t xml:space="preserve"> 2024年度艾默生 Ovation DCS系统年度维保采购项目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202407009-1</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的全部要求。</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pPr>
        <w:pStyle w:val="6"/>
        <w:widowControl w:val="0"/>
        <w:numPr>
          <w:ilvl w:val="0"/>
          <w:numId w:val="0"/>
        </w:numPr>
        <w:autoSpaceDE w:val="0"/>
        <w:autoSpaceDN w:val="0"/>
        <w:adjustRightInd w:val="0"/>
        <w:spacing w:line="360" w:lineRule="auto"/>
        <w:jc w:val="both"/>
        <w:rPr>
          <w:color w:val="auto"/>
          <w:highlight w:val="none"/>
        </w:rPr>
      </w:pPr>
    </w:p>
    <w:p>
      <w:pPr>
        <w:pStyle w:val="7"/>
        <w:rPr>
          <w:color w:val="auto"/>
          <w:highlight w:val="none"/>
        </w:rPr>
      </w:pPr>
    </w:p>
    <w:p>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pPr>
        <w:snapToGrid w:val="0"/>
        <w:spacing w:line="360" w:lineRule="auto"/>
        <w:rPr>
          <w:rFonts w:hint="eastAsia" w:cs="仿宋" w:asciiTheme="minorEastAsia" w:hAnsiTheme="minorEastAsia"/>
          <w:color w:val="auto"/>
          <w:kern w:val="0"/>
          <w:sz w:val="24"/>
          <w:highlight w:val="none"/>
          <w:lang w:eastAsia="zh-CN"/>
        </w:rPr>
      </w:pPr>
    </w:p>
    <w:p>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2024年度艾默生 Ovation DCS系统年度维保采购项目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202407009-1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ind w:firstLine="576"/>
        <w:rPr>
          <w:rFonts w:cs="仿宋" w:asciiTheme="minorEastAsia" w:hAnsiTheme="minorEastAsia"/>
          <w:color w:val="auto"/>
          <w:kern w:val="0"/>
          <w:sz w:val="24"/>
          <w:highlight w:val="none"/>
        </w:rPr>
      </w:pPr>
    </w:p>
    <w:p>
      <w:pPr>
        <w:snapToGrid w:val="0"/>
        <w:spacing w:line="360" w:lineRule="auto"/>
        <w:rPr>
          <w:rFonts w:hint="eastAsia" w:cs="仿宋" w:asciiTheme="minorEastAsia" w:hAnsiTheme="minorEastAsia"/>
          <w:color w:val="auto"/>
          <w:kern w:val="0"/>
          <w:sz w:val="24"/>
          <w:highlight w:val="none"/>
          <w:lang w:val="zh-CN"/>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pStyle w:val="6"/>
        <w:rPr>
          <w:rFonts w:hint="eastAsia" w:cs="仿宋" w:asciiTheme="minorEastAsia" w:hAnsiTheme="minorEastAsia"/>
          <w:b/>
          <w:color w:val="auto"/>
          <w:kern w:val="0"/>
          <w:sz w:val="32"/>
          <w:szCs w:val="32"/>
          <w:highlight w:val="none"/>
          <w:lang w:val="zh-CN"/>
        </w:rPr>
      </w:pPr>
    </w:p>
    <w:p>
      <w:pPr>
        <w:pStyle w:val="7"/>
        <w:rPr>
          <w:rFonts w:hint="eastAsia" w:cs="仿宋" w:asciiTheme="minorEastAsia" w:hAnsiTheme="minorEastAsia"/>
          <w:b/>
          <w:color w:val="auto"/>
          <w:kern w:val="0"/>
          <w:sz w:val="32"/>
          <w:szCs w:val="32"/>
          <w:highlight w:val="none"/>
          <w:lang w:val="zh-CN"/>
        </w:rPr>
      </w:pPr>
    </w:p>
    <w:p>
      <w:pPr>
        <w:rPr>
          <w:rFonts w:hint="eastAsia" w:cs="仿宋" w:asciiTheme="minorEastAsia" w:hAnsiTheme="minorEastAsia"/>
          <w:b/>
          <w:color w:val="auto"/>
          <w:kern w:val="0"/>
          <w:sz w:val="32"/>
          <w:szCs w:val="32"/>
          <w:highlight w:val="none"/>
          <w:lang w:val="zh-CN"/>
        </w:rPr>
      </w:pPr>
    </w:p>
    <w:p>
      <w:pPr>
        <w:pStyle w:val="6"/>
        <w:rPr>
          <w:rFonts w:hint="eastAsia" w:cs="仿宋" w:asciiTheme="minorEastAsia" w:hAnsiTheme="minorEastAsia"/>
          <w:b/>
          <w:color w:val="auto"/>
          <w:kern w:val="0"/>
          <w:sz w:val="32"/>
          <w:szCs w:val="32"/>
          <w:highlight w:val="none"/>
          <w:lang w:val="zh-CN"/>
        </w:rPr>
      </w:pPr>
    </w:p>
    <w:p>
      <w:pPr>
        <w:pStyle w:val="7"/>
        <w:rPr>
          <w:rFonts w:hint="eastAsia"/>
          <w:color w:val="auto"/>
          <w:highlight w:val="none"/>
          <w:lang w:val="zh-CN"/>
        </w:rPr>
      </w:pPr>
    </w:p>
    <w:p>
      <w:pPr>
        <w:rPr>
          <w:color w:val="auto"/>
          <w:highlight w:val="none"/>
        </w:rPr>
      </w:pPr>
    </w:p>
    <w:p>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7"/>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center"/>
        <w:rPr>
          <w:rFonts w:hint="eastAsia" w:cs="仿宋" w:asciiTheme="minorEastAsia" w:hAnsiTheme="minorEastAsia"/>
          <w:color w:val="auto"/>
          <w:kern w:val="0"/>
          <w:sz w:val="24"/>
          <w:highlight w:val="none"/>
          <w:lang w:val="zh-CN"/>
        </w:rPr>
      </w:pPr>
    </w:p>
    <w:p>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pPr>
              <w:pStyle w:val="27"/>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）；采购人不同意分包或者供应商成交后不以分包方式履行合同的，则不需要提供。）</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pPr>
              <w:jc w:val="center"/>
              <w:rPr>
                <w:rFonts w:cs="仿宋" w:asciiTheme="minorEastAsia" w:hAnsiTheme="minorEastAsia"/>
                <w:color w:val="auto"/>
                <w:sz w:val="24"/>
                <w:highlight w:val="none"/>
              </w:rPr>
            </w:pPr>
          </w:p>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bl>
    <w:p>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pPr>
        <w:snapToGrid w:val="0"/>
        <w:spacing w:line="360" w:lineRule="auto"/>
        <w:rPr>
          <w:rFonts w:cs="仿宋" w:asciiTheme="minorEastAsia" w:hAnsiTheme="minorEastAsia"/>
          <w:color w:val="auto"/>
          <w:sz w:val="24"/>
          <w:highlight w:val="none"/>
        </w:rPr>
      </w:pPr>
    </w:p>
    <w:p>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pPr>
        <w:pStyle w:val="6"/>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pPr>
        <w:pStyle w:val="13"/>
        <w:widowControl w:val="0"/>
        <w:numPr>
          <w:ilvl w:val="0"/>
          <w:numId w:val="0"/>
        </w:numPr>
        <w:jc w:val="left"/>
        <w:rPr>
          <w:rFonts w:hint="eastAsia"/>
          <w:color w:val="auto"/>
          <w:highlight w:val="none"/>
          <w:lang w:val="zh-CN"/>
        </w:rPr>
      </w:pPr>
    </w:p>
    <w:p>
      <w:pPr>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bCs/>
          <w:color w:val="auto"/>
          <w:sz w:val="24"/>
          <w:szCs w:val="24"/>
          <w:highlight w:val="none"/>
        </w:r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pPr>
        <w:pStyle w:val="13"/>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2024年度艾默生 Ovation DCS系统年度维保采购项目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202407009-1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eastAsia="zh-CN"/>
        </w:rPr>
        <w:t>做</w:t>
      </w:r>
      <w:r>
        <w:rPr>
          <w:rFonts w:hint="eastAsia" w:ascii="宋体" w:hAnsi="宋体" w:eastAsia="宋体" w:cs="宋体"/>
          <w:color w:val="auto"/>
          <w:sz w:val="24"/>
          <w:szCs w:val="24"/>
          <w:highlight w:val="none"/>
        </w:rPr>
        <w:t>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2024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pPr>
        <w:pStyle w:val="4"/>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了</w:t>
      </w:r>
      <w:r>
        <w:rPr>
          <w:rFonts w:hint="eastAsia" w:ascii="宋体" w:hAnsi="宋体" w:eastAsia="宋体" w:cs="宋体"/>
          <w:color w:val="auto"/>
          <w:sz w:val="24"/>
          <w:szCs w:val="24"/>
          <w:highlight w:val="none"/>
          <w:u w:val="single"/>
          <w:lang w:eastAsia="zh-CN"/>
        </w:rPr>
        <w:t xml:space="preserve"> 2024年度艾默生 Ovation DCS系统年度维保采购项目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202407009-1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pPr>
        <w:pStyle w:val="6"/>
        <w:adjustRightInd w:val="0"/>
        <w:spacing w:after="0" w:line="360" w:lineRule="auto"/>
        <w:ind w:firstLine="480" w:firstLineChars="200"/>
        <w:jc w:val="left"/>
        <w:rPr>
          <w:rFonts w:hint="eastAsia" w:ascii="宋体" w:hAnsi="宋体" w:cs="宋体"/>
          <w:color w:val="auto"/>
          <w:szCs w:val="21"/>
          <w:highlight w:val="none"/>
        </w:rPr>
      </w:pPr>
    </w:p>
    <w:p>
      <w:pPr>
        <w:pStyle w:val="6"/>
        <w:adjustRightInd w:val="0"/>
        <w:spacing w:after="0" w:line="360" w:lineRule="auto"/>
        <w:ind w:firstLine="480" w:firstLineChars="200"/>
        <w:jc w:val="left"/>
        <w:rPr>
          <w:rFonts w:hint="eastAsia" w:ascii="宋体" w:hAnsi="宋体" w:cs="宋体"/>
          <w:color w:val="auto"/>
          <w:szCs w:val="21"/>
          <w:highlight w:val="none"/>
        </w:rPr>
      </w:pPr>
    </w:p>
    <w:p>
      <w:pPr>
        <w:pStyle w:val="6"/>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pPr>
        <w:pStyle w:val="6"/>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highlight w:val="none"/>
          <w:u w:val="single"/>
          <w:lang w:val="en-US" w:eastAsia="zh-CN"/>
        </w:rPr>
        <w:t xml:space="preserve"> 2024年度艾默生 Ovation DCS系统年度维保采购项目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202407009-1</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6"/>
        <w:tblW w:w="12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172"/>
        <w:gridCol w:w="2463"/>
        <w:gridCol w:w="1391"/>
        <w:gridCol w:w="1307"/>
        <w:gridCol w:w="1147"/>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67" w:type="dxa"/>
            <w:vAlign w:val="center"/>
          </w:tcPr>
          <w:p>
            <w:pPr>
              <w:spacing w:line="24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4172" w:type="dxa"/>
            <w:vAlign w:val="center"/>
          </w:tcPr>
          <w:p>
            <w:pPr>
              <w:spacing w:line="24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2463" w:type="dxa"/>
            <w:vAlign w:val="center"/>
          </w:tcPr>
          <w:p>
            <w:pPr>
              <w:spacing w:line="24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技术要求</w:t>
            </w:r>
          </w:p>
        </w:tc>
        <w:tc>
          <w:tcPr>
            <w:tcW w:w="1391" w:type="dxa"/>
            <w:vAlign w:val="center"/>
          </w:tcPr>
          <w:p>
            <w:pPr>
              <w:spacing w:line="24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b/>
                <w:color w:val="auto"/>
                <w:sz w:val="24"/>
                <w:highlight w:val="none"/>
              </w:rPr>
              <w:t>数量</w:t>
            </w:r>
            <w:r>
              <w:rPr>
                <w:rFonts w:hint="eastAsia" w:cs="仿宋" w:asciiTheme="minorEastAsia" w:hAnsiTheme="minorEastAsia"/>
                <w:b/>
                <w:color w:val="auto"/>
                <w:sz w:val="24"/>
                <w:highlight w:val="none"/>
                <w:lang w:eastAsia="zh-CN"/>
              </w:rPr>
              <w:t>（</w:t>
            </w:r>
            <w:r>
              <w:rPr>
                <w:rFonts w:hint="eastAsia" w:cs="仿宋" w:asciiTheme="minorEastAsia" w:hAnsiTheme="minorEastAsia"/>
                <w:b/>
                <w:color w:val="auto"/>
                <w:sz w:val="24"/>
                <w:highlight w:val="none"/>
                <w:lang w:val="en-US" w:eastAsia="zh-CN"/>
              </w:rPr>
              <w:t>次</w:t>
            </w:r>
            <w:r>
              <w:rPr>
                <w:rFonts w:hint="eastAsia" w:cs="仿宋" w:asciiTheme="minorEastAsia" w:hAnsiTheme="minorEastAsia"/>
                <w:b/>
                <w:color w:val="auto"/>
                <w:sz w:val="24"/>
                <w:highlight w:val="none"/>
                <w:lang w:eastAsia="zh-CN"/>
              </w:rPr>
              <w:t>）</w:t>
            </w:r>
          </w:p>
        </w:tc>
        <w:tc>
          <w:tcPr>
            <w:tcW w:w="1307" w:type="dxa"/>
            <w:vAlign w:val="center"/>
          </w:tcPr>
          <w:p>
            <w:pPr>
              <w:spacing w:line="24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147" w:type="dxa"/>
            <w:vAlign w:val="center"/>
          </w:tcPr>
          <w:p>
            <w:pPr>
              <w:spacing w:line="24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1609" w:type="dxa"/>
            <w:vAlign w:val="center"/>
          </w:tcPr>
          <w:p>
            <w:pPr>
              <w:spacing w:line="24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67" w:type="dxa"/>
            <w:vAlign w:val="center"/>
          </w:tcPr>
          <w:p>
            <w:pPr>
              <w:spacing w:line="24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4172" w:type="dxa"/>
            <w:vAlign w:val="center"/>
          </w:tcPr>
          <w:p>
            <w:pPr>
              <w:snapToGrid w:val="0"/>
              <w:spacing w:line="24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艾默生DCS系统维护服务</w:t>
            </w:r>
          </w:p>
        </w:tc>
        <w:tc>
          <w:tcPr>
            <w:tcW w:w="2463" w:type="dxa"/>
            <w:vAlign w:val="center"/>
          </w:tcPr>
          <w:p>
            <w:pPr>
              <w:snapToGrid w:val="0"/>
              <w:spacing w:line="24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详见采购需求</w:t>
            </w:r>
          </w:p>
        </w:tc>
        <w:tc>
          <w:tcPr>
            <w:tcW w:w="1391" w:type="dxa"/>
            <w:vAlign w:val="center"/>
          </w:tcPr>
          <w:p>
            <w:pPr>
              <w:snapToGrid w:val="0"/>
              <w:spacing w:line="24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6</w:t>
            </w:r>
          </w:p>
        </w:tc>
        <w:tc>
          <w:tcPr>
            <w:tcW w:w="1307" w:type="dxa"/>
            <w:vAlign w:val="center"/>
          </w:tcPr>
          <w:p>
            <w:pPr>
              <w:spacing w:line="240" w:lineRule="auto"/>
              <w:jc w:val="center"/>
              <w:rPr>
                <w:rFonts w:hint="eastAsia" w:cs="仿宋" w:asciiTheme="minorEastAsia" w:hAnsiTheme="minorEastAsia" w:eastAsiaTheme="minorEastAsia"/>
                <w:color w:val="auto"/>
                <w:sz w:val="24"/>
                <w:highlight w:val="none"/>
                <w:lang w:val="en-US" w:eastAsia="zh-CN"/>
              </w:rPr>
            </w:pPr>
          </w:p>
        </w:tc>
        <w:tc>
          <w:tcPr>
            <w:tcW w:w="1147" w:type="dxa"/>
            <w:vAlign w:val="center"/>
          </w:tcPr>
          <w:p>
            <w:pPr>
              <w:spacing w:line="240" w:lineRule="auto"/>
              <w:jc w:val="center"/>
              <w:rPr>
                <w:rFonts w:cs="仿宋" w:asciiTheme="minorEastAsia" w:hAnsiTheme="minorEastAsia"/>
                <w:color w:val="auto"/>
                <w:sz w:val="24"/>
                <w:highlight w:val="none"/>
              </w:rPr>
            </w:pPr>
          </w:p>
        </w:tc>
        <w:tc>
          <w:tcPr>
            <w:tcW w:w="1609" w:type="dxa"/>
            <w:vAlign w:val="center"/>
          </w:tcPr>
          <w:p>
            <w:pPr>
              <w:spacing w:line="24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739" w:type="dxa"/>
            <w:gridSpan w:val="2"/>
            <w:vAlign w:val="center"/>
          </w:tcPr>
          <w:p>
            <w:pPr>
              <w:spacing w:line="24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7917" w:type="dxa"/>
            <w:gridSpan w:val="5"/>
            <w:vAlign w:val="center"/>
          </w:tcPr>
          <w:p>
            <w:pPr>
              <w:spacing w:line="24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739" w:type="dxa"/>
            <w:gridSpan w:val="2"/>
            <w:vAlign w:val="center"/>
          </w:tcPr>
          <w:p>
            <w:pPr>
              <w:spacing w:line="24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7917" w:type="dxa"/>
            <w:gridSpan w:val="5"/>
            <w:vAlign w:val="center"/>
          </w:tcPr>
          <w:p>
            <w:pPr>
              <w:spacing w:line="24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739" w:type="dxa"/>
            <w:gridSpan w:val="2"/>
            <w:vAlign w:val="center"/>
          </w:tcPr>
          <w:p>
            <w:pPr>
              <w:spacing w:line="24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b/>
                <w:color w:val="auto"/>
                <w:sz w:val="24"/>
                <w:highlight w:val="none"/>
                <w:lang w:eastAsia="zh-CN"/>
              </w:rPr>
              <w:t>税率</w:t>
            </w:r>
          </w:p>
        </w:tc>
        <w:tc>
          <w:tcPr>
            <w:tcW w:w="7917" w:type="dxa"/>
            <w:gridSpan w:val="5"/>
            <w:vAlign w:val="center"/>
          </w:tcPr>
          <w:p>
            <w:pPr>
              <w:spacing w:line="24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宋体" w:hAnsi="宋体" w:cs="宋体"/>
          <w:color w:val="auto"/>
          <w:kern w:val="0"/>
          <w:sz w:val="24"/>
          <w:highlight w:val="none"/>
          <w:lang w:val="zh-CN"/>
        </w:rPr>
        <w:t>3、特别提示：采购人将对项目名称和项目编号，成交供应商名称、成交金额予以公示。</w:t>
      </w:r>
    </w:p>
    <w:p>
      <w:pPr>
        <w:spacing w:line="360" w:lineRule="auto"/>
        <w:jc w:val="center"/>
        <w:rPr>
          <w:rFonts w:cs="仿宋" w:asciiTheme="minorEastAsia" w:hAnsiTheme="minorEastAsia"/>
          <w:b/>
          <w:color w:val="auto"/>
          <w:spacing w:val="6"/>
          <w:sz w:val="32"/>
          <w:szCs w:val="32"/>
          <w:highlight w:val="none"/>
        </w:rPr>
      </w:pPr>
      <w:bookmarkStart w:id="495" w:name="_Toc465665161"/>
      <w:r>
        <w:rPr>
          <w:rFonts w:hint="eastAsia" w:cs="宋体" w:asciiTheme="minorEastAsia" w:hAnsiTheme="minorEastAsia"/>
          <w:b/>
          <w:bCs/>
          <w:color w:val="auto"/>
          <w:kern w:val="44"/>
          <w:sz w:val="44"/>
          <w:szCs w:val="44"/>
          <w:highlight w:val="none"/>
        </w:rPr>
        <w:t>附件</w:t>
      </w:r>
      <w:bookmarkEnd w:id="495"/>
    </w:p>
    <w:p>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附件1</w:t>
      </w:r>
      <w:r>
        <w:rPr>
          <w:rFonts w:hint="eastAsia" w:ascii="宋体" w:hAnsi="宋体" w:cs="宋体"/>
          <w:b/>
          <w:color w:val="auto"/>
          <w:spacing w:val="6"/>
          <w:sz w:val="32"/>
          <w:szCs w:val="32"/>
          <w:highlight w:val="none"/>
        </w:rPr>
        <w:t>：</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3"/>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cs="仿宋" w:asciiTheme="minorEastAsia" w:hAnsiTheme="minorEastAsia"/>
          <w:b/>
          <w:color w:val="auto"/>
          <w:spacing w:val="6"/>
          <w:sz w:val="32"/>
          <w:szCs w:val="32"/>
          <w:highlight w:val="none"/>
        </w:rPr>
        <w:t>：</w:t>
      </w:r>
    </w:p>
    <w:p>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val="en-US" w:eastAsia="zh-CN"/>
        </w:rPr>
        <w:t xml:space="preserve"> 2024年度艾默生 Ovation DCS系统年度维保采购项目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202407009-1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2024年度艾默生 Ovation DCS系统年度维保采购项目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202407009-1</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10"/>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附件4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本项目不适用</w:t>
      </w:r>
      <w:r>
        <w:rPr>
          <w:rFonts w:hint="eastAsia" w:hAnsi="宋体" w:cs="宋体"/>
          <w:b/>
          <w:sz w:val="32"/>
          <w:szCs w:val="32"/>
          <w:highlight w:val="none"/>
          <w:lang w:eastAsia="zh-CN"/>
        </w:rPr>
        <w:t>）</w:t>
      </w:r>
    </w:p>
    <w:p>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lang w:eastAsia="zh-CN"/>
        </w:rPr>
        <w:t xml:space="preserve"> 2024年度艾默生 Ovation DCS系统年度维保采购项目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202407009-1</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3493" w:type="dxa"/>
            <w:vAlign w:val="center"/>
          </w:tcPr>
          <w:p>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3493" w:type="dxa"/>
            <w:vAlign w:val="center"/>
          </w:tcPr>
          <w:p>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6986" w:type="dxa"/>
            <w:gridSpan w:val="3"/>
            <w:vAlign w:val="center"/>
          </w:tcPr>
          <w:p>
            <w:pPr>
              <w:spacing w:line="360" w:lineRule="auto"/>
              <w:rPr>
                <w:rFonts w:hint="eastAsia" w:ascii="宋体" w:hAnsi="宋体" w:cs="宋体"/>
                <w:sz w:val="24"/>
                <w:highlight w:val="none"/>
                <w:lang w:eastAsia="zh-CN"/>
              </w:rPr>
            </w:pPr>
          </w:p>
          <w:p>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 xml:space="preserve">       /    </w:t>
            </w:r>
            <w:r>
              <w:rPr>
                <w:rFonts w:hint="eastAsia" w:ascii="宋体" w:hAnsi="宋体" w:cs="宋体"/>
                <w:sz w:val="24"/>
                <w:highlight w:val="none"/>
              </w:rPr>
              <w:t>人民币</w:t>
            </w:r>
          </w:p>
          <w:p>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 xml:space="preserve">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6986" w:type="dxa"/>
            <w:gridSpan w:val="3"/>
            <w:vAlign w:val="center"/>
          </w:tcPr>
          <w:p>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highlight w:val="none"/>
              </w:rPr>
            </w:pP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highlight w:val="none"/>
              </w:rPr>
            </w:pP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银行账号：</w:t>
            </w:r>
          </w:p>
        </w:tc>
      </w:tr>
    </w:tbl>
    <w:p>
      <w:pPr>
        <w:pStyle w:val="6"/>
        <w:rPr>
          <w:rFonts w:ascii="宋体" w:hAnsi="宋体" w:cs="宋体"/>
          <w:highlight w:val="none"/>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lang w:eastAsia="zh-CN"/>
        </w:rPr>
        <w:t xml:space="preserve"> 2024年度艾默生 Ovation DCS系统年度维保采购项目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202407009-1</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pPr>
        <w:pStyle w:val="10"/>
        <w:rPr>
          <w:rFonts w:hint="eastAsia" w:hAnsi="宋体" w:cs="宋体"/>
          <w:b/>
          <w:bCs/>
          <w:sz w:val="24"/>
          <w:highlight w:val="none"/>
        </w:rPr>
      </w:pPr>
    </w:p>
    <w:p>
      <w:pPr>
        <w:pStyle w:val="10"/>
        <w:rPr>
          <w:rFonts w:hint="eastAsia" w:hAnsi="宋体" w:cs="宋体"/>
          <w:b/>
          <w:bCs/>
          <w:sz w:val="24"/>
          <w:highlight w:val="none"/>
        </w:rPr>
      </w:pPr>
    </w:p>
    <w:p>
      <w:pPr>
        <w:pStyle w:val="10"/>
        <w:rPr>
          <w:highlight w:val="none"/>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C7E83A0"/>
    <w:multiLevelType w:val="singleLevel"/>
    <w:tmpl w:val="3C7E83A0"/>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000000"/>
    <w:rsid w:val="013D6280"/>
    <w:rsid w:val="023E1286"/>
    <w:rsid w:val="03272182"/>
    <w:rsid w:val="03AC0C85"/>
    <w:rsid w:val="0449208F"/>
    <w:rsid w:val="046A1781"/>
    <w:rsid w:val="04C86784"/>
    <w:rsid w:val="04E634F4"/>
    <w:rsid w:val="05150472"/>
    <w:rsid w:val="05171224"/>
    <w:rsid w:val="051B17AF"/>
    <w:rsid w:val="05914AC8"/>
    <w:rsid w:val="0805754C"/>
    <w:rsid w:val="08670640"/>
    <w:rsid w:val="08E37A2F"/>
    <w:rsid w:val="09545F70"/>
    <w:rsid w:val="09D74B85"/>
    <w:rsid w:val="09EC7123"/>
    <w:rsid w:val="09ED56C9"/>
    <w:rsid w:val="0A1D0FFF"/>
    <w:rsid w:val="0A7C1006"/>
    <w:rsid w:val="0AB515A8"/>
    <w:rsid w:val="0AD025A1"/>
    <w:rsid w:val="0BB51797"/>
    <w:rsid w:val="0BD07B44"/>
    <w:rsid w:val="0C492847"/>
    <w:rsid w:val="0F095788"/>
    <w:rsid w:val="0F5E496A"/>
    <w:rsid w:val="0F81598B"/>
    <w:rsid w:val="105C7CC6"/>
    <w:rsid w:val="10947BCD"/>
    <w:rsid w:val="10BE08E9"/>
    <w:rsid w:val="1119046D"/>
    <w:rsid w:val="1157552B"/>
    <w:rsid w:val="13064D3F"/>
    <w:rsid w:val="1363255E"/>
    <w:rsid w:val="1399374C"/>
    <w:rsid w:val="139A6122"/>
    <w:rsid w:val="13A55DB8"/>
    <w:rsid w:val="14521AA0"/>
    <w:rsid w:val="146C41CB"/>
    <w:rsid w:val="14F74019"/>
    <w:rsid w:val="15BE749A"/>
    <w:rsid w:val="15E02F18"/>
    <w:rsid w:val="166F3635"/>
    <w:rsid w:val="16C40884"/>
    <w:rsid w:val="17F8132F"/>
    <w:rsid w:val="185A544F"/>
    <w:rsid w:val="18760CCC"/>
    <w:rsid w:val="18890233"/>
    <w:rsid w:val="198737C7"/>
    <w:rsid w:val="19D82BAD"/>
    <w:rsid w:val="19DC6BDA"/>
    <w:rsid w:val="1AA56FDE"/>
    <w:rsid w:val="1B360465"/>
    <w:rsid w:val="1B7913A6"/>
    <w:rsid w:val="1C742A28"/>
    <w:rsid w:val="1CAA3340"/>
    <w:rsid w:val="1CD34128"/>
    <w:rsid w:val="1CDE6781"/>
    <w:rsid w:val="1E056D12"/>
    <w:rsid w:val="1F457921"/>
    <w:rsid w:val="1FCE3C28"/>
    <w:rsid w:val="21677697"/>
    <w:rsid w:val="229536BA"/>
    <w:rsid w:val="22A244DC"/>
    <w:rsid w:val="2378337E"/>
    <w:rsid w:val="23AE001C"/>
    <w:rsid w:val="24DA2DF4"/>
    <w:rsid w:val="251A0B90"/>
    <w:rsid w:val="25C26B32"/>
    <w:rsid w:val="27094561"/>
    <w:rsid w:val="272E083D"/>
    <w:rsid w:val="28210439"/>
    <w:rsid w:val="283F090E"/>
    <w:rsid w:val="284A39BF"/>
    <w:rsid w:val="28A354BE"/>
    <w:rsid w:val="28F1669B"/>
    <w:rsid w:val="2A1060BE"/>
    <w:rsid w:val="2A6366FF"/>
    <w:rsid w:val="2A6807FA"/>
    <w:rsid w:val="2B32649C"/>
    <w:rsid w:val="2B9B5E5B"/>
    <w:rsid w:val="2C270527"/>
    <w:rsid w:val="2C4141D8"/>
    <w:rsid w:val="2D0E3FAD"/>
    <w:rsid w:val="2E700E7F"/>
    <w:rsid w:val="2EB67A5C"/>
    <w:rsid w:val="2F1F33A8"/>
    <w:rsid w:val="2F5836E9"/>
    <w:rsid w:val="30123142"/>
    <w:rsid w:val="302169BE"/>
    <w:rsid w:val="304A7E50"/>
    <w:rsid w:val="314B6E80"/>
    <w:rsid w:val="31BF0628"/>
    <w:rsid w:val="32843E96"/>
    <w:rsid w:val="32D33460"/>
    <w:rsid w:val="352F03C1"/>
    <w:rsid w:val="36162BCB"/>
    <w:rsid w:val="36412810"/>
    <w:rsid w:val="369363FC"/>
    <w:rsid w:val="36BD312A"/>
    <w:rsid w:val="37012774"/>
    <w:rsid w:val="37514AF4"/>
    <w:rsid w:val="377C0298"/>
    <w:rsid w:val="37F61CA1"/>
    <w:rsid w:val="383F6DAA"/>
    <w:rsid w:val="38594418"/>
    <w:rsid w:val="39C31C6C"/>
    <w:rsid w:val="3C283344"/>
    <w:rsid w:val="3C3420E0"/>
    <w:rsid w:val="3C485F9D"/>
    <w:rsid w:val="3C7C70D7"/>
    <w:rsid w:val="3CB84BBF"/>
    <w:rsid w:val="3D3879AE"/>
    <w:rsid w:val="3DD00D25"/>
    <w:rsid w:val="3E0C6463"/>
    <w:rsid w:val="3E564C85"/>
    <w:rsid w:val="3F8142B1"/>
    <w:rsid w:val="40095632"/>
    <w:rsid w:val="403E57B7"/>
    <w:rsid w:val="403F72A5"/>
    <w:rsid w:val="40532D51"/>
    <w:rsid w:val="4179370E"/>
    <w:rsid w:val="41D016DB"/>
    <w:rsid w:val="42112513"/>
    <w:rsid w:val="42A470EB"/>
    <w:rsid w:val="43496F4C"/>
    <w:rsid w:val="435518AD"/>
    <w:rsid w:val="437A2DA4"/>
    <w:rsid w:val="43B13407"/>
    <w:rsid w:val="44873A1C"/>
    <w:rsid w:val="4491515E"/>
    <w:rsid w:val="44FD2E17"/>
    <w:rsid w:val="45CD5C7C"/>
    <w:rsid w:val="470471FE"/>
    <w:rsid w:val="472961BF"/>
    <w:rsid w:val="487F70A0"/>
    <w:rsid w:val="49105C83"/>
    <w:rsid w:val="499917D4"/>
    <w:rsid w:val="49A53D97"/>
    <w:rsid w:val="4AE27CAC"/>
    <w:rsid w:val="4BAC48C9"/>
    <w:rsid w:val="4E191EC4"/>
    <w:rsid w:val="4F005E52"/>
    <w:rsid w:val="4F251D5C"/>
    <w:rsid w:val="4FD65994"/>
    <w:rsid w:val="4FEB08B0"/>
    <w:rsid w:val="50772E11"/>
    <w:rsid w:val="50886E1D"/>
    <w:rsid w:val="513B5867"/>
    <w:rsid w:val="51454B8D"/>
    <w:rsid w:val="514563A8"/>
    <w:rsid w:val="523875F5"/>
    <w:rsid w:val="52506204"/>
    <w:rsid w:val="5257228F"/>
    <w:rsid w:val="52B35FD7"/>
    <w:rsid w:val="533B163F"/>
    <w:rsid w:val="53D53D51"/>
    <w:rsid w:val="53FA1DF3"/>
    <w:rsid w:val="54AB2D04"/>
    <w:rsid w:val="54E10568"/>
    <w:rsid w:val="56A40B9D"/>
    <w:rsid w:val="56F563A5"/>
    <w:rsid w:val="571F3A0C"/>
    <w:rsid w:val="57F2034A"/>
    <w:rsid w:val="58235318"/>
    <w:rsid w:val="58354DBE"/>
    <w:rsid w:val="59121C77"/>
    <w:rsid w:val="59DD570D"/>
    <w:rsid w:val="59DE0E09"/>
    <w:rsid w:val="5A283DD0"/>
    <w:rsid w:val="5A2E5F69"/>
    <w:rsid w:val="5ACD76EE"/>
    <w:rsid w:val="5B3D7F5F"/>
    <w:rsid w:val="5B443A3A"/>
    <w:rsid w:val="5E1F53A0"/>
    <w:rsid w:val="5EFD2476"/>
    <w:rsid w:val="5F0279C4"/>
    <w:rsid w:val="5F944466"/>
    <w:rsid w:val="603A260D"/>
    <w:rsid w:val="6139287F"/>
    <w:rsid w:val="61F56B7E"/>
    <w:rsid w:val="62121B84"/>
    <w:rsid w:val="632865A4"/>
    <w:rsid w:val="63377C5B"/>
    <w:rsid w:val="63CF15A0"/>
    <w:rsid w:val="641937E6"/>
    <w:rsid w:val="64266DDD"/>
    <w:rsid w:val="64AF7CA6"/>
    <w:rsid w:val="6575123C"/>
    <w:rsid w:val="657B7ADB"/>
    <w:rsid w:val="660E4A3F"/>
    <w:rsid w:val="673E5F91"/>
    <w:rsid w:val="67591D31"/>
    <w:rsid w:val="679754A0"/>
    <w:rsid w:val="67D649B5"/>
    <w:rsid w:val="68C66552"/>
    <w:rsid w:val="68FF6B7B"/>
    <w:rsid w:val="699026BE"/>
    <w:rsid w:val="699C4CB0"/>
    <w:rsid w:val="6A415E44"/>
    <w:rsid w:val="6A4E3ABD"/>
    <w:rsid w:val="6ABD4230"/>
    <w:rsid w:val="6AE63D7E"/>
    <w:rsid w:val="6B462C2B"/>
    <w:rsid w:val="6B687F92"/>
    <w:rsid w:val="6BDC6E7B"/>
    <w:rsid w:val="6EAC75B8"/>
    <w:rsid w:val="700D088C"/>
    <w:rsid w:val="700E4F44"/>
    <w:rsid w:val="70173239"/>
    <w:rsid w:val="70FC24C5"/>
    <w:rsid w:val="71A36DE5"/>
    <w:rsid w:val="721A5B23"/>
    <w:rsid w:val="72B931C1"/>
    <w:rsid w:val="738D03F5"/>
    <w:rsid w:val="7420296E"/>
    <w:rsid w:val="7431692A"/>
    <w:rsid w:val="74323C33"/>
    <w:rsid w:val="767E5B01"/>
    <w:rsid w:val="774808B4"/>
    <w:rsid w:val="779944AF"/>
    <w:rsid w:val="78160310"/>
    <w:rsid w:val="785A54C0"/>
    <w:rsid w:val="78AC1FCC"/>
    <w:rsid w:val="78D32916"/>
    <w:rsid w:val="78FD6DDA"/>
    <w:rsid w:val="79EB254B"/>
    <w:rsid w:val="7A035B53"/>
    <w:rsid w:val="7A5C2AAA"/>
    <w:rsid w:val="7AF4716D"/>
    <w:rsid w:val="7BA82ABD"/>
    <w:rsid w:val="7C662D96"/>
    <w:rsid w:val="7D797C2B"/>
    <w:rsid w:val="7D810EAC"/>
    <w:rsid w:val="7D955BFE"/>
    <w:rsid w:val="7DAC6A56"/>
    <w:rsid w:val="7E0230E5"/>
    <w:rsid w:val="7E1A3F8B"/>
    <w:rsid w:val="7E372D8F"/>
    <w:rsid w:val="7E600661"/>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2"/>
    <w:basedOn w:val="9"/>
    <w:autoRedefine/>
    <w:unhideWhenUsed/>
    <w:qFormat/>
    <w:uiPriority w:val="99"/>
    <w:pPr>
      <w:ind w:firstLine="420"/>
    </w:pPr>
    <w:rPr>
      <w:rFonts w:eastAsia="华文仿宋"/>
      <w:sz w:val="24"/>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font41"/>
    <w:basedOn w:val="18"/>
    <w:autoRedefine/>
    <w:qFormat/>
    <w:uiPriority w:val="0"/>
    <w:rPr>
      <w:rFonts w:hint="eastAsia" w:ascii="宋体" w:hAnsi="宋体" w:eastAsia="宋体" w:cs="宋体"/>
      <w:color w:val="FFFFFF"/>
      <w:sz w:val="24"/>
      <w:szCs w:val="24"/>
      <w:u w:val="none"/>
    </w:rPr>
  </w:style>
  <w:style w:type="character" w:customStyle="1" w:styleId="33">
    <w:name w:val="font51"/>
    <w:basedOn w:val="18"/>
    <w:autoRedefine/>
    <w:qFormat/>
    <w:uiPriority w:val="0"/>
    <w:rPr>
      <w:rFonts w:hint="eastAsia" w:ascii="宋体" w:hAnsi="宋体" w:eastAsia="宋体" w:cs="宋体"/>
      <w:color w:val="00B050"/>
      <w:sz w:val="24"/>
      <w:szCs w:val="24"/>
      <w:u w:val="none"/>
    </w:rPr>
  </w:style>
  <w:style w:type="character" w:customStyle="1" w:styleId="34">
    <w:name w:val="font61"/>
    <w:basedOn w:val="18"/>
    <w:autoRedefine/>
    <w:qFormat/>
    <w:uiPriority w:val="0"/>
    <w:rPr>
      <w:rFonts w:hint="eastAsia" w:ascii="宋体" w:hAnsi="宋体" w:eastAsia="宋体" w:cs="宋体"/>
      <w:color w:val="000000"/>
      <w:sz w:val="24"/>
      <w:szCs w:val="24"/>
      <w:u w:val="none"/>
    </w:rPr>
  </w:style>
  <w:style w:type="character" w:customStyle="1" w:styleId="35">
    <w:name w:val="font31"/>
    <w:basedOn w:val="18"/>
    <w:autoRedefine/>
    <w:qFormat/>
    <w:uiPriority w:val="0"/>
    <w:rPr>
      <w:rFonts w:hint="eastAsia" w:ascii="宋体" w:hAnsi="宋体" w:eastAsia="宋体" w:cs="宋体"/>
      <w:color w:val="000000"/>
      <w:sz w:val="24"/>
      <w:szCs w:val="24"/>
      <w:u w:val="none"/>
    </w:rPr>
  </w:style>
  <w:style w:type="character" w:customStyle="1" w:styleId="36">
    <w:name w:val="font71"/>
    <w:basedOn w:val="18"/>
    <w:autoRedefine/>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27831</Words>
  <Characters>29473</Characters>
  <Lines>0</Lines>
  <Paragraphs>0</Paragraphs>
  <TotalTime>21</TotalTime>
  <ScaleCrop>false</ScaleCrop>
  <LinksUpToDate>false</LinksUpToDate>
  <CharactersWithSpaces>32721</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期雷换蔷谒</cp:lastModifiedBy>
  <cp:lastPrinted>2024-07-09T07:06:00Z</cp:lastPrinted>
  <dcterms:modified xsi:type="dcterms:W3CDTF">2024-07-10T05:54:47Z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A1ED29D5195F42DC88B15D6E555041E6</vt:lpwstr>
  </property>
</Properties>
</file>