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pStyle w:val="11"/>
        <w:jc w:val="center"/>
        <w:rPr>
          <w:rFonts w:hint="eastAsia" w:cs="宋体" w:asciiTheme="minorEastAsia" w:hAnsiTheme="minorEastAsia"/>
          <w:color w:val="auto"/>
          <w:sz w:val="48"/>
          <w:szCs w:val="48"/>
          <w:u w:val="single"/>
        </w:rPr>
      </w:pPr>
    </w:p>
    <w:p>
      <w:pPr>
        <w:adjustRightInd w:val="0"/>
        <w:snapToGrid w:val="0"/>
        <w:spacing w:line="360" w:lineRule="auto"/>
        <w:jc w:val="center"/>
        <w:rPr>
          <w:rFonts w:hint="eastAsia" w:cs="宋体" w:asciiTheme="minorEastAsia" w:hAnsiTheme="minorEastAsia" w:eastAsiaTheme="minorEastAsia"/>
          <w:color w:val="auto"/>
          <w:sz w:val="48"/>
          <w:szCs w:val="48"/>
          <w:lang w:eastAsia="zh-CN"/>
        </w:rPr>
      </w:pPr>
      <w:r>
        <w:rPr>
          <w:rFonts w:hint="eastAsia" w:cs="宋体" w:asciiTheme="minorEastAsia" w:hAnsiTheme="minorEastAsia"/>
          <w:color w:val="auto"/>
          <w:sz w:val="48"/>
          <w:szCs w:val="48"/>
          <w:u w:val="single"/>
          <w:lang w:eastAsia="zh-CN"/>
        </w:rPr>
        <w:t>2024年临江公司化验室设备维保服务项目（重新询价）</w:t>
      </w: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202407011-1</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16</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2024年临江公司化验室设备维保服务项目（重新询价）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highlight w:val="none"/>
          <w:u w:val="single"/>
          <w:lang w:val="en-US" w:eastAsia="zh-CN"/>
        </w:rPr>
        <w:t>202407011-1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2024年临江公司化验室设备维保服务项目（重新询价）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17.2144万元，其中易损件最高限价15.2144万元。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临江公司三固事业部化验室因日常运营需要，需委托第三方单位进行维保服务，</w:t>
      </w:r>
      <w:r>
        <w:rPr>
          <w:rFonts w:hint="eastAsia" w:hAnsi="宋体" w:cs="宋体"/>
          <w:bCs/>
          <w:color w:val="auto"/>
          <w:sz w:val="24"/>
          <w:highlight w:val="none"/>
          <w:lang w:eastAsia="zh-CN"/>
        </w:rPr>
        <w:t>主要</w:t>
      </w:r>
      <w:r>
        <w:rPr>
          <w:rFonts w:hint="eastAsia" w:hAnsi="宋体" w:cs="宋体"/>
          <w:bCs/>
          <w:color w:val="auto"/>
          <w:sz w:val="24"/>
          <w:highlight w:val="none"/>
          <w:lang w:val="en-US" w:eastAsia="zh-CN"/>
        </w:rPr>
        <w:t>对化验室6台设备进行保养及维修，</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highlight w:val="none"/>
          <w:lang w:val="en-US" w:eastAsia="zh-CN"/>
        </w:rPr>
        <w:t>清单及</w:t>
      </w:r>
      <w:r>
        <w:rPr>
          <w:rFonts w:hint="eastAsia" w:cs="仿宋" w:asciiTheme="minorEastAsia" w:hAnsiTheme="minorEastAsia"/>
          <w:color w:val="auto"/>
          <w:sz w:val="24"/>
          <w:highlight w:val="none"/>
        </w:rPr>
        <w:t>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自合同签订后1年。</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bookmarkStart w:id="495" w:name="_GoBack"/>
      <w:bookmarkEnd w:id="495"/>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胡工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7月16</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8"/>
        <w:ind w:left="0" w:leftChars="0" w:firstLine="0" w:firstLineChars="0"/>
        <w:rPr>
          <w:rFonts w:hint="eastAsia" w:cs="仿宋" w:asciiTheme="minorEastAsia" w:hAnsiTheme="minorEastAsia"/>
          <w:b/>
          <w:color w:val="auto"/>
          <w:sz w:val="32"/>
          <w:szCs w:val="20"/>
        </w:rPr>
      </w:pPr>
    </w:p>
    <w:p>
      <w:pPr>
        <w:pStyle w:val="9"/>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一、项目</w:t>
      </w:r>
      <w:r>
        <w:rPr>
          <w:rFonts w:hint="eastAsia" w:ascii="宋体" w:hAnsi="宋体" w:eastAsia="宋体" w:cs="宋体"/>
          <w:b/>
          <w:bCs w:val="0"/>
          <w:color w:val="auto"/>
          <w:sz w:val="24"/>
          <w:szCs w:val="24"/>
          <w:lang w:val="en-US" w:eastAsia="zh-CN"/>
        </w:rPr>
        <w:t>概况</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主要对化验室6台设备进行定期维护保养</w:t>
      </w:r>
      <w:r>
        <w:rPr>
          <w:rFonts w:hint="eastAsia" w:ascii="宋体" w:hAnsi="Times New Roman" w:cs="Times New Roman"/>
          <w:snapToGrid/>
          <w:color w:val="auto"/>
          <w:kern w:val="2"/>
          <w:sz w:val="24"/>
          <w:szCs w:val="20"/>
          <w:lang w:val="en-US" w:eastAsia="zh-CN" w:bidi="ar-SA"/>
        </w:rPr>
        <w:t>、</w:t>
      </w:r>
      <w:r>
        <w:rPr>
          <w:rFonts w:hint="eastAsia" w:ascii="宋体" w:hAnsi="Times New Roman" w:cs="Times New Roman" w:eastAsiaTheme="minorEastAsia"/>
          <w:snapToGrid/>
          <w:color w:val="auto"/>
          <w:kern w:val="2"/>
          <w:sz w:val="24"/>
          <w:szCs w:val="20"/>
          <w:lang w:val="en-US" w:eastAsia="zh-CN" w:bidi="ar-SA"/>
        </w:rPr>
        <w:t>检定、校准</w:t>
      </w:r>
      <w:r>
        <w:rPr>
          <w:rFonts w:hint="eastAsia" w:ascii="宋体" w:hAnsi="Times New Roman" w:cs="Times New Roman"/>
          <w:snapToGrid/>
          <w:color w:val="auto"/>
          <w:kern w:val="2"/>
          <w:sz w:val="24"/>
          <w:szCs w:val="20"/>
          <w:lang w:val="en-US" w:eastAsia="zh-CN" w:bidi="ar-SA"/>
        </w:rPr>
        <w:t>、</w:t>
      </w:r>
      <w:r>
        <w:rPr>
          <w:rFonts w:hint="eastAsia" w:ascii="宋体" w:hAnsi="Times New Roman" w:cs="Times New Roman" w:eastAsiaTheme="minorEastAsia"/>
          <w:snapToGrid/>
          <w:color w:val="auto"/>
          <w:kern w:val="2"/>
          <w:sz w:val="24"/>
          <w:szCs w:val="20"/>
          <w:lang w:val="en-US" w:eastAsia="zh-CN" w:bidi="ar-SA"/>
        </w:rPr>
        <w:t>设备的故障处理，部分易损件更换</w:t>
      </w:r>
      <w:r>
        <w:rPr>
          <w:rFonts w:hint="eastAsia" w:ascii="宋体" w:hAnsi="Times New Roman" w:cs="Times New Roman"/>
          <w:snapToGrid/>
          <w:color w:val="auto"/>
          <w:kern w:val="2"/>
          <w:sz w:val="24"/>
          <w:szCs w:val="20"/>
          <w:lang w:val="en-US" w:eastAsia="zh-CN" w:bidi="ar-SA"/>
        </w:rPr>
        <w:t>，具体详见服务要求。</w:t>
      </w:r>
    </w:p>
    <w:p>
      <w:pPr>
        <w:pStyle w:val="7"/>
        <w:numPr>
          <w:ilvl w:val="0"/>
          <w:numId w:val="0"/>
        </w:numPr>
        <w:ind w:firstLine="480" w:firstLineChars="200"/>
        <w:rPr>
          <w:rFonts w:hint="eastAsia"/>
          <w:color w:val="auto"/>
          <w:lang w:val="en-US" w:eastAsia="zh-CN"/>
        </w:rPr>
      </w:pPr>
      <w:r>
        <w:rPr>
          <w:rFonts w:hint="eastAsia"/>
          <w:color w:val="auto"/>
          <w:lang w:val="en-US" w:eastAsia="zh-CN"/>
        </w:rPr>
        <w:t>维保地点：浙江省杭州市钱塘区临江街道红十五路10388-123号。</w:t>
      </w:r>
    </w:p>
    <w:p>
      <w:pPr>
        <w:pStyle w:val="7"/>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自合同签订后1年；</w:t>
      </w:r>
    </w:p>
    <w:p>
      <w:pPr>
        <w:pStyle w:val="7"/>
        <w:numPr>
          <w:ilvl w:val="0"/>
          <w:numId w:val="0"/>
        </w:numPr>
        <w:ind w:firstLine="482" w:firstLineChars="200"/>
        <w:rPr>
          <w:rFonts w:hint="default"/>
          <w:b/>
          <w:bCs/>
          <w:color w:val="auto"/>
          <w:lang w:val="en-US" w:eastAsia="zh-CN"/>
        </w:rPr>
      </w:pPr>
      <w:r>
        <w:rPr>
          <w:rFonts w:hint="eastAsia"/>
          <w:b/>
          <w:bCs/>
          <w:color w:val="auto"/>
          <w:lang w:val="en-US" w:eastAsia="zh-CN"/>
        </w:rPr>
        <w:t>三、采购内容</w:t>
      </w:r>
    </w:p>
    <w:tbl>
      <w:tblPr>
        <w:tblStyle w:val="16"/>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75"/>
        <w:gridCol w:w="1206"/>
        <w:gridCol w:w="3321"/>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1" w:type="dxa"/>
            <w:gridSpan w:val="5"/>
          </w:tcPr>
          <w:p>
            <w:pPr>
              <w:pStyle w:val="8"/>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b/>
                <w:bCs/>
                <w:lang w:val="en-US" w:eastAsia="zh-CN"/>
              </w:rPr>
              <w:t>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序号</w:t>
            </w:r>
          </w:p>
        </w:tc>
        <w:tc>
          <w:tcPr>
            <w:tcW w:w="1375" w:type="dxa"/>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类别</w:t>
            </w:r>
          </w:p>
        </w:tc>
        <w:tc>
          <w:tcPr>
            <w:tcW w:w="1206" w:type="dxa"/>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次数</w:t>
            </w:r>
          </w:p>
        </w:tc>
        <w:tc>
          <w:tcPr>
            <w:tcW w:w="3321" w:type="dxa"/>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主要工作内容</w:t>
            </w:r>
          </w:p>
        </w:tc>
        <w:tc>
          <w:tcPr>
            <w:tcW w:w="1630" w:type="dxa"/>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9" w:type="dxa"/>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1375"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常规检查</w:t>
            </w:r>
          </w:p>
        </w:tc>
        <w:tc>
          <w:tcPr>
            <w:tcW w:w="1206" w:type="dxa"/>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6次</w:t>
            </w:r>
          </w:p>
        </w:tc>
        <w:tc>
          <w:tcPr>
            <w:tcW w:w="3321" w:type="dxa"/>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每两个月一次定期检验、校准等保养维护</w:t>
            </w:r>
          </w:p>
        </w:tc>
        <w:tc>
          <w:tcPr>
            <w:tcW w:w="1630"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6</w:t>
            </w:r>
            <w:r>
              <w:rPr>
                <w:rFonts w:hint="eastAsia" w:ascii="宋体" w:hAnsi="Times New Roman" w:cs="Times New Roman" w:eastAsiaTheme="minorEastAsia"/>
                <w:snapToGrid/>
                <w:color w:val="auto"/>
                <w:kern w:val="2"/>
                <w:sz w:val="24"/>
                <w:szCs w:val="20"/>
                <w:lang w:val="en-US" w:eastAsia="zh-CN" w:bidi="ar-SA"/>
              </w:rPr>
              <w:t>台设备的保养</w:t>
            </w:r>
            <w:r>
              <w:rPr>
                <w:rFonts w:hint="eastAsia" w:ascii="宋体" w:hAnsi="Times New Roman" w:cs="Times New Roman"/>
                <w:snapToGrid/>
                <w:color w:val="auto"/>
                <w:kern w:val="2"/>
                <w:sz w:val="24"/>
                <w:szCs w:val="20"/>
                <w:lang w:val="en-US" w:eastAsia="zh-CN" w:bidi="ar-SA"/>
              </w:rPr>
              <w:t>（包含500元以下的耗材易损件）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9" w:type="dxa"/>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2</w:t>
            </w:r>
          </w:p>
        </w:tc>
        <w:tc>
          <w:tcPr>
            <w:tcW w:w="1375"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维修备件</w:t>
            </w:r>
          </w:p>
        </w:tc>
        <w:tc>
          <w:tcPr>
            <w:tcW w:w="1206"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按需更换、按实结算</w:t>
            </w:r>
          </w:p>
        </w:tc>
        <w:tc>
          <w:tcPr>
            <w:tcW w:w="3321"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仪器设备的故障处理，部分易损件更换</w:t>
            </w:r>
          </w:p>
        </w:tc>
        <w:tc>
          <w:tcPr>
            <w:tcW w:w="1630" w:type="dxa"/>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具体详见设备主要易损件清单</w:t>
            </w:r>
          </w:p>
        </w:tc>
      </w:tr>
    </w:tbl>
    <w:tbl>
      <w:tblPr>
        <w:tblStyle w:val="15"/>
        <w:tblW w:w="8261" w:type="dxa"/>
        <w:tblInd w:w="416" w:type="dxa"/>
        <w:tblLayout w:type="fixed"/>
        <w:tblCellMar>
          <w:top w:w="0" w:type="dxa"/>
          <w:left w:w="108" w:type="dxa"/>
          <w:bottom w:w="0" w:type="dxa"/>
          <w:right w:w="108" w:type="dxa"/>
        </w:tblCellMar>
      </w:tblPr>
      <w:tblGrid>
        <w:gridCol w:w="463"/>
        <w:gridCol w:w="514"/>
        <w:gridCol w:w="1595"/>
        <w:gridCol w:w="818"/>
        <w:gridCol w:w="2867"/>
        <w:gridCol w:w="1063"/>
        <w:gridCol w:w="941"/>
      </w:tblGrid>
      <w:tr>
        <w:tblPrEx>
          <w:tblCellMar>
            <w:top w:w="0" w:type="dxa"/>
            <w:left w:w="108" w:type="dxa"/>
            <w:bottom w:w="0" w:type="dxa"/>
            <w:right w:w="108" w:type="dxa"/>
          </w:tblCellMar>
        </w:tblPrEx>
        <w:trPr>
          <w:trHeight w:val="349" w:hRule="atLeast"/>
        </w:trPr>
        <w:tc>
          <w:tcPr>
            <w:tcW w:w="826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pStyle w:val="8"/>
              <w:ind w:left="0" w:leftChars="0" w:firstLine="0" w:firstLineChars="0"/>
              <w:jc w:val="center"/>
              <w:rPr>
                <w:rFonts w:hint="eastAsia"/>
                <w:b/>
                <w:bCs/>
                <w:lang w:val="en-US" w:eastAsia="zh-CN"/>
              </w:rPr>
            </w:pPr>
            <w:r>
              <w:rPr>
                <w:rFonts w:hint="eastAsia"/>
                <w:b/>
                <w:bCs/>
                <w:lang w:val="en-US" w:eastAsia="zh-CN"/>
              </w:rPr>
              <w:t>维保设备清单</w:t>
            </w:r>
          </w:p>
        </w:tc>
      </w:tr>
      <w:tr>
        <w:tblPrEx>
          <w:tblCellMar>
            <w:top w:w="0" w:type="dxa"/>
            <w:left w:w="108" w:type="dxa"/>
            <w:bottom w:w="0" w:type="dxa"/>
            <w:right w:w="108" w:type="dxa"/>
          </w:tblCellMar>
        </w:tblPrEx>
        <w:trPr>
          <w:trHeight w:val="462" w:hRule="atLeast"/>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序号</w:t>
            </w:r>
          </w:p>
        </w:tc>
        <w:tc>
          <w:tcPr>
            <w:tcW w:w="2109" w:type="dxa"/>
            <w:gridSpan w:val="2"/>
            <w:tcBorders>
              <w:top w:val="single" w:color="auto" w:sz="4" w:space="0"/>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设备名称</w:t>
            </w:r>
          </w:p>
        </w:tc>
        <w:tc>
          <w:tcPr>
            <w:tcW w:w="3685" w:type="dxa"/>
            <w:gridSpan w:val="2"/>
            <w:tcBorders>
              <w:top w:val="single" w:color="auto" w:sz="4" w:space="0"/>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品牌型号</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数量</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单位</w:t>
            </w:r>
          </w:p>
        </w:tc>
      </w:tr>
      <w:tr>
        <w:tblPrEx>
          <w:tblCellMar>
            <w:top w:w="0" w:type="dxa"/>
            <w:left w:w="108" w:type="dxa"/>
            <w:bottom w:w="0" w:type="dxa"/>
            <w:right w:w="108" w:type="dxa"/>
          </w:tblCellMar>
        </w:tblPrEx>
        <w:trPr>
          <w:trHeight w:val="484" w:hRule="atLeast"/>
        </w:trPr>
        <w:tc>
          <w:tcPr>
            <w:tcW w:w="463" w:type="dxa"/>
            <w:tcBorders>
              <w:top w:val="nil"/>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2109" w:type="dxa"/>
            <w:gridSpan w:val="2"/>
            <w:tcBorders>
              <w:top w:val="nil"/>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电感耦合等离子体光谱仪</w:t>
            </w:r>
          </w:p>
        </w:tc>
        <w:tc>
          <w:tcPr>
            <w:tcW w:w="3685" w:type="dxa"/>
            <w:gridSpan w:val="2"/>
            <w:tcBorders>
              <w:top w:val="nil"/>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Thermo iCAP Pro ICP-OES Duo View  Spectrometer</w:t>
            </w:r>
          </w:p>
        </w:tc>
        <w:tc>
          <w:tcPr>
            <w:tcW w:w="1063" w:type="dxa"/>
            <w:tcBorders>
              <w:top w:val="nil"/>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nil"/>
              <w:left w:val="nil"/>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318" w:hRule="atLeast"/>
        </w:trPr>
        <w:tc>
          <w:tcPr>
            <w:tcW w:w="463" w:type="dxa"/>
            <w:tcBorders>
              <w:top w:val="nil"/>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2</w:t>
            </w:r>
          </w:p>
        </w:tc>
        <w:tc>
          <w:tcPr>
            <w:tcW w:w="2109" w:type="dxa"/>
            <w:gridSpan w:val="2"/>
            <w:tcBorders>
              <w:top w:val="nil"/>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原子荧光光谱仪</w:t>
            </w:r>
          </w:p>
        </w:tc>
        <w:tc>
          <w:tcPr>
            <w:tcW w:w="3685" w:type="dxa"/>
            <w:gridSpan w:val="2"/>
            <w:tcBorders>
              <w:top w:val="nil"/>
              <w:left w:val="nil"/>
              <w:bottom w:val="single" w:color="auto" w:sz="4" w:space="0"/>
              <w:right w:val="nil"/>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北京吉天Kylin A12</w:t>
            </w:r>
          </w:p>
        </w:tc>
        <w:tc>
          <w:tcPr>
            <w:tcW w:w="1063" w:type="dxa"/>
            <w:tcBorders>
              <w:top w:val="nil"/>
              <w:left w:val="single" w:color="auto" w:sz="4" w:space="0"/>
              <w:bottom w:val="single" w:color="auto" w:sz="4" w:space="0"/>
              <w:right w:val="nil"/>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nil"/>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257" w:hRule="atLeast"/>
        </w:trPr>
        <w:tc>
          <w:tcPr>
            <w:tcW w:w="463" w:type="dxa"/>
            <w:tcBorders>
              <w:top w:val="nil"/>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3</w:t>
            </w:r>
          </w:p>
        </w:tc>
        <w:tc>
          <w:tcPr>
            <w:tcW w:w="2109" w:type="dxa"/>
            <w:gridSpan w:val="2"/>
            <w:tcBorders>
              <w:top w:val="nil"/>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离子色谱仪</w:t>
            </w:r>
          </w:p>
        </w:tc>
        <w:tc>
          <w:tcPr>
            <w:tcW w:w="3685" w:type="dxa"/>
            <w:gridSpan w:val="2"/>
            <w:tcBorders>
              <w:top w:val="nil"/>
              <w:left w:val="nil"/>
              <w:bottom w:val="single" w:color="auto" w:sz="4" w:space="0"/>
              <w:right w:val="nil"/>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ThermoFisher AQUION</w:t>
            </w:r>
          </w:p>
        </w:tc>
        <w:tc>
          <w:tcPr>
            <w:tcW w:w="1063" w:type="dxa"/>
            <w:tcBorders>
              <w:top w:val="nil"/>
              <w:left w:val="single" w:color="auto" w:sz="4" w:space="0"/>
              <w:bottom w:val="single" w:color="auto" w:sz="4" w:space="0"/>
              <w:right w:val="nil"/>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nil"/>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235" w:hRule="atLeast"/>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4</w:t>
            </w:r>
          </w:p>
        </w:tc>
        <w:tc>
          <w:tcPr>
            <w:tcW w:w="2109" w:type="dxa"/>
            <w:gridSpan w:val="2"/>
            <w:tcBorders>
              <w:top w:val="single" w:color="auto" w:sz="4" w:space="0"/>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紫外可见分光光度计</w:t>
            </w:r>
          </w:p>
        </w:tc>
        <w:tc>
          <w:tcPr>
            <w:tcW w:w="3685" w:type="dxa"/>
            <w:gridSpan w:val="2"/>
            <w:tcBorders>
              <w:top w:val="single" w:color="auto" w:sz="4" w:space="0"/>
              <w:left w:val="nil"/>
              <w:bottom w:val="single" w:color="auto" w:sz="4" w:space="0"/>
              <w:right w:val="nil"/>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ThermoFisher Evolution220</w:t>
            </w:r>
          </w:p>
        </w:tc>
        <w:tc>
          <w:tcPr>
            <w:tcW w:w="1063" w:type="dxa"/>
            <w:tcBorders>
              <w:top w:val="single" w:color="auto" w:sz="4" w:space="0"/>
              <w:left w:val="single" w:color="auto" w:sz="4" w:space="0"/>
              <w:bottom w:val="single" w:color="auto" w:sz="4" w:space="0"/>
              <w:right w:val="nil"/>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235" w:hRule="atLeast"/>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5</w:t>
            </w:r>
          </w:p>
        </w:tc>
        <w:tc>
          <w:tcPr>
            <w:tcW w:w="2109" w:type="dxa"/>
            <w:gridSpan w:val="2"/>
            <w:tcBorders>
              <w:top w:val="single" w:color="auto" w:sz="4" w:space="0"/>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量热仪</w:t>
            </w:r>
          </w:p>
        </w:tc>
        <w:tc>
          <w:tcPr>
            <w:tcW w:w="3685" w:type="dxa"/>
            <w:gridSpan w:val="2"/>
            <w:tcBorders>
              <w:top w:val="single" w:color="auto" w:sz="4" w:space="0"/>
              <w:left w:val="nil"/>
              <w:bottom w:val="single" w:color="auto" w:sz="4" w:space="0"/>
              <w:right w:val="nil"/>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长沙友欣YX-ZR9302</w:t>
            </w:r>
          </w:p>
        </w:tc>
        <w:tc>
          <w:tcPr>
            <w:tcW w:w="1063" w:type="dxa"/>
            <w:tcBorders>
              <w:top w:val="single" w:color="auto" w:sz="4" w:space="0"/>
              <w:left w:val="single" w:color="auto" w:sz="4" w:space="0"/>
              <w:bottom w:val="single" w:color="auto" w:sz="4" w:space="0"/>
              <w:right w:val="nil"/>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235" w:hRule="atLeast"/>
        </w:trPr>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6</w:t>
            </w:r>
          </w:p>
        </w:tc>
        <w:tc>
          <w:tcPr>
            <w:tcW w:w="2109" w:type="dxa"/>
            <w:gridSpan w:val="2"/>
            <w:tcBorders>
              <w:top w:val="single" w:color="auto" w:sz="4" w:space="0"/>
              <w:left w:val="nil"/>
              <w:bottom w:val="single" w:color="auto" w:sz="4" w:space="0"/>
              <w:right w:val="single" w:color="auto" w:sz="4" w:space="0"/>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X荧光</w:t>
            </w:r>
          </w:p>
        </w:tc>
        <w:tc>
          <w:tcPr>
            <w:tcW w:w="3685" w:type="dxa"/>
            <w:gridSpan w:val="2"/>
            <w:tcBorders>
              <w:top w:val="single" w:color="auto" w:sz="4" w:space="0"/>
              <w:left w:val="nil"/>
              <w:bottom w:val="single" w:color="auto" w:sz="4" w:space="0"/>
              <w:right w:val="nil"/>
            </w:tcBorders>
            <w:shd w:val="clear" w:color="auto" w:fill="auto"/>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天瑞1800BS</w:t>
            </w:r>
          </w:p>
        </w:tc>
        <w:tc>
          <w:tcPr>
            <w:tcW w:w="1063" w:type="dxa"/>
            <w:tcBorders>
              <w:top w:val="single" w:color="auto" w:sz="4" w:space="0"/>
              <w:left w:val="single" w:color="auto" w:sz="4" w:space="0"/>
              <w:bottom w:val="single" w:color="auto" w:sz="4" w:space="0"/>
              <w:right w:val="nil"/>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1</w:t>
            </w:r>
          </w:p>
        </w:tc>
        <w:tc>
          <w:tcPr>
            <w:tcW w:w="94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台</w:t>
            </w:r>
          </w:p>
        </w:tc>
      </w:tr>
      <w:tr>
        <w:tblPrEx>
          <w:tblCellMar>
            <w:top w:w="0" w:type="dxa"/>
            <w:left w:w="108" w:type="dxa"/>
            <w:bottom w:w="0" w:type="dxa"/>
            <w:right w:w="108" w:type="dxa"/>
          </w:tblCellMar>
        </w:tblPrEx>
        <w:trPr>
          <w:trHeight w:val="290" w:hRule="atLeast"/>
        </w:trPr>
        <w:tc>
          <w:tcPr>
            <w:tcW w:w="826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eastAsiaTheme="minorEastAsia"/>
                <w:b/>
                <w:bCs/>
                <w:snapToGrid/>
                <w:color w:val="auto"/>
                <w:kern w:val="2"/>
                <w:sz w:val="24"/>
                <w:szCs w:val="20"/>
                <w:u w:color="000000"/>
                <w:lang w:val="en-US" w:eastAsia="zh-CN" w:bidi="ar-SA"/>
              </w:rPr>
            </w:pPr>
            <w:r>
              <w:rPr>
                <w:rFonts w:hint="eastAsia" w:ascii="宋体" w:hAnsi="Times New Roman" w:cs="Times New Roman" w:eastAsiaTheme="minorEastAsia"/>
                <w:b/>
                <w:bCs/>
                <w:snapToGrid/>
                <w:color w:val="auto"/>
                <w:kern w:val="2"/>
                <w:sz w:val="24"/>
                <w:szCs w:val="20"/>
                <w:u w:color="000000"/>
                <w:lang w:val="en-US" w:eastAsia="zh-CN" w:bidi="ar-SA"/>
              </w:rPr>
              <w:t>设备主要易损件清单</w:t>
            </w:r>
          </w:p>
        </w:tc>
      </w:tr>
      <w:tr>
        <w:tblPrEx>
          <w:tblCellMar>
            <w:top w:w="0" w:type="dxa"/>
            <w:left w:w="108" w:type="dxa"/>
            <w:bottom w:w="0" w:type="dxa"/>
            <w:right w:w="108" w:type="dxa"/>
          </w:tblCellMar>
        </w:tblPrEx>
        <w:trPr>
          <w:trHeight w:val="278" w:hRule="atLeast"/>
        </w:trPr>
        <w:tc>
          <w:tcPr>
            <w:tcW w:w="9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序号</w:t>
            </w:r>
          </w:p>
        </w:tc>
        <w:tc>
          <w:tcPr>
            <w:tcW w:w="241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名称</w:t>
            </w:r>
          </w:p>
        </w:tc>
        <w:tc>
          <w:tcPr>
            <w:tcW w:w="28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型号规格</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单位</w:t>
            </w:r>
          </w:p>
        </w:tc>
        <w:tc>
          <w:tcPr>
            <w:tcW w:w="9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数量</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氧弹杯</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友欣</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3</w:t>
            </w:r>
          </w:p>
        </w:tc>
      </w:tr>
      <w:tr>
        <w:tblPrEx>
          <w:tblCellMar>
            <w:top w:w="0" w:type="dxa"/>
            <w:left w:w="108" w:type="dxa"/>
            <w:bottom w:w="0" w:type="dxa"/>
            <w:right w:w="108" w:type="dxa"/>
          </w:tblCellMar>
        </w:tblPrEx>
        <w:trPr>
          <w:trHeight w:val="531"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离子色谱抑制器</w:t>
            </w:r>
          </w:p>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SP6949 ASRS300(4mm)</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赛默飞ICS-600</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3</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离子色谱单向阀</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赛默飞045994</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4</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离子色谱泵密封圈</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赛默飞ICS-600</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5</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离子色谱柱塞杆</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赛默飞052840</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463"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6</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离子色谱仪保护柱</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064147 AG23 4X50mm</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r>
      <w:tr>
        <w:tblPrEx>
          <w:tblCellMar>
            <w:top w:w="0" w:type="dxa"/>
            <w:left w:w="108" w:type="dxa"/>
            <w:bottom w:w="0" w:type="dxa"/>
            <w:right w:w="108" w:type="dxa"/>
          </w:tblCellMar>
        </w:tblPrEx>
        <w:trPr>
          <w:trHeight w:val="531"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7</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离子色谱仪分析柱</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064149 AS23 4X250mm</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r>
      <w:tr>
        <w:tblPrEx>
          <w:tblCellMar>
            <w:top w:w="0" w:type="dxa"/>
            <w:left w:w="108" w:type="dxa"/>
            <w:bottom w:w="0" w:type="dxa"/>
            <w:right w:w="108" w:type="dxa"/>
          </w:tblCellMar>
        </w:tblPrEx>
        <w:trPr>
          <w:trHeight w:val="531"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8</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离子色谱仪六通</w:t>
            </w:r>
          </w:p>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阀定子转子</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75973</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9</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离子色谱仪主板</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ICS-600</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10</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离子色谱仪进样管</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ICS-600（250个）</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盒</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11</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ICP普通矩管</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  BRE0012328</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 xml:space="preserve">个 </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12</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ICP普通中心管（石英）</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  DRE0019895</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 xml:space="preserve">个 </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13</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赛默飞标液</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瓶</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337"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14</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分子筛BRE0019483</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r>
        <w:tblPrEx>
          <w:tblCellMar>
            <w:top w:w="0" w:type="dxa"/>
            <w:left w:w="108" w:type="dxa"/>
            <w:bottom w:w="0" w:type="dxa"/>
            <w:right w:w="108" w:type="dxa"/>
          </w:tblCellMar>
        </w:tblPrEx>
        <w:trPr>
          <w:trHeight w:val="555" w:hRule="atLeast"/>
        </w:trPr>
        <w:tc>
          <w:tcPr>
            <w:tcW w:w="977"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15</w:t>
            </w:r>
          </w:p>
        </w:tc>
        <w:tc>
          <w:tcPr>
            <w:tcW w:w="241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雾化器</w:t>
            </w:r>
          </w:p>
        </w:tc>
        <w:tc>
          <w:tcPr>
            <w:tcW w:w="28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赛默飞842312051431</w:t>
            </w:r>
          </w:p>
        </w:tc>
        <w:tc>
          <w:tcPr>
            <w:tcW w:w="10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9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r>
    </w:tbl>
    <w:p>
      <w:pPr>
        <w:pStyle w:val="7"/>
        <w:numPr>
          <w:ilvl w:val="0"/>
          <w:numId w:val="0"/>
        </w:numPr>
        <w:ind w:firstLine="482" w:firstLineChars="200"/>
        <w:rPr>
          <w:rFonts w:hint="default" w:ascii="宋体" w:hAnsi="Arial" w:cs="Arial" w:eastAsiaTheme="minorEastAsia"/>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四、服务要求</w:t>
      </w:r>
    </w:p>
    <w:p>
      <w:pPr>
        <w:pStyle w:val="8"/>
        <w:numPr>
          <w:ilvl w:val="0"/>
          <w:numId w:val="0"/>
        </w:numPr>
        <w:ind w:firstLine="480" w:firstLineChars="200"/>
        <w:rPr>
          <w:rFonts w:hint="eastAsia"/>
          <w:color w:val="auto"/>
          <w:lang w:val="en-US" w:eastAsia="zh-CN"/>
        </w:rPr>
      </w:pPr>
      <w:r>
        <w:rPr>
          <w:rFonts w:hint="eastAsia"/>
          <w:color w:val="auto"/>
          <w:lang w:val="en-US" w:eastAsia="zh-CN"/>
        </w:rPr>
        <w:t>1.仪器设备的定期维护保养、检定、校准。主要对设备的性能、数据的标定、基本易损件和耗材的更换维护、人员的使用培训等进行服务；</w:t>
      </w:r>
    </w:p>
    <w:p>
      <w:pPr>
        <w:pStyle w:val="8"/>
        <w:numPr>
          <w:ilvl w:val="0"/>
          <w:numId w:val="0"/>
        </w:numPr>
        <w:ind w:firstLine="480" w:firstLineChars="200"/>
        <w:rPr>
          <w:rFonts w:hint="eastAsia"/>
          <w:color w:val="auto"/>
          <w:lang w:val="en-US" w:eastAsia="zh-CN"/>
        </w:rPr>
      </w:pPr>
      <w:r>
        <w:rPr>
          <w:rFonts w:hint="eastAsia"/>
          <w:color w:val="auto"/>
          <w:lang w:val="en-US" w:eastAsia="zh-CN"/>
        </w:rPr>
        <w:t>2.仪器设备的故障处理，部分易损件更换，具体易损件详见设备主要易损件清单，更换前跟采购人进行《维修保养记录单》确认，按照合同价款进行结算，易损件的更换和采购在维修保养记录中需体现；</w:t>
      </w:r>
    </w:p>
    <w:p>
      <w:pPr>
        <w:pStyle w:val="8"/>
        <w:numPr>
          <w:ilvl w:val="0"/>
          <w:numId w:val="0"/>
        </w:numPr>
        <w:ind w:firstLine="480" w:firstLineChars="200"/>
        <w:rPr>
          <w:rFonts w:hint="eastAsia"/>
          <w:color w:val="auto"/>
          <w:lang w:val="en-US" w:eastAsia="zh-CN"/>
        </w:rPr>
      </w:pPr>
      <w:r>
        <w:rPr>
          <w:rFonts w:hint="eastAsia"/>
          <w:color w:val="auto"/>
          <w:lang w:val="en-US" w:eastAsia="zh-CN"/>
        </w:rPr>
        <w:t>3.本项目应当有确定的项目经理和专职维修人员，维保电话必须保证有人接听，须提供不小于两个人的手机号码（全天24小时不关机）和一个固定电话号码；</w:t>
      </w:r>
    </w:p>
    <w:p>
      <w:pPr>
        <w:pStyle w:val="8"/>
        <w:numPr>
          <w:ilvl w:val="0"/>
          <w:numId w:val="0"/>
        </w:numPr>
        <w:ind w:firstLine="480" w:firstLineChars="200"/>
        <w:rPr>
          <w:rFonts w:hint="eastAsia"/>
          <w:color w:val="auto"/>
          <w:lang w:val="en-US" w:eastAsia="zh-CN"/>
        </w:rPr>
      </w:pPr>
      <w:r>
        <w:rPr>
          <w:rFonts w:hint="eastAsia"/>
          <w:color w:val="auto"/>
          <w:lang w:val="en-US" w:eastAsia="zh-CN"/>
        </w:rPr>
        <w:t>4.保证服务期内所有维保仪器设备的单次故障停机时间不得超过一周。故障在通过电话、网络沟通指导后仍无法修复的，应派人赴现场修理；</w:t>
      </w:r>
    </w:p>
    <w:p>
      <w:pPr>
        <w:pStyle w:val="8"/>
        <w:numPr>
          <w:ilvl w:val="0"/>
          <w:numId w:val="0"/>
        </w:numPr>
        <w:ind w:firstLine="480" w:firstLineChars="200"/>
        <w:rPr>
          <w:rFonts w:hint="eastAsia"/>
          <w:color w:val="auto"/>
          <w:lang w:val="en-US" w:eastAsia="zh-CN"/>
        </w:rPr>
      </w:pPr>
      <w:r>
        <w:rPr>
          <w:rFonts w:hint="eastAsia"/>
          <w:color w:val="auto"/>
          <w:lang w:val="en-US" w:eastAsia="zh-CN"/>
        </w:rPr>
        <w:t>5.在采购人通知的重要检测前有相应的故障防范措施，保证设备正常运行；</w:t>
      </w:r>
    </w:p>
    <w:p>
      <w:pPr>
        <w:pStyle w:val="8"/>
        <w:numPr>
          <w:ilvl w:val="0"/>
          <w:numId w:val="0"/>
        </w:numPr>
        <w:ind w:firstLine="480" w:firstLineChars="200"/>
        <w:rPr>
          <w:rFonts w:hint="eastAsia"/>
          <w:color w:val="auto"/>
          <w:lang w:val="en-US" w:eastAsia="zh-CN"/>
        </w:rPr>
      </w:pPr>
      <w:r>
        <w:rPr>
          <w:rFonts w:hint="eastAsia"/>
          <w:color w:val="auto"/>
          <w:lang w:val="en-US" w:eastAsia="zh-CN"/>
        </w:rPr>
        <w:t>6.必须制定详细的维保计划，明确日常维护保养内容和时间表；</w:t>
      </w:r>
    </w:p>
    <w:p>
      <w:pPr>
        <w:pStyle w:val="8"/>
        <w:numPr>
          <w:ilvl w:val="0"/>
          <w:numId w:val="0"/>
        </w:numPr>
        <w:ind w:firstLine="480" w:firstLineChars="200"/>
        <w:rPr>
          <w:rFonts w:hint="eastAsia"/>
          <w:color w:val="auto"/>
          <w:lang w:val="en-US" w:eastAsia="zh-CN"/>
        </w:rPr>
      </w:pPr>
      <w:r>
        <w:rPr>
          <w:rFonts w:hint="eastAsia"/>
          <w:color w:val="auto"/>
          <w:lang w:val="en-US" w:eastAsia="zh-CN"/>
        </w:rPr>
        <w:t>7.必须提供维保服务组织实施方案，包括日常维护的组织、联系和协调、记录和报告、验收与确认；紧急抢修的通知、组织到达、现场协调、实施抢修、记录和报告、验收与确认。关键检测前的仪器故障防范、人员组织落实、措施方案。</w:t>
      </w:r>
    </w:p>
    <w:p>
      <w:pPr>
        <w:pStyle w:val="8"/>
        <w:numPr>
          <w:ilvl w:val="0"/>
          <w:numId w:val="0"/>
        </w:numPr>
        <w:ind w:firstLine="482" w:firstLineChars="200"/>
        <w:rPr>
          <w:rFonts w:hint="default"/>
          <w:b/>
          <w:bCs/>
          <w:color w:val="auto"/>
          <w:lang w:val="en-US" w:eastAsia="zh-CN"/>
        </w:rPr>
      </w:pPr>
      <w:r>
        <w:rPr>
          <w:rFonts w:hint="eastAsia"/>
          <w:b/>
          <w:bCs/>
          <w:color w:val="auto"/>
          <w:lang w:val="en-US" w:eastAsia="zh-CN"/>
        </w:rPr>
        <w:t>8.易损件更换要求</w:t>
      </w:r>
    </w:p>
    <w:p>
      <w:pPr>
        <w:spacing w:line="500" w:lineRule="exact"/>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8.1</w:t>
      </w:r>
      <w:r>
        <w:rPr>
          <w:rFonts w:hint="eastAsia" w:ascii="宋体" w:hAnsi="Times New Roman" w:cs="Times New Roman" w:eastAsiaTheme="minorEastAsia"/>
          <w:snapToGrid/>
          <w:color w:val="auto"/>
          <w:kern w:val="2"/>
          <w:sz w:val="24"/>
          <w:szCs w:val="20"/>
          <w:lang w:val="en-US" w:eastAsia="zh-CN" w:bidi="ar-SA"/>
        </w:rPr>
        <w:t>维护保养期内，如需更换易损件</w:t>
      </w:r>
      <w:r>
        <w:rPr>
          <w:rFonts w:hint="eastAsia" w:ascii="宋体" w:hAnsi="Times New Roman" w:cs="Times New Roman"/>
          <w:snapToGrid/>
          <w:color w:val="auto"/>
          <w:kern w:val="2"/>
          <w:sz w:val="24"/>
          <w:szCs w:val="20"/>
          <w:lang w:val="en-US" w:eastAsia="zh-CN" w:bidi="ar-SA"/>
        </w:rPr>
        <w:t>和耗材</w:t>
      </w:r>
      <w:r>
        <w:rPr>
          <w:rFonts w:hint="eastAsia" w:ascii="宋体" w:hAnsi="Times New Roman" w:cs="Times New Roman" w:eastAsiaTheme="minorEastAsia"/>
          <w:snapToGrid/>
          <w:color w:val="auto"/>
          <w:kern w:val="2"/>
          <w:sz w:val="24"/>
          <w:szCs w:val="20"/>
          <w:lang w:val="en-US" w:eastAsia="zh-CN" w:bidi="ar-SA"/>
        </w:rPr>
        <w:t>时，</w:t>
      </w:r>
      <w:r>
        <w:rPr>
          <w:rFonts w:hint="eastAsia" w:ascii="宋体" w:hAnsi="Times New Roman"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应向采购人报送需更换的备件清单，经采购人同意批准后方可更换，更换</w:t>
      </w:r>
      <w:r>
        <w:rPr>
          <w:rFonts w:hint="eastAsia" w:ascii="宋体" w:hAnsi="Times New Roman" w:cs="Times New Roman"/>
          <w:snapToGrid/>
          <w:color w:val="auto"/>
          <w:kern w:val="2"/>
          <w:sz w:val="24"/>
          <w:szCs w:val="20"/>
          <w:lang w:val="en-US" w:eastAsia="zh-CN" w:bidi="ar-SA"/>
        </w:rPr>
        <w:t>易损件和耗材</w:t>
      </w:r>
      <w:r>
        <w:rPr>
          <w:rFonts w:hint="eastAsia" w:ascii="宋体" w:hAnsi="Times New Roman" w:cs="Times New Roman" w:eastAsiaTheme="minorEastAsia"/>
          <w:snapToGrid/>
          <w:color w:val="auto"/>
          <w:kern w:val="2"/>
          <w:sz w:val="24"/>
          <w:szCs w:val="20"/>
          <w:lang w:val="en-US" w:eastAsia="zh-CN" w:bidi="ar-SA"/>
        </w:rPr>
        <w:t>的需要在7天内完成安装，并能正常使用。单价在500元以内（含500元）的直接更换不再额外收取费用</w:t>
      </w:r>
      <w:r>
        <w:rPr>
          <w:rFonts w:hint="eastAsia" w:ascii="宋体" w:hAnsi="Times New Roman" w:cs="Times New Roman"/>
          <w:snapToGrid/>
          <w:color w:val="auto"/>
          <w:kern w:val="2"/>
          <w:sz w:val="24"/>
          <w:szCs w:val="20"/>
          <w:lang w:val="en-US" w:eastAsia="zh-CN" w:bidi="ar-SA"/>
        </w:rPr>
        <w:t>；</w:t>
      </w:r>
      <w:r>
        <w:rPr>
          <w:rFonts w:hint="eastAsia" w:ascii="宋体" w:hAnsi="Times New Roman" w:cs="Times New Roman" w:eastAsiaTheme="minorEastAsia"/>
          <w:snapToGrid/>
          <w:color w:val="auto"/>
          <w:kern w:val="2"/>
          <w:sz w:val="24"/>
          <w:szCs w:val="20"/>
          <w:lang w:val="en-US" w:eastAsia="zh-CN" w:bidi="ar-SA"/>
        </w:rPr>
        <w:t>单价在500元以上的备件按照易损件清单内的价格按需更换、按实结算。（易损件清单内的备件价格为更换备件的综合价格，含税、工时费、车辆费、工具费等所有费用。）清单之外（超500元的配件）由采购人提供，安装、维修由</w:t>
      </w:r>
      <w:r>
        <w:rPr>
          <w:rFonts w:hint="eastAsia" w:ascii="宋体" w:hAnsi="Times New Roman"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承担，工时费不另外支付，但若因维修工时超过24个工时，工时费双方协商解决</w:t>
      </w:r>
      <w:r>
        <w:rPr>
          <w:rFonts w:hint="eastAsia" w:ascii="宋体" w:hAnsi="Times New Roman" w:cs="Times New Roman"/>
          <w:snapToGrid/>
          <w:color w:val="auto"/>
          <w:kern w:val="2"/>
          <w:sz w:val="24"/>
          <w:szCs w:val="20"/>
          <w:lang w:val="en-US" w:eastAsia="zh-CN" w:bidi="ar-SA"/>
        </w:rPr>
        <w:t>；</w:t>
      </w:r>
    </w:p>
    <w:p>
      <w:pPr>
        <w:spacing w:line="500" w:lineRule="exact"/>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8.2</w:t>
      </w:r>
      <w:r>
        <w:rPr>
          <w:rFonts w:hint="eastAsia" w:ascii="宋体" w:hAnsi="Times New Roman" w:cs="Times New Roman" w:eastAsiaTheme="minorEastAsia"/>
          <w:snapToGrid/>
          <w:color w:val="auto"/>
          <w:kern w:val="2"/>
          <w:sz w:val="24"/>
          <w:szCs w:val="20"/>
          <w:lang w:val="en-US" w:eastAsia="zh-CN" w:bidi="ar-SA"/>
        </w:rPr>
        <w:t>日常</w:t>
      </w:r>
      <w:r>
        <w:rPr>
          <w:rFonts w:hint="eastAsia" w:ascii="宋体" w:hAnsi="Times New Roman" w:cs="Times New Roman"/>
          <w:snapToGrid/>
          <w:color w:val="auto"/>
          <w:kern w:val="2"/>
          <w:sz w:val="24"/>
          <w:szCs w:val="20"/>
          <w:lang w:val="en-US" w:eastAsia="zh-CN" w:bidi="ar-SA"/>
        </w:rPr>
        <w:t>易损件（500元以上）</w:t>
      </w:r>
      <w:r>
        <w:rPr>
          <w:rFonts w:hint="eastAsia" w:ascii="宋体" w:hAnsi="Times New Roman" w:cs="Times New Roman" w:eastAsiaTheme="minorEastAsia"/>
          <w:snapToGrid/>
          <w:color w:val="auto"/>
          <w:kern w:val="2"/>
          <w:sz w:val="24"/>
          <w:szCs w:val="20"/>
          <w:lang w:val="en-US" w:eastAsia="zh-CN" w:bidi="ar-SA"/>
        </w:rPr>
        <w:t>需要更换前跟采购人进行确认，按照清单价格进行按实结算。</w:t>
      </w:r>
    </w:p>
    <w:p>
      <w:pPr>
        <w:pStyle w:val="7"/>
        <w:numPr>
          <w:ilvl w:val="0"/>
          <w:numId w:val="0"/>
        </w:numPr>
        <w:ind w:firstLine="482" w:firstLineChars="200"/>
        <w:rPr>
          <w:rFonts w:hint="eastAsia" w:ascii="宋体" w:hAnsi="Arial" w:cs="Arial" w:eastAsiaTheme="minorEastAsia"/>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技术要求</w:t>
      </w:r>
    </w:p>
    <w:p>
      <w:pPr>
        <w:pStyle w:val="8"/>
        <w:numPr>
          <w:ilvl w:val="0"/>
          <w:numId w:val="0"/>
        </w:numPr>
        <w:ind w:firstLine="480" w:firstLineChars="200"/>
        <w:rPr>
          <w:rFonts w:hint="eastAsia"/>
          <w:color w:val="auto"/>
          <w:lang w:val="en-US" w:eastAsia="zh-CN"/>
        </w:rPr>
      </w:pPr>
      <w:r>
        <w:rPr>
          <w:rFonts w:hint="eastAsia"/>
          <w:color w:val="auto"/>
          <w:lang w:val="en-US" w:eastAsia="zh-CN"/>
        </w:rPr>
        <w:t>1.必须负责所维保的仪器技术指标达到设备铭牌和性能说明书标示技术功能和指标数值并满足国家或行业有关技术标准要求；</w:t>
      </w:r>
    </w:p>
    <w:p>
      <w:pPr>
        <w:pStyle w:val="8"/>
        <w:numPr>
          <w:ilvl w:val="0"/>
          <w:numId w:val="0"/>
        </w:numPr>
        <w:ind w:firstLine="480" w:firstLineChars="200"/>
        <w:rPr>
          <w:rFonts w:hint="eastAsia"/>
          <w:color w:val="auto"/>
          <w:lang w:val="en-US" w:eastAsia="zh-CN"/>
        </w:rPr>
      </w:pPr>
      <w:r>
        <w:rPr>
          <w:rFonts w:hint="eastAsia"/>
          <w:color w:val="auto"/>
          <w:lang w:val="en-US" w:eastAsia="zh-CN"/>
        </w:rPr>
        <w:t>2.定期和不定期检查测量仪器主要性能参数；</w:t>
      </w:r>
    </w:p>
    <w:p>
      <w:pPr>
        <w:pStyle w:val="8"/>
        <w:numPr>
          <w:ilvl w:val="0"/>
          <w:numId w:val="0"/>
        </w:numPr>
        <w:ind w:firstLine="480" w:firstLineChars="200"/>
        <w:rPr>
          <w:rFonts w:hint="eastAsia"/>
          <w:color w:val="auto"/>
          <w:lang w:val="en-US" w:eastAsia="zh-CN"/>
        </w:rPr>
      </w:pPr>
      <w:r>
        <w:rPr>
          <w:rFonts w:hint="eastAsia"/>
          <w:color w:val="auto"/>
          <w:lang w:val="en-US" w:eastAsia="zh-CN"/>
        </w:rPr>
        <w:t>3.按仪器操作使用手册规定定期和不定期检查维护。</w:t>
      </w:r>
    </w:p>
    <w:p>
      <w:pPr>
        <w:pStyle w:val="7"/>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六</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pPr>
        <w:pStyle w:val="8"/>
        <w:numPr>
          <w:ilvl w:val="0"/>
          <w:numId w:val="0"/>
        </w:numPr>
        <w:ind w:firstLine="480" w:firstLineChars="200"/>
        <w:rPr>
          <w:rFonts w:hint="eastAsia"/>
          <w:color w:val="auto"/>
          <w:lang w:val="en-US" w:eastAsia="zh-CN"/>
        </w:rPr>
      </w:pPr>
      <w:r>
        <w:rPr>
          <w:rFonts w:hint="eastAsia"/>
          <w:color w:val="auto"/>
          <w:lang w:val="en-US" w:eastAsia="zh-CN"/>
        </w:rPr>
        <w:t>1.供应商在每次进行保养或维修服务时需要有采购人陪同，采购人对照维保方案现场检查项目是否符合采购人要求，双方在维保确认单及更换备件确认单上签字确认后验收合格；</w:t>
      </w:r>
    </w:p>
    <w:p>
      <w:pPr>
        <w:pStyle w:val="8"/>
        <w:numPr>
          <w:ilvl w:val="0"/>
          <w:numId w:val="0"/>
        </w:numPr>
        <w:ind w:firstLine="480" w:firstLineChars="200"/>
        <w:rPr>
          <w:rFonts w:hint="eastAsia"/>
          <w:color w:val="auto"/>
          <w:lang w:val="en-US" w:eastAsia="zh-CN"/>
        </w:rPr>
      </w:pPr>
      <w:r>
        <w:rPr>
          <w:rFonts w:hint="eastAsia"/>
          <w:color w:val="auto"/>
          <w:lang w:val="en-US" w:eastAsia="zh-CN"/>
        </w:rPr>
        <w:t>2.易损备件和耗材产品质量要求：要求保证为正品，附带产品合格证。产品外包装上应有生产厂名、产品名称、商标、标志。</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七、结算方式</w:t>
      </w:r>
    </w:p>
    <w:p>
      <w:pPr>
        <w:spacing w:line="500" w:lineRule="exact"/>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1.按实际维保次数支付维保费；</w:t>
      </w:r>
      <w:r>
        <w:rPr>
          <w:rFonts w:hint="eastAsia" w:ascii="宋体" w:hAnsi="Arial" w:cs="Arial"/>
          <w:snapToGrid w:val="0"/>
          <w:color w:val="auto"/>
          <w:kern w:val="2"/>
          <w:sz w:val="24"/>
          <w:szCs w:val="21"/>
          <w:lang w:val="en-US" w:eastAsia="zh-CN" w:bidi="ar-SA"/>
        </w:rPr>
        <w:t>耗材、易损件</w:t>
      </w:r>
      <w:r>
        <w:rPr>
          <w:rFonts w:hint="eastAsia" w:ascii="宋体" w:hAnsi="Arial" w:cs="Arial" w:eastAsiaTheme="minorEastAsia"/>
          <w:snapToGrid w:val="0"/>
          <w:color w:val="auto"/>
          <w:kern w:val="2"/>
          <w:sz w:val="24"/>
          <w:szCs w:val="21"/>
          <w:lang w:val="en-US" w:eastAsia="zh-CN" w:bidi="ar-SA"/>
        </w:rPr>
        <w:t>备件维修费用以备件（单价500元以上）单项单价为结算依据，按实结算；</w:t>
      </w:r>
    </w:p>
    <w:p>
      <w:pPr>
        <w:spacing w:line="500" w:lineRule="exact"/>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维保费包含了所有工时费、技术服务费、交通费、工具费、运输费、税费等维保过程中产生的一切费用</w:t>
      </w:r>
      <w:r>
        <w:rPr>
          <w:rFonts w:hint="eastAsia" w:ascii="宋体" w:hAnsi="Arial" w:cs="Arial"/>
          <w:snapToGrid w:val="0"/>
          <w:color w:val="auto"/>
          <w:kern w:val="2"/>
          <w:sz w:val="24"/>
          <w:szCs w:val="21"/>
          <w:lang w:val="en-US" w:eastAsia="zh-CN" w:bidi="ar-SA"/>
        </w:rPr>
        <w:t>；</w:t>
      </w:r>
    </w:p>
    <w:p>
      <w:pPr>
        <w:pStyle w:val="8"/>
        <w:ind w:left="0" w:leftChars="0" w:firstLine="480" w:firstLineChars="200"/>
        <w:rPr>
          <w:rFonts w:hint="eastAsia"/>
          <w:b w:val="0"/>
          <w:bCs w:val="0"/>
          <w:color w:val="auto"/>
          <w:lang w:val="en-US" w:eastAsia="zh-CN"/>
        </w:rPr>
      </w:pPr>
      <w:r>
        <w:rPr>
          <w:rFonts w:hint="eastAsia" w:hAnsi="Arial" w:cs="Arial"/>
          <w:snapToGrid w:val="0"/>
          <w:color w:val="auto"/>
          <w:kern w:val="2"/>
          <w:sz w:val="24"/>
          <w:szCs w:val="21"/>
          <w:lang w:val="en-US" w:eastAsia="zh-CN" w:bidi="ar-SA"/>
        </w:rPr>
        <w:t>3.具体</w:t>
      </w:r>
      <w:r>
        <w:rPr>
          <w:rFonts w:hint="eastAsia" w:ascii="宋体" w:hAnsi="Arial" w:cs="Arial" w:eastAsiaTheme="minorEastAsia"/>
          <w:snapToGrid w:val="0"/>
          <w:color w:val="auto"/>
          <w:kern w:val="2"/>
          <w:sz w:val="24"/>
          <w:szCs w:val="21"/>
          <w:lang w:val="en-US" w:eastAsia="zh-CN" w:bidi="ar-SA"/>
        </w:rPr>
        <w:t>以本询价采购文件中的合同条款为准。</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八、售后要求</w:t>
      </w:r>
    </w:p>
    <w:p>
      <w:pPr>
        <w:pStyle w:val="7"/>
        <w:numPr>
          <w:ilvl w:val="0"/>
          <w:numId w:val="0"/>
        </w:numPr>
        <w:ind w:firstLine="480" w:firstLineChars="200"/>
        <w:rPr>
          <w:rFonts w:hint="eastAsia"/>
          <w:color w:val="auto"/>
          <w:lang w:val="en-US" w:eastAsia="zh-CN"/>
        </w:rPr>
      </w:pPr>
      <w:r>
        <w:rPr>
          <w:rFonts w:hint="eastAsia"/>
          <w:color w:val="auto"/>
          <w:lang w:val="en-US" w:eastAsia="zh-CN"/>
        </w:rPr>
        <w:t>1.采购人不再对任何售后服务进行付费。供应商的派遣人员产生的一切费用由供应商承担；</w:t>
      </w:r>
    </w:p>
    <w:p>
      <w:pPr>
        <w:pStyle w:val="7"/>
        <w:numPr>
          <w:ilvl w:val="0"/>
          <w:numId w:val="0"/>
        </w:numPr>
        <w:ind w:firstLine="480" w:firstLineChars="200"/>
        <w:rPr>
          <w:rFonts w:hint="eastAsia"/>
          <w:color w:val="auto"/>
          <w:lang w:val="en-US" w:eastAsia="zh-CN"/>
        </w:rPr>
      </w:pPr>
      <w:r>
        <w:rPr>
          <w:rFonts w:hint="eastAsia"/>
          <w:color w:val="auto"/>
          <w:lang w:val="en-US" w:eastAsia="zh-CN"/>
        </w:rPr>
        <w:t>2.维保方对采购人提供的所有业务技术资料、文档，有责任对第三方保密。</w:t>
      </w: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298"/>
      <w:bookmarkEnd w:id="19"/>
      <w:bookmarkStart w:id="20" w:name="_Toc184314482"/>
      <w:bookmarkEnd w:id="20"/>
      <w:bookmarkStart w:id="21" w:name="_Toc184313271"/>
      <w:bookmarkEnd w:id="21"/>
      <w:bookmarkStart w:id="22" w:name="_Toc184310295"/>
      <w:bookmarkEnd w:id="22"/>
      <w:bookmarkStart w:id="23" w:name="_Toc184314428"/>
      <w:bookmarkEnd w:id="23"/>
      <w:bookmarkStart w:id="24" w:name="_Toc184308068"/>
      <w:bookmarkEnd w:id="24"/>
      <w:bookmarkStart w:id="25" w:name="_Toc184313262"/>
      <w:bookmarkEnd w:id="25"/>
      <w:bookmarkStart w:id="26" w:name="_Toc184308057"/>
      <w:bookmarkEnd w:id="26"/>
      <w:bookmarkStart w:id="27" w:name="_Toc184314416"/>
      <w:bookmarkEnd w:id="27"/>
      <w:bookmarkStart w:id="28" w:name="_Toc184312133"/>
      <w:bookmarkEnd w:id="28"/>
      <w:bookmarkStart w:id="29" w:name="_Toc184310285"/>
      <w:bookmarkEnd w:id="29"/>
      <w:bookmarkStart w:id="30" w:name="_Toc184312099"/>
      <w:bookmarkEnd w:id="30"/>
      <w:bookmarkStart w:id="31" w:name="_Toc184312100"/>
      <w:bookmarkEnd w:id="31"/>
      <w:bookmarkStart w:id="32" w:name="_Toc184313238"/>
      <w:bookmarkEnd w:id="32"/>
      <w:bookmarkStart w:id="33" w:name="_Toc184308045"/>
      <w:bookmarkEnd w:id="33"/>
      <w:bookmarkStart w:id="34" w:name="_Toc184312136"/>
      <w:bookmarkEnd w:id="34"/>
      <w:bookmarkStart w:id="35" w:name="_Toc184308050"/>
      <w:bookmarkEnd w:id="35"/>
      <w:bookmarkStart w:id="36" w:name="_Toc184310282"/>
      <w:bookmarkEnd w:id="36"/>
      <w:bookmarkStart w:id="37" w:name="_Toc184310340"/>
      <w:bookmarkEnd w:id="37"/>
      <w:bookmarkStart w:id="38" w:name="_Toc184310288"/>
      <w:bookmarkEnd w:id="38"/>
      <w:bookmarkStart w:id="39" w:name="_Toc184313242"/>
      <w:bookmarkEnd w:id="39"/>
      <w:bookmarkStart w:id="40" w:name="_Toc184310277"/>
      <w:bookmarkEnd w:id="40"/>
      <w:bookmarkStart w:id="41" w:name="_Toc184310275"/>
      <w:bookmarkEnd w:id="41"/>
      <w:bookmarkStart w:id="42" w:name="_Toc184310284"/>
      <w:bookmarkEnd w:id="42"/>
      <w:bookmarkStart w:id="43" w:name="_Toc184313255"/>
      <w:bookmarkEnd w:id="43"/>
      <w:bookmarkStart w:id="44" w:name="_Toc184308101"/>
      <w:bookmarkEnd w:id="44"/>
      <w:bookmarkStart w:id="45" w:name="_Toc184312121"/>
      <w:bookmarkEnd w:id="45"/>
      <w:bookmarkStart w:id="46" w:name="_Toc184310328"/>
      <w:bookmarkEnd w:id="46"/>
      <w:bookmarkStart w:id="47" w:name="_Toc184313278"/>
      <w:bookmarkEnd w:id="47"/>
      <w:bookmarkStart w:id="48" w:name="_Toc184314471"/>
      <w:bookmarkEnd w:id="48"/>
      <w:bookmarkStart w:id="49" w:name="_Toc184310286"/>
      <w:bookmarkEnd w:id="49"/>
      <w:bookmarkStart w:id="50" w:name="_Toc184314451"/>
      <w:bookmarkEnd w:id="50"/>
      <w:bookmarkStart w:id="51" w:name="_Toc184312102"/>
      <w:bookmarkEnd w:id="51"/>
      <w:bookmarkStart w:id="52" w:name="_Toc184310320"/>
      <w:bookmarkEnd w:id="52"/>
      <w:bookmarkStart w:id="53" w:name="_Toc184308087"/>
      <w:bookmarkEnd w:id="53"/>
      <w:bookmarkStart w:id="54" w:name="_Toc184313291"/>
      <w:bookmarkEnd w:id="54"/>
      <w:bookmarkStart w:id="55" w:name="_Toc184310331"/>
      <w:bookmarkEnd w:id="55"/>
      <w:bookmarkStart w:id="56" w:name="_Toc184310332"/>
      <w:bookmarkEnd w:id="56"/>
      <w:bookmarkStart w:id="57" w:name="_Toc184312126"/>
      <w:bookmarkEnd w:id="57"/>
      <w:bookmarkStart w:id="58" w:name="_Toc184310290"/>
      <w:bookmarkEnd w:id="58"/>
      <w:bookmarkStart w:id="59" w:name="_Toc184314445"/>
      <w:bookmarkEnd w:id="59"/>
      <w:bookmarkStart w:id="60" w:name="_Toc184308072"/>
      <w:bookmarkEnd w:id="60"/>
      <w:bookmarkStart w:id="61" w:name="_Toc184314435"/>
      <w:bookmarkEnd w:id="61"/>
      <w:bookmarkStart w:id="62" w:name="_Toc184310335"/>
      <w:bookmarkEnd w:id="62"/>
      <w:bookmarkStart w:id="63" w:name="_Toc184313250"/>
      <w:bookmarkEnd w:id="63"/>
      <w:bookmarkStart w:id="64" w:name="_Toc184314443"/>
      <w:bookmarkEnd w:id="64"/>
      <w:bookmarkStart w:id="65" w:name="_Toc184310299"/>
      <w:bookmarkEnd w:id="65"/>
      <w:bookmarkStart w:id="66" w:name="_Toc184308096"/>
      <w:bookmarkEnd w:id="66"/>
      <w:bookmarkStart w:id="67" w:name="_Toc184308080"/>
      <w:bookmarkEnd w:id="67"/>
      <w:bookmarkStart w:id="68" w:name="_Toc184312080"/>
      <w:bookmarkEnd w:id="68"/>
      <w:bookmarkStart w:id="69" w:name="_Toc184312077"/>
      <w:bookmarkEnd w:id="69"/>
      <w:bookmarkStart w:id="70" w:name="_Toc184313296"/>
      <w:bookmarkEnd w:id="70"/>
      <w:bookmarkStart w:id="71" w:name="_Toc184312074"/>
      <w:bookmarkEnd w:id="71"/>
      <w:bookmarkStart w:id="72" w:name="_Toc184310302"/>
      <w:bookmarkEnd w:id="72"/>
      <w:bookmarkStart w:id="73" w:name="_Toc184310287"/>
      <w:bookmarkEnd w:id="73"/>
      <w:bookmarkStart w:id="74" w:name="_Toc184308095"/>
      <w:bookmarkEnd w:id="74"/>
      <w:bookmarkStart w:id="75" w:name="_Toc184313254"/>
      <w:bookmarkEnd w:id="75"/>
      <w:bookmarkStart w:id="76" w:name="_Toc184313252"/>
      <w:bookmarkEnd w:id="76"/>
      <w:bookmarkStart w:id="77" w:name="_Toc184310305"/>
      <w:bookmarkEnd w:id="77"/>
      <w:bookmarkStart w:id="78" w:name="_Toc184308084"/>
      <w:bookmarkEnd w:id="78"/>
      <w:bookmarkStart w:id="79" w:name="_Toc184312070"/>
      <w:bookmarkEnd w:id="79"/>
      <w:bookmarkStart w:id="80" w:name="_Toc184308036"/>
      <w:bookmarkEnd w:id="80"/>
      <w:bookmarkStart w:id="81" w:name="_Toc184313251"/>
      <w:bookmarkEnd w:id="81"/>
      <w:bookmarkStart w:id="82" w:name="_Toc184308055"/>
      <w:bookmarkEnd w:id="82"/>
      <w:bookmarkStart w:id="83" w:name="_Toc184308061"/>
      <w:bookmarkEnd w:id="83"/>
      <w:bookmarkStart w:id="84" w:name="_Toc184310319"/>
      <w:bookmarkEnd w:id="84"/>
      <w:bookmarkStart w:id="85" w:name="_Toc184308073"/>
      <w:bookmarkEnd w:id="85"/>
      <w:bookmarkStart w:id="86" w:name="_Toc184313274"/>
      <w:bookmarkEnd w:id="86"/>
      <w:bookmarkStart w:id="87" w:name="_Toc184313302"/>
      <w:bookmarkEnd w:id="87"/>
      <w:bookmarkStart w:id="88" w:name="_Toc184308091"/>
      <w:bookmarkEnd w:id="88"/>
      <w:bookmarkStart w:id="89" w:name="_Toc184312086"/>
      <w:bookmarkEnd w:id="89"/>
      <w:bookmarkStart w:id="90" w:name="_Toc184312104"/>
      <w:bookmarkEnd w:id="90"/>
      <w:bookmarkStart w:id="91" w:name="_Toc184313280"/>
      <w:bookmarkEnd w:id="91"/>
      <w:bookmarkStart w:id="92" w:name="_Toc184310334"/>
      <w:bookmarkEnd w:id="92"/>
      <w:bookmarkStart w:id="93" w:name="_Toc184312127"/>
      <w:bookmarkEnd w:id="93"/>
      <w:bookmarkStart w:id="94" w:name="_Toc184310322"/>
      <w:bookmarkEnd w:id="94"/>
      <w:bookmarkStart w:id="95" w:name="_Toc184308093"/>
      <w:bookmarkEnd w:id="95"/>
      <w:bookmarkStart w:id="96" w:name="_Toc184313259"/>
      <w:bookmarkEnd w:id="96"/>
      <w:bookmarkStart w:id="97" w:name="_Toc184314452"/>
      <w:bookmarkEnd w:id="97"/>
      <w:bookmarkStart w:id="98" w:name="_Toc184312083"/>
      <w:bookmarkEnd w:id="98"/>
      <w:bookmarkStart w:id="99" w:name="_Toc184313292"/>
      <w:bookmarkEnd w:id="99"/>
      <w:bookmarkStart w:id="100" w:name="_Toc184314466"/>
      <w:bookmarkEnd w:id="100"/>
      <w:bookmarkStart w:id="101" w:name="_Toc184308104"/>
      <w:bookmarkEnd w:id="101"/>
      <w:bookmarkStart w:id="102" w:name="_Toc184314417"/>
      <w:bookmarkEnd w:id="102"/>
      <w:bookmarkStart w:id="103" w:name="_Toc184314456"/>
      <w:bookmarkEnd w:id="103"/>
      <w:bookmarkStart w:id="104" w:name="_Toc184312067"/>
      <w:bookmarkEnd w:id="104"/>
      <w:bookmarkStart w:id="105" w:name="_Toc184314438"/>
      <w:bookmarkEnd w:id="105"/>
      <w:bookmarkStart w:id="106" w:name="_Toc184310337"/>
      <w:bookmarkEnd w:id="106"/>
      <w:bookmarkStart w:id="107" w:name="_Toc184313265"/>
      <w:bookmarkEnd w:id="107"/>
      <w:bookmarkStart w:id="108" w:name="_Toc184312117"/>
      <w:bookmarkEnd w:id="108"/>
      <w:bookmarkStart w:id="109" w:name="_Toc184310311"/>
      <w:bookmarkEnd w:id="109"/>
      <w:bookmarkStart w:id="110" w:name="_Toc184308078"/>
      <w:bookmarkEnd w:id="110"/>
      <w:bookmarkStart w:id="111" w:name="_Toc184310339"/>
      <w:bookmarkEnd w:id="111"/>
      <w:bookmarkStart w:id="112" w:name="_Toc184312139"/>
      <w:bookmarkEnd w:id="112"/>
      <w:bookmarkStart w:id="113" w:name="_Toc184313285"/>
      <w:bookmarkEnd w:id="113"/>
      <w:bookmarkStart w:id="114" w:name="_Toc184312097"/>
      <w:bookmarkEnd w:id="114"/>
      <w:bookmarkStart w:id="115" w:name="_Toc184312103"/>
      <w:bookmarkEnd w:id="115"/>
      <w:bookmarkStart w:id="116" w:name="_Toc184314427"/>
      <w:bookmarkEnd w:id="116"/>
      <w:bookmarkStart w:id="117" w:name="_Toc184310333"/>
      <w:bookmarkEnd w:id="117"/>
      <w:bookmarkStart w:id="118" w:name="_Toc184310312"/>
      <w:bookmarkEnd w:id="118"/>
      <w:bookmarkStart w:id="119" w:name="_Toc184312106"/>
      <w:bookmarkEnd w:id="119"/>
      <w:bookmarkStart w:id="120" w:name="_Toc184312093"/>
      <w:bookmarkEnd w:id="120"/>
      <w:bookmarkStart w:id="121" w:name="_Toc184314419"/>
      <w:bookmarkEnd w:id="121"/>
      <w:bookmarkStart w:id="122" w:name="_Toc184314457"/>
      <w:bookmarkEnd w:id="122"/>
      <w:bookmarkStart w:id="123" w:name="_Toc184314442"/>
      <w:bookmarkEnd w:id="123"/>
      <w:bookmarkStart w:id="124" w:name="_Toc184314481"/>
      <w:bookmarkEnd w:id="124"/>
      <w:bookmarkStart w:id="125" w:name="_Toc184314469"/>
      <w:bookmarkEnd w:id="125"/>
      <w:bookmarkStart w:id="126" w:name="_Toc184314414"/>
      <w:bookmarkEnd w:id="126"/>
      <w:bookmarkStart w:id="127" w:name="_Toc184314455"/>
      <w:bookmarkEnd w:id="127"/>
      <w:bookmarkStart w:id="128" w:name="_Toc184314434"/>
      <w:bookmarkEnd w:id="128"/>
      <w:bookmarkStart w:id="129" w:name="_Toc184312092"/>
      <w:bookmarkEnd w:id="129"/>
      <w:bookmarkStart w:id="130" w:name="_Toc184310301"/>
      <w:bookmarkEnd w:id="130"/>
      <w:bookmarkStart w:id="131" w:name="_Toc184310324"/>
      <w:bookmarkEnd w:id="131"/>
      <w:bookmarkStart w:id="132" w:name="_Toc184312109"/>
      <w:bookmarkEnd w:id="132"/>
      <w:bookmarkStart w:id="133" w:name="_Toc184308107"/>
      <w:bookmarkEnd w:id="133"/>
      <w:bookmarkStart w:id="134" w:name="_Toc184310310"/>
      <w:bookmarkEnd w:id="134"/>
      <w:bookmarkStart w:id="135" w:name="_Toc184308102"/>
      <w:bookmarkEnd w:id="135"/>
      <w:bookmarkStart w:id="136" w:name="_Toc184314463"/>
      <w:bookmarkEnd w:id="136"/>
      <w:bookmarkStart w:id="137" w:name="_Toc184310307"/>
      <w:bookmarkEnd w:id="137"/>
      <w:bookmarkStart w:id="138" w:name="_Toc184312131"/>
      <w:bookmarkEnd w:id="138"/>
      <w:bookmarkStart w:id="139" w:name="_Toc184310336"/>
      <w:bookmarkEnd w:id="139"/>
      <w:bookmarkStart w:id="140" w:name="_Toc184314472"/>
      <w:bookmarkEnd w:id="140"/>
      <w:bookmarkStart w:id="141" w:name="_Toc184308071"/>
      <w:bookmarkEnd w:id="141"/>
      <w:bookmarkStart w:id="142" w:name="_Toc184310306"/>
      <w:bookmarkEnd w:id="142"/>
      <w:bookmarkStart w:id="143" w:name="_Toc184314473"/>
      <w:bookmarkEnd w:id="143"/>
      <w:bookmarkStart w:id="144" w:name="_Toc184313295"/>
      <w:bookmarkEnd w:id="144"/>
      <w:bookmarkStart w:id="145" w:name="_Toc184313261"/>
      <w:bookmarkEnd w:id="145"/>
      <w:bookmarkStart w:id="146" w:name="_Toc184313269"/>
      <w:bookmarkEnd w:id="146"/>
      <w:bookmarkStart w:id="147" w:name="_Toc184314476"/>
      <w:bookmarkEnd w:id="147"/>
      <w:bookmarkStart w:id="148" w:name="_Toc184308103"/>
      <w:bookmarkEnd w:id="148"/>
      <w:bookmarkStart w:id="149" w:name="_Toc184312095"/>
      <w:bookmarkEnd w:id="149"/>
      <w:bookmarkStart w:id="150" w:name="_Toc184312069"/>
      <w:bookmarkEnd w:id="150"/>
      <w:bookmarkStart w:id="151" w:name="_Toc184308094"/>
      <w:bookmarkEnd w:id="151"/>
      <w:bookmarkStart w:id="152" w:name="_Toc184312087"/>
      <w:bookmarkEnd w:id="152"/>
      <w:bookmarkStart w:id="153" w:name="_Toc184310317"/>
      <w:bookmarkEnd w:id="153"/>
      <w:bookmarkStart w:id="154" w:name="_Toc184308090"/>
      <w:bookmarkEnd w:id="154"/>
      <w:bookmarkStart w:id="155" w:name="_Toc184312122"/>
      <w:bookmarkEnd w:id="155"/>
      <w:bookmarkStart w:id="156" w:name="_Toc184308098"/>
      <w:bookmarkEnd w:id="156"/>
      <w:bookmarkStart w:id="157" w:name="_Toc184314448"/>
      <w:bookmarkEnd w:id="157"/>
      <w:bookmarkStart w:id="158" w:name="_Toc184312128"/>
      <w:bookmarkEnd w:id="158"/>
      <w:bookmarkStart w:id="159" w:name="_Toc184310294"/>
      <w:bookmarkEnd w:id="159"/>
      <w:bookmarkStart w:id="160" w:name="_Toc184308037"/>
      <w:bookmarkEnd w:id="160"/>
      <w:bookmarkStart w:id="161" w:name="_Toc184308099"/>
      <w:bookmarkEnd w:id="161"/>
      <w:bookmarkStart w:id="162" w:name="_Toc184313277"/>
      <w:bookmarkEnd w:id="162"/>
      <w:bookmarkStart w:id="163" w:name="_Toc184313290"/>
      <w:bookmarkEnd w:id="163"/>
      <w:bookmarkStart w:id="164" w:name="_Toc184308051"/>
      <w:bookmarkEnd w:id="164"/>
      <w:bookmarkStart w:id="165" w:name="_Toc184312101"/>
      <w:bookmarkEnd w:id="165"/>
      <w:bookmarkStart w:id="166" w:name="_Toc184314474"/>
      <w:bookmarkEnd w:id="166"/>
      <w:bookmarkStart w:id="167" w:name="_Toc184314477"/>
      <w:bookmarkEnd w:id="167"/>
      <w:bookmarkStart w:id="168" w:name="_Toc184310344"/>
      <w:bookmarkEnd w:id="168"/>
      <w:bookmarkStart w:id="169" w:name="_Toc184308083"/>
      <w:bookmarkEnd w:id="169"/>
      <w:bookmarkStart w:id="170" w:name="_Toc184313239"/>
      <w:bookmarkEnd w:id="170"/>
      <w:bookmarkStart w:id="171" w:name="_Toc184314441"/>
      <w:bookmarkEnd w:id="171"/>
      <w:bookmarkStart w:id="172" w:name="_Toc184313288"/>
      <w:bookmarkEnd w:id="172"/>
      <w:bookmarkStart w:id="173" w:name="_Toc184312072"/>
      <w:bookmarkEnd w:id="173"/>
      <w:bookmarkStart w:id="174" w:name="_Toc184314464"/>
      <w:bookmarkEnd w:id="174"/>
      <w:bookmarkStart w:id="175" w:name="_Toc184313306"/>
      <w:bookmarkEnd w:id="175"/>
      <w:bookmarkStart w:id="176" w:name="_Toc184310296"/>
      <w:bookmarkEnd w:id="176"/>
      <w:bookmarkStart w:id="177" w:name="_Toc184314412"/>
      <w:bookmarkEnd w:id="177"/>
      <w:bookmarkStart w:id="178" w:name="_Toc184308076"/>
      <w:bookmarkEnd w:id="178"/>
      <w:bookmarkStart w:id="179" w:name="_Toc184308039"/>
      <w:bookmarkEnd w:id="179"/>
      <w:bookmarkStart w:id="180" w:name="_Toc184312110"/>
      <w:bookmarkEnd w:id="180"/>
      <w:bookmarkStart w:id="181" w:name="_Toc184308046"/>
      <w:bookmarkEnd w:id="181"/>
      <w:bookmarkStart w:id="182" w:name="_Toc184310274"/>
      <w:bookmarkEnd w:id="182"/>
      <w:bookmarkStart w:id="183" w:name="_Toc184313284"/>
      <w:bookmarkEnd w:id="183"/>
      <w:bookmarkStart w:id="184" w:name="_Toc184310303"/>
      <w:bookmarkEnd w:id="184"/>
      <w:bookmarkStart w:id="185" w:name="_Toc184308056"/>
      <w:bookmarkEnd w:id="185"/>
      <w:bookmarkStart w:id="186" w:name="_Toc184312090"/>
      <w:bookmarkEnd w:id="186"/>
      <w:bookmarkStart w:id="187" w:name="_Toc184312088"/>
      <w:bookmarkEnd w:id="187"/>
      <w:bookmarkStart w:id="188" w:name="_Toc184312130"/>
      <w:bookmarkEnd w:id="188"/>
      <w:bookmarkStart w:id="189" w:name="_Toc184313267"/>
      <w:bookmarkEnd w:id="189"/>
      <w:bookmarkStart w:id="190" w:name="_Toc184313258"/>
      <w:bookmarkEnd w:id="190"/>
      <w:bookmarkStart w:id="191" w:name="_Toc184312113"/>
      <w:bookmarkEnd w:id="191"/>
      <w:bookmarkStart w:id="192" w:name="_Toc184314450"/>
      <w:bookmarkEnd w:id="192"/>
      <w:bookmarkStart w:id="193" w:name="_Toc184313308"/>
      <w:bookmarkEnd w:id="193"/>
      <w:bookmarkStart w:id="194" w:name="_Toc184314454"/>
      <w:bookmarkEnd w:id="194"/>
      <w:bookmarkStart w:id="195" w:name="_Toc184314480"/>
      <w:bookmarkEnd w:id="195"/>
      <w:bookmarkStart w:id="196" w:name="_Toc184308092"/>
      <w:bookmarkEnd w:id="196"/>
      <w:bookmarkStart w:id="197" w:name="_Toc184308097"/>
      <w:bookmarkEnd w:id="197"/>
      <w:bookmarkStart w:id="198" w:name="_Toc184314437"/>
      <w:bookmarkEnd w:id="198"/>
      <w:bookmarkStart w:id="199" w:name="_Toc184314422"/>
      <w:bookmarkEnd w:id="199"/>
      <w:bookmarkStart w:id="200" w:name="_Toc184310292"/>
      <w:bookmarkEnd w:id="200"/>
      <w:bookmarkStart w:id="201" w:name="_Toc184313241"/>
      <w:bookmarkEnd w:id="201"/>
      <w:bookmarkStart w:id="202" w:name="_Toc184313299"/>
      <w:bookmarkEnd w:id="202"/>
      <w:bookmarkStart w:id="203" w:name="_Toc184308064"/>
      <w:bookmarkEnd w:id="203"/>
      <w:bookmarkStart w:id="204" w:name="_Toc184312114"/>
      <w:bookmarkEnd w:id="204"/>
      <w:bookmarkStart w:id="205" w:name="_Toc184313272"/>
      <w:bookmarkEnd w:id="205"/>
      <w:bookmarkStart w:id="206" w:name="_Toc184308066"/>
      <w:bookmarkEnd w:id="206"/>
      <w:bookmarkStart w:id="207" w:name="_Toc184312073"/>
      <w:bookmarkEnd w:id="207"/>
      <w:bookmarkStart w:id="208" w:name="_Toc184313273"/>
      <w:bookmarkEnd w:id="208"/>
      <w:bookmarkStart w:id="209" w:name="_Toc184313243"/>
      <w:bookmarkEnd w:id="209"/>
      <w:bookmarkStart w:id="210" w:name="_Toc184313309"/>
      <w:bookmarkEnd w:id="210"/>
      <w:bookmarkStart w:id="211" w:name="_Toc184314461"/>
      <w:bookmarkEnd w:id="211"/>
      <w:bookmarkStart w:id="212" w:name="_Toc184313310"/>
      <w:bookmarkEnd w:id="212"/>
      <w:bookmarkStart w:id="213" w:name="_Toc184310276"/>
      <w:bookmarkEnd w:id="213"/>
      <w:bookmarkStart w:id="214" w:name="_Toc184312111"/>
      <w:bookmarkEnd w:id="214"/>
      <w:bookmarkStart w:id="215" w:name="_Toc184308041"/>
      <w:bookmarkEnd w:id="215"/>
      <w:bookmarkStart w:id="216" w:name="_Toc184312078"/>
      <w:bookmarkEnd w:id="216"/>
      <w:bookmarkStart w:id="217" w:name="_Toc184314424"/>
      <w:bookmarkEnd w:id="217"/>
      <w:bookmarkStart w:id="218" w:name="_Toc184308060"/>
      <w:bookmarkEnd w:id="218"/>
      <w:bookmarkStart w:id="219" w:name="_Toc184312119"/>
      <w:bookmarkEnd w:id="219"/>
      <w:bookmarkStart w:id="220" w:name="_Toc184314430"/>
      <w:bookmarkEnd w:id="220"/>
      <w:bookmarkStart w:id="221" w:name="_Toc184310273"/>
      <w:bookmarkEnd w:id="221"/>
      <w:bookmarkStart w:id="222" w:name="_Toc184308063"/>
      <w:bookmarkEnd w:id="222"/>
      <w:bookmarkStart w:id="223" w:name="_Toc184310280"/>
      <w:bookmarkEnd w:id="223"/>
      <w:bookmarkStart w:id="224" w:name="_Toc184308049"/>
      <w:bookmarkEnd w:id="224"/>
      <w:bookmarkStart w:id="225" w:name="_Toc184308047"/>
      <w:bookmarkEnd w:id="225"/>
      <w:bookmarkStart w:id="226" w:name="_Toc184313287"/>
      <w:bookmarkEnd w:id="226"/>
      <w:bookmarkStart w:id="227" w:name="_Toc184314449"/>
      <w:bookmarkEnd w:id="227"/>
      <w:bookmarkStart w:id="228" w:name="_Toc184312085"/>
      <w:bookmarkEnd w:id="228"/>
      <w:bookmarkStart w:id="229" w:name="_Toc184310314"/>
      <w:bookmarkEnd w:id="229"/>
      <w:bookmarkStart w:id="230" w:name="_Toc184308065"/>
      <w:bookmarkEnd w:id="230"/>
      <w:bookmarkStart w:id="231" w:name="_Toc184313301"/>
      <w:bookmarkEnd w:id="231"/>
      <w:bookmarkStart w:id="232" w:name="_Toc184313246"/>
      <w:bookmarkEnd w:id="232"/>
      <w:bookmarkStart w:id="233" w:name="_Toc184308053"/>
      <w:bookmarkEnd w:id="233"/>
      <w:bookmarkStart w:id="234" w:name="_Toc184313263"/>
      <w:bookmarkEnd w:id="234"/>
      <w:bookmarkStart w:id="235" w:name="_Toc184314465"/>
      <w:bookmarkEnd w:id="235"/>
      <w:bookmarkStart w:id="236" w:name="_Toc184308059"/>
      <w:bookmarkEnd w:id="236"/>
      <w:bookmarkStart w:id="237" w:name="_Toc184308044"/>
      <w:bookmarkEnd w:id="237"/>
      <w:bookmarkStart w:id="238" w:name="_Toc184310300"/>
      <w:bookmarkEnd w:id="238"/>
      <w:bookmarkStart w:id="239" w:name="_Toc184310278"/>
      <w:bookmarkEnd w:id="239"/>
      <w:bookmarkStart w:id="240" w:name="_Toc184308054"/>
      <w:bookmarkEnd w:id="240"/>
      <w:bookmarkStart w:id="241" w:name="_Toc184313260"/>
      <w:bookmarkEnd w:id="241"/>
      <w:bookmarkStart w:id="242" w:name="_Toc184308081"/>
      <w:bookmarkEnd w:id="242"/>
      <w:bookmarkStart w:id="243" w:name="_Toc184312091"/>
      <w:bookmarkEnd w:id="243"/>
      <w:bookmarkStart w:id="244" w:name="_Toc184312124"/>
      <w:bookmarkEnd w:id="244"/>
      <w:bookmarkStart w:id="245" w:name="_Toc184312071"/>
      <w:bookmarkEnd w:id="245"/>
      <w:bookmarkStart w:id="246" w:name="_Toc184314411"/>
      <w:bookmarkEnd w:id="246"/>
      <w:bookmarkStart w:id="247" w:name="_Toc184313297"/>
      <w:bookmarkEnd w:id="247"/>
      <w:bookmarkStart w:id="248" w:name="_Toc184308067"/>
      <w:bookmarkEnd w:id="248"/>
      <w:bookmarkStart w:id="249" w:name="_Toc184314459"/>
      <w:bookmarkEnd w:id="249"/>
      <w:bookmarkStart w:id="250" w:name="_Toc184312129"/>
      <w:bookmarkEnd w:id="250"/>
      <w:bookmarkStart w:id="251" w:name="_Toc184312098"/>
      <w:bookmarkEnd w:id="251"/>
      <w:bookmarkStart w:id="252" w:name="_Toc184313282"/>
      <w:bookmarkEnd w:id="252"/>
      <w:bookmarkStart w:id="253" w:name="_Toc184308048"/>
      <w:bookmarkEnd w:id="253"/>
      <w:bookmarkStart w:id="254" w:name="_Toc184310318"/>
      <w:bookmarkEnd w:id="254"/>
      <w:bookmarkStart w:id="255" w:name="_Toc184308077"/>
      <w:bookmarkEnd w:id="255"/>
      <w:bookmarkStart w:id="256" w:name="_Toc184312082"/>
      <w:bookmarkEnd w:id="256"/>
      <w:bookmarkStart w:id="257" w:name="_Toc184312120"/>
      <w:bookmarkEnd w:id="257"/>
      <w:bookmarkStart w:id="258" w:name="_Toc184313303"/>
      <w:bookmarkEnd w:id="258"/>
      <w:bookmarkStart w:id="259" w:name="_Toc184314440"/>
      <w:bookmarkEnd w:id="259"/>
      <w:bookmarkStart w:id="260" w:name="_Toc184314447"/>
      <w:bookmarkEnd w:id="260"/>
      <w:bookmarkStart w:id="261" w:name="_Toc184312094"/>
      <w:bookmarkEnd w:id="261"/>
      <w:bookmarkStart w:id="262" w:name="_Toc184312108"/>
      <w:bookmarkEnd w:id="262"/>
      <w:bookmarkStart w:id="263" w:name="_Toc184308088"/>
      <w:bookmarkEnd w:id="263"/>
      <w:bookmarkStart w:id="264" w:name="_Toc184314460"/>
      <w:bookmarkEnd w:id="264"/>
      <w:bookmarkStart w:id="265" w:name="_Toc184308086"/>
      <w:bookmarkEnd w:id="265"/>
      <w:bookmarkStart w:id="266" w:name="_Toc184310279"/>
      <w:bookmarkEnd w:id="266"/>
      <w:bookmarkStart w:id="267" w:name="_Toc184313304"/>
      <w:bookmarkEnd w:id="267"/>
      <w:bookmarkStart w:id="268" w:name="_Toc184314413"/>
      <w:bookmarkEnd w:id="268"/>
      <w:bookmarkStart w:id="269" w:name="_Toc184312118"/>
      <w:bookmarkEnd w:id="269"/>
      <w:bookmarkStart w:id="270" w:name="_Toc184314439"/>
      <w:bookmarkEnd w:id="270"/>
      <w:bookmarkStart w:id="271" w:name="_Toc184310321"/>
      <w:bookmarkEnd w:id="271"/>
      <w:bookmarkStart w:id="272" w:name="_Toc184312112"/>
      <w:bookmarkEnd w:id="272"/>
      <w:bookmarkStart w:id="273" w:name="_Toc184312079"/>
      <w:bookmarkEnd w:id="273"/>
      <w:bookmarkStart w:id="274" w:name="_Toc184310283"/>
      <w:bookmarkEnd w:id="274"/>
      <w:bookmarkStart w:id="275" w:name="_Toc184312134"/>
      <w:bookmarkEnd w:id="275"/>
      <w:bookmarkStart w:id="276" w:name="_Toc184310308"/>
      <w:bookmarkEnd w:id="276"/>
      <w:bookmarkStart w:id="277" w:name="_Toc184314418"/>
      <w:bookmarkEnd w:id="277"/>
      <w:bookmarkStart w:id="278" w:name="_Toc184308108"/>
      <w:bookmarkEnd w:id="278"/>
      <w:bookmarkStart w:id="279" w:name="_Toc184308069"/>
      <w:bookmarkEnd w:id="279"/>
      <w:bookmarkStart w:id="280" w:name="_Toc184313249"/>
      <w:bookmarkEnd w:id="280"/>
      <w:bookmarkStart w:id="281" w:name="_Toc184310297"/>
      <w:bookmarkEnd w:id="281"/>
      <w:bookmarkStart w:id="282" w:name="_Toc184310326"/>
      <w:bookmarkEnd w:id="282"/>
      <w:bookmarkStart w:id="283" w:name="_Toc184313266"/>
      <w:bookmarkEnd w:id="283"/>
      <w:bookmarkStart w:id="284" w:name="_Toc184310293"/>
      <w:bookmarkEnd w:id="284"/>
      <w:bookmarkStart w:id="285" w:name="_Toc184312081"/>
      <w:bookmarkEnd w:id="285"/>
      <w:bookmarkStart w:id="286" w:name="_Toc184313286"/>
      <w:bookmarkEnd w:id="286"/>
      <w:bookmarkStart w:id="287" w:name="_Toc184310315"/>
      <w:bookmarkEnd w:id="287"/>
      <w:bookmarkStart w:id="288" w:name="_Toc184314436"/>
      <w:bookmarkEnd w:id="288"/>
      <w:bookmarkStart w:id="289" w:name="_Toc184314475"/>
      <w:bookmarkEnd w:id="289"/>
      <w:bookmarkStart w:id="290" w:name="_Toc184310289"/>
      <w:bookmarkEnd w:id="290"/>
      <w:bookmarkStart w:id="291" w:name="_Toc184314478"/>
      <w:bookmarkEnd w:id="291"/>
      <w:bookmarkStart w:id="292" w:name="_Toc184313256"/>
      <w:bookmarkEnd w:id="292"/>
      <w:bookmarkStart w:id="293" w:name="_Toc184308070"/>
      <w:bookmarkEnd w:id="293"/>
      <w:bookmarkStart w:id="294" w:name="_Toc184314421"/>
      <w:bookmarkEnd w:id="294"/>
      <w:bookmarkStart w:id="295" w:name="_Toc184314433"/>
      <w:bookmarkEnd w:id="295"/>
      <w:bookmarkStart w:id="296" w:name="_Toc184314462"/>
      <w:bookmarkEnd w:id="296"/>
      <w:bookmarkStart w:id="297" w:name="_Toc184312096"/>
      <w:bookmarkEnd w:id="297"/>
      <w:bookmarkStart w:id="298" w:name="_Toc184313268"/>
      <w:bookmarkEnd w:id="298"/>
      <w:bookmarkStart w:id="299" w:name="_Toc184313270"/>
      <w:bookmarkEnd w:id="299"/>
      <w:bookmarkStart w:id="300" w:name="_Toc184313276"/>
      <w:bookmarkEnd w:id="300"/>
      <w:bookmarkStart w:id="301" w:name="_Toc184313248"/>
      <w:bookmarkEnd w:id="301"/>
      <w:bookmarkStart w:id="302" w:name="_Toc184313245"/>
      <w:bookmarkEnd w:id="302"/>
      <w:bookmarkStart w:id="303" w:name="_Toc184314479"/>
      <w:bookmarkEnd w:id="303"/>
      <w:bookmarkStart w:id="304" w:name="_Toc184308082"/>
      <w:bookmarkEnd w:id="304"/>
      <w:bookmarkStart w:id="305" w:name="_Toc184308106"/>
      <w:bookmarkEnd w:id="305"/>
      <w:bookmarkStart w:id="306" w:name="_Toc184310338"/>
      <w:bookmarkEnd w:id="306"/>
      <w:bookmarkStart w:id="307" w:name="_Toc184308074"/>
      <w:bookmarkEnd w:id="307"/>
      <w:bookmarkStart w:id="308" w:name="_Toc184312135"/>
      <w:bookmarkEnd w:id="308"/>
      <w:bookmarkStart w:id="309" w:name="_Toc184308079"/>
      <w:bookmarkEnd w:id="309"/>
      <w:bookmarkStart w:id="310" w:name="_Toc184308038"/>
      <w:bookmarkEnd w:id="310"/>
      <w:bookmarkStart w:id="311" w:name="_Toc184312125"/>
      <w:bookmarkEnd w:id="311"/>
      <w:bookmarkStart w:id="312" w:name="_Toc184313244"/>
      <w:bookmarkEnd w:id="312"/>
      <w:bookmarkStart w:id="313" w:name="_Toc184314431"/>
      <w:bookmarkEnd w:id="313"/>
      <w:bookmarkStart w:id="314" w:name="_Toc184312107"/>
      <w:bookmarkEnd w:id="314"/>
      <w:bookmarkStart w:id="315" w:name="_Toc184313293"/>
      <w:bookmarkEnd w:id="315"/>
      <w:bookmarkStart w:id="316" w:name="_Toc184310304"/>
      <w:bookmarkEnd w:id="316"/>
      <w:bookmarkStart w:id="317" w:name="_Toc184313275"/>
      <w:bookmarkEnd w:id="317"/>
      <w:bookmarkStart w:id="318" w:name="_Toc184308100"/>
      <w:bookmarkEnd w:id="318"/>
      <w:bookmarkStart w:id="319" w:name="_Toc184312075"/>
      <w:bookmarkEnd w:id="319"/>
      <w:bookmarkStart w:id="320" w:name="_Toc184314458"/>
      <w:bookmarkEnd w:id="320"/>
      <w:bookmarkStart w:id="321" w:name="_Toc184313294"/>
      <w:bookmarkEnd w:id="321"/>
      <w:bookmarkStart w:id="322" w:name="_Toc184310330"/>
      <w:bookmarkEnd w:id="322"/>
      <w:bookmarkStart w:id="323" w:name="_Toc184313247"/>
      <w:bookmarkEnd w:id="323"/>
      <w:bookmarkStart w:id="324" w:name="_Toc184314467"/>
      <w:bookmarkEnd w:id="324"/>
      <w:bookmarkStart w:id="325" w:name="_Toc184310323"/>
      <w:bookmarkEnd w:id="325"/>
      <w:bookmarkStart w:id="326" w:name="_Toc184313264"/>
      <w:bookmarkEnd w:id="326"/>
      <w:bookmarkStart w:id="327" w:name="_Toc184313257"/>
      <w:bookmarkEnd w:id="327"/>
      <w:bookmarkStart w:id="328" w:name="_Toc184314470"/>
      <w:bookmarkEnd w:id="328"/>
      <w:bookmarkStart w:id="329" w:name="_Toc184313279"/>
      <w:bookmarkEnd w:id="329"/>
      <w:bookmarkStart w:id="330" w:name="_Toc184310343"/>
      <w:bookmarkEnd w:id="330"/>
      <w:bookmarkStart w:id="331" w:name="_Toc184313240"/>
      <w:bookmarkEnd w:id="331"/>
      <w:bookmarkStart w:id="332" w:name="_Toc184308062"/>
      <w:bookmarkEnd w:id="332"/>
      <w:bookmarkStart w:id="333" w:name="_Toc184312076"/>
      <w:bookmarkEnd w:id="333"/>
      <w:bookmarkStart w:id="334" w:name="_Toc184308085"/>
      <w:bookmarkEnd w:id="334"/>
      <w:bookmarkStart w:id="335" w:name="_Toc184312068"/>
      <w:bookmarkEnd w:id="335"/>
      <w:bookmarkStart w:id="336" w:name="_Toc184314453"/>
      <w:bookmarkEnd w:id="336"/>
      <w:bookmarkStart w:id="337" w:name="_Toc184314444"/>
      <w:bookmarkEnd w:id="337"/>
      <w:bookmarkStart w:id="338" w:name="_Toc184308058"/>
      <w:bookmarkEnd w:id="338"/>
      <w:bookmarkStart w:id="339" w:name="_Toc184310281"/>
      <w:bookmarkEnd w:id="339"/>
      <w:bookmarkStart w:id="340" w:name="_Toc184308089"/>
      <w:bookmarkEnd w:id="340"/>
      <w:bookmarkStart w:id="341" w:name="_Toc184314468"/>
      <w:bookmarkEnd w:id="341"/>
      <w:bookmarkStart w:id="342" w:name="_Toc184312137"/>
      <w:bookmarkEnd w:id="342"/>
      <w:bookmarkStart w:id="343" w:name="_Toc184310327"/>
      <w:bookmarkEnd w:id="343"/>
      <w:bookmarkStart w:id="344" w:name="_Toc184310309"/>
      <w:bookmarkEnd w:id="344"/>
      <w:bookmarkStart w:id="345" w:name="_Toc184312105"/>
      <w:bookmarkEnd w:id="345"/>
      <w:bookmarkStart w:id="346" w:name="_Toc184313300"/>
      <w:bookmarkEnd w:id="346"/>
      <w:bookmarkStart w:id="347" w:name="_Toc184308042"/>
      <w:bookmarkEnd w:id="347"/>
      <w:bookmarkStart w:id="348" w:name="_Toc184314410"/>
      <w:bookmarkEnd w:id="348"/>
      <w:bookmarkStart w:id="349" w:name="_Toc184312116"/>
      <w:bookmarkEnd w:id="349"/>
      <w:bookmarkStart w:id="350" w:name="_Toc184310329"/>
      <w:bookmarkEnd w:id="350"/>
      <w:bookmarkStart w:id="351" w:name="_Toc184314426"/>
      <w:bookmarkEnd w:id="351"/>
      <w:bookmarkStart w:id="352" w:name="_Toc184314420"/>
      <w:bookmarkEnd w:id="352"/>
      <w:bookmarkStart w:id="353" w:name="_Toc184313283"/>
      <w:bookmarkEnd w:id="353"/>
      <w:bookmarkStart w:id="354" w:name="_Toc184308052"/>
      <w:bookmarkEnd w:id="354"/>
      <w:bookmarkStart w:id="355" w:name="_Toc184310272"/>
      <w:bookmarkEnd w:id="355"/>
      <w:bookmarkStart w:id="356" w:name="_Toc184314423"/>
      <w:bookmarkEnd w:id="356"/>
      <w:bookmarkStart w:id="357" w:name="_Toc184314415"/>
      <w:bookmarkEnd w:id="357"/>
      <w:bookmarkStart w:id="358" w:name="_Toc184313281"/>
      <w:bookmarkEnd w:id="358"/>
      <w:bookmarkStart w:id="359" w:name="_Toc184314446"/>
      <w:bookmarkEnd w:id="359"/>
      <w:bookmarkStart w:id="360" w:name="_Toc184314425"/>
      <w:bookmarkEnd w:id="360"/>
      <w:bookmarkStart w:id="361" w:name="_Toc184314429"/>
      <w:bookmarkEnd w:id="361"/>
      <w:bookmarkStart w:id="362" w:name="_Toc184312089"/>
      <w:bookmarkEnd w:id="362"/>
      <w:bookmarkStart w:id="363" w:name="_Toc184310313"/>
      <w:bookmarkEnd w:id="363"/>
      <w:bookmarkStart w:id="364" w:name="_Toc184310291"/>
      <w:bookmarkEnd w:id="364"/>
      <w:bookmarkStart w:id="365" w:name="_Toc184313253"/>
      <w:bookmarkEnd w:id="365"/>
      <w:bookmarkStart w:id="366" w:name="_Toc184308040"/>
      <w:bookmarkEnd w:id="366"/>
      <w:bookmarkStart w:id="367" w:name="_Toc184312115"/>
      <w:bookmarkEnd w:id="367"/>
      <w:bookmarkStart w:id="368" w:name="_Toc184313307"/>
      <w:bookmarkEnd w:id="368"/>
      <w:bookmarkStart w:id="369" w:name="_Toc184313305"/>
      <w:bookmarkEnd w:id="369"/>
      <w:bookmarkStart w:id="370" w:name="_Toc184308043"/>
      <w:bookmarkEnd w:id="370"/>
      <w:bookmarkStart w:id="371" w:name="_Toc184312123"/>
      <w:bookmarkEnd w:id="371"/>
      <w:bookmarkStart w:id="372" w:name="_Toc184310325"/>
      <w:bookmarkEnd w:id="372"/>
      <w:bookmarkStart w:id="373" w:name="_Toc184312138"/>
      <w:bookmarkEnd w:id="373"/>
      <w:bookmarkStart w:id="374" w:name="_Toc184314432"/>
      <w:bookmarkEnd w:id="374"/>
      <w:bookmarkStart w:id="375" w:name="_Toc184310342"/>
      <w:bookmarkEnd w:id="375"/>
      <w:bookmarkStart w:id="376" w:name="_Toc184310341"/>
      <w:bookmarkEnd w:id="376"/>
      <w:bookmarkStart w:id="377" w:name="_Toc184308075"/>
      <w:bookmarkEnd w:id="377"/>
      <w:bookmarkStart w:id="378" w:name="_Toc184313289"/>
      <w:bookmarkEnd w:id="378"/>
      <w:bookmarkStart w:id="379" w:name="_Toc184310316"/>
      <w:bookmarkEnd w:id="379"/>
      <w:bookmarkStart w:id="380" w:name="_Toc184312132"/>
      <w:bookmarkEnd w:id="380"/>
      <w:bookmarkStart w:id="381" w:name="_Toc184313298"/>
      <w:bookmarkEnd w:id="381"/>
      <w:bookmarkStart w:id="382" w:name="_Toc184312084"/>
      <w:bookmarkEnd w:id="382"/>
      <w:bookmarkStart w:id="383" w:name="_Toc184308105"/>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7"/>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7"/>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w:t>
      </w:r>
      <w:r>
        <w:rPr>
          <w:rFonts w:hint="eastAsia"/>
          <w:b/>
          <w:bCs/>
          <w:color w:val="auto"/>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9"/>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4"/>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2024年临江公司化验室设备维保服务项目（重新询价）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ind w:firstLine="214"/>
        <w:jc w:val="center"/>
        <w:rPr>
          <w:rFonts w:hint="eastAsia"/>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rPr>
          <w:rFonts w:hint="eastAsia"/>
        </w:rPr>
      </w:pPr>
      <w:r>
        <w:rPr>
          <w:rFonts w:hint="eastAsia"/>
        </w:rPr>
        <w:t>第二章 合同一般条款……………………………………………………（页码）</w:t>
      </w:r>
    </w:p>
    <w:p>
      <w:pPr>
        <w:pStyle w:val="10"/>
        <w:spacing w:line="360" w:lineRule="auto"/>
        <w:ind w:firstLine="240" w:firstLineChars="100"/>
        <w:rPr>
          <w:rFonts w:hint="eastAsia"/>
        </w:rPr>
      </w:pPr>
      <w:r>
        <w:rPr>
          <w:rFonts w:hint="eastAsia"/>
        </w:rPr>
        <w:t>第三章 安全协议…………………………………………………………（页码）</w:t>
      </w:r>
    </w:p>
    <w:p>
      <w:pPr>
        <w:pStyle w:val="10"/>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7"/>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cs="仿宋" w:asciiTheme="minorEastAsia" w:hAnsiTheme="minorEastAsia"/>
          <w:color w:val="auto"/>
          <w:sz w:val="24"/>
          <w:u w:val="single"/>
          <w:lang w:val="en-US" w:eastAsia="zh-CN"/>
        </w:rPr>
        <w:t>2024年临江公司化验室设备维保服务项目（重新询价）</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0421"/>
      <w:bookmarkStart w:id="385" w:name="_Toc28855"/>
      <w:bookmarkStart w:id="386" w:name="_Toc15367"/>
      <w:bookmarkStart w:id="387" w:name="_Toc22967"/>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2185"/>
      <w:bookmarkStart w:id="390" w:name="_Toc6773"/>
      <w:bookmarkStart w:id="391" w:name="_Toc6311"/>
      <w:bookmarkStart w:id="392" w:name="_Toc18585"/>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505" w:type="dxa"/>
        <w:tblInd w:w="96" w:type="dxa"/>
        <w:tblLayout w:type="fixed"/>
        <w:tblCellMar>
          <w:top w:w="0" w:type="dxa"/>
          <w:left w:w="108" w:type="dxa"/>
          <w:bottom w:w="0" w:type="dxa"/>
          <w:right w:w="108" w:type="dxa"/>
        </w:tblCellMar>
      </w:tblPr>
      <w:tblGrid>
        <w:gridCol w:w="578"/>
        <w:gridCol w:w="1517"/>
        <w:gridCol w:w="1777"/>
        <w:gridCol w:w="1091"/>
        <w:gridCol w:w="859"/>
        <w:gridCol w:w="927"/>
        <w:gridCol w:w="776"/>
        <w:gridCol w:w="735"/>
        <w:gridCol w:w="12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税率</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常规</w:t>
            </w:r>
            <w:r>
              <w:rPr>
                <w:rFonts w:hint="eastAsia" w:ascii="宋体" w:hAnsi="宋体" w:cs="宋体"/>
                <w:color w:val="auto"/>
                <w:kern w:val="2"/>
                <w:sz w:val="20"/>
                <w:szCs w:val="20"/>
                <w:lang w:val="en-US" w:eastAsia="zh-CN" w:bidi="ar-SA"/>
              </w:rPr>
              <w:t>保养维护</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每两个月一次定期检验、校准等保养维护</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次</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6</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6台设备的保养</w:t>
            </w:r>
            <w:r>
              <w:rPr>
                <w:rFonts w:hint="eastAsia" w:ascii="宋体" w:hAnsi="宋体" w:cs="宋体"/>
                <w:color w:val="auto"/>
                <w:kern w:val="2"/>
                <w:sz w:val="20"/>
                <w:szCs w:val="20"/>
                <w:lang w:val="en-US" w:eastAsia="zh-CN" w:bidi="ar-SA"/>
              </w:rPr>
              <w:t>（包含500元以下的耗材易损件）</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设备易损件</w:t>
            </w:r>
          </w:p>
        </w:tc>
        <w:tc>
          <w:tcPr>
            <w:tcW w:w="177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仪器设备的故障处理，部分易损件更换，按需更换、按实结算</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宋体" w:cs="宋体" w:eastAsiaTheme="minorEastAsia"/>
                <w:color w:val="auto"/>
                <w:kern w:val="2"/>
                <w:sz w:val="20"/>
                <w:szCs w:val="20"/>
                <w:lang w:val="en-US" w:eastAsia="zh-CN" w:bidi="ar-SA"/>
              </w:rPr>
            </w:pPr>
            <w:r>
              <w:rPr>
                <w:rFonts w:hint="eastAsia" w:ascii="宋体" w:hAnsi="宋体" w:cs="宋体"/>
                <w:color w:val="auto"/>
                <w:kern w:val="2"/>
                <w:sz w:val="20"/>
                <w:szCs w:val="20"/>
                <w:lang w:val="en-US" w:eastAsia="zh-CN" w:bidi="ar-SA"/>
              </w:rPr>
              <w:t>/</w:t>
            </w:r>
          </w:p>
        </w:tc>
        <w:tc>
          <w:tcPr>
            <w:tcW w:w="927"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default" w:ascii="宋体" w:hAnsi="宋体" w:cs="宋体" w:eastAsiaTheme="minorEastAsia"/>
                <w:color w:val="auto"/>
                <w:kern w:val="2"/>
                <w:sz w:val="20"/>
                <w:szCs w:val="20"/>
                <w:lang w:val="en-US" w:eastAsia="zh-CN" w:bidi="ar-SA"/>
              </w:rPr>
            </w:pPr>
            <w:r>
              <w:rPr>
                <w:rFonts w:hint="eastAsia" w:ascii="宋体" w:hAnsi="宋体" w:cs="宋体"/>
                <w:color w:val="auto"/>
                <w:kern w:val="2"/>
                <w:sz w:val="20"/>
                <w:szCs w:val="20"/>
                <w:lang w:val="en-US" w:eastAsia="zh-CN" w:bidi="ar-SA"/>
              </w:rPr>
              <w:t>/</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pPr>
              <w:pStyle w:val="31"/>
              <w:pageBreakBefore w:val="0"/>
              <w:kinsoku/>
              <w:wordWrap/>
              <w:topLinePunct w:val="0"/>
              <w:bidi w:val="0"/>
              <w:snapToGrid w:val="0"/>
              <w:spacing w:line="24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具体详见设备主要易损件清单</w:t>
            </w:r>
          </w:p>
        </w:tc>
      </w:tr>
    </w:tbl>
    <w:p>
      <w:pPr>
        <w:pStyle w:val="4"/>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2</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8878"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171"/>
        <w:gridCol w:w="1629"/>
        <w:gridCol w:w="1632"/>
        <w:gridCol w:w="859"/>
        <w:gridCol w:w="745"/>
        <w:gridCol w:w="93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4" w:type="dxa"/>
            <w:noWrap w:val="0"/>
            <w:vAlign w:val="center"/>
          </w:tcPr>
          <w:p>
            <w:pPr>
              <w:widowControl/>
              <w:jc w:val="center"/>
              <w:textAlignment w:val="center"/>
              <w:rPr>
                <w:rFonts w:hint="eastAsia" w:ascii="宋体" w:hAnsi="宋体" w:cs="宋体"/>
                <w:kern w:val="0"/>
                <w:sz w:val="20"/>
                <w:szCs w:val="20"/>
                <w:lang w:val="en-US" w:bidi="ar"/>
              </w:rPr>
            </w:pPr>
            <w:bookmarkStart w:id="394" w:name="_Toc21124"/>
            <w:bookmarkStart w:id="395" w:name="_Toc1386"/>
            <w:bookmarkStart w:id="396" w:name="_Toc13918"/>
            <w:bookmarkStart w:id="397" w:name="_Toc4929"/>
            <w:bookmarkStart w:id="398" w:name="_Toc5635"/>
            <w:r>
              <w:rPr>
                <w:rFonts w:hint="eastAsia" w:ascii="宋体" w:hAnsi="宋体" w:cs="宋体"/>
                <w:kern w:val="0"/>
                <w:sz w:val="20"/>
                <w:szCs w:val="20"/>
                <w:lang w:val="en-US" w:bidi="ar"/>
              </w:rPr>
              <w:t>序号</w:t>
            </w:r>
          </w:p>
        </w:tc>
        <w:tc>
          <w:tcPr>
            <w:tcW w:w="1171"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货物名称</w:t>
            </w:r>
          </w:p>
        </w:tc>
        <w:tc>
          <w:tcPr>
            <w:tcW w:w="1629"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规格型号/技术要求</w:t>
            </w:r>
          </w:p>
        </w:tc>
        <w:tc>
          <w:tcPr>
            <w:tcW w:w="1632"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品牌/制造商</w:t>
            </w:r>
          </w:p>
        </w:tc>
        <w:tc>
          <w:tcPr>
            <w:tcW w:w="859"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暂定数量</w:t>
            </w:r>
          </w:p>
        </w:tc>
        <w:tc>
          <w:tcPr>
            <w:tcW w:w="745"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单价</w:t>
            </w:r>
          </w:p>
        </w:tc>
        <w:tc>
          <w:tcPr>
            <w:tcW w:w="939"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金额</w:t>
            </w:r>
          </w:p>
        </w:tc>
        <w:tc>
          <w:tcPr>
            <w:tcW w:w="1289"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14" w:type="dxa"/>
            <w:noWrap w:val="0"/>
            <w:vAlign w:val="center"/>
          </w:tcPr>
          <w:p>
            <w:pPr>
              <w:widowControl/>
              <w:jc w:val="center"/>
              <w:textAlignment w:val="center"/>
              <w:rPr>
                <w:rFonts w:hint="eastAsia" w:ascii="宋体" w:hAnsi="宋体" w:cs="宋体"/>
                <w:kern w:val="0"/>
                <w:sz w:val="20"/>
                <w:szCs w:val="20"/>
                <w:lang w:val="en-US" w:bidi="ar"/>
              </w:rPr>
            </w:pPr>
            <w:r>
              <w:rPr>
                <w:rFonts w:hint="eastAsia" w:ascii="宋体" w:hAnsi="宋体" w:cs="宋体"/>
                <w:kern w:val="0"/>
                <w:sz w:val="20"/>
                <w:szCs w:val="20"/>
                <w:lang w:val="en-US" w:bidi="ar"/>
              </w:rPr>
              <w:t>1</w:t>
            </w:r>
          </w:p>
        </w:tc>
        <w:tc>
          <w:tcPr>
            <w:tcW w:w="1171"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1629"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1632"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859"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745"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939" w:type="dxa"/>
            <w:noWrap w:val="0"/>
            <w:vAlign w:val="center"/>
          </w:tcPr>
          <w:p>
            <w:pPr>
              <w:widowControl/>
              <w:jc w:val="center"/>
              <w:textAlignment w:val="center"/>
              <w:rPr>
                <w:rFonts w:hint="eastAsia" w:ascii="宋体" w:hAnsi="宋体" w:cs="宋体" w:eastAsiaTheme="minorEastAsia"/>
                <w:kern w:val="0"/>
                <w:sz w:val="20"/>
                <w:szCs w:val="20"/>
                <w:lang w:val="en-US" w:eastAsia="zh-CN" w:bidi="ar"/>
              </w:rPr>
            </w:pPr>
            <w:r>
              <w:rPr>
                <w:rFonts w:hint="eastAsia" w:ascii="宋体" w:hAnsi="宋体" w:cs="宋体"/>
                <w:kern w:val="0"/>
                <w:sz w:val="20"/>
                <w:szCs w:val="20"/>
                <w:lang w:val="en-US" w:eastAsia="zh-CN" w:bidi="ar"/>
              </w:rPr>
              <w:t>/</w:t>
            </w:r>
          </w:p>
        </w:tc>
        <w:tc>
          <w:tcPr>
            <w:tcW w:w="1289" w:type="dxa"/>
            <w:noWrap w:val="0"/>
            <w:vAlign w:val="center"/>
          </w:tcPr>
          <w:p>
            <w:pPr>
              <w:widowControl/>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税率    %</w:t>
            </w:r>
          </w:p>
        </w:tc>
      </w:tr>
      <w:bookmarkEnd w:id="394"/>
      <w:bookmarkEnd w:id="395"/>
      <w:bookmarkEnd w:id="396"/>
      <w:bookmarkEnd w:id="397"/>
      <w:bookmarkEnd w:id="398"/>
    </w:tbl>
    <w:p>
      <w:pPr>
        <w:spacing w:line="360" w:lineRule="auto"/>
        <w:ind w:firstLine="482" w:firstLineChars="200"/>
        <w:outlineLvl w:val="0"/>
        <w:rPr>
          <w:rFonts w:ascii="宋体" w:hAnsi="宋体"/>
          <w:b/>
          <w:sz w:val="24"/>
        </w:rPr>
      </w:pPr>
      <w:bookmarkStart w:id="399" w:name="_Toc22618"/>
      <w:bookmarkStart w:id="400" w:name="_Toc1814"/>
      <w:bookmarkStart w:id="401" w:name="_Toc10340"/>
      <w:bookmarkStart w:id="402" w:name="_Toc8772"/>
      <w:bookmarkStart w:id="403" w:name="_Toc11108"/>
      <w:bookmarkStart w:id="404" w:name="_Toc31421"/>
      <w:bookmarkStart w:id="405" w:name="_Toc4760"/>
      <w:bookmarkStart w:id="406"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ascii="宋体" w:hAnsi="宋体" w:cs="宋体"/>
          <w:sz w:val="24"/>
          <w:u w:val="single"/>
        </w:rPr>
        <w:t>自合同签订后</w:t>
      </w:r>
      <w:r>
        <w:rPr>
          <w:rFonts w:hint="eastAsia" w:ascii="宋体" w:hAnsi="宋体" w:cs="宋体"/>
          <w:sz w:val="24"/>
          <w:u w:val="single"/>
          <w:lang w:val="en-US" w:eastAsia="zh-CN"/>
        </w:rPr>
        <w:t>1年</w:t>
      </w:r>
      <w:r>
        <w:rPr>
          <w:rFonts w:hint="eastAsia" w:ascii="宋体" w:hAnsi="宋体" w:cs="宋体"/>
          <w:sz w:val="24"/>
          <w:highlight w:val="none"/>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val="0"/>
          <w:bCs/>
          <w:iCs/>
          <w:sz w:val="24"/>
          <w:u w:val="single"/>
          <w:lang w:val="en-US" w:eastAsia="zh-CN"/>
        </w:rPr>
        <w:t>每次维保完成后双方签收</w:t>
      </w:r>
      <w:r>
        <w:rPr>
          <w:rFonts w:hint="eastAsia" w:ascii="宋体" w:hAnsi="宋体" w:cs="宋体"/>
          <w:sz w:val="24"/>
          <w:u w:val="single"/>
          <w:lang w:val="en-US" w:eastAsia="zh-CN"/>
        </w:rPr>
        <w:t>《维修保养记录单》</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default" w:ascii="宋体" w:hAnsi="宋体" w:cs="宋体" w:eastAsiaTheme="minorEastAsia"/>
          <w:sz w:val="24"/>
          <w:highlight w:val="yellow"/>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1125"/>
      <w:bookmarkStart w:id="408" w:name="_Toc6596"/>
      <w:bookmarkStart w:id="409" w:name="_Toc14563"/>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w:t>
      </w:r>
      <w:r>
        <w:rPr>
          <w:rFonts w:hint="eastAsia" w:ascii="宋体" w:hAnsi="宋体" w:cs="宋体"/>
          <w:sz w:val="24"/>
          <w:u w:val="single"/>
        </w:rPr>
        <w:t xml:space="preserve"> 。</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u w:val="single"/>
        </w:rPr>
        <w:t xml:space="preserve">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3079"/>
      <w:bookmarkStart w:id="411" w:name="_Toc8586"/>
      <w:bookmarkStart w:id="412" w:name="_Toc24662"/>
      <w:bookmarkStart w:id="413" w:name="_Toc5698"/>
      <w:bookmarkStart w:id="414" w:name="_Toc2375"/>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lang w:eastAsia="zh-CN"/>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w:t>
      </w:r>
      <w:r>
        <w:rPr>
          <w:rFonts w:ascii="宋体" w:hAnsi="宋体"/>
          <w:sz w:val="24"/>
          <w:highlight w:val="none"/>
        </w:rPr>
        <w:t>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rPr>
      </w:pPr>
      <w:bookmarkStart w:id="415" w:name="_Toc30329"/>
      <w:bookmarkStart w:id="416" w:name="_Toc26807"/>
      <w:bookmarkStart w:id="417" w:name="_Toc32454"/>
      <w:bookmarkStart w:id="418" w:name="_Toc18683"/>
      <w:bookmarkStart w:id="419" w:name="_Toc9497"/>
      <w:r>
        <w:rPr>
          <w:rFonts w:hint="eastAsia" w:ascii="宋体" w:hAnsi="宋体" w:cs="宋体"/>
          <w:sz w:val="24"/>
          <w:highlight w:val="none"/>
        </w:rPr>
        <w:t>4.除不可抗力外，任何一方未能履行本合同约定的其他主要义务，经催告后在合理期限内仍未履行的，或者任何一方有其他违约行为</w:t>
      </w:r>
      <w:r>
        <w:rPr>
          <w:rFonts w:hint="eastAsia" w:ascii="宋体" w:hAnsi="宋体" w:cs="宋体"/>
          <w:sz w:val="24"/>
        </w:rPr>
        <w:t>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u w:val="single"/>
        </w:rPr>
        <w:t xml:space="preserve"> （1）乙方交付的</w:t>
      </w:r>
      <w:r>
        <w:rPr>
          <w:rFonts w:hint="eastAsia" w:ascii="宋体" w:hAnsi="宋体" w:cs="宋体"/>
          <w:sz w:val="24"/>
          <w:highlight w:val="none"/>
          <w:u w:val="single"/>
        </w:rPr>
        <w:t>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highlight w:val="none"/>
          <w:u w:val="single"/>
        </w:rPr>
        <w:t>（4）若质保期内出现质量问题，甲方有权从</w:t>
      </w:r>
      <w:r>
        <w:rPr>
          <w:rFonts w:hint="eastAsia" w:ascii="宋体" w:hAnsi="宋体" w:cs="宋体"/>
          <w:sz w:val="24"/>
          <w:u w:val="single"/>
        </w:rPr>
        <w:t>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15583"/>
      <w:bookmarkStart w:id="421" w:name="_Toc16021"/>
      <w:bookmarkStart w:id="422" w:name="_Toc28375"/>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23" w:name="_Toc7245"/>
      <w:bookmarkStart w:id="424" w:name="_Toc11173"/>
      <w:bookmarkStart w:id="425" w:name="_Toc15322"/>
      <w:r>
        <w:rPr>
          <w:rFonts w:hint="eastAsia" w:ascii="宋体" w:hAnsi="宋体" w:cs="宋体"/>
          <w:b/>
          <w:sz w:val="24"/>
        </w:rPr>
        <w:t>十二、合同生效</w:t>
      </w:r>
      <w:bookmarkEnd w:id="423"/>
      <w:bookmarkEnd w:id="424"/>
      <w:bookmarkEnd w:id="425"/>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25079"/>
      <w:bookmarkStart w:id="427" w:name="_Toc5228"/>
      <w:bookmarkStart w:id="428" w:name="_Toc31297"/>
      <w:bookmarkStart w:id="429" w:name="_Toc14021"/>
      <w:bookmarkStart w:id="430" w:name="_Toc19680"/>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31402"/>
      <w:bookmarkStart w:id="432" w:name="_Toc3769"/>
      <w:bookmarkStart w:id="433" w:name="_Toc19539"/>
      <w:bookmarkStart w:id="434" w:name="_Toc16752"/>
      <w:bookmarkStart w:id="435" w:name="_Toc23289"/>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13673"/>
      <w:bookmarkStart w:id="437" w:name="_Toc9161"/>
      <w:bookmarkStart w:id="438" w:name="_Toc4133"/>
      <w:bookmarkStart w:id="439" w:name="_Toc27945"/>
      <w:bookmarkStart w:id="440" w:name="_Toc12412"/>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15447"/>
      <w:bookmarkStart w:id="442" w:name="_Toc26555"/>
      <w:bookmarkStart w:id="443" w:name="_Toc31233"/>
      <w:bookmarkStart w:id="444" w:name="_Toc22011"/>
      <w:bookmarkStart w:id="445" w:name="_Toc32670"/>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13467"/>
      <w:bookmarkStart w:id="447" w:name="_Toc16163"/>
      <w:bookmarkStart w:id="448" w:name="_Toc18990"/>
      <w:bookmarkStart w:id="449" w:name="_Toc13154"/>
      <w:bookmarkStart w:id="450" w:name="_Toc3050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26689"/>
      <w:bookmarkStart w:id="455" w:name="_Toc21830"/>
      <w:bookmarkStart w:id="456" w:name="_Toc23368"/>
      <w:bookmarkStart w:id="457" w:name="_Toc10663"/>
      <w:bookmarkStart w:id="458"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25571"/>
      <w:bookmarkStart w:id="460" w:name="_Toc26633"/>
      <w:bookmarkStart w:id="461" w:name="_Toc32494"/>
      <w:bookmarkStart w:id="462" w:name="_Toc4720"/>
      <w:bookmarkStart w:id="463" w:name="_Toc143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3638"/>
      <w:bookmarkStart w:id="465" w:name="_Toc14115"/>
      <w:bookmarkStart w:id="466" w:name="_Toc23854"/>
      <w:bookmarkStart w:id="467" w:name="_Toc24465"/>
      <w:bookmarkStart w:id="468" w:name="_Toc25783"/>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30105"/>
      <w:bookmarkStart w:id="470" w:name="_Toc25525"/>
      <w:bookmarkStart w:id="471" w:name="_Toc14814"/>
      <w:bookmarkStart w:id="472" w:name="_Toc26883"/>
      <w:bookmarkStart w:id="473" w:name="_Toc7315"/>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1123"/>
      <w:bookmarkStart w:id="475" w:name="_Toc23323"/>
      <w:bookmarkStart w:id="476" w:name="_Toc2016"/>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w:t>
      </w:r>
      <w:r>
        <w:rPr>
          <w:rFonts w:hint="eastAsia" w:ascii="宋体" w:hAnsi="宋体" w:cs="宋体"/>
          <w:sz w:val="24"/>
        </w:rPr>
        <w:t>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7" w:name="_Toc1969"/>
      <w:bookmarkStart w:id="478" w:name="_Toc17363"/>
      <w:bookmarkStart w:id="479" w:name="_Toc14525"/>
      <w:r>
        <w:rPr>
          <w:rFonts w:hint="eastAsia" w:ascii="宋体" w:hAnsi="宋体"/>
          <w:b/>
          <w:sz w:val="24"/>
        </w:rPr>
        <w:t>十五</w:t>
      </w:r>
      <w:bookmarkEnd w:id="477"/>
      <w:bookmarkEnd w:id="478"/>
      <w:bookmarkEnd w:id="479"/>
      <w:bookmarkStart w:id="480" w:name="_Toc12666"/>
      <w:bookmarkStart w:id="481" w:name="_Toc2308"/>
      <w:bookmarkStart w:id="482" w:name="_Toc9808"/>
      <w:bookmarkStart w:id="483" w:name="_Toc31892"/>
      <w:bookmarkStart w:id="484" w:name="_Toc2519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4355"/>
      <w:bookmarkStart w:id="488" w:name="_Toc18540"/>
      <w:bookmarkStart w:id="489" w:name="_Toc30599"/>
      <w:bookmarkStart w:id="490" w:name="_Toc12254"/>
      <w:bookmarkStart w:id="491" w:name="_Toc28906"/>
      <w:bookmarkStart w:id="492" w:name="_Toc27644"/>
      <w:bookmarkStart w:id="493" w:name="_Toc20808"/>
      <w:bookmarkStart w:id="494" w:name="_Toc5063"/>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2024年临江公司化验室设备维保服务项目（重新询价）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 xml:space="preserve"> 2024年临江公司化验室设备维保服务项目（重新询价）</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10"/>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7"/>
      </w:pPr>
    </w:p>
    <w:p>
      <w:pPr>
        <w:pStyle w:val="7"/>
        <w:rPr>
          <w:color w:val="auto"/>
        </w:rPr>
      </w:pPr>
    </w:p>
    <w:p>
      <w:pPr>
        <w:pStyle w:val="8"/>
        <w:rPr>
          <w:color w:val="auto"/>
        </w:rPr>
      </w:pPr>
    </w:p>
    <w:p>
      <w:pPr>
        <w:pStyle w:val="9"/>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8"/>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5"/>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2024年临江公司化验室设备维保服务项目（重新询价）</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202407011-1</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7"/>
        <w:rPr>
          <w:color w:val="auto"/>
        </w:rPr>
      </w:pPr>
    </w:p>
    <w:p>
      <w:pPr>
        <w:pStyle w:val="8"/>
        <w:rPr>
          <w:color w:val="auto"/>
        </w:rPr>
      </w:pPr>
    </w:p>
    <w:p>
      <w:pPr>
        <w:rPr>
          <w:color w:val="auto"/>
        </w:rPr>
      </w:pPr>
    </w:p>
    <w:p>
      <w:pPr>
        <w:pStyle w:val="7"/>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rPr>
          <w:color w:val="auto"/>
        </w:rPr>
      </w:pPr>
    </w:p>
    <w:p>
      <w:pPr>
        <w:rPr>
          <w:color w:val="auto"/>
        </w:rPr>
      </w:pPr>
    </w:p>
    <w:p>
      <w:pPr>
        <w:pStyle w:val="14"/>
      </w:pPr>
    </w:p>
    <w:p>
      <w:pPr>
        <w:rPr>
          <w:color w:val="auto"/>
        </w:rPr>
      </w:pPr>
    </w:p>
    <w:p>
      <w:pPr>
        <w:pStyle w:val="7"/>
        <w:rPr>
          <w:color w:val="auto"/>
        </w:rPr>
      </w:pPr>
    </w:p>
    <w:p>
      <w:pPr>
        <w:pStyle w:val="8"/>
        <w:rPr>
          <w:color w:val="auto"/>
        </w:rPr>
      </w:pPr>
    </w:p>
    <w:p>
      <w:pPr>
        <w:rPr>
          <w:color w:val="auto"/>
        </w:rPr>
      </w:pPr>
    </w:p>
    <w:p>
      <w:pPr>
        <w:pStyle w:val="7"/>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2024年临江公司化验室设备维保服务项目（重新询价）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val="en-US" w:eastAsia="zh-CN"/>
        </w:rPr>
        <w:t>202407011-1</w:t>
      </w:r>
      <w:r>
        <w:rPr>
          <w:rFonts w:hint="eastAsia" w:cs="仿宋" w:asciiTheme="minorEastAsia" w:hAnsiTheme="minorEastAsia"/>
          <w:color w:val="auto"/>
          <w:sz w:val="24"/>
          <w:highlight w:val="none"/>
        </w:rPr>
        <w:t>】</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8"/>
        <w:rPr>
          <w:color w:val="auto"/>
        </w:rPr>
      </w:pPr>
    </w:p>
    <w:p>
      <w:pPr>
        <w:rPr>
          <w:color w:val="auto"/>
        </w:rPr>
      </w:pPr>
    </w:p>
    <w:p>
      <w:pPr>
        <w:pStyle w:val="7"/>
        <w:rPr>
          <w:color w:val="auto"/>
        </w:rPr>
      </w:pPr>
    </w:p>
    <w:p>
      <w:pPr>
        <w:pStyle w:val="8"/>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7"/>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7"/>
        <w:rPr>
          <w:color w:val="auto"/>
        </w:rPr>
      </w:pPr>
    </w:p>
    <w:p>
      <w:pPr>
        <w:pStyle w:val="8"/>
        <w:rPr>
          <w:color w:val="auto"/>
        </w:rPr>
      </w:pPr>
    </w:p>
    <w:p>
      <w:pPr>
        <w:rPr>
          <w:color w:val="auto"/>
        </w:rPr>
      </w:pPr>
    </w:p>
    <w:p>
      <w:pPr>
        <w:pStyle w:val="7"/>
        <w:rPr>
          <w:color w:val="auto"/>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7"/>
        <w:rPr>
          <w:color w:val="auto"/>
        </w:rPr>
      </w:pPr>
    </w:p>
    <w:p>
      <w:pPr>
        <w:pStyle w:val="8"/>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8"/>
        <w:ind w:left="0" w:leftChars="0" w:firstLine="0" w:firstLineChars="0"/>
      </w:pPr>
    </w:p>
    <w:p>
      <w:pPr>
        <w:pStyle w:val="8"/>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2024年临江公司化验室设备维保服务项目（重新询价）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202407011-1</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w:t>
      </w:r>
      <w:r>
        <w:rPr>
          <w:rFonts w:hint="eastAsia" w:cs="仿宋" w:asciiTheme="minorEastAsia" w:hAnsiTheme="minorEastAsia"/>
          <w:color w:val="auto"/>
          <w:sz w:val="24"/>
        </w:rPr>
        <w:t>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widowControl w:val="0"/>
        <w:numPr>
          <w:ilvl w:val="0"/>
          <w:numId w:val="0"/>
        </w:numPr>
        <w:autoSpaceDE w:val="0"/>
        <w:autoSpaceDN w:val="0"/>
        <w:adjustRightInd w:val="0"/>
        <w:spacing w:line="360" w:lineRule="auto"/>
        <w:jc w:val="both"/>
        <w:rPr>
          <w:color w:val="auto"/>
        </w:rPr>
      </w:pPr>
    </w:p>
    <w:p>
      <w:pPr>
        <w:pStyle w:val="8"/>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highlight w:val="none"/>
          <w:u w:val="single"/>
          <w:lang w:val="en-US" w:eastAsia="zh-CN"/>
        </w:rPr>
        <w:t xml:space="preserve">（姓名）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2024年临江公司化验室设备维保服务项目（重新询价）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202407011-1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rPr>
        <w:t>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2"/>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2024年临江公司化验室设备维保服务项目（重新询价）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202407011-1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2024年临江公司化验室设备维保服务项目（重新询价）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202407011-1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2024年临江公司化验室设备维保服务项目（重新询价）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202407011-1</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w:t>
      </w:r>
      <w:r>
        <w:rPr>
          <w:rFonts w:hint="eastAsia" w:cs="仿宋" w:asciiTheme="minorEastAsia" w:hAnsiTheme="minorEastAsia"/>
          <w:color w:val="auto"/>
          <w:sz w:val="24"/>
        </w:rPr>
        <w:t>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027"/>
        <w:gridCol w:w="900"/>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2562" w:type="dxa"/>
            <w:vAlign w:val="center"/>
          </w:tcPr>
          <w:p>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900" w:type="dxa"/>
            <w:vAlign w:val="center"/>
          </w:tcPr>
          <w:p>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193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34"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常规维保</w:t>
            </w:r>
          </w:p>
        </w:tc>
        <w:tc>
          <w:tcPr>
            <w:tcW w:w="2238"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每两个月一次定期检验、校准等保养维护</w:t>
            </w:r>
          </w:p>
        </w:tc>
        <w:tc>
          <w:tcPr>
            <w:tcW w:w="2562" w:type="dxa"/>
            <w:vAlign w:val="center"/>
          </w:tcPr>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次</w:t>
            </w:r>
          </w:p>
        </w:tc>
        <w:tc>
          <w:tcPr>
            <w:tcW w:w="825" w:type="dxa"/>
            <w:vAlign w:val="center"/>
          </w:tcPr>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6</w:t>
            </w:r>
          </w:p>
        </w:tc>
        <w:tc>
          <w:tcPr>
            <w:tcW w:w="1230"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p>
        </w:tc>
        <w:tc>
          <w:tcPr>
            <w:tcW w:w="1027"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p>
        </w:tc>
        <w:tc>
          <w:tcPr>
            <w:tcW w:w="900"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p>
        </w:tc>
        <w:tc>
          <w:tcPr>
            <w:tcW w:w="1938"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6台设备的保养</w:t>
            </w:r>
            <w:r>
              <w:rPr>
                <w:rFonts w:hint="eastAsia" w:cs="仿宋" w:asciiTheme="minorEastAsia" w:hAnsiTheme="minorEastAsia"/>
                <w:color w:val="auto"/>
                <w:kern w:val="2"/>
                <w:sz w:val="24"/>
                <w:szCs w:val="24"/>
                <w:lang w:val="en-US" w:eastAsia="zh-CN" w:bidi="ar-SA"/>
              </w:rPr>
              <w:t>（包含500元以下耗材易损件）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w:t>
            </w:r>
          </w:p>
        </w:tc>
        <w:tc>
          <w:tcPr>
            <w:tcW w:w="1927" w:type="dxa"/>
            <w:vAlign w:val="center"/>
          </w:tcPr>
          <w:p>
            <w:pPr>
              <w:snapToGrid w:val="0"/>
              <w:spacing w:line="360" w:lineRule="auto"/>
              <w:jc w:val="center"/>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设备易损件</w:t>
            </w:r>
          </w:p>
        </w:tc>
        <w:tc>
          <w:tcPr>
            <w:tcW w:w="2238"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仪器设备的故障处理，部分易损件更换，按需更换、按实结算</w:t>
            </w:r>
          </w:p>
        </w:tc>
        <w:tc>
          <w:tcPr>
            <w:tcW w:w="2562" w:type="dxa"/>
            <w:vAlign w:val="center"/>
          </w:tcPr>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w:t>
            </w:r>
          </w:p>
        </w:tc>
        <w:tc>
          <w:tcPr>
            <w:tcW w:w="825" w:type="dxa"/>
            <w:vAlign w:val="center"/>
          </w:tcPr>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w:t>
            </w:r>
          </w:p>
        </w:tc>
        <w:tc>
          <w:tcPr>
            <w:tcW w:w="1230" w:type="dxa"/>
            <w:vAlign w:val="center"/>
          </w:tcPr>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w:t>
            </w:r>
          </w:p>
        </w:tc>
        <w:tc>
          <w:tcPr>
            <w:tcW w:w="1027"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p>
        </w:tc>
        <w:tc>
          <w:tcPr>
            <w:tcW w:w="900"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eastAsiaTheme="minorEastAsia"/>
                <w:color w:val="auto"/>
                <w:kern w:val="2"/>
                <w:sz w:val="24"/>
                <w:szCs w:val="24"/>
                <w:lang w:val="en-US" w:eastAsia="zh-CN" w:bidi="ar-SA"/>
              </w:rPr>
            </w:pPr>
          </w:p>
        </w:tc>
        <w:tc>
          <w:tcPr>
            <w:tcW w:w="1938" w:type="dxa"/>
            <w:vAlign w:val="center"/>
          </w:tcPr>
          <w:p>
            <w:pPr>
              <w:pStyle w:val="31"/>
              <w:pageBreakBefore w:val="0"/>
              <w:kinsoku/>
              <w:wordWrap/>
              <w:topLinePunct w:val="0"/>
              <w:bidi w:val="0"/>
              <w:snapToGrid w:val="0"/>
              <w:spacing w:line="240" w:lineRule="auto"/>
              <w:ind w:left="0" w:leftChars="0" w:firstLine="0" w:firstLineChars="0"/>
              <w:jc w:val="center"/>
              <w:rPr>
                <w:rFonts w:hint="eastAsia" w:cs="仿宋" w:asciiTheme="minorEastAsia" w:hAnsi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具体详见设备主要易损件清单</w:t>
            </w:r>
            <w:r>
              <w:rPr>
                <w:rFonts w:hint="eastAsia" w:cs="仿宋" w:asciiTheme="minorEastAsia" w:hAnsiTheme="minorEastAsia"/>
                <w:color w:val="auto"/>
                <w:kern w:val="2"/>
                <w:sz w:val="24"/>
                <w:szCs w:val="24"/>
                <w:lang w:val="en-US" w:eastAsia="zh-CN" w:bidi="ar-SA"/>
              </w:rPr>
              <w:t>；</w:t>
            </w:r>
          </w:p>
          <w:p>
            <w:pPr>
              <w:pStyle w:val="31"/>
              <w:pageBreakBefore w:val="0"/>
              <w:kinsoku/>
              <w:wordWrap/>
              <w:topLinePunct w:val="0"/>
              <w:bidi w:val="0"/>
              <w:snapToGrid w:val="0"/>
              <w:spacing w:line="240" w:lineRule="auto"/>
              <w:ind w:left="0" w:leftChars="0" w:firstLine="0" w:firstLineChars="0"/>
              <w:jc w:val="center"/>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b/>
                <w:bCs/>
                <w:color w:val="auto"/>
                <w:kern w:val="2"/>
                <w:sz w:val="28"/>
                <w:szCs w:val="28"/>
                <w:lang w:val="en-US" w:eastAsia="zh-CN" w:bidi="ar-SA"/>
              </w:rPr>
              <w:t>此项发票需为货物类发票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8482" w:type="dxa"/>
            <w:gridSpan w:val="6"/>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8482" w:type="dxa"/>
            <w:gridSpan w:val="6"/>
            <w:vAlign w:val="center"/>
          </w:tcPr>
          <w:p>
            <w:pPr>
              <w:spacing w:line="360" w:lineRule="auto"/>
              <w:jc w:val="center"/>
              <w:rPr>
                <w:rFonts w:cs="仿宋" w:asciiTheme="minorEastAsia" w:hAnsiTheme="minorEastAsia"/>
                <w:color w:val="auto"/>
                <w:sz w:val="24"/>
              </w:rPr>
            </w:pPr>
          </w:p>
        </w:tc>
      </w:tr>
    </w:tbl>
    <w:p>
      <w:pPr>
        <w:snapToGrid w:val="0"/>
        <w:spacing w:line="360" w:lineRule="auto"/>
        <w:ind w:left="480"/>
        <w:rPr>
          <w:rFonts w:hint="eastAsia" w:cs="仿宋" w:asciiTheme="minorEastAsia" w:hAnsiTheme="minorEastAsia"/>
          <w:b/>
          <w:color w:val="auto"/>
          <w:kern w:val="0"/>
          <w:sz w:val="24"/>
          <w:lang w:val="zh-CN"/>
        </w:rPr>
      </w:pPr>
    </w:p>
    <w:tbl>
      <w:tblPr>
        <w:tblStyle w:val="15"/>
        <w:tblW w:w="13129" w:type="dxa"/>
        <w:tblInd w:w="416" w:type="dxa"/>
        <w:tblLayout w:type="fixed"/>
        <w:tblCellMar>
          <w:top w:w="0" w:type="dxa"/>
          <w:left w:w="108" w:type="dxa"/>
          <w:bottom w:w="0" w:type="dxa"/>
          <w:right w:w="108" w:type="dxa"/>
        </w:tblCellMar>
      </w:tblPr>
      <w:tblGrid>
        <w:gridCol w:w="1115"/>
        <w:gridCol w:w="3609"/>
        <w:gridCol w:w="2589"/>
        <w:gridCol w:w="1185"/>
        <w:gridCol w:w="1241"/>
        <w:gridCol w:w="1290"/>
        <w:gridCol w:w="1035"/>
        <w:gridCol w:w="1065"/>
      </w:tblGrid>
      <w:tr>
        <w:tblPrEx>
          <w:tblCellMar>
            <w:top w:w="0" w:type="dxa"/>
            <w:left w:w="108" w:type="dxa"/>
            <w:bottom w:w="0" w:type="dxa"/>
            <w:right w:w="108" w:type="dxa"/>
          </w:tblCellMar>
        </w:tblPrEx>
        <w:trPr>
          <w:trHeight w:val="370" w:hRule="atLeast"/>
        </w:trPr>
        <w:tc>
          <w:tcPr>
            <w:tcW w:w="1312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snapToGrid/>
                <w:color w:val="auto"/>
                <w:kern w:val="2"/>
                <w:sz w:val="24"/>
                <w:szCs w:val="20"/>
                <w:u w:color="000000"/>
                <w:lang w:val="en-US" w:eastAsia="zh-CN" w:bidi="ar-SA"/>
              </w:rPr>
            </w:pPr>
            <w:r>
              <w:rPr>
                <w:rFonts w:hint="eastAsia" w:ascii="宋体" w:hAnsi="Times New Roman" w:cs="Times New Roman" w:eastAsiaTheme="minorEastAsia"/>
                <w:b/>
                <w:bCs/>
                <w:snapToGrid/>
                <w:color w:val="auto"/>
                <w:kern w:val="2"/>
                <w:sz w:val="24"/>
                <w:szCs w:val="20"/>
                <w:u w:color="000000"/>
                <w:lang w:val="en-US" w:eastAsia="zh-CN" w:bidi="ar-SA"/>
              </w:rPr>
              <w:t>设备主要易损件清单</w:t>
            </w:r>
          </w:p>
        </w:tc>
      </w:tr>
      <w:tr>
        <w:tblPrEx>
          <w:tblCellMar>
            <w:top w:w="0" w:type="dxa"/>
            <w:left w:w="108" w:type="dxa"/>
            <w:bottom w:w="0" w:type="dxa"/>
            <w:right w:w="108" w:type="dxa"/>
          </w:tblCellMar>
        </w:tblPrEx>
        <w:trPr>
          <w:trHeight w:val="370" w:hRule="atLeast"/>
        </w:trPr>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序号</w:t>
            </w:r>
          </w:p>
        </w:tc>
        <w:tc>
          <w:tcPr>
            <w:tcW w:w="36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名称</w:t>
            </w:r>
          </w:p>
        </w:tc>
        <w:tc>
          <w:tcPr>
            <w:tcW w:w="25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型号规格</w:t>
            </w:r>
          </w:p>
        </w:tc>
        <w:tc>
          <w:tcPr>
            <w:tcW w:w="11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单位</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数量</w:t>
            </w:r>
          </w:p>
        </w:tc>
        <w:tc>
          <w:tcPr>
            <w:tcW w:w="12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单价限价</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单价</w:t>
            </w: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总价</w:t>
            </w:r>
          </w:p>
        </w:tc>
      </w:tr>
      <w:tr>
        <w:tblPrEx>
          <w:tblCellMar>
            <w:top w:w="0" w:type="dxa"/>
            <w:left w:w="108" w:type="dxa"/>
            <w:bottom w:w="0" w:type="dxa"/>
            <w:right w:w="108" w:type="dxa"/>
          </w:tblCellMar>
        </w:tblPrEx>
        <w:trPr>
          <w:trHeight w:val="388"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氧弹杯</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友欣</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3</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6500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605"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离子色谱抑制器</w:t>
            </w:r>
          </w:p>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SP6949 ASRS300(4mm)</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赛默飞ICS-600</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16272</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338"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3</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离子色谱单向阀</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赛默飞045994</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2000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2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4</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离子色谱泵密封圈</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赛默飞ICS-600</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800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5</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离子色谱柱塞杆</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赛默飞052840</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500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6</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离子色谱仪保护柱</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064147 AG23 4X50mm</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6600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17"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7</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离子色谱仪分析柱</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064149 AS23 4X250mm</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2</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19200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529"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8</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离子色谱仪六通</w:t>
            </w:r>
          </w:p>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阀定子转子</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75973</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17600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339"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9</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离子色谱仪主板</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ICS-600</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4600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10</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离子色谱仪进样管</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ICS-600（250个）</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盒</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2200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389"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11</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ICP普通矩管</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  BRE0012328</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 xml:space="preserve">个 </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5950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12</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ICP普通中心管（石英）</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  DRE0019895</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 xml:space="preserve">个 </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2350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314"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13</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赛默飞标液</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瓶</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2000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251"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14</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ICP</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分子筛BRE0019483</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3200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r>
        <w:tblPrEx>
          <w:tblCellMar>
            <w:top w:w="0" w:type="dxa"/>
            <w:left w:w="108" w:type="dxa"/>
            <w:bottom w:w="0" w:type="dxa"/>
            <w:right w:w="108" w:type="dxa"/>
          </w:tblCellMar>
        </w:tblPrEx>
        <w:trPr>
          <w:trHeight w:val="460" w:hRule="atLeast"/>
        </w:trPr>
        <w:tc>
          <w:tcPr>
            <w:tcW w:w="11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15</w:t>
            </w:r>
          </w:p>
        </w:tc>
        <w:tc>
          <w:tcPr>
            <w:tcW w:w="36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雾化器</w:t>
            </w:r>
          </w:p>
        </w:tc>
        <w:tc>
          <w:tcPr>
            <w:tcW w:w="258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赛默飞842312051431</w:t>
            </w:r>
          </w:p>
        </w:tc>
        <w:tc>
          <w:tcPr>
            <w:tcW w:w="11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个</w:t>
            </w:r>
          </w:p>
        </w:tc>
        <w:tc>
          <w:tcPr>
            <w:tcW w:w="12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eastAsiaTheme="minorEastAsia"/>
                <w:snapToGrid/>
                <w:color w:val="auto"/>
                <w:kern w:val="2"/>
                <w:sz w:val="24"/>
                <w:szCs w:val="20"/>
                <w:u w:color="000000"/>
                <w:lang w:val="en-US" w:eastAsia="zh-CN" w:bidi="ar-SA"/>
              </w:rPr>
              <w:t>1</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Times New Roman" w:cs="Times New Roman" w:eastAsiaTheme="minorEastAsia"/>
                <w:snapToGrid/>
                <w:color w:val="auto"/>
                <w:kern w:val="2"/>
                <w:sz w:val="24"/>
                <w:szCs w:val="20"/>
                <w:u w:color="000000"/>
                <w:lang w:val="en-US" w:eastAsia="zh-CN" w:bidi="ar-SA"/>
              </w:rPr>
            </w:pPr>
            <w:r>
              <w:rPr>
                <w:rFonts w:hint="eastAsia" w:ascii="宋体" w:hAnsi="Times New Roman" w:cs="Times New Roman"/>
                <w:snapToGrid/>
                <w:color w:val="auto"/>
                <w:kern w:val="2"/>
                <w:sz w:val="24"/>
                <w:szCs w:val="20"/>
                <w:u w:color="000000"/>
                <w:lang w:val="en-US" w:eastAsia="zh-CN" w:bidi="ar-SA"/>
              </w:rPr>
              <w:t>4500</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c>
          <w:tcPr>
            <w:tcW w:w="10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Times New Roman" w:cs="Times New Roman" w:eastAsiaTheme="minorEastAsia"/>
                <w:snapToGrid/>
                <w:color w:val="auto"/>
                <w:kern w:val="2"/>
                <w:sz w:val="24"/>
                <w:szCs w:val="20"/>
                <w:u w:color="000000"/>
                <w:lang w:val="en-US" w:eastAsia="zh-CN" w:bidi="ar-SA"/>
              </w:rPr>
            </w:pPr>
          </w:p>
        </w:tc>
      </w:tr>
    </w:tbl>
    <w:p>
      <w:pPr>
        <w:snapToGrid w:val="0"/>
        <w:spacing w:line="360" w:lineRule="auto"/>
        <w:ind w:left="480"/>
        <w:rPr>
          <w:rFonts w:hint="eastAsia" w:cs="仿宋" w:asciiTheme="minorEastAsia" w:hAnsiTheme="minorEastAsia"/>
          <w:b/>
          <w:color w:val="auto"/>
          <w:kern w:val="0"/>
          <w:sz w:val="24"/>
          <w:lang w:val="zh-CN"/>
        </w:rPr>
      </w:pPr>
    </w:p>
    <w:p>
      <w:pPr>
        <w:pStyle w:val="2"/>
        <w:rPr>
          <w:rFonts w:hint="eastAsia"/>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ind w:left="0" w:leftChars="0" w:firstLine="0" w:firstLineChars="0"/>
        <w:rPr>
          <w:color w:val="auto"/>
        </w:rPr>
        <w:sectPr>
          <w:footerReference r:id="rId18" w:type="default"/>
          <w:pgSz w:w="16838" w:h="11906" w:orient="landscape"/>
          <w:pgMar w:top="1800" w:right="1440" w:bottom="1800" w:left="1440" w:header="930" w:footer="992" w:gutter="0"/>
          <w:pgNumType w:fmt="decimal"/>
          <w:cols w:space="425" w:num="1"/>
          <w:docGrid w:type="lines" w:linePitch="312" w:charSpace="0"/>
        </w:sectPr>
      </w:pPr>
    </w:p>
    <w:p>
      <w:pPr>
        <w:rPr>
          <w:rFonts w:hint="eastAsia" w:cs="仿宋" w:asciiTheme="minorEastAsia" w:hAnsiTheme="minorEastAsia"/>
          <w:b/>
          <w:color w:val="auto"/>
          <w:spacing w:val="6"/>
          <w:sz w:val="32"/>
          <w:szCs w:val="32"/>
        </w:rPr>
      </w:pPr>
    </w:p>
    <w:p>
      <w:pPr>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pgSz w:w="11906" w:h="16838"/>
          <w:pgMar w:top="1440" w:right="1800" w:bottom="1440" w:left="1800" w:header="930" w:footer="992" w:gutter="0"/>
          <w:pgNumType w:fmt="decimal"/>
          <w:cols w:space="425" w:num="1"/>
          <w:docGrid w:type="lines" w:linePitch="312" w:charSpace="0"/>
        </w:sectPr>
      </w:pPr>
    </w:p>
    <w:p>
      <w:pPr>
        <w:pStyle w:val="2"/>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2024年临江公司化验室设备维保服务项目（重新询价）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202407011-1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2024年临江公司化验室设备维保服务项目（重新询价）</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202407011-1</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w:t>
      </w:r>
      <w:r>
        <w:rPr>
          <w:rFonts w:hint="eastAsia" w:cs="仿宋" w:asciiTheme="minorEastAsia" w:hAnsiTheme="minorEastAsia"/>
          <w:color w:val="auto"/>
          <w:kern w:val="0"/>
          <w:sz w:val="24"/>
          <w:lang w:val="zh-CN"/>
        </w:rPr>
        <w:t>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7"/>
        <w:rPr>
          <w:color w:val="auto"/>
        </w:rPr>
      </w:pPr>
    </w:p>
    <w:p>
      <w:pPr>
        <w:rPr>
          <w:color w:val="auto"/>
        </w:rPr>
      </w:pPr>
    </w:p>
    <w:p>
      <w:pPr>
        <w:pStyle w:val="7"/>
        <w:rPr>
          <w:color w:val="auto"/>
        </w:rPr>
      </w:pPr>
    </w:p>
    <w:p>
      <w:pPr>
        <w:rPr>
          <w:color w:val="auto"/>
        </w:rPr>
      </w:pPr>
    </w:p>
    <w:p>
      <w:pPr>
        <w:pStyle w:val="11"/>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2024年临江公司化验室设备维保服务项目（重新询价）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202407011-1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2024年临江公司化验室设备维保服务项目（重新询价）</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202407011-1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w:t>
      </w:r>
      <w:r>
        <w:rPr>
          <w:rFonts w:hint="eastAsia" w:ascii="宋体" w:hAnsi="宋体" w:cs="宋体"/>
          <w:sz w:val="24"/>
          <w:lang w:eastAsia="zh-CN"/>
        </w:rPr>
        <w:t>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7"/>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000000"/>
    <w:rsid w:val="013D6280"/>
    <w:rsid w:val="023E1286"/>
    <w:rsid w:val="03272182"/>
    <w:rsid w:val="046A1781"/>
    <w:rsid w:val="04E634F4"/>
    <w:rsid w:val="05150472"/>
    <w:rsid w:val="05171224"/>
    <w:rsid w:val="051B17AF"/>
    <w:rsid w:val="0805754C"/>
    <w:rsid w:val="08670640"/>
    <w:rsid w:val="08E37A2F"/>
    <w:rsid w:val="09545F70"/>
    <w:rsid w:val="09D74B85"/>
    <w:rsid w:val="09EC7123"/>
    <w:rsid w:val="09ED56C9"/>
    <w:rsid w:val="0A1D0FFF"/>
    <w:rsid w:val="0A7C1006"/>
    <w:rsid w:val="0AD025A1"/>
    <w:rsid w:val="0B5D49EE"/>
    <w:rsid w:val="0BD07B44"/>
    <w:rsid w:val="0C492847"/>
    <w:rsid w:val="0F095788"/>
    <w:rsid w:val="0F5E496A"/>
    <w:rsid w:val="0F81598B"/>
    <w:rsid w:val="10947BCD"/>
    <w:rsid w:val="10BE08E9"/>
    <w:rsid w:val="1157552B"/>
    <w:rsid w:val="12B320C8"/>
    <w:rsid w:val="13064D3F"/>
    <w:rsid w:val="1399374C"/>
    <w:rsid w:val="13F900FC"/>
    <w:rsid w:val="14521AA0"/>
    <w:rsid w:val="146C41CB"/>
    <w:rsid w:val="15BE749A"/>
    <w:rsid w:val="15E02F18"/>
    <w:rsid w:val="166F3635"/>
    <w:rsid w:val="185A544F"/>
    <w:rsid w:val="18890233"/>
    <w:rsid w:val="198737C7"/>
    <w:rsid w:val="19DC6BDA"/>
    <w:rsid w:val="1AA56FDE"/>
    <w:rsid w:val="1AB93FC6"/>
    <w:rsid w:val="1B487432"/>
    <w:rsid w:val="1B7913A6"/>
    <w:rsid w:val="1C742A28"/>
    <w:rsid w:val="1CAA3340"/>
    <w:rsid w:val="1CD34128"/>
    <w:rsid w:val="1CDE6781"/>
    <w:rsid w:val="1F457921"/>
    <w:rsid w:val="20805A0F"/>
    <w:rsid w:val="21677697"/>
    <w:rsid w:val="229536BA"/>
    <w:rsid w:val="22A244DC"/>
    <w:rsid w:val="2378337E"/>
    <w:rsid w:val="23AE001C"/>
    <w:rsid w:val="251A0B90"/>
    <w:rsid w:val="25251AF7"/>
    <w:rsid w:val="25C26B32"/>
    <w:rsid w:val="272E083D"/>
    <w:rsid w:val="284A39BF"/>
    <w:rsid w:val="28A354BE"/>
    <w:rsid w:val="2A1060BE"/>
    <w:rsid w:val="2A6366FF"/>
    <w:rsid w:val="2A6807FA"/>
    <w:rsid w:val="2B32649C"/>
    <w:rsid w:val="2B9B5E5B"/>
    <w:rsid w:val="2C270527"/>
    <w:rsid w:val="2C4141D8"/>
    <w:rsid w:val="2F1F33A8"/>
    <w:rsid w:val="2F5836E9"/>
    <w:rsid w:val="30123142"/>
    <w:rsid w:val="302169BE"/>
    <w:rsid w:val="304A7E50"/>
    <w:rsid w:val="314B6E80"/>
    <w:rsid w:val="31BF0628"/>
    <w:rsid w:val="32843E96"/>
    <w:rsid w:val="32D33460"/>
    <w:rsid w:val="352F03C1"/>
    <w:rsid w:val="36162BCB"/>
    <w:rsid w:val="36412810"/>
    <w:rsid w:val="36BD312A"/>
    <w:rsid w:val="37514AF4"/>
    <w:rsid w:val="377C0298"/>
    <w:rsid w:val="37F61CA1"/>
    <w:rsid w:val="39C31C6C"/>
    <w:rsid w:val="3C283344"/>
    <w:rsid w:val="3C3420E0"/>
    <w:rsid w:val="3C485F9D"/>
    <w:rsid w:val="3C7C70D7"/>
    <w:rsid w:val="3CB84BBF"/>
    <w:rsid w:val="3CDA4D81"/>
    <w:rsid w:val="3D3879AE"/>
    <w:rsid w:val="3E0C6463"/>
    <w:rsid w:val="3E564C85"/>
    <w:rsid w:val="3F8142B1"/>
    <w:rsid w:val="403E57B7"/>
    <w:rsid w:val="40532D51"/>
    <w:rsid w:val="40577F1E"/>
    <w:rsid w:val="4179370E"/>
    <w:rsid w:val="41D016DB"/>
    <w:rsid w:val="42112513"/>
    <w:rsid w:val="43496F4C"/>
    <w:rsid w:val="435518AD"/>
    <w:rsid w:val="437A2DA4"/>
    <w:rsid w:val="44873A1C"/>
    <w:rsid w:val="4491515E"/>
    <w:rsid w:val="470471FE"/>
    <w:rsid w:val="472961BF"/>
    <w:rsid w:val="49105C83"/>
    <w:rsid w:val="499917D4"/>
    <w:rsid w:val="49A53D97"/>
    <w:rsid w:val="4AE27CAC"/>
    <w:rsid w:val="4BAC48C9"/>
    <w:rsid w:val="4E191EC4"/>
    <w:rsid w:val="4F251D5C"/>
    <w:rsid w:val="4FD65994"/>
    <w:rsid w:val="4FEB08B0"/>
    <w:rsid w:val="50772E11"/>
    <w:rsid w:val="50886E1D"/>
    <w:rsid w:val="513B5867"/>
    <w:rsid w:val="51454B8D"/>
    <w:rsid w:val="514563A8"/>
    <w:rsid w:val="523875F5"/>
    <w:rsid w:val="52506204"/>
    <w:rsid w:val="52B35FD7"/>
    <w:rsid w:val="533B163F"/>
    <w:rsid w:val="53FA1DF3"/>
    <w:rsid w:val="54AB2D04"/>
    <w:rsid w:val="56F563A5"/>
    <w:rsid w:val="571F3A0C"/>
    <w:rsid w:val="57F2034A"/>
    <w:rsid w:val="58235318"/>
    <w:rsid w:val="58354DBE"/>
    <w:rsid w:val="59121C77"/>
    <w:rsid w:val="59DD570D"/>
    <w:rsid w:val="59DE0E09"/>
    <w:rsid w:val="5A283DD0"/>
    <w:rsid w:val="5A2E5F69"/>
    <w:rsid w:val="5ACD76EE"/>
    <w:rsid w:val="5B3D7F5F"/>
    <w:rsid w:val="5EFD2476"/>
    <w:rsid w:val="5F0279C4"/>
    <w:rsid w:val="5F944466"/>
    <w:rsid w:val="6139287F"/>
    <w:rsid w:val="61F56B7E"/>
    <w:rsid w:val="62121B84"/>
    <w:rsid w:val="63CF15A0"/>
    <w:rsid w:val="657B7ADB"/>
    <w:rsid w:val="660E4A3F"/>
    <w:rsid w:val="66547DF0"/>
    <w:rsid w:val="673E5F91"/>
    <w:rsid w:val="679754A0"/>
    <w:rsid w:val="67D649B5"/>
    <w:rsid w:val="68C66552"/>
    <w:rsid w:val="6A4E3ABD"/>
    <w:rsid w:val="6ABD4230"/>
    <w:rsid w:val="6AE63D7E"/>
    <w:rsid w:val="6B462C2B"/>
    <w:rsid w:val="6BDC6E7B"/>
    <w:rsid w:val="6EAC75B8"/>
    <w:rsid w:val="6F266233"/>
    <w:rsid w:val="700D088C"/>
    <w:rsid w:val="700E4F44"/>
    <w:rsid w:val="70173239"/>
    <w:rsid w:val="70FC24C5"/>
    <w:rsid w:val="714F4CF5"/>
    <w:rsid w:val="71A36DE5"/>
    <w:rsid w:val="721A5B23"/>
    <w:rsid w:val="72B931C1"/>
    <w:rsid w:val="738D03F5"/>
    <w:rsid w:val="7420296E"/>
    <w:rsid w:val="7431692A"/>
    <w:rsid w:val="767E5B01"/>
    <w:rsid w:val="779944AF"/>
    <w:rsid w:val="78160310"/>
    <w:rsid w:val="785A54C0"/>
    <w:rsid w:val="78D32916"/>
    <w:rsid w:val="78FD6DDA"/>
    <w:rsid w:val="79EB254B"/>
    <w:rsid w:val="7AF4716D"/>
    <w:rsid w:val="7B3A5558"/>
    <w:rsid w:val="7BA82ABD"/>
    <w:rsid w:val="7BA952E8"/>
    <w:rsid w:val="7C662D96"/>
    <w:rsid w:val="7D797C2B"/>
    <w:rsid w:val="7D810EAC"/>
    <w:rsid w:val="7D955BFE"/>
    <w:rsid w:val="7DAC6A56"/>
    <w:rsid w:val="7E0230E5"/>
    <w:rsid w:val="7E1A3F8B"/>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27876</Words>
  <Characters>29568</Characters>
  <Lines>0</Lines>
  <Paragraphs>0</Paragraphs>
  <TotalTime>42</TotalTime>
  <ScaleCrop>false</ScaleCrop>
  <LinksUpToDate>false</LinksUpToDate>
  <CharactersWithSpaces>32766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2024-07-16T07:11:38Z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