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BCD9B">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u w:val="single"/>
        </w:rPr>
      </w:pPr>
      <w:bookmarkStart w:id="0" w:name="Content"/>
    </w:p>
    <w:p w14:paraId="717B83FD">
      <w:pPr>
        <w:autoSpaceDE w:val="0"/>
        <w:autoSpaceDN w:val="0"/>
        <w:adjustRightInd w:val="0"/>
        <w:snapToGrid w:val="0"/>
        <w:spacing w:line="360" w:lineRule="auto"/>
        <w:jc w:val="center"/>
        <w:rPr>
          <w:rFonts w:hint="eastAsia" w:ascii="宋体" w:hAnsi="宋体" w:eastAsia="宋体" w:cs="宋体"/>
          <w:b/>
          <w:snapToGrid w:val="0"/>
          <w:color w:val="auto"/>
          <w:kern w:val="0"/>
          <w:sz w:val="44"/>
          <w:szCs w:val="44"/>
          <w:highlight w:val="none"/>
          <w:lang w:val="zh-CN"/>
        </w:rPr>
      </w:pPr>
      <w:r>
        <w:rPr>
          <w:rFonts w:hint="eastAsia" w:ascii="宋体" w:hAnsi="宋体" w:eastAsia="宋体" w:cs="宋体"/>
          <w:b/>
          <w:snapToGrid w:val="0"/>
          <w:color w:val="auto"/>
          <w:kern w:val="0"/>
          <w:sz w:val="44"/>
          <w:szCs w:val="44"/>
          <w:highlight w:val="none"/>
          <w:u w:val="single"/>
        </w:rPr>
        <w:t>杭州临江环境能源有限公司</w:t>
      </w:r>
    </w:p>
    <w:p w14:paraId="26AAED61">
      <w:pPr>
        <w:pStyle w:val="11"/>
        <w:snapToGrid w:val="0"/>
        <w:spacing w:line="360" w:lineRule="auto"/>
        <w:jc w:val="center"/>
        <w:rPr>
          <w:rFonts w:hint="eastAsia" w:ascii="宋体" w:hAnsi="宋体" w:eastAsia="宋体" w:cs="宋体"/>
          <w:b/>
          <w:snapToGrid w:val="0"/>
          <w:color w:val="auto"/>
          <w:sz w:val="44"/>
          <w:szCs w:val="44"/>
          <w:highlight w:val="none"/>
          <w:u w:val="single"/>
          <w:lang w:val="zh-CN"/>
        </w:rPr>
      </w:pPr>
      <w:r>
        <w:rPr>
          <w:rFonts w:hint="eastAsia" w:hAnsi="宋体" w:cs="宋体"/>
          <w:b/>
          <w:snapToGrid w:val="0"/>
          <w:color w:val="auto"/>
          <w:sz w:val="44"/>
          <w:szCs w:val="44"/>
          <w:highlight w:val="none"/>
          <w:u w:val="single"/>
          <w:lang w:val="zh-CN"/>
        </w:rPr>
        <w:t>2024年-2026年临江公司水泥采购项目</w:t>
      </w:r>
    </w:p>
    <w:p w14:paraId="050B46A3">
      <w:pPr>
        <w:autoSpaceDE w:val="0"/>
        <w:autoSpaceDN w:val="0"/>
        <w:adjustRightInd w:val="0"/>
        <w:snapToGrid w:val="0"/>
        <w:spacing w:line="360" w:lineRule="auto"/>
        <w:jc w:val="center"/>
        <w:rPr>
          <w:rFonts w:hint="eastAsia" w:ascii="宋体" w:hAnsi="宋体" w:eastAsia="宋体" w:cs="宋体"/>
          <w:snapToGrid w:val="0"/>
          <w:color w:val="auto"/>
          <w:kern w:val="0"/>
          <w:sz w:val="52"/>
          <w:szCs w:val="52"/>
          <w:highlight w:val="none"/>
        </w:rPr>
      </w:pPr>
    </w:p>
    <w:p w14:paraId="10F57C66">
      <w:pPr>
        <w:pStyle w:val="30"/>
        <w:rPr>
          <w:rFonts w:hint="eastAsia" w:ascii="宋体" w:hAnsi="宋体" w:eastAsia="宋体" w:cs="宋体"/>
          <w:color w:val="auto"/>
          <w:highlight w:val="none"/>
        </w:rPr>
      </w:pPr>
    </w:p>
    <w:p w14:paraId="5C1B8097">
      <w:pPr>
        <w:autoSpaceDE w:val="0"/>
        <w:autoSpaceDN w:val="0"/>
        <w:adjustRightInd w:val="0"/>
        <w:snapToGrid w:val="0"/>
        <w:spacing w:line="36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14:paraId="0C2642FA">
      <w:pPr>
        <w:autoSpaceDE w:val="0"/>
        <w:autoSpaceDN w:val="0"/>
        <w:adjustRightInd w:val="0"/>
        <w:snapToGrid w:val="0"/>
        <w:spacing w:line="360" w:lineRule="auto"/>
        <w:jc w:val="center"/>
        <w:rPr>
          <w:rFonts w:hint="eastAsia" w:ascii="宋体" w:hAnsi="宋体" w:eastAsia="宋体" w:cs="宋体"/>
          <w:b/>
          <w:snapToGrid w:val="0"/>
          <w:color w:val="auto"/>
          <w:kern w:val="0"/>
          <w:szCs w:val="32"/>
          <w:highlight w:val="none"/>
        </w:rPr>
      </w:pPr>
    </w:p>
    <w:p w14:paraId="1B9FD06D">
      <w:pPr>
        <w:autoSpaceDE w:val="0"/>
        <w:autoSpaceDN w:val="0"/>
        <w:adjustRightInd w:val="0"/>
        <w:snapToGrid w:val="0"/>
        <w:spacing w:line="360" w:lineRule="auto"/>
        <w:jc w:val="center"/>
        <w:rPr>
          <w:rFonts w:hint="default" w:ascii="宋体" w:hAnsi="宋体" w:eastAsia="宋体" w:cs="宋体"/>
          <w:b/>
          <w:snapToGrid w:val="0"/>
          <w:color w:val="auto"/>
          <w:kern w:val="0"/>
          <w:szCs w:val="32"/>
          <w:highlight w:val="none"/>
          <w:lang w:val="en-US" w:eastAsia="zh-CN"/>
        </w:rPr>
      </w:pPr>
      <w:r>
        <w:rPr>
          <w:rFonts w:hint="eastAsia" w:ascii="宋体" w:hAnsi="宋体" w:eastAsia="宋体" w:cs="宋体"/>
          <w:b/>
          <w:snapToGrid w:val="0"/>
          <w:color w:val="auto"/>
          <w:kern w:val="0"/>
          <w:szCs w:val="32"/>
          <w:highlight w:val="none"/>
        </w:rPr>
        <w:t>招标编号：</w:t>
      </w:r>
      <w:r>
        <w:rPr>
          <w:rFonts w:hint="eastAsia" w:ascii="宋体" w:hAnsi="宋体" w:eastAsia="宋体" w:cs="宋体"/>
          <w:b/>
          <w:snapToGrid w:val="0"/>
          <w:color w:val="auto"/>
          <w:kern w:val="0"/>
          <w:szCs w:val="32"/>
          <w:highlight w:val="none"/>
          <w:u w:val="single"/>
          <w:lang w:val="en-US" w:eastAsia="zh-CN"/>
        </w:rPr>
        <w:t>NY-1HZB2408069</w:t>
      </w:r>
    </w:p>
    <w:p w14:paraId="59DBF4B3">
      <w:pPr>
        <w:pStyle w:val="11"/>
        <w:snapToGrid w:val="0"/>
        <w:spacing w:line="360" w:lineRule="auto"/>
        <w:jc w:val="center"/>
        <w:rPr>
          <w:rFonts w:hint="eastAsia" w:ascii="宋体" w:hAnsi="宋体" w:eastAsia="宋体" w:cs="宋体"/>
          <w:snapToGrid w:val="0"/>
          <w:color w:val="auto"/>
          <w:sz w:val="32"/>
          <w:highlight w:val="none"/>
        </w:rPr>
      </w:pPr>
    </w:p>
    <w:p w14:paraId="2A5198A5">
      <w:pPr>
        <w:pStyle w:val="11"/>
        <w:snapToGrid w:val="0"/>
        <w:spacing w:line="360" w:lineRule="auto"/>
        <w:jc w:val="both"/>
        <w:rPr>
          <w:rFonts w:hint="eastAsia" w:ascii="宋体" w:hAnsi="宋体" w:eastAsia="宋体" w:cs="宋体"/>
          <w:snapToGrid w:val="0"/>
          <w:color w:val="auto"/>
          <w:sz w:val="32"/>
          <w:highlight w:val="none"/>
        </w:rPr>
      </w:pPr>
    </w:p>
    <w:p w14:paraId="2306494C">
      <w:pPr>
        <w:pStyle w:val="11"/>
        <w:snapToGrid w:val="0"/>
        <w:spacing w:line="360" w:lineRule="auto"/>
        <w:rPr>
          <w:rFonts w:hint="eastAsia" w:ascii="宋体" w:hAnsi="宋体" w:eastAsia="宋体" w:cs="宋体"/>
          <w:snapToGrid w:val="0"/>
          <w:color w:val="auto"/>
          <w:sz w:val="32"/>
          <w:highlight w:val="none"/>
        </w:rPr>
      </w:pPr>
    </w:p>
    <w:p w14:paraId="791AF5DB">
      <w:pPr>
        <w:pStyle w:val="11"/>
        <w:snapToGrid w:val="0"/>
        <w:spacing w:line="360" w:lineRule="auto"/>
        <w:jc w:val="center"/>
        <w:rPr>
          <w:rFonts w:hint="eastAsia" w:ascii="宋体" w:hAnsi="宋体" w:eastAsia="宋体" w:cs="宋体"/>
          <w:snapToGrid w:val="0"/>
          <w:color w:val="auto"/>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14:paraId="6E27263D">
        <w:tblPrEx>
          <w:tblCellMar>
            <w:top w:w="0" w:type="dxa"/>
            <w:left w:w="108" w:type="dxa"/>
            <w:bottom w:w="0" w:type="dxa"/>
            <w:right w:w="108" w:type="dxa"/>
          </w:tblCellMar>
        </w:tblPrEx>
        <w:trPr>
          <w:trHeight w:val="822" w:hRule="atLeast"/>
          <w:jc w:val="center"/>
        </w:trPr>
        <w:tc>
          <w:tcPr>
            <w:tcW w:w="2376" w:type="dxa"/>
            <w:vAlign w:val="center"/>
          </w:tcPr>
          <w:p w14:paraId="7DBB1CB7">
            <w:pPr>
              <w:pStyle w:val="11"/>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 标 人：</w:t>
            </w:r>
          </w:p>
        </w:tc>
        <w:tc>
          <w:tcPr>
            <w:tcW w:w="6723" w:type="dxa"/>
            <w:vAlign w:val="center"/>
          </w:tcPr>
          <w:p w14:paraId="2BB19457">
            <w:pPr>
              <w:pStyle w:val="11"/>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u w:val="single"/>
              </w:rPr>
              <w:t xml:space="preserve"> 杭州临江环境能源有限公司 </w:t>
            </w:r>
            <w:r>
              <w:rPr>
                <w:rFonts w:hint="eastAsia" w:ascii="宋体" w:hAnsi="宋体" w:eastAsia="宋体" w:cs="宋体"/>
                <w:snapToGrid w:val="0"/>
                <w:color w:val="auto"/>
                <w:sz w:val="32"/>
                <w:highlight w:val="none"/>
              </w:rPr>
              <w:t>（盖单位公章）</w:t>
            </w:r>
          </w:p>
        </w:tc>
      </w:tr>
      <w:tr w14:paraId="0B3F145C">
        <w:tblPrEx>
          <w:tblCellMar>
            <w:top w:w="0" w:type="dxa"/>
            <w:left w:w="108" w:type="dxa"/>
            <w:bottom w:w="0" w:type="dxa"/>
            <w:right w:w="108" w:type="dxa"/>
          </w:tblCellMar>
        </w:tblPrEx>
        <w:trPr>
          <w:trHeight w:val="694" w:hRule="atLeast"/>
          <w:jc w:val="center"/>
        </w:trPr>
        <w:tc>
          <w:tcPr>
            <w:tcW w:w="2376" w:type="dxa"/>
            <w:vAlign w:val="center"/>
          </w:tcPr>
          <w:p w14:paraId="143DA907">
            <w:pPr>
              <w:pStyle w:val="11"/>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招标代理：</w:t>
            </w:r>
          </w:p>
        </w:tc>
        <w:tc>
          <w:tcPr>
            <w:tcW w:w="6723" w:type="dxa"/>
            <w:vAlign w:val="center"/>
          </w:tcPr>
          <w:p w14:paraId="4623FF3C">
            <w:pPr>
              <w:pStyle w:val="11"/>
              <w:snapToGrid w:val="0"/>
              <w:jc w:val="left"/>
              <w:rPr>
                <w:rFonts w:hint="eastAsia" w:ascii="宋体" w:hAnsi="宋体" w:eastAsia="宋体" w:cs="宋体"/>
                <w:snapToGrid w:val="0"/>
                <w:color w:val="auto"/>
                <w:sz w:val="32"/>
                <w:highlight w:val="none"/>
              </w:rPr>
            </w:pPr>
            <w:r>
              <w:rPr>
                <w:rFonts w:hint="eastAsia" w:ascii="宋体" w:hAnsi="宋体" w:eastAsia="宋体" w:cs="宋体"/>
                <w:snapToGrid w:val="0"/>
                <w:sz w:val="32"/>
                <w:highlight w:val="none"/>
                <w:u w:val="single"/>
              </w:rPr>
              <w:t xml:space="preserve"> </w:t>
            </w:r>
            <w:r>
              <w:rPr>
                <w:rFonts w:hint="eastAsia" w:hAnsi="宋体" w:cs="宋体"/>
                <w:snapToGrid w:val="0"/>
                <w:sz w:val="32"/>
                <w:highlight w:val="none"/>
                <w:u w:val="single"/>
                <w:lang w:val="en-US" w:eastAsia="zh-CN"/>
              </w:rPr>
              <w:t>浙江省成套招标代理有限公司</w:t>
            </w:r>
            <w:r>
              <w:rPr>
                <w:rFonts w:hint="eastAsia" w:ascii="宋体" w:hAnsi="宋体" w:eastAsia="宋体" w:cs="宋体"/>
                <w:snapToGrid w:val="0"/>
                <w:sz w:val="32"/>
                <w:highlight w:val="none"/>
                <w:u w:val="single"/>
              </w:rPr>
              <w:t xml:space="preserve"> </w:t>
            </w:r>
            <w:r>
              <w:rPr>
                <w:rFonts w:hint="eastAsia" w:ascii="宋体" w:hAnsi="宋体" w:eastAsia="宋体" w:cs="宋体"/>
                <w:snapToGrid w:val="0"/>
                <w:sz w:val="32"/>
                <w:highlight w:val="none"/>
                <w:u w:val="none"/>
                <w:lang w:eastAsia="zh-CN"/>
              </w:rPr>
              <w:t>（</w:t>
            </w:r>
            <w:r>
              <w:rPr>
                <w:rFonts w:hint="eastAsia" w:ascii="宋体" w:hAnsi="宋体" w:eastAsia="宋体" w:cs="宋体"/>
                <w:snapToGrid w:val="0"/>
                <w:color w:val="auto"/>
                <w:sz w:val="32"/>
                <w:highlight w:val="none"/>
              </w:rPr>
              <w:t>盖单位公章）</w:t>
            </w:r>
          </w:p>
        </w:tc>
      </w:tr>
      <w:tr w14:paraId="497E61E5">
        <w:tblPrEx>
          <w:tblCellMar>
            <w:top w:w="0" w:type="dxa"/>
            <w:left w:w="108" w:type="dxa"/>
            <w:bottom w:w="0" w:type="dxa"/>
            <w:right w:w="108" w:type="dxa"/>
          </w:tblCellMar>
        </w:tblPrEx>
        <w:trPr>
          <w:trHeight w:val="562" w:hRule="atLeast"/>
          <w:jc w:val="center"/>
        </w:trPr>
        <w:tc>
          <w:tcPr>
            <w:tcW w:w="9099" w:type="dxa"/>
            <w:gridSpan w:val="2"/>
            <w:vAlign w:val="center"/>
          </w:tcPr>
          <w:p w14:paraId="6B6423F4">
            <w:pPr>
              <w:pStyle w:val="11"/>
              <w:snapToGrid w:val="0"/>
              <w:jc w:val="center"/>
              <w:rPr>
                <w:rFonts w:hint="eastAsia" w:ascii="宋体" w:hAnsi="宋体" w:eastAsia="宋体" w:cs="宋体"/>
                <w:snapToGrid w:val="0"/>
                <w:color w:val="auto"/>
                <w:sz w:val="32"/>
                <w:highlight w:val="none"/>
              </w:rPr>
            </w:pPr>
            <w:r>
              <w:rPr>
                <w:rFonts w:hint="eastAsia" w:ascii="宋体" w:hAnsi="宋体" w:eastAsia="宋体" w:cs="宋体"/>
                <w:snapToGrid w:val="0"/>
                <w:color w:val="auto"/>
                <w:sz w:val="32"/>
                <w:highlight w:val="none"/>
              </w:rPr>
              <w:t>日期：2024年</w:t>
            </w:r>
            <w:r>
              <w:rPr>
                <w:rFonts w:hint="eastAsia" w:hAnsi="宋体" w:cs="宋体"/>
                <w:snapToGrid w:val="0"/>
                <w:color w:val="auto"/>
                <w:sz w:val="32"/>
                <w:highlight w:val="none"/>
                <w:lang w:val="en-US" w:eastAsia="zh-CN"/>
              </w:rPr>
              <w:t>8</w:t>
            </w:r>
            <w:r>
              <w:rPr>
                <w:rFonts w:hint="eastAsia" w:ascii="宋体" w:hAnsi="宋体" w:eastAsia="宋体" w:cs="宋体"/>
                <w:snapToGrid w:val="0"/>
                <w:color w:val="auto"/>
                <w:sz w:val="32"/>
                <w:highlight w:val="none"/>
              </w:rPr>
              <w:t xml:space="preserve"> 月</w:t>
            </w:r>
            <w:r>
              <w:rPr>
                <w:rFonts w:hint="eastAsia" w:hAnsi="宋体" w:cs="宋体"/>
                <w:snapToGrid w:val="0"/>
                <w:color w:val="auto"/>
                <w:sz w:val="32"/>
                <w:highlight w:val="none"/>
                <w:lang w:val="en-US" w:eastAsia="zh-CN"/>
              </w:rPr>
              <w:t>22</w:t>
            </w:r>
            <w:r>
              <w:rPr>
                <w:rFonts w:hint="eastAsia" w:ascii="宋体" w:hAnsi="宋体" w:eastAsia="宋体" w:cs="宋体"/>
                <w:snapToGrid w:val="0"/>
                <w:color w:val="auto"/>
                <w:sz w:val="32"/>
                <w:highlight w:val="none"/>
              </w:rPr>
              <w:t xml:space="preserve"> 日</w:t>
            </w:r>
          </w:p>
        </w:tc>
      </w:tr>
    </w:tbl>
    <w:p w14:paraId="40D98139">
      <w:pPr>
        <w:spacing w:line="560" w:lineRule="exact"/>
        <w:jc w:val="both"/>
        <w:rPr>
          <w:rFonts w:hint="eastAsia" w:ascii="宋体" w:hAnsi="宋体" w:eastAsia="宋体" w:cs="宋体"/>
          <w:b/>
          <w:bCs/>
          <w:color w:val="auto"/>
          <w:sz w:val="44"/>
          <w:szCs w:val="44"/>
          <w:highlight w:val="none"/>
        </w:rPr>
      </w:pPr>
    </w:p>
    <w:p w14:paraId="62BEADEA">
      <w:pPr>
        <w:jc w:val="center"/>
        <w:rPr>
          <w:rFonts w:hint="eastAsia" w:ascii="宋体" w:hAnsi="宋体" w:eastAsia="宋体" w:cs="宋体"/>
          <w:color w:val="auto"/>
          <w:sz w:val="44"/>
          <w:highlight w:val="none"/>
        </w:rPr>
      </w:pPr>
    </w:p>
    <w:p w14:paraId="3596C3C8">
      <w:pPr>
        <w:jc w:val="center"/>
        <w:rPr>
          <w:rFonts w:hint="eastAsia" w:ascii="宋体" w:hAnsi="宋体" w:eastAsia="宋体" w:cs="宋体"/>
          <w:color w:val="auto"/>
          <w:sz w:val="4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p>
    <w:p w14:paraId="0CAE28F0">
      <w:pPr>
        <w:jc w:val="center"/>
        <w:rPr>
          <w:rFonts w:hint="eastAsia" w:ascii="宋体" w:hAnsi="宋体" w:eastAsia="宋体" w:cs="宋体"/>
          <w:color w:val="auto"/>
          <w:sz w:val="44"/>
          <w:highlight w:val="none"/>
        </w:rPr>
      </w:pPr>
    </w:p>
    <w:p w14:paraId="028369BA">
      <w:pPr>
        <w:jc w:val="center"/>
        <w:rPr>
          <w:rFonts w:hint="eastAsia" w:ascii="宋体" w:hAnsi="宋体" w:eastAsia="宋体" w:cs="宋体"/>
          <w:color w:val="auto"/>
          <w:sz w:val="44"/>
          <w:highlight w:val="none"/>
        </w:rPr>
      </w:pPr>
    </w:p>
    <w:p w14:paraId="53E96F7B">
      <w:pPr>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2CD9E740">
      <w:pPr>
        <w:rPr>
          <w:rFonts w:hint="eastAsia" w:ascii="宋体" w:hAnsi="宋体" w:eastAsia="宋体" w:cs="宋体"/>
          <w:color w:val="auto"/>
          <w:highlight w:val="none"/>
        </w:rPr>
      </w:pPr>
    </w:p>
    <w:p w14:paraId="0243494F">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32"/>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"1-2" \h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_Toc30405 </w:instrText>
      </w:r>
      <w:r>
        <w:rPr>
          <w:rFonts w:hint="eastAsia" w:ascii="宋体" w:hAnsi="宋体" w:eastAsia="宋体" w:cs="宋体"/>
          <w:sz w:val="24"/>
          <w:szCs w:val="32"/>
          <w:highlight w:val="none"/>
        </w:rPr>
        <w:fldChar w:fldCharType="separate"/>
      </w:r>
      <w:r>
        <w:rPr>
          <w:rFonts w:hint="eastAsia" w:ascii="宋体" w:hAnsi="宋体" w:eastAsia="宋体" w:cs="宋体"/>
          <w:bCs/>
          <w:kern w:val="0"/>
          <w:sz w:val="24"/>
          <w:szCs w:val="40"/>
          <w:highlight w:val="none"/>
        </w:rPr>
        <w:t>第一章 招标公告</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_Toc30405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2</w:t>
      </w:r>
      <w:r>
        <w:rPr>
          <w:rFonts w:hint="eastAsia" w:ascii="宋体" w:hAnsi="宋体" w:eastAsia="宋体" w:cs="宋体"/>
          <w:sz w:val="24"/>
          <w:szCs w:val="32"/>
          <w:highlight w:val="none"/>
        </w:rPr>
        <w:fldChar w:fldCharType="end"/>
      </w:r>
      <w:r>
        <w:rPr>
          <w:rFonts w:hint="eastAsia" w:ascii="宋体" w:hAnsi="宋体" w:eastAsia="宋体" w:cs="宋体"/>
          <w:color w:val="auto"/>
          <w:sz w:val="24"/>
          <w:szCs w:val="32"/>
          <w:highlight w:val="none"/>
        </w:rPr>
        <w:fldChar w:fldCharType="end"/>
      </w:r>
    </w:p>
    <w:p w14:paraId="6B3FD2D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3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_Toc915 </w:instrText>
      </w:r>
      <w:r>
        <w:rPr>
          <w:rFonts w:hint="eastAsia" w:ascii="宋体" w:hAnsi="宋体" w:eastAsia="宋体" w:cs="宋体"/>
          <w:sz w:val="24"/>
          <w:szCs w:val="32"/>
          <w:highlight w:val="none"/>
        </w:rPr>
        <w:fldChar w:fldCharType="separate"/>
      </w:r>
      <w:r>
        <w:rPr>
          <w:rFonts w:hint="eastAsia" w:ascii="宋体" w:hAnsi="宋体" w:eastAsia="宋体" w:cs="宋体"/>
          <w:bCs/>
          <w:kern w:val="0"/>
          <w:sz w:val="24"/>
          <w:szCs w:val="40"/>
          <w:highlight w:val="none"/>
        </w:rPr>
        <w:t>第二章 投标人须知</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_Toc915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6</w:t>
      </w:r>
      <w:r>
        <w:rPr>
          <w:rFonts w:hint="eastAsia" w:ascii="宋体" w:hAnsi="宋体" w:eastAsia="宋体" w:cs="宋体"/>
          <w:sz w:val="24"/>
          <w:szCs w:val="32"/>
          <w:highlight w:val="none"/>
        </w:rPr>
        <w:fldChar w:fldCharType="end"/>
      </w:r>
      <w:r>
        <w:rPr>
          <w:rFonts w:hint="eastAsia" w:ascii="宋体" w:hAnsi="宋体" w:eastAsia="宋体" w:cs="宋体"/>
          <w:color w:val="auto"/>
          <w:sz w:val="24"/>
          <w:szCs w:val="32"/>
          <w:highlight w:val="none"/>
        </w:rPr>
        <w:fldChar w:fldCharType="end"/>
      </w:r>
    </w:p>
    <w:p w14:paraId="261BB8E9">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3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_Toc26634 </w:instrText>
      </w:r>
      <w:r>
        <w:rPr>
          <w:rFonts w:hint="eastAsia" w:ascii="宋体" w:hAnsi="宋体" w:eastAsia="宋体" w:cs="宋体"/>
          <w:sz w:val="24"/>
          <w:szCs w:val="32"/>
          <w:highlight w:val="none"/>
        </w:rPr>
        <w:fldChar w:fldCharType="separate"/>
      </w:r>
      <w:r>
        <w:rPr>
          <w:rFonts w:hint="eastAsia" w:ascii="宋体" w:hAnsi="宋体" w:eastAsia="宋体" w:cs="宋体"/>
          <w:bCs w:val="0"/>
          <w:sz w:val="24"/>
          <w:szCs w:val="32"/>
          <w:highlight w:val="none"/>
        </w:rPr>
        <w:t>第三章  用户需求及技术要求</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_Toc26634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23</w:t>
      </w:r>
      <w:r>
        <w:rPr>
          <w:rFonts w:hint="eastAsia" w:ascii="宋体" w:hAnsi="宋体" w:eastAsia="宋体" w:cs="宋体"/>
          <w:sz w:val="24"/>
          <w:szCs w:val="32"/>
          <w:highlight w:val="none"/>
        </w:rPr>
        <w:fldChar w:fldCharType="end"/>
      </w:r>
      <w:r>
        <w:rPr>
          <w:rFonts w:hint="eastAsia" w:ascii="宋体" w:hAnsi="宋体" w:eastAsia="宋体" w:cs="宋体"/>
          <w:color w:val="auto"/>
          <w:sz w:val="24"/>
          <w:szCs w:val="32"/>
          <w:highlight w:val="none"/>
        </w:rPr>
        <w:fldChar w:fldCharType="end"/>
      </w:r>
    </w:p>
    <w:p w14:paraId="651C4A78">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3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_Toc26988 </w:instrText>
      </w:r>
      <w:r>
        <w:rPr>
          <w:rFonts w:hint="eastAsia" w:ascii="宋体" w:hAnsi="宋体" w:eastAsia="宋体" w:cs="宋体"/>
          <w:sz w:val="24"/>
          <w:szCs w:val="32"/>
          <w:highlight w:val="none"/>
        </w:rPr>
        <w:fldChar w:fldCharType="separate"/>
      </w:r>
      <w:r>
        <w:rPr>
          <w:rFonts w:hint="eastAsia" w:ascii="宋体" w:hAnsi="宋体" w:eastAsia="宋体" w:cs="宋体"/>
          <w:bCs w:val="0"/>
          <w:kern w:val="44"/>
          <w:sz w:val="24"/>
          <w:szCs w:val="52"/>
          <w:highlight w:val="none"/>
        </w:rPr>
        <w:t>第四章  评标方法及评价标准</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_Toc26988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26</w:t>
      </w:r>
      <w:r>
        <w:rPr>
          <w:rFonts w:hint="eastAsia" w:ascii="宋体" w:hAnsi="宋体" w:eastAsia="宋体" w:cs="宋体"/>
          <w:sz w:val="24"/>
          <w:szCs w:val="32"/>
          <w:highlight w:val="none"/>
        </w:rPr>
        <w:fldChar w:fldCharType="end"/>
      </w:r>
      <w:r>
        <w:rPr>
          <w:rFonts w:hint="eastAsia" w:ascii="宋体" w:hAnsi="宋体" w:eastAsia="宋体" w:cs="宋体"/>
          <w:color w:val="auto"/>
          <w:sz w:val="24"/>
          <w:szCs w:val="32"/>
          <w:highlight w:val="none"/>
        </w:rPr>
        <w:fldChar w:fldCharType="end"/>
      </w:r>
    </w:p>
    <w:p w14:paraId="12B683A5">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3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_Toc10023 </w:instrText>
      </w:r>
      <w:r>
        <w:rPr>
          <w:rFonts w:hint="eastAsia" w:ascii="宋体" w:hAnsi="宋体" w:eastAsia="宋体" w:cs="宋体"/>
          <w:sz w:val="24"/>
          <w:szCs w:val="32"/>
          <w:highlight w:val="none"/>
        </w:rPr>
        <w:fldChar w:fldCharType="separate"/>
      </w:r>
      <w:r>
        <w:rPr>
          <w:rFonts w:hint="eastAsia" w:ascii="宋体" w:hAnsi="宋体" w:eastAsia="宋体" w:cs="宋体"/>
          <w:bCs w:val="0"/>
          <w:kern w:val="44"/>
          <w:sz w:val="24"/>
          <w:szCs w:val="52"/>
          <w:highlight w:val="none"/>
        </w:rPr>
        <w:t>第五章  投标文件格式</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_Toc10023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30</w:t>
      </w:r>
      <w:r>
        <w:rPr>
          <w:rFonts w:hint="eastAsia" w:ascii="宋体" w:hAnsi="宋体" w:eastAsia="宋体" w:cs="宋体"/>
          <w:sz w:val="24"/>
          <w:szCs w:val="32"/>
          <w:highlight w:val="none"/>
        </w:rPr>
        <w:fldChar w:fldCharType="end"/>
      </w:r>
      <w:r>
        <w:rPr>
          <w:rFonts w:hint="eastAsia" w:ascii="宋体" w:hAnsi="宋体" w:eastAsia="宋体" w:cs="宋体"/>
          <w:color w:val="auto"/>
          <w:sz w:val="24"/>
          <w:szCs w:val="32"/>
          <w:highlight w:val="none"/>
        </w:rPr>
        <w:fldChar w:fldCharType="end"/>
      </w:r>
    </w:p>
    <w:p w14:paraId="1E44F30C">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80" w:lineRule="auto"/>
        <w:textAlignment w:val="auto"/>
        <w:rPr>
          <w:rFonts w:hint="eastAsia" w:ascii="宋体" w:hAnsi="宋体" w:eastAsia="宋体" w:cs="宋体"/>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sz w:val="24"/>
          <w:szCs w:val="32"/>
          <w:highlight w:val="none"/>
        </w:rPr>
        <w:instrText xml:space="preserve"> HYPERLINK \l _Toc14379 </w:instrText>
      </w:r>
      <w:r>
        <w:rPr>
          <w:rFonts w:hint="eastAsia" w:ascii="宋体" w:hAnsi="宋体" w:eastAsia="宋体" w:cs="宋体"/>
          <w:sz w:val="24"/>
          <w:szCs w:val="32"/>
          <w:highlight w:val="none"/>
        </w:rPr>
        <w:fldChar w:fldCharType="separate"/>
      </w:r>
      <w:r>
        <w:rPr>
          <w:rFonts w:hint="eastAsia" w:ascii="宋体" w:hAnsi="宋体" w:eastAsia="宋体" w:cs="宋体"/>
          <w:bCs w:val="0"/>
          <w:sz w:val="24"/>
          <w:szCs w:val="40"/>
          <w:highlight w:val="none"/>
        </w:rPr>
        <w:t>第六章  合同条款及格式（仅供参考，以实际签订为准）</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_Toc14379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50</w:t>
      </w:r>
      <w:r>
        <w:rPr>
          <w:rFonts w:hint="eastAsia" w:ascii="宋体" w:hAnsi="宋体" w:eastAsia="宋体" w:cs="宋体"/>
          <w:sz w:val="24"/>
          <w:szCs w:val="32"/>
          <w:highlight w:val="none"/>
        </w:rPr>
        <w:fldChar w:fldCharType="end"/>
      </w:r>
      <w:r>
        <w:rPr>
          <w:rFonts w:hint="eastAsia" w:ascii="宋体" w:hAnsi="宋体" w:eastAsia="宋体" w:cs="宋体"/>
          <w:color w:val="auto"/>
          <w:sz w:val="24"/>
          <w:szCs w:val="32"/>
          <w:highlight w:val="none"/>
        </w:rPr>
        <w:fldChar w:fldCharType="end"/>
      </w:r>
    </w:p>
    <w:p w14:paraId="7545BD3B">
      <w:pPr>
        <w:widowControl/>
        <w:spacing w:line="480" w:lineRule="exact"/>
        <w:jc w:val="center"/>
        <w:rPr>
          <w:rFonts w:hint="eastAsia" w:ascii="宋体" w:hAnsi="宋体" w:eastAsia="宋体" w:cs="宋体"/>
          <w:color w:val="auto"/>
          <w:sz w:val="24"/>
          <w:highlight w:val="none"/>
        </w:rPr>
        <w:sectPr>
          <w:footerReference r:id="rId8" w:type="default"/>
          <w:pgSz w:w="11906" w:h="16838"/>
          <w:pgMar w:top="1440" w:right="1080" w:bottom="1440" w:left="1080" w:header="0" w:footer="714" w:gutter="0"/>
          <w:pgNumType w:start="1"/>
          <w:cols w:space="720" w:num="1"/>
          <w:docGrid w:linePitch="286" w:charSpace="0"/>
        </w:sectPr>
      </w:pPr>
      <w:r>
        <w:rPr>
          <w:rFonts w:hint="eastAsia" w:ascii="宋体" w:hAnsi="宋体" w:eastAsia="宋体" w:cs="宋体"/>
          <w:color w:val="auto"/>
          <w:highlight w:val="none"/>
        </w:rPr>
        <w:fldChar w:fldCharType="end"/>
      </w:r>
    </w:p>
    <w:p w14:paraId="5B4CA662">
      <w:pPr>
        <w:keepNext w:val="0"/>
        <w:keepLines w:val="0"/>
        <w:pageBreakBefore w:val="0"/>
        <w:widowControl/>
        <w:kinsoku/>
        <w:wordWrap/>
        <w:overflowPunct/>
        <w:topLinePunct w:val="0"/>
        <w:autoSpaceDE/>
        <w:autoSpaceDN/>
        <w:bidi w:val="0"/>
        <w:adjustRightInd/>
        <w:snapToGrid/>
        <w:spacing w:before="219" w:beforeLines="50" w:after="437" w:afterLines="100" w:line="480" w:lineRule="exact"/>
        <w:jc w:val="center"/>
        <w:textAlignment w:val="auto"/>
        <w:outlineLvl w:val="0"/>
        <w:rPr>
          <w:rFonts w:hint="eastAsia" w:ascii="宋体" w:hAnsi="宋体" w:eastAsia="宋体" w:cs="宋体"/>
          <w:b/>
          <w:bCs/>
          <w:color w:val="auto"/>
          <w:kern w:val="0"/>
          <w:szCs w:val="32"/>
          <w:highlight w:val="none"/>
        </w:rPr>
      </w:pPr>
      <w:bookmarkStart w:id="1" w:name="_Toc30405"/>
      <w:r>
        <w:rPr>
          <w:rFonts w:hint="eastAsia" w:ascii="宋体" w:hAnsi="宋体" w:eastAsia="宋体" w:cs="宋体"/>
          <w:b/>
          <w:bCs/>
          <w:color w:val="auto"/>
          <w:kern w:val="0"/>
          <w:szCs w:val="32"/>
          <w:highlight w:val="none"/>
        </w:rPr>
        <w:t>第一章 招标公告</w:t>
      </w:r>
      <w:bookmarkEnd w:id="1"/>
    </w:p>
    <w:p w14:paraId="2D3DFFD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eastAsia="宋体" w:cs="宋体"/>
          <w:color w:val="auto"/>
          <w:sz w:val="24"/>
          <w:highlight w:val="none"/>
          <w:u w:val="single"/>
        </w:rPr>
        <w:t>杭州临江环境能源有限公司</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浙江省成套招标代理有限公司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zh-CN"/>
        </w:rPr>
        <w:t>2024年-2026年临江公司水泥采购项目</w:t>
      </w:r>
      <w:r>
        <w:rPr>
          <w:rFonts w:hint="eastAsia" w:ascii="宋体" w:hAnsi="宋体" w:eastAsia="宋体" w:cs="宋体"/>
          <w:color w:val="auto"/>
          <w:sz w:val="24"/>
          <w:highlight w:val="none"/>
        </w:rPr>
        <w:t>名称进行公开招标，欢迎对本项目有兴趣并符合投标人资格条件的投标人参加投标。</w:t>
      </w:r>
    </w:p>
    <w:p w14:paraId="6AFA6C53">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1、招标编号：</w:t>
      </w:r>
      <w:r>
        <w:rPr>
          <w:rFonts w:hint="eastAsia" w:ascii="宋体" w:hAnsi="宋体" w:eastAsia="宋体" w:cs="宋体"/>
          <w:bCs/>
          <w:color w:val="auto"/>
          <w:sz w:val="24"/>
          <w:highlight w:val="none"/>
          <w:u w:val="single"/>
          <w:lang w:val="en-US" w:eastAsia="zh-CN"/>
        </w:rPr>
        <w:t>NY-1HZB2408069</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rPr>
        <w:t xml:space="preserve"> </w:t>
      </w:r>
    </w:p>
    <w:p w14:paraId="33ECB0F0">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2、项目名称：</w:t>
      </w:r>
      <w:r>
        <w:rPr>
          <w:rFonts w:hint="eastAsia" w:ascii="宋体" w:hAnsi="宋体" w:eastAsia="宋体" w:cs="宋体"/>
          <w:color w:val="auto"/>
          <w:sz w:val="24"/>
          <w:highlight w:val="none"/>
          <w:u w:val="single"/>
          <w:lang w:val="zh-CN"/>
        </w:rPr>
        <w:t>2024年-2026年临江公司水泥采购项目</w:t>
      </w:r>
      <w:r>
        <w:rPr>
          <w:rFonts w:hint="eastAsia" w:ascii="宋体" w:hAnsi="宋体" w:eastAsia="宋体" w:cs="宋体"/>
          <w:bCs/>
          <w:color w:val="auto"/>
          <w:sz w:val="24"/>
          <w:highlight w:val="none"/>
        </w:rPr>
        <w:t>。</w:t>
      </w:r>
    </w:p>
    <w:p w14:paraId="62646860">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3、项目地点：</w:t>
      </w:r>
      <w:r>
        <w:rPr>
          <w:rFonts w:hint="eastAsia" w:ascii="宋体" w:hAnsi="宋体" w:eastAsia="宋体" w:cs="宋体"/>
          <w:color w:val="auto"/>
          <w:sz w:val="24"/>
          <w:highlight w:val="none"/>
          <w:u w:val="single"/>
          <w:lang w:val="zh-CN"/>
        </w:rPr>
        <w:t>杭州市钱塘区临江街道临江循环经济产业园内</w:t>
      </w:r>
      <w:r>
        <w:rPr>
          <w:rFonts w:hint="eastAsia" w:ascii="宋体" w:hAnsi="宋体" w:eastAsia="宋体" w:cs="宋体"/>
          <w:bCs/>
          <w:color w:val="auto"/>
          <w:sz w:val="24"/>
          <w:highlight w:val="none"/>
        </w:rPr>
        <w:t>。</w:t>
      </w:r>
    </w:p>
    <w:p w14:paraId="5AFD4240">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4、项目最高限价：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146</w:t>
      </w:r>
      <w:r>
        <w:rPr>
          <w:rFonts w:hint="eastAsia" w:ascii="宋体" w:hAnsi="宋体" w:eastAsia="宋体" w:cs="宋体"/>
          <w:b/>
          <w:color w:val="auto"/>
          <w:sz w:val="24"/>
          <w:highlight w:val="none"/>
        </w:rPr>
        <w:t>万元（含税），</w:t>
      </w:r>
      <w:r>
        <w:rPr>
          <w:rFonts w:hint="eastAsia" w:ascii="宋体" w:hAnsi="宋体" w:eastAsia="宋体" w:cs="宋体"/>
          <w:b/>
          <w:color w:val="auto"/>
          <w:sz w:val="24"/>
          <w:highlight w:val="none"/>
          <w:lang w:val="en-US" w:eastAsia="zh-CN"/>
        </w:rPr>
        <w:t>其中M32.5R袋装信息价下浮率不低于3%、M32.5R散装信息价下浮率不低于10%，</w:t>
      </w:r>
      <w:r>
        <w:rPr>
          <w:rFonts w:hint="eastAsia" w:ascii="宋体" w:hAnsi="宋体" w:eastAsia="宋体" w:cs="宋体"/>
          <w:b/>
          <w:color w:val="auto"/>
          <w:sz w:val="24"/>
          <w:highlight w:val="none"/>
        </w:rPr>
        <w:t>超过最高限价的按无效标处理。</w:t>
      </w:r>
    </w:p>
    <w:p w14:paraId="66BFD5D9">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5、招标人：</w:t>
      </w:r>
      <w:r>
        <w:rPr>
          <w:rFonts w:hint="eastAsia" w:ascii="宋体" w:hAnsi="宋体" w:eastAsia="宋体" w:cs="宋体"/>
          <w:bCs/>
          <w:color w:val="auto"/>
          <w:sz w:val="24"/>
          <w:highlight w:val="none"/>
          <w:u w:val="single"/>
        </w:rPr>
        <w:t xml:space="preserve">杭州临江环境能源有限公司  </w:t>
      </w:r>
    </w:p>
    <w:p w14:paraId="05617F5A">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6、采购</w:t>
      </w:r>
      <w:r>
        <w:rPr>
          <w:rFonts w:hint="eastAsia" w:ascii="宋体" w:hAnsi="宋体" w:eastAsia="宋体" w:cs="宋体"/>
          <w:b/>
          <w:color w:val="auto"/>
          <w:sz w:val="24"/>
          <w:highlight w:val="none"/>
          <w:lang w:val="zh-CN"/>
        </w:rPr>
        <w:t>人：</w:t>
      </w:r>
      <w:r>
        <w:rPr>
          <w:rFonts w:hint="eastAsia" w:ascii="宋体" w:hAnsi="宋体" w:eastAsia="宋体" w:cs="宋体"/>
          <w:bCs/>
          <w:color w:val="auto"/>
          <w:sz w:val="24"/>
          <w:highlight w:val="none"/>
          <w:u w:val="single"/>
        </w:rPr>
        <w:t xml:space="preserve">杭州临江环境能源有限公司 </w:t>
      </w:r>
    </w:p>
    <w:p w14:paraId="36F9760D">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7、招标范围及内容：</w:t>
      </w:r>
    </w:p>
    <w:p w14:paraId="5623883C">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kern w:val="2"/>
          <w:highlight w:val="none"/>
          <w:u w:val="single"/>
        </w:rPr>
      </w:pPr>
      <w:r>
        <w:rPr>
          <w:rFonts w:hint="eastAsia" w:cs="宋体"/>
          <w:bCs/>
          <w:color w:val="auto"/>
          <w:kern w:val="2"/>
          <w:highlight w:val="none"/>
          <w:u w:val="single"/>
          <w:lang w:val="en-US" w:eastAsia="zh-CN"/>
        </w:rPr>
        <w:t>杭州临江环境能源有限公司三固事业部因生产运营需要，现需采购M32.5R水泥4900吨，其中散装水泥4100吨、袋装800吨，按需供货按实结算</w:t>
      </w:r>
      <w:r>
        <w:rPr>
          <w:rFonts w:hint="eastAsia" w:ascii="宋体" w:hAnsi="宋体" w:eastAsia="宋体" w:cs="宋体"/>
          <w:bCs/>
          <w:color w:val="auto"/>
          <w:kern w:val="2"/>
          <w:highlight w:val="none"/>
          <w:u w:val="single"/>
        </w:rPr>
        <w:t>。</w:t>
      </w:r>
    </w:p>
    <w:p w14:paraId="7D67EED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u w:val="single"/>
          <w:lang w:val="en-US" w:eastAsia="zh-CN"/>
        </w:rPr>
        <w:t>(2)供货</w:t>
      </w:r>
      <w:r>
        <w:rPr>
          <w:rFonts w:hint="eastAsia" w:ascii="宋体" w:hAnsi="宋体" w:eastAsia="宋体" w:cs="宋体"/>
          <w:bCs/>
          <w:color w:val="auto"/>
          <w:sz w:val="24"/>
          <w:highlight w:val="none"/>
          <w:u w:val="single"/>
          <w:lang w:val="zh-CN"/>
        </w:rPr>
        <w:t>期：</w:t>
      </w:r>
      <w:r>
        <w:rPr>
          <w:rFonts w:hint="eastAsia" w:ascii="宋体" w:hAnsi="宋体" w:eastAsia="宋体" w:cs="宋体"/>
          <w:color w:val="auto"/>
          <w:sz w:val="24"/>
          <w:highlight w:val="none"/>
          <w:u w:val="single"/>
          <w:lang w:val="zh-CN"/>
        </w:rPr>
        <w:t>合同签订之日起</w:t>
      </w:r>
      <w:r>
        <w:rPr>
          <w:rFonts w:hint="eastAsia" w:ascii="宋体" w:hAnsi="宋体" w:eastAsia="宋体" w:cs="宋体"/>
          <w:color w:val="auto"/>
          <w:sz w:val="24"/>
          <w:highlight w:val="none"/>
          <w:u w:val="single"/>
          <w:lang w:val="en-US" w:eastAsia="zh-CN"/>
        </w:rPr>
        <w:t>两年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zh-CN"/>
        </w:rPr>
        <w:t>具体需求详见招标文件第三章“用户需求和技术要求”</w:t>
      </w:r>
      <w:r>
        <w:rPr>
          <w:rFonts w:hint="eastAsia" w:ascii="宋体" w:hAnsi="宋体" w:eastAsia="宋体" w:cs="宋体"/>
          <w:color w:val="auto"/>
          <w:sz w:val="24"/>
          <w:highlight w:val="none"/>
        </w:rPr>
        <w:t>。</w:t>
      </w:r>
    </w:p>
    <w:p w14:paraId="58793002">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8、投标人资格条件</w:t>
      </w:r>
    </w:p>
    <w:p w14:paraId="7BA8102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1</w:t>
      </w:r>
      <w:r>
        <w:rPr>
          <w:rFonts w:hint="eastAsia" w:ascii="宋体" w:hAnsi="宋体" w:eastAsia="宋体" w:cs="宋体"/>
          <w:snapToGrid w:val="0"/>
          <w:color w:val="auto"/>
          <w:kern w:val="0"/>
          <w:sz w:val="24"/>
          <w:highlight w:val="none"/>
          <w:lang w:val="zh-CN"/>
        </w:rPr>
        <w:t>）在</w:t>
      </w:r>
      <w:r>
        <w:rPr>
          <w:rFonts w:hint="eastAsia" w:ascii="宋体" w:hAnsi="宋体" w:eastAsia="宋体" w:cs="宋体"/>
          <w:color w:val="auto"/>
          <w:sz w:val="24"/>
          <w:highlight w:val="none"/>
        </w:rPr>
        <w:t>中华人民共和国境内[</w:t>
      </w:r>
      <w:r>
        <w:rPr>
          <w:rFonts w:hint="eastAsia" w:ascii="宋体" w:hAnsi="宋体" w:eastAsia="宋体" w:cs="宋体"/>
          <w:color w:val="auto"/>
          <w:sz w:val="24"/>
          <w:highlight w:val="none"/>
          <w:u w:val="single"/>
        </w:rPr>
        <w:t>不含港、澳、台地区</w:t>
      </w:r>
      <w:r>
        <w:rPr>
          <w:rFonts w:hint="eastAsia" w:ascii="宋体" w:hAnsi="宋体" w:eastAsia="宋体" w:cs="宋体"/>
          <w:color w:val="auto"/>
          <w:sz w:val="24"/>
          <w:highlight w:val="none"/>
        </w:rPr>
        <w:t>]注册，</w:t>
      </w:r>
      <w:r>
        <w:rPr>
          <w:rFonts w:hint="eastAsia" w:ascii="宋体" w:hAnsi="宋体" w:eastAsia="宋体" w:cs="宋体"/>
          <w:color w:val="auto"/>
          <w:sz w:val="24"/>
          <w:highlight w:val="none"/>
          <w:u w:val="single"/>
        </w:rPr>
        <w:t>具有独立法人资格</w:t>
      </w:r>
      <w:r>
        <w:rPr>
          <w:rFonts w:hint="eastAsia" w:ascii="宋体" w:hAnsi="宋体" w:eastAsia="宋体" w:cs="宋体"/>
          <w:color w:val="auto"/>
          <w:sz w:val="24"/>
          <w:highlight w:val="none"/>
        </w:rPr>
        <w:t xml:space="preserve"> / </w:t>
      </w:r>
      <w:r>
        <w:rPr>
          <w:rFonts w:hint="eastAsia" w:ascii="宋体" w:hAnsi="宋体" w:eastAsia="宋体" w:cs="宋体"/>
          <w:color w:val="auto"/>
          <w:sz w:val="24"/>
          <w:highlight w:val="none"/>
          <w:u w:val="single"/>
        </w:rPr>
        <w:t>具有独立承担民事责任的能力</w:t>
      </w:r>
      <w:r>
        <w:rPr>
          <w:rFonts w:hint="eastAsia" w:ascii="宋体" w:hAnsi="宋体" w:eastAsia="宋体" w:cs="宋体"/>
          <w:color w:val="auto"/>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743FD88F">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lang w:val="zh-CN"/>
        </w:rPr>
        <w:t>（2）</w:t>
      </w:r>
      <w:r>
        <w:rPr>
          <w:rFonts w:hint="eastAsia" w:ascii="宋体" w:hAnsi="宋体" w:eastAsia="宋体" w:cs="宋体"/>
          <w:color w:val="auto"/>
          <w:highlight w:val="none"/>
        </w:rPr>
        <w:t>与招标人存在利害关系可能影响招标公正性的单位，不得参加本项目投标。单位负责人为同一人或者存在控股、管理关系的不同单位，不得同时参加本招标项目投标</w:t>
      </w:r>
      <w:r>
        <w:rPr>
          <w:rFonts w:hint="eastAsia" w:cs="宋体"/>
          <w:color w:val="auto"/>
          <w:highlight w:val="none"/>
          <w:lang w:eastAsia="zh-CN"/>
        </w:rPr>
        <w:t>。</w:t>
      </w:r>
      <w:r>
        <w:rPr>
          <w:rFonts w:hint="eastAsia" w:ascii="宋体" w:hAnsi="宋体" w:eastAsia="宋体" w:cs="宋体"/>
          <w:color w:val="auto"/>
          <w:highlight w:val="none"/>
        </w:rPr>
        <w:t>（提供“国家企业信用信息公示系统”股权及出资情况，查询结果网页截图。）</w:t>
      </w:r>
    </w:p>
    <w:p w14:paraId="65280AEC">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kern w:val="2"/>
          <w:highlight w:val="none"/>
          <w:u w:val="single"/>
        </w:rPr>
      </w:pPr>
      <w:r>
        <w:rPr>
          <w:rFonts w:hint="eastAsia" w:ascii="宋体" w:hAnsi="宋体" w:eastAsia="宋体" w:cs="宋体"/>
          <w:color w:val="auto"/>
          <w:kern w:val="2"/>
          <w:highlight w:val="none"/>
        </w:rPr>
        <w:t>（3）本项目</w:t>
      </w:r>
      <w:r>
        <w:rPr>
          <w:rFonts w:hint="eastAsia" w:ascii="宋体" w:hAnsi="宋体" w:eastAsia="宋体" w:cs="宋体"/>
          <w:color w:val="auto"/>
          <w:kern w:val="2"/>
          <w:highlight w:val="none"/>
          <w:u w:val="single"/>
        </w:rPr>
        <w:t>不接受</w:t>
      </w:r>
      <w:r>
        <w:rPr>
          <w:rFonts w:hint="eastAsia" w:ascii="宋体" w:hAnsi="宋体" w:eastAsia="宋体" w:cs="宋体"/>
          <w:color w:val="auto"/>
          <w:kern w:val="2"/>
          <w:highlight w:val="none"/>
        </w:rPr>
        <w:t>联合体投标。联合体投标的，应满足下列要求：</w:t>
      </w:r>
      <w:r>
        <w:rPr>
          <w:rFonts w:hint="eastAsia" w:ascii="宋体" w:hAnsi="宋体" w:eastAsia="宋体" w:cs="宋体"/>
          <w:color w:val="auto"/>
          <w:kern w:val="2"/>
          <w:highlight w:val="none"/>
          <w:u w:val="single"/>
        </w:rPr>
        <w:t xml:space="preserve"> / </w:t>
      </w:r>
      <w:r>
        <w:rPr>
          <w:rFonts w:hint="eastAsia" w:ascii="宋体" w:hAnsi="宋体" w:eastAsia="宋体" w:cs="宋体"/>
          <w:color w:val="auto"/>
          <w:kern w:val="2"/>
          <w:highlight w:val="none"/>
        </w:rPr>
        <w:t>。</w:t>
      </w:r>
    </w:p>
    <w:p w14:paraId="48A7758E">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（4）</w:t>
      </w:r>
      <w:r>
        <w:rPr>
          <w:rFonts w:hint="eastAsia" w:ascii="宋体" w:hAnsi="宋体" w:eastAsia="宋体" w:cs="宋体"/>
          <w:color w:val="auto"/>
          <w:highlight w:val="none"/>
        </w:rPr>
        <w:t>近三年内，未被“信用中国”（www.creditchina.gov.cn）、中国政府采购网（www.ccgp.gov.cn）等官方网站列入失信被执行人、重大税收违法失信主体、政府采购严重违法失信行为等不良记录名单。（</w:t>
      </w:r>
      <w:r>
        <w:rPr>
          <w:rFonts w:hint="eastAsia" w:cs="宋体"/>
          <w:color w:val="auto"/>
          <w:highlight w:val="none"/>
          <w:lang w:val="en-US" w:eastAsia="zh-CN"/>
        </w:rPr>
        <w:t>投标人提供查询记录，并由代理机构在开标当日通过官方查询核实</w:t>
      </w:r>
      <w:r>
        <w:rPr>
          <w:rFonts w:hint="eastAsia" w:ascii="宋体" w:hAnsi="宋体" w:eastAsia="宋体" w:cs="宋体"/>
          <w:color w:val="auto"/>
          <w:highlight w:val="none"/>
        </w:rPr>
        <w:t>）</w:t>
      </w:r>
    </w:p>
    <w:p w14:paraId="6E036A4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）近两年内未被列入杭州临江环境能源有限公司黑名单或者不合格投标人名录库。</w:t>
      </w:r>
    </w:p>
    <w:p w14:paraId="6701E7E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注：上述证明资料须齐全、有效，复印件应加盖投标人单位公章（非电子投标项目所盖印章均物理印章，加盖电子印章的将被视为无效，下同），并在投标文件中提供。</w:t>
      </w:r>
    </w:p>
    <w:p w14:paraId="12F352B6">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9</w:t>
      </w:r>
      <w:r>
        <w:rPr>
          <w:rFonts w:hint="eastAsia" w:ascii="宋体" w:hAnsi="宋体" w:eastAsia="宋体" w:cs="宋体"/>
          <w:b/>
          <w:bCs/>
          <w:color w:val="auto"/>
          <w:highlight w:val="none"/>
          <w:lang w:val="en-US" w:eastAsia="zh-CN"/>
        </w:rPr>
        <w:t>、投标人登记认证</w:t>
      </w:r>
    </w:p>
    <w:p w14:paraId="6F452C97">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14:paraId="13A3A691">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(2)“杭州城投采购平台”注册登记办理:在杭州城投采购平台网站首页(https://jczx.hzcjtz.com/)“平台登录 ”栏目点击“立即注册 ”完成企业信息注册登记。咨询电话:400-0666-571。</w:t>
      </w:r>
    </w:p>
    <w:p w14:paraId="4313DA4E">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(3)“杭州城投采购平台”企业信息认证:在杭州城投采购平台网站首页(https://jczx.hzcjtz.com/)点击“CA锁办理 ”跳转至CA锁办理平台自行完成企业CA锁办理，已在杭州市公共资源交易网办理天谷CA锁的供应商可以使用原有C锁;使用已注册的管理员账号登录杭州城投采购平台，进入后台，点击“企业信息”菜单一“去认证”按钮，使用</w:t>
      </w:r>
      <w:r>
        <w:rPr>
          <w:rFonts w:hint="eastAsia" w:cs="宋体"/>
          <w:color w:val="auto"/>
          <w:highlight w:val="none"/>
          <w:lang w:val="en-US" w:eastAsia="zh-CN"/>
        </w:rPr>
        <w:t>CA</w:t>
      </w:r>
      <w:r>
        <w:rPr>
          <w:rFonts w:hint="eastAsia" w:ascii="宋体" w:hAnsi="宋体" w:eastAsia="宋体" w:cs="宋体"/>
          <w:color w:val="auto"/>
          <w:highlight w:val="none"/>
          <w:lang w:val="en-US" w:eastAsia="zh-CN"/>
        </w:rPr>
        <w:t>锁完成企业信息认证。咨询电话:400-0666-571。</w:t>
      </w:r>
    </w:p>
    <w:p w14:paraId="03820785">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lang w:val="en-US" w:eastAsia="zh-CN"/>
        </w:rPr>
      </w:pPr>
      <w:r>
        <w:rPr>
          <w:rFonts w:hint="eastAsia" w:cs="宋体"/>
          <w:b/>
          <w:bCs/>
          <w:color w:val="auto"/>
          <w:highlight w:val="none"/>
          <w:lang w:val="en-US" w:eastAsia="zh-CN"/>
        </w:rPr>
        <w:t>10</w:t>
      </w:r>
      <w:r>
        <w:rPr>
          <w:rFonts w:hint="eastAsia" w:ascii="宋体" w:hAnsi="宋体" w:eastAsia="宋体" w:cs="宋体"/>
          <w:b/>
          <w:bCs/>
          <w:color w:val="auto"/>
          <w:highlight w:val="none"/>
          <w:lang w:val="en-US" w:eastAsia="zh-CN"/>
        </w:rPr>
        <w:t>、投标报名方式</w:t>
      </w:r>
    </w:p>
    <w:p w14:paraId="3A3225AE">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本项目不设置线下报名环节，但需按“投标人登记认证”完成网上报名。具体要求如下:</w:t>
      </w:r>
    </w:p>
    <w:p w14:paraId="06266E37">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（1）网上</w:t>
      </w:r>
      <w:r>
        <w:rPr>
          <w:rFonts w:hint="eastAsia" w:ascii="宋体" w:hAnsi="宋体" w:eastAsia="宋体" w:cs="宋体"/>
          <w:color w:val="auto"/>
          <w:highlight w:val="none"/>
          <w:lang w:val="en-US" w:eastAsia="zh-CN"/>
        </w:rPr>
        <w:t>报名方式:投标报名截止日前完成登记认证后在杭州城投采购平台网站首页(https://jczx.hzcjtz.com/home/#/index)进行网上报名。如因投标人未按平台要求报名成功导致无法投标或开标异常的，投标人自行承担导致的后果。</w:t>
      </w:r>
    </w:p>
    <w:p w14:paraId="56ADA095">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报名时须提交的资料:</w:t>
      </w:r>
    </w:p>
    <w:p w14:paraId="7A9118CC">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①</w:t>
      </w:r>
      <w:r>
        <w:rPr>
          <w:rFonts w:hint="eastAsia" w:ascii="宋体" w:hAnsi="宋体" w:eastAsia="宋体" w:cs="宋体"/>
          <w:color w:val="auto"/>
          <w:highlight w:val="none"/>
          <w:lang w:val="en-US" w:eastAsia="zh-CN"/>
        </w:rPr>
        <w:t>法定代表人授权委托书扫描件;</w:t>
      </w:r>
    </w:p>
    <w:p w14:paraId="5EAE7A1C">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②</w:t>
      </w:r>
      <w:r>
        <w:rPr>
          <w:rFonts w:hint="eastAsia" w:ascii="宋体" w:hAnsi="宋体" w:eastAsia="宋体" w:cs="宋体"/>
          <w:color w:val="auto"/>
          <w:highlight w:val="none"/>
          <w:lang w:val="en-US" w:eastAsia="zh-CN"/>
        </w:rPr>
        <w:t>营业执照扫描件;</w:t>
      </w:r>
    </w:p>
    <w:p w14:paraId="2737F6AA">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③</w:t>
      </w:r>
      <w:r>
        <w:rPr>
          <w:rFonts w:hint="eastAsia" w:ascii="宋体" w:hAnsi="宋体" w:eastAsia="宋体" w:cs="宋体"/>
          <w:color w:val="auto"/>
          <w:highlight w:val="none"/>
          <w:lang w:val="en-US" w:eastAsia="zh-CN"/>
        </w:rPr>
        <w:t>授权代表有效身份证扫描件。</w:t>
      </w:r>
    </w:p>
    <w:p w14:paraId="1576A829">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cs="宋体"/>
          <w:b/>
          <w:bCs/>
          <w:color w:val="auto"/>
          <w:highlight w:val="none"/>
          <w:lang w:val="en-US" w:eastAsia="zh-CN"/>
        </w:rPr>
        <w:t>1</w:t>
      </w:r>
      <w:r>
        <w:rPr>
          <w:rFonts w:hint="eastAsia" w:ascii="宋体" w:hAnsi="宋体" w:eastAsia="宋体" w:cs="宋体"/>
          <w:b/>
          <w:bCs/>
          <w:color w:val="auto"/>
          <w:highlight w:val="none"/>
        </w:rPr>
        <w:t>、招标文件获取</w:t>
      </w:r>
    </w:p>
    <w:p w14:paraId="53BB2CF3">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cs="宋体"/>
          <w:color w:val="auto"/>
          <w:highlight w:val="none"/>
          <w:lang w:val="en-US" w:eastAsia="zh-CN"/>
        </w:rPr>
        <w:t>（1）</w:t>
      </w:r>
      <w:r>
        <w:rPr>
          <w:rFonts w:hint="eastAsia" w:ascii="宋体" w:hAnsi="宋体" w:eastAsia="宋体" w:cs="宋体"/>
          <w:color w:val="auto"/>
          <w:highlight w:val="none"/>
          <w:lang w:val="en-US" w:eastAsia="zh-CN"/>
        </w:rPr>
        <w:t>获取方式：本项目招标文件（含招标补充文件（若有）、相关技术资料和图纸（若有））以网上下载方式获取，下载网址：城投招采平台（https://jczx.hzcjtz.com/home/#/home）、浙江政府采购网（http://zfcg.czt.zj.gov.cn/）、杭州市环境集团有限公司官网（https://www.cnlandfill.net/index.aspx）、杭州临江环境能源有限公司网站（https://www.ljhjny.com/）免费下载；</w:t>
      </w:r>
    </w:p>
    <w:p w14:paraId="0D0AD1A8">
      <w:pPr>
        <w:pStyle w:val="20"/>
        <w:adjustRightInd w:val="0"/>
        <w:snapToGrid w:val="0"/>
        <w:spacing w:before="0" w:beforeAutospacing="0" w:after="0" w:afterAutospacing="0" w:line="360" w:lineRule="auto"/>
        <w:ind w:firstLine="480" w:firstLineChars="200"/>
        <w:rPr>
          <w:rFonts w:hint="eastAsia" w:ascii="宋体" w:hAnsi="宋体" w:eastAsia="宋体" w:cs="宋体"/>
          <w:b/>
          <w:bCs/>
          <w:color w:val="auto"/>
          <w:sz w:val="24"/>
          <w:highlight w:val="none"/>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下载时间：自本项目招标公告发布之日起至投标截止时间止（投标人对招标文件提出问题截止时间：</w:t>
      </w:r>
      <w:r>
        <w:rPr>
          <w:rFonts w:hint="eastAsia" w:cs="宋体"/>
          <w:color w:val="auto"/>
          <w:highlight w:val="none"/>
          <w:u w:val="single"/>
          <w:lang w:val="en-US" w:eastAsia="zh-CN"/>
        </w:rPr>
        <w:t>2024</w:t>
      </w:r>
      <w:r>
        <w:rPr>
          <w:rFonts w:hint="eastAsia" w:ascii="宋体" w:hAnsi="宋体" w:eastAsia="宋体" w:cs="宋体"/>
          <w:color w:val="auto"/>
          <w:highlight w:val="none"/>
          <w:lang w:val="en-US" w:eastAsia="zh-CN"/>
        </w:rPr>
        <w:t>年</w:t>
      </w:r>
      <w:r>
        <w:rPr>
          <w:rFonts w:hint="eastAsia" w:cs="宋体"/>
          <w:color w:val="auto"/>
          <w:highlight w:val="none"/>
          <w:u w:val="single"/>
          <w:lang w:val="en-US" w:eastAsia="zh-CN"/>
        </w:rPr>
        <w:t xml:space="preserve"> 9</w:t>
      </w:r>
      <w:r>
        <w:rPr>
          <w:rFonts w:hint="eastAsia" w:ascii="宋体" w:hAnsi="宋体" w:eastAsia="宋体" w:cs="宋体"/>
          <w:color w:val="auto"/>
          <w:highlight w:val="none"/>
          <w:lang w:val="en-US" w:eastAsia="zh-CN"/>
        </w:rPr>
        <w:t>月</w:t>
      </w:r>
      <w:r>
        <w:rPr>
          <w:rFonts w:hint="eastAsia" w:cs="宋体"/>
          <w:color w:val="auto"/>
          <w:highlight w:val="none"/>
          <w:u w:val="single"/>
          <w:lang w:val="en-US" w:eastAsia="zh-CN"/>
        </w:rPr>
        <w:t xml:space="preserve"> 2</w:t>
      </w:r>
      <w:r>
        <w:rPr>
          <w:rFonts w:hint="eastAsia" w:ascii="宋体" w:hAnsi="宋体" w:eastAsia="宋体" w:cs="宋体"/>
          <w:color w:val="auto"/>
          <w:highlight w:val="none"/>
          <w:lang w:val="en-US" w:eastAsia="zh-CN"/>
        </w:rPr>
        <w:t>日</w:t>
      </w:r>
      <w:r>
        <w:rPr>
          <w:rFonts w:hint="eastAsia" w:cs="宋体"/>
          <w:color w:val="auto"/>
          <w:highlight w:val="none"/>
          <w:u w:val="single"/>
          <w:lang w:val="en-US" w:eastAsia="zh-CN"/>
        </w:rPr>
        <w:t>12：00</w:t>
      </w:r>
      <w:r>
        <w:rPr>
          <w:rFonts w:hint="eastAsia" w:ascii="宋体" w:hAnsi="宋体" w:eastAsia="宋体" w:cs="宋体"/>
          <w:color w:val="auto"/>
          <w:highlight w:val="none"/>
          <w:lang w:val="en-US" w:eastAsia="zh-CN"/>
        </w:rPr>
        <w:t>）。</w:t>
      </w:r>
    </w:p>
    <w:p w14:paraId="2EB753D0">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、投标截止时间和投标地点：</w:t>
      </w:r>
    </w:p>
    <w:p w14:paraId="6A0F803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（1）投标截止时间：2024年</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10时00分00秒</w:t>
      </w:r>
      <w:r>
        <w:rPr>
          <w:rFonts w:hint="eastAsia" w:ascii="宋体" w:hAnsi="宋体" w:eastAsia="宋体" w:cs="宋体"/>
          <w:color w:val="auto"/>
          <w:sz w:val="24"/>
          <w:highlight w:val="none"/>
        </w:rPr>
        <w:t>（北京时间）</w:t>
      </w:r>
    </w:p>
    <w:p w14:paraId="5F45A7A7">
      <w:pP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（2）投标地点：</w:t>
      </w:r>
      <w:r>
        <w:rPr>
          <w:rFonts w:hint="eastAsia" w:ascii="宋体" w:hAnsi="宋体" w:eastAsia="宋体" w:cs="宋体"/>
          <w:color w:val="auto"/>
          <w:sz w:val="24"/>
          <w:highlight w:val="none"/>
          <w:lang w:val="en-US" w:eastAsia="zh-CN"/>
        </w:rPr>
        <w:t>杭州市上城区雷霆路90号新宸商务中心3楼316开标室</w:t>
      </w:r>
    </w:p>
    <w:p w14:paraId="7EA4BAC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（3）开标时间：同投标截止时间。</w:t>
      </w:r>
    </w:p>
    <w:p w14:paraId="14469FB2">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（4）开标地点：同投标地点。</w:t>
      </w:r>
    </w:p>
    <w:p w14:paraId="7D22386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（5）逾期送达的、未送达指定地点的或者不按照招标文件要求密封的投标文件，招标人将予以拒收。</w:t>
      </w:r>
    </w:p>
    <w:p w14:paraId="264D645D">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、投标保证金</w:t>
      </w:r>
    </w:p>
    <w:p w14:paraId="4539234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 </w:t>
      </w:r>
      <w:r>
        <w:rPr>
          <w:rFonts w:hint="eastAsia" w:ascii="宋体" w:hAnsi="宋体" w:eastAsia="宋体" w:cs="宋体"/>
          <w:color w:val="auto"/>
          <w:sz w:val="24"/>
          <w:highlight w:val="none"/>
          <w:u w:val="single"/>
        </w:rPr>
        <w:t xml:space="preserve">需要 </w:t>
      </w:r>
      <w:r>
        <w:rPr>
          <w:rFonts w:hint="eastAsia" w:ascii="宋体" w:hAnsi="宋体" w:eastAsia="宋体" w:cs="宋体"/>
          <w:color w:val="auto"/>
          <w:sz w:val="24"/>
          <w:highlight w:val="none"/>
        </w:rPr>
        <w:t>投标保证金。交纳投标保证金的具体要求如下：</w:t>
      </w:r>
    </w:p>
    <w:p w14:paraId="4F6A87A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（1）投标保证金金额：</w:t>
      </w:r>
      <w:r>
        <w:rPr>
          <w:rFonts w:hint="eastAsia" w:ascii="宋体" w:hAnsi="宋体" w:eastAsia="宋体" w:cs="宋体"/>
          <w:color w:val="auto"/>
          <w:sz w:val="24"/>
          <w:highlight w:val="none"/>
          <w:u w:val="single"/>
          <w:lang w:val="en-US" w:eastAsia="zh-CN"/>
        </w:rPr>
        <w:t>29200.00</w:t>
      </w:r>
      <w:r>
        <w:rPr>
          <w:rFonts w:hint="eastAsia" w:ascii="宋体" w:hAnsi="宋体" w:eastAsia="宋体" w:cs="宋体"/>
          <w:color w:val="auto"/>
          <w:sz w:val="24"/>
          <w:highlight w:val="none"/>
        </w:rPr>
        <w:t xml:space="preserve"> 人民币</w:t>
      </w:r>
    </w:p>
    <w:p w14:paraId="45838E5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（2）递交方式：电汇/转账（必须为投标企业账户汇出，个人形式递交或现金递交视为未缴纳）</w:t>
      </w:r>
    </w:p>
    <w:p w14:paraId="6AC0900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（3）账户信息：</w:t>
      </w:r>
    </w:p>
    <w:p w14:paraId="6F17F1D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账户名称：杭州市能源集团有限公司 </w:t>
      </w:r>
    </w:p>
    <w:p w14:paraId="707C1C1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账号：86041110000078615 </w:t>
      </w:r>
    </w:p>
    <w:p w14:paraId="57C62F4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开户银行名称：宁波银行杭州分行营业部 </w:t>
      </w:r>
    </w:p>
    <w:p w14:paraId="332CABA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开户银行代码：313331090013</w:t>
      </w:r>
    </w:p>
    <w:p w14:paraId="2173440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（4）递交时间：请于投标截止时间前到达上述指定账户中，且须单位账户递交。</w:t>
      </w:r>
    </w:p>
    <w:p w14:paraId="36610B86">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 xml:space="preserve"> 、发布公告的媒介</w:t>
      </w:r>
    </w:p>
    <w:p w14:paraId="5FA64780">
      <w:pPr>
        <w:adjustRightInd w:val="0"/>
        <w:snapToGrid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项目相关公告在中国招标投标公共服务平台（http://www.cebpubservice.com/）、浙江政府采购网（http://zfcg.czt.zj.gov.cn/）、杭州市环境集团有限公司官网（https://www.cnlandfill.net/index.aspx）、杭州临江环境能源有限公司网站（https://www.ljhjny.com/）</w:t>
      </w:r>
      <w:r>
        <w:rPr>
          <w:rFonts w:hint="eastAsia" w:ascii="宋体" w:hAnsi="宋体" w:eastAsia="宋体" w:cs="宋体"/>
          <w:color w:val="auto"/>
          <w:sz w:val="24"/>
          <w:highlight w:val="none"/>
          <w:lang w:eastAsia="zh-CN"/>
        </w:rPr>
        <w:t>、杭州城投采购平台(https://jczx.hzcjtz.com/home/#/index)</w:t>
      </w:r>
      <w:r>
        <w:rPr>
          <w:rFonts w:hint="eastAsia" w:ascii="宋体" w:hAnsi="宋体" w:eastAsia="宋体" w:cs="宋体"/>
          <w:color w:val="auto"/>
          <w:sz w:val="24"/>
          <w:highlight w:val="none"/>
        </w:rPr>
        <w:t>发布，如公告内容、时间不一致的以</w:t>
      </w:r>
      <w:r>
        <w:rPr>
          <w:rFonts w:hint="eastAsia" w:ascii="宋体" w:hAnsi="宋体" w:eastAsia="宋体" w:cs="宋体"/>
          <w:color w:val="auto"/>
          <w:sz w:val="24"/>
          <w:highlight w:val="none"/>
          <w:lang w:eastAsia="zh-CN"/>
        </w:rPr>
        <w:t>杭州城投采购平台</w:t>
      </w:r>
      <w:r>
        <w:rPr>
          <w:rFonts w:hint="eastAsia" w:ascii="宋体" w:hAnsi="宋体" w:eastAsia="宋体" w:cs="宋体"/>
          <w:color w:val="auto"/>
          <w:sz w:val="24"/>
          <w:highlight w:val="none"/>
        </w:rPr>
        <w:t>发布的信息、时间为准。</w:t>
      </w:r>
    </w:p>
    <w:p w14:paraId="4CFDB196">
      <w:pPr>
        <w:adjustRightInd w:val="0"/>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、联系方式</w:t>
      </w:r>
    </w:p>
    <w:p w14:paraId="671F1439">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招 标 人：</w:t>
      </w:r>
      <w:r>
        <w:rPr>
          <w:rFonts w:hint="eastAsia" w:ascii="宋体" w:hAnsi="宋体" w:eastAsia="宋体" w:cs="宋体"/>
          <w:snapToGrid w:val="0"/>
          <w:color w:val="auto"/>
          <w:kern w:val="0"/>
          <w:sz w:val="24"/>
          <w:szCs w:val="24"/>
          <w:highlight w:val="none"/>
          <w:u w:val="single"/>
        </w:rPr>
        <w:t>杭州临江环境能源有限公司</w:t>
      </w:r>
    </w:p>
    <w:p w14:paraId="13CE6FD7">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    址：</w:t>
      </w:r>
      <w:r>
        <w:rPr>
          <w:rFonts w:hint="eastAsia" w:ascii="宋体" w:hAnsi="宋体" w:eastAsia="宋体" w:cs="宋体"/>
          <w:snapToGrid w:val="0"/>
          <w:color w:val="auto"/>
          <w:kern w:val="0"/>
          <w:sz w:val="24"/>
          <w:szCs w:val="24"/>
          <w:highlight w:val="none"/>
          <w:u w:val="single"/>
        </w:rPr>
        <w:t xml:space="preserve">浙江省杭州市钱塘区临江街道红十五路10388-123号 </w:t>
      </w:r>
    </w:p>
    <w:p w14:paraId="07F594F6">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联 系 人：</w:t>
      </w:r>
      <w:r>
        <w:rPr>
          <w:rFonts w:hint="eastAsia" w:ascii="宋体" w:hAnsi="宋体" w:eastAsia="宋体" w:cs="宋体"/>
          <w:snapToGrid w:val="0"/>
          <w:color w:val="auto"/>
          <w:kern w:val="0"/>
          <w:sz w:val="24"/>
          <w:szCs w:val="24"/>
          <w:highlight w:val="none"/>
          <w:u w:val="single"/>
        </w:rPr>
        <w:t>叶工</w:t>
      </w:r>
    </w:p>
    <w:p w14:paraId="57D672B2">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rPr>
        <w:t>电    话：</w:t>
      </w:r>
      <w:r>
        <w:rPr>
          <w:rFonts w:hint="eastAsia" w:ascii="宋体" w:hAnsi="宋体" w:cs="宋体"/>
          <w:snapToGrid w:val="0"/>
          <w:color w:val="auto"/>
          <w:kern w:val="0"/>
          <w:sz w:val="24"/>
          <w:szCs w:val="24"/>
          <w:highlight w:val="none"/>
          <w:u w:val="single"/>
          <w:lang w:eastAsia="zh-CN"/>
        </w:rPr>
        <w:t xml:space="preserve"> 0571-81997921</w:t>
      </w:r>
    </w:p>
    <w:p w14:paraId="6D3F80FC">
      <w:pPr>
        <w:pStyle w:val="7"/>
        <w:tabs>
          <w:tab w:val="left" w:pos="4228"/>
          <w:tab w:val="left" w:pos="7990"/>
        </w:tabs>
        <w:spacing w:line="360" w:lineRule="auto"/>
        <w:ind w:right="865"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snapToGrid w:val="0"/>
          <w:color w:val="auto"/>
          <w:kern w:val="0"/>
          <w:sz w:val="24"/>
          <w:szCs w:val="24"/>
          <w:highlight w:val="none"/>
        </w:rPr>
        <w:t>电子邮件：</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"mailto:359702621@qq.com" </w:instrText>
      </w:r>
      <w:r>
        <w:rPr>
          <w:rFonts w:hint="eastAsia" w:ascii="宋体" w:hAnsi="宋体" w:eastAsia="宋体" w:cs="宋体"/>
          <w:color w:val="auto"/>
          <w:sz w:val="24"/>
          <w:szCs w:val="24"/>
          <w:highlight w:val="none"/>
          <w:u w:val="single"/>
        </w:rPr>
        <w:fldChar w:fldCharType="separate"/>
      </w:r>
      <w:r>
        <w:rPr>
          <w:rStyle w:val="28"/>
          <w:rFonts w:hint="eastAsia" w:ascii="宋体" w:hAnsi="宋体" w:cs="宋体"/>
          <w:color w:val="auto"/>
          <w:kern w:val="0"/>
          <w:sz w:val="24"/>
          <w:szCs w:val="24"/>
          <w:highlight w:val="none"/>
          <w:u w:val="single"/>
          <w:lang w:eastAsia="zh-CN"/>
        </w:rPr>
        <w:t>LJGSCG@163.com</w:t>
      </w:r>
      <w:r>
        <w:rPr>
          <w:rStyle w:val="28"/>
          <w:rFonts w:hint="eastAsia" w:ascii="宋体" w:hAnsi="宋体" w:eastAsia="宋体" w:cs="宋体"/>
          <w:color w:val="auto"/>
          <w:kern w:val="0"/>
          <w:sz w:val="24"/>
          <w:szCs w:val="24"/>
          <w:highlight w:val="none"/>
          <w:u w:val="single"/>
        </w:rPr>
        <w:fldChar w:fldCharType="end"/>
      </w:r>
    </w:p>
    <w:p w14:paraId="2C8966DF">
      <w:pPr>
        <w:pStyle w:val="7"/>
        <w:tabs>
          <w:tab w:val="left" w:pos="4228"/>
          <w:tab w:val="left" w:pos="7990"/>
        </w:tabs>
        <w:spacing w:line="360" w:lineRule="auto"/>
        <w:ind w:right="865" w:firstLine="480" w:firstLineChars="200"/>
        <w:rPr>
          <w:rFonts w:hint="eastAsia" w:ascii="宋体" w:hAnsi="宋体" w:eastAsia="宋体" w:cs="宋体"/>
          <w:snapToGrid w:val="0"/>
          <w:kern w:val="0"/>
          <w:sz w:val="24"/>
          <w:szCs w:val="24"/>
          <w:highlight w:val="none"/>
        </w:rPr>
      </w:pPr>
    </w:p>
    <w:p w14:paraId="65A2EA31">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招标代理：</w:t>
      </w:r>
      <w:r>
        <w:rPr>
          <w:rFonts w:hint="eastAsia" w:ascii="宋体" w:hAnsi="宋体" w:cs="宋体"/>
          <w:snapToGrid w:val="0"/>
          <w:kern w:val="0"/>
          <w:sz w:val="24"/>
          <w:szCs w:val="24"/>
          <w:highlight w:val="none"/>
          <w:u w:val="single"/>
          <w:lang w:val="en-US" w:eastAsia="zh-CN"/>
        </w:rPr>
        <w:t>浙江省成套招标代理有限公司</w:t>
      </w:r>
    </w:p>
    <w:p w14:paraId="45FFDF6D">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地    址：</w:t>
      </w:r>
      <w:r>
        <w:rPr>
          <w:rFonts w:hint="eastAsia" w:ascii="宋体" w:hAnsi="宋体" w:eastAsia="宋体" w:cs="宋体"/>
          <w:snapToGrid w:val="0"/>
          <w:kern w:val="0"/>
          <w:sz w:val="24"/>
          <w:szCs w:val="24"/>
          <w:highlight w:val="none"/>
          <w:u w:val="single"/>
        </w:rPr>
        <w:t>杭州市文晖路42号现代置业大厦西楼1806室</w:t>
      </w:r>
    </w:p>
    <w:p w14:paraId="1FA67834">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联 系 人：</w:t>
      </w:r>
      <w:r>
        <w:rPr>
          <w:rFonts w:hint="eastAsia" w:ascii="宋体" w:hAnsi="宋体" w:cs="宋体"/>
          <w:snapToGrid w:val="0"/>
          <w:kern w:val="0"/>
          <w:sz w:val="24"/>
          <w:szCs w:val="24"/>
          <w:highlight w:val="none"/>
          <w:u w:val="single"/>
          <w:lang w:val="en-US" w:eastAsia="zh-CN"/>
        </w:rPr>
        <w:t>吴乾宝、汝建侠</w:t>
      </w:r>
    </w:p>
    <w:p w14:paraId="10CE97BF">
      <w:pPr>
        <w:pStyle w:val="7"/>
        <w:tabs>
          <w:tab w:val="left" w:pos="4228"/>
          <w:tab w:val="left" w:pos="7990"/>
        </w:tabs>
        <w:spacing w:line="360" w:lineRule="auto"/>
        <w:ind w:right="865" w:firstLine="480" w:firstLineChars="200"/>
        <w:rPr>
          <w:rFonts w:hint="default"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电    话：</w:t>
      </w:r>
      <w:r>
        <w:rPr>
          <w:rFonts w:hint="eastAsia" w:ascii="宋体" w:hAnsi="宋体" w:cs="宋体"/>
          <w:kern w:val="0"/>
          <w:sz w:val="24"/>
          <w:szCs w:val="24"/>
          <w:highlight w:val="none"/>
          <w:u w:val="single"/>
          <w:lang w:val="en-US" w:eastAsia="zh-CN"/>
        </w:rPr>
        <w:t>0571－85830195、13656681646</w:t>
      </w:r>
    </w:p>
    <w:p w14:paraId="4CB7A1FB">
      <w:pPr>
        <w:pStyle w:val="7"/>
        <w:tabs>
          <w:tab w:val="left" w:pos="4228"/>
          <w:tab w:val="left" w:pos="7990"/>
        </w:tabs>
        <w:spacing w:line="360" w:lineRule="auto"/>
        <w:ind w:right="865" w:firstLine="480" w:firstLineChars="200"/>
        <w:rPr>
          <w:rStyle w:val="28"/>
          <w:rFonts w:hint="default" w:ascii="宋体" w:hAnsi="宋体" w:eastAsia="宋体" w:cs="宋体"/>
          <w:kern w:val="0"/>
          <w:sz w:val="24"/>
          <w:szCs w:val="24"/>
          <w:highlight w:val="none"/>
          <w:u w:val="single"/>
          <w:lang w:val="en-US" w:eastAsia="zh-CN"/>
        </w:rPr>
      </w:pPr>
      <w:r>
        <w:rPr>
          <w:rFonts w:hint="eastAsia" w:ascii="宋体" w:hAnsi="宋体" w:eastAsia="宋体" w:cs="宋体"/>
          <w:snapToGrid w:val="0"/>
          <w:kern w:val="0"/>
          <w:sz w:val="24"/>
          <w:szCs w:val="24"/>
          <w:highlight w:val="none"/>
        </w:rPr>
        <w:t>电子邮件：</w:t>
      </w:r>
      <w:r>
        <w:rPr>
          <w:rFonts w:hint="eastAsia" w:ascii="宋体" w:hAnsi="宋体" w:cs="宋体"/>
          <w:snapToGrid w:val="0"/>
          <w:kern w:val="0"/>
          <w:sz w:val="24"/>
          <w:szCs w:val="24"/>
          <w:highlight w:val="none"/>
          <w:u w:val="single"/>
          <w:lang w:val="en-US" w:eastAsia="zh-CN"/>
        </w:rPr>
        <w:t>wuqb@zjsct.cn</w:t>
      </w:r>
    </w:p>
    <w:p w14:paraId="67F485E3">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监督部门：</w:t>
      </w:r>
      <w:r>
        <w:rPr>
          <w:rFonts w:hint="eastAsia" w:ascii="宋体" w:hAnsi="宋体" w:eastAsia="宋体" w:cs="宋体"/>
          <w:snapToGrid w:val="0"/>
          <w:color w:val="auto"/>
          <w:kern w:val="0"/>
          <w:sz w:val="24"/>
          <w:szCs w:val="24"/>
          <w:highlight w:val="none"/>
          <w:u w:val="single"/>
        </w:rPr>
        <w:t>杭州临江环境能源有限公司监察审计部</w:t>
      </w:r>
    </w:p>
    <w:p w14:paraId="3D5C482F">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监督人：</w:t>
      </w:r>
      <w:r>
        <w:rPr>
          <w:rFonts w:hint="eastAsia" w:ascii="宋体" w:hAnsi="宋体" w:eastAsia="宋体" w:cs="宋体"/>
          <w:snapToGrid w:val="0"/>
          <w:color w:val="auto"/>
          <w:kern w:val="0"/>
          <w:sz w:val="24"/>
          <w:szCs w:val="24"/>
          <w:highlight w:val="none"/>
          <w:u w:val="single"/>
        </w:rPr>
        <w:t xml:space="preserve">李文拓 </w:t>
      </w:r>
    </w:p>
    <w:p w14:paraId="7E49A53A">
      <w:pPr>
        <w:pStyle w:val="7"/>
        <w:tabs>
          <w:tab w:val="left" w:pos="4228"/>
          <w:tab w:val="left" w:pos="7990"/>
        </w:tabs>
        <w:spacing w:line="360" w:lineRule="auto"/>
        <w:ind w:right="865"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电话：</w:t>
      </w:r>
      <w:r>
        <w:rPr>
          <w:rFonts w:hint="eastAsia" w:ascii="宋体" w:hAnsi="宋体" w:eastAsia="宋体" w:cs="宋体"/>
          <w:snapToGrid w:val="0"/>
          <w:color w:val="auto"/>
          <w:kern w:val="0"/>
          <w:sz w:val="24"/>
          <w:szCs w:val="24"/>
          <w:highlight w:val="none"/>
          <w:u w:val="single"/>
        </w:rPr>
        <w:t>15636132687</w:t>
      </w:r>
    </w:p>
    <w:p w14:paraId="6AE55153">
      <w:pPr>
        <w:pStyle w:val="8"/>
        <w:ind w:firstLine="210"/>
        <w:rPr>
          <w:rFonts w:hint="eastAsia" w:ascii="宋体" w:hAnsi="宋体" w:eastAsia="宋体" w:cs="宋体"/>
          <w:color w:val="auto"/>
          <w:highlight w:val="none"/>
        </w:rPr>
      </w:pPr>
    </w:p>
    <w:p w14:paraId="74B01623">
      <w:pPr>
        <w:pStyle w:val="7"/>
        <w:tabs>
          <w:tab w:val="left" w:pos="4228"/>
          <w:tab w:val="left" w:pos="7990"/>
        </w:tabs>
        <w:spacing w:line="360" w:lineRule="auto"/>
        <w:ind w:right="865"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2024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1BCAE8A">
      <w:pPr>
        <w:rPr>
          <w:rFonts w:hint="eastAsia"/>
          <w:highlight w:val="none"/>
        </w:rPr>
      </w:pPr>
    </w:p>
    <w:p w14:paraId="7140A62A">
      <w:pPr>
        <w:rPr>
          <w:rFonts w:hint="eastAsia"/>
          <w:highlight w:val="none"/>
        </w:rPr>
      </w:pPr>
    </w:p>
    <w:p w14:paraId="7D738D5E">
      <w:pPr>
        <w:rPr>
          <w:rFonts w:hint="eastAsia"/>
          <w:highlight w:val="none"/>
        </w:rPr>
      </w:pPr>
    </w:p>
    <w:p w14:paraId="08B59F82">
      <w:pPr>
        <w:rPr>
          <w:rFonts w:hint="eastAsia"/>
          <w:highlight w:val="none"/>
        </w:rPr>
      </w:pPr>
    </w:p>
    <w:p w14:paraId="764A4BA4">
      <w:pPr>
        <w:rPr>
          <w:rFonts w:hint="eastAsia"/>
          <w:highlight w:val="none"/>
        </w:rPr>
      </w:pPr>
    </w:p>
    <w:p w14:paraId="4BEB9221">
      <w:pPr>
        <w:rPr>
          <w:rFonts w:hint="eastAsia"/>
          <w:highlight w:val="none"/>
        </w:rPr>
      </w:pPr>
    </w:p>
    <w:p w14:paraId="05B44A7A">
      <w:pPr>
        <w:rPr>
          <w:rFonts w:hint="eastAsia"/>
          <w:highlight w:val="none"/>
        </w:rPr>
      </w:pPr>
    </w:p>
    <w:p w14:paraId="5AB17E00">
      <w:pPr>
        <w:rPr>
          <w:rFonts w:hint="eastAsia"/>
          <w:highlight w:val="none"/>
        </w:rPr>
      </w:pPr>
    </w:p>
    <w:p w14:paraId="1F8E268A">
      <w:pPr>
        <w:rPr>
          <w:rFonts w:hint="eastAsia"/>
          <w:highlight w:val="none"/>
        </w:rPr>
      </w:pPr>
    </w:p>
    <w:p w14:paraId="585E8309">
      <w:pPr>
        <w:rPr>
          <w:rFonts w:hint="eastAsia"/>
          <w:highlight w:val="none"/>
        </w:rPr>
      </w:pPr>
    </w:p>
    <w:p w14:paraId="3ADFF906">
      <w:pPr>
        <w:rPr>
          <w:rFonts w:hint="eastAsia"/>
          <w:highlight w:val="none"/>
        </w:rPr>
      </w:pPr>
    </w:p>
    <w:p w14:paraId="12C46EB1">
      <w:pPr>
        <w:rPr>
          <w:rFonts w:hint="eastAsia"/>
          <w:highlight w:val="none"/>
        </w:rPr>
      </w:pPr>
    </w:p>
    <w:p w14:paraId="0F1D1052">
      <w:pPr>
        <w:rPr>
          <w:rFonts w:hint="eastAsia"/>
          <w:highlight w:val="none"/>
        </w:rPr>
      </w:pPr>
    </w:p>
    <w:p w14:paraId="34AB87A3">
      <w:pPr>
        <w:rPr>
          <w:rFonts w:hint="eastAsia"/>
          <w:highlight w:val="none"/>
        </w:rPr>
      </w:pPr>
    </w:p>
    <w:p w14:paraId="34A0897A">
      <w:pPr>
        <w:rPr>
          <w:rFonts w:hint="eastAsia"/>
          <w:highlight w:val="none"/>
        </w:rPr>
      </w:pPr>
    </w:p>
    <w:p w14:paraId="617E5A33">
      <w:pPr>
        <w:rPr>
          <w:rFonts w:hint="eastAsia"/>
          <w:highlight w:val="none"/>
        </w:rPr>
      </w:pPr>
    </w:p>
    <w:p w14:paraId="1B76735E">
      <w:pPr>
        <w:rPr>
          <w:rFonts w:hint="eastAsia"/>
          <w:highlight w:val="none"/>
        </w:rPr>
      </w:pPr>
    </w:p>
    <w:p w14:paraId="4246BA8B">
      <w:pPr>
        <w:widowControl/>
        <w:jc w:val="center"/>
        <w:outlineLvl w:val="0"/>
        <w:rPr>
          <w:rFonts w:hint="eastAsia" w:ascii="宋体" w:hAnsi="宋体" w:eastAsia="宋体" w:cs="宋体"/>
          <w:b/>
          <w:bCs/>
          <w:color w:val="auto"/>
          <w:kern w:val="0"/>
          <w:szCs w:val="32"/>
          <w:highlight w:val="none"/>
        </w:rPr>
        <w:sectPr>
          <w:footerReference r:id="rId9" w:type="even"/>
          <w:pgSz w:w="11906" w:h="16838"/>
          <w:pgMar w:top="1440" w:right="991" w:bottom="1440" w:left="1080" w:header="0" w:footer="714" w:gutter="0"/>
          <w:cols w:space="720" w:num="1"/>
          <w:docGrid w:linePitch="435" w:charSpace="0"/>
        </w:sectPr>
      </w:pPr>
    </w:p>
    <w:p w14:paraId="2391F767">
      <w:pPr>
        <w:widowControl/>
        <w:jc w:val="center"/>
        <w:outlineLvl w:val="0"/>
        <w:rPr>
          <w:rFonts w:hint="eastAsia" w:ascii="宋体" w:hAnsi="宋体" w:eastAsia="宋体" w:cs="宋体"/>
          <w:b/>
          <w:bCs/>
          <w:color w:val="auto"/>
          <w:kern w:val="0"/>
          <w:szCs w:val="32"/>
          <w:highlight w:val="none"/>
        </w:rPr>
      </w:pPr>
      <w:bookmarkStart w:id="2" w:name="_Toc915"/>
      <w:r>
        <w:rPr>
          <w:rFonts w:hint="eastAsia" w:ascii="宋体" w:hAnsi="宋体" w:eastAsia="宋体" w:cs="宋体"/>
          <w:b/>
          <w:bCs/>
          <w:color w:val="auto"/>
          <w:kern w:val="0"/>
          <w:szCs w:val="32"/>
          <w:highlight w:val="none"/>
        </w:rPr>
        <w:t>第二章 投标人须知</w:t>
      </w:r>
      <w:bookmarkEnd w:id="2"/>
    </w:p>
    <w:p w14:paraId="56DCE2B9">
      <w:pPr>
        <w:widowControl/>
        <w:spacing w:line="440" w:lineRule="exact"/>
        <w:jc w:val="center"/>
        <w:outlineLvl w:val="1"/>
        <w:rPr>
          <w:rFonts w:hint="eastAsia" w:ascii="宋体" w:hAnsi="宋体" w:eastAsia="宋体" w:cs="宋体"/>
          <w:b/>
          <w:color w:val="auto"/>
          <w:sz w:val="24"/>
          <w:highlight w:val="none"/>
        </w:rPr>
      </w:pPr>
      <w:bookmarkStart w:id="3" w:name="_Toc10954"/>
      <w:r>
        <w:rPr>
          <w:rFonts w:hint="eastAsia" w:ascii="宋体" w:hAnsi="宋体" w:eastAsia="宋体" w:cs="宋体"/>
          <w:b/>
          <w:bCs/>
          <w:color w:val="auto"/>
          <w:kern w:val="0"/>
          <w:sz w:val="24"/>
          <w:highlight w:val="none"/>
        </w:rPr>
        <w:t>投标人须知</w:t>
      </w:r>
      <w:r>
        <w:rPr>
          <w:rFonts w:hint="eastAsia" w:ascii="宋体" w:hAnsi="宋体" w:eastAsia="宋体" w:cs="宋体"/>
          <w:b/>
          <w:color w:val="auto"/>
          <w:sz w:val="24"/>
          <w:highlight w:val="none"/>
        </w:rPr>
        <w:t>前附表</w:t>
      </w:r>
      <w:bookmarkEnd w:id="3"/>
    </w:p>
    <w:tbl>
      <w:tblPr>
        <w:tblStyle w:val="24"/>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686"/>
        <w:gridCol w:w="6653"/>
      </w:tblGrid>
      <w:tr w14:paraId="3B782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3B5C5AC7">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条款号</w:t>
            </w:r>
          </w:p>
        </w:tc>
        <w:tc>
          <w:tcPr>
            <w:tcW w:w="1686" w:type="dxa"/>
            <w:tcBorders>
              <w:top w:val="single" w:color="auto" w:sz="12" w:space="0"/>
            </w:tcBorders>
            <w:vAlign w:val="center"/>
          </w:tcPr>
          <w:p w14:paraId="3FBA55FD">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条 款 名 称</w:t>
            </w:r>
          </w:p>
        </w:tc>
        <w:tc>
          <w:tcPr>
            <w:tcW w:w="6653" w:type="dxa"/>
            <w:tcBorders>
              <w:top w:val="single" w:color="auto" w:sz="12" w:space="0"/>
            </w:tcBorders>
            <w:vAlign w:val="center"/>
          </w:tcPr>
          <w:p w14:paraId="1BFD62B3">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编 列 内 容</w:t>
            </w:r>
          </w:p>
        </w:tc>
      </w:tr>
      <w:tr w14:paraId="54974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94F7A1C">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1.1.2</w:t>
            </w:r>
          </w:p>
        </w:tc>
        <w:tc>
          <w:tcPr>
            <w:tcW w:w="1686" w:type="dxa"/>
            <w:vAlign w:val="center"/>
          </w:tcPr>
          <w:p w14:paraId="2F2C588F">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招标组织形式</w:t>
            </w:r>
          </w:p>
        </w:tc>
        <w:tc>
          <w:tcPr>
            <w:tcW w:w="6653" w:type="dxa"/>
            <w:vAlign w:val="center"/>
          </w:tcPr>
          <w:p w14:paraId="65E46608">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本项目采用</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snapToGrid w:val="0"/>
                <w:color w:val="auto"/>
                <w:sz w:val="24"/>
                <w:szCs w:val="24"/>
                <w:highlight w:val="none"/>
                <w:lang w:eastAsia="zh-CN"/>
              </w:rPr>
              <w:sym w:font="Wingdings 2" w:char="0052"/>
            </w:r>
            <w:r>
              <w:rPr>
                <w:rFonts w:hint="eastAsia" w:ascii="宋体" w:hAnsi="宋体" w:eastAsia="宋体" w:cs="宋体"/>
                <w:snapToGrid w:val="0"/>
                <w:color w:val="auto"/>
                <w:sz w:val="24"/>
                <w:szCs w:val="24"/>
                <w:highlight w:val="none"/>
                <w:lang w:eastAsia="zh-CN"/>
              </w:rPr>
              <w:t xml:space="preserve"> </w:t>
            </w:r>
            <w:r>
              <w:rPr>
                <w:rFonts w:hint="eastAsia" w:ascii="宋体" w:hAnsi="宋体" w:eastAsia="宋体" w:cs="宋体"/>
                <w:color w:val="auto"/>
                <w:sz w:val="24"/>
                <w:szCs w:val="24"/>
                <w:highlight w:val="none"/>
                <w:u w:val="single"/>
                <w:lang w:val="zh-CN" w:eastAsia="zh-CN"/>
              </w:rPr>
              <w:t>委托招标</w:t>
            </w:r>
            <w:r>
              <w:rPr>
                <w:rFonts w:hint="eastAsia" w:ascii="宋体" w:hAnsi="宋体" w:eastAsia="宋体" w:cs="宋体"/>
                <w:color w:val="auto"/>
                <w:kern w:val="2"/>
                <w:sz w:val="24"/>
                <w:szCs w:val="24"/>
                <w:highlight w:val="none"/>
                <w:lang w:eastAsia="zh-CN"/>
              </w:rPr>
              <w:t xml:space="preserve"> </w:t>
            </w:r>
            <w:r>
              <w:rPr>
                <w:rFonts w:hint="eastAsia" w:ascii="宋体" w:hAnsi="宋体" w:eastAsia="宋体" w:cs="宋体"/>
                <w:color w:val="auto"/>
                <w:sz w:val="24"/>
                <w:szCs w:val="24"/>
                <w:highlight w:val="none"/>
                <w:lang w:eastAsia="zh-CN"/>
              </w:rPr>
              <w:t>。</w:t>
            </w:r>
          </w:p>
        </w:tc>
      </w:tr>
      <w:tr w14:paraId="3FFC0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002" w:type="dxa"/>
            <w:vAlign w:val="center"/>
          </w:tcPr>
          <w:p w14:paraId="7B0CB5C8">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1.1.3</w:t>
            </w:r>
          </w:p>
        </w:tc>
        <w:tc>
          <w:tcPr>
            <w:tcW w:w="1686" w:type="dxa"/>
            <w:vAlign w:val="center"/>
          </w:tcPr>
          <w:p w14:paraId="666C2A40">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w:t>
            </w:r>
          </w:p>
        </w:tc>
        <w:tc>
          <w:tcPr>
            <w:tcW w:w="6653" w:type="dxa"/>
            <w:vAlign w:val="center"/>
          </w:tcPr>
          <w:p w14:paraId="18C1908F">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杭州临江环境能源有限公司</w:t>
            </w:r>
            <w:r>
              <w:rPr>
                <w:rFonts w:hint="eastAsia" w:ascii="宋体" w:hAnsi="宋体" w:eastAsia="宋体" w:cs="宋体"/>
                <w:snapToGrid w:val="0"/>
                <w:color w:val="auto"/>
                <w:kern w:val="0"/>
                <w:sz w:val="24"/>
                <w:highlight w:val="none"/>
              </w:rPr>
              <w:t>。</w:t>
            </w:r>
          </w:p>
          <w:p w14:paraId="34D19A3B">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rPr>
              <w:tab/>
            </w:r>
            <w:r>
              <w:rPr>
                <w:rFonts w:hint="eastAsia" w:ascii="宋体" w:hAnsi="宋体" w:eastAsia="宋体" w:cs="宋体"/>
                <w:snapToGrid w:val="0"/>
                <w:color w:val="auto"/>
                <w:kern w:val="0"/>
                <w:sz w:val="24"/>
                <w:highlight w:val="none"/>
                <w:u w:val="single"/>
              </w:rPr>
              <w:t>浙江省杭州市钱塘区临江街道红十五路10388-123号</w:t>
            </w:r>
            <w:r>
              <w:rPr>
                <w:rFonts w:hint="eastAsia" w:ascii="宋体" w:hAnsi="宋体" w:eastAsia="宋体" w:cs="宋体"/>
                <w:snapToGrid w:val="0"/>
                <w:color w:val="auto"/>
                <w:kern w:val="0"/>
                <w:sz w:val="24"/>
                <w:highlight w:val="none"/>
              </w:rPr>
              <w:t>。</w:t>
            </w:r>
          </w:p>
          <w:p w14:paraId="7F49B743">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叶工</w:t>
            </w:r>
            <w:r>
              <w:rPr>
                <w:rFonts w:hint="eastAsia" w:ascii="宋体" w:hAnsi="宋体" w:eastAsia="宋体" w:cs="宋体"/>
                <w:snapToGrid w:val="0"/>
                <w:color w:val="auto"/>
                <w:kern w:val="0"/>
                <w:sz w:val="24"/>
                <w:highlight w:val="none"/>
              </w:rPr>
              <w:t>。</w:t>
            </w:r>
          </w:p>
          <w:p w14:paraId="2749BBDE">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cs="宋体"/>
                <w:snapToGrid w:val="0"/>
                <w:color w:val="auto"/>
                <w:sz w:val="24"/>
                <w:szCs w:val="24"/>
                <w:highlight w:val="none"/>
                <w:u w:val="single"/>
                <w:lang w:eastAsia="zh-CN"/>
              </w:rPr>
              <w:t xml:space="preserve"> 0571-81997921</w:t>
            </w:r>
            <w:r>
              <w:rPr>
                <w:rFonts w:hint="eastAsia" w:ascii="宋体" w:hAnsi="宋体" w:eastAsia="宋体" w:cs="宋体"/>
                <w:snapToGrid w:val="0"/>
                <w:color w:val="auto"/>
                <w:sz w:val="24"/>
                <w:szCs w:val="24"/>
                <w:highlight w:val="none"/>
                <w:lang w:eastAsia="zh-CN"/>
              </w:rPr>
              <w:t>。</w:t>
            </w:r>
          </w:p>
          <w:p w14:paraId="79B3879A">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邮    箱：</w:t>
            </w:r>
            <w:r>
              <w:rPr>
                <w:rFonts w:hint="eastAsia" w:ascii="宋体" w:hAnsi="宋体" w:eastAsia="宋体" w:cs="宋体"/>
                <w:snapToGrid w:val="0"/>
                <w:color w:val="auto"/>
                <w:sz w:val="24"/>
                <w:szCs w:val="24"/>
                <w:highlight w:val="none"/>
                <w:u w:val="single"/>
              </w:rPr>
              <w:tab/>
            </w:r>
            <w:r>
              <w:rPr>
                <w:rFonts w:hint="eastAsia" w:ascii="宋体" w:hAnsi="宋体" w:eastAsia="宋体" w:cs="宋体"/>
                <w:snapToGrid w:val="0"/>
                <w:color w:val="auto"/>
                <w:sz w:val="24"/>
                <w:szCs w:val="24"/>
                <w:highlight w:val="none"/>
                <w:u w:val="single"/>
                <w:lang w:eastAsia="zh-CN"/>
              </w:rPr>
              <w:t xml:space="preserve"> </w:t>
            </w:r>
            <w:r>
              <w:rPr>
                <w:rFonts w:hint="eastAsia" w:cs="宋体"/>
                <w:snapToGrid w:val="0"/>
                <w:color w:val="auto"/>
                <w:sz w:val="24"/>
                <w:szCs w:val="24"/>
                <w:highlight w:val="none"/>
                <w:u w:val="single"/>
                <w:lang w:eastAsia="zh-CN"/>
              </w:rPr>
              <w:t>LJGSCG@163.com</w:t>
            </w:r>
            <w:r>
              <w:rPr>
                <w:rFonts w:hint="eastAsia" w:ascii="宋体" w:hAnsi="宋体" w:eastAsia="宋体" w:cs="宋体"/>
                <w:snapToGrid w:val="0"/>
                <w:color w:val="auto"/>
                <w:sz w:val="24"/>
                <w:szCs w:val="24"/>
                <w:highlight w:val="none"/>
                <w:u w:val="single"/>
                <w:lang w:eastAsia="zh-CN"/>
              </w:rPr>
              <w:t xml:space="preserve">  </w:t>
            </w:r>
            <w:r>
              <w:rPr>
                <w:rFonts w:hint="eastAsia" w:ascii="宋体" w:hAnsi="宋体" w:eastAsia="宋体" w:cs="宋体"/>
                <w:snapToGrid w:val="0"/>
                <w:color w:val="auto"/>
                <w:sz w:val="24"/>
                <w:szCs w:val="24"/>
                <w:highlight w:val="none"/>
                <w:lang w:eastAsia="zh-CN"/>
              </w:rPr>
              <w:t>。</w:t>
            </w:r>
          </w:p>
        </w:tc>
      </w:tr>
      <w:tr w14:paraId="576B7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28AAD04">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1.1.4</w:t>
            </w:r>
          </w:p>
        </w:tc>
        <w:tc>
          <w:tcPr>
            <w:tcW w:w="1686" w:type="dxa"/>
            <w:vAlign w:val="center"/>
          </w:tcPr>
          <w:p w14:paraId="29B5579C">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采购人（集采分签项目适用）</w:t>
            </w:r>
          </w:p>
        </w:tc>
        <w:tc>
          <w:tcPr>
            <w:tcW w:w="6653" w:type="dxa"/>
            <w:vAlign w:val="center"/>
          </w:tcPr>
          <w:p w14:paraId="46EBB496">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14:paraId="0C0BFB62">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14:paraId="7BE3B872">
            <w:pPr>
              <w:autoSpaceDE w:val="0"/>
              <w:autoSpaceDN w:val="0"/>
              <w:adjustRightInd w:val="0"/>
              <w:snapToGrid w:val="0"/>
              <w:spacing w:line="320" w:lineRule="exac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p w14:paraId="5E856D75">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ascii="宋体" w:hAnsi="宋体" w:eastAsia="宋体" w:cs="宋体"/>
                <w:snapToGrid w:val="0"/>
                <w:color w:val="auto"/>
                <w:sz w:val="24"/>
                <w:szCs w:val="24"/>
                <w:highlight w:val="none"/>
                <w:u w:val="single"/>
                <w:lang w:eastAsia="zh-CN"/>
              </w:rPr>
              <w:t xml:space="preserve">  /   </w:t>
            </w:r>
            <w:r>
              <w:rPr>
                <w:rFonts w:hint="eastAsia" w:ascii="宋体" w:hAnsi="宋体" w:eastAsia="宋体" w:cs="宋体"/>
                <w:snapToGrid w:val="0"/>
                <w:color w:val="auto"/>
                <w:sz w:val="24"/>
                <w:szCs w:val="24"/>
                <w:highlight w:val="none"/>
                <w:lang w:eastAsia="zh-CN"/>
              </w:rPr>
              <w:t>。</w:t>
            </w:r>
          </w:p>
          <w:p w14:paraId="1D004C95">
            <w:pPr>
              <w:snapToGrid w:val="0"/>
              <w:spacing w:line="400" w:lineRule="exact"/>
              <w:ind w:right="64" w:rightChars="2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邮    箱：</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 xml:space="preserve">  /   </w:t>
            </w:r>
            <w:r>
              <w:rPr>
                <w:rFonts w:hint="eastAsia" w:ascii="宋体" w:hAnsi="宋体" w:eastAsia="宋体" w:cs="宋体"/>
                <w:snapToGrid w:val="0"/>
                <w:color w:val="auto"/>
                <w:kern w:val="0"/>
                <w:sz w:val="24"/>
                <w:highlight w:val="none"/>
              </w:rPr>
              <w:t>。</w:t>
            </w:r>
          </w:p>
        </w:tc>
      </w:tr>
      <w:tr w14:paraId="76E8C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002" w:type="dxa"/>
            <w:vAlign w:val="center"/>
          </w:tcPr>
          <w:p w14:paraId="6FFFCA8C">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1.1.5</w:t>
            </w:r>
          </w:p>
        </w:tc>
        <w:tc>
          <w:tcPr>
            <w:tcW w:w="1686" w:type="dxa"/>
            <w:vAlign w:val="center"/>
          </w:tcPr>
          <w:p w14:paraId="5DB75769">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招标代理机构</w:t>
            </w:r>
          </w:p>
        </w:tc>
        <w:tc>
          <w:tcPr>
            <w:tcW w:w="6653" w:type="dxa"/>
            <w:vAlign w:val="center"/>
          </w:tcPr>
          <w:p w14:paraId="0E5C9CA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名    称：</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lang w:val="en-US" w:eastAsia="zh-CN"/>
              </w:rPr>
              <w:t>浙江省成套招标代理有限公司</w:t>
            </w:r>
            <w:r>
              <w:rPr>
                <w:rFonts w:hint="eastAsia" w:ascii="宋体" w:hAnsi="宋体" w:eastAsia="宋体" w:cs="宋体"/>
                <w:snapToGrid w:val="0"/>
                <w:color w:val="auto"/>
                <w:kern w:val="0"/>
                <w:sz w:val="24"/>
                <w:highlight w:val="none"/>
              </w:rPr>
              <w:t>。</w:t>
            </w:r>
          </w:p>
          <w:p w14:paraId="753E39F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    址：</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杭州市文晖路42号现代置业大厦西楼1806室</w:t>
            </w:r>
            <w:r>
              <w:rPr>
                <w:rFonts w:hint="eastAsia" w:ascii="宋体" w:hAnsi="宋体" w:eastAsia="宋体" w:cs="宋体"/>
                <w:snapToGrid w:val="0"/>
                <w:color w:val="auto"/>
                <w:kern w:val="0"/>
                <w:sz w:val="24"/>
                <w:highlight w:val="none"/>
              </w:rPr>
              <w:t>。</w:t>
            </w:r>
          </w:p>
          <w:p w14:paraId="1E1E470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 系 人：</w:t>
            </w:r>
            <w:r>
              <w:rPr>
                <w:rFonts w:hint="eastAsia" w:ascii="宋体" w:hAnsi="宋体" w:eastAsia="宋体" w:cs="宋体"/>
                <w:snapToGrid w:val="0"/>
                <w:color w:val="auto"/>
                <w:kern w:val="0"/>
                <w:sz w:val="24"/>
                <w:highlight w:val="none"/>
                <w:u w:val="single"/>
              </w:rPr>
              <w:tab/>
            </w:r>
            <w:r>
              <w:rPr>
                <w:rFonts w:hint="eastAsia" w:ascii="宋体" w:hAnsi="宋体" w:eastAsia="宋体" w:cs="宋体"/>
                <w:snapToGrid w:val="0"/>
                <w:color w:val="auto"/>
                <w:kern w:val="0"/>
                <w:sz w:val="24"/>
                <w:highlight w:val="none"/>
                <w:u w:val="single"/>
              </w:rPr>
              <w:t>吴乾宝、汝建侠</w:t>
            </w:r>
            <w:r>
              <w:rPr>
                <w:rFonts w:hint="eastAsia" w:ascii="宋体" w:hAnsi="宋体" w:eastAsia="宋体" w:cs="宋体"/>
                <w:snapToGrid w:val="0"/>
                <w:color w:val="auto"/>
                <w:kern w:val="0"/>
                <w:sz w:val="24"/>
                <w:highlight w:val="none"/>
              </w:rPr>
              <w:t>。</w:t>
            </w:r>
          </w:p>
          <w:p w14:paraId="1A1DB043">
            <w:pPr>
              <w:pStyle w:val="43"/>
              <w:keepNext w:val="0"/>
              <w:keepLines w:val="0"/>
              <w:pageBreakBefore w:val="0"/>
              <w:widowControl w:val="0"/>
              <w:kinsoku/>
              <w:wordWrap/>
              <w:overflowPunct/>
              <w:topLinePunct w:val="0"/>
              <w:bidi w:val="0"/>
              <w:snapToGrid w:val="0"/>
              <w:spacing w:line="400" w:lineRule="exact"/>
              <w:ind w:right="64" w:rightChars="20"/>
              <w:jc w:val="both"/>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val="zh-CN" w:eastAsia="zh-CN"/>
              </w:rPr>
              <w:t>联系电话：</w:t>
            </w:r>
            <w:r>
              <w:rPr>
                <w:rFonts w:hint="eastAsia" w:ascii="宋体" w:hAnsi="宋体" w:eastAsia="宋体" w:cs="宋体"/>
                <w:snapToGrid w:val="0"/>
                <w:color w:val="auto"/>
                <w:sz w:val="24"/>
                <w:szCs w:val="24"/>
                <w:highlight w:val="none"/>
                <w:u w:val="single"/>
                <w:lang w:eastAsia="zh-CN"/>
              </w:rPr>
              <w:tab/>
            </w:r>
            <w:r>
              <w:rPr>
                <w:rFonts w:hint="eastAsia" w:cs="宋体"/>
                <w:color w:val="auto"/>
                <w:szCs w:val="21"/>
                <w:highlight w:val="none"/>
                <w:u w:val="single"/>
                <w:lang w:val="en-US" w:eastAsia="zh-CN"/>
              </w:rPr>
              <w:t>0571－85830195、13656681646</w:t>
            </w:r>
            <w:r>
              <w:rPr>
                <w:rFonts w:hint="eastAsia" w:ascii="宋体" w:hAnsi="宋体" w:eastAsia="宋体" w:cs="宋体"/>
                <w:snapToGrid w:val="0"/>
                <w:color w:val="auto"/>
                <w:sz w:val="24"/>
                <w:szCs w:val="24"/>
                <w:highlight w:val="none"/>
                <w:u w:val="single"/>
                <w:lang w:eastAsia="zh-CN"/>
              </w:rPr>
              <w:t xml:space="preserve"> </w:t>
            </w:r>
            <w:r>
              <w:rPr>
                <w:rFonts w:hint="eastAsia" w:ascii="宋体" w:hAnsi="宋体" w:eastAsia="宋体" w:cs="宋体"/>
                <w:snapToGrid w:val="0"/>
                <w:color w:val="auto"/>
                <w:sz w:val="24"/>
                <w:szCs w:val="24"/>
                <w:highlight w:val="none"/>
                <w:lang w:eastAsia="zh-CN"/>
              </w:rPr>
              <w:t>。</w:t>
            </w:r>
          </w:p>
          <w:p w14:paraId="16D5A347">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邮    箱：</w:t>
            </w:r>
            <w:r>
              <w:rPr>
                <w:rFonts w:hint="eastAsia" w:ascii="宋体" w:hAnsi="宋体" w:eastAsia="宋体" w:cs="宋体"/>
                <w:snapToGrid w:val="0"/>
                <w:color w:val="auto"/>
                <w:sz w:val="24"/>
                <w:szCs w:val="24"/>
                <w:highlight w:val="none"/>
                <w:u w:val="single"/>
              </w:rPr>
              <w:tab/>
            </w:r>
            <w:r>
              <w:rPr>
                <w:rFonts w:hint="eastAsia" w:cs="宋体"/>
                <w:color w:val="auto"/>
                <w:szCs w:val="21"/>
                <w:highlight w:val="none"/>
                <w:u w:val="single"/>
                <w:lang w:val="en-US" w:eastAsia="zh-CN"/>
              </w:rPr>
              <w:t>wuqb@zjsct.cn</w:t>
            </w:r>
            <w:r>
              <w:rPr>
                <w:rFonts w:hint="eastAsia" w:ascii="宋体" w:hAnsi="宋体" w:eastAsia="宋体" w:cs="宋体"/>
                <w:snapToGrid w:val="0"/>
                <w:color w:val="auto"/>
                <w:sz w:val="24"/>
                <w:szCs w:val="24"/>
                <w:highlight w:val="none"/>
                <w:lang w:eastAsia="zh-CN"/>
              </w:rPr>
              <w:t>。</w:t>
            </w:r>
          </w:p>
        </w:tc>
      </w:tr>
      <w:tr w14:paraId="334BA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1002" w:type="dxa"/>
            <w:vAlign w:val="center"/>
          </w:tcPr>
          <w:p w14:paraId="73172473">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1.1.6</w:t>
            </w:r>
          </w:p>
        </w:tc>
        <w:tc>
          <w:tcPr>
            <w:tcW w:w="1686" w:type="dxa"/>
            <w:vAlign w:val="center"/>
          </w:tcPr>
          <w:p w14:paraId="5585C71D">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项目概况</w:t>
            </w:r>
          </w:p>
        </w:tc>
        <w:tc>
          <w:tcPr>
            <w:tcW w:w="6653" w:type="dxa"/>
            <w:vAlign w:val="center"/>
          </w:tcPr>
          <w:p w14:paraId="28ABBEDD">
            <w:pPr>
              <w:pStyle w:val="20"/>
              <w:adjustRightInd w:val="0"/>
              <w:snapToGrid w:val="0"/>
              <w:spacing w:before="0" w:beforeAutospacing="0" w:after="0" w:afterAutospacing="0" w:line="380" w:lineRule="exact"/>
              <w:rPr>
                <w:rFonts w:hint="eastAsia" w:ascii="宋体" w:hAnsi="宋体" w:eastAsia="宋体" w:cs="宋体"/>
                <w:b/>
                <w:bCs/>
                <w:color w:val="auto"/>
                <w:highlight w:val="none"/>
              </w:rPr>
            </w:pPr>
            <w:r>
              <w:rPr>
                <w:rFonts w:hint="eastAsia" w:ascii="宋体" w:hAnsi="宋体" w:eastAsia="宋体" w:cs="宋体"/>
                <w:snapToGrid w:val="0"/>
                <w:color w:val="auto"/>
                <w:highlight w:val="none"/>
              </w:rPr>
              <w:t>招标编号：</w:t>
            </w:r>
            <w:r>
              <w:rPr>
                <w:rFonts w:hint="eastAsia" w:cs="宋体"/>
                <w:bCs/>
                <w:color w:val="auto"/>
                <w:sz w:val="24"/>
                <w:highlight w:val="none"/>
                <w:u w:val="single"/>
                <w:lang w:val="en-US" w:eastAsia="zh-CN"/>
              </w:rPr>
              <w:t>NY-1HZB2408069</w:t>
            </w:r>
            <w:r>
              <w:rPr>
                <w:rFonts w:hint="eastAsia" w:ascii="宋体" w:hAnsi="宋体" w:eastAsia="宋体" w:cs="宋体"/>
                <w:snapToGrid w:val="0"/>
                <w:color w:val="auto"/>
                <w:highlight w:val="none"/>
              </w:rPr>
              <w:t>。</w:t>
            </w:r>
          </w:p>
          <w:p w14:paraId="5B6C0A55">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项目名称：</w:t>
            </w:r>
            <w:r>
              <w:rPr>
                <w:rFonts w:hint="eastAsia" w:ascii="宋体" w:hAnsi="宋体" w:eastAsia="宋体" w:cs="宋体"/>
                <w:snapToGrid w:val="0"/>
                <w:color w:val="auto"/>
                <w:sz w:val="24"/>
                <w:szCs w:val="24"/>
                <w:highlight w:val="none"/>
                <w:u w:val="single"/>
                <w:lang w:eastAsia="zh-CN"/>
              </w:rPr>
              <w:tab/>
            </w:r>
            <w:r>
              <w:rPr>
                <w:rFonts w:hint="eastAsia" w:cs="宋体"/>
                <w:color w:val="auto"/>
                <w:sz w:val="24"/>
                <w:szCs w:val="24"/>
                <w:highlight w:val="none"/>
                <w:u w:val="single"/>
                <w:lang w:val="zh-CN" w:eastAsia="zh-CN"/>
              </w:rPr>
              <w:t>2024年-2026年临江公司水泥采购项目</w:t>
            </w:r>
            <w:r>
              <w:rPr>
                <w:rFonts w:hint="eastAsia" w:ascii="宋体" w:hAnsi="宋体" w:eastAsia="宋体" w:cs="宋体"/>
                <w:snapToGrid w:val="0"/>
                <w:color w:val="auto"/>
                <w:sz w:val="24"/>
                <w:szCs w:val="24"/>
                <w:highlight w:val="none"/>
                <w:lang w:eastAsia="zh-CN"/>
              </w:rPr>
              <w:t>。</w:t>
            </w:r>
          </w:p>
          <w:p w14:paraId="600D4E80">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项目地点：</w:t>
            </w:r>
            <w:r>
              <w:rPr>
                <w:rFonts w:hint="eastAsia" w:ascii="宋体" w:hAnsi="宋体" w:eastAsia="宋体" w:cs="宋体"/>
                <w:color w:val="auto"/>
                <w:sz w:val="24"/>
                <w:szCs w:val="24"/>
                <w:highlight w:val="none"/>
                <w:u w:val="single"/>
                <w:lang w:val="zh-CN" w:eastAsia="zh-CN"/>
              </w:rPr>
              <w:t>杭州市钱塘区临江街道临江循环经济产业园内</w:t>
            </w:r>
            <w:r>
              <w:rPr>
                <w:rFonts w:hint="eastAsia" w:ascii="宋体" w:hAnsi="宋体" w:eastAsia="宋体" w:cs="宋体"/>
                <w:snapToGrid w:val="0"/>
                <w:color w:val="auto"/>
                <w:sz w:val="24"/>
                <w:szCs w:val="24"/>
                <w:highlight w:val="none"/>
                <w:lang w:eastAsia="zh-CN"/>
              </w:rPr>
              <w:t>。</w:t>
            </w:r>
          </w:p>
          <w:p w14:paraId="3AD61522">
            <w:pPr>
              <w:pStyle w:val="43"/>
              <w:snapToGrid w:val="0"/>
              <w:spacing w:line="400" w:lineRule="exact"/>
              <w:ind w:right="64" w:rightChars="20"/>
              <w:jc w:val="both"/>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项目本期概算：</w:t>
            </w:r>
            <w:r>
              <w:rPr>
                <w:rFonts w:hint="eastAsia" w:ascii="宋体" w:hAnsi="宋体" w:eastAsia="宋体" w:cs="宋体"/>
                <w:color w:val="auto"/>
                <w:sz w:val="24"/>
                <w:szCs w:val="24"/>
                <w:highlight w:val="none"/>
                <w:u w:val="single"/>
                <w:lang w:eastAsia="zh-CN"/>
              </w:rPr>
              <w:t xml:space="preserve"> </w:t>
            </w:r>
            <w:r>
              <w:rPr>
                <w:rFonts w:hint="eastAsia" w:cs="宋体"/>
                <w:color w:val="auto"/>
                <w:sz w:val="24"/>
                <w:szCs w:val="24"/>
                <w:highlight w:val="none"/>
                <w:u w:val="single"/>
                <w:lang w:val="en-US" w:eastAsia="zh-CN"/>
              </w:rPr>
              <w:t>146万元</w:t>
            </w:r>
            <w:r>
              <w:rPr>
                <w:rFonts w:hint="eastAsia" w:ascii="宋体" w:hAnsi="宋体" w:eastAsia="宋体" w:cs="宋体"/>
                <w:color w:val="auto"/>
                <w:sz w:val="24"/>
                <w:szCs w:val="24"/>
                <w:highlight w:val="none"/>
                <w:u w:val="single"/>
                <w:lang w:eastAsia="zh-CN"/>
              </w:rPr>
              <w:t>；最高限价（</w:t>
            </w:r>
            <w:r>
              <w:rPr>
                <w:rFonts w:hint="eastAsia" w:cs="宋体"/>
                <w:color w:val="auto"/>
                <w:sz w:val="24"/>
                <w:szCs w:val="24"/>
                <w:highlight w:val="none"/>
                <w:u w:val="single"/>
                <w:lang w:val="en-US" w:eastAsia="zh-CN"/>
              </w:rPr>
              <w:t>146</w:t>
            </w:r>
            <w:r>
              <w:rPr>
                <w:rFonts w:hint="eastAsia" w:ascii="宋体" w:hAnsi="宋体" w:eastAsia="宋体" w:cs="宋体"/>
                <w:color w:val="auto"/>
                <w:sz w:val="24"/>
                <w:szCs w:val="24"/>
                <w:highlight w:val="none"/>
                <w:u w:val="single"/>
                <w:lang w:eastAsia="zh-CN"/>
              </w:rPr>
              <w:t>万元，含税）</w:t>
            </w:r>
            <w:r>
              <w:rPr>
                <w:rFonts w:hint="eastAsia" w:cs="宋体"/>
                <w:color w:val="auto"/>
                <w:sz w:val="24"/>
                <w:szCs w:val="24"/>
                <w:highlight w:val="none"/>
                <w:u w:val="single"/>
                <w:lang w:eastAsia="zh-CN"/>
              </w:rPr>
              <w:t>，</w:t>
            </w:r>
            <w:r>
              <w:rPr>
                <w:rFonts w:hint="eastAsia" w:ascii="宋体" w:hAnsi="宋体" w:eastAsia="宋体" w:cs="宋体"/>
                <w:b/>
                <w:bCs/>
                <w:snapToGrid w:val="0"/>
                <w:color w:val="auto"/>
                <w:kern w:val="2"/>
                <w:sz w:val="24"/>
                <w:szCs w:val="24"/>
                <w:highlight w:val="none"/>
                <w:u w:val="single"/>
                <w:lang w:val="zh-CN" w:eastAsia="zh-CN"/>
              </w:rPr>
              <w:t>其中M32.5R袋装信息价下浮率不低于3%、M32.5R散装信息价下浮率不低于10%，超过最高限价的按无效标处理。</w:t>
            </w:r>
            <w:r>
              <w:rPr>
                <w:rFonts w:hint="eastAsia" w:ascii="宋体" w:hAnsi="宋体" w:eastAsia="宋体" w:cs="宋体"/>
                <w:color w:val="auto"/>
                <w:sz w:val="24"/>
                <w:szCs w:val="24"/>
                <w:highlight w:val="none"/>
                <w:u w:val="single"/>
                <w:lang w:eastAsia="zh-CN"/>
              </w:rPr>
              <w:t xml:space="preserve"> </w:t>
            </w:r>
          </w:p>
          <w:p w14:paraId="15B81E48">
            <w:pPr>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rPr>
              <w:t>招标方式：</w:t>
            </w:r>
            <w:r>
              <w:rPr>
                <w:rFonts w:hint="eastAsia" w:ascii="宋体" w:hAnsi="宋体" w:eastAsia="宋体" w:cs="宋体"/>
                <w:color w:val="auto"/>
                <w:sz w:val="24"/>
                <w:highlight w:val="none"/>
                <w:u w:val="single"/>
              </w:rPr>
              <w:t>公开招标。</w:t>
            </w:r>
          </w:p>
        </w:tc>
      </w:tr>
      <w:tr w14:paraId="25A97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2B30D70">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1.2.1</w:t>
            </w:r>
          </w:p>
        </w:tc>
        <w:tc>
          <w:tcPr>
            <w:tcW w:w="1686" w:type="dxa"/>
            <w:vAlign w:val="center"/>
          </w:tcPr>
          <w:p w14:paraId="41183378">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资金来源</w:t>
            </w:r>
          </w:p>
          <w:p w14:paraId="70630AA0">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w:t>
            </w:r>
            <w:r>
              <w:rPr>
                <w:rFonts w:hint="eastAsia" w:ascii="宋体" w:hAnsi="宋体" w:eastAsia="宋体" w:cs="宋体"/>
                <w:snapToGrid w:val="0"/>
                <w:color w:val="auto"/>
                <w:sz w:val="24"/>
                <w:szCs w:val="24"/>
                <w:highlight w:val="none"/>
                <w:lang w:eastAsia="zh-CN"/>
              </w:rPr>
              <w:t>落实情况</w:t>
            </w:r>
          </w:p>
        </w:tc>
        <w:tc>
          <w:tcPr>
            <w:tcW w:w="6653" w:type="dxa"/>
            <w:vAlign w:val="center"/>
          </w:tcPr>
          <w:p w14:paraId="265B821D">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已落实，自筹</w:t>
            </w:r>
          </w:p>
        </w:tc>
      </w:tr>
      <w:tr w14:paraId="5F37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A6C95CA">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1.3.1</w:t>
            </w:r>
          </w:p>
        </w:tc>
        <w:tc>
          <w:tcPr>
            <w:tcW w:w="1686" w:type="dxa"/>
            <w:vAlign w:val="center"/>
          </w:tcPr>
          <w:p w14:paraId="187210B5">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招标范围</w:t>
            </w:r>
            <w:r>
              <w:rPr>
                <w:rFonts w:hint="eastAsia" w:ascii="宋体" w:hAnsi="宋体" w:eastAsia="宋体" w:cs="宋体"/>
                <w:snapToGrid w:val="0"/>
                <w:color w:val="auto"/>
                <w:sz w:val="24"/>
                <w:szCs w:val="24"/>
                <w:highlight w:val="none"/>
                <w:lang w:eastAsia="zh-CN"/>
              </w:rPr>
              <w:t>及内容</w:t>
            </w:r>
          </w:p>
        </w:tc>
        <w:tc>
          <w:tcPr>
            <w:tcW w:w="6653" w:type="dxa"/>
            <w:vAlign w:val="center"/>
          </w:tcPr>
          <w:p w14:paraId="4D71421F">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14:paraId="3E609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50C67C10">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1.4.1</w:t>
            </w:r>
          </w:p>
          <w:p w14:paraId="04346F57">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1.4.2</w:t>
            </w:r>
          </w:p>
        </w:tc>
        <w:tc>
          <w:tcPr>
            <w:tcW w:w="1686" w:type="dxa"/>
            <w:vAlign w:val="center"/>
          </w:tcPr>
          <w:p w14:paraId="4A420CBB">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投标人资格审查方式、资格条件</w:t>
            </w:r>
          </w:p>
        </w:tc>
        <w:tc>
          <w:tcPr>
            <w:tcW w:w="6653" w:type="dxa"/>
            <w:vAlign w:val="center"/>
          </w:tcPr>
          <w:p w14:paraId="5D7184FE">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投标人资格审查方式：资格后审</w:t>
            </w:r>
          </w:p>
          <w:p w14:paraId="0409E757">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投标人资格条件见招标公告</w:t>
            </w:r>
          </w:p>
        </w:tc>
      </w:tr>
      <w:tr w14:paraId="21B96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6FC2E6E">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686" w:type="dxa"/>
            <w:vAlign w:val="center"/>
          </w:tcPr>
          <w:p w14:paraId="28016447">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联合体投标</w:t>
            </w:r>
            <w:r>
              <w:rPr>
                <w:rFonts w:hint="eastAsia" w:ascii="宋体" w:hAnsi="宋体" w:eastAsia="宋体" w:cs="宋体"/>
                <w:snapToGrid w:val="0"/>
                <w:color w:val="auto"/>
                <w:sz w:val="24"/>
                <w:szCs w:val="24"/>
                <w:highlight w:val="none"/>
                <w:lang w:eastAsia="zh-CN"/>
              </w:rPr>
              <w:t>要求</w:t>
            </w:r>
          </w:p>
        </w:tc>
        <w:tc>
          <w:tcPr>
            <w:tcW w:w="6653" w:type="dxa"/>
            <w:vAlign w:val="center"/>
          </w:tcPr>
          <w:p w14:paraId="7B09A731">
            <w:pPr>
              <w:pStyle w:val="43"/>
              <w:snapToGrid w:val="0"/>
              <w:spacing w:line="400" w:lineRule="exact"/>
              <w:ind w:right="64" w:rightChars="20"/>
              <w:jc w:val="both"/>
              <w:rPr>
                <w:rFonts w:hint="eastAsia" w:ascii="宋体" w:hAnsi="宋体" w:eastAsia="宋体" w:cs="宋体"/>
                <w:snapToGrid w:val="0"/>
                <w:color w:val="auto"/>
                <w:highlight w:val="none"/>
              </w:rPr>
            </w:pPr>
            <w:r>
              <w:rPr>
                <w:rFonts w:hint="eastAsia" w:ascii="宋体" w:hAnsi="宋体" w:eastAsia="宋体" w:cs="宋体"/>
                <w:snapToGrid w:val="0"/>
                <w:color w:val="auto"/>
                <w:sz w:val="24"/>
                <w:szCs w:val="24"/>
                <w:highlight w:val="none"/>
                <w:lang w:eastAsia="zh-CN"/>
              </w:rPr>
              <w:t>☑不接受</w:t>
            </w:r>
          </w:p>
        </w:tc>
      </w:tr>
      <w:tr w14:paraId="241AB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0CE5F33A">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1.6.1</w:t>
            </w:r>
          </w:p>
        </w:tc>
        <w:tc>
          <w:tcPr>
            <w:tcW w:w="1686" w:type="dxa"/>
            <w:vAlign w:val="center"/>
          </w:tcPr>
          <w:p w14:paraId="45C76735">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关联性投标要求</w:t>
            </w:r>
          </w:p>
        </w:tc>
        <w:tc>
          <w:tcPr>
            <w:tcW w:w="6653" w:type="dxa"/>
            <w:vAlign w:val="center"/>
          </w:tcPr>
          <w:p w14:paraId="43800521">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见招标公告</w:t>
            </w:r>
          </w:p>
        </w:tc>
      </w:tr>
      <w:tr w14:paraId="66BBC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24F58D66">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1.7.1</w:t>
            </w:r>
          </w:p>
        </w:tc>
        <w:tc>
          <w:tcPr>
            <w:tcW w:w="1686" w:type="dxa"/>
            <w:vAlign w:val="center"/>
          </w:tcPr>
          <w:p w14:paraId="6C468F20">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分包</w:t>
            </w:r>
          </w:p>
        </w:tc>
        <w:tc>
          <w:tcPr>
            <w:tcW w:w="6653" w:type="dxa"/>
            <w:vAlign w:val="center"/>
          </w:tcPr>
          <w:p w14:paraId="02FD17DF">
            <w:pPr>
              <w:autoSpaceDE w:val="0"/>
              <w:autoSpaceDN w:val="0"/>
              <w:adjustRightInd w:val="0"/>
              <w:snapToGrid w:val="0"/>
              <w:spacing w:line="320" w:lineRule="exact"/>
              <w:rPr>
                <w:rFonts w:hint="eastAsia" w:ascii="宋体" w:hAnsi="宋体" w:eastAsia="宋体" w:cs="宋体"/>
                <w:snapToGrid w:val="0"/>
                <w:color w:val="auto"/>
                <w:kern w:val="0"/>
                <w:sz w:val="24"/>
                <w:highlight w:val="none"/>
                <w:shd w:val="clear" w:color="FFFFFF" w:fill="D9D9D9"/>
              </w:rPr>
            </w:pPr>
            <w:r>
              <w:rPr>
                <w:rFonts w:hint="eastAsia" w:ascii="宋体" w:hAnsi="宋体" w:eastAsia="宋体" w:cs="宋体"/>
                <w:snapToGrid w:val="0"/>
                <w:color w:val="auto"/>
                <w:kern w:val="0"/>
                <w:sz w:val="24"/>
                <w:highlight w:val="none"/>
              </w:rPr>
              <w:t>（1）分包：☑ 不允许</w:t>
            </w:r>
          </w:p>
        </w:tc>
      </w:tr>
      <w:tr w14:paraId="32C16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DF39E5C">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1.8</w:t>
            </w:r>
          </w:p>
        </w:tc>
        <w:tc>
          <w:tcPr>
            <w:tcW w:w="1686" w:type="dxa"/>
            <w:vAlign w:val="center"/>
          </w:tcPr>
          <w:p w14:paraId="7E2AD1A6">
            <w:pPr>
              <w:pStyle w:val="43"/>
              <w:adjustRightInd w:val="0"/>
              <w:snapToGrid w:val="0"/>
              <w:spacing w:line="40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eastAsia="zh-CN"/>
              </w:rPr>
              <w:t>响应和</w:t>
            </w:r>
            <w:r>
              <w:rPr>
                <w:rFonts w:hint="eastAsia" w:ascii="宋体" w:hAnsi="宋体" w:eastAsia="宋体" w:cs="宋体"/>
                <w:snapToGrid w:val="0"/>
                <w:color w:val="auto"/>
                <w:sz w:val="24"/>
                <w:szCs w:val="24"/>
                <w:highlight w:val="none"/>
              </w:rPr>
              <w:t>偏差</w:t>
            </w:r>
          </w:p>
        </w:tc>
        <w:tc>
          <w:tcPr>
            <w:tcW w:w="6653" w:type="dxa"/>
            <w:vAlign w:val="center"/>
          </w:tcPr>
          <w:p w14:paraId="31FC308F">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对投标响应和偏差的要求详见投标人须知1.8</w:t>
            </w:r>
          </w:p>
        </w:tc>
      </w:tr>
      <w:tr w14:paraId="38497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B798555">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eastAsia="zh-CN"/>
              </w:rPr>
              <w:t>1</w:t>
            </w:r>
          </w:p>
        </w:tc>
        <w:tc>
          <w:tcPr>
            <w:tcW w:w="1686" w:type="dxa"/>
            <w:vAlign w:val="center"/>
          </w:tcPr>
          <w:p w14:paraId="3CFD6FC4">
            <w:pPr>
              <w:pStyle w:val="43"/>
              <w:snapToGrid w:val="0"/>
              <w:spacing w:line="400" w:lineRule="exact"/>
              <w:ind w:right="64" w:rightChars="20"/>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w:t>
            </w:r>
          </w:p>
        </w:tc>
        <w:tc>
          <w:tcPr>
            <w:tcW w:w="6653" w:type="dxa"/>
            <w:vAlign w:val="center"/>
          </w:tcPr>
          <w:p w14:paraId="017A16B9">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招标文件的获取方式、要求见招标公告</w:t>
            </w:r>
          </w:p>
        </w:tc>
      </w:tr>
      <w:tr w14:paraId="64F18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8F8BDCA">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w:t>
            </w:r>
          </w:p>
        </w:tc>
        <w:tc>
          <w:tcPr>
            <w:tcW w:w="1686" w:type="dxa"/>
            <w:vAlign w:val="center"/>
          </w:tcPr>
          <w:p w14:paraId="29056CC0">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对招标文件提出问题的截止时间、方式</w:t>
            </w:r>
          </w:p>
        </w:tc>
        <w:tc>
          <w:tcPr>
            <w:tcW w:w="6653" w:type="dxa"/>
            <w:vAlign w:val="center"/>
          </w:tcPr>
          <w:p w14:paraId="16F88620">
            <w:pPr>
              <w:autoSpaceDE w:val="0"/>
              <w:autoSpaceDN w:val="0"/>
              <w:adjustRightInd w:val="0"/>
              <w:snapToGrid w:val="0"/>
              <w:spacing w:line="400" w:lineRule="exact"/>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 xml:space="preserve">提出问题截止时间： </w:t>
            </w:r>
            <w:r>
              <w:rPr>
                <w:rFonts w:hint="eastAsia" w:ascii="宋体" w:hAnsi="宋体" w:eastAsia="宋体" w:cs="宋体"/>
                <w:b/>
                <w:bCs/>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 xml:space="preserve"> 年</w:t>
            </w:r>
            <w:r>
              <w:rPr>
                <w:rFonts w:hint="eastAsia" w:ascii="宋体" w:hAnsi="宋体" w:eastAsia="宋体" w:cs="宋体"/>
                <w:b/>
                <w:bCs/>
                <w:color w:val="auto"/>
                <w:kern w:val="0"/>
                <w:sz w:val="24"/>
                <w:highlight w:val="none"/>
                <w:u w:val="single"/>
                <w:lang w:val="en-US" w:eastAsia="zh-CN"/>
              </w:rPr>
              <w:t>9</w:t>
            </w:r>
            <w:r>
              <w:rPr>
                <w:rFonts w:hint="eastAsia" w:ascii="宋体" w:hAnsi="宋体" w:eastAsia="宋体" w:cs="宋体"/>
                <w:b/>
                <w:bCs/>
                <w:color w:val="auto"/>
                <w:kern w:val="0"/>
                <w:sz w:val="24"/>
                <w:highlight w:val="none"/>
                <w:u w:val="single"/>
              </w:rPr>
              <w:t xml:space="preserve"> 月</w:t>
            </w:r>
            <w:r>
              <w:rPr>
                <w:rFonts w:hint="eastAsia" w:ascii="宋体" w:hAnsi="宋体" w:eastAsia="宋体" w:cs="宋体"/>
                <w:b/>
                <w:bCs/>
                <w:color w:val="auto"/>
                <w:kern w:val="0"/>
                <w:sz w:val="24"/>
                <w:highlight w:val="none"/>
                <w:u w:val="single"/>
                <w:lang w:val="en-US" w:eastAsia="zh-CN"/>
              </w:rPr>
              <w:t>2</w:t>
            </w:r>
            <w:r>
              <w:rPr>
                <w:rFonts w:hint="eastAsia" w:ascii="宋体" w:hAnsi="宋体" w:eastAsia="宋体" w:cs="宋体"/>
                <w:b/>
                <w:bCs/>
                <w:color w:val="auto"/>
                <w:kern w:val="0"/>
                <w:sz w:val="24"/>
                <w:highlight w:val="none"/>
                <w:u w:val="single"/>
              </w:rPr>
              <w:t xml:space="preserve"> 日 </w:t>
            </w:r>
            <w:r>
              <w:rPr>
                <w:rFonts w:hint="eastAsia" w:ascii="宋体" w:hAnsi="宋体" w:eastAsia="宋体" w:cs="宋体"/>
                <w:b/>
                <w:bCs/>
                <w:color w:val="auto"/>
                <w:kern w:val="0"/>
                <w:sz w:val="24"/>
                <w:highlight w:val="none"/>
                <w:u w:val="single"/>
                <w:lang w:val="en-US" w:eastAsia="zh-CN"/>
              </w:rPr>
              <w:t>12</w:t>
            </w:r>
            <w:r>
              <w:rPr>
                <w:rFonts w:hint="eastAsia" w:ascii="宋体" w:hAnsi="宋体" w:eastAsia="宋体" w:cs="宋体"/>
                <w:b/>
                <w:bCs/>
                <w:color w:val="auto"/>
                <w:kern w:val="0"/>
                <w:sz w:val="24"/>
                <w:highlight w:val="none"/>
                <w:u w:val="single"/>
              </w:rPr>
              <w:t xml:space="preserve"> :00 </w:t>
            </w:r>
          </w:p>
          <w:p w14:paraId="75FE4844">
            <w:pPr>
              <w:autoSpaceDE w:val="0"/>
              <w:autoSpaceDN w:val="0"/>
              <w:adjustRightInd w:val="0"/>
              <w:snapToGrid w:val="0"/>
              <w:spacing w:line="400" w:lineRule="exact"/>
              <w:jc w:val="lef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rPr>
              <w:t>提出问题</w:t>
            </w:r>
            <w:r>
              <w:rPr>
                <w:rFonts w:hint="eastAsia" w:ascii="宋体" w:hAnsi="宋体" w:eastAsia="宋体" w:cs="宋体"/>
                <w:snapToGrid w:val="0"/>
                <w:color w:val="auto"/>
                <w:kern w:val="0"/>
                <w:sz w:val="24"/>
                <w:highlight w:val="none"/>
              </w:rPr>
              <w:t>方式：投标人请在上述时间前将所有问题一次性以E-mail形式发送word版和加盖公章的PDF扫描件或图片格式到指定邮箱：</w:t>
            </w:r>
            <w:r>
              <w:rPr>
                <w:rFonts w:hint="eastAsia" w:ascii="宋体" w:hAnsi="宋体" w:eastAsia="宋体" w:cs="宋体"/>
                <w:snapToGrid w:val="0"/>
                <w:color w:val="auto"/>
                <w:kern w:val="0"/>
                <w:sz w:val="24"/>
                <w:highlight w:val="none"/>
                <w:u w:val="single"/>
                <w:lang w:val="en-US" w:eastAsia="zh-CN"/>
              </w:rPr>
              <w:tab/>
            </w:r>
            <w:r>
              <w:rPr>
                <w:rFonts w:hint="eastAsia" w:ascii="宋体" w:hAnsi="宋体" w:eastAsia="宋体" w:cs="宋体"/>
                <w:snapToGrid w:val="0"/>
                <w:color w:val="auto"/>
                <w:kern w:val="0"/>
                <w:sz w:val="24"/>
                <w:highlight w:val="none"/>
                <w:u w:val="single"/>
                <w:lang w:val="en-US" w:eastAsia="zh-CN"/>
              </w:rPr>
              <w:t>wuqb@zjsct.cn</w:t>
            </w:r>
            <w:r>
              <w:rPr>
                <w:rFonts w:hint="eastAsia" w:ascii="宋体" w:hAnsi="宋体" w:eastAsia="宋体" w:cs="宋体"/>
                <w:color w:val="auto"/>
                <w:kern w:val="0"/>
                <w:sz w:val="24"/>
                <w:highlight w:val="none"/>
                <w:u w:val="single"/>
              </w:rPr>
              <w:t xml:space="preserve"> </w:t>
            </w:r>
            <w:r>
              <w:rPr>
                <w:rFonts w:hint="eastAsia" w:ascii="宋体" w:hAnsi="宋体" w:eastAsia="宋体" w:cs="宋体"/>
                <w:snapToGrid w:val="0"/>
                <w:color w:val="auto"/>
                <w:kern w:val="0"/>
                <w:sz w:val="24"/>
                <w:highlight w:val="none"/>
              </w:rPr>
              <w:t>且word版本不低于word2007版本。</w:t>
            </w:r>
          </w:p>
          <w:p w14:paraId="0B59175D">
            <w:pPr>
              <w:autoSpaceDE w:val="0"/>
              <w:autoSpaceDN w:val="0"/>
              <w:adjustRightInd w:val="0"/>
              <w:snapToGrid w:val="0"/>
              <w:spacing w:line="400" w:lineRule="exac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注：未按上述要求提出的问题，招标人有权不予答复。</w:t>
            </w:r>
          </w:p>
        </w:tc>
      </w:tr>
      <w:tr w14:paraId="188AC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1A95B52">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w:t>
            </w:r>
          </w:p>
        </w:tc>
        <w:tc>
          <w:tcPr>
            <w:tcW w:w="1686" w:type="dxa"/>
            <w:vAlign w:val="center"/>
          </w:tcPr>
          <w:p w14:paraId="5F17F5ED">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招标文件澄清、修改发出的形式</w:t>
            </w:r>
          </w:p>
        </w:tc>
        <w:tc>
          <w:tcPr>
            <w:tcW w:w="6653" w:type="dxa"/>
            <w:vAlign w:val="center"/>
          </w:tcPr>
          <w:p w14:paraId="04FD779E">
            <w:pPr>
              <w:adjustRightInd w:val="0"/>
              <w:snapToGrid w:val="0"/>
              <w:spacing w:line="360" w:lineRule="auto"/>
              <w:jc w:val="left"/>
              <w:rPr>
                <w:rFonts w:hint="eastAsia" w:ascii="宋体" w:hAnsi="宋体" w:eastAsia="宋体" w:cs="宋体"/>
                <w:b/>
                <w:bCs/>
                <w:color w:val="auto"/>
                <w:kern w:val="0"/>
                <w:sz w:val="24"/>
                <w:highlight w:val="none"/>
                <w:u w:val="single"/>
              </w:rPr>
            </w:pPr>
            <w:r>
              <w:rPr>
                <w:rFonts w:hint="eastAsia" w:ascii="宋体" w:hAnsi="宋体" w:eastAsia="宋体" w:cs="宋体"/>
                <w:color w:val="auto"/>
                <w:kern w:val="0"/>
                <w:sz w:val="24"/>
                <w:highlight w:val="none"/>
              </w:rPr>
              <w:t>澄清问题截止时间：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2024</w:t>
            </w:r>
            <w:r>
              <w:rPr>
                <w:rFonts w:hint="eastAsia" w:ascii="宋体" w:hAnsi="宋体" w:eastAsia="宋体" w:cs="宋体"/>
                <w:b/>
                <w:bCs/>
                <w:color w:val="auto"/>
                <w:kern w:val="0"/>
                <w:sz w:val="24"/>
                <w:highlight w:val="none"/>
                <w:u w:val="single"/>
              </w:rPr>
              <w:t xml:space="preserve"> 年 </w:t>
            </w:r>
            <w:r>
              <w:rPr>
                <w:rFonts w:hint="eastAsia" w:ascii="宋体" w:hAnsi="宋体" w:eastAsia="宋体" w:cs="宋体"/>
                <w:b/>
                <w:bCs/>
                <w:color w:val="auto"/>
                <w:kern w:val="0"/>
                <w:sz w:val="24"/>
                <w:highlight w:val="none"/>
                <w:u w:val="single"/>
                <w:lang w:val="en-US" w:eastAsia="zh-CN"/>
              </w:rPr>
              <w:t>9</w:t>
            </w:r>
            <w:r>
              <w:rPr>
                <w:rFonts w:hint="eastAsia" w:ascii="宋体" w:hAnsi="宋体" w:eastAsia="宋体" w:cs="宋体"/>
                <w:b/>
                <w:bCs/>
                <w:color w:val="auto"/>
                <w:kern w:val="0"/>
                <w:sz w:val="24"/>
                <w:highlight w:val="none"/>
                <w:u w:val="single"/>
              </w:rPr>
              <w:t>月</w:t>
            </w:r>
            <w:r>
              <w:rPr>
                <w:rFonts w:hint="eastAsia" w:ascii="宋体" w:hAnsi="宋体" w:eastAsia="宋体" w:cs="宋体"/>
                <w:b/>
                <w:bCs/>
                <w:color w:val="auto"/>
                <w:kern w:val="0"/>
                <w:sz w:val="24"/>
                <w:highlight w:val="none"/>
                <w:u w:val="single"/>
                <w:lang w:val="en-US" w:eastAsia="zh-CN"/>
              </w:rPr>
              <w:t>5</w:t>
            </w:r>
            <w:r>
              <w:rPr>
                <w:rFonts w:hint="eastAsia" w:ascii="宋体" w:hAnsi="宋体" w:eastAsia="宋体" w:cs="宋体"/>
                <w:b/>
                <w:bCs/>
                <w:color w:val="auto"/>
                <w:kern w:val="0"/>
                <w:sz w:val="24"/>
                <w:highlight w:val="none"/>
                <w:u w:val="single"/>
              </w:rPr>
              <w:t xml:space="preserve">日 </w:t>
            </w:r>
            <w:r>
              <w:rPr>
                <w:rFonts w:hint="eastAsia" w:ascii="宋体" w:hAnsi="宋体" w:eastAsia="宋体" w:cs="宋体"/>
                <w:b/>
                <w:bCs/>
                <w:color w:val="auto"/>
                <w:kern w:val="0"/>
                <w:sz w:val="24"/>
                <w:highlight w:val="none"/>
                <w:u w:val="single"/>
                <w:lang w:val="en-US" w:eastAsia="zh-CN"/>
              </w:rPr>
              <w:t>17</w:t>
            </w:r>
            <w:r>
              <w:rPr>
                <w:rFonts w:hint="eastAsia" w:ascii="宋体" w:hAnsi="宋体" w:eastAsia="宋体" w:cs="宋体"/>
                <w:b/>
                <w:bCs/>
                <w:color w:val="auto"/>
                <w:kern w:val="0"/>
                <w:sz w:val="24"/>
                <w:highlight w:val="none"/>
                <w:u w:val="single"/>
              </w:rPr>
              <w:t xml:space="preserve"> :00</w:t>
            </w:r>
          </w:p>
          <w:p w14:paraId="15C2933C">
            <w:pPr>
              <w:spacing w:line="360" w:lineRule="auto"/>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sz w:val="24"/>
                <w:highlight w:val="none"/>
              </w:rPr>
              <w:t>在</w:t>
            </w:r>
            <w:r>
              <w:rPr>
                <w:rFonts w:hint="eastAsia" w:ascii="宋体" w:hAnsi="宋体" w:eastAsia="宋体" w:cs="宋体"/>
                <w:snapToGrid w:val="0"/>
                <w:color w:val="auto"/>
                <w:sz w:val="24"/>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4"/>
                <w:highlight w:val="none"/>
              </w:rPr>
              <w:t>文件，投标截止时间前，请投标人务必关注补充公告。</w:t>
            </w:r>
          </w:p>
        </w:tc>
      </w:tr>
      <w:tr w14:paraId="06E98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1BDCBB">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w:t>
            </w:r>
          </w:p>
        </w:tc>
        <w:tc>
          <w:tcPr>
            <w:tcW w:w="1686" w:type="dxa"/>
            <w:vAlign w:val="center"/>
          </w:tcPr>
          <w:p w14:paraId="2E07477E">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投标文件组成</w:t>
            </w:r>
          </w:p>
        </w:tc>
        <w:tc>
          <w:tcPr>
            <w:tcW w:w="6653" w:type="dxa"/>
            <w:vAlign w:val="center"/>
          </w:tcPr>
          <w:p w14:paraId="0C600EDD">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14:paraId="71F4768C">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1.资格文件</w:t>
            </w:r>
          </w:p>
          <w:p w14:paraId="24D9BEA0">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57D92C01">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（2）投标保证金缴存证明；</w:t>
            </w:r>
          </w:p>
          <w:p w14:paraId="59F6F013">
            <w:pPr>
              <w:wordWrap w:val="0"/>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（3）提供“国家企业信用信息公示系统”（https://www.gsxt.gov.cn/index.html）股权结构查询网页截图；</w:t>
            </w:r>
          </w:p>
          <w:p w14:paraId="48A49818">
            <w:pPr>
              <w:autoSpaceDE w:val="0"/>
              <w:autoSpaceDN w:val="0"/>
              <w:adjustRightInd w:val="0"/>
              <w:snapToGrid w:val="0"/>
              <w:spacing w:line="400" w:lineRule="exact"/>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lang w:val="zh-CN"/>
              </w:rPr>
              <w:t>）近三年内，未被“信用中国”（www.creditchina.gov.cn）、中国政府采购网（www.ccgp.gov.cn）等官方网站列入失信被执行人、重大税收违法失信主体、政府采购严重违法失信行为等不良记录名单。（投标人提供查询记录，并由代理机构在开标当日通过官方查询核实）</w:t>
            </w:r>
          </w:p>
          <w:p w14:paraId="734CBF26">
            <w:pPr>
              <w:autoSpaceDE w:val="0"/>
              <w:autoSpaceDN w:val="0"/>
              <w:adjustRightInd w:val="0"/>
              <w:snapToGrid w:val="0"/>
              <w:spacing w:line="400" w:lineRule="exact"/>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安全服务承诺函</w:t>
            </w:r>
            <w:r>
              <w:rPr>
                <w:rFonts w:hint="eastAsia" w:ascii="宋体" w:hAnsi="宋体" w:eastAsia="宋体" w:cs="宋体"/>
                <w:snapToGrid w:val="0"/>
                <w:color w:val="auto"/>
                <w:kern w:val="0"/>
                <w:sz w:val="24"/>
                <w:highlight w:val="none"/>
                <w:lang w:eastAsia="zh-CN"/>
              </w:rPr>
              <w:t>；</w:t>
            </w:r>
          </w:p>
          <w:p w14:paraId="756668BF">
            <w:pPr>
              <w:autoSpaceDE w:val="0"/>
              <w:autoSpaceDN w:val="0"/>
              <w:adjustRightInd w:val="0"/>
              <w:snapToGrid w:val="0"/>
              <w:spacing w:line="400" w:lineRule="exact"/>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投标声明书</w:t>
            </w:r>
            <w:r>
              <w:rPr>
                <w:rFonts w:hint="eastAsia" w:ascii="宋体" w:hAnsi="宋体" w:eastAsia="宋体" w:cs="宋体"/>
                <w:snapToGrid w:val="0"/>
                <w:color w:val="auto"/>
                <w:kern w:val="0"/>
                <w:sz w:val="24"/>
                <w:highlight w:val="none"/>
                <w:lang w:eastAsia="zh-CN"/>
              </w:rPr>
              <w:t>；</w:t>
            </w:r>
          </w:p>
          <w:p w14:paraId="59F300C3">
            <w:pPr>
              <w:autoSpaceDE w:val="0"/>
              <w:autoSpaceDN w:val="0"/>
              <w:adjustRightInd w:val="0"/>
              <w:snapToGrid w:val="0"/>
              <w:spacing w:line="400" w:lineRule="exact"/>
              <w:rPr>
                <w:rFonts w:hint="eastAsia" w:ascii="宋体" w:hAnsi="宋体" w:eastAsia="宋体" w:cs="宋体"/>
                <w:snapToGrid w:val="0"/>
                <w:color w:val="auto"/>
                <w:kern w:val="0"/>
                <w:sz w:val="24"/>
                <w:highlight w:val="none"/>
                <w:lang w:val="zh-CN" w:eastAsia="zh-CN"/>
              </w:rPr>
            </w:pP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lang w:val="en-US" w:eastAsia="zh-CN"/>
              </w:rPr>
              <w:t>7</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其他资格条件证明材料</w:t>
            </w:r>
            <w:r>
              <w:rPr>
                <w:rFonts w:hint="eastAsia" w:ascii="宋体" w:hAnsi="宋体" w:eastAsia="宋体" w:cs="宋体"/>
                <w:snapToGrid w:val="0"/>
                <w:color w:val="auto"/>
                <w:kern w:val="0"/>
                <w:sz w:val="24"/>
                <w:highlight w:val="none"/>
                <w:lang w:eastAsia="zh-CN"/>
              </w:rPr>
              <w:t>；</w:t>
            </w:r>
          </w:p>
          <w:p w14:paraId="2E190C58">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2.商务报价部分</w:t>
            </w:r>
          </w:p>
          <w:p w14:paraId="41121902">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（1）投标函；</w:t>
            </w:r>
          </w:p>
          <w:p w14:paraId="5319B934">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（2）投标报价明细表；</w:t>
            </w:r>
          </w:p>
          <w:p w14:paraId="24BCCA25">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（3）法定代表人资格证明书、法定代表人授权委托书；</w:t>
            </w:r>
          </w:p>
          <w:p w14:paraId="15F4F19D">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rPr>
              <w:t>）商务偏离表；</w:t>
            </w:r>
          </w:p>
          <w:p w14:paraId="5F7366F5">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）商务优惠条件及特殊承诺。</w:t>
            </w:r>
          </w:p>
          <w:p w14:paraId="339788EE">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3.资信文件部分</w:t>
            </w:r>
          </w:p>
          <w:p w14:paraId="1E8CCEF6">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（1）投标人情况表；</w:t>
            </w:r>
          </w:p>
          <w:p w14:paraId="29C3FCF6">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）诚信廉洁承诺函；</w:t>
            </w:r>
          </w:p>
          <w:p w14:paraId="1460B3F6">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3</w:t>
            </w:r>
            <w:r>
              <w:rPr>
                <w:rFonts w:hint="eastAsia" w:ascii="宋体" w:hAnsi="宋体" w:eastAsia="宋体" w:cs="宋体"/>
                <w:snapToGrid w:val="0"/>
                <w:color w:val="auto"/>
                <w:kern w:val="0"/>
                <w:sz w:val="24"/>
                <w:highlight w:val="none"/>
              </w:rPr>
              <w:t>）投标人认为有必要的其他内容等。</w:t>
            </w:r>
          </w:p>
          <w:p w14:paraId="55B4DDA0">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4.技术部分（</w:t>
            </w:r>
            <w:r>
              <w:rPr>
                <w:rFonts w:hint="eastAsia" w:ascii="宋体" w:hAnsi="宋体" w:eastAsia="宋体" w:cs="宋体"/>
                <w:snapToGrid w:val="0"/>
                <w:color w:val="auto"/>
                <w:kern w:val="0"/>
                <w:sz w:val="24"/>
                <w:highlight w:val="none"/>
                <w:lang w:val="en-US" w:eastAsia="zh-CN"/>
              </w:rPr>
              <w:t>投标人自行提供</w:t>
            </w:r>
            <w:r>
              <w:rPr>
                <w:rFonts w:hint="eastAsia" w:ascii="宋体" w:hAnsi="宋体" w:eastAsia="宋体" w:cs="宋体"/>
                <w:snapToGrid w:val="0"/>
                <w:color w:val="auto"/>
                <w:kern w:val="0"/>
                <w:sz w:val="24"/>
                <w:highlight w:val="none"/>
              </w:rPr>
              <w:t>）</w:t>
            </w:r>
          </w:p>
          <w:p w14:paraId="556DFB57">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（1）技术与服务解决方案：</w:t>
            </w:r>
          </w:p>
          <w:p w14:paraId="5157AFF2">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（2）技术优惠条件及特殊承诺；</w:t>
            </w:r>
          </w:p>
          <w:p w14:paraId="40B6D478">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（3）技术偏离表；</w:t>
            </w:r>
          </w:p>
          <w:p w14:paraId="22D13681">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（4）投标人认为需要提供的其他文件和说明。</w:t>
            </w:r>
          </w:p>
          <w:p w14:paraId="53918D01">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备注：以上证明材料提供复印件加盖公章。</w:t>
            </w:r>
          </w:p>
        </w:tc>
      </w:tr>
      <w:tr w14:paraId="392E8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4141A35">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w:t>
            </w:r>
          </w:p>
        </w:tc>
        <w:tc>
          <w:tcPr>
            <w:tcW w:w="1686" w:type="dxa"/>
            <w:vAlign w:val="center"/>
          </w:tcPr>
          <w:p w14:paraId="02471D55">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投标文件份数及其他要求</w:t>
            </w:r>
          </w:p>
        </w:tc>
        <w:tc>
          <w:tcPr>
            <w:tcW w:w="6653" w:type="dxa"/>
            <w:vAlign w:val="center"/>
          </w:tcPr>
          <w:p w14:paraId="07C399CC">
            <w:pPr>
              <w:pStyle w:val="43"/>
              <w:snapToGrid w:val="0"/>
              <w:spacing w:line="400" w:lineRule="exact"/>
              <w:ind w:right="64" w:rightChars="2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投标文件份数：1正</w:t>
            </w:r>
            <w:r>
              <w:rPr>
                <w:rFonts w:hint="eastAsia" w:ascii="宋体" w:hAnsi="宋体" w:eastAsia="宋体" w:cs="宋体"/>
                <w:color w:val="auto"/>
                <w:sz w:val="24"/>
                <w:szCs w:val="24"/>
                <w:highlight w:val="none"/>
                <w:u w:val="single"/>
                <w:lang w:eastAsia="zh-CN"/>
              </w:rPr>
              <w:t>4</w:t>
            </w:r>
            <w:r>
              <w:rPr>
                <w:rFonts w:hint="eastAsia" w:ascii="宋体" w:hAnsi="宋体" w:eastAsia="宋体" w:cs="宋体"/>
                <w:color w:val="auto"/>
                <w:sz w:val="24"/>
                <w:szCs w:val="24"/>
                <w:highlight w:val="none"/>
                <w:lang w:eastAsia="zh-CN"/>
              </w:rPr>
              <w:t>副</w:t>
            </w:r>
          </w:p>
          <w:p w14:paraId="352EB836">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提交电子版文件：</w:t>
            </w:r>
          </w:p>
          <w:p w14:paraId="7939FE92">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☑是，提交电子版带红章的PDF文件及word版本各1份（形式为：</w:t>
            </w:r>
            <w:r>
              <w:rPr>
                <w:rFonts w:hint="eastAsia" w:ascii="宋体" w:hAnsi="宋体" w:eastAsia="宋体" w:cs="宋体"/>
                <w:color w:val="auto"/>
                <w:sz w:val="24"/>
                <w:highlight w:val="none"/>
                <w:u w:val="single"/>
              </w:rPr>
              <w:t xml:space="preserve"> U盘形式 </w:t>
            </w:r>
            <w:r>
              <w:rPr>
                <w:rFonts w:hint="eastAsia" w:ascii="宋体" w:hAnsi="宋体" w:eastAsia="宋体" w:cs="宋体"/>
                <w:color w:val="auto"/>
                <w:sz w:val="24"/>
                <w:highlight w:val="none"/>
              </w:rPr>
              <w:t>）（与投标文件一起密封）。</w:t>
            </w:r>
          </w:p>
          <w:p w14:paraId="6314C7F7">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如投标人同时对多个标包进行投标的，需针对每个标包分别编制投标文件。</w:t>
            </w:r>
          </w:p>
        </w:tc>
      </w:tr>
      <w:tr w14:paraId="6DBD7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46451CD2">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w:t>
            </w:r>
          </w:p>
        </w:tc>
        <w:tc>
          <w:tcPr>
            <w:tcW w:w="1686" w:type="dxa"/>
            <w:vAlign w:val="center"/>
          </w:tcPr>
          <w:p w14:paraId="259BBBEA">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装订要求</w:t>
            </w:r>
          </w:p>
        </w:tc>
        <w:tc>
          <w:tcPr>
            <w:tcW w:w="6653" w:type="dxa"/>
            <w:vAlign w:val="center"/>
          </w:tcPr>
          <w:p w14:paraId="09B6A238">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是否分册装订：</w:t>
            </w:r>
          </w:p>
          <w:p w14:paraId="5F93EA3D">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☑不分册装订；</w:t>
            </w:r>
          </w:p>
          <w:p w14:paraId="141BB583">
            <w:pPr>
              <w:pStyle w:val="43"/>
              <w:snapToGrid w:val="0"/>
              <w:spacing w:line="40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装订要求：A4幅面，卡纸作封面。每册采用胶装方式装订，装订应牢固、不易拆散和换页，不得采用活页装订。</w:t>
            </w:r>
          </w:p>
          <w:p w14:paraId="6892896D">
            <w:pPr>
              <w:pStyle w:val="43"/>
              <w:snapToGrid w:val="0"/>
              <w:spacing w:line="400" w:lineRule="exact"/>
              <w:ind w:right="64" w:rightChars="20"/>
              <w:jc w:val="both"/>
              <w:rPr>
                <w:rFonts w:hint="eastAsia" w:ascii="宋体" w:hAnsi="宋体" w:eastAsia="宋体" w:cs="宋体"/>
                <w:snapToGrid w:val="0"/>
                <w:color w:val="auto"/>
                <w:sz w:val="24"/>
                <w:szCs w:val="24"/>
                <w:highlight w:val="none"/>
                <w:u w:val="single"/>
                <w:lang w:eastAsia="zh-CN"/>
              </w:rPr>
            </w:pPr>
            <w:r>
              <w:rPr>
                <w:rFonts w:hint="eastAsia" w:ascii="宋体" w:hAnsi="宋体" w:eastAsia="宋体" w:cs="宋体"/>
                <w:b/>
                <w:snapToGrid w:val="0"/>
                <w:color w:val="auto"/>
                <w:kern w:val="2"/>
                <w:sz w:val="24"/>
                <w:szCs w:val="24"/>
                <w:highlight w:val="none"/>
                <w:lang w:eastAsia="zh-CN"/>
              </w:rPr>
              <w:t>注：未按分册装订要求、不采用胶装的投标文件将视作未按招标文件规定的格式编制。</w:t>
            </w:r>
          </w:p>
        </w:tc>
      </w:tr>
      <w:tr w14:paraId="52E13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2E106420">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3.4.4</w:t>
            </w:r>
          </w:p>
          <w:p w14:paraId="50791655">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1686" w:type="dxa"/>
            <w:vAlign w:val="center"/>
          </w:tcPr>
          <w:p w14:paraId="4E80CD28">
            <w:pPr>
              <w:pStyle w:val="43"/>
              <w:adjustRightInd w:val="0"/>
              <w:snapToGrid w:val="0"/>
              <w:spacing w:line="400" w:lineRule="exact"/>
              <w:jc w:val="center"/>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投标文件签署、盖章要求</w:t>
            </w:r>
          </w:p>
          <w:p w14:paraId="3CEBBD7F">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p>
        </w:tc>
        <w:tc>
          <w:tcPr>
            <w:tcW w:w="6653" w:type="dxa"/>
            <w:vAlign w:val="center"/>
          </w:tcPr>
          <w:p w14:paraId="59078773">
            <w:pPr>
              <w:pStyle w:val="43"/>
              <w:spacing w:line="400" w:lineRule="exact"/>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对投标文件签署、盖章的要求详见投标人须知3.4.4。</w:t>
            </w:r>
          </w:p>
        </w:tc>
      </w:tr>
      <w:tr w14:paraId="0C6AF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F0242E4">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w:t>
            </w:r>
          </w:p>
        </w:tc>
        <w:tc>
          <w:tcPr>
            <w:tcW w:w="1686" w:type="dxa"/>
            <w:vAlign w:val="center"/>
          </w:tcPr>
          <w:p w14:paraId="0AD411D6">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踏勘现场</w:t>
            </w:r>
          </w:p>
        </w:tc>
        <w:tc>
          <w:tcPr>
            <w:tcW w:w="6653" w:type="dxa"/>
            <w:vAlign w:val="center"/>
          </w:tcPr>
          <w:p w14:paraId="38EADC2B">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本项目是否组织踏勘现场：</w:t>
            </w:r>
          </w:p>
          <w:p w14:paraId="3D2BC7C3">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不组织。</w:t>
            </w:r>
          </w:p>
        </w:tc>
      </w:tr>
      <w:tr w14:paraId="1BD8E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9601B74">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4.2.1</w:t>
            </w:r>
          </w:p>
        </w:tc>
        <w:tc>
          <w:tcPr>
            <w:tcW w:w="1686" w:type="dxa"/>
            <w:vAlign w:val="center"/>
          </w:tcPr>
          <w:p w14:paraId="50106291">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投标预备会</w:t>
            </w:r>
          </w:p>
        </w:tc>
        <w:tc>
          <w:tcPr>
            <w:tcW w:w="6653" w:type="dxa"/>
            <w:vAlign w:val="center"/>
          </w:tcPr>
          <w:p w14:paraId="2CB196F4">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本项目是否召开投标预备会：</w:t>
            </w:r>
          </w:p>
          <w:p w14:paraId="6AF8B18D">
            <w:pPr>
              <w:widowControl/>
              <w:jc w:val="left"/>
              <w:rPr>
                <w:rFonts w:hint="eastAsia" w:ascii="宋体" w:hAnsi="宋体" w:eastAsia="宋体" w:cs="宋体"/>
                <w:snapToGrid w:val="0"/>
                <w:color w:val="auto"/>
                <w:kern w:val="0"/>
                <w:sz w:val="24"/>
                <w:highlight w:val="none"/>
                <w:u w:val="singl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不召开</w:t>
            </w:r>
          </w:p>
        </w:tc>
      </w:tr>
      <w:tr w14:paraId="74648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5371FD9">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w:t>
            </w:r>
          </w:p>
          <w:p w14:paraId="1C793ED0">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4.3.2</w:t>
            </w:r>
          </w:p>
        </w:tc>
        <w:tc>
          <w:tcPr>
            <w:tcW w:w="1686" w:type="dxa"/>
            <w:vAlign w:val="center"/>
          </w:tcPr>
          <w:p w14:paraId="20DF0E7E">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投标保证金</w:t>
            </w:r>
          </w:p>
        </w:tc>
        <w:tc>
          <w:tcPr>
            <w:tcW w:w="6653" w:type="dxa"/>
            <w:vAlign w:val="center"/>
          </w:tcPr>
          <w:p w14:paraId="2CA82297">
            <w:pPr>
              <w:widowControl/>
              <w:spacing w:line="400" w:lineRule="exact"/>
              <w:jc w:val="left"/>
              <w:rPr>
                <w:rFonts w:hint="eastAsia" w:ascii="宋体" w:hAnsi="宋体" w:eastAsia="宋体" w:cs="宋体"/>
                <w:color w:val="auto"/>
                <w:kern w:val="0"/>
                <w:sz w:val="24"/>
                <w:highlight w:val="none"/>
                <w:lang w:bidi="ar"/>
              </w:rPr>
            </w:pPr>
            <w:r>
              <w:rPr>
                <w:rFonts w:hint="eastAsia" w:ascii="宋体" w:hAnsi="宋体" w:eastAsia="宋体" w:cs="宋体"/>
                <w:b/>
                <w:snapToGrid w:val="0"/>
                <w:color w:val="auto"/>
                <w:kern w:val="0"/>
                <w:sz w:val="24"/>
                <w:highlight w:val="none"/>
              </w:rPr>
              <w:t>本项目</w:t>
            </w:r>
            <w:r>
              <w:rPr>
                <w:rFonts w:hint="eastAsia" w:ascii="宋体" w:hAnsi="宋体" w:eastAsia="宋体" w:cs="宋体"/>
                <w:snapToGrid w:val="0"/>
                <w:color w:val="auto"/>
                <w:sz w:val="24"/>
                <w:highlight w:val="none"/>
              </w:rPr>
              <w:t xml:space="preserve"> </w:t>
            </w:r>
            <w:r>
              <w:rPr>
                <w:rFonts w:hint="eastAsia" w:ascii="宋体" w:hAnsi="宋体" w:eastAsia="宋体" w:cs="宋体"/>
                <w:b/>
                <w:snapToGrid w:val="0"/>
                <w:color w:val="auto"/>
                <w:kern w:val="0"/>
                <w:sz w:val="24"/>
                <w:highlight w:val="none"/>
                <w:u w:val="single"/>
              </w:rPr>
              <w:t>需要缴纳</w:t>
            </w:r>
            <w:r>
              <w:rPr>
                <w:rFonts w:hint="eastAsia" w:ascii="宋体" w:hAnsi="宋体" w:eastAsia="宋体" w:cs="宋体"/>
                <w:b/>
                <w:snapToGrid w:val="0"/>
                <w:color w:val="auto"/>
                <w:kern w:val="0"/>
                <w:sz w:val="24"/>
                <w:highlight w:val="none"/>
              </w:rPr>
              <w:t>投标保证金。</w:t>
            </w:r>
          </w:p>
          <w:p w14:paraId="5517A50D">
            <w:pPr>
              <w:widowControl/>
              <w:spacing w:line="40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（1）交纳金额：</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29200.00</w:t>
            </w:r>
            <w:r>
              <w:rPr>
                <w:rFonts w:hint="eastAsia" w:ascii="宋体" w:hAnsi="宋体" w:eastAsia="宋体" w:cs="宋体"/>
                <w:bCs/>
                <w:color w:val="auto"/>
                <w:sz w:val="24"/>
                <w:highlight w:val="none"/>
              </w:rPr>
              <w:t>元；</w:t>
            </w:r>
          </w:p>
          <w:p w14:paraId="15E931B7">
            <w:pPr>
              <w:widowControl/>
              <w:spacing w:line="400" w:lineRule="exact"/>
              <w:jc w:val="left"/>
              <w:rPr>
                <w:rFonts w:hint="eastAsia" w:ascii="宋体" w:hAnsi="宋体" w:eastAsia="宋体" w:cs="宋体"/>
                <w:b/>
                <w:snapToGrid w:val="0"/>
                <w:color w:val="auto"/>
                <w:kern w:val="0"/>
                <w:sz w:val="24"/>
                <w:highlight w:val="none"/>
              </w:rPr>
            </w:pPr>
            <w:r>
              <w:rPr>
                <w:rFonts w:hint="eastAsia" w:ascii="宋体" w:hAnsi="宋体" w:eastAsia="宋体" w:cs="宋体"/>
                <w:bCs/>
                <w:color w:val="auto"/>
                <w:sz w:val="24"/>
                <w:highlight w:val="none"/>
              </w:rPr>
              <w:t>（2）交纳期限：投标截止时间前。具体详</w:t>
            </w:r>
            <w:r>
              <w:rPr>
                <w:rFonts w:hint="eastAsia" w:ascii="宋体" w:hAnsi="宋体" w:eastAsia="宋体" w:cs="宋体"/>
                <w:b/>
                <w:snapToGrid w:val="0"/>
                <w:color w:val="auto"/>
                <w:kern w:val="0"/>
                <w:sz w:val="24"/>
                <w:highlight w:val="none"/>
              </w:rPr>
              <w:t>见招标公告。</w:t>
            </w:r>
          </w:p>
          <w:p w14:paraId="222695EA">
            <w:pPr>
              <w:widowControl/>
              <w:numPr>
                <w:ilvl w:val="0"/>
                <w:numId w:val="0"/>
              </w:numPr>
              <w:spacing w:line="400" w:lineRule="exact"/>
              <w:ind w:firstLine="241" w:firstLineChars="100"/>
              <w:jc w:val="left"/>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sz w:val="24"/>
                <w:highlight w:val="none"/>
              </w:rPr>
              <w:t>注：（1）投标保证金交纳后，须在投标文件中提供投标保证金缴存证明；</w:t>
            </w:r>
          </w:p>
        </w:tc>
      </w:tr>
      <w:tr w14:paraId="0402A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092D407">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4.4.1</w:t>
            </w:r>
          </w:p>
        </w:tc>
        <w:tc>
          <w:tcPr>
            <w:tcW w:w="1686" w:type="dxa"/>
            <w:vAlign w:val="center"/>
          </w:tcPr>
          <w:p w14:paraId="3A53CB1E">
            <w:pPr>
              <w:autoSpaceDE w:val="0"/>
              <w:autoSpaceDN w:val="0"/>
              <w:adjustRightInd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投标样品</w:t>
            </w:r>
          </w:p>
        </w:tc>
        <w:tc>
          <w:tcPr>
            <w:tcW w:w="6653" w:type="dxa"/>
            <w:vAlign w:val="center"/>
          </w:tcPr>
          <w:p w14:paraId="0002B810">
            <w:pPr>
              <w:widowControl/>
              <w:autoSpaceDE w:val="0"/>
              <w:autoSpaceDN w:val="0"/>
              <w:adjustRightInd w:val="0"/>
              <w:snapToGrid w:val="0"/>
              <w:spacing w:line="3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本项目有无要求投标人提供样品：</w:t>
            </w:r>
          </w:p>
          <w:p w14:paraId="41882D94">
            <w:pPr>
              <w:widowControl/>
              <w:autoSpaceDE w:val="0"/>
              <w:autoSpaceDN w:val="0"/>
              <w:adjustRightInd w:val="0"/>
              <w:snapToGrid w:val="0"/>
              <w:spacing w:line="320" w:lineRule="exact"/>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☑无 </w:t>
            </w:r>
          </w:p>
        </w:tc>
      </w:tr>
      <w:tr w14:paraId="5BC3D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22E480C">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4.5.1</w:t>
            </w:r>
          </w:p>
        </w:tc>
        <w:tc>
          <w:tcPr>
            <w:tcW w:w="1686" w:type="dxa"/>
            <w:vAlign w:val="center"/>
          </w:tcPr>
          <w:p w14:paraId="5C35D793">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投标文件密封包装要求</w:t>
            </w:r>
          </w:p>
        </w:tc>
        <w:tc>
          <w:tcPr>
            <w:tcW w:w="6653" w:type="dxa"/>
            <w:vAlign w:val="center"/>
          </w:tcPr>
          <w:p w14:paraId="1CADF908">
            <w:pPr>
              <w:pStyle w:val="8"/>
              <w:spacing w:after="0" w:line="400" w:lineRule="exact"/>
              <w:ind w:firstLine="0" w:firstLineChars="0"/>
              <w:rPr>
                <w:rFonts w:hint="eastAsia" w:ascii="宋体" w:hAnsi="宋体" w:eastAsia="宋体" w:cs="宋体"/>
                <w:color w:val="auto"/>
                <w:sz w:val="24"/>
                <w:highlight w:val="none"/>
              </w:rPr>
            </w:pPr>
            <w:r>
              <w:rPr>
                <w:rFonts w:hint="eastAsia" w:ascii="宋体" w:hAnsi="宋体" w:eastAsia="宋体" w:cs="宋体"/>
                <w:snapToGrid w:val="0"/>
                <w:color w:val="auto"/>
                <w:sz w:val="24"/>
                <w:szCs w:val="24"/>
                <w:highlight w:val="none"/>
              </w:rPr>
              <w:t>对投标文件密封包装的要求详见投标人须知第4.7.1。</w:t>
            </w:r>
          </w:p>
        </w:tc>
      </w:tr>
      <w:tr w14:paraId="14534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B627E3">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4.5.2</w:t>
            </w:r>
          </w:p>
        </w:tc>
        <w:tc>
          <w:tcPr>
            <w:tcW w:w="1686" w:type="dxa"/>
            <w:vAlign w:val="center"/>
          </w:tcPr>
          <w:p w14:paraId="692D3598">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封套上写明</w:t>
            </w:r>
          </w:p>
        </w:tc>
        <w:tc>
          <w:tcPr>
            <w:tcW w:w="6653" w:type="dxa"/>
            <w:vAlign w:val="center"/>
          </w:tcPr>
          <w:p w14:paraId="0A62DCE6">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bookmarkStart w:id="4" w:name="OLE_LINK1"/>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u w:val="single"/>
                <w:lang w:eastAsia="zh-CN"/>
              </w:rPr>
              <w:t>2024年-2026年临江公司水泥采购项目</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投标文件</w:t>
            </w:r>
          </w:p>
          <w:p w14:paraId="3188343D">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分（即开标时间）前不得开启。</w:t>
            </w:r>
          </w:p>
          <w:p w14:paraId="36661E9B">
            <w:pPr>
              <w:autoSpaceDE w:val="0"/>
              <w:autoSpaceDN w:val="0"/>
              <w:adjustRightInd w:val="0"/>
              <w:snapToGrid w:val="0"/>
              <w:spacing w:line="320" w:lineRule="exact"/>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投标人名称：</w:t>
            </w:r>
            <w:r>
              <w:rPr>
                <w:rFonts w:hint="eastAsia" w:ascii="宋体" w:hAnsi="宋体" w:eastAsia="宋体" w:cs="宋体"/>
                <w:snapToGrid w:val="0"/>
                <w:color w:val="auto"/>
                <w:kern w:val="0"/>
                <w:sz w:val="24"/>
                <w:highlight w:val="none"/>
                <w:u w:val="single"/>
              </w:rPr>
              <w:t xml:space="preserve">                       </w:t>
            </w:r>
          </w:p>
          <w:p w14:paraId="28EC8EDA">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投标人地址：</w:t>
            </w:r>
            <w:r>
              <w:rPr>
                <w:rFonts w:hint="eastAsia" w:ascii="宋体" w:hAnsi="宋体" w:eastAsia="宋体" w:cs="宋体"/>
                <w:snapToGrid w:val="0"/>
                <w:color w:val="auto"/>
                <w:kern w:val="0"/>
                <w:sz w:val="24"/>
                <w:highlight w:val="none"/>
                <w:u w:val="single"/>
              </w:rPr>
              <w:t xml:space="preserve">                         </w:t>
            </w:r>
          </w:p>
          <w:p w14:paraId="06432D8F">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联 系 人：</w:t>
            </w:r>
            <w:r>
              <w:rPr>
                <w:rFonts w:hint="eastAsia" w:ascii="宋体" w:hAnsi="宋体" w:eastAsia="宋体" w:cs="宋体"/>
                <w:snapToGrid w:val="0"/>
                <w:color w:val="auto"/>
                <w:kern w:val="0"/>
                <w:sz w:val="24"/>
                <w:highlight w:val="none"/>
                <w:u w:val="single"/>
              </w:rPr>
              <w:t xml:space="preserve">          </w:t>
            </w:r>
          </w:p>
          <w:p w14:paraId="2990CECA">
            <w:pPr>
              <w:autoSpaceDE w:val="0"/>
              <w:autoSpaceDN w:val="0"/>
              <w:adjustRightInd w:val="0"/>
              <w:snapToGrid w:val="0"/>
              <w:spacing w:line="32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手机号码：</w:t>
            </w:r>
            <w:r>
              <w:rPr>
                <w:rFonts w:hint="eastAsia" w:ascii="宋体" w:hAnsi="宋体" w:eastAsia="宋体" w:cs="宋体"/>
                <w:snapToGrid w:val="0"/>
                <w:color w:val="auto"/>
                <w:kern w:val="0"/>
                <w:sz w:val="24"/>
                <w:highlight w:val="none"/>
                <w:u w:val="single"/>
              </w:rPr>
              <w:t xml:space="preserve">          </w:t>
            </w:r>
            <w:bookmarkEnd w:id="4"/>
          </w:p>
        </w:tc>
      </w:tr>
      <w:tr w14:paraId="62227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880531">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w:t>
            </w:r>
          </w:p>
        </w:tc>
        <w:tc>
          <w:tcPr>
            <w:tcW w:w="1686" w:type="dxa"/>
            <w:vAlign w:val="center"/>
          </w:tcPr>
          <w:p w14:paraId="5BB68FF4">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投标文件递交</w:t>
            </w:r>
          </w:p>
        </w:tc>
        <w:tc>
          <w:tcPr>
            <w:tcW w:w="6653" w:type="dxa"/>
            <w:vAlign w:val="center"/>
          </w:tcPr>
          <w:p w14:paraId="4AE615A2">
            <w:pPr>
              <w:wordWrap w:val="0"/>
              <w:spacing w:line="400" w:lineRule="exact"/>
              <w:ind w:right="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文件递交地点：见招标公告。</w:t>
            </w:r>
          </w:p>
          <w:p w14:paraId="41287DD5">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文件递交方式：采用以下第</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u w:val="single"/>
                <w:lang w:val="en-US" w:eastAsia="zh-CN"/>
              </w:rPr>
              <w:t>①</w:t>
            </w:r>
            <w:r>
              <w:rPr>
                <w:rFonts w:hint="eastAsia" w:ascii="宋体" w:hAnsi="宋体" w:eastAsia="宋体" w:cs="宋体"/>
                <w:snapToGrid w:val="0"/>
                <w:color w:val="auto"/>
                <w:kern w:val="0"/>
                <w:sz w:val="24"/>
                <w:highlight w:val="none"/>
              </w:rPr>
              <w:t>种方式。</w:t>
            </w:r>
          </w:p>
          <w:p w14:paraId="3CC6D22F">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1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①</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4"/>
                <w:highlight w:val="none"/>
                <w:u w:val="single"/>
              </w:rPr>
              <w:t xml:space="preserve">见招标公告 </w:t>
            </w:r>
            <w:r>
              <w:rPr>
                <w:rFonts w:hint="eastAsia" w:ascii="宋体" w:hAnsi="宋体" w:eastAsia="宋体" w:cs="宋体"/>
                <w:snapToGrid w:val="0"/>
                <w:color w:val="auto"/>
                <w:kern w:val="0"/>
                <w:sz w:val="24"/>
                <w:highlight w:val="none"/>
              </w:rPr>
              <w:t>。</w:t>
            </w:r>
          </w:p>
          <w:p w14:paraId="6A9AACE9">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2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②</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color w:val="auto"/>
                <w:kern w:val="0"/>
                <w:sz w:val="24"/>
                <w:highlight w:val="none"/>
                <w:u w:val="single"/>
                <w:lang w:val="en-US" w:eastAsia="zh-CN"/>
              </w:rPr>
              <w:t>/</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14:paraId="7227635E">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fldChar w:fldCharType="begin"/>
            </w:r>
            <w:r>
              <w:rPr>
                <w:rFonts w:hint="eastAsia" w:ascii="宋体" w:hAnsi="宋体" w:eastAsia="宋体" w:cs="宋体"/>
                <w:snapToGrid w:val="0"/>
                <w:color w:val="auto"/>
                <w:kern w:val="0"/>
                <w:sz w:val="24"/>
                <w:highlight w:val="none"/>
              </w:rPr>
              <w:instrText xml:space="preserve"> = 3 \* GB3 \* MERGEFORMAT </w:instrText>
            </w:r>
            <w:r>
              <w:rPr>
                <w:rFonts w:hint="eastAsia" w:ascii="宋体" w:hAnsi="宋体" w:eastAsia="宋体" w:cs="宋体"/>
                <w:snapToGrid w:val="0"/>
                <w:color w:val="auto"/>
                <w:kern w:val="0"/>
                <w:sz w:val="24"/>
                <w:highlight w:val="none"/>
              </w:rPr>
              <w:fldChar w:fldCharType="separate"/>
            </w:r>
            <w:r>
              <w:rPr>
                <w:rFonts w:hint="eastAsia" w:ascii="宋体" w:hAnsi="宋体" w:eastAsia="宋体" w:cs="宋体"/>
                <w:snapToGrid w:val="0"/>
                <w:color w:val="auto"/>
                <w:kern w:val="0"/>
                <w:sz w:val="24"/>
                <w:highlight w:val="none"/>
              </w:rPr>
              <w:t>③</w:t>
            </w:r>
            <w:r>
              <w:rPr>
                <w:rFonts w:hint="eastAsia" w:ascii="宋体" w:hAnsi="宋体" w:eastAsia="宋体" w:cs="宋体"/>
                <w:snapToGrid w:val="0"/>
                <w:color w:val="auto"/>
                <w:kern w:val="0"/>
                <w:sz w:val="24"/>
                <w:highlight w:val="none"/>
              </w:rPr>
              <w:fldChar w:fldCharType="end"/>
            </w:r>
            <w:r>
              <w:rPr>
                <w:rFonts w:hint="eastAsia" w:ascii="宋体" w:hAnsi="宋体" w:eastAsia="宋体" w:cs="宋体"/>
                <w:snapToGrid w:val="0"/>
                <w:color w:val="auto"/>
                <w:kern w:val="0"/>
                <w:sz w:val="24"/>
                <w:highlight w:val="none"/>
              </w:rPr>
              <w:t>邮寄或快递方式：投标人在投标截止时间之前将投标文件快递或邮寄至</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u w:val="single"/>
                <w:lang w:val="en-US" w:eastAsia="zh-CN"/>
              </w:rPr>
              <w:t>/</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w:t>
            </w:r>
          </w:p>
          <w:p w14:paraId="255BEA7B">
            <w:pPr>
              <w:wordWrap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投标文件按招标文件要求密封后再进行快递或邮寄包裹，包裹上写明“项目名称、投标单位名称信息”。因快递或邮寄包裹拆封后，发现投标文件未按要求包装或密封的，拒绝接受。</w:t>
            </w:r>
          </w:p>
          <w:p w14:paraId="73DF5838">
            <w:pPr>
              <w:pStyle w:val="39"/>
              <w:widowControl/>
              <w:spacing w:line="380" w:lineRule="exact"/>
              <w:ind w:firstLine="0" w:firstLineChars="0"/>
              <w:jc w:val="left"/>
              <w:rPr>
                <w:rFonts w:hint="eastAsia" w:ascii="宋体" w:hAnsi="宋体" w:eastAsia="宋体" w:cs="宋体"/>
                <w:b/>
                <w:color w:val="auto"/>
                <w:sz w:val="24"/>
                <w:szCs w:val="24"/>
                <w:highlight w:val="none"/>
              </w:rPr>
            </w:pPr>
            <w:r>
              <w:rPr>
                <w:rFonts w:hint="eastAsia" w:ascii="宋体" w:hAnsi="宋体" w:eastAsia="宋体" w:cs="宋体"/>
                <w:snapToGrid w:val="0"/>
                <w:color w:val="auto"/>
                <w:sz w:val="24"/>
                <w:szCs w:val="24"/>
                <w:highlight w:val="none"/>
              </w:rPr>
              <w:t>如果代理机构人员接收快递或邮寄包裹破损的，直接不予签收。收件人：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lang w:val="en-US" w:eastAsia="zh-CN"/>
              </w:rPr>
              <w:t>/</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，联系电话：</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u w:val="single"/>
                <w:lang w:val="en-US" w:eastAsia="zh-CN"/>
              </w:rPr>
              <w:t>/</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tc>
      </w:tr>
      <w:tr w14:paraId="6BB81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52EE677">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w:t>
            </w:r>
          </w:p>
        </w:tc>
        <w:tc>
          <w:tcPr>
            <w:tcW w:w="1686" w:type="dxa"/>
            <w:vAlign w:val="center"/>
          </w:tcPr>
          <w:p w14:paraId="3E40D4BE">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投标截止时间</w:t>
            </w:r>
          </w:p>
        </w:tc>
        <w:tc>
          <w:tcPr>
            <w:tcW w:w="6653" w:type="dxa"/>
            <w:vAlign w:val="center"/>
          </w:tcPr>
          <w:p w14:paraId="60D07149">
            <w:pPr>
              <w:autoSpaceDE w:val="0"/>
              <w:autoSpaceDN w:val="0"/>
              <w:adjustRightInd w:val="0"/>
              <w:snapToGrid w:val="0"/>
              <w:spacing w:line="400" w:lineRule="exact"/>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详见招标公告</w:t>
            </w:r>
          </w:p>
        </w:tc>
      </w:tr>
      <w:tr w14:paraId="7F5D6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227D24CD">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w:t>
            </w:r>
          </w:p>
        </w:tc>
        <w:tc>
          <w:tcPr>
            <w:tcW w:w="1686" w:type="dxa"/>
            <w:vAlign w:val="center"/>
          </w:tcPr>
          <w:p w14:paraId="7FA3FA37">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投标有效期</w:t>
            </w:r>
          </w:p>
        </w:tc>
        <w:tc>
          <w:tcPr>
            <w:tcW w:w="6653" w:type="dxa"/>
            <w:vAlign w:val="center"/>
          </w:tcPr>
          <w:p w14:paraId="32445C68">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u w:val="single"/>
              </w:rPr>
              <w:t>90</w:t>
            </w:r>
            <w:r>
              <w:rPr>
                <w:rFonts w:hint="eastAsia" w:ascii="宋体" w:hAnsi="宋体" w:eastAsia="宋体" w:cs="宋体"/>
                <w:snapToGrid w:val="0"/>
                <w:color w:val="auto"/>
                <w:kern w:val="0"/>
                <w:sz w:val="24"/>
                <w:highlight w:val="none"/>
              </w:rPr>
              <w:t>日历天（从投标截止之日算起）</w:t>
            </w:r>
          </w:p>
        </w:tc>
      </w:tr>
      <w:tr w14:paraId="3AC0B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1711DBB">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w:t>
            </w:r>
          </w:p>
        </w:tc>
        <w:tc>
          <w:tcPr>
            <w:tcW w:w="1686" w:type="dxa"/>
            <w:vAlign w:val="center"/>
          </w:tcPr>
          <w:p w14:paraId="15C86207">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开标时间和地点</w:t>
            </w:r>
          </w:p>
        </w:tc>
        <w:tc>
          <w:tcPr>
            <w:tcW w:w="6653" w:type="dxa"/>
            <w:vAlign w:val="center"/>
          </w:tcPr>
          <w:p w14:paraId="0C162B53">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开标时间：同投标截止时间。</w:t>
            </w:r>
          </w:p>
          <w:p w14:paraId="6C016E02">
            <w:pPr>
              <w:autoSpaceDE w:val="0"/>
              <w:autoSpaceDN w:val="0"/>
              <w:adjustRightInd w:val="0"/>
              <w:snapToGrid w:val="0"/>
              <w:spacing w:line="40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开标地点：同投标文件递交地点。</w:t>
            </w:r>
          </w:p>
        </w:tc>
      </w:tr>
      <w:tr w14:paraId="48951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7E5D4D9">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w:t>
            </w:r>
          </w:p>
        </w:tc>
        <w:tc>
          <w:tcPr>
            <w:tcW w:w="1686" w:type="dxa"/>
            <w:vAlign w:val="center"/>
          </w:tcPr>
          <w:p w14:paraId="496528A8">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开标时</w:t>
            </w:r>
          </w:p>
          <w:p w14:paraId="0D07CC17">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应携带的资料</w:t>
            </w:r>
          </w:p>
        </w:tc>
        <w:tc>
          <w:tcPr>
            <w:tcW w:w="6653" w:type="dxa"/>
            <w:vAlign w:val="center"/>
          </w:tcPr>
          <w:p w14:paraId="747C2423">
            <w:pPr>
              <w:autoSpaceDE w:val="0"/>
              <w:autoSpaceDN w:val="0"/>
              <w:adjustRightInd w:val="0"/>
              <w:snapToGrid w:val="0"/>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1BE1069D">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注：投标文件递交有效（</w:t>
            </w:r>
            <w:r>
              <w:rPr>
                <w:rFonts w:hint="eastAsia" w:ascii="宋体" w:hAnsi="宋体" w:eastAsia="宋体" w:cs="宋体"/>
                <w:color w:val="auto"/>
                <w:sz w:val="24"/>
                <w:highlight w:val="none"/>
              </w:rPr>
              <w:t>投标文件递交有效性以纸质投标文件递交时间为准，下同</w:t>
            </w:r>
            <w:r>
              <w:rPr>
                <w:rFonts w:hint="eastAsia" w:ascii="宋体" w:hAnsi="宋体" w:eastAsia="宋体" w:cs="宋体"/>
                <w:snapToGrid w:val="0"/>
                <w:color w:val="auto"/>
                <w:kern w:val="0"/>
                <w:sz w:val="24"/>
                <w:highlight w:val="none"/>
              </w:rPr>
              <w:t>），而</w:t>
            </w:r>
            <w:r>
              <w:rPr>
                <w:rFonts w:hint="eastAsia" w:ascii="宋体" w:hAnsi="宋体" w:eastAsia="宋体" w:cs="宋体"/>
                <w:color w:val="auto"/>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0AD15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693E025">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p>
        </w:tc>
        <w:tc>
          <w:tcPr>
            <w:tcW w:w="1686" w:type="dxa"/>
            <w:vAlign w:val="center"/>
          </w:tcPr>
          <w:p w14:paraId="451B155D">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开标顺序</w:t>
            </w:r>
          </w:p>
        </w:tc>
        <w:tc>
          <w:tcPr>
            <w:tcW w:w="6653" w:type="dxa"/>
            <w:vAlign w:val="center"/>
          </w:tcPr>
          <w:p w14:paraId="6A294476">
            <w:pPr>
              <w:autoSpaceDE w:val="0"/>
              <w:autoSpaceDN w:val="0"/>
              <w:adjustRightInd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按照投标文件后递交先启封的顺序确定</w:t>
            </w:r>
          </w:p>
        </w:tc>
      </w:tr>
      <w:tr w14:paraId="03E89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00B1C73D">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5.5</w:t>
            </w:r>
          </w:p>
        </w:tc>
        <w:tc>
          <w:tcPr>
            <w:tcW w:w="1686" w:type="dxa"/>
            <w:vAlign w:val="center"/>
          </w:tcPr>
          <w:p w14:paraId="305945B7">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w:t>
            </w:r>
          </w:p>
          <w:p w14:paraId="7FF81E60">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拒收、退还</w:t>
            </w:r>
          </w:p>
        </w:tc>
        <w:tc>
          <w:tcPr>
            <w:tcW w:w="6653" w:type="dxa"/>
            <w:vAlign w:val="center"/>
          </w:tcPr>
          <w:p w14:paraId="0659F030">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1.出现以下情形之一的，投标文件将被拒绝接收或予以退还：</w:t>
            </w:r>
          </w:p>
          <w:p w14:paraId="0C6F7341">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投标文件逾期送达</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未送达指定地点</w:t>
            </w:r>
            <w:r>
              <w:rPr>
                <w:rFonts w:hint="eastAsia" w:ascii="宋体" w:hAnsi="宋体" w:eastAsia="宋体" w:cs="宋体"/>
                <w:color w:val="auto"/>
                <w:sz w:val="24"/>
                <w:szCs w:val="24"/>
                <w:highlight w:val="none"/>
              </w:rPr>
              <w:t>的，招标人将拒绝接收；</w:t>
            </w:r>
          </w:p>
          <w:p w14:paraId="323BDFF2">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（2）投标人在投标截止时间前提交撤回函的投标文件不予启封，并退还给投标人；</w:t>
            </w:r>
          </w:p>
          <w:p w14:paraId="50A22152">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按照第4.7款要求密封和标识的，其投标文件</w:t>
            </w:r>
            <w:r>
              <w:rPr>
                <w:rFonts w:hint="eastAsia" w:ascii="宋体" w:hAnsi="宋体" w:eastAsia="宋体" w:cs="宋体"/>
                <w:color w:val="auto"/>
                <w:sz w:val="24"/>
                <w:szCs w:val="24"/>
                <w:highlight w:val="none"/>
              </w:rPr>
              <w:t>不予启封，并退还给投标人；</w:t>
            </w:r>
          </w:p>
          <w:p w14:paraId="5D6B4AB8">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（4）至投标截止时间，投标人数不足</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家的不得开标，招标人将投标文件退还投标人。</w:t>
            </w:r>
          </w:p>
          <w:p w14:paraId="2346FE6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2.投标文件有下列情形之一的，视为拒收：</w:t>
            </w:r>
          </w:p>
          <w:p w14:paraId="30225B72">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（1）投标文件份数不满足要求的；</w:t>
            </w:r>
          </w:p>
          <w:p w14:paraId="35F7AEBD">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（2）纸质投标文件不符合装订要求的。</w:t>
            </w:r>
          </w:p>
          <w:p w14:paraId="3BF9514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3.开标后不退还投标文件</w:t>
            </w:r>
          </w:p>
        </w:tc>
      </w:tr>
      <w:tr w14:paraId="7B6CB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5B94034D">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w:t>
            </w:r>
          </w:p>
        </w:tc>
        <w:tc>
          <w:tcPr>
            <w:tcW w:w="1686" w:type="dxa"/>
            <w:vAlign w:val="center"/>
          </w:tcPr>
          <w:p w14:paraId="21E5FF74">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评标委员会的组建</w:t>
            </w:r>
          </w:p>
        </w:tc>
        <w:tc>
          <w:tcPr>
            <w:tcW w:w="6653" w:type="dxa"/>
            <w:vAlign w:val="center"/>
          </w:tcPr>
          <w:p w14:paraId="6F5AC059">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评标委员会由招标人依法组建，评标委员会由</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人及以上单数组成，其中招标人代表不超过三分之一。</w:t>
            </w:r>
          </w:p>
          <w:p w14:paraId="45CE33E3">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评标委员会组成方式：由招标人代表和有关技术、经济方面的专家组成。</w:t>
            </w:r>
          </w:p>
        </w:tc>
      </w:tr>
      <w:tr w14:paraId="34750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FA8ACC">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w:t>
            </w:r>
          </w:p>
        </w:tc>
        <w:tc>
          <w:tcPr>
            <w:tcW w:w="1686" w:type="dxa"/>
            <w:vAlign w:val="center"/>
          </w:tcPr>
          <w:p w14:paraId="32E7AB0B">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评标办法</w:t>
            </w:r>
          </w:p>
          <w:p w14:paraId="1D002E09">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及否决投标条款</w:t>
            </w:r>
          </w:p>
        </w:tc>
        <w:tc>
          <w:tcPr>
            <w:tcW w:w="6653" w:type="dxa"/>
            <w:vAlign w:val="center"/>
          </w:tcPr>
          <w:p w14:paraId="7F0E1E52">
            <w:pPr>
              <w:autoSpaceDE w:val="0"/>
              <w:autoSpaceDN w:val="0"/>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☑经评审最低价法</w:t>
            </w:r>
          </w:p>
          <w:p w14:paraId="5EF13389">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否决投标条款：详见招标文件第四章“评标办法及评价标准”。</w:t>
            </w:r>
          </w:p>
        </w:tc>
      </w:tr>
      <w:tr w14:paraId="3A5B1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E4127EA">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w:t>
            </w:r>
          </w:p>
        </w:tc>
        <w:tc>
          <w:tcPr>
            <w:tcW w:w="1686" w:type="dxa"/>
            <w:vAlign w:val="center"/>
          </w:tcPr>
          <w:p w14:paraId="2FAB325C">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评标委员会推荐中标候选人的数量</w:t>
            </w:r>
          </w:p>
        </w:tc>
        <w:tc>
          <w:tcPr>
            <w:tcW w:w="6653" w:type="dxa"/>
            <w:vAlign w:val="center"/>
          </w:tcPr>
          <w:p w14:paraId="65C40652">
            <w:pPr>
              <w:autoSpaceDE w:val="0"/>
              <w:autoSpaceDN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1个</w:t>
            </w:r>
            <w:r>
              <w:rPr>
                <w:rFonts w:hint="eastAsia" w:ascii="宋体" w:hAnsi="宋体" w:eastAsia="宋体" w:cs="宋体"/>
                <w:color w:val="auto"/>
                <w:sz w:val="24"/>
                <w:highlight w:val="none"/>
              </w:rPr>
              <w:t>。</w:t>
            </w:r>
          </w:p>
        </w:tc>
      </w:tr>
      <w:tr w14:paraId="53966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B7BBAF0">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8.2.1</w:t>
            </w:r>
          </w:p>
        </w:tc>
        <w:tc>
          <w:tcPr>
            <w:tcW w:w="1686" w:type="dxa"/>
            <w:vAlign w:val="center"/>
          </w:tcPr>
          <w:p w14:paraId="1B57AF76">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履约保证金</w:t>
            </w:r>
          </w:p>
        </w:tc>
        <w:tc>
          <w:tcPr>
            <w:tcW w:w="6653" w:type="dxa"/>
            <w:vAlign w:val="center"/>
          </w:tcPr>
          <w:p w14:paraId="00403138">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是否要求中标人缴纳履约保证金：</w:t>
            </w:r>
          </w:p>
          <w:p w14:paraId="1ACC40D2">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snapToGrid w:val="0"/>
                <w:color w:val="auto"/>
                <w:sz w:val="24"/>
                <w:szCs w:val="24"/>
                <w:highlight w:val="none"/>
              </w:rPr>
              <w:t>要求</w:t>
            </w:r>
            <w:r>
              <w:rPr>
                <w:rFonts w:hint="eastAsia" w:ascii="宋体" w:hAnsi="宋体" w:eastAsia="宋体" w:cs="宋体"/>
                <w:snapToGrid w:val="0"/>
                <w:color w:val="auto"/>
                <w:sz w:val="24"/>
                <w:szCs w:val="24"/>
                <w:highlight w:val="none"/>
                <w:lang w:eastAsia="zh-CN"/>
              </w:rPr>
              <w:t>，具体如下</w:t>
            </w:r>
          </w:p>
          <w:p w14:paraId="3F8F3973">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1、履约保证金缴纳信息：</w:t>
            </w:r>
          </w:p>
          <w:p w14:paraId="0335DE6F">
            <w:pPr>
              <w:pStyle w:val="43"/>
              <w:snapToGrid w:val="0"/>
              <w:spacing w:line="320" w:lineRule="exact"/>
              <w:ind w:right="64" w:rightChars="20"/>
              <w:jc w:val="both"/>
              <w:rPr>
                <w:rFonts w:hint="eastAsia" w:ascii="宋体" w:hAnsi="宋体" w:eastAsia="宋体" w:cs="宋体"/>
                <w:b/>
                <w:bCs/>
                <w:snapToGrid w:val="0"/>
                <w:color w:val="auto"/>
                <w:sz w:val="24"/>
                <w:szCs w:val="24"/>
                <w:highlight w:val="none"/>
                <w:lang w:eastAsia="zh-CN"/>
              </w:rPr>
            </w:pPr>
            <w:r>
              <w:rPr>
                <w:rFonts w:hint="eastAsia" w:ascii="宋体" w:hAnsi="宋体" w:eastAsia="宋体" w:cs="宋体"/>
                <w:b/>
                <w:bCs/>
                <w:snapToGrid w:val="0"/>
                <w:color w:val="auto"/>
                <w:sz w:val="24"/>
                <w:szCs w:val="24"/>
                <w:highlight w:val="none"/>
                <w:lang w:eastAsia="zh-CN"/>
              </w:rPr>
              <w:t>履约保证金合同价的5%</w:t>
            </w:r>
          </w:p>
          <w:p w14:paraId="29C5453B">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账户信息：</w:t>
            </w:r>
          </w:p>
          <w:p w14:paraId="06B57410">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收款人： 杭州临江环境能源有限公司</w:t>
            </w:r>
          </w:p>
          <w:p w14:paraId="1FD1CB7C">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开户行： 杭州银行大江东支行</w:t>
            </w:r>
          </w:p>
          <w:p w14:paraId="531A1659">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账  号： 3301040160008775754</w:t>
            </w:r>
          </w:p>
          <w:p w14:paraId="0FAE0301">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缴纳形式：电汇/转账</w:t>
            </w:r>
          </w:p>
          <w:p w14:paraId="1705B8A6">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缴纳时间：中标通知书领取之后，合同签订之前。</w:t>
            </w:r>
          </w:p>
          <w:p w14:paraId="678891D8">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2、其他说明：</w:t>
            </w:r>
          </w:p>
          <w:p w14:paraId="60575616">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投标人在履约保证金缴纳时必须注明项目名称和招标编号。</w:t>
            </w:r>
          </w:p>
          <w:p w14:paraId="61CC1B42">
            <w:pPr>
              <w:pStyle w:val="43"/>
              <w:snapToGrid w:val="0"/>
              <w:spacing w:line="320" w:lineRule="exact"/>
              <w:ind w:right="64" w:rightChars="20"/>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07A89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A681FC">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11.1</w:t>
            </w:r>
          </w:p>
        </w:tc>
        <w:tc>
          <w:tcPr>
            <w:tcW w:w="8339" w:type="dxa"/>
            <w:gridSpan w:val="2"/>
            <w:vAlign w:val="center"/>
          </w:tcPr>
          <w:p w14:paraId="3EB2EE03">
            <w:pPr>
              <w:autoSpaceDE w:val="0"/>
              <w:autoSpaceDN w:val="0"/>
              <w:adjustRightInd w:val="0"/>
              <w:snapToGrid w:val="0"/>
              <w:spacing w:line="40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需要补充的其他内容</w:t>
            </w:r>
          </w:p>
        </w:tc>
      </w:tr>
      <w:tr w14:paraId="6482C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74967776">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w:t>
            </w:r>
          </w:p>
        </w:tc>
        <w:tc>
          <w:tcPr>
            <w:tcW w:w="1686" w:type="dxa"/>
            <w:vAlign w:val="center"/>
          </w:tcPr>
          <w:p w14:paraId="65374C72">
            <w:pPr>
              <w:autoSpaceDE w:val="0"/>
              <w:autoSpaceDN w:val="0"/>
              <w:adjustRightInd w:val="0"/>
              <w:snapToGrid w:val="0"/>
              <w:spacing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tc>
        <w:tc>
          <w:tcPr>
            <w:tcW w:w="6653" w:type="dxa"/>
            <w:vAlign w:val="center"/>
          </w:tcPr>
          <w:p w14:paraId="71DEA0C0">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本招标文件由招标人负责解释。</w:t>
            </w:r>
          </w:p>
          <w:p w14:paraId="0F8023A5">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投标人须知内容和本前附表内容不一致的，以本前附表中所载内容为准。</w:t>
            </w:r>
          </w:p>
          <w:p w14:paraId="033EA820">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2D7C4268">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（4）招标文件中打▲符号的条款为实质性条款，不满足的按无效标处理。</w:t>
            </w:r>
          </w:p>
          <w:p w14:paraId="1D225BAF">
            <w:pPr>
              <w:autoSpaceDE w:val="0"/>
              <w:autoSpaceDN w:val="0"/>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（5）招标人认为需要补充的其他内容：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c>
      </w:tr>
    </w:tbl>
    <w:p w14:paraId="3CBE5EB7">
      <w:pPr>
        <w:jc w:val="both"/>
        <w:rPr>
          <w:rFonts w:hint="eastAsia" w:ascii="宋体" w:hAnsi="宋体" w:eastAsia="宋体" w:cs="宋体"/>
          <w:b/>
          <w:snapToGrid w:val="0"/>
          <w:color w:val="auto"/>
          <w:kern w:val="0"/>
          <w:sz w:val="24"/>
          <w:highlight w:val="none"/>
        </w:rPr>
      </w:pPr>
      <w:bookmarkStart w:id="5" w:name="_Toc32085"/>
      <w:bookmarkStart w:id="6" w:name="_Toc83886015"/>
    </w:p>
    <w:p w14:paraId="4D45797D">
      <w:pPr>
        <w:jc w:val="both"/>
        <w:rPr>
          <w:rFonts w:hint="eastAsia" w:ascii="宋体" w:hAnsi="宋体" w:eastAsia="宋体" w:cs="宋体"/>
          <w:b/>
          <w:snapToGrid w:val="0"/>
          <w:color w:val="auto"/>
          <w:kern w:val="0"/>
          <w:sz w:val="24"/>
          <w:highlight w:val="none"/>
        </w:rPr>
      </w:pPr>
    </w:p>
    <w:p w14:paraId="3B6D2641">
      <w:pPr>
        <w:jc w:val="both"/>
        <w:rPr>
          <w:rFonts w:hint="eastAsia" w:ascii="宋体" w:hAnsi="宋体" w:eastAsia="宋体" w:cs="宋体"/>
          <w:b/>
          <w:snapToGrid w:val="0"/>
          <w:color w:val="auto"/>
          <w:kern w:val="0"/>
          <w:sz w:val="24"/>
          <w:highlight w:val="none"/>
        </w:rPr>
      </w:pPr>
    </w:p>
    <w:p w14:paraId="6C86177C">
      <w:pPr>
        <w:jc w:val="both"/>
        <w:rPr>
          <w:rFonts w:hint="eastAsia" w:ascii="宋体" w:hAnsi="宋体" w:eastAsia="宋体" w:cs="宋体"/>
          <w:b/>
          <w:snapToGrid w:val="0"/>
          <w:color w:val="auto"/>
          <w:kern w:val="0"/>
          <w:sz w:val="24"/>
          <w:highlight w:val="none"/>
        </w:rPr>
      </w:pPr>
    </w:p>
    <w:p w14:paraId="520114CC">
      <w:pPr>
        <w:jc w:val="both"/>
        <w:rPr>
          <w:rFonts w:hint="eastAsia" w:ascii="宋体" w:hAnsi="宋体" w:eastAsia="宋体" w:cs="宋体"/>
          <w:b/>
          <w:snapToGrid w:val="0"/>
          <w:color w:val="auto"/>
          <w:kern w:val="0"/>
          <w:sz w:val="24"/>
          <w:highlight w:val="none"/>
        </w:rPr>
      </w:pPr>
    </w:p>
    <w:p w14:paraId="1616F35C">
      <w:pPr>
        <w:jc w:val="both"/>
        <w:rPr>
          <w:rFonts w:hint="eastAsia" w:ascii="宋体" w:hAnsi="宋体" w:eastAsia="宋体" w:cs="宋体"/>
          <w:b/>
          <w:snapToGrid w:val="0"/>
          <w:color w:val="auto"/>
          <w:kern w:val="0"/>
          <w:sz w:val="24"/>
          <w:highlight w:val="none"/>
        </w:rPr>
      </w:pPr>
    </w:p>
    <w:p w14:paraId="332D9E0A">
      <w:pPr>
        <w:jc w:val="both"/>
        <w:rPr>
          <w:rFonts w:hint="eastAsia" w:ascii="宋体" w:hAnsi="宋体" w:eastAsia="宋体" w:cs="宋体"/>
          <w:b/>
          <w:snapToGrid w:val="0"/>
          <w:color w:val="auto"/>
          <w:kern w:val="0"/>
          <w:sz w:val="24"/>
          <w:highlight w:val="none"/>
        </w:rPr>
      </w:pPr>
    </w:p>
    <w:p w14:paraId="1146A2FA">
      <w:pPr>
        <w:jc w:val="both"/>
        <w:rPr>
          <w:rFonts w:hint="eastAsia" w:ascii="宋体" w:hAnsi="宋体" w:eastAsia="宋体" w:cs="宋体"/>
          <w:b/>
          <w:snapToGrid w:val="0"/>
          <w:color w:val="auto"/>
          <w:kern w:val="0"/>
          <w:sz w:val="24"/>
          <w:highlight w:val="none"/>
        </w:rPr>
      </w:pPr>
    </w:p>
    <w:p w14:paraId="05EBA440">
      <w:pPr>
        <w:jc w:val="center"/>
        <w:outlineLvl w:val="1"/>
        <w:rPr>
          <w:rFonts w:hint="eastAsia" w:ascii="宋体" w:hAnsi="宋体" w:eastAsia="宋体" w:cs="宋体"/>
          <w:b/>
          <w:snapToGrid w:val="0"/>
          <w:color w:val="auto"/>
          <w:kern w:val="0"/>
          <w:sz w:val="24"/>
          <w:highlight w:val="none"/>
        </w:rPr>
      </w:pPr>
      <w:bookmarkStart w:id="7" w:name="_Toc32242"/>
      <w:r>
        <w:rPr>
          <w:rFonts w:hint="eastAsia" w:ascii="宋体" w:hAnsi="宋体" w:eastAsia="宋体" w:cs="宋体"/>
          <w:b/>
          <w:snapToGrid w:val="0"/>
          <w:color w:val="auto"/>
          <w:kern w:val="0"/>
          <w:sz w:val="24"/>
          <w:highlight w:val="none"/>
        </w:rPr>
        <w:t>1、总则</w:t>
      </w:r>
      <w:bookmarkEnd w:id="5"/>
      <w:bookmarkEnd w:id="6"/>
      <w:bookmarkEnd w:id="7"/>
    </w:p>
    <w:p w14:paraId="5B835733">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8" w:name="_Toc26216"/>
      <w:r>
        <w:rPr>
          <w:rFonts w:hint="eastAsia" w:ascii="宋体" w:hAnsi="宋体" w:eastAsia="宋体" w:cs="宋体"/>
          <w:b/>
          <w:bCs/>
          <w:snapToGrid w:val="0"/>
          <w:color w:val="auto"/>
          <w:kern w:val="0"/>
          <w:sz w:val="24"/>
          <w:highlight w:val="none"/>
        </w:rPr>
        <w:t>1.1项目</w:t>
      </w:r>
      <w:bookmarkEnd w:id="8"/>
      <w:r>
        <w:rPr>
          <w:rFonts w:hint="eastAsia" w:ascii="宋体" w:hAnsi="宋体" w:eastAsia="宋体" w:cs="宋体"/>
          <w:b/>
          <w:bCs/>
          <w:snapToGrid w:val="0"/>
          <w:color w:val="auto"/>
          <w:kern w:val="0"/>
          <w:sz w:val="24"/>
          <w:highlight w:val="none"/>
        </w:rPr>
        <w:t>说明</w:t>
      </w:r>
    </w:p>
    <w:p w14:paraId="176D7F6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9" w:name="_Toc6246"/>
      <w:r>
        <w:rPr>
          <w:rFonts w:hint="eastAsia" w:ascii="宋体" w:hAnsi="宋体" w:eastAsia="宋体" w:cs="宋体"/>
          <w:snapToGrid w:val="0"/>
          <w:color w:val="auto"/>
          <w:kern w:val="0"/>
          <w:sz w:val="24"/>
          <w:szCs w:val="24"/>
          <w:highlight w:val="none"/>
        </w:rPr>
        <w:t>1.1.1本项目招标适用以下规定：《中华人民共和国招标投标法》《中华人民共和国招标投标法实施条例》。</w:t>
      </w:r>
    </w:p>
    <w:bookmarkEnd w:id="9"/>
    <w:p w14:paraId="527839C8">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u w:val="single"/>
        </w:rPr>
      </w:pPr>
      <w:bookmarkStart w:id="10" w:name="_Toc9136"/>
      <w:r>
        <w:rPr>
          <w:rFonts w:hint="eastAsia" w:ascii="宋体" w:hAnsi="宋体" w:eastAsia="宋体" w:cs="宋体"/>
          <w:snapToGrid w:val="0"/>
          <w:color w:val="auto"/>
          <w:kern w:val="0"/>
          <w:sz w:val="24"/>
          <w:szCs w:val="24"/>
          <w:highlight w:val="none"/>
        </w:rPr>
        <w:t>1.1.2招标组织形式：见投标人须知前附表。</w:t>
      </w:r>
    </w:p>
    <w:p w14:paraId="1E99762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1.1.3招标人：提出招标项目、进行招标的法人或者其他组织。见投标人须知前附表。</w:t>
      </w:r>
    </w:p>
    <w:p w14:paraId="411F8B69">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1.1.4招标人：即业主，是合同中明确规定的实际购买货物和服务的法人或其他组织和自然人。见投标人须知前附表。</w:t>
      </w:r>
    </w:p>
    <w:p w14:paraId="22C39A20">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1.1.5招标代理机构：见投标人须知前附表。</w:t>
      </w:r>
    </w:p>
    <w:p w14:paraId="2982C28B">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1.1.6项目概况：见投标人须知前附表。</w:t>
      </w:r>
    </w:p>
    <w:p w14:paraId="3C2F0F87">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1.2资金来源</w:t>
      </w:r>
      <w:bookmarkEnd w:id="10"/>
      <w:r>
        <w:rPr>
          <w:rFonts w:hint="eastAsia" w:ascii="宋体" w:hAnsi="宋体" w:eastAsia="宋体" w:cs="宋体"/>
          <w:b/>
          <w:bCs/>
          <w:snapToGrid w:val="0"/>
          <w:color w:val="auto"/>
          <w:kern w:val="0"/>
          <w:sz w:val="24"/>
          <w:highlight w:val="none"/>
        </w:rPr>
        <w:t>和落实情况</w:t>
      </w:r>
    </w:p>
    <w:p w14:paraId="594D1657">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11" w:name="_Toc10673"/>
      <w:r>
        <w:rPr>
          <w:rFonts w:hint="eastAsia" w:ascii="宋体" w:hAnsi="宋体" w:eastAsia="宋体" w:cs="宋体"/>
          <w:snapToGrid w:val="0"/>
          <w:color w:val="auto"/>
          <w:kern w:val="0"/>
          <w:sz w:val="24"/>
          <w:szCs w:val="24"/>
          <w:highlight w:val="none"/>
        </w:rPr>
        <w:t>1.2.1资金来源及落实情况：见投标人须知前附表。</w:t>
      </w:r>
    </w:p>
    <w:p w14:paraId="3A60D140">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1.3招标范围及内容</w:t>
      </w:r>
    </w:p>
    <w:p w14:paraId="4D68127E">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1.3.1招标范围及内容：见投标人须知前附表。</w:t>
      </w:r>
    </w:p>
    <w:bookmarkEnd w:id="11"/>
    <w:p w14:paraId="656B2259">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12" w:name="_Toc13012"/>
      <w:r>
        <w:rPr>
          <w:rFonts w:hint="eastAsia" w:ascii="宋体" w:hAnsi="宋体" w:eastAsia="宋体" w:cs="宋体"/>
          <w:b/>
          <w:bCs/>
          <w:snapToGrid w:val="0"/>
          <w:color w:val="auto"/>
          <w:kern w:val="0"/>
          <w:sz w:val="24"/>
          <w:highlight w:val="none"/>
        </w:rPr>
        <w:t>1.4投标人</w:t>
      </w:r>
      <w:bookmarkEnd w:id="12"/>
      <w:r>
        <w:rPr>
          <w:rFonts w:hint="eastAsia" w:ascii="宋体" w:hAnsi="宋体" w:eastAsia="宋体" w:cs="宋体"/>
          <w:b/>
          <w:bCs/>
          <w:snapToGrid w:val="0"/>
          <w:color w:val="auto"/>
          <w:kern w:val="0"/>
          <w:sz w:val="24"/>
          <w:highlight w:val="none"/>
        </w:rPr>
        <w:t>资格审查方式、资格条件</w:t>
      </w:r>
    </w:p>
    <w:p w14:paraId="23F6BB3D">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1.4.1投标人资格审查方式：见投标人须知前附表。</w:t>
      </w:r>
    </w:p>
    <w:p w14:paraId="18781479">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1.4.2投标人资格条件：见投标人须知前附表。</w:t>
      </w:r>
    </w:p>
    <w:p w14:paraId="7A4334E9">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1.5联合体投标</w:t>
      </w:r>
    </w:p>
    <w:p w14:paraId="65C545F2">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1.5.1本项目是否接受联合体投标：见投标人须知前附表。</w:t>
      </w:r>
    </w:p>
    <w:p w14:paraId="0C10B476">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1.5.2投标人须知前附表规定接受联合体投标的，联合体应满足以下要求：</w:t>
      </w:r>
    </w:p>
    <w:p w14:paraId="39E1F4E7">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1）符合《中华人民共和国招标投标法》、《中华人民共和国招标投标法实施条例》的规定；</w:t>
      </w:r>
    </w:p>
    <w:p w14:paraId="5C6336CA">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color w:val="auto"/>
          <w:kern w:val="2"/>
          <w:highlight w:val="none"/>
        </w:rPr>
      </w:pPr>
      <w:r>
        <w:rPr>
          <w:rFonts w:hint="eastAsia" w:ascii="宋体" w:hAnsi="宋体" w:eastAsia="宋体" w:cs="宋体"/>
          <w:color w:val="auto"/>
          <w:kern w:val="2"/>
          <w:highlight w:val="none"/>
        </w:rPr>
        <w:t>2）以联合体形式参加投标的，应当提交联合体协议，指定牵头人并出具由联合体成员各方共同签署的投标授权书；</w:t>
      </w:r>
    </w:p>
    <w:p w14:paraId="46C0A29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3）除非另有规定或说明，本招标文件中“投标人”一词亦指联合体各成员。</w:t>
      </w:r>
    </w:p>
    <w:p w14:paraId="09C5AB53">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1.6关联性投标</w:t>
      </w:r>
    </w:p>
    <w:p w14:paraId="795D0F4E">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1.6.1项目关联性投标要求：见投标人须知前附表。</w:t>
      </w:r>
    </w:p>
    <w:p w14:paraId="76F44434">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1.7分包</w:t>
      </w:r>
    </w:p>
    <w:p w14:paraId="4C38DCB2">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1.7.1本项目是否允许分包：见投标人须知前附表。</w:t>
      </w:r>
    </w:p>
    <w:p w14:paraId="5B1AEA1A">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1.7.2投标人拟在中标后将中标项目的非主体、非关键部分工作进行分包的，应满足以下要求：</w:t>
      </w:r>
    </w:p>
    <w:p w14:paraId="2917820E">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1）符合投标人须知前附表规定的分包内容、分包金额要求，除投标人须知前附表规定的非主体、非关键部分工作外，其他工作不得分包。</w:t>
      </w:r>
    </w:p>
    <w:p w14:paraId="6D6B6A22">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2）接受分包一方应当具备相应的资格条件，并不得再次分包。中标人应当就分包内容向招标人负责，接受分包一方就分包内容承担连带责任。</w:t>
      </w:r>
    </w:p>
    <w:p w14:paraId="368B7103">
      <w:pPr>
        <w:adjustRightInd w:val="0"/>
        <w:snapToGrid w:val="0"/>
        <w:spacing w:line="360" w:lineRule="auto"/>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1.8响应和偏差</w:t>
      </w:r>
    </w:p>
    <w:p w14:paraId="3E0FC5A7">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2352BF8B">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1.8.2投标文件对招标文件的全部偏差，均应在投标文件的商务和技术偏离表中列明，除列明的内容外，视为投标人响应招标文件的全部要求。</w:t>
      </w:r>
    </w:p>
    <w:p w14:paraId="5ECB91E2">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681510E7">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13" w:name="_Toc3996"/>
      <w:r>
        <w:rPr>
          <w:rFonts w:hint="eastAsia" w:ascii="宋体" w:hAnsi="宋体" w:eastAsia="宋体" w:cs="宋体"/>
          <w:b/>
          <w:bCs/>
          <w:snapToGrid w:val="0"/>
          <w:color w:val="auto"/>
          <w:kern w:val="0"/>
          <w:sz w:val="24"/>
          <w:highlight w:val="none"/>
        </w:rPr>
        <w:t>1.</w:t>
      </w:r>
      <w:bookmarkEnd w:id="13"/>
      <w:r>
        <w:rPr>
          <w:rFonts w:hint="eastAsia" w:ascii="宋体" w:hAnsi="宋体" w:eastAsia="宋体" w:cs="宋体"/>
          <w:b/>
          <w:bCs/>
          <w:snapToGrid w:val="0"/>
          <w:color w:val="auto"/>
          <w:kern w:val="0"/>
          <w:sz w:val="24"/>
          <w:highlight w:val="none"/>
        </w:rPr>
        <w:t>9投标费用</w:t>
      </w:r>
    </w:p>
    <w:p w14:paraId="0E29486D">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1.9.1投标人在投标过程中的一切费用，不论中标与否，均由投标人自理。</w:t>
      </w:r>
    </w:p>
    <w:p w14:paraId="1E533211">
      <w:pPr>
        <w:pStyle w:val="4"/>
        <w:rPr>
          <w:rFonts w:hint="eastAsia" w:ascii="宋体" w:hAnsi="宋体" w:eastAsia="宋体" w:cs="宋体"/>
          <w:snapToGrid w:val="0"/>
          <w:color w:val="auto"/>
          <w:sz w:val="24"/>
          <w:szCs w:val="24"/>
          <w:highlight w:val="none"/>
        </w:rPr>
      </w:pPr>
      <w:bookmarkStart w:id="14" w:name="_Toc179632553"/>
      <w:bookmarkStart w:id="15" w:name="_Toc144974504"/>
      <w:bookmarkStart w:id="16" w:name="_Toc296602426"/>
      <w:bookmarkStart w:id="17" w:name="_Toc246996181"/>
      <w:bookmarkStart w:id="18" w:name="_Toc247085695"/>
      <w:bookmarkStart w:id="19" w:name="_Toc152045536"/>
      <w:bookmarkStart w:id="20" w:name="_Toc246996924"/>
      <w:bookmarkStart w:id="21" w:name="_Toc152042312"/>
      <w:r>
        <w:rPr>
          <w:rFonts w:hint="eastAsia" w:ascii="宋体" w:hAnsi="宋体" w:eastAsia="宋体" w:cs="宋体"/>
          <w:snapToGrid w:val="0"/>
          <w:color w:val="auto"/>
          <w:sz w:val="24"/>
          <w:szCs w:val="24"/>
          <w:highlight w:val="none"/>
        </w:rPr>
        <w:t>1.10保密</w:t>
      </w:r>
      <w:bookmarkEnd w:id="14"/>
      <w:bookmarkEnd w:id="15"/>
      <w:bookmarkEnd w:id="16"/>
      <w:bookmarkEnd w:id="17"/>
      <w:bookmarkEnd w:id="18"/>
      <w:bookmarkEnd w:id="19"/>
      <w:bookmarkEnd w:id="20"/>
      <w:bookmarkEnd w:id="21"/>
    </w:p>
    <w:p w14:paraId="0D16A022">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1.10.1参加招标投标活动的各方应对招投标过程中应当保密的信息资料及招标文件、投标文件中的商业和技术秘密保密，否则应承担相应的法律责任。</w:t>
      </w:r>
    </w:p>
    <w:p w14:paraId="74D7B054">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1.11语言文字</w:t>
      </w:r>
    </w:p>
    <w:p w14:paraId="583DD878">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1.11.1招标投标文件使用的语言文字为中文。专用术语使用外文的，应附有中文注释。</w:t>
      </w:r>
    </w:p>
    <w:p w14:paraId="62D60BD4">
      <w:pPr>
        <w:pStyle w:val="4"/>
        <w:rPr>
          <w:rFonts w:hint="eastAsia" w:ascii="宋体" w:hAnsi="宋体" w:eastAsia="宋体" w:cs="宋体"/>
          <w:snapToGrid w:val="0"/>
          <w:color w:val="auto"/>
          <w:sz w:val="24"/>
          <w:szCs w:val="24"/>
          <w:highlight w:val="none"/>
        </w:rPr>
      </w:pPr>
      <w:bookmarkStart w:id="22" w:name="_bookmark28"/>
      <w:bookmarkEnd w:id="22"/>
      <w:r>
        <w:rPr>
          <w:rFonts w:hint="eastAsia" w:ascii="宋体" w:hAnsi="宋体" w:eastAsia="宋体" w:cs="宋体"/>
          <w:snapToGrid w:val="0"/>
          <w:color w:val="auto"/>
          <w:sz w:val="24"/>
          <w:szCs w:val="24"/>
          <w:highlight w:val="none"/>
        </w:rPr>
        <w:t>1.12计量单位</w:t>
      </w:r>
    </w:p>
    <w:p w14:paraId="3952C8A3">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1.12.1所有计量均采用中华人民共和国法定计量单位。</w:t>
      </w:r>
    </w:p>
    <w:p w14:paraId="2E7B123D">
      <w:pPr>
        <w:pStyle w:val="4"/>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1.13标准时间</w:t>
      </w:r>
    </w:p>
    <w:p w14:paraId="6D0C834D">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1.13.1本招标文件中出现的时间均指北京时间。</w:t>
      </w:r>
    </w:p>
    <w:p w14:paraId="7F05BA2C">
      <w:pPr>
        <w:snapToGrid w:val="0"/>
        <w:spacing w:line="360" w:lineRule="auto"/>
        <w:jc w:val="center"/>
        <w:outlineLvl w:val="1"/>
        <w:rPr>
          <w:rFonts w:hint="eastAsia" w:ascii="宋体" w:hAnsi="宋体" w:eastAsia="宋体" w:cs="宋体"/>
          <w:b/>
          <w:snapToGrid w:val="0"/>
          <w:color w:val="auto"/>
          <w:kern w:val="0"/>
          <w:sz w:val="24"/>
          <w:highlight w:val="none"/>
        </w:rPr>
      </w:pPr>
      <w:bookmarkStart w:id="23" w:name="_Toc143421657"/>
      <w:bookmarkStart w:id="24" w:name="_Toc83886016"/>
      <w:bookmarkStart w:id="25" w:name="_Toc26219"/>
      <w:bookmarkStart w:id="26" w:name="_Toc15241"/>
      <w:bookmarkStart w:id="27" w:name="_Toc21761"/>
      <w:r>
        <w:rPr>
          <w:rFonts w:hint="eastAsia" w:ascii="宋体" w:hAnsi="宋体" w:eastAsia="宋体" w:cs="宋体"/>
          <w:b/>
          <w:snapToGrid w:val="0"/>
          <w:color w:val="auto"/>
          <w:kern w:val="0"/>
          <w:sz w:val="24"/>
          <w:highlight w:val="none"/>
        </w:rPr>
        <w:t>2、招标文件</w:t>
      </w:r>
      <w:bookmarkEnd w:id="23"/>
      <w:bookmarkEnd w:id="24"/>
      <w:bookmarkEnd w:id="25"/>
      <w:bookmarkEnd w:id="26"/>
      <w:bookmarkEnd w:id="27"/>
    </w:p>
    <w:p w14:paraId="491664CB">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8" w:name="_Toc1426"/>
      <w:r>
        <w:rPr>
          <w:rFonts w:hint="eastAsia" w:ascii="宋体" w:hAnsi="宋体" w:eastAsia="宋体" w:cs="宋体"/>
          <w:b/>
          <w:bCs/>
          <w:snapToGrid w:val="0"/>
          <w:color w:val="auto"/>
          <w:kern w:val="0"/>
          <w:sz w:val="24"/>
          <w:highlight w:val="none"/>
        </w:rPr>
        <w:t>2.1招标文件的组成</w:t>
      </w:r>
      <w:bookmarkEnd w:id="28"/>
    </w:p>
    <w:p w14:paraId="0D4DAF47">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本招标文件包括：</w:t>
      </w:r>
    </w:p>
    <w:p w14:paraId="29C32989">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（1）招标公告；</w:t>
      </w:r>
    </w:p>
    <w:p w14:paraId="43F06444">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（2）投标人须知；</w:t>
      </w:r>
    </w:p>
    <w:p w14:paraId="129EBD2D">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（3）用户需求及技术要求；</w:t>
      </w:r>
    </w:p>
    <w:p w14:paraId="005E3808">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（4）评标方法及评价标准；</w:t>
      </w:r>
    </w:p>
    <w:p w14:paraId="07D4B367">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（5）投标文件格式；</w:t>
      </w:r>
    </w:p>
    <w:p w14:paraId="35CC2309">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（6）合同条款及格式（仅供参考）；</w:t>
      </w:r>
    </w:p>
    <w:p w14:paraId="34C11AD5">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（7）投标人须知前附表规定的其他材料。</w:t>
      </w:r>
    </w:p>
    <w:p w14:paraId="35750CD4">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根据本须知第2.3款对招标文件做出的澄清、修改、答复内容，共同构成招标文件的组成部分。</w:t>
      </w:r>
    </w:p>
    <w:p w14:paraId="0E5DFC36">
      <w:pPr>
        <w:spacing w:line="360" w:lineRule="auto"/>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除上述所列内容外，招标人的任何工作人员对投标人所作的任何口头解释、介绍、答复，只能供投标人参考，对招标人和投标人无任何约束力。</w:t>
      </w:r>
    </w:p>
    <w:p w14:paraId="414C1B69">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2.2招标文件的获取</w:t>
      </w:r>
    </w:p>
    <w:p w14:paraId="63967059">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2.2.1招标文件的获取方式、要求：见投标人须知前附表。</w:t>
      </w:r>
    </w:p>
    <w:p w14:paraId="2AFD23B7">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29" w:name="_Toc18230"/>
      <w:r>
        <w:rPr>
          <w:rFonts w:hint="eastAsia" w:ascii="宋体" w:hAnsi="宋体" w:eastAsia="宋体" w:cs="宋体"/>
          <w:b/>
          <w:bCs/>
          <w:snapToGrid w:val="0"/>
          <w:color w:val="auto"/>
          <w:kern w:val="0"/>
          <w:sz w:val="24"/>
          <w:highlight w:val="none"/>
        </w:rPr>
        <w:t>2.3招标文件的澄清</w:t>
      </w:r>
      <w:bookmarkEnd w:id="29"/>
      <w:r>
        <w:rPr>
          <w:rFonts w:hint="eastAsia" w:ascii="宋体" w:hAnsi="宋体" w:eastAsia="宋体" w:cs="宋体"/>
          <w:b/>
          <w:bCs/>
          <w:snapToGrid w:val="0"/>
          <w:color w:val="auto"/>
          <w:kern w:val="0"/>
          <w:sz w:val="24"/>
          <w:highlight w:val="none"/>
        </w:rPr>
        <w:t>和修改</w:t>
      </w:r>
    </w:p>
    <w:p w14:paraId="3C376416">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2.3.1投标人在获取招标文件后，对招标文件任何部分若有任何疑问，应按投标人须知前附表规定的“对招标文件提出问题截止时间、方式”，要求招标人对招标文件予以澄清。</w:t>
      </w:r>
    </w:p>
    <w:p w14:paraId="000A39F4">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7DD9E57">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2.3.3除非招标人认为确有必要答复，否则，招标人有权拒绝回复投标人在本章第2.3.1项规定的时间后的任何澄清要求。</w:t>
      </w:r>
    </w:p>
    <w:p w14:paraId="0B5097E0">
      <w:pPr>
        <w:snapToGrid w:val="0"/>
        <w:spacing w:line="360" w:lineRule="auto"/>
        <w:jc w:val="center"/>
        <w:outlineLvl w:val="1"/>
        <w:rPr>
          <w:rFonts w:hint="eastAsia" w:ascii="宋体" w:hAnsi="宋体" w:eastAsia="宋体" w:cs="宋体"/>
          <w:b/>
          <w:snapToGrid w:val="0"/>
          <w:color w:val="auto"/>
          <w:kern w:val="0"/>
          <w:sz w:val="24"/>
          <w:highlight w:val="none"/>
        </w:rPr>
      </w:pPr>
      <w:bookmarkStart w:id="30" w:name="_Toc18870"/>
      <w:bookmarkStart w:id="31" w:name="_Toc83886017"/>
      <w:bookmarkStart w:id="32" w:name="_Toc7536"/>
      <w:bookmarkStart w:id="33" w:name="_Toc26730"/>
      <w:bookmarkStart w:id="34" w:name="_Toc143421658"/>
      <w:r>
        <w:rPr>
          <w:rFonts w:hint="eastAsia" w:ascii="宋体" w:hAnsi="宋体" w:eastAsia="宋体" w:cs="宋体"/>
          <w:b/>
          <w:snapToGrid w:val="0"/>
          <w:color w:val="auto"/>
          <w:kern w:val="0"/>
          <w:sz w:val="24"/>
          <w:highlight w:val="none"/>
        </w:rPr>
        <w:t>3、投标文件</w:t>
      </w:r>
      <w:bookmarkEnd w:id="30"/>
      <w:bookmarkEnd w:id="31"/>
      <w:bookmarkEnd w:id="32"/>
      <w:bookmarkEnd w:id="33"/>
      <w:bookmarkEnd w:id="34"/>
    </w:p>
    <w:p w14:paraId="48D5BAD8">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5" w:name="_Toc1411"/>
      <w:bookmarkStart w:id="36" w:name="_Toc32652"/>
      <w:bookmarkStart w:id="37" w:name="_Toc143421659"/>
      <w:r>
        <w:rPr>
          <w:rFonts w:hint="eastAsia" w:ascii="宋体" w:hAnsi="宋体" w:eastAsia="宋体" w:cs="宋体"/>
          <w:b/>
          <w:bCs/>
          <w:snapToGrid w:val="0"/>
          <w:color w:val="auto"/>
          <w:kern w:val="0"/>
          <w:sz w:val="24"/>
          <w:highlight w:val="none"/>
        </w:rPr>
        <w:t>3.1投标文件的组成</w:t>
      </w:r>
      <w:bookmarkEnd w:id="35"/>
    </w:p>
    <w:p w14:paraId="3BDE2642">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3.1.1 投标文件的组成：见投标人须知前附表。</w:t>
      </w:r>
    </w:p>
    <w:p w14:paraId="7A2EFCC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投标人在评标过程中作出的符合法律法规和招标文件规定的澄清确认，构成投标文件的组成部分。</w:t>
      </w:r>
    </w:p>
    <w:p w14:paraId="7B8DAB48">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3.1.2投标人须知前附表规定不接受联合体投标的，或投标人没有组成联合体的，投标文件不包括投标人须知前附表所指的联合体协议书。</w:t>
      </w:r>
    </w:p>
    <w:p w14:paraId="7CC0A86F">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3.1.3投标人须知前附表未要求提交投标保证金的，投标文件不包括投标人须知前附表所指的投标保证金缴存证明。</w:t>
      </w:r>
    </w:p>
    <w:p w14:paraId="538FB533">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3.2资格审查资料</w:t>
      </w:r>
    </w:p>
    <w:p w14:paraId="37D03C57">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3.2.1投标人应按本章第1.4款要求提供相关资格审查资料。</w:t>
      </w:r>
    </w:p>
    <w:p w14:paraId="5E688AD0">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3.2.2“资格文件”中的“营业执照”等复印件是指：</w:t>
      </w:r>
    </w:p>
    <w:p w14:paraId="48A4A112">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投标人根据企业、非企业性质不同，可分别提供营业执照、事业单位法人证书、社会团体法人登记证书或其他组织登记证明文件的复印件；</w:t>
      </w:r>
    </w:p>
    <w:p w14:paraId="114A8CE2">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4722AA1D">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38" w:name="_Toc32225"/>
      <w:r>
        <w:rPr>
          <w:rFonts w:hint="eastAsia" w:ascii="宋体" w:hAnsi="宋体" w:eastAsia="宋体" w:cs="宋体"/>
          <w:b/>
          <w:bCs/>
          <w:snapToGrid w:val="0"/>
          <w:color w:val="auto"/>
          <w:kern w:val="0"/>
          <w:sz w:val="24"/>
          <w:highlight w:val="none"/>
        </w:rPr>
        <w:t>3.3投标报价</w:t>
      </w:r>
      <w:bookmarkEnd w:id="38"/>
    </w:p>
    <w:p w14:paraId="047340B4">
      <w:pPr>
        <w:snapToGrid w:val="0"/>
        <w:spacing w:line="360" w:lineRule="auto"/>
        <w:ind w:firstLine="480" w:firstLineChars="200"/>
        <w:jc w:val="left"/>
        <w:rPr>
          <w:rFonts w:hint="eastAsia" w:ascii="宋体" w:hAnsi="宋体" w:eastAsia="宋体" w:cs="宋体"/>
          <w:snapToGrid w:val="0"/>
          <w:color w:val="auto"/>
          <w:kern w:val="0"/>
          <w:sz w:val="24"/>
          <w:highlight w:val="none"/>
        </w:rPr>
      </w:pPr>
      <w:bookmarkStart w:id="39" w:name="_Toc13307"/>
      <w:r>
        <w:rPr>
          <w:rFonts w:hint="eastAsia" w:ascii="宋体" w:hAnsi="宋体" w:eastAsia="宋体" w:cs="宋体"/>
          <w:snapToGrid w:val="0"/>
          <w:color w:val="auto"/>
          <w:kern w:val="0"/>
          <w:sz w:val="24"/>
          <w:highlight w:val="none"/>
        </w:rPr>
        <w:t>3.3.1投标人应按第五章“投标文件格式”的要求在“投标函”中进行报价。</w:t>
      </w:r>
      <w:r>
        <w:rPr>
          <w:rFonts w:hint="eastAsia" w:ascii="宋体" w:hAnsi="宋体" w:eastAsia="宋体" w:cs="宋体"/>
          <w:color w:val="auto"/>
          <w:sz w:val="24"/>
          <w:highlight w:val="none"/>
        </w:rPr>
        <w:t>有关本项目建设或采购所需的所有费用均计入报价。</w:t>
      </w:r>
      <w:r>
        <w:rPr>
          <w:rFonts w:hint="eastAsia" w:ascii="宋体" w:hAnsi="宋体" w:eastAsia="宋体" w:cs="宋体"/>
          <w:snapToGrid w:val="0"/>
          <w:color w:val="auto"/>
          <w:kern w:val="0"/>
          <w:sz w:val="24"/>
          <w:highlight w:val="none"/>
        </w:rPr>
        <w:t>投标文件中价格全部采用人民币报价。</w:t>
      </w:r>
    </w:p>
    <w:p w14:paraId="404CF0FC">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3.3.2投标人应充分了解该项目的总体情况以及影响投标报价的其他要素。</w:t>
      </w:r>
    </w:p>
    <w:p w14:paraId="022586C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3.3.3招标人设有最高投标限价的，投标人的投标报价不得超过最高投标限价，最高投标限价在投标人须知前附表中载明。</w:t>
      </w:r>
    </w:p>
    <w:p w14:paraId="67F7C47F">
      <w:pPr>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3.3.4投标报价的具体要求详见第三章“用户需求及技术要求”。</w:t>
      </w:r>
    </w:p>
    <w:bookmarkEnd w:id="39"/>
    <w:p w14:paraId="59D48F18">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0" w:name="_Toc29989"/>
      <w:r>
        <w:rPr>
          <w:rFonts w:hint="eastAsia" w:ascii="宋体" w:hAnsi="宋体" w:eastAsia="宋体" w:cs="宋体"/>
          <w:b/>
          <w:bCs/>
          <w:snapToGrid w:val="0"/>
          <w:color w:val="auto"/>
          <w:kern w:val="0"/>
          <w:sz w:val="24"/>
          <w:highlight w:val="none"/>
        </w:rPr>
        <w:t>3.4投标文件的编制</w:t>
      </w:r>
      <w:bookmarkEnd w:id="40"/>
    </w:p>
    <w:p w14:paraId="3C7EFDFE">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77D2FEF">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5F792498">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401917FB">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并经法定代表人或其委托代理人签字或盖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。由委托代理人签字或盖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4"/>
          <w:szCs w:val="24"/>
          <w:highlight w:val="none"/>
        </w:rPr>
        <w:t>投标人单位公章</w:t>
      </w:r>
      <w:r>
        <w:rPr>
          <w:rFonts w:hint="eastAsia" w:ascii="宋体" w:hAnsi="宋体" w:eastAsia="宋体" w:cs="宋体"/>
          <w:snapToGrid w:val="0"/>
          <w:color w:val="auto"/>
          <w:kern w:val="0"/>
          <w:sz w:val="24"/>
          <w:szCs w:val="24"/>
          <w:highlight w:val="none"/>
        </w:rPr>
        <w:t>、注明日期予以确认。</w:t>
      </w:r>
    </w:p>
    <w:p w14:paraId="67ED264B">
      <w:pPr>
        <w:adjustRightInd w:val="0"/>
        <w:snapToGrid w:val="0"/>
        <w:spacing w:line="360" w:lineRule="auto"/>
        <w:ind w:firstLine="482" w:firstLineChars="200"/>
        <w:jc w:val="center"/>
        <w:outlineLvl w:val="1"/>
        <w:rPr>
          <w:rFonts w:hint="eastAsia" w:ascii="宋体" w:hAnsi="宋体" w:eastAsia="宋体" w:cs="宋体"/>
          <w:b/>
          <w:snapToGrid w:val="0"/>
          <w:color w:val="auto"/>
          <w:kern w:val="0"/>
          <w:sz w:val="24"/>
          <w:highlight w:val="none"/>
        </w:rPr>
      </w:pPr>
      <w:bookmarkStart w:id="41" w:name="_Toc83886018"/>
      <w:bookmarkStart w:id="42" w:name="_Toc13653"/>
      <w:bookmarkStart w:id="43" w:name="_Toc23994"/>
      <w:r>
        <w:rPr>
          <w:rFonts w:hint="eastAsia" w:ascii="宋体" w:hAnsi="宋体" w:eastAsia="宋体" w:cs="宋体"/>
          <w:b/>
          <w:snapToGrid w:val="0"/>
          <w:color w:val="auto"/>
          <w:kern w:val="0"/>
          <w:sz w:val="24"/>
          <w:highlight w:val="none"/>
        </w:rPr>
        <w:t>4、投标</w:t>
      </w:r>
      <w:bookmarkEnd w:id="41"/>
      <w:bookmarkEnd w:id="42"/>
      <w:bookmarkEnd w:id="43"/>
    </w:p>
    <w:bookmarkEnd w:id="36"/>
    <w:bookmarkEnd w:id="37"/>
    <w:p w14:paraId="2D16133A">
      <w:pPr>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4" w:name="_Toc649"/>
      <w:r>
        <w:rPr>
          <w:rFonts w:hint="eastAsia" w:ascii="宋体" w:hAnsi="宋体" w:eastAsia="宋体" w:cs="宋体"/>
          <w:b/>
          <w:bCs/>
          <w:snapToGrid w:val="0"/>
          <w:color w:val="auto"/>
          <w:kern w:val="0"/>
          <w:sz w:val="24"/>
          <w:highlight w:val="none"/>
        </w:rPr>
        <w:t>4.1 踏勘现场</w:t>
      </w:r>
    </w:p>
    <w:p w14:paraId="5C26C4CF">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 投标人须知前附表规定组织踏勘现场的，招标人按投标人须知前附表规定的时间、地点组织投标人踏勘项目现场。未参加现场踏勘不作为否定投标人资格的理由。</w:t>
      </w:r>
    </w:p>
    <w:p w14:paraId="15F7FB4B">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4.1.2 投标人踏勘现场发生的费用自理。 除招标人的原因外，投标人自行负责在踏勘现场中所发生的人员伤亡和财产损失。</w:t>
      </w:r>
    </w:p>
    <w:p w14:paraId="2C34210B">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4.1.3 招标人在踏勘现场中介绍的项目情况和提供的资料，仅供投标人在编制投标文件时参考，招标人不对投标人据此作出的判断和决策负责。</w:t>
      </w:r>
    </w:p>
    <w:p w14:paraId="2BC14F1F">
      <w:pPr>
        <w:pStyle w:val="7"/>
        <w:adjustRightInd w:val="0"/>
        <w:snapToGrid w:val="0"/>
        <w:spacing w:after="0" w:line="360" w:lineRule="auto"/>
        <w:jc w:val="left"/>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 投标预备会</w:t>
      </w:r>
    </w:p>
    <w:p w14:paraId="4BFAC8CF">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072C56F9">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0449C7E0">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4.2.3招标人在投标预备会上所做出的澄清和解答，以书面答复为准，该答疑纪要文件构成招标文件的一部分，具有约束作用，并按第2.3.2项要求予以公布并通知。</w:t>
      </w:r>
    </w:p>
    <w:p w14:paraId="70174391">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5" w:name="_Toc30464"/>
      <w:bookmarkStart w:id="46" w:name="_Toc360398511"/>
      <w:r>
        <w:rPr>
          <w:rFonts w:hint="eastAsia" w:ascii="宋体" w:hAnsi="宋体" w:eastAsia="宋体" w:cs="宋体"/>
          <w:b/>
          <w:bCs/>
          <w:snapToGrid w:val="0"/>
          <w:color w:val="auto"/>
          <w:kern w:val="0"/>
          <w:sz w:val="24"/>
          <w:highlight w:val="none"/>
        </w:rPr>
        <w:t>4.3 投标保证金</w:t>
      </w:r>
      <w:bookmarkEnd w:id="45"/>
      <w:bookmarkEnd w:id="46"/>
    </w:p>
    <w:p w14:paraId="1DB6DCA4">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14:paraId="3343934A">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14:paraId="6FCB7CDE">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4.3.3未中标的投标人的投标保证金将在中标公示期满后予以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14:paraId="2BE06C7C">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4.3.4中标人的投标保证金，在中标人签订合同并按要求提交履约保证金后予以</w:t>
      </w:r>
      <w:r>
        <w:rPr>
          <w:rFonts w:hint="eastAsia" w:ascii="宋体" w:hAnsi="宋体" w:eastAsia="宋体" w:cs="宋体"/>
          <w:color w:val="auto"/>
          <w:kern w:val="0"/>
          <w:sz w:val="24"/>
          <w:highlight w:val="none"/>
          <w:lang w:bidi="ar"/>
        </w:rPr>
        <w:t>无息</w:t>
      </w:r>
      <w:r>
        <w:rPr>
          <w:rFonts w:hint="eastAsia" w:ascii="宋体" w:hAnsi="宋体" w:eastAsia="宋体" w:cs="宋体"/>
          <w:snapToGrid w:val="0"/>
          <w:color w:val="auto"/>
          <w:kern w:val="0"/>
          <w:sz w:val="24"/>
          <w:highlight w:val="none"/>
        </w:rPr>
        <w:t>退还。</w:t>
      </w:r>
    </w:p>
    <w:p w14:paraId="2F89316F">
      <w:pPr>
        <w:widowControl/>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4.3.5如投标人有下列任何情况发生时，投标保证金将</w:t>
      </w:r>
      <w:r>
        <w:rPr>
          <w:rFonts w:hint="eastAsia" w:ascii="宋体" w:hAnsi="宋体" w:eastAsia="宋体" w:cs="宋体"/>
          <w:color w:val="auto"/>
          <w:kern w:val="0"/>
          <w:sz w:val="24"/>
          <w:highlight w:val="none"/>
          <w:lang w:bidi="ar"/>
        </w:rPr>
        <w:t>不予退还</w:t>
      </w:r>
      <w:r>
        <w:rPr>
          <w:rFonts w:hint="eastAsia" w:ascii="宋体" w:hAnsi="宋体" w:eastAsia="宋体" w:cs="宋体"/>
          <w:snapToGrid w:val="0"/>
          <w:color w:val="auto"/>
          <w:kern w:val="0"/>
          <w:sz w:val="24"/>
          <w:highlight w:val="none"/>
        </w:rPr>
        <w:t>：</w:t>
      </w:r>
    </w:p>
    <w:p w14:paraId="005506F7">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在投标有效期内撤回投标文件的；</w:t>
      </w:r>
    </w:p>
    <w:p w14:paraId="20BFD34E">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拒绝接受投标文件中已确认的承诺或条款；</w:t>
      </w:r>
    </w:p>
    <w:p w14:paraId="751B9A36">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中标人未能在规定期限内提交履约保证金或签署合同协议的；</w:t>
      </w:r>
    </w:p>
    <w:p w14:paraId="627C6F2A">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投标人提供虚假资料，经查实的；</w:t>
      </w:r>
    </w:p>
    <w:p w14:paraId="676F18A7">
      <w:pPr>
        <w:pStyle w:val="7"/>
        <w:adjustRightInd w:val="0"/>
        <w:snapToGrid w:val="0"/>
        <w:spacing w:after="0" w:line="360" w:lineRule="auto"/>
        <w:ind w:left="640" w:left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（5）投标人在投标期间有串标、哄抬标价等违规违法行为。</w:t>
      </w:r>
    </w:p>
    <w:p w14:paraId="7604DDDC">
      <w:pPr>
        <w:keepNext/>
        <w:keepLines/>
        <w:adjustRightInd w:val="0"/>
        <w:snapToGrid w:val="0"/>
        <w:spacing w:line="360" w:lineRule="auto"/>
        <w:jc w:val="left"/>
        <w:outlineLvl w:val="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4.4投标样品</w:t>
      </w:r>
    </w:p>
    <w:p w14:paraId="0E597266">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4.4.1本项目投标样品提供的要求：见投标人须知前附表。</w:t>
      </w:r>
    </w:p>
    <w:p w14:paraId="624A19B3">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4.5投标文件的密封和标识</w:t>
      </w:r>
      <w:bookmarkEnd w:id="44"/>
    </w:p>
    <w:p w14:paraId="29CB13CC">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bookmarkStart w:id="47" w:name="_Toc16616"/>
      <w:r>
        <w:rPr>
          <w:rFonts w:hint="eastAsia" w:ascii="宋体" w:hAnsi="宋体" w:eastAsia="宋体" w:cs="宋体"/>
          <w:snapToGrid w:val="0"/>
          <w:color w:val="auto"/>
          <w:kern w:val="0"/>
          <w:sz w:val="24"/>
          <w:szCs w:val="24"/>
          <w:highlight w:val="none"/>
        </w:rPr>
        <w:t>4.5.1投标文件必须密封包装，并在封套的封口处加盖投标人单位章或由投标人的法定代表人或其授权的代理人签字。</w:t>
      </w:r>
    </w:p>
    <w:p w14:paraId="737E24FE">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4.5.2投标文件封套上应写明的内容见投标人须知前附表。</w:t>
      </w:r>
    </w:p>
    <w:p w14:paraId="68115032">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4.5.3未按本章第4.7.2项要求填写内容的投标文件，招标人将不承担投标文件错放或提前开封导致投标被拒绝的责任。</w:t>
      </w:r>
    </w:p>
    <w:p w14:paraId="142A3E34">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4.6投标文件的递交</w:t>
      </w:r>
      <w:bookmarkEnd w:id="47"/>
    </w:p>
    <w:p w14:paraId="69090D6D">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4.6.1投标人应在投标人须知前附表规定的投标截止时间前、规定的投标文件递交地点递交投标文件。</w:t>
      </w:r>
    </w:p>
    <w:p w14:paraId="78315322">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4.6.2除投标人须知前附表另有规定外，投标人有效递交的投标文件不予退还。</w:t>
      </w:r>
    </w:p>
    <w:p w14:paraId="5CE0957C">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48" w:name="_Toc26099"/>
      <w:r>
        <w:rPr>
          <w:rFonts w:hint="eastAsia" w:ascii="宋体" w:hAnsi="宋体" w:eastAsia="宋体" w:cs="宋体"/>
          <w:b/>
          <w:bCs/>
          <w:snapToGrid w:val="0"/>
          <w:color w:val="auto"/>
          <w:kern w:val="0"/>
          <w:sz w:val="24"/>
          <w:highlight w:val="none"/>
        </w:rPr>
        <w:t>4.7投标文件的补充、修改、撤回</w:t>
      </w:r>
      <w:bookmarkEnd w:id="48"/>
      <w:r>
        <w:rPr>
          <w:rFonts w:hint="eastAsia" w:ascii="宋体" w:hAnsi="宋体" w:eastAsia="宋体" w:cs="宋体"/>
          <w:b/>
          <w:bCs/>
          <w:snapToGrid w:val="0"/>
          <w:color w:val="auto"/>
          <w:kern w:val="0"/>
          <w:sz w:val="24"/>
          <w:highlight w:val="none"/>
        </w:rPr>
        <w:t>和撤销</w:t>
      </w:r>
    </w:p>
    <w:p w14:paraId="781437B9">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4.7.1投标人递交投标文件以后，在规定的投标截止时间之前，投标人可以补充、修改或撤回已递交的投标文件，但应以书面形式通知招标人。</w:t>
      </w:r>
    </w:p>
    <w:p w14:paraId="31F26C1B">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4.7.2投标人补充、修改或撤回已递交投标文件的书面通知应按照第3条、第4条的有关规定进行编制、密封、标识和递交，并标明“补充修改”或“撤回”字样。</w:t>
      </w:r>
    </w:p>
    <w:p w14:paraId="3D9D88E4">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4.7.3补充、修改的内容为投标文件的组成部分。补充、修改的内容与投标文件不一致的，以补充、修改的内容为准。</w:t>
      </w:r>
    </w:p>
    <w:p w14:paraId="1870F556">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4.7.4在投标截止时间以后，不能补充、修改投标文件。投标截止时间以后至招标文件规定的投标有效期内，投标人不能撤销或修改投标文件。</w:t>
      </w:r>
    </w:p>
    <w:p w14:paraId="1FE4424C">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4.8投标有效期</w:t>
      </w:r>
    </w:p>
    <w:p w14:paraId="5B10B4B5">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4.8.1除投标人须知前附表另有规定外，投标有效期为90日历天。投标人的投标文件中承诺的投标有效期不得少于招标文件中载明的投标有效期。</w:t>
      </w:r>
    </w:p>
    <w:p w14:paraId="29525E9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4.8.2在投标有效期内，投标人撤销或修改投标文件的，应承担招标文件和法律规定的责任。</w:t>
      </w:r>
    </w:p>
    <w:p w14:paraId="08570F96">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3C4FA12B">
      <w:pPr>
        <w:snapToGrid w:val="0"/>
        <w:spacing w:line="360" w:lineRule="auto"/>
        <w:jc w:val="center"/>
        <w:outlineLvl w:val="1"/>
        <w:rPr>
          <w:rFonts w:hint="eastAsia" w:ascii="宋体" w:hAnsi="宋体" w:eastAsia="宋体" w:cs="宋体"/>
          <w:b/>
          <w:snapToGrid w:val="0"/>
          <w:color w:val="auto"/>
          <w:kern w:val="0"/>
          <w:sz w:val="24"/>
          <w:highlight w:val="none"/>
        </w:rPr>
      </w:pPr>
      <w:bookmarkStart w:id="49" w:name="_Toc83886019"/>
      <w:bookmarkStart w:id="50" w:name="_Toc2248"/>
      <w:bookmarkStart w:id="51" w:name="_Toc29641"/>
      <w:bookmarkStart w:id="52" w:name="_Toc30158"/>
      <w:r>
        <w:rPr>
          <w:rFonts w:hint="eastAsia" w:ascii="宋体" w:hAnsi="宋体" w:eastAsia="宋体" w:cs="宋体"/>
          <w:b/>
          <w:snapToGrid w:val="0"/>
          <w:color w:val="auto"/>
          <w:kern w:val="0"/>
          <w:sz w:val="24"/>
          <w:highlight w:val="none"/>
        </w:rPr>
        <w:t>5、开标</w:t>
      </w:r>
      <w:bookmarkEnd w:id="49"/>
      <w:bookmarkEnd w:id="50"/>
      <w:bookmarkEnd w:id="51"/>
      <w:bookmarkEnd w:id="52"/>
    </w:p>
    <w:p w14:paraId="33E62159">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3" w:name="_Toc15123"/>
      <w:r>
        <w:rPr>
          <w:rFonts w:hint="eastAsia" w:ascii="宋体" w:hAnsi="宋体" w:eastAsia="宋体" w:cs="宋体"/>
          <w:b/>
          <w:bCs/>
          <w:snapToGrid w:val="0"/>
          <w:color w:val="auto"/>
          <w:kern w:val="0"/>
          <w:sz w:val="24"/>
          <w:highlight w:val="none"/>
        </w:rPr>
        <w:t>5.1开标时间和地点</w:t>
      </w:r>
      <w:bookmarkEnd w:id="53"/>
    </w:p>
    <w:p w14:paraId="7921E662">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5.1.1本项目按照投标人须知前附表规定的时间和地点公开举行开标会议，并邀请所有投标人法定代表人或其委托代理人（简称投标人代表，下同）参加开标会议。</w:t>
      </w:r>
    </w:p>
    <w:p w14:paraId="48325AD1">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5.2开标应携带的资料</w:t>
      </w:r>
    </w:p>
    <w:p w14:paraId="2F46140E">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5.2.1投标人代表参加开标时，应携带投标人须知前附表规定的资料。</w:t>
      </w:r>
    </w:p>
    <w:p w14:paraId="5F36E311">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5.3开标顺序</w:t>
      </w:r>
    </w:p>
    <w:p w14:paraId="7D706136">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5.3.1</w:t>
      </w:r>
      <w:r>
        <w:rPr>
          <w:rFonts w:hint="eastAsia" w:ascii="宋体" w:hAnsi="宋体" w:eastAsia="宋体" w:cs="宋体"/>
          <w:color w:val="auto"/>
          <w:kern w:val="0"/>
          <w:sz w:val="24"/>
          <w:highlight w:val="none"/>
        </w:rPr>
        <w:t>开标顺序依据</w:t>
      </w:r>
      <w:r>
        <w:rPr>
          <w:rFonts w:hint="eastAsia" w:ascii="宋体" w:hAnsi="宋体" w:eastAsia="宋体" w:cs="宋体"/>
          <w:snapToGrid w:val="0"/>
          <w:color w:val="auto"/>
          <w:kern w:val="0"/>
          <w:sz w:val="24"/>
          <w:highlight w:val="none"/>
        </w:rPr>
        <w:t>投标人须知前附表的规定</w:t>
      </w:r>
      <w:r>
        <w:rPr>
          <w:rFonts w:hint="eastAsia" w:ascii="宋体" w:hAnsi="宋体" w:eastAsia="宋体" w:cs="宋体"/>
          <w:color w:val="auto"/>
          <w:kern w:val="0"/>
          <w:sz w:val="24"/>
          <w:highlight w:val="none"/>
        </w:rPr>
        <w:t>。</w:t>
      </w:r>
    </w:p>
    <w:p w14:paraId="0EC0D4CF">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5.4开标程序</w:t>
      </w:r>
    </w:p>
    <w:p w14:paraId="734A41DD">
      <w:pPr>
        <w:adjustRightInd w:val="0"/>
        <w:snapToGrid w:val="0"/>
        <w:spacing w:line="360" w:lineRule="auto"/>
        <w:ind w:firstLine="590" w:firstLineChars="245"/>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5.4.1开标由招标人（或招标代理）主持，按下列程序进行开标：</w:t>
      </w:r>
    </w:p>
    <w:p w14:paraId="4B3246A5">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b/>
      </w:r>
      <w:r>
        <w:rPr>
          <w:rFonts w:hint="eastAsia" w:ascii="宋体" w:hAnsi="宋体" w:eastAsia="宋体" w:cs="宋体"/>
          <w:b/>
          <w:bCs/>
          <w:snapToGrid w:val="0"/>
          <w:color w:val="auto"/>
          <w:kern w:val="0"/>
          <w:sz w:val="24"/>
          <w:szCs w:val="24"/>
          <w:highlight w:val="none"/>
        </w:rPr>
        <w:t>（1）宣布开标纪律；</w:t>
      </w:r>
    </w:p>
    <w:p w14:paraId="138D1C4C">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（2）公布在投标截止时间前递交投标文件的投标人家数及名称；</w:t>
      </w:r>
    </w:p>
    <w:p w14:paraId="06440447">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（3）宣布：开标人、唱标人、记录人、监标人等有关工作人员；</w:t>
      </w:r>
    </w:p>
    <w:p w14:paraId="36B86606">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（4）监标人对各投标人法定代表人（或其委托代理人）身份证明进行核验；</w:t>
      </w:r>
    </w:p>
    <w:p w14:paraId="732E8DE0">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（5）投标人代表或者其集体推选的代表检查投标文件的密封情况；</w:t>
      </w:r>
    </w:p>
    <w:p w14:paraId="6DEB2387">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（6）按照投标人须知第5.3.1规定的开标顺序当众开启投标文件，清点投标文件正、副本数量，公布投标函内容（投标人全称、报价、服务期等其他内容），并记录在案；</w:t>
      </w:r>
    </w:p>
    <w:p w14:paraId="3741F075">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（7）投标人代表、唱标人、监标人、记录人等有关人员在开标记录上签字确认；</w:t>
      </w:r>
    </w:p>
    <w:p w14:paraId="2F036AA3">
      <w:pPr>
        <w:pStyle w:val="7"/>
        <w:ind w:firstLine="467" w:firstLineChars="194"/>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（8）开标结束。</w:t>
      </w:r>
    </w:p>
    <w:p w14:paraId="0DD86417">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5.4.2投标人代表如发现唱标内容或记录结果与投标文件不一致的，应在开标现场当即提出予以纠正。</w:t>
      </w:r>
    </w:p>
    <w:p w14:paraId="38481E2B">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5.4.3投标人未参加开标或参加开标但</w:t>
      </w:r>
      <w:r>
        <w:rPr>
          <w:rFonts w:hint="eastAsia" w:ascii="宋体" w:hAnsi="宋体" w:eastAsia="宋体" w:cs="宋体"/>
          <w:snapToGrid w:val="0"/>
          <w:color w:val="auto"/>
          <w:kern w:val="0"/>
          <w:sz w:val="24"/>
          <w:szCs w:val="24"/>
          <w:highlight w:val="none"/>
          <w:lang w:val="zh-CN"/>
        </w:rPr>
        <w:t>未在开标记录上签字的，</w:t>
      </w:r>
      <w:r>
        <w:rPr>
          <w:rFonts w:hint="eastAsia" w:ascii="宋体" w:hAnsi="宋体" w:eastAsia="宋体" w:cs="宋体"/>
          <w:snapToGrid w:val="0"/>
          <w:color w:val="auto"/>
          <w:kern w:val="0"/>
          <w:sz w:val="24"/>
          <w:szCs w:val="24"/>
          <w:highlight w:val="none"/>
        </w:rPr>
        <w:t>均视同认可开标结果。</w:t>
      </w:r>
    </w:p>
    <w:p w14:paraId="192AF848">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5.4.4投标人在投标截止时间前提交投标文件撤回函的，招标人应在开标时宣读撤回函，并将其投标文件及其投标保证金及时退还投标人。</w:t>
      </w:r>
    </w:p>
    <w:p w14:paraId="5ED8053E">
      <w:pPr>
        <w:adjustRightInd w:val="0"/>
        <w:snapToGrid w:val="0"/>
        <w:spacing w:line="360" w:lineRule="auto"/>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5.5投标文件拒收、退还：</w:t>
      </w:r>
      <w:r>
        <w:rPr>
          <w:rFonts w:hint="eastAsia" w:ascii="宋体" w:hAnsi="宋体" w:eastAsia="宋体" w:cs="宋体"/>
          <w:b/>
          <w:bCs/>
          <w:color w:val="auto"/>
          <w:kern w:val="21"/>
          <w:sz w:val="24"/>
          <w:highlight w:val="none"/>
        </w:rPr>
        <w:t>见投标人须知前附表。</w:t>
      </w:r>
    </w:p>
    <w:p w14:paraId="39AF0FE1">
      <w:pPr>
        <w:snapToGrid w:val="0"/>
        <w:spacing w:line="360" w:lineRule="auto"/>
        <w:jc w:val="center"/>
        <w:outlineLvl w:val="1"/>
        <w:rPr>
          <w:rFonts w:hint="eastAsia" w:ascii="宋体" w:hAnsi="宋体" w:eastAsia="宋体" w:cs="宋体"/>
          <w:b/>
          <w:snapToGrid w:val="0"/>
          <w:color w:val="auto"/>
          <w:kern w:val="0"/>
          <w:sz w:val="24"/>
          <w:highlight w:val="none"/>
        </w:rPr>
      </w:pPr>
      <w:bookmarkStart w:id="54" w:name="_Toc83886020"/>
      <w:bookmarkStart w:id="55" w:name="_Toc7908"/>
      <w:bookmarkStart w:id="56" w:name="_Toc22984"/>
      <w:bookmarkStart w:id="57" w:name="_Toc31578"/>
      <w:r>
        <w:rPr>
          <w:rFonts w:hint="eastAsia" w:ascii="宋体" w:hAnsi="宋体" w:eastAsia="宋体" w:cs="宋体"/>
          <w:b/>
          <w:snapToGrid w:val="0"/>
          <w:color w:val="auto"/>
          <w:kern w:val="0"/>
          <w:sz w:val="24"/>
          <w:highlight w:val="none"/>
        </w:rPr>
        <w:t>6、评标</w:t>
      </w:r>
      <w:bookmarkEnd w:id="54"/>
      <w:bookmarkEnd w:id="55"/>
      <w:bookmarkEnd w:id="56"/>
      <w:bookmarkEnd w:id="57"/>
    </w:p>
    <w:p w14:paraId="0C963446">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58" w:name="_Toc10279"/>
      <w:r>
        <w:rPr>
          <w:rFonts w:hint="eastAsia" w:ascii="宋体" w:hAnsi="宋体" w:eastAsia="宋体" w:cs="宋体"/>
          <w:b/>
          <w:bCs/>
          <w:snapToGrid w:val="0"/>
          <w:color w:val="auto"/>
          <w:kern w:val="0"/>
          <w:sz w:val="24"/>
          <w:highlight w:val="none"/>
        </w:rPr>
        <w:t>6.1评标委员会的组建</w:t>
      </w:r>
    </w:p>
    <w:bookmarkEnd w:id="58"/>
    <w:p w14:paraId="18224333">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6.1.1评标小组由招标人依法组建，负责评标活动。</w:t>
      </w:r>
    </w:p>
    <w:p w14:paraId="626FFAE0">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14:paraId="7C1A79BE">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6.2评标原则</w:t>
      </w:r>
    </w:p>
    <w:p w14:paraId="63898082">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6.2.1评标活动遵循公平、公正、科学和择优的原则。</w:t>
      </w:r>
    </w:p>
    <w:p w14:paraId="71011B7E">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6.3评标会议</w:t>
      </w:r>
    </w:p>
    <w:p w14:paraId="176CBE01">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6.3.1评标委员会原则上要推选一位组长（招标人代表不得担任评标委员会组长），评标委员会组长负责组织评标工作。</w:t>
      </w:r>
    </w:p>
    <w:p w14:paraId="3FD4375F">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5B49CA82">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6.3.3评标完成后，评标委员会应当向招标人提交书面评标报告和中标候选人名单。评标委员会推荐中标候选人的人数见投标人须知前附表。</w:t>
      </w:r>
    </w:p>
    <w:p w14:paraId="68725045">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6.3.4评标委员会对投标文件作出的评审结论，应当符合有关法律法规和招标文件的规定。评标委员会成员对所提出的评审意见承担个人责任。</w:t>
      </w:r>
    </w:p>
    <w:p w14:paraId="1A9BF3DC">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6.4评标过程的保密</w:t>
      </w:r>
    </w:p>
    <w:p w14:paraId="09893E57">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16B6FF6">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6.4.2评标工作现场进行全过程录音录像以存档备查。</w:t>
      </w:r>
    </w:p>
    <w:p w14:paraId="74A9A5A5">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6.4.3评标过程中招标代理机构与评标委员会各司其责。</w:t>
      </w:r>
    </w:p>
    <w:p w14:paraId="4BD35F2F">
      <w:pPr>
        <w:snapToGrid w:val="0"/>
        <w:spacing w:line="360" w:lineRule="auto"/>
        <w:jc w:val="center"/>
        <w:outlineLvl w:val="1"/>
        <w:rPr>
          <w:rFonts w:hint="eastAsia" w:ascii="宋体" w:hAnsi="宋体" w:eastAsia="宋体" w:cs="宋体"/>
          <w:bCs/>
          <w:snapToGrid w:val="0"/>
          <w:color w:val="auto"/>
          <w:kern w:val="0"/>
          <w:sz w:val="24"/>
          <w:highlight w:val="none"/>
        </w:rPr>
      </w:pPr>
      <w:bookmarkStart w:id="59" w:name="_Toc24237"/>
      <w:bookmarkStart w:id="60" w:name="_Toc28284"/>
      <w:bookmarkStart w:id="61" w:name="_Toc83886021"/>
      <w:bookmarkStart w:id="62" w:name="_Toc911"/>
      <w:r>
        <w:rPr>
          <w:rFonts w:hint="eastAsia" w:ascii="宋体" w:hAnsi="宋体" w:eastAsia="宋体" w:cs="宋体"/>
          <w:b/>
          <w:snapToGrid w:val="0"/>
          <w:color w:val="auto"/>
          <w:kern w:val="0"/>
          <w:sz w:val="24"/>
          <w:highlight w:val="none"/>
        </w:rPr>
        <w:t>7、</w:t>
      </w:r>
      <w:bookmarkEnd w:id="59"/>
      <w:r>
        <w:rPr>
          <w:rFonts w:hint="eastAsia" w:ascii="宋体" w:hAnsi="宋体" w:eastAsia="宋体" w:cs="宋体"/>
          <w:b/>
          <w:snapToGrid w:val="0"/>
          <w:color w:val="auto"/>
          <w:kern w:val="0"/>
          <w:sz w:val="24"/>
          <w:highlight w:val="none"/>
        </w:rPr>
        <w:t>定标</w:t>
      </w:r>
      <w:bookmarkEnd w:id="60"/>
      <w:bookmarkEnd w:id="61"/>
      <w:bookmarkEnd w:id="62"/>
    </w:p>
    <w:p w14:paraId="6FC986EC">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63" w:name="_Toc18809"/>
      <w:r>
        <w:rPr>
          <w:rFonts w:hint="eastAsia" w:ascii="宋体" w:hAnsi="宋体" w:eastAsia="宋体" w:cs="宋体"/>
          <w:b/>
          <w:bCs/>
          <w:snapToGrid w:val="0"/>
          <w:color w:val="auto"/>
          <w:kern w:val="0"/>
          <w:sz w:val="24"/>
          <w:highlight w:val="none"/>
        </w:rPr>
        <w:t>7.1中标候选人公示</w:t>
      </w:r>
    </w:p>
    <w:p w14:paraId="4BC9F17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226DD8A8">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bookmarkStart w:id="64" w:name="_bookmark61"/>
      <w:bookmarkEnd w:id="64"/>
      <w:r>
        <w:rPr>
          <w:rFonts w:hint="eastAsia" w:ascii="宋体" w:hAnsi="宋体" w:eastAsia="宋体" w:cs="宋体"/>
          <w:b/>
          <w:bCs/>
          <w:snapToGrid w:val="0"/>
          <w:color w:val="auto"/>
          <w:kern w:val="0"/>
          <w:sz w:val="24"/>
          <w:highlight w:val="none"/>
        </w:rPr>
        <w:t>7.2定标方式</w:t>
      </w:r>
    </w:p>
    <w:p w14:paraId="358BCDC9">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snapToGrid w:val="0"/>
          <w:color w:val="auto"/>
          <w:kern w:val="0"/>
          <w:sz w:val="24"/>
          <w:szCs w:val="24"/>
          <w:highlight w:val="none"/>
        </w:rPr>
        <w:t>7.2.1</w:t>
      </w:r>
      <w:r>
        <w:rPr>
          <w:rFonts w:hint="eastAsia" w:ascii="宋体" w:hAnsi="宋体" w:eastAsia="宋体" w:cs="宋体"/>
          <w:color w:val="auto"/>
          <w:kern w:val="0"/>
          <w:sz w:val="24"/>
          <w:szCs w:val="24"/>
          <w:highlight w:val="none"/>
          <w:lang w:val="zh-CN"/>
        </w:rPr>
        <w:t>定标由招标人负责，原则上应坚持评审小组推荐的第一中标候选人为中标人。</w:t>
      </w:r>
    </w:p>
    <w:p w14:paraId="6D28E668">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但如出现下列情形之一的，招标人将重新组织招标或按中标候选人名单排序依次确定其他中标候选人为中标人，也可以重新招标：</w:t>
      </w:r>
    </w:p>
    <w:p w14:paraId="5EF606FC">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（1）排名第一的中标候选人放弃中标、因不可抗力不能履行合同、不按照招标文件要求提交履约保证金的、拒绝签订合同的；</w:t>
      </w:r>
    </w:p>
    <w:p w14:paraId="394A49CD">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（2）质疑成立的、被查实存在影响中标结果的违法行为等情形，不符合中标条件的。</w:t>
      </w:r>
    </w:p>
    <w:p w14:paraId="255D6A4A">
      <w:pPr>
        <w:pStyle w:val="7"/>
        <w:adjustRightInd w:val="0"/>
        <w:snapToGrid w:val="0"/>
        <w:spacing w:after="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5E49D4DD">
      <w:pPr>
        <w:pStyle w:val="7"/>
        <w:outlineLvl w:val="2"/>
        <w:rPr>
          <w:rFonts w:hint="eastAsia" w:ascii="宋体" w:hAnsi="宋体" w:eastAsia="宋体" w:cs="宋体"/>
          <w:b/>
          <w:bCs/>
          <w:snapToGrid w:val="0"/>
          <w:color w:val="auto"/>
          <w:kern w:val="0"/>
          <w:sz w:val="24"/>
          <w:szCs w:val="24"/>
          <w:highlight w:val="none"/>
        </w:rPr>
      </w:pPr>
      <w:bookmarkStart w:id="65" w:name="_bookmark63"/>
      <w:bookmarkEnd w:id="65"/>
      <w:bookmarkStart w:id="66" w:name="_bookmark64"/>
      <w:bookmarkEnd w:id="66"/>
      <w:r>
        <w:rPr>
          <w:rFonts w:hint="eastAsia" w:ascii="宋体" w:hAnsi="宋体" w:eastAsia="宋体" w:cs="宋体"/>
          <w:b/>
          <w:bCs/>
          <w:snapToGrid w:val="0"/>
          <w:color w:val="auto"/>
          <w:kern w:val="0"/>
          <w:sz w:val="24"/>
          <w:szCs w:val="24"/>
          <w:highlight w:val="none"/>
        </w:rPr>
        <w:t>7.3中标通知</w:t>
      </w:r>
    </w:p>
    <w:p w14:paraId="4769F40D">
      <w:pPr>
        <w:pStyle w:val="7"/>
        <w:adjustRightInd w:val="0"/>
        <w:snapToGrid w:val="0"/>
        <w:spacing w:after="0" w:line="360" w:lineRule="auto"/>
        <w:ind w:firstLine="480" w:firstLineChars="20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7.3.1中标候选人公示期满，经招标人决标批准，</w:t>
      </w:r>
      <w:r>
        <w:rPr>
          <w:rFonts w:hint="eastAsia" w:ascii="宋体" w:hAnsi="宋体" w:eastAsia="宋体" w:cs="宋体"/>
          <w:b/>
          <w:snapToGrid w:val="0"/>
          <w:color w:val="auto"/>
          <w:kern w:val="0"/>
          <w:sz w:val="24"/>
          <w:szCs w:val="24"/>
          <w:highlight w:val="none"/>
        </w:rPr>
        <w:t>确定中标人</w:t>
      </w:r>
      <w:r>
        <w:rPr>
          <w:rFonts w:hint="eastAsia" w:ascii="宋体" w:hAnsi="宋体" w:eastAsia="宋体" w:cs="宋体"/>
          <w:snapToGrid w:val="0"/>
          <w:color w:val="auto"/>
          <w:kern w:val="0"/>
          <w:sz w:val="24"/>
          <w:szCs w:val="24"/>
          <w:highlight w:val="none"/>
        </w:rPr>
        <w:t>，在本章第4.10.1项规定的投标有效期内，招标人以书面形式向中标人发出中标通知书。</w:t>
      </w:r>
    </w:p>
    <w:p w14:paraId="02E07EEB">
      <w:pPr>
        <w:snapToGrid w:val="0"/>
        <w:spacing w:line="360" w:lineRule="auto"/>
        <w:jc w:val="center"/>
        <w:outlineLvl w:val="1"/>
        <w:rPr>
          <w:rFonts w:hint="eastAsia" w:ascii="宋体" w:hAnsi="宋体" w:eastAsia="宋体" w:cs="宋体"/>
          <w:bCs/>
          <w:snapToGrid w:val="0"/>
          <w:color w:val="auto"/>
          <w:kern w:val="0"/>
          <w:sz w:val="24"/>
          <w:highlight w:val="none"/>
        </w:rPr>
      </w:pPr>
      <w:bookmarkStart w:id="67" w:name="_bookmark66"/>
      <w:bookmarkEnd w:id="67"/>
      <w:bookmarkStart w:id="68" w:name="_Toc6008"/>
      <w:bookmarkStart w:id="69" w:name="_Toc24249"/>
      <w:bookmarkStart w:id="70" w:name="_Toc83886022"/>
      <w:r>
        <w:rPr>
          <w:rFonts w:hint="eastAsia" w:ascii="宋体" w:hAnsi="宋体" w:eastAsia="宋体" w:cs="宋体"/>
          <w:b/>
          <w:snapToGrid w:val="0"/>
          <w:color w:val="auto"/>
          <w:kern w:val="0"/>
          <w:sz w:val="24"/>
          <w:highlight w:val="none"/>
        </w:rPr>
        <w:t>8、合同的授予</w:t>
      </w:r>
      <w:bookmarkEnd w:id="68"/>
      <w:bookmarkEnd w:id="69"/>
      <w:bookmarkEnd w:id="70"/>
    </w:p>
    <w:p w14:paraId="6676A103">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8.1签订合同</w:t>
      </w:r>
    </w:p>
    <w:p w14:paraId="68BC1470">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2A329187">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02E5AB3A">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8.1.3联合体中标的，联合体各方应当共同与招标人签订合同，就中标项目向招标人承担连带责任。</w:t>
      </w:r>
      <w:r>
        <w:rPr>
          <w:rFonts w:hint="eastAsia" w:ascii="宋体" w:hAnsi="宋体" w:cs="宋体"/>
          <w:b/>
          <w:bCs/>
          <w:snapToGrid w:val="0"/>
          <w:color w:val="auto"/>
          <w:kern w:val="0"/>
          <w:sz w:val="24"/>
          <w:szCs w:val="24"/>
          <w:highlight w:val="none"/>
          <w:lang w:eastAsia="zh-CN"/>
        </w:rPr>
        <w:t>（</w:t>
      </w:r>
      <w:r>
        <w:rPr>
          <w:rFonts w:hint="eastAsia" w:ascii="宋体" w:hAnsi="宋体" w:cs="宋体"/>
          <w:b/>
          <w:bCs/>
          <w:snapToGrid w:val="0"/>
          <w:color w:val="auto"/>
          <w:kern w:val="0"/>
          <w:sz w:val="24"/>
          <w:szCs w:val="24"/>
          <w:highlight w:val="none"/>
          <w:lang w:val="en-US" w:eastAsia="zh-CN"/>
        </w:rPr>
        <w:t>本项目不适用</w:t>
      </w:r>
      <w:r>
        <w:rPr>
          <w:rFonts w:hint="eastAsia" w:ascii="宋体" w:hAnsi="宋体" w:cs="宋体"/>
          <w:b/>
          <w:bCs/>
          <w:snapToGrid w:val="0"/>
          <w:color w:val="auto"/>
          <w:kern w:val="0"/>
          <w:sz w:val="24"/>
          <w:szCs w:val="24"/>
          <w:highlight w:val="none"/>
          <w:lang w:eastAsia="zh-CN"/>
        </w:rPr>
        <w:t>）</w:t>
      </w:r>
    </w:p>
    <w:p w14:paraId="6B123215">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8.2履约保证金</w:t>
      </w:r>
    </w:p>
    <w:p w14:paraId="24853FE7">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14:paraId="0314C45E">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6832A22D">
      <w:pPr>
        <w:snapToGrid w:val="0"/>
        <w:spacing w:line="360" w:lineRule="auto"/>
        <w:jc w:val="center"/>
        <w:outlineLvl w:val="1"/>
        <w:rPr>
          <w:rFonts w:hint="eastAsia" w:ascii="宋体" w:hAnsi="宋体" w:eastAsia="宋体" w:cs="宋体"/>
          <w:b/>
          <w:snapToGrid w:val="0"/>
          <w:color w:val="auto"/>
          <w:kern w:val="0"/>
          <w:sz w:val="24"/>
          <w:highlight w:val="none"/>
        </w:rPr>
      </w:pPr>
      <w:bookmarkStart w:id="71" w:name="_Toc219809801"/>
      <w:bookmarkStart w:id="72" w:name="_Toc220123241"/>
      <w:bookmarkStart w:id="73" w:name="_Toc11806"/>
      <w:bookmarkStart w:id="74" w:name="_Toc83886023"/>
      <w:bookmarkStart w:id="75" w:name="_Toc12528"/>
      <w:bookmarkStart w:id="76" w:name="_Toc29352"/>
      <w:r>
        <w:rPr>
          <w:rFonts w:hint="eastAsia" w:ascii="宋体" w:hAnsi="宋体" w:eastAsia="宋体" w:cs="宋体"/>
          <w:b/>
          <w:snapToGrid w:val="0"/>
          <w:color w:val="auto"/>
          <w:kern w:val="0"/>
          <w:sz w:val="24"/>
          <w:highlight w:val="none"/>
        </w:rPr>
        <w:t>9、</w:t>
      </w:r>
      <w:bookmarkEnd w:id="71"/>
      <w:bookmarkEnd w:id="72"/>
      <w:bookmarkEnd w:id="73"/>
      <w:r>
        <w:rPr>
          <w:rFonts w:hint="eastAsia" w:ascii="宋体" w:hAnsi="宋体" w:eastAsia="宋体" w:cs="宋体"/>
          <w:b/>
          <w:snapToGrid w:val="0"/>
          <w:color w:val="auto"/>
          <w:kern w:val="0"/>
          <w:sz w:val="24"/>
          <w:highlight w:val="none"/>
        </w:rPr>
        <w:t>招标失败</w:t>
      </w:r>
      <w:bookmarkEnd w:id="74"/>
      <w:bookmarkEnd w:id="75"/>
      <w:bookmarkEnd w:id="76"/>
      <w:bookmarkStart w:id="77" w:name="_Toc15553"/>
      <w:bookmarkStart w:id="78" w:name="_Toc220123242"/>
      <w:bookmarkStart w:id="79" w:name="_Toc219809802"/>
    </w:p>
    <w:p w14:paraId="3CF024F8">
      <w:pPr>
        <w:snapToGrid w:val="0"/>
        <w:spacing w:line="360" w:lineRule="auto"/>
        <w:rPr>
          <w:rFonts w:hint="eastAsia" w:ascii="宋体" w:hAnsi="宋体" w:eastAsia="宋体" w:cs="宋体"/>
          <w:b/>
          <w:bCs/>
          <w:snapToGrid w:val="0"/>
          <w:color w:val="auto"/>
          <w:kern w:val="0"/>
          <w:sz w:val="24"/>
          <w:highlight w:val="none"/>
        </w:rPr>
      </w:pPr>
      <w:bookmarkStart w:id="80" w:name="_Toc21538"/>
      <w:r>
        <w:rPr>
          <w:rFonts w:hint="eastAsia" w:ascii="宋体" w:hAnsi="宋体" w:eastAsia="宋体" w:cs="宋体"/>
          <w:b/>
          <w:bCs/>
          <w:snapToGrid w:val="0"/>
          <w:color w:val="auto"/>
          <w:kern w:val="0"/>
          <w:sz w:val="24"/>
          <w:highlight w:val="none"/>
        </w:rPr>
        <w:t>9.1 招标</w:t>
      </w:r>
      <w:bookmarkEnd w:id="77"/>
      <w:bookmarkEnd w:id="78"/>
      <w:bookmarkEnd w:id="79"/>
      <w:r>
        <w:rPr>
          <w:rFonts w:hint="eastAsia" w:ascii="宋体" w:hAnsi="宋体" w:eastAsia="宋体" w:cs="宋体"/>
          <w:b/>
          <w:bCs/>
          <w:snapToGrid w:val="0"/>
          <w:color w:val="auto"/>
          <w:kern w:val="0"/>
          <w:sz w:val="24"/>
          <w:highlight w:val="none"/>
        </w:rPr>
        <w:t>失败</w:t>
      </w:r>
      <w:bookmarkEnd w:id="80"/>
    </w:p>
    <w:p w14:paraId="0D4248B1">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9.1.1有下列情形之一的，本次项目招标失败：</w:t>
      </w:r>
    </w:p>
    <w:p w14:paraId="13273948">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（1）招标文件的内容不符合法律法规的规定或存在重大缺陷影响潜在投标人投标的；</w:t>
      </w:r>
    </w:p>
    <w:p w14:paraId="7EDE731A">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（2）至投标截止时间，投标人数不足3家的；</w:t>
      </w:r>
    </w:p>
    <w:p w14:paraId="32A5C768">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（3）经评标委员会评审后否决所有投标的；</w:t>
      </w:r>
    </w:p>
    <w:p w14:paraId="27126393">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（4）经评标委员会详细评审后，有效标书不足3家的；</w:t>
      </w:r>
    </w:p>
    <w:p w14:paraId="06FABFF6">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（5）中标候选人放弃中标或不符合中标条件，招标人未选择其余中标候选人的。</w:t>
      </w:r>
    </w:p>
    <w:bookmarkEnd w:id="63"/>
    <w:p w14:paraId="1358E090">
      <w:pPr>
        <w:snapToGrid w:val="0"/>
        <w:spacing w:line="360" w:lineRule="auto"/>
        <w:jc w:val="center"/>
        <w:outlineLvl w:val="1"/>
        <w:rPr>
          <w:rFonts w:hint="eastAsia" w:ascii="宋体" w:hAnsi="宋体" w:eastAsia="宋体" w:cs="宋体"/>
          <w:b/>
          <w:snapToGrid w:val="0"/>
          <w:color w:val="auto"/>
          <w:kern w:val="0"/>
          <w:sz w:val="24"/>
          <w:highlight w:val="none"/>
        </w:rPr>
      </w:pPr>
      <w:bookmarkStart w:id="81" w:name="_bookmark62"/>
      <w:bookmarkEnd w:id="81"/>
      <w:bookmarkStart w:id="82" w:name="_bookmark65"/>
      <w:bookmarkEnd w:id="82"/>
      <w:bookmarkStart w:id="83" w:name="_Toc215941254"/>
      <w:bookmarkStart w:id="84" w:name="_Toc2986"/>
      <w:bookmarkStart w:id="85" w:name="_Toc220123244"/>
      <w:bookmarkStart w:id="86" w:name="_Toc219809804"/>
      <w:bookmarkStart w:id="87" w:name="_Toc83886024"/>
      <w:bookmarkStart w:id="88" w:name="_Toc3631"/>
      <w:bookmarkStart w:id="89" w:name="_Toc31190"/>
      <w:r>
        <w:rPr>
          <w:rFonts w:hint="eastAsia" w:ascii="宋体" w:hAnsi="宋体" w:eastAsia="宋体" w:cs="宋体"/>
          <w:b/>
          <w:snapToGrid w:val="0"/>
          <w:color w:val="auto"/>
          <w:kern w:val="0"/>
          <w:sz w:val="24"/>
          <w:highlight w:val="none"/>
        </w:rPr>
        <w:t>10、异议、投</w:t>
      </w:r>
      <w:bookmarkEnd w:id="83"/>
      <w:bookmarkEnd w:id="84"/>
      <w:bookmarkEnd w:id="85"/>
      <w:bookmarkEnd w:id="86"/>
      <w:r>
        <w:rPr>
          <w:rFonts w:hint="eastAsia" w:ascii="宋体" w:hAnsi="宋体" w:eastAsia="宋体" w:cs="宋体"/>
          <w:b/>
          <w:snapToGrid w:val="0"/>
          <w:color w:val="auto"/>
          <w:kern w:val="0"/>
          <w:sz w:val="24"/>
          <w:highlight w:val="none"/>
        </w:rPr>
        <w:t>诉、监督</w:t>
      </w:r>
      <w:bookmarkEnd w:id="87"/>
      <w:bookmarkEnd w:id="88"/>
      <w:bookmarkEnd w:id="89"/>
    </w:p>
    <w:p w14:paraId="09573B72">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10.1异议</w:t>
      </w:r>
    </w:p>
    <w:p w14:paraId="32D03040">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1306B372">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10.1.2投标人对开标有异议的，应当在开标会议结束前提出，招标人当场作出答复，并制作记录。</w:t>
      </w:r>
    </w:p>
    <w:p w14:paraId="0725A586">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3D2CF6E3">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10.1.4异议书须包括以下内容（加盖单位公章）：</w:t>
      </w:r>
    </w:p>
    <w:p w14:paraId="32AF5620">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异议人的名称、地址、邮政编码、联系人、联系电话，以及被异议人名称及联系方式；</w:t>
      </w:r>
    </w:p>
    <w:p w14:paraId="4A643042">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被异议采购项目名称、编号及采购内容；</w:t>
      </w:r>
    </w:p>
    <w:p w14:paraId="0593F38C">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具体的异议事项及事实依据；</w:t>
      </w:r>
    </w:p>
    <w:p w14:paraId="2DB0693F">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认为自己合法权益受到损害或可能受到损害的相关证据材料；</w:t>
      </w:r>
    </w:p>
    <w:p w14:paraId="797DEBF4">
      <w:pPr>
        <w:pStyle w:val="46"/>
        <w:numPr>
          <w:ilvl w:val="0"/>
          <w:numId w:val="2"/>
        </w:numPr>
        <w:spacing w:line="360" w:lineRule="auto"/>
        <w:ind w:firstLineChars="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提出异议的日期。</w:t>
      </w:r>
    </w:p>
    <w:p w14:paraId="26AE0D32">
      <w:pPr>
        <w:pStyle w:val="46"/>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63F78C41">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10.2投诉</w:t>
      </w:r>
    </w:p>
    <w:p w14:paraId="6B1C70A8">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0E072E61">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29D04665">
      <w:pPr>
        <w:pStyle w:val="7"/>
        <w:adjustRightInd w:val="0"/>
        <w:snapToGrid w:val="0"/>
        <w:spacing w:after="0"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10.2.3因有异议，招标人具有最终解释权，并对由此而引起的对投标人的影响不承担责任，也不解释原因。</w:t>
      </w:r>
    </w:p>
    <w:p w14:paraId="69F28C0F">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10.3纪律和监督</w:t>
      </w:r>
    </w:p>
    <w:p w14:paraId="0F05BE69">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49515B13">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90" w:name="_bookmark69"/>
      <w:bookmarkEnd w:id="90"/>
      <w:r>
        <w:rPr>
          <w:rFonts w:hint="eastAsia" w:ascii="宋体" w:hAnsi="宋体" w:eastAsia="宋体" w:cs="宋体"/>
          <w:snapToGrid w:val="0"/>
          <w:color w:val="auto"/>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14:paraId="37D51013">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4B1BC50A">
      <w:pPr>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92" w:name="_bookmark71"/>
      <w:bookmarkEnd w:id="92"/>
      <w:r>
        <w:rPr>
          <w:rFonts w:hint="eastAsia" w:ascii="宋体" w:hAnsi="宋体" w:eastAsia="宋体" w:cs="宋体"/>
          <w:snapToGrid w:val="0"/>
          <w:color w:val="auto"/>
          <w:ker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C39E97A">
      <w:pPr>
        <w:snapToGrid w:val="0"/>
        <w:spacing w:line="360" w:lineRule="auto"/>
        <w:jc w:val="center"/>
        <w:outlineLvl w:val="1"/>
        <w:rPr>
          <w:rFonts w:hint="eastAsia" w:ascii="宋体" w:hAnsi="宋体" w:eastAsia="宋体" w:cs="宋体"/>
          <w:b/>
          <w:snapToGrid w:val="0"/>
          <w:color w:val="auto"/>
          <w:kern w:val="0"/>
          <w:sz w:val="24"/>
          <w:highlight w:val="none"/>
        </w:rPr>
      </w:pPr>
      <w:bookmarkStart w:id="93" w:name="_bookmark72"/>
      <w:bookmarkEnd w:id="93"/>
      <w:bookmarkStart w:id="94" w:name="_bookmark73"/>
      <w:bookmarkEnd w:id="94"/>
      <w:bookmarkStart w:id="95" w:name="_bookmark74"/>
      <w:bookmarkEnd w:id="95"/>
      <w:bookmarkStart w:id="96" w:name="_Toc2191"/>
      <w:bookmarkStart w:id="97" w:name="_Toc83886025"/>
      <w:bookmarkStart w:id="98" w:name="_Toc24016"/>
      <w:r>
        <w:rPr>
          <w:rFonts w:hint="eastAsia" w:ascii="宋体" w:hAnsi="宋体" w:eastAsia="宋体" w:cs="宋体"/>
          <w:b/>
          <w:snapToGrid w:val="0"/>
          <w:color w:val="auto"/>
          <w:kern w:val="0"/>
          <w:sz w:val="24"/>
          <w:highlight w:val="none"/>
        </w:rPr>
        <w:t>11、需要补充的其他内容</w:t>
      </w:r>
      <w:bookmarkEnd w:id="96"/>
      <w:bookmarkEnd w:id="97"/>
      <w:bookmarkEnd w:id="98"/>
    </w:p>
    <w:p w14:paraId="2FBC469D">
      <w:pPr>
        <w:keepNext/>
        <w:keepLines/>
        <w:adjustRightInd w:val="0"/>
        <w:snapToGrid w:val="0"/>
        <w:spacing w:line="360" w:lineRule="auto"/>
        <w:jc w:val="left"/>
        <w:outlineLvl w:val="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11.1需要补充的其他内容</w:t>
      </w:r>
    </w:p>
    <w:p w14:paraId="250CD4E5">
      <w:pPr>
        <w:adjustRightInd w:val="0"/>
        <w:snapToGrid w:val="0"/>
        <w:spacing w:line="360" w:lineRule="auto"/>
        <w:jc w:val="both"/>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11.1.1需要补充的其他内容：见投标人须知前附表。</w:t>
      </w:r>
    </w:p>
    <w:p w14:paraId="5B3979A4">
      <w:pPr>
        <w:adjustRightInd w:val="0"/>
        <w:snapToGrid w:val="0"/>
        <w:spacing w:line="360" w:lineRule="auto"/>
        <w:ind w:firstLine="643" w:firstLineChars="200"/>
        <w:jc w:val="center"/>
        <w:outlineLvl w:val="0"/>
        <w:rPr>
          <w:rFonts w:hint="eastAsia" w:ascii="宋体" w:hAnsi="宋体" w:eastAsia="宋体" w:cs="宋体"/>
          <w:bCs/>
          <w:color w:val="auto"/>
          <w:highlight w:val="none"/>
        </w:rPr>
      </w:pPr>
      <w:bookmarkStart w:id="99" w:name="_Toc31617"/>
      <w:bookmarkStart w:id="100" w:name="_Toc26634"/>
      <w:r>
        <w:rPr>
          <w:rFonts w:hint="eastAsia" w:ascii="宋体" w:hAnsi="宋体" w:eastAsia="宋体" w:cs="宋体"/>
          <w:b/>
          <w:bCs w:val="0"/>
          <w:color w:val="auto"/>
          <w:highlight w:val="none"/>
        </w:rPr>
        <w:t>第三章  用户需求</w:t>
      </w:r>
      <w:bookmarkEnd w:id="99"/>
      <w:r>
        <w:rPr>
          <w:rFonts w:hint="eastAsia" w:ascii="宋体" w:hAnsi="宋体" w:eastAsia="宋体" w:cs="宋体"/>
          <w:b/>
          <w:bCs w:val="0"/>
          <w:color w:val="auto"/>
          <w:highlight w:val="none"/>
        </w:rPr>
        <w:t>及技术要求</w:t>
      </w:r>
      <w:bookmarkEnd w:id="100"/>
    </w:p>
    <w:p w14:paraId="3C4D0284">
      <w:pPr>
        <w:numPr>
          <w:ilvl w:val="0"/>
          <w:numId w:val="3"/>
        </w:numPr>
        <w:wordWrap w:val="0"/>
        <w:spacing w:line="360" w:lineRule="auto"/>
        <w:ind w:firstLine="482" w:firstLineChars="200"/>
        <w:outlineLvl w:val="1"/>
        <w:rPr>
          <w:rFonts w:ascii="宋体" w:hAnsi="宋体" w:eastAsia="宋体" w:cs="宋体"/>
          <w:sz w:val="24"/>
          <w:highlight w:val="none"/>
        </w:rPr>
      </w:pPr>
      <w:bookmarkStart w:id="101" w:name="_Toc32087"/>
      <w:r>
        <w:rPr>
          <w:rFonts w:hint="eastAsia" w:ascii="宋体" w:hAnsi="宋体" w:eastAsia="宋体" w:cs="宋体"/>
          <w:b/>
          <w:bCs/>
          <w:sz w:val="24"/>
          <w:highlight w:val="none"/>
        </w:rPr>
        <w:t>项目概况</w:t>
      </w:r>
      <w:bookmarkEnd w:id="101"/>
    </w:p>
    <w:p w14:paraId="512A71EA">
      <w:pPr>
        <w:tabs>
          <w:tab w:val="left" w:pos="360"/>
          <w:tab w:val="left" w:pos="540"/>
          <w:tab w:val="left" w:pos="1080"/>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杭州临江环境能源有限公司三固事业部因生产运营需要，现需采购M32.5R水泥</w:t>
      </w:r>
      <w:r>
        <w:rPr>
          <w:rFonts w:hint="eastAsia" w:ascii="宋体" w:hAnsi="宋体" w:eastAsia="宋体" w:cs="宋体"/>
          <w:sz w:val="24"/>
          <w:highlight w:val="none"/>
          <w:lang w:val="en-US" w:eastAsia="zh-CN"/>
        </w:rPr>
        <w:t>4900</w:t>
      </w:r>
      <w:r>
        <w:rPr>
          <w:rFonts w:hint="eastAsia" w:ascii="宋体" w:hAnsi="宋体" w:eastAsia="宋体" w:cs="宋体"/>
          <w:sz w:val="24"/>
          <w:highlight w:val="none"/>
        </w:rPr>
        <w:t>吨，其中散装水泥</w:t>
      </w:r>
      <w:r>
        <w:rPr>
          <w:rFonts w:hint="eastAsia" w:ascii="宋体" w:hAnsi="宋体" w:eastAsia="宋体" w:cs="宋体"/>
          <w:sz w:val="24"/>
          <w:highlight w:val="none"/>
          <w:lang w:val="en-US" w:eastAsia="zh-CN"/>
        </w:rPr>
        <w:t>4100</w:t>
      </w:r>
      <w:r>
        <w:rPr>
          <w:rFonts w:hint="eastAsia" w:ascii="宋体" w:hAnsi="宋体" w:eastAsia="宋体" w:cs="宋体"/>
          <w:sz w:val="24"/>
          <w:highlight w:val="none"/>
        </w:rPr>
        <w:t>吨、袋装</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00吨。</w:t>
      </w:r>
      <w:r>
        <w:rPr>
          <w:rFonts w:hint="eastAsia" w:ascii="宋体" w:hAnsi="宋体" w:eastAsia="宋体" w:cs="宋体"/>
          <w:sz w:val="24"/>
          <w:highlight w:val="none"/>
          <w:lang w:val="en-US" w:eastAsia="zh-CN"/>
        </w:rPr>
        <w:t>按需供货按实结算。</w:t>
      </w:r>
    </w:p>
    <w:p w14:paraId="7B3B64A6">
      <w:pPr>
        <w:wordWrap w:val="0"/>
        <w:spacing w:line="360" w:lineRule="auto"/>
        <w:ind w:firstLine="240" w:firstLineChars="100"/>
        <w:outlineLvl w:val="1"/>
        <w:rPr>
          <w:rFonts w:ascii="宋体" w:hAnsi="宋体" w:eastAsia="宋体" w:cs="宋体"/>
          <w:b/>
          <w:bCs/>
          <w:sz w:val="24"/>
          <w:highlight w:val="none"/>
        </w:rPr>
      </w:pPr>
      <w:bookmarkStart w:id="102" w:name="_Toc24101"/>
      <w:r>
        <w:rPr>
          <w:rFonts w:hint="eastAsia" w:ascii="宋体" w:hAnsi="宋体" w:eastAsia="宋体" w:cs="宋体"/>
          <w:sz w:val="24"/>
          <w:highlight w:val="none"/>
        </w:rPr>
        <w:t>▲二、</w:t>
      </w:r>
      <w:r>
        <w:rPr>
          <w:rFonts w:hint="eastAsia" w:ascii="宋体" w:hAnsi="宋体" w:eastAsia="宋体" w:cs="宋体"/>
          <w:b/>
          <w:bCs/>
          <w:sz w:val="24"/>
          <w:highlight w:val="none"/>
        </w:rPr>
        <w:t>采购范围及内容</w:t>
      </w:r>
      <w:r>
        <w:rPr>
          <w:rFonts w:hint="eastAsia" w:ascii="宋体" w:hAnsi="宋体" w:eastAsia="宋体" w:cs="宋体"/>
          <w:b/>
          <w:kern w:val="0"/>
          <w:sz w:val="24"/>
          <w:highlight w:val="none"/>
          <w:lang w:bidi="ar"/>
        </w:rPr>
        <w:t>：</w:t>
      </w:r>
      <w:bookmarkEnd w:id="102"/>
    </w:p>
    <w:tbl>
      <w:tblPr>
        <w:tblStyle w:val="24"/>
        <w:tblW w:w="504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319"/>
        <w:gridCol w:w="1864"/>
        <w:gridCol w:w="2600"/>
        <w:gridCol w:w="994"/>
        <w:gridCol w:w="3354"/>
      </w:tblGrid>
      <w:tr w14:paraId="16E9C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jc w:val="center"/>
        </w:trPr>
        <w:tc>
          <w:tcPr>
            <w:tcW w:w="651" w:type="pct"/>
            <w:vAlign w:val="center"/>
          </w:tcPr>
          <w:p w14:paraId="31B29A19">
            <w:pPr>
              <w:widowControl/>
              <w:jc w:val="center"/>
              <w:textAlignment w:val="center"/>
              <w:rPr>
                <w:rFonts w:hint="eastAsia" w:ascii="宋体" w:hAnsi="宋体" w:eastAsia="宋体" w:cs="宋体"/>
                <w:b w:val="0"/>
                <w:bCs w:val="0"/>
                <w:color w:val="auto"/>
                <w:kern w:val="0"/>
                <w:sz w:val="24"/>
                <w:szCs w:val="24"/>
                <w:highlight w:val="none"/>
                <w:lang w:bidi="ar"/>
              </w:rPr>
            </w:pPr>
            <w:bookmarkStart w:id="103" w:name="_Toc509228383"/>
            <w:bookmarkStart w:id="104" w:name="_Toc509229846"/>
            <w:r>
              <w:rPr>
                <w:rFonts w:hint="eastAsia" w:ascii="宋体" w:hAnsi="宋体" w:eastAsia="宋体" w:cs="宋体"/>
                <w:b w:val="0"/>
                <w:bCs w:val="0"/>
                <w:color w:val="auto"/>
                <w:kern w:val="0"/>
                <w:sz w:val="24"/>
                <w:szCs w:val="24"/>
                <w:highlight w:val="none"/>
                <w:lang w:bidi="ar"/>
              </w:rPr>
              <w:t>产品名称</w:t>
            </w:r>
            <w:bookmarkEnd w:id="103"/>
            <w:bookmarkEnd w:id="104"/>
          </w:p>
        </w:tc>
        <w:tc>
          <w:tcPr>
            <w:tcW w:w="919" w:type="pct"/>
            <w:vAlign w:val="center"/>
          </w:tcPr>
          <w:p w14:paraId="2BCE75A5">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计划采购数量</w:t>
            </w:r>
          </w:p>
        </w:tc>
        <w:tc>
          <w:tcPr>
            <w:tcW w:w="1282" w:type="pct"/>
            <w:vAlign w:val="center"/>
          </w:tcPr>
          <w:p w14:paraId="2A83F623">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技术要求</w:t>
            </w:r>
          </w:p>
        </w:tc>
        <w:tc>
          <w:tcPr>
            <w:tcW w:w="490" w:type="pct"/>
            <w:vAlign w:val="center"/>
          </w:tcPr>
          <w:p w14:paraId="23866339">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供货期</w:t>
            </w:r>
          </w:p>
        </w:tc>
        <w:tc>
          <w:tcPr>
            <w:tcW w:w="1654" w:type="pct"/>
            <w:vAlign w:val="center"/>
          </w:tcPr>
          <w:p w14:paraId="7599589F">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最高限价</w:t>
            </w:r>
          </w:p>
        </w:tc>
      </w:tr>
      <w:tr w14:paraId="4C0E3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87" w:hRule="atLeast"/>
          <w:jc w:val="center"/>
        </w:trPr>
        <w:tc>
          <w:tcPr>
            <w:tcW w:w="651" w:type="pct"/>
            <w:vAlign w:val="center"/>
          </w:tcPr>
          <w:p w14:paraId="208DA823">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散装水泥M32.5R</w:t>
            </w:r>
          </w:p>
        </w:tc>
        <w:tc>
          <w:tcPr>
            <w:tcW w:w="919" w:type="pct"/>
            <w:vAlign w:val="center"/>
          </w:tcPr>
          <w:p w14:paraId="75780D4B">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41</w:t>
            </w:r>
            <w:r>
              <w:rPr>
                <w:rFonts w:hint="eastAsia" w:ascii="宋体" w:hAnsi="宋体" w:eastAsia="宋体" w:cs="宋体"/>
                <w:b w:val="0"/>
                <w:bCs w:val="0"/>
                <w:color w:val="auto"/>
                <w:kern w:val="0"/>
                <w:sz w:val="24"/>
                <w:szCs w:val="24"/>
                <w:highlight w:val="none"/>
                <w:lang w:bidi="ar"/>
              </w:rPr>
              <w:t>00吨</w:t>
            </w:r>
          </w:p>
        </w:tc>
        <w:tc>
          <w:tcPr>
            <w:tcW w:w="1282" w:type="pct"/>
            <w:vAlign w:val="center"/>
          </w:tcPr>
          <w:p w14:paraId="19A2FA7F">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满足GB/T3183-2017砌筑水泥标准</w:t>
            </w:r>
          </w:p>
        </w:tc>
        <w:tc>
          <w:tcPr>
            <w:tcW w:w="490" w:type="pct"/>
            <w:vMerge w:val="restart"/>
            <w:vAlign w:val="center"/>
          </w:tcPr>
          <w:p w14:paraId="1C70A48B">
            <w:pPr>
              <w:pStyle w:val="9"/>
              <w:spacing w:line="360" w:lineRule="auto"/>
              <w:ind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年</w:t>
            </w:r>
          </w:p>
        </w:tc>
        <w:tc>
          <w:tcPr>
            <w:tcW w:w="1654" w:type="pct"/>
            <w:vMerge w:val="restart"/>
            <w:vAlign w:val="center"/>
          </w:tcPr>
          <w:p w14:paraId="28652A23">
            <w:pPr>
              <w:pStyle w:val="9"/>
              <w:spacing w:line="360" w:lineRule="auto"/>
              <w:ind w:firstLine="0" w:firstLineChars="0"/>
              <w:jc w:val="center"/>
              <w:rPr>
                <w:rFonts w:hint="default" w:ascii="宋体" w:hAnsi="宋体" w:eastAsia="宋体" w:cs="宋体"/>
                <w:b w:val="0"/>
                <w:bCs w:val="0"/>
                <w:color w:val="auto"/>
                <w:kern w:val="0"/>
                <w:sz w:val="24"/>
                <w:szCs w:val="24"/>
                <w:highlight w:val="none"/>
                <w:lang w:val="en-US" w:eastAsia="zh-CN" w:bidi="ar"/>
              </w:rPr>
            </w:pPr>
            <w:r>
              <w:rPr>
                <w:rFonts w:hint="eastAsia" w:cs="宋体"/>
                <w:b w:val="0"/>
                <w:bCs w:val="0"/>
                <w:color w:val="auto"/>
                <w:kern w:val="0"/>
                <w:sz w:val="24"/>
                <w:szCs w:val="24"/>
                <w:highlight w:val="none"/>
                <w:lang w:val="en-US" w:eastAsia="zh-CN" w:bidi="ar"/>
              </w:rPr>
              <w:t>以6月份信息价为基准价，M32.5R散装信息价320元/吨，下浮率不低于3%；M32.5R袋装信息价360元/吨，M32.5R散装信息价下浮率不低于10%，，限额146万元，含货款、运费、卸货等所有费用。</w:t>
            </w:r>
          </w:p>
        </w:tc>
      </w:tr>
      <w:tr w14:paraId="25F0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89" w:hRule="atLeast"/>
          <w:jc w:val="center"/>
        </w:trPr>
        <w:tc>
          <w:tcPr>
            <w:tcW w:w="651" w:type="pct"/>
            <w:vAlign w:val="center"/>
          </w:tcPr>
          <w:p w14:paraId="58A185B6">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袋装水泥M32.5R</w:t>
            </w:r>
          </w:p>
        </w:tc>
        <w:tc>
          <w:tcPr>
            <w:tcW w:w="919" w:type="pct"/>
            <w:vAlign w:val="center"/>
          </w:tcPr>
          <w:p w14:paraId="479385C9">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8</w:t>
            </w:r>
            <w:r>
              <w:rPr>
                <w:rFonts w:hint="eastAsia" w:ascii="宋体" w:hAnsi="宋体" w:eastAsia="宋体" w:cs="宋体"/>
                <w:b w:val="0"/>
                <w:bCs w:val="0"/>
                <w:color w:val="auto"/>
                <w:kern w:val="0"/>
                <w:sz w:val="24"/>
                <w:szCs w:val="24"/>
                <w:highlight w:val="none"/>
                <w:lang w:bidi="ar"/>
              </w:rPr>
              <w:t>00吨</w:t>
            </w:r>
          </w:p>
        </w:tc>
        <w:tc>
          <w:tcPr>
            <w:tcW w:w="1282" w:type="pct"/>
            <w:vAlign w:val="center"/>
          </w:tcPr>
          <w:p w14:paraId="018054BA">
            <w:pPr>
              <w:widowControl/>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满足GB/T3183-2017砌筑水泥标准</w:t>
            </w:r>
          </w:p>
        </w:tc>
        <w:tc>
          <w:tcPr>
            <w:tcW w:w="490" w:type="pct"/>
            <w:vMerge w:val="continue"/>
            <w:vAlign w:val="center"/>
          </w:tcPr>
          <w:p w14:paraId="333F1BD8">
            <w:pPr>
              <w:pStyle w:val="9"/>
              <w:spacing w:line="360" w:lineRule="auto"/>
              <w:jc w:val="center"/>
              <w:rPr>
                <w:rFonts w:asciiTheme="minorEastAsia" w:hAnsiTheme="minorEastAsia" w:eastAsiaTheme="minorEastAsia" w:cstheme="minorEastAsia"/>
                <w:sz w:val="24"/>
                <w:szCs w:val="24"/>
                <w:highlight w:val="none"/>
              </w:rPr>
            </w:pPr>
          </w:p>
        </w:tc>
        <w:tc>
          <w:tcPr>
            <w:tcW w:w="1654" w:type="pct"/>
            <w:vMerge w:val="continue"/>
            <w:vAlign w:val="center"/>
          </w:tcPr>
          <w:p w14:paraId="171BF0C2">
            <w:pPr>
              <w:pStyle w:val="9"/>
              <w:spacing w:line="360" w:lineRule="auto"/>
              <w:jc w:val="center"/>
              <w:rPr>
                <w:rFonts w:asciiTheme="minorEastAsia" w:hAnsiTheme="minorEastAsia" w:eastAsiaTheme="minorEastAsia" w:cstheme="minorEastAsia"/>
                <w:sz w:val="24"/>
                <w:szCs w:val="24"/>
                <w:highlight w:val="none"/>
              </w:rPr>
            </w:pPr>
          </w:p>
        </w:tc>
      </w:tr>
    </w:tbl>
    <w:p w14:paraId="3908B74C">
      <w:pPr>
        <w:wordWrap w:val="0"/>
        <w:spacing w:line="360" w:lineRule="auto"/>
        <w:ind w:firstLine="480" w:firstLineChars="200"/>
        <w:outlineLvl w:val="9"/>
        <w:rPr>
          <w:rFonts w:hint="eastAsia" w:ascii="宋体" w:hAnsi="宋体" w:eastAsia="宋体" w:cs="宋体"/>
          <w:sz w:val="24"/>
          <w:highlight w:val="none"/>
        </w:rPr>
      </w:pPr>
    </w:p>
    <w:p w14:paraId="0E071D2A">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注：供货期内，水泥单价=交货日所在月份杭州建设工程信息价杭州市市区水泥M32.5R信息价(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元/吨)*（1-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%下浮率）。例如：在202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月份</w:t>
      </w:r>
      <w:r>
        <w:rPr>
          <w:rFonts w:hint="eastAsia" w:ascii="宋体" w:hAnsi="宋体" w:eastAsia="宋体" w:cs="宋体"/>
          <w:sz w:val="24"/>
          <w:szCs w:val="24"/>
          <w:highlight w:val="none"/>
          <w:lang w:val="en-US" w:eastAsia="zh-CN"/>
        </w:rPr>
        <w:t>交</w:t>
      </w:r>
      <w:r>
        <w:rPr>
          <w:rFonts w:hint="eastAsia" w:ascii="宋体" w:hAnsi="宋体" w:eastAsia="宋体" w:cs="宋体"/>
          <w:sz w:val="24"/>
          <w:szCs w:val="24"/>
          <w:highlight w:val="none"/>
        </w:rPr>
        <w:t>货，202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月份杭州建设工程信息价杭州市市区散装水泥M32.5R信息价3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0元/吨（网址：https://jgxx.cxjw.hangzhou.gov.cn:88/search/#/home），则综合单价=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32</w:t>
      </w:r>
      <w:r>
        <w:rPr>
          <w:rFonts w:hint="eastAsia" w:ascii="宋体" w:hAnsi="宋体" w:eastAsia="宋体" w:cs="宋体"/>
          <w:sz w:val="24"/>
          <w:szCs w:val="24"/>
          <w:highlight w:val="none"/>
          <w:u w:val="single"/>
        </w:rPr>
        <w:t xml:space="preserve">0 </w:t>
      </w:r>
      <w:r>
        <w:rPr>
          <w:rFonts w:hint="eastAsia" w:ascii="宋体" w:hAnsi="宋体" w:eastAsia="宋体" w:cs="宋体"/>
          <w:sz w:val="24"/>
          <w:szCs w:val="24"/>
          <w:highlight w:val="none"/>
        </w:rPr>
        <w:t xml:space="preserve">元/吨*（1-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%下浮率）。</w:t>
      </w:r>
    </w:p>
    <w:p w14:paraId="1D2E401C">
      <w:pPr>
        <w:wordWrap w:val="0"/>
        <w:adjustRightInd w:val="0"/>
        <w:snapToGrid w:val="0"/>
        <w:spacing w:line="360" w:lineRule="auto"/>
        <w:ind w:firstLine="480" w:firstLineChars="200"/>
        <w:outlineLvl w:val="1"/>
        <w:rPr>
          <w:rFonts w:ascii="宋体" w:hAnsi="宋体" w:eastAsia="宋体" w:cs="宋体"/>
          <w:b/>
          <w:bCs/>
          <w:sz w:val="24"/>
          <w:highlight w:val="none"/>
        </w:rPr>
      </w:pPr>
      <w:bookmarkStart w:id="105" w:name="_Toc26060"/>
      <w:r>
        <w:rPr>
          <w:rFonts w:hint="eastAsia" w:ascii="宋体" w:hAnsi="宋体" w:eastAsia="宋体" w:cs="宋体"/>
          <w:sz w:val="24"/>
          <w:highlight w:val="none"/>
        </w:rPr>
        <w:t>▲</w:t>
      </w: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服务</w:t>
      </w:r>
      <w:r>
        <w:rPr>
          <w:rFonts w:hint="eastAsia" w:ascii="宋体" w:hAnsi="宋体" w:eastAsia="宋体" w:cs="宋体"/>
          <w:b/>
          <w:bCs/>
          <w:sz w:val="24"/>
          <w:highlight w:val="none"/>
        </w:rPr>
        <w:t>要求</w:t>
      </w:r>
      <w:bookmarkEnd w:id="105"/>
    </w:p>
    <w:p w14:paraId="2DABEC41">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招标人生产计划，确定送货数量要求，分批次供货，中标人负责在接到招标人电话或书面通知后在3日内完成供货。中标人负责卸货，人工费由中标人承担，招标人可免费提供叉车服务。散装水泥由罐车送货入招标人的水泥罐，每次约40-45吨/车；袋装水泥每次约20吨/车，由中标人负责卸货堆码。</w:t>
      </w:r>
    </w:p>
    <w:p w14:paraId="25761E9C">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2.运输车辆外观整洁；运输过程中，严禁抛洒滴漏，如发生抛洒滴漏状况，中标人必须立即清理干净；运输及装卸货品全过程安全责任由中标人自行承担。产品必须完整安全按时到达交货地点。</w:t>
      </w:r>
    </w:p>
    <w:p w14:paraId="7B2BBA28">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3.中标人需要遵守的流程：有序排队进园区、有序停放、安全装货、安全运输、安全卸货。</w:t>
      </w:r>
    </w:p>
    <w:p w14:paraId="61DD4CF7">
      <w:pPr>
        <w:tabs>
          <w:tab w:val="left" w:pos="1680"/>
        </w:tabs>
        <w:wordWrap w:val="0"/>
        <w:adjustRightInd w:val="0"/>
        <w:snapToGrid w:val="0"/>
        <w:spacing w:line="360" w:lineRule="auto"/>
        <w:ind w:firstLine="480" w:firstLineChars="200"/>
        <w:outlineLvl w:val="1"/>
        <w:rPr>
          <w:rFonts w:ascii="宋体" w:hAnsi="宋体" w:eastAsia="宋体" w:cs="宋体"/>
          <w:b/>
          <w:sz w:val="24"/>
          <w:highlight w:val="none"/>
        </w:rPr>
      </w:pPr>
      <w:bookmarkStart w:id="106" w:name="_Toc27670"/>
      <w:r>
        <w:rPr>
          <w:rFonts w:hint="eastAsia" w:ascii="宋体" w:hAnsi="宋体" w:eastAsia="宋体" w:cs="宋体"/>
          <w:sz w:val="24"/>
          <w:highlight w:val="none"/>
        </w:rPr>
        <w:t>▲</w:t>
      </w: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、检验、验收标准</w:t>
      </w:r>
      <w:bookmarkEnd w:id="106"/>
    </w:p>
    <w:p w14:paraId="1E52302D">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交付前，中标人应对货物的质量、数量等方面进行详细、全面的检验，并向招标人出具证明货物符合合同约定的文件；完成交付时，招标人在3个工作日内组织验收，验收应出具验收报告。若招标人认为有必要可邀请相关方参加。</w:t>
      </w:r>
    </w:p>
    <w:p w14:paraId="442F3556">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2.证明货物符合合同约定的文件是指包括但不限于合格证、检测报告（制造厂家或者第三方机构）、质量承诺（格式自拟）等证明材料。</w:t>
      </w:r>
    </w:p>
    <w:p w14:paraId="020CC840">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3.中标人要保证货物质量符合国家标准或者行业标准要求，对不符合要求的货物，中标人无条件予以调换。</w:t>
      </w:r>
    </w:p>
    <w:p w14:paraId="375C8297">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提供这批次货物出厂检验合格报告或合格证和送货单，配合招标人做好货物的到货数量验收工作，将货物运达招标人指定交货地点后及时书面通知招标人,双方指定人员现场确认送货数量并由双方签字确认。</w:t>
      </w:r>
    </w:p>
    <w:p w14:paraId="39EFCEBA">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5.中标人要保证水泥的质量，以水泥生产厂家出厂检测报告或合格证为验收依据。若在使用过程中发生质量问题，经第三方检测确定为产品质量问题，该批次</w:t>
      </w:r>
      <w:r>
        <w:rPr>
          <w:rFonts w:hint="eastAsia" w:ascii="宋体" w:hAnsi="宋体" w:eastAsia="宋体" w:cs="宋体"/>
          <w:b/>
          <w:bCs/>
          <w:color w:val="auto"/>
          <w:sz w:val="24"/>
          <w:szCs w:val="24"/>
          <w:highlight w:val="none"/>
          <w:lang w:val="en-US" w:eastAsia="zh-CN"/>
        </w:rPr>
        <w:t>（当天供货总量为一个批次）</w:t>
      </w:r>
      <w:r>
        <w:rPr>
          <w:rFonts w:hint="eastAsia" w:ascii="宋体" w:hAnsi="宋体" w:eastAsia="宋体" w:cs="宋体"/>
          <w:color w:val="auto"/>
          <w:sz w:val="24"/>
          <w:szCs w:val="24"/>
          <w:highlight w:val="none"/>
          <w:lang w:val="en-US" w:eastAsia="zh-CN"/>
        </w:rPr>
        <w:t>货物招标人不予结算，且招标人保留索赔的权利。委托第三方检测机构检测费用由中标人承担。</w:t>
      </w:r>
    </w:p>
    <w:p w14:paraId="2E6F591C">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6.货物送到后招标人负责组织验收到货数量，卸货前和卸货后分别进行地磅称重确定到货数量。</w:t>
      </w:r>
    </w:p>
    <w:p w14:paraId="26FC6323">
      <w:pPr>
        <w:tabs>
          <w:tab w:val="left" w:pos="360"/>
          <w:tab w:val="left" w:pos="540"/>
          <w:tab w:val="left" w:pos="1080"/>
        </w:tabs>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7.每年不少于1次送第三方单位检测，检测指标为关键指标（S0</w:t>
      </w:r>
      <w:r>
        <w:rPr>
          <w:rFonts w:hint="eastAsia" w:ascii="宋体" w:hAnsi="宋体" w:eastAsia="宋体" w:cs="宋体"/>
          <w:b/>
          <w:bCs/>
          <w:color w:val="auto"/>
          <w:sz w:val="24"/>
          <w:szCs w:val="24"/>
          <w:highlight w:val="none"/>
          <w:vertAlign w:val="subscript"/>
          <w:lang w:val="en-US" w:eastAsia="zh-CN"/>
        </w:rPr>
        <w:t>3</w:t>
      </w:r>
      <w:r>
        <w:rPr>
          <w:rFonts w:hint="eastAsia" w:ascii="宋体" w:hAnsi="宋体" w:eastAsia="宋体" w:cs="宋体"/>
          <w:b/>
          <w:bCs/>
          <w:color w:val="auto"/>
          <w:sz w:val="24"/>
          <w:szCs w:val="24"/>
          <w:highlight w:val="none"/>
          <w:lang w:val="en-US" w:eastAsia="zh-CN"/>
        </w:rPr>
        <w:t>、氯离子含量），非关键指标可不检测。双方共同取样、封样、</w:t>
      </w:r>
      <w:r>
        <w:rPr>
          <w:rFonts w:hint="eastAsia" w:ascii="宋体" w:hAnsi="宋体" w:eastAsia="宋体" w:cs="宋体"/>
          <w:b/>
          <w:bCs/>
          <w:color w:val="auto"/>
          <w:sz w:val="24"/>
          <w:szCs w:val="24"/>
          <w:highlight w:val="none"/>
          <w:u w:val="none"/>
          <w:lang w:val="en-US" w:eastAsia="zh-CN"/>
        </w:rPr>
        <w:t>留样、</w:t>
      </w:r>
      <w:r>
        <w:rPr>
          <w:rFonts w:hint="eastAsia" w:ascii="宋体" w:hAnsi="宋体" w:eastAsia="宋体" w:cs="宋体"/>
          <w:b/>
          <w:bCs/>
          <w:color w:val="auto"/>
          <w:sz w:val="24"/>
          <w:szCs w:val="24"/>
          <w:highlight w:val="none"/>
          <w:lang w:val="en-US" w:eastAsia="zh-CN"/>
        </w:rPr>
        <w:t>邮寄，第三方检测单位由招标人确定，招标人可以不告知中标人第三方检测单位名称，检测费由中标人承担，招标人垫付，检测费在中标人的货款中扣除。</w:t>
      </w:r>
      <w:r>
        <w:rPr>
          <w:rFonts w:hint="eastAsia" w:ascii="宋体" w:hAnsi="宋体" w:eastAsia="宋体" w:cs="宋体"/>
          <w:b/>
          <w:bCs/>
          <w:color w:val="auto"/>
          <w:sz w:val="24"/>
          <w:szCs w:val="24"/>
          <w:highlight w:val="none"/>
          <w:u w:val="none"/>
          <w:lang w:val="en-US" w:eastAsia="zh-CN"/>
        </w:rPr>
        <w:t>日常验收结算不需要额外提供第三方检测报告。</w:t>
      </w:r>
    </w:p>
    <w:p w14:paraId="13A17293">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14:paraId="12D5E231">
      <w:pPr>
        <w:wordWrap w:val="0"/>
        <w:adjustRightInd w:val="0"/>
        <w:snapToGrid w:val="0"/>
        <w:spacing w:before="120" w:beforeLines="50" w:line="360" w:lineRule="auto"/>
        <w:ind w:firstLine="480" w:firstLineChars="200"/>
        <w:outlineLvl w:val="1"/>
        <w:rPr>
          <w:rFonts w:ascii="宋体" w:hAnsi="宋体" w:eastAsia="宋体" w:cs="宋体"/>
          <w:b/>
          <w:bCs/>
          <w:sz w:val="24"/>
          <w:highlight w:val="none"/>
        </w:rPr>
      </w:pPr>
      <w:bookmarkStart w:id="107" w:name="_Toc28456"/>
      <w:r>
        <w:rPr>
          <w:rFonts w:hint="eastAsia" w:ascii="宋体" w:hAnsi="宋体" w:eastAsia="宋体" w:cs="宋体"/>
          <w:sz w:val="24"/>
          <w:highlight w:val="none"/>
        </w:rPr>
        <w:t>▲</w:t>
      </w: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、质量保证、质保及售后服务</w:t>
      </w:r>
      <w:bookmarkEnd w:id="107"/>
    </w:p>
    <w:p w14:paraId="4DFA7E83">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1.产品质保期：到货验收合格后一个月。</w:t>
      </w:r>
    </w:p>
    <w:p w14:paraId="583351A9">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必须满足招标人售后服务要求。如使用过程发生问题，中标人须在接到招标人通知后必须4小时内赶到现场进行处理，12小时内做出书面答复并提供解决方案。若需要派遣技术人员，则应在接到招标人通知后，24小时内派人员到达现场进行免费指导解决问题。</w:t>
      </w:r>
    </w:p>
    <w:p w14:paraId="7F2EAD5E">
      <w:pPr>
        <w:tabs>
          <w:tab w:val="left" w:pos="360"/>
          <w:tab w:val="left" w:pos="540"/>
          <w:tab w:val="left" w:pos="1080"/>
        </w:tabs>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3.招标人不再对任何售后服务进行付费。中标人的派遣人员产生的一切费用由投标人承担。</w:t>
      </w:r>
    </w:p>
    <w:p w14:paraId="473BAABA">
      <w:pPr>
        <w:wordWrap w:val="0"/>
        <w:adjustRightInd w:val="0"/>
        <w:snapToGrid w:val="0"/>
        <w:spacing w:before="120" w:beforeLines="50" w:line="360" w:lineRule="auto"/>
        <w:ind w:firstLine="480" w:firstLineChars="200"/>
        <w:outlineLvl w:val="1"/>
        <w:rPr>
          <w:rFonts w:ascii="宋体" w:hAnsi="宋体" w:eastAsia="宋体" w:cs="宋体"/>
          <w:b/>
          <w:bCs/>
          <w:sz w:val="24"/>
          <w:highlight w:val="none"/>
        </w:rPr>
      </w:pPr>
      <w:bookmarkStart w:id="108" w:name="_Toc6928"/>
      <w:r>
        <w:rPr>
          <w:rFonts w:hint="eastAsia" w:ascii="宋体" w:hAnsi="宋体" w:eastAsia="宋体" w:cs="宋体"/>
          <w:sz w:val="24"/>
          <w:highlight w:val="none"/>
        </w:rPr>
        <w:t>▲</w:t>
      </w: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 其他要求</w:t>
      </w:r>
      <w:bookmarkEnd w:id="108"/>
    </w:p>
    <w:p w14:paraId="1C3FFE2A">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必须满足招标人售后服务要求。如产品使用过程发生问题，中标人须在接到招标人通知后24小时内做出书面答复并提供解决方案。若需要派遣技术人员，则应在接到招标人通知后48小时内派遣技术人员到达现场进行免费指导解决问题。</w:t>
      </w:r>
    </w:p>
    <w:p w14:paraId="2AFA335E">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2.中标人自行协调处理与属地运输、公安等部门之间的关系，确保供货渠道畅通、不得影响招标人正常生产。</w:t>
      </w:r>
    </w:p>
    <w:p w14:paraId="77EF8225">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3.若因中标人所提供的货物质量问题导致招标人生产运行出现异常或故障，影响正常生产运行，中标人应在接到招标人通知后24小时之内自费派工程师到招标人现场进行技术服务，确保招标人生产顺利进行。</w:t>
      </w:r>
    </w:p>
    <w:p w14:paraId="0904EBDB">
      <w:p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七</w:t>
      </w:r>
      <w:r>
        <w:rPr>
          <w:rFonts w:hint="eastAsia" w:ascii="宋体" w:hAnsi="宋体" w:eastAsia="宋体" w:cs="宋体"/>
          <w:b/>
          <w:bCs/>
          <w:sz w:val="24"/>
          <w:highlight w:val="none"/>
        </w:rPr>
        <w:t>、商务需求</w:t>
      </w:r>
    </w:p>
    <w:p w14:paraId="02DA2736">
      <w:pPr>
        <w:wordWrap w:val="0"/>
        <w:adjustRightInd w:val="0"/>
        <w:snapToGrid w:val="0"/>
        <w:spacing w:line="360" w:lineRule="auto"/>
        <w:ind w:firstLine="482" w:firstLineChars="200"/>
        <w:outlineLvl w:val="1"/>
        <w:rPr>
          <w:rFonts w:ascii="宋体" w:hAnsi="宋体" w:eastAsia="宋体" w:cs="宋体"/>
          <w:b/>
          <w:bCs/>
          <w:sz w:val="24"/>
          <w:szCs w:val="24"/>
          <w:highlight w:val="none"/>
        </w:rPr>
      </w:pPr>
      <w:bookmarkStart w:id="109" w:name="_Toc21297"/>
      <w:r>
        <w:rPr>
          <w:rFonts w:hint="eastAsia" w:ascii="宋体" w:hAnsi="宋体" w:eastAsia="宋体" w:cs="宋体"/>
          <w:b/>
          <w:bCs/>
          <w:sz w:val="24"/>
          <w:szCs w:val="24"/>
          <w:highlight w:val="none"/>
        </w:rPr>
        <w:t>1.供货要求：</w:t>
      </w:r>
      <w:bookmarkEnd w:id="109"/>
    </w:p>
    <w:p w14:paraId="06BDA7A4">
      <w:pPr>
        <w:wordWrap w:val="0"/>
        <w:adjustRightInd w:val="0"/>
        <w:snapToGrid w:val="0"/>
        <w:spacing w:line="360" w:lineRule="auto"/>
        <w:ind w:firstLine="482" w:firstLineChars="200"/>
        <w:outlineLvl w:val="1"/>
        <w:rPr>
          <w:rFonts w:ascii="宋体" w:hAnsi="宋体" w:eastAsia="宋体" w:cs="宋体"/>
          <w:sz w:val="24"/>
          <w:szCs w:val="24"/>
          <w:highlight w:val="none"/>
        </w:rPr>
      </w:pPr>
      <w:bookmarkStart w:id="110" w:name="_Toc9652"/>
      <w:r>
        <w:rPr>
          <w:rFonts w:hint="eastAsia" w:ascii="宋体" w:hAnsi="宋体" w:eastAsia="宋体" w:cs="宋体"/>
          <w:b/>
          <w:bCs/>
          <w:sz w:val="24"/>
          <w:szCs w:val="24"/>
          <w:highlight w:val="none"/>
        </w:rPr>
        <w:t>（1）供</w:t>
      </w:r>
      <w:r>
        <w:rPr>
          <w:rFonts w:hint="eastAsia" w:ascii="宋体" w:hAnsi="宋体" w:eastAsia="宋体" w:cs="宋体"/>
          <w:b/>
          <w:bCs/>
          <w:sz w:val="24"/>
          <w:szCs w:val="24"/>
          <w:highlight w:val="none"/>
        </w:rPr>
        <w:t>货时间：合同签订之日起两年</w:t>
      </w:r>
      <w:r>
        <w:rPr>
          <w:rFonts w:hint="eastAsia" w:ascii="宋体" w:hAnsi="宋体" w:eastAsia="宋体" w:cs="宋体"/>
          <w:sz w:val="24"/>
          <w:szCs w:val="24"/>
          <w:highlight w:val="none"/>
        </w:rPr>
        <w:t>。</w:t>
      </w:r>
      <w:bookmarkEnd w:id="110"/>
    </w:p>
    <w:p w14:paraId="4045B4C9">
      <w:pPr>
        <w:wordWrap w:val="0"/>
        <w:adjustRightInd w:val="0"/>
        <w:snapToGrid w:val="0"/>
        <w:spacing w:line="360" w:lineRule="auto"/>
        <w:ind w:firstLine="480" w:firstLineChars="200"/>
        <w:outlineLvl w:val="1"/>
        <w:rPr>
          <w:rFonts w:ascii="宋体" w:hAnsi="宋体" w:eastAsia="宋体" w:cs="宋体"/>
          <w:sz w:val="24"/>
          <w:szCs w:val="24"/>
          <w:highlight w:val="none"/>
        </w:rPr>
      </w:pPr>
      <w:bookmarkStart w:id="111" w:name="_Toc29226"/>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供货地点：</w:t>
      </w:r>
      <w:r>
        <w:rPr>
          <w:rFonts w:hint="eastAsia" w:ascii="宋体" w:hAnsi="宋体" w:eastAsia="宋体" w:cs="宋体"/>
          <w:sz w:val="24"/>
          <w:szCs w:val="24"/>
          <w:highlight w:val="none"/>
        </w:rPr>
        <w:t xml:space="preserve"> 浙江省杭州市钱塘区临江街道红十五路10388-123号，杭州临江环境能源有限公司厂区内。</w:t>
      </w:r>
      <w:bookmarkEnd w:id="111"/>
    </w:p>
    <w:p w14:paraId="4446233C">
      <w:pPr>
        <w:wordWrap w:val="0"/>
        <w:adjustRightInd w:val="0"/>
        <w:snapToGrid w:val="0"/>
        <w:spacing w:line="360" w:lineRule="auto"/>
        <w:ind w:firstLine="482" w:firstLineChars="200"/>
        <w:outlineLvl w:val="1"/>
        <w:rPr>
          <w:rFonts w:ascii="宋体" w:hAnsi="宋体" w:eastAsia="宋体" w:cs="宋体"/>
          <w:sz w:val="24"/>
          <w:szCs w:val="24"/>
          <w:highlight w:val="none"/>
        </w:rPr>
      </w:pPr>
      <w:bookmarkStart w:id="112" w:name="_Toc25272"/>
      <w:r>
        <w:rPr>
          <w:rFonts w:hint="eastAsia" w:ascii="宋体" w:hAnsi="宋体" w:eastAsia="宋体" w:cs="宋体"/>
          <w:b/>
          <w:bCs/>
          <w:sz w:val="24"/>
          <w:szCs w:val="24"/>
          <w:highlight w:val="none"/>
        </w:rPr>
        <w:t>2.付款方式：</w:t>
      </w:r>
      <w:r>
        <w:rPr>
          <w:rFonts w:hint="eastAsia" w:ascii="宋体" w:hAnsi="宋体" w:eastAsia="宋体" w:cs="宋体"/>
          <w:sz w:val="24"/>
          <w:szCs w:val="24"/>
          <w:highlight w:val="none"/>
        </w:rPr>
        <w:t>见合同</w:t>
      </w:r>
      <w:bookmarkEnd w:id="112"/>
    </w:p>
    <w:p w14:paraId="4ABA6FF2">
      <w:pPr>
        <w:adjustRightInd w:val="0"/>
        <w:snapToGrid w:val="0"/>
        <w:spacing w:line="360" w:lineRule="auto"/>
        <w:ind w:firstLine="482" w:firstLineChars="200"/>
        <w:rPr>
          <w:rFonts w:ascii="宋体" w:hAnsi="宋体" w:eastAsia="宋体" w:cs="宋体"/>
          <w:b/>
          <w:bCs/>
          <w:kern w:val="21"/>
          <w:sz w:val="24"/>
          <w:szCs w:val="24"/>
          <w:highlight w:val="none"/>
        </w:rPr>
      </w:pPr>
      <w:r>
        <w:rPr>
          <w:rFonts w:hint="eastAsia" w:ascii="宋体" w:hAnsi="宋体" w:eastAsia="宋体" w:cs="宋体"/>
          <w:b/>
          <w:bCs/>
          <w:sz w:val="24"/>
          <w:szCs w:val="24"/>
          <w:highlight w:val="none"/>
        </w:rPr>
        <w:t>3.履约保证金：</w:t>
      </w:r>
      <w:r>
        <w:rPr>
          <w:rFonts w:hint="eastAsia" w:ascii="宋体" w:hAnsi="宋体" w:eastAsia="宋体" w:cs="宋体"/>
          <w:bCs/>
          <w:sz w:val="24"/>
          <w:szCs w:val="24"/>
          <w:highlight w:val="none"/>
        </w:rPr>
        <w:t>见须知前附表。</w:t>
      </w:r>
    </w:p>
    <w:p w14:paraId="650D98DD">
      <w:pPr>
        <w:adjustRightInd w:val="0"/>
        <w:snapToGrid w:val="0"/>
        <w:spacing w:line="360" w:lineRule="auto"/>
        <w:ind w:firstLine="482" w:firstLineChars="200"/>
        <w:rPr>
          <w:rFonts w:ascii="宋体" w:hAnsi="宋体" w:eastAsia="宋体" w:cs="宋体"/>
          <w:b/>
          <w:bCs/>
          <w:kern w:val="21"/>
          <w:sz w:val="24"/>
          <w:szCs w:val="24"/>
          <w:highlight w:val="none"/>
        </w:rPr>
      </w:pPr>
      <w:r>
        <w:rPr>
          <w:rFonts w:hint="eastAsia" w:ascii="宋体" w:hAnsi="宋体" w:eastAsia="宋体" w:cs="宋体"/>
          <w:b/>
          <w:bCs/>
          <w:kern w:val="21"/>
          <w:sz w:val="24"/>
          <w:szCs w:val="24"/>
          <w:highlight w:val="none"/>
        </w:rPr>
        <w:t>4.质量保证金：</w:t>
      </w:r>
      <w:r>
        <w:rPr>
          <w:rFonts w:hint="eastAsia" w:ascii="宋体" w:hAnsi="宋体" w:eastAsia="宋体" w:cs="宋体"/>
          <w:sz w:val="24"/>
          <w:szCs w:val="24"/>
          <w:highlight w:val="none"/>
        </w:rPr>
        <w:t>见合同</w:t>
      </w:r>
      <w:r>
        <w:rPr>
          <w:rFonts w:hint="eastAsia" w:ascii="宋体" w:hAnsi="宋体" w:eastAsia="宋体" w:cs="宋体"/>
          <w:bCs/>
          <w:sz w:val="24"/>
          <w:szCs w:val="24"/>
          <w:highlight w:val="none"/>
        </w:rPr>
        <w:t xml:space="preserve"> </w:t>
      </w:r>
    </w:p>
    <w:p w14:paraId="1E71A356">
      <w:pPr>
        <w:pStyle w:val="55"/>
        <w:wordWrap w:val="0"/>
        <w:adjustRightInd w:val="0"/>
        <w:snapToGrid w:val="0"/>
        <w:ind w:firstLine="482" w:firstLineChars="200"/>
        <w:jc w:val="both"/>
        <w:outlineLvl w:val="9"/>
        <w:rPr>
          <w:rFonts w:cs="宋体"/>
          <w:bCs/>
          <w:color w:val="auto"/>
          <w:sz w:val="24"/>
          <w:szCs w:val="24"/>
          <w:highlight w:val="none"/>
        </w:rPr>
      </w:pPr>
    </w:p>
    <w:p w14:paraId="22FFF8E6">
      <w:pPr>
        <w:numPr>
          <w:ilvl w:val="255"/>
          <w:numId w:val="0"/>
        </w:numPr>
        <w:wordWrap w:val="0"/>
        <w:adjustRightInd w:val="0"/>
        <w:snapToGrid w:val="0"/>
        <w:spacing w:line="360" w:lineRule="auto"/>
        <w:ind w:firstLine="480" w:firstLineChars="200"/>
        <w:rPr>
          <w:rFonts w:ascii="宋体" w:hAnsi="宋体" w:eastAsia="宋体" w:cs="宋体"/>
          <w:b/>
          <w:bCs/>
          <w:sz w:val="24"/>
          <w:szCs w:val="24"/>
          <w:highlight w:val="none"/>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投标人在投标文件中应根据以上要求在商务、技术偏离表中响应。</w:t>
      </w:r>
    </w:p>
    <w:p w14:paraId="39D102C6">
      <w:pPr>
        <w:adjustRightInd w:val="0"/>
        <w:snapToGrid w:val="0"/>
        <w:spacing w:line="360" w:lineRule="auto"/>
        <w:ind w:firstLine="482" w:firstLineChars="200"/>
        <w:rPr>
          <w:rFonts w:hint="eastAsia" w:ascii="宋体" w:hAnsi="宋体" w:eastAsia="宋体" w:cs="宋体"/>
          <w:b/>
          <w:bCs/>
          <w:snapToGrid w:val="0"/>
          <w:color w:val="auto"/>
          <w:kern w:val="0"/>
          <w:sz w:val="24"/>
          <w:highlight w:val="none"/>
        </w:rPr>
      </w:pPr>
    </w:p>
    <w:p w14:paraId="13E7E650">
      <w:pPr>
        <w:spacing w:line="360" w:lineRule="auto"/>
        <w:rPr>
          <w:rFonts w:hint="eastAsia" w:ascii="宋体" w:hAnsi="宋体" w:eastAsia="宋体" w:cs="宋体"/>
          <w:bCs/>
          <w:color w:val="auto"/>
          <w:kern w:val="44"/>
          <w:sz w:val="24"/>
          <w:highlight w:val="none"/>
        </w:rPr>
      </w:pPr>
      <w:bookmarkStart w:id="113" w:name="_Toc26319"/>
    </w:p>
    <w:p w14:paraId="54DAFD8B">
      <w:pPr>
        <w:spacing w:line="360" w:lineRule="auto"/>
        <w:outlineLvl w:val="9"/>
        <w:rPr>
          <w:rFonts w:hint="eastAsia" w:ascii="宋体" w:hAnsi="宋体" w:eastAsia="宋体" w:cs="宋体"/>
          <w:bCs/>
          <w:color w:val="auto"/>
          <w:kern w:val="44"/>
          <w:sz w:val="24"/>
          <w:highlight w:val="none"/>
        </w:rPr>
      </w:pPr>
    </w:p>
    <w:p w14:paraId="3132C02C">
      <w:pPr>
        <w:spacing w:line="360" w:lineRule="auto"/>
        <w:outlineLvl w:val="9"/>
        <w:rPr>
          <w:rFonts w:hint="eastAsia" w:ascii="宋体" w:hAnsi="宋体" w:eastAsia="宋体" w:cs="宋体"/>
          <w:bCs/>
          <w:color w:val="auto"/>
          <w:kern w:val="44"/>
          <w:sz w:val="24"/>
          <w:highlight w:val="none"/>
        </w:rPr>
      </w:pPr>
    </w:p>
    <w:p w14:paraId="2217171E">
      <w:pPr>
        <w:pStyle w:val="21"/>
        <w:outlineLvl w:val="9"/>
        <w:rPr>
          <w:rFonts w:hint="eastAsia" w:ascii="宋体" w:hAnsi="宋体" w:eastAsia="宋体" w:cs="宋体"/>
          <w:bCs/>
          <w:color w:val="auto"/>
          <w:kern w:val="44"/>
          <w:sz w:val="24"/>
          <w:highlight w:val="none"/>
        </w:rPr>
      </w:pPr>
    </w:p>
    <w:p w14:paraId="2C829DF2">
      <w:pPr>
        <w:pStyle w:val="21"/>
        <w:jc w:val="both"/>
        <w:outlineLvl w:val="9"/>
        <w:rPr>
          <w:rFonts w:hint="eastAsia" w:ascii="宋体" w:hAnsi="宋体" w:eastAsia="宋体" w:cs="宋体"/>
          <w:bCs/>
          <w:color w:val="auto"/>
          <w:kern w:val="44"/>
          <w:sz w:val="24"/>
          <w:highlight w:val="none"/>
        </w:rPr>
      </w:pPr>
    </w:p>
    <w:p w14:paraId="0FFDACEB">
      <w:pPr>
        <w:outlineLvl w:val="9"/>
        <w:rPr>
          <w:rFonts w:hint="eastAsia" w:ascii="宋体" w:hAnsi="宋体" w:eastAsia="宋体" w:cs="宋体"/>
          <w:bCs/>
          <w:color w:val="auto"/>
          <w:kern w:val="44"/>
          <w:sz w:val="24"/>
          <w:highlight w:val="none"/>
        </w:rPr>
      </w:pPr>
    </w:p>
    <w:p w14:paraId="3945244E">
      <w:pPr>
        <w:outlineLvl w:val="9"/>
        <w:rPr>
          <w:rFonts w:hint="eastAsia" w:ascii="宋体" w:hAnsi="宋体" w:eastAsia="宋体" w:cs="宋体"/>
          <w:bCs/>
          <w:color w:val="auto"/>
          <w:kern w:val="44"/>
          <w:sz w:val="24"/>
          <w:highlight w:val="none"/>
        </w:rPr>
      </w:pPr>
    </w:p>
    <w:p w14:paraId="37CF96D9">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bookmarkStart w:id="114" w:name="_Toc26988"/>
      <w:r>
        <w:rPr>
          <w:rFonts w:hint="eastAsia" w:ascii="宋体" w:hAnsi="宋体" w:eastAsia="宋体" w:cs="宋体"/>
          <w:b/>
          <w:bCs w:val="0"/>
          <w:color w:val="auto"/>
          <w:kern w:val="44"/>
          <w:szCs w:val="44"/>
          <w:highlight w:val="none"/>
        </w:rPr>
        <w:t>第四章  评标方法及评价标准</w:t>
      </w:r>
      <w:bookmarkEnd w:id="113"/>
      <w:bookmarkEnd w:id="114"/>
    </w:p>
    <w:p w14:paraId="18A46AEA">
      <w:pPr>
        <w:pStyle w:val="3"/>
        <w:spacing w:before="140" w:after="140" w:line="360" w:lineRule="auto"/>
        <w:jc w:val="center"/>
        <w:rPr>
          <w:rFonts w:hint="eastAsia" w:ascii="宋体" w:hAnsi="宋体" w:eastAsia="宋体" w:cs="宋体"/>
          <w:color w:val="auto"/>
          <w:sz w:val="24"/>
          <w:szCs w:val="24"/>
          <w:highlight w:val="none"/>
        </w:rPr>
      </w:pPr>
      <w:bookmarkStart w:id="115" w:name="_Toc32167"/>
      <w:bookmarkStart w:id="116" w:name="_Toc101294480"/>
      <w:bookmarkStart w:id="117" w:name="_Toc101294410"/>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rPr>
        <w:t>评标方法</w:t>
      </w:r>
      <w:bookmarkEnd w:id="115"/>
    </w:p>
    <w:p w14:paraId="305DCC75">
      <w:pPr>
        <w:spacing w:line="440" w:lineRule="exact"/>
        <w:ind w:firstLine="420"/>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本</w:t>
      </w:r>
      <w:r>
        <w:rPr>
          <w:rFonts w:hint="eastAsia" w:ascii="宋体" w:hAnsi="宋体" w:eastAsia="宋体" w:cs="宋体"/>
          <w:color w:val="auto"/>
          <w:spacing w:val="9"/>
          <w:sz w:val="24"/>
          <w:highlight w:val="none"/>
        </w:rPr>
        <w:t>项目评标方法及标准采用</w:t>
      </w:r>
      <w:r>
        <w:rPr>
          <w:rFonts w:hint="eastAsia" w:ascii="宋体" w:hAnsi="宋体" w:eastAsia="宋体" w:cs="宋体"/>
          <w:b/>
          <w:color w:val="auto"/>
          <w:spacing w:val="9"/>
          <w:sz w:val="24"/>
          <w:highlight w:val="none"/>
        </w:rPr>
        <w:t>经评审后最低投标价法</w:t>
      </w:r>
      <w:r>
        <w:rPr>
          <w:rFonts w:hint="eastAsia" w:ascii="宋体" w:hAnsi="宋体" w:eastAsia="宋体" w:cs="宋体"/>
          <w:color w:val="auto"/>
          <w:spacing w:val="11"/>
          <w:sz w:val="24"/>
          <w:highlight w:val="none"/>
        </w:rPr>
        <w:t>。</w:t>
      </w:r>
    </w:p>
    <w:p w14:paraId="4996DC57">
      <w:pPr>
        <w:pStyle w:val="3"/>
        <w:spacing w:before="140" w:after="140" w:line="360" w:lineRule="auto"/>
        <w:jc w:val="center"/>
        <w:rPr>
          <w:rFonts w:hint="eastAsia" w:ascii="宋体" w:hAnsi="宋体" w:eastAsia="宋体" w:cs="宋体"/>
          <w:color w:val="auto"/>
          <w:sz w:val="24"/>
          <w:szCs w:val="24"/>
          <w:highlight w:val="none"/>
        </w:rPr>
      </w:pPr>
      <w:bookmarkStart w:id="118" w:name="_Toc29600"/>
      <w:r>
        <w:rPr>
          <w:rFonts w:hint="eastAsia" w:ascii="宋体" w:hAnsi="宋体" w:eastAsia="宋体" w:cs="宋体"/>
          <w:color w:val="auto"/>
          <w:sz w:val="24"/>
          <w:szCs w:val="24"/>
          <w:highlight w:val="none"/>
        </w:rPr>
        <w:t>2、评标程序</w:t>
      </w:r>
      <w:bookmarkEnd w:id="118"/>
    </w:p>
    <w:p w14:paraId="7BCDE58A">
      <w:pPr>
        <w:spacing w:line="440" w:lineRule="exact"/>
        <w:ind w:firstLine="418"/>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评标委员会按照以下程序开展评标工</w:t>
      </w:r>
      <w:r>
        <w:rPr>
          <w:rFonts w:hint="eastAsia" w:ascii="宋体" w:hAnsi="宋体" w:eastAsia="宋体" w:cs="宋体"/>
          <w:color w:val="auto"/>
          <w:spacing w:val="8"/>
          <w:sz w:val="24"/>
          <w:highlight w:val="none"/>
        </w:rPr>
        <w:t>作</w:t>
      </w:r>
      <w:r>
        <w:rPr>
          <w:rFonts w:hint="eastAsia" w:ascii="宋体" w:hAnsi="宋体" w:eastAsia="宋体" w:cs="宋体"/>
          <w:color w:val="auto"/>
          <w:spacing w:val="10"/>
          <w:sz w:val="24"/>
          <w:highlight w:val="none"/>
        </w:rPr>
        <w:t>。</w:t>
      </w:r>
    </w:p>
    <w:p w14:paraId="1F881429">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2.1 </w:t>
      </w:r>
      <w:r>
        <w:rPr>
          <w:rFonts w:hint="eastAsia" w:ascii="宋体" w:hAnsi="宋体" w:eastAsia="宋体" w:cs="宋体"/>
          <w:color w:val="auto"/>
          <w:spacing w:val="5"/>
          <w:sz w:val="24"/>
          <w:highlight w:val="none"/>
        </w:rPr>
        <w:t>熟悉招标</w:t>
      </w:r>
      <w:r>
        <w:rPr>
          <w:rFonts w:hint="eastAsia" w:ascii="宋体" w:hAnsi="宋体" w:eastAsia="宋体" w:cs="宋体"/>
          <w:color w:val="auto"/>
          <w:spacing w:val="4"/>
          <w:sz w:val="24"/>
          <w:highlight w:val="none"/>
        </w:rPr>
        <w:t>文件和评标办法</w:t>
      </w:r>
      <w:r>
        <w:rPr>
          <w:rFonts w:hint="eastAsia" w:ascii="宋体" w:hAnsi="宋体" w:eastAsia="宋体" w:cs="宋体"/>
          <w:color w:val="auto"/>
          <w:spacing w:val="5"/>
          <w:sz w:val="24"/>
          <w:highlight w:val="none"/>
        </w:rPr>
        <w:t>；</w:t>
      </w:r>
    </w:p>
    <w:p w14:paraId="7ACCB63F">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w:t>
      </w:r>
      <w:r>
        <w:rPr>
          <w:rFonts w:hint="eastAsia" w:ascii="宋体" w:hAnsi="宋体" w:eastAsia="宋体" w:cs="宋体"/>
          <w:color w:val="auto"/>
          <w:spacing w:val="-5"/>
          <w:sz w:val="24"/>
          <w:highlight w:val="none"/>
        </w:rPr>
        <w:t>；</w:t>
      </w:r>
    </w:p>
    <w:p w14:paraId="73A3FC17">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2.3初步评审</w:t>
      </w:r>
      <w:r>
        <w:rPr>
          <w:rFonts w:hint="eastAsia" w:ascii="宋体" w:hAnsi="宋体" w:eastAsia="宋体" w:cs="宋体"/>
          <w:color w:val="auto"/>
          <w:spacing w:val="-5"/>
          <w:sz w:val="24"/>
          <w:highlight w:val="none"/>
        </w:rPr>
        <w:t>；</w:t>
      </w:r>
    </w:p>
    <w:p w14:paraId="148CDE30">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w:t>
      </w:r>
      <w:r>
        <w:rPr>
          <w:rFonts w:hint="eastAsia" w:ascii="宋体" w:hAnsi="宋体" w:eastAsia="宋体" w:cs="宋体"/>
          <w:color w:val="auto"/>
          <w:spacing w:val="1"/>
          <w:sz w:val="24"/>
          <w:highlight w:val="none"/>
        </w:rPr>
        <w:t>3.1符合性审查</w:t>
      </w:r>
      <w:r>
        <w:rPr>
          <w:rFonts w:hint="eastAsia" w:ascii="宋体" w:hAnsi="宋体" w:eastAsia="宋体" w:cs="宋体"/>
          <w:color w:val="auto"/>
          <w:spacing w:val="2"/>
          <w:sz w:val="24"/>
          <w:highlight w:val="none"/>
        </w:rPr>
        <w:t>；</w:t>
      </w:r>
    </w:p>
    <w:p w14:paraId="25FA7F5F">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2.3</w:t>
      </w:r>
      <w:r>
        <w:rPr>
          <w:rFonts w:hint="eastAsia" w:ascii="宋体" w:hAnsi="宋体" w:eastAsia="宋体" w:cs="宋体"/>
          <w:color w:val="auto"/>
          <w:spacing w:val="1"/>
          <w:sz w:val="24"/>
          <w:highlight w:val="none"/>
        </w:rPr>
        <w:t>.2</w:t>
      </w:r>
      <w:r>
        <w:rPr>
          <w:rFonts w:hint="eastAsia" w:ascii="宋体" w:hAnsi="宋体" w:eastAsia="宋体" w:cs="宋体"/>
          <w:color w:val="auto"/>
          <w:spacing w:val="2"/>
          <w:sz w:val="24"/>
          <w:highlight w:val="none"/>
        </w:rPr>
        <w:t xml:space="preserve"> 有效标的确定</w:t>
      </w:r>
      <w:r>
        <w:rPr>
          <w:rFonts w:hint="eastAsia" w:ascii="宋体" w:hAnsi="宋体" w:eastAsia="宋体" w:cs="宋体"/>
          <w:color w:val="auto"/>
          <w:spacing w:val="3"/>
          <w:sz w:val="24"/>
          <w:highlight w:val="none"/>
        </w:rPr>
        <w:t>；</w:t>
      </w:r>
    </w:p>
    <w:p w14:paraId="2A0DE9E8">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z w:val="24"/>
          <w:highlight w:val="none"/>
        </w:rPr>
        <w:t>2.4详细评审</w:t>
      </w:r>
      <w:r>
        <w:rPr>
          <w:rFonts w:hint="eastAsia" w:ascii="宋体" w:hAnsi="宋体" w:eastAsia="宋体" w:cs="宋体"/>
          <w:color w:val="auto"/>
          <w:spacing w:val="-5"/>
          <w:sz w:val="24"/>
          <w:highlight w:val="none"/>
        </w:rPr>
        <w:t>；</w:t>
      </w:r>
    </w:p>
    <w:p w14:paraId="226AEFC8">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2.5 </w:t>
      </w:r>
      <w:r>
        <w:rPr>
          <w:rFonts w:hint="eastAsia" w:ascii="宋体" w:hAnsi="宋体" w:eastAsia="宋体" w:cs="宋体"/>
          <w:color w:val="auto"/>
          <w:spacing w:val="5"/>
          <w:sz w:val="24"/>
          <w:highlight w:val="none"/>
        </w:rPr>
        <w:t>投标文</w:t>
      </w:r>
      <w:r>
        <w:rPr>
          <w:rFonts w:hint="eastAsia" w:ascii="宋体" w:hAnsi="宋体" w:eastAsia="宋体" w:cs="宋体"/>
          <w:color w:val="auto"/>
          <w:spacing w:val="4"/>
          <w:sz w:val="24"/>
          <w:highlight w:val="none"/>
        </w:rPr>
        <w:t>件澄清</w:t>
      </w:r>
      <w:r>
        <w:rPr>
          <w:rFonts w:hint="eastAsia" w:ascii="宋体" w:hAnsi="宋体" w:eastAsia="宋体" w:cs="宋体"/>
          <w:color w:val="auto"/>
          <w:spacing w:val="5"/>
          <w:sz w:val="24"/>
          <w:highlight w:val="none"/>
        </w:rPr>
        <w:t>、</w:t>
      </w:r>
      <w:r>
        <w:rPr>
          <w:rFonts w:hint="eastAsia" w:ascii="宋体" w:hAnsi="宋体" w:eastAsia="宋体" w:cs="宋体"/>
          <w:color w:val="auto"/>
          <w:spacing w:val="4"/>
          <w:sz w:val="24"/>
          <w:highlight w:val="none"/>
        </w:rPr>
        <w:t>报价修正</w:t>
      </w:r>
      <w:r>
        <w:rPr>
          <w:rFonts w:hint="eastAsia" w:ascii="宋体" w:hAnsi="宋体" w:eastAsia="宋体" w:cs="宋体"/>
          <w:color w:val="auto"/>
          <w:spacing w:val="5"/>
          <w:sz w:val="24"/>
          <w:highlight w:val="none"/>
        </w:rPr>
        <w:t>；</w:t>
      </w:r>
    </w:p>
    <w:p w14:paraId="021C276A">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2.6 </w:t>
      </w:r>
      <w:r>
        <w:rPr>
          <w:rFonts w:hint="eastAsia" w:ascii="宋体" w:hAnsi="宋体" w:eastAsia="宋体" w:cs="宋体"/>
          <w:color w:val="auto"/>
          <w:spacing w:val="4"/>
          <w:sz w:val="24"/>
          <w:highlight w:val="none"/>
        </w:rPr>
        <w:t>排序与推荐中标</w:t>
      </w:r>
      <w:r>
        <w:rPr>
          <w:rFonts w:hint="eastAsia" w:ascii="宋体" w:hAnsi="宋体" w:eastAsia="宋体" w:cs="宋体"/>
          <w:color w:val="auto"/>
          <w:spacing w:val="3"/>
          <w:sz w:val="24"/>
          <w:highlight w:val="none"/>
        </w:rPr>
        <w:t>候选人</w:t>
      </w:r>
      <w:r>
        <w:rPr>
          <w:rFonts w:hint="eastAsia" w:ascii="宋体" w:hAnsi="宋体" w:eastAsia="宋体" w:cs="宋体"/>
          <w:color w:val="auto"/>
          <w:spacing w:val="5"/>
          <w:sz w:val="24"/>
          <w:highlight w:val="none"/>
        </w:rPr>
        <w:t>；</w:t>
      </w:r>
    </w:p>
    <w:p w14:paraId="0A1F775A">
      <w:pPr>
        <w:spacing w:line="440" w:lineRule="exact"/>
        <w:ind w:firstLine="421"/>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 xml:space="preserve">2.7 </w:t>
      </w:r>
      <w:r>
        <w:rPr>
          <w:rFonts w:hint="eastAsia" w:ascii="宋体" w:hAnsi="宋体" w:eastAsia="宋体" w:cs="宋体"/>
          <w:color w:val="auto"/>
          <w:spacing w:val="1"/>
          <w:sz w:val="24"/>
          <w:highlight w:val="none"/>
        </w:rPr>
        <w:t>完成评标报告</w:t>
      </w:r>
      <w:r>
        <w:rPr>
          <w:rFonts w:hint="eastAsia" w:ascii="宋体" w:hAnsi="宋体" w:eastAsia="宋体" w:cs="宋体"/>
          <w:color w:val="auto"/>
          <w:spacing w:val="3"/>
          <w:sz w:val="24"/>
          <w:highlight w:val="none"/>
        </w:rPr>
        <w:t>。</w:t>
      </w:r>
    </w:p>
    <w:p w14:paraId="0826B258">
      <w:pPr>
        <w:pStyle w:val="3"/>
        <w:spacing w:before="140" w:after="140" w:line="360" w:lineRule="auto"/>
        <w:jc w:val="center"/>
        <w:rPr>
          <w:rFonts w:hint="eastAsia" w:ascii="宋体" w:hAnsi="宋体" w:eastAsia="宋体" w:cs="宋体"/>
          <w:color w:val="auto"/>
          <w:sz w:val="24"/>
          <w:szCs w:val="24"/>
          <w:highlight w:val="none"/>
        </w:rPr>
      </w:pPr>
      <w:bookmarkStart w:id="119" w:name="_Toc13991"/>
      <w:r>
        <w:rPr>
          <w:rFonts w:hint="eastAsia" w:ascii="宋体" w:hAnsi="宋体" w:eastAsia="宋体" w:cs="宋体"/>
          <w:color w:val="auto"/>
          <w:sz w:val="24"/>
          <w:szCs w:val="24"/>
          <w:highlight w:val="none"/>
        </w:rPr>
        <w:t>3、资格审查</w:t>
      </w:r>
      <w:bookmarkEnd w:id="119"/>
    </w:p>
    <w:p w14:paraId="01CEF94F">
      <w:pPr>
        <w:spacing w:line="440" w:lineRule="exact"/>
        <w:ind w:right="2" w:firstLine="423"/>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3.1 </w:t>
      </w:r>
      <w:r>
        <w:rPr>
          <w:rFonts w:hint="eastAsia" w:ascii="宋体" w:hAnsi="宋体" w:eastAsia="宋体" w:cs="宋体"/>
          <w:color w:val="auto"/>
          <w:spacing w:val="11"/>
          <w:sz w:val="24"/>
          <w:highlight w:val="none"/>
        </w:rPr>
        <w:t>评标委员会按照招标文件的要求和规定，对投标人的投</w:t>
      </w:r>
      <w:r>
        <w:rPr>
          <w:rFonts w:hint="eastAsia" w:ascii="宋体" w:hAnsi="宋体" w:eastAsia="宋体" w:cs="宋体"/>
          <w:color w:val="auto"/>
          <w:spacing w:val="10"/>
          <w:sz w:val="24"/>
          <w:highlight w:val="none"/>
        </w:rPr>
        <w:t>标资格进行审查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w:t>
      </w:r>
      <w:r>
        <w:rPr>
          <w:rFonts w:hint="eastAsia" w:ascii="宋体" w:hAnsi="宋体" w:eastAsia="宋体" w:cs="宋体"/>
          <w:color w:val="auto"/>
          <w:spacing w:val="9"/>
          <w:sz w:val="24"/>
          <w:highlight w:val="none"/>
        </w:rPr>
        <w:t>之一的</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资格审查不予通过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否决其投标</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不再进行后续评审</w:t>
      </w:r>
      <w:r>
        <w:rPr>
          <w:rFonts w:hint="eastAsia" w:ascii="宋体" w:hAnsi="宋体" w:eastAsia="宋体" w:cs="宋体"/>
          <w:color w:val="auto"/>
          <w:spacing w:val="11"/>
          <w:sz w:val="24"/>
          <w:highlight w:val="none"/>
        </w:rPr>
        <w:t>：</w:t>
      </w:r>
    </w:p>
    <w:p w14:paraId="73E265CE">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w:t>
      </w:r>
      <w:r>
        <w:rPr>
          <w:rFonts w:hint="eastAsia" w:ascii="宋体" w:hAnsi="宋体" w:eastAsia="宋体" w:cs="宋体"/>
          <w:b/>
          <w:color w:val="auto"/>
          <w:spacing w:val="5"/>
          <w:sz w:val="24"/>
          <w:highlight w:val="none"/>
          <w:u w:val="single"/>
        </w:rPr>
        <w:t>1</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9"/>
          <w:sz w:val="24"/>
          <w:highlight w:val="none"/>
          <w:u w:val="single"/>
        </w:rPr>
        <w:t>投标人不满足招标公告中载明的投</w:t>
      </w:r>
      <w:r>
        <w:rPr>
          <w:rFonts w:hint="eastAsia" w:ascii="宋体" w:hAnsi="宋体" w:eastAsia="宋体" w:cs="宋体"/>
          <w:b/>
          <w:color w:val="auto"/>
          <w:spacing w:val="8"/>
          <w:sz w:val="24"/>
          <w:highlight w:val="none"/>
          <w:u w:val="single"/>
        </w:rPr>
        <w:t>标人资格条件的</w:t>
      </w:r>
      <w:r>
        <w:rPr>
          <w:rFonts w:hint="eastAsia" w:ascii="宋体" w:hAnsi="宋体" w:eastAsia="宋体" w:cs="宋体"/>
          <w:b/>
          <w:color w:val="auto"/>
          <w:spacing w:val="10"/>
          <w:sz w:val="24"/>
          <w:highlight w:val="none"/>
          <w:u w:val="single"/>
        </w:rPr>
        <w:t>；</w:t>
      </w:r>
    </w:p>
    <w:p w14:paraId="29A44E66">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（2）存在法律法规规定的其他否决投标情形的；</w:t>
      </w:r>
    </w:p>
    <w:p w14:paraId="1B45D54A">
      <w:pPr>
        <w:spacing w:line="440" w:lineRule="exact"/>
        <w:ind w:firstLine="429"/>
        <w:rPr>
          <w:rFonts w:hint="eastAsia" w:ascii="宋体" w:hAnsi="宋体" w:eastAsia="宋体" w:cs="宋体"/>
          <w:b/>
          <w:color w:val="auto"/>
          <w:spacing w:val="9"/>
          <w:sz w:val="24"/>
          <w:highlight w:val="none"/>
          <w:u w:val="single"/>
        </w:rPr>
      </w:pPr>
      <w:r>
        <w:rPr>
          <w:rFonts w:hint="eastAsia" w:ascii="宋体" w:hAnsi="宋体" w:eastAsia="宋体" w:cs="宋体"/>
          <w:b/>
          <w:color w:val="auto"/>
          <w:spacing w:val="9"/>
          <w:sz w:val="24"/>
          <w:highlight w:val="none"/>
          <w:u w:val="single"/>
        </w:rPr>
        <w:t>（3）未提供安全服务承诺函的。</w:t>
      </w:r>
    </w:p>
    <w:p w14:paraId="49CF6A64">
      <w:pPr>
        <w:spacing w:line="440" w:lineRule="exact"/>
        <w:ind w:left="1" w:firstLine="421"/>
        <w:rPr>
          <w:rFonts w:hint="eastAsia" w:ascii="宋体" w:hAnsi="宋体" w:eastAsia="宋体" w:cs="宋体"/>
          <w:color w:val="auto"/>
          <w:spacing w:val="4"/>
          <w:sz w:val="24"/>
          <w:highlight w:val="none"/>
        </w:rPr>
      </w:pPr>
      <w:r>
        <w:rPr>
          <w:rFonts w:hint="eastAsia" w:ascii="宋体" w:hAnsi="宋体" w:eastAsia="宋体" w:cs="宋体"/>
          <w:color w:val="auto"/>
          <w:spacing w:val="6"/>
          <w:sz w:val="24"/>
          <w:highlight w:val="none"/>
        </w:rPr>
        <w:t xml:space="preserve">3.2 </w:t>
      </w:r>
      <w:r>
        <w:rPr>
          <w:rFonts w:hint="eastAsia" w:ascii="宋体" w:hAnsi="宋体" w:eastAsia="宋体" w:cs="宋体"/>
          <w:color w:val="auto"/>
          <w:spacing w:val="11"/>
          <w:sz w:val="24"/>
          <w:highlight w:val="none"/>
        </w:rPr>
        <w:t>资格审查过程中，评标委员会可以要求投标人提交资格审查所</w:t>
      </w:r>
      <w:r>
        <w:rPr>
          <w:rFonts w:hint="eastAsia" w:ascii="宋体" w:hAnsi="宋体" w:eastAsia="宋体" w:cs="宋体"/>
          <w:color w:val="auto"/>
          <w:spacing w:val="10"/>
          <w:sz w:val="24"/>
          <w:highlight w:val="none"/>
        </w:rPr>
        <w:t>需的有关证明的原件</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以便</w:t>
      </w:r>
      <w:r>
        <w:rPr>
          <w:rFonts w:hint="eastAsia" w:ascii="宋体" w:hAnsi="宋体" w:eastAsia="宋体" w:cs="宋体"/>
          <w:color w:val="auto"/>
          <w:spacing w:val="3"/>
          <w:sz w:val="24"/>
          <w:highlight w:val="none"/>
        </w:rPr>
        <w:t>核验</w:t>
      </w:r>
      <w:r>
        <w:rPr>
          <w:rFonts w:hint="eastAsia" w:ascii="宋体" w:hAnsi="宋体" w:eastAsia="宋体" w:cs="宋体"/>
          <w:color w:val="auto"/>
          <w:spacing w:val="4"/>
          <w:sz w:val="24"/>
          <w:highlight w:val="none"/>
        </w:rPr>
        <w:t>。</w:t>
      </w:r>
    </w:p>
    <w:p w14:paraId="332E05AC">
      <w:pPr>
        <w:spacing w:line="440" w:lineRule="exact"/>
        <w:ind w:left="1" w:firstLine="421"/>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00F42215">
      <w:pPr>
        <w:pStyle w:val="3"/>
        <w:spacing w:before="140" w:after="140" w:line="360" w:lineRule="auto"/>
        <w:jc w:val="center"/>
        <w:rPr>
          <w:rFonts w:hint="eastAsia" w:ascii="宋体" w:hAnsi="宋体" w:eastAsia="宋体" w:cs="宋体"/>
          <w:color w:val="auto"/>
          <w:sz w:val="24"/>
          <w:szCs w:val="24"/>
          <w:highlight w:val="none"/>
        </w:rPr>
      </w:pPr>
      <w:bookmarkStart w:id="120" w:name="_Toc2032"/>
      <w:r>
        <w:rPr>
          <w:rFonts w:hint="eastAsia" w:ascii="宋体" w:hAnsi="宋体" w:eastAsia="宋体" w:cs="宋体"/>
          <w:color w:val="auto"/>
          <w:sz w:val="24"/>
          <w:szCs w:val="24"/>
          <w:highlight w:val="none"/>
        </w:rPr>
        <w:t>4、初步评审</w:t>
      </w:r>
      <w:bookmarkEnd w:id="120"/>
    </w:p>
    <w:p w14:paraId="6AB1C3A5">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 xml:space="preserve">4.1 </w:t>
      </w:r>
      <w:r>
        <w:rPr>
          <w:rFonts w:hint="eastAsia" w:ascii="宋体" w:hAnsi="宋体" w:eastAsia="宋体" w:cs="宋体"/>
          <w:color w:val="auto"/>
          <w:spacing w:val="2"/>
          <w:sz w:val="24"/>
          <w:highlight w:val="none"/>
        </w:rPr>
        <w:t>符合性审</w:t>
      </w:r>
      <w:r>
        <w:rPr>
          <w:rFonts w:hint="eastAsia" w:ascii="宋体" w:hAnsi="宋体" w:eastAsia="宋体" w:cs="宋体"/>
          <w:color w:val="auto"/>
          <w:spacing w:val="1"/>
          <w:sz w:val="24"/>
          <w:highlight w:val="none"/>
        </w:rPr>
        <w:t>查</w:t>
      </w:r>
    </w:p>
    <w:p w14:paraId="40A7CB4E">
      <w:pPr>
        <w:spacing w:line="440" w:lineRule="exact"/>
        <w:ind w:firstLine="418"/>
        <w:contextualSpacing/>
        <w:outlineLvl w:val="9"/>
        <w:rPr>
          <w:rFonts w:hint="eastAsia" w:ascii="宋体" w:hAnsi="宋体" w:eastAsia="宋体" w:cs="宋体"/>
          <w:color w:val="auto"/>
          <w:sz w:val="24"/>
          <w:highlight w:val="none"/>
        </w:rPr>
      </w:pPr>
      <w:r>
        <w:rPr>
          <w:rFonts w:hint="eastAsia" w:ascii="宋体" w:hAnsi="宋体" w:eastAsia="宋体" w:cs="宋体"/>
          <w:color w:val="auto"/>
          <w:spacing w:val="11"/>
          <w:sz w:val="24"/>
          <w:highlight w:val="none"/>
        </w:rPr>
        <w:t>评标委员会应当对通过资格审查的投标人的投标文件进</w:t>
      </w:r>
      <w:r>
        <w:rPr>
          <w:rFonts w:hint="eastAsia" w:ascii="宋体" w:hAnsi="宋体" w:eastAsia="宋体" w:cs="宋体"/>
          <w:color w:val="auto"/>
          <w:spacing w:val="10"/>
          <w:sz w:val="24"/>
          <w:highlight w:val="none"/>
        </w:rPr>
        <w:t>行符合性审查</w:t>
      </w:r>
      <w:r>
        <w:rPr>
          <w:rFonts w:hint="eastAsia" w:ascii="宋体" w:hAnsi="宋体" w:eastAsia="宋体" w:cs="宋体"/>
          <w:color w:val="auto"/>
          <w:spacing w:val="11"/>
          <w:sz w:val="24"/>
          <w:highlight w:val="none"/>
        </w:rPr>
        <w:t>。</w:t>
      </w:r>
      <w:r>
        <w:rPr>
          <w:rFonts w:hint="eastAsia" w:ascii="宋体" w:hAnsi="宋体" w:eastAsia="宋体" w:cs="宋体"/>
          <w:color w:val="auto"/>
          <w:spacing w:val="10"/>
          <w:sz w:val="24"/>
          <w:highlight w:val="none"/>
        </w:rPr>
        <w:t>投标人存在以下情形之</w:t>
      </w:r>
      <w:r>
        <w:rPr>
          <w:rFonts w:hint="eastAsia" w:ascii="宋体" w:hAnsi="宋体" w:eastAsia="宋体" w:cs="宋体"/>
          <w:color w:val="auto"/>
          <w:spacing w:val="9"/>
          <w:position w:val="2"/>
          <w:sz w:val="24"/>
          <w:highlight w:val="none"/>
        </w:rPr>
        <w:t>一</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符合性审查不予通过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9"/>
          <w:position w:val="2"/>
          <w:sz w:val="24"/>
          <w:highlight w:val="none"/>
        </w:rPr>
        <w:t>否决其投</w:t>
      </w:r>
      <w:r>
        <w:rPr>
          <w:rFonts w:hint="eastAsia" w:ascii="宋体" w:hAnsi="宋体" w:eastAsia="宋体" w:cs="宋体"/>
          <w:color w:val="auto"/>
          <w:spacing w:val="8"/>
          <w:position w:val="2"/>
          <w:sz w:val="24"/>
          <w:highlight w:val="none"/>
        </w:rPr>
        <w:t>标</w:t>
      </w:r>
      <w:r>
        <w:rPr>
          <w:rFonts w:hint="eastAsia" w:ascii="宋体" w:hAnsi="宋体" w:eastAsia="宋体" w:cs="宋体"/>
          <w:color w:val="auto"/>
          <w:spacing w:val="12"/>
          <w:position w:val="2"/>
          <w:sz w:val="24"/>
          <w:highlight w:val="none"/>
        </w:rPr>
        <w:t>，</w:t>
      </w:r>
      <w:r>
        <w:rPr>
          <w:rFonts w:hint="eastAsia" w:ascii="宋体" w:hAnsi="宋体" w:eastAsia="宋体" w:cs="宋体"/>
          <w:color w:val="auto"/>
          <w:spacing w:val="8"/>
          <w:position w:val="2"/>
          <w:sz w:val="24"/>
          <w:highlight w:val="none"/>
        </w:rPr>
        <w:t>不再进行后续评审</w:t>
      </w:r>
      <w:r>
        <w:rPr>
          <w:rFonts w:hint="eastAsia" w:ascii="宋体" w:hAnsi="宋体" w:eastAsia="宋体" w:cs="宋体"/>
          <w:color w:val="auto"/>
          <w:spacing w:val="12"/>
          <w:position w:val="2"/>
          <w:sz w:val="24"/>
          <w:highlight w:val="none"/>
        </w:rPr>
        <w:t>：</w:t>
      </w:r>
    </w:p>
    <w:p w14:paraId="5D773D07">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（1）投标文件未按招标文件的要求签署和盖章的；</w:t>
      </w:r>
    </w:p>
    <w:p w14:paraId="46D77F00">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（2）投标文件中未提供营业执照（事业单位法人证书、社会团体法人登记证书或其他组织登记证明文件）的；</w:t>
      </w:r>
    </w:p>
    <w:p w14:paraId="1AEA9652">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3</w:t>
      </w:r>
      <w:r>
        <w:rPr>
          <w:rFonts w:hint="eastAsia" w:ascii="宋体" w:hAnsi="宋体" w:eastAsia="宋体" w:cs="宋体"/>
          <w:b/>
          <w:bCs/>
          <w:color w:val="auto"/>
          <w:sz w:val="24"/>
          <w:highlight w:val="none"/>
          <w:u w:val="single"/>
          <w:lang w:val="zh-CN"/>
        </w:rPr>
        <w:t>）投标人未按招标文件的要求递交投标保证金的（详见投标人须知第</w:t>
      </w:r>
      <w:r>
        <w:rPr>
          <w:rFonts w:hint="eastAsia" w:ascii="宋体" w:hAnsi="宋体" w:eastAsia="宋体" w:cs="宋体"/>
          <w:b/>
          <w:bCs/>
          <w:color w:val="auto"/>
          <w:sz w:val="24"/>
          <w:highlight w:val="none"/>
          <w:u w:val="single"/>
        </w:rPr>
        <w:t>4.5.2</w:t>
      </w:r>
      <w:r>
        <w:rPr>
          <w:rFonts w:hint="eastAsia" w:ascii="宋体" w:hAnsi="宋体" w:eastAsia="宋体" w:cs="宋体"/>
          <w:b/>
          <w:bCs/>
          <w:color w:val="auto"/>
          <w:sz w:val="24"/>
          <w:highlight w:val="none"/>
          <w:u w:val="single"/>
          <w:lang w:val="zh-CN"/>
        </w:rPr>
        <w:t>）；</w:t>
      </w:r>
    </w:p>
    <w:p w14:paraId="49837BA1">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4</w:t>
      </w:r>
      <w:r>
        <w:rPr>
          <w:rFonts w:hint="eastAsia" w:ascii="宋体" w:hAnsi="宋体" w:eastAsia="宋体" w:cs="宋体"/>
          <w:b/>
          <w:bCs/>
          <w:color w:val="auto"/>
          <w:sz w:val="24"/>
          <w:highlight w:val="none"/>
          <w:u w:val="single"/>
          <w:lang w:val="zh-CN"/>
        </w:rPr>
        <w:t>）组成联合体投标的，投标文件未附联合体各方共同投标协议的（</w:t>
      </w:r>
      <w:r>
        <w:rPr>
          <w:rFonts w:hint="eastAsia" w:ascii="宋体" w:hAnsi="宋体" w:eastAsia="宋体" w:cs="宋体"/>
          <w:b/>
          <w:bCs/>
          <w:color w:val="auto"/>
          <w:sz w:val="24"/>
          <w:highlight w:val="none"/>
          <w:u w:val="single"/>
          <w:lang w:val="en-US" w:eastAsia="zh-CN"/>
        </w:rPr>
        <w:t>本项目不适用</w:t>
      </w:r>
      <w:r>
        <w:rPr>
          <w:rFonts w:hint="eastAsia" w:ascii="宋体" w:hAnsi="宋体" w:eastAsia="宋体" w:cs="宋体"/>
          <w:b/>
          <w:bCs/>
          <w:color w:val="auto"/>
          <w:sz w:val="24"/>
          <w:highlight w:val="none"/>
          <w:u w:val="single"/>
          <w:lang w:val="zh-CN"/>
        </w:rPr>
        <w:t>）；</w:t>
      </w:r>
    </w:p>
    <w:p w14:paraId="5A1427C1">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（5）投标文件不符合招标文件实质性要求（第三章“用户需求及技术要求”中具体条款用“▲”标注）的；</w:t>
      </w:r>
      <w:bookmarkStart w:id="292" w:name="_GoBack"/>
      <w:bookmarkEnd w:id="292"/>
    </w:p>
    <w:p w14:paraId="1F58EC8B">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（6）同一投标人提交两个以上不同的投标文件或者投标报价，且投标文件中未声明哪一个有效的（招标文件要求提交备选投标的除外）；</w:t>
      </w:r>
    </w:p>
    <w:p w14:paraId="19327A4C">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（7）投标报价超出招标文件规定的限价的；</w:t>
      </w:r>
    </w:p>
    <w:p w14:paraId="065B06CB">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（8）投标文件未按规定的格式（招标文件第五章“投标文件格式”）编制或内容不全或关键字迹模糊、无法辨认的；</w:t>
      </w:r>
    </w:p>
    <w:p w14:paraId="589A8485">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（9）投标文件中承诺的投标有效期少于招标文件中载明的投标有效期的；</w:t>
      </w:r>
    </w:p>
    <w:p w14:paraId="2EF49F22">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w:t>
      </w:r>
      <w:r>
        <w:rPr>
          <w:rFonts w:hint="eastAsia" w:ascii="宋体" w:hAnsi="宋体" w:eastAsia="宋体" w:cs="宋体"/>
          <w:b/>
          <w:bCs/>
          <w:color w:val="auto"/>
          <w:sz w:val="24"/>
          <w:highlight w:val="none"/>
          <w:u w:val="single"/>
        </w:rPr>
        <w:t>0</w:t>
      </w:r>
      <w:r>
        <w:rPr>
          <w:rFonts w:hint="eastAsia" w:ascii="宋体" w:hAnsi="宋体" w:eastAsia="宋体" w:cs="宋体"/>
          <w:b/>
          <w:bCs/>
          <w:color w:val="auto"/>
          <w:sz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5A78D2E3">
      <w:p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（11）投标人根据招标文件规定及投标内容对招标人所作的任何合法承诺或响应存在与实际不符的；</w:t>
      </w:r>
    </w:p>
    <w:p w14:paraId="724E061D">
      <w:pPr>
        <w:numPr>
          <w:ilvl w:val="0"/>
          <w:numId w:val="4"/>
        </w:numPr>
        <w:spacing w:line="360" w:lineRule="auto"/>
        <w:ind w:firstLine="482" w:firstLineChars="200"/>
        <w:outlineLvl w:val="9"/>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sz w:val="24"/>
          <w:highlight w:val="none"/>
          <w:u w:val="single"/>
          <w:lang w:val="zh-CN"/>
        </w:rPr>
        <w:t>投标人对根据修正原则修正后的报价不予确认的；</w:t>
      </w:r>
    </w:p>
    <w:p w14:paraId="4E94C62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zh-CN"/>
        </w:rPr>
        <w:t>（</w:t>
      </w:r>
      <w:r>
        <w:rPr>
          <w:rFonts w:hint="eastAsia" w:ascii="宋体" w:hAnsi="宋体" w:eastAsia="宋体" w:cs="宋体"/>
          <w:b/>
          <w:bCs/>
          <w:color w:val="auto"/>
          <w:sz w:val="24"/>
          <w:highlight w:val="none"/>
          <w:u w:val="single"/>
        </w:rPr>
        <w:t>13）存在法律法规规定的其他否决投标情形的。</w:t>
      </w:r>
    </w:p>
    <w:p w14:paraId="016A3B07">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（1</w:t>
      </w:r>
      <w:r>
        <w:rPr>
          <w:rFonts w:hint="eastAsia" w:ascii="宋体" w:hAnsi="宋体" w:eastAsia="宋体" w:cs="宋体"/>
          <w:b/>
          <w:bCs/>
          <w:color w:val="auto"/>
          <w:sz w:val="24"/>
          <w:highlight w:val="none"/>
          <w:u w:val="single"/>
          <w:lang w:val="en-US" w:eastAsia="zh-CN"/>
        </w:rPr>
        <w:t>4</w:t>
      </w:r>
      <w:r>
        <w:rPr>
          <w:rFonts w:hint="eastAsia" w:ascii="宋体" w:hAnsi="宋体" w:eastAsia="宋体" w:cs="宋体"/>
          <w:b/>
          <w:bCs/>
          <w:color w:val="auto"/>
          <w:sz w:val="24"/>
          <w:highlight w:val="none"/>
          <w:u w:val="single"/>
        </w:rPr>
        <w:t>）经评标委员会审核，投标人符合以下情形之一的，视为投标人串通投标的，其投标无效：</w:t>
      </w:r>
    </w:p>
    <w:p w14:paraId="5C2B4FAD">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①不同投标人的投标文件由同一单位或者个人编制； </w:t>
      </w:r>
    </w:p>
    <w:p w14:paraId="713B8E6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②不同投标人委托同一单位或者个人办理投标事宜； </w:t>
      </w:r>
    </w:p>
    <w:p w14:paraId="4C26AF67">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③不同投标人的投标文件载明的项目管理成员或者联系人员为同一人； </w:t>
      </w:r>
    </w:p>
    <w:p w14:paraId="4218C1EC">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④不同投标人的投标文件异常一致或者投标报价呈规律性差异； </w:t>
      </w:r>
    </w:p>
    <w:p w14:paraId="139B979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⑤不同投标人的投标文件相互混装； </w:t>
      </w:r>
    </w:p>
    <w:p w14:paraId="02FDE5A7">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⑥不同投标人的投标保证金从同一单位或者个人的账户转出。</w:t>
      </w:r>
    </w:p>
    <w:p w14:paraId="5473D41A">
      <w:pPr>
        <w:pStyle w:val="7"/>
        <w:ind w:firstLine="482" w:firstLineChars="200"/>
        <w:outlineLvl w:val="9"/>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w:t>
      </w:r>
      <w:r>
        <w:rPr>
          <w:rFonts w:hint="eastAsia" w:ascii="宋体" w:hAnsi="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14:paraId="4672ACE4">
      <w:pPr>
        <w:spacing w:line="360" w:lineRule="auto"/>
        <w:ind w:firstLine="484" w:firstLineChars="200"/>
        <w:outlineLvl w:val="9"/>
        <w:rPr>
          <w:rFonts w:hint="eastAsia" w:ascii="宋体" w:hAnsi="宋体" w:eastAsia="宋体" w:cs="宋体"/>
          <w:color w:val="auto"/>
          <w:spacing w:val="1"/>
          <w:sz w:val="24"/>
          <w:highlight w:val="none"/>
        </w:rPr>
      </w:pPr>
      <w:r>
        <w:rPr>
          <w:rFonts w:hint="eastAsia" w:ascii="宋体" w:hAnsi="宋体" w:eastAsia="宋体" w:cs="宋体"/>
          <w:color w:val="auto"/>
          <w:spacing w:val="1"/>
          <w:sz w:val="24"/>
          <w:highlight w:val="none"/>
        </w:rPr>
        <w:t xml:space="preserve">4.2 </w:t>
      </w:r>
      <w:r>
        <w:rPr>
          <w:rFonts w:hint="eastAsia" w:ascii="宋体" w:hAnsi="宋体" w:eastAsia="宋体" w:cs="宋体"/>
          <w:color w:val="auto"/>
          <w:spacing w:val="2"/>
          <w:sz w:val="24"/>
          <w:highlight w:val="none"/>
        </w:rPr>
        <w:t>有效标认</w:t>
      </w:r>
      <w:r>
        <w:rPr>
          <w:rFonts w:hint="eastAsia" w:ascii="宋体" w:hAnsi="宋体" w:eastAsia="宋体" w:cs="宋体"/>
          <w:color w:val="auto"/>
          <w:spacing w:val="1"/>
          <w:sz w:val="24"/>
          <w:highlight w:val="none"/>
        </w:rPr>
        <w:t>定</w:t>
      </w:r>
    </w:p>
    <w:p w14:paraId="1232E3CB">
      <w:pPr>
        <w:adjustRightInd w:val="0"/>
        <w:snapToGrid w:val="0"/>
        <w:spacing w:line="360" w:lineRule="auto"/>
        <w:ind w:firstLine="514" w:firstLineChars="200"/>
        <w:outlineLvl w:val="9"/>
        <w:rPr>
          <w:rFonts w:hint="eastAsia" w:ascii="宋体" w:hAnsi="宋体" w:eastAsia="宋体" w:cs="宋体"/>
          <w:color w:val="auto"/>
          <w:sz w:val="24"/>
          <w:highlight w:val="none"/>
        </w:rPr>
      </w:pPr>
      <w:r>
        <w:rPr>
          <w:rFonts w:hint="eastAsia" w:ascii="宋体" w:hAnsi="宋体" w:eastAsia="宋体" w:cs="宋体"/>
          <w:b/>
          <w:color w:val="auto"/>
          <w:spacing w:val="8"/>
          <w:sz w:val="24"/>
          <w:highlight w:val="none"/>
          <w:u w:val="single"/>
        </w:rPr>
        <w:t>通过资格审查和符合性审查的有效投标人不足</w:t>
      </w:r>
      <w:r>
        <w:rPr>
          <w:rFonts w:hint="eastAsia" w:ascii="宋体" w:hAnsi="宋体" w:eastAsia="宋体" w:cs="宋体"/>
          <w:b/>
          <w:color w:val="auto"/>
          <w:spacing w:val="5"/>
          <w:sz w:val="24"/>
          <w:highlight w:val="none"/>
          <w:u w:val="single"/>
        </w:rPr>
        <w:t>3家</w:t>
      </w:r>
      <w:r>
        <w:rPr>
          <w:rFonts w:hint="eastAsia" w:ascii="宋体" w:hAnsi="宋体" w:eastAsia="宋体" w:cs="宋体"/>
          <w:b/>
          <w:color w:val="auto"/>
          <w:spacing w:val="8"/>
          <w:sz w:val="24"/>
          <w:highlight w:val="none"/>
          <w:u w:val="single"/>
        </w:rPr>
        <w:t>的</w:t>
      </w:r>
      <w:r>
        <w:rPr>
          <w:rFonts w:hint="eastAsia" w:ascii="宋体" w:hAnsi="宋体" w:eastAsia="宋体" w:cs="宋体"/>
          <w:b/>
          <w:color w:val="auto"/>
          <w:spacing w:val="10"/>
          <w:sz w:val="24"/>
          <w:highlight w:val="none"/>
          <w:u w:val="single"/>
        </w:rPr>
        <w:t>，</w:t>
      </w:r>
      <w:r>
        <w:rPr>
          <w:rFonts w:hint="eastAsia" w:ascii="宋体" w:hAnsi="宋体" w:eastAsia="宋体" w:cs="宋体"/>
          <w:b/>
          <w:color w:val="auto"/>
          <w:spacing w:val="8"/>
          <w:sz w:val="24"/>
          <w:highlight w:val="none"/>
          <w:u w:val="single"/>
        </w:rPr>
        <w:t>评标委员会应认定本次投标是否具有竞争性，若评标委员会认定本次投标明显缺乏竞争的，可以否决所有投标。</w:t>
      </w:r>
    </w:p>
    <w:p w14:paraId="02B4BC4F">
      <w:pPr>
        <w:spacing w:line="360" w:lineRule="auto"/>
        <w:jc w:val="center"/>
        <w:outlineLvl w:val="1"/>
        <w:rPr>
          <w:rFonts w:hint="eastAsia" w:ascii="宋体" w:hAnsi="宋体" w:eastAsia="宋体" w:cs="宋体"/>
          <w:b/>
          <w:bCs/>
          <w:color w:val="auto"/>
          <w:sz w:val="24"/>
          <w:highlight w:val="none"/>
        </w:rPr>
      </w:pPr>
      <w:bookmarkStart w:id="121" w:name="_Toc26984"/>
      <w:bookmarkStart w:id="122" w:name="_Toc101294485"/>
      <w:bookmarkStart w:id="123" w:name="_Toc101294415"/>
      <w:r>
        <w:rPr>
          <w:rFonts w:hint="eastAsia" w:ascii="宋体" w:hAnsi="宋体" w:eastAsia="宋体" w:cs="宋体"/>
          <w:b/>
          <w:bCs/>
          <w:color w:val="auto"/>
          <w:sz w:val="24"/>
          <w:highlight w:val="none"/>
        </w:rPr>
        <w:t>5、详细评审</w:t>
      </w:r>
      <w:bookmarkEnd w:id="121"/>
    </w:p>
    <w:p w14:paraId="2AD1F44E">
      <w:pPr>
        <w:spacing w:line="360" w:lineRule="auto"/>
        <w:ind w:firstLine="524" w:firstLineChars="200"/>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5.1评标委员会对通过初步评审的有效标的投标文件进行详细评审。投标人存在以下情形之一，详细评审不予通过，否决其投标，不再进行后续评审：</w:t>
      </w:r>
    </w:p>
    <w:p w14:paraId="42800242">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（1）关键技术方案不可行的；</w:t>
      </w:r>
    </w:p>
    <w:p w14:paraId="1F624D81">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2</w:t>
      </w:r>
      <w:r>
        <w:rPr>
          <w:rFonts w:hint="eastAsia" w:ascii="宋体" w:hAnsi="宋体" w:eastAsia="宋体" w:cs="宋体"/>
          <w:b/>
          <w:color w:val="auto"/>
          <w:spacing w:val="9"/>
          <w:sz w:val="24"/>
          <w:highlight w:val="none"/>
          <w:u w:val="single"/>
          <w:lang w:val="zh-CN"/>
        </w:rPr>
        <w:t>）采用的验收标准或主要技术指标不符合国家强制性标准或招标文件要求的；</w:t>
      </w:r>
    </w:p>
    <w:p w14:paraId="787FCEE2">
      <w:pPr>
        <w:spacing w:line="440" w:lineRule="exact"/>
        <w:ind w:firstLine="429"/>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w:t>
      </w:r>
      <w:r>
        <w:rPr>
          <w:rFonts w:hint="eastAsia" w:ascii="宋体" w:hAnsi="宋体" w:eastAsia="宋体" w:cs="宋体"/>
          <w:b/>
          <w:color w:val="auto"/>
          <w:spacing w:val="9"/>
          <w:sz w:val="24"/>
          <w:highlight w:val="none"/>
          <w:u w:val="single"/>
        </w:rPr>
        <w:t>3</w:t>
      </w:r>
      <w:r>
        <w:rPr>
          <w:rFonts w:hint="eastAsia" w:ascii="宋体" w:hAnsi="宋体" w:eastAsia="宋体" w:cs="宋体"/>
          <w:b/>
          <w:color w:val="auto"/>
          <w:spacing w:val="9"/>
          <w:sz w:val="24"/>
          <w:highlight w:val="none"/>
          <w:u w:val="single"/>
          <w:lang w:val="zh-CN"/>
        </w:rPr>
        <w:t>）投标人因自身原因导致报价存在漏项或重大失误、投标报价低于成本（投标人不能合理说明或者不能提供相关证明材料）的；</w:t>
      </w:r>
    </w:p>
    <w:p w14:paraId="12971D38">
      <w:pPr>
        <w:spacing w:line="440" w:lineRule="exact"/>
        <w:ind w:firstLine="429"/>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rPr>
        <w:t>（4）</w:t>
      </w:r>
      <w:r>
        <w:rPr>
          <w:rFonts w:hint="eastAsia" w:ascii="宋体" w:hAnsi="宋体" w:eastAsia="宋体" w:cs="宋体"/>
          <w:b/>
          <w:color w:val="auto"/>
          <w:spacing w:val="9"/>
          <w:sz w:val="24"/>
          <w:highlight w:val="none"/>
          <w:u w:val="single"/>
          <w:lang w:val="zh-CN"/>
        </w:rPr>
        <w:t>存在法律、法规规定的其他否决投标情形的。</w:t>
      </w:r>
    </w:p>
    <w:p w14:paraId="05C1655C">
      <w:pPr>
        <w:pStyle w:val="3"/>
        <w:spacing w:before="140" w:after="140" w:line="360" w:lineRule="auto"/>
        <w:jc w:val="center"/>
        <w:rPr>
          <w:rFonts w:hint="eastAsia" w:ascii="宋体" w:hAnsi="宋体" w:eastAsia="宋体" w:cs="宋体"/>
          <w:color w:val="auto"/>
          <w:sz w:val="24"/>
          <w:szCs w:val="24"/>
          <w:highlight w:val="none"/>
        </w:rPr>
      </w:pPr>
      <w:bookmarkStart w:id="124" w:name="_Toc6065"/>
      <w:r>
        <w:rPr>
          <w:rFonts w:hint="eastAsia" w:ascii="宋体" w:hAnsi="宋体" w:eastAsia="宋体" w:cs="宋体"/>
          <w:color w:val="auto"/>
          <w:sz w:val="24"/>
          <w:szCs w:val="24"/>
          <w:highlight w:val="none"/>
        </w:rPr>
        <w:t>6、投标文件澄清、报价修正</w:t>
      </w:r>
      <w:bookmarkEnd w:id="122"/>
      <w:bookmarkEnd w:id="123"/>
      <w:bookmarkEnd w:id="124"/>
    </w:p>
    <w:p w14:paraId="3528E984">
      <w:pPr>
        <w:spacing w:line="440" w:lineRule="exact"/>
        <w:ind w:firstLine="542"/>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6.1 </w:t>
      </w:r>
      <w:r>
        <w:rPr>
          <w:rFonts w:hint="eastAsia" w:ascii="宋体" w:hAnsi="宋体" w:eastAsia="宋体" w:cs="宋体"/>
          <w:color w:val="auto"/>
          <w:spacing w:val="11"/>
          <w:sz w:val="24"/>
          <w:highlight w:val="none"/>
        </w:rPr>
        <w:t>在评标过程中，评标委员会可以书面形式要求投标人对所提交的投标</w:t>
      </w:r>
      <w:r>
        <w:rPr>
          <w:rFonts w:hint="eastAsia" w:ascii="宋体" w:hAnsi="宋体" w:eastAsia="宋体" w:cs="宋体"/>
          <w:color w:val="auto"/>
          <w:spacing w:val="10"/>
          <w:sz w:val="24"/>
          <w:highlight w:val="none"/>
        </w:rPr>
        <w:t>文件中不明确的内容进行书面澄清、说明或者补正。投标人代表应保证联络方</w:t>
      </w:r>
      <w:r>
        <w:rPr>
          <w:rFonts w:hint="eastAsia" w:ascii="宋体" w:hAnsi="宋体" w:eastAsia="宋体" w:cs="宋体"/>
          <w:color w:val="auto"/>
          <w:spacing w:val="9"/>
          <w:sz w:val="24"/>
          <w:highlight w:val="none"/>
        </w:rPr>
        <w:t>式畅通</w:t>
      </w:r>
      <w:r>
        <w:rPr>
          <w:rFonts w:hint="eastAsia" w:ascii="宋体" w:hAnsi="宋体" w:eastAsia="宋体" w:cs="宋体"/>
          <w:color w:val="auto"/>
          <w:spacing w:val="10"/>
          <w:sz w:val="24"/>
          <w:highlight w:val="none"/>
        </w:rPr>
        <w:t>，</w:t>
      </w:r>
      <w:r>
        <w:rPr>
          <w:rFonts w:hint="eastAsia" w:ascii="宋体" w:hAnsi="宋体" w:eastAsia="宋体" w:cs="宋体"/>
          <w:color w:val="auto"/>
          <w:spacing w:val="9"/>
          <w:sz w:val="24"/>
          <w:highlight w:val="none"/>
        </w:rPr>
        <w:t>并应在接到电话通知后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9"/>
          <w:sz w:val="24"/>
          <w:highlight w:val="none"/>
        </w:rPr>
        <w:t>分钟内</w:t>
      </w:r>
      <w:r>
        <w:rPr>
          <w:rFonts w:hint="eastAsia" w:ascii="宋体" w:hAnsi="宋体" w:eastAsia="宋体" w:cs="宋体"/>
          <w:color w:val="auto"/>
          <w:spacing w:val="11"/>
          <w:sz w:val="24"/>
          <w:highlight w:val="none"/>
        </w:rPr>
        <w:t>到达指定地点进行书面澄清、说明或者补正，如</w:t>
      </w:r>
      <w:r>
        <w:rPr>
          <w:rFonts w:hint="eastAsia" w:ascii="宋体" w:hAnsi="宋体" w:eastAsia="宋体" w:cs="宋体"/>
          <w:color w:val="auto"/>
          <w:spacing w:val="10"/>
          <w:sz w:val="24"/>
          <w:highlight w:val="none"/>
        </w:rPr>
        <w:t>无法联络到投标人代表或投标人代表在接到电话通</w:t>
      </w:r>
      <w:r>
        <w:rPr>
          <w:rFonts w:hint="eastAsia" w:ascii="宋体" w:hAnsi="宋体" w:eastAsia="宋体" w:cs="宋体"/>
          <w:color w:val="auto"/>
          <w:spacing w:val="7"/>
          <w:sz w:val="24"/>
          <w:highlight w:val="none"/>
        </w:rPr>
        <w:t>知后</w:t>
      </w:r>
      <w:r>
        <w:rPr>
          <w:rFonts w:hint="eastAsia" w:ascii="宋体" w:hAnsi="宋体" w:eastAsia="宋体" w:cs="宋体"/>
          <w:color w:val="auto"/>
          <w:spacing w:val="4"/>
          <w:sz w:val="24"/>
          <w:highlight w:val="none"/>
        </w:rPr>
        <w:t>30</w:t>
      </w:r>
      <w:r>
        <w:rPr>
          <w:rFonts w:hint="eastAsia" w:ascii="宋体" w:hAnsi="宋体" w:eastAsia="宋体" w:cs="宋体"/>
          <w:color w:val="auto"/>
          <w:spacing w:val="7"/>
          <w:sz w:val="24"/>
          <w:highlight w:val="none"/>
        </w:rPr>
        <w:t>分钟内未能到达指定</w:t>
      </w:r>
      <w:r>
        <w:rPr>
          <w:rFonts w:hint="eastAsia" w:ascii="宋体" w:hAnsi="宋体" w:eastAsia="宋体" w:cs="宋体"/>
          <w:color w:val="auto"/>
          <w:spacing w:val="6"/>
          <w:sz w:val="24"/>
          <w:highlight w:val="none"/>
        </w:rPr>
        <w:t>地点进行书面澄清</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说明或者补正</w:t>
      </w:r>
      <w:r>
        <w:rPr>
          <w:rFonts w:hint="eastAsia" w:ascii="宋体" w:hAnsi="宋体" w:eastAsia="宋体" w:cs="宋体"/>
          <w:color w:val="auto"/>
          <w:spacing w:val="7"/>
          <w:sz w:val="24"/>
          <w:highlight w:val="none"/>
        </w:rPr>
        <w:t>，</w:t>
      </w:r>
      <w:r>
        <w:rPr>
          <w:rFonts w:hint="eastAsia" w:ascii="宋体" w:hAnsi="宋体" w:eastAsia="宋体" w:cs="宋体"/>
          <w:color w:val="auto"/>
          <w:spacing w:val="6"/>
          <w:sz w:val="24"/>
          <w:highlight w:val="none"/>
        </w:rPr>
        <w:t>评标委员会将视作投标人放弃澄清</w:t>
      </w:r>
      <w:r>
        <w:rPr>
          <w:rFonts w:hint="eastAsia" w:ascii="宋体" w:hAnsi="宋体" w:eastAsia="宋体" w:cs="宋体"/>
          <w:color w:val="auto"/>
          <w:spacing w:val="7"/>
          <w:sz w:val="24"/>
          <w:highlight w:val="none"/>
        </w:rPr>
        <w:t>、说明或者补正</w:t>
      </w:r>
      <w:r>
        <w:rPr>
          <w:rFonts w:hint="eastAsia" w:ascii="宋体" w:hAnsi="宋体" w:eastAsia="宋体" w:cs="宋体"/>
          <w:color w:val="auto"/>
          <w:spacing w:val="8"/>
          <w:sz w:val="24"/>
          <w:highlight w:val="none"/>
        </w:rPr>
        <w:t>。</w:t>
      </w:r>
    </w:p>
    <w:p w14:paraId="1CA25403">
      <w:pPr>
        <w:spacing w:line="440" w:lineRule="exact"/>
        <w:ind w:left="11" w:right="68" w:firstLine="411"/>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6.2 </w:t>
      </w:r>
      <w:r>
        <w:rPr>
          <w:rFonts w:hint="eastAsia" w:ascii="宋体" w:hAnsi="宋体" w:eastAsia="宋体" w:cs="宋体"/>
          <w:color w:val="auto"/>
          <w:spacing w:val="11"/>
          <w:sz w:val="24"/>
          <w:highlight w:val="none"/>
        </w:rPr>
        <w:t>有关澄清、说明与补正，投标人应以书面形式进行，对投标报价和实</w:t>
      </w:r>
      <w:r>
        <w:rPr>
          <w:rFonts w:hint="eastAsia" w:ascii="宋体" w:hAnsi="宋体" w:eastAsia="宋体" w:cs="宋体"/>
          <w:color w:val="auto"/>
          <w:spacing w:val="10"/>
          <w:sz w:val="24"/>
          <w:highlight w:val="none"/>
        </w:rPr>
        <w:t>质性的内容不得更改</w:t>
      </w:r>
      <w:r>
        <w:rPr>
          <w:rFonts w:hint="eastAsia" w:ascii="宋体" w:hAnsi="宋体" w:eastAsia="宋体" w:cs="宋体"/>
          <w:color w:val="auto"/>
          <w:spacing w:val="9"/>
          <w:sz w:val="24"/>
          <w:highlight w:val="none"/>
        </w:rPr>
        <w:t>（报价修正除外</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投标人的书面澄清</w:t>
      </w:r>
      <w:r>
        <w:rPr>
          <w:rFonts w:hint="eastAsia" w:ascii="宋体" w:hAnsi="宋体" w:eastAsia="宋体" w:cs="宋体"/>
          <w:color w:val="auto"/>
          <w:spacing w:val="11"/>
          <w:sz w:val="24"/>
          <w:highlight w:val="none"/>
        </w:rPr>
        <w:t>、</w:t>
      </w:r>
      <w:r>
        <w:rPr>
          <w:rFonts w:hint="eastAsia" w:ascii="宋体" w:hAnsi="宋体" w:eastAsia="宋体" w:cs="宋体"/>
          <w:color w:val="auto"/>
          <w:spacing w:val="9"/>
          <w:sz w:val="24"/>
          <w:highlight w:val="none"/>
        </w:rPr>
        <w:t>说明和补正属于投标文件的组成部分</w:t>
      </w:r>
      <w:r>
        <w:rPr>
          <w:rFonts w:hint="eastAsia" w:ascii="宋体" w:hAnsi="宋体" w:eastAsia="宋体" w:cs="宋体"/>
          <w:color w:val="auto"/>
          <w:spacing w:val="10"/>
          <w:sz w:val="24"/>
          <w:highlight w:val="none"/>
        </w:rPr>
        <w:t>。</w:t>
      </w:r>
    </w:p>
    <w:p w14:paraId="2E9AFDC5">
      <w:pPr>
        <w:spacing w:line="440" w:lineRule="exact"/>
        <w:ind w:left="21" w:right="77" w:firstLine="402"/>
        <w:contextualSpacing/>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 xml:space="preserve">6.3 </w:t>
      </w:r>
      <w:r>
        <w:rPr>
          <w:rFonts w:hint="eastAsia" w:ascii="宋体" w:hAnsi="宋体" w:eastAsia="宋体" w:cs="宋体"/>
          <w:color w:val="auto"/>
          <w:spacing w:val="11"/>
          <w:sz w:val="24"/>
          <w:highlight w:val="none"/>
        </w:rPr>
        <w:t>评标委员会对投标人提交</w:t>
      </w:r>
      <w:r>
        <w:rPr>
          <w:rFonts w:hint="eastAsia" w:ascii="宋体" w:hAnsi="宋体" w:eastAsia="宋体" w:cs="宋体"/>
          <w:color w:val="auto"/>
          <w:spacing w:val="10"/>
          <w:sz w:val="24"/>
          <w:highlight w:val="none"/>
        </w:rPr>
        <w:t>的澄清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说明或补正有疑问的</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可以要求投标人进一步澄清</w:t>
      </w:r>
      <w:r>
        <w:rPr>
          <w:rFonts w:hint="eastAsia" w:ascii="宋体" w:hAnsi="宋体" w:eastAsia="宋体" w:cs="宋体"/>
          <w:color w:val="auto"/>
          <w:spacing w:val="12"/>
          <w:sz w:val="24"/>
          <w:highlight w:val="none"/>
        </w:rPr>
        <w:t>、</w:t>
      </w:r>
      <w:r>
        <w:rPr>
          <w:rFonts w:hint="eastAsia" w:ascii="宋体" w:hAnsi="宋体" w:eastAsia="宋体" w:cs="宋体"/>
          <w:color w:val="auto"/>
          <w:spacing w:val="10"/>
          <w:sz w:val="24"/>
          <w:highlight w:val="none"/>
        </w:rPr>
        <w:t>说</w:t>
      </w:r>
      <w:r>
        <w:rPr>
          <w:rFonts w:hint="eastAsia" w:ascii="宋体" w:hAnsi="宋体" w:eastAsia="宋体" w:cs="宋体"/>
          <w:color w:val="auto"/>
          <w:spacing w:val="8"/>
          <w:sz w:val="24"/>
          <w:highlight w:val="none"/>
        </w:rPr>
        <w:t>明或补正</w:t>
      </w:r>
      <w:r>
        <w:rPr>
          <w:rFonts w:hint="eastAsia" w:ascii="宋体" w:hAnsi="宋体" w:eastAsia="宋体" w:cs="宋体"/>
          <w:color w:val="auto"/>
          <w:spacing w:val="9"/>
          <w:sz w:val="24"/>
          <w:highlight w:val="none"/>
        </w:rPr>
        <w:t>，</w:t>
      </w:r>
      <w:r>
        <w:rPr>
          <w:rFonts w:hint="eastAsia" w:ascii="宋体" w:hAnsi="宋体" w:eastAsia="宋体" w:cs="宋体"/>
          <w:color w:val="auto"/>
          <w:spacing w:val="8"/>
          <w:sz w:val="24"/>
          <w:highlight w:val="none"/>
        </w:rPr>
        <w:t>直至满足评标委员</w:t>
      </w:r>
      <w:r>
        <w:rPr>
          <w:rFonts w:hint="eastAsia" w:ascii="宋体" w:hAnsi="宋体" w:eastAsia="宋体" w:cs="宋体"/>
          <w:color w:val="auto"/>
          <w:spacing w:val="7"/>
          <w:sz w:val="24"/>
          <w:highlight w:val="none"/>
        </w:rPr>
        <w:t>会的要求</w:t>
      </w:r>
      <w:r>
        <w:rPr>
          <w:rFonts w:hint="eastAsia" w:ascii="宋体" w:hAnsi="宋体" w:eastAsia="宋体" w:cs="宋体"/>
          <w:color w:val="auto"/>
          <w:spacing w:val="9"/>
          <w:sz w:val="24"/>
          <w:highlight w:val="none"/>
        </w:rPr>
        <w:t>。</w:t>
      </w:r>
    </w:p>
    <w:p w14:paraId="02AA9669">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5"/>
          <w:sz w:val="24"/>
          <w:highlight w:val="none"/>
        </w:rPr>
        <w:t>6.</w:t>
      </w:r>
      <w:r>
        <w:rPr>
          <w:rFonts w:hint="eastAsia" w:ascii="宋体" w:hAnsi="宋体" w:eastAsia="宋体" w:cs="宋体"/>
          <w:color w:val="auto"/>
          <w:spacing w:val="4"/>
          <w:sz w:val="24"/>
          <w:highlight w:val="none"/>
        </w:rPr>
        <w:t>4</w:t>
      </w:r>
      <w:r>
        <w:rPr>
          <w:rFonts w:hint="eastAsia" w:ascii="宋体" w:hAnsi="宋体" w:eastAsia="宋体" w:cs="宋体"/>
          <w:color w:val="auto"/>
          <w:spacing w:val="7"/>
          <w:sz w:val="24"/>
          <w:highlight w:val="none"/>
        </w:rPr>
        <w:t>评标委员会不接受投标人主动提出的澄清</w:t>
      </w:r>
      <w:r>
        <w:rPr>
          <w:rFonts w:hint="eastAsia" w:ascii="宋体" w:hAnsi="宋体" w:eastAsia="宋体" w:cs="宋体"/>
          <w:color w:val="auto"/>
          <w:spacing w:val="9"/>
          <w:sz w:val="24"/>
          <w:highlight w:val="none"/>
        </w:rPr>
        <w:t>、</w:t>
      </w:r>
      <w:r>
        <w:rPr>
          <w:rFonts w:hint="eastAsia" w:ascii="宋体" w:hAnsi="宋体" w:eastAsia="宋体" w:cs="宋体"/>
          <w:color w:val="auto"/>
          <w:spacing w:val="7"/>
          <w:sz w:val="24"/>
          <w:highlight w:val="none"/>
        </w:rPr>
        <w:t>说明或补正</w:t>
      </w:r>
      <w:r>
        <w:rPr>
          <w:rFonts w:hint="eastAsia" w:ascii="宋体" w:hAnsi="宋体" w:eastAsia="宋体" w:cs="宋体"/>
          <w:color w:val="auto"/>
          <w:spacing w:val="9"/>
          <w:sz w:val="24"/>
          <w:highlight w:val="none"/>
        </w:rPr>
        <w:t>。</w:t>
      </w:r>
    </w:p>
    <w:p w14:paraId="10624613">
      <w:pPr>
        <w:spacing w:line="440" w:lineRule="exact"/>
        <w:ind w:firstLine="423"/>
        <w:contextualSpacing/>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 xml:space="preserve">6.5 </w:t>
      </w:r>
      <w:r>
        <w:rPr>
          <w:rFonts w:hint="eastAsia" w:ascii="宋体" w:hAnsi="宋体" w:eastAsia="宋体" w:cs="宋体"/>
          <w:color w:val="auto"/>
          <w:spacing w:val="8"/>
          <w:sz w:val="24"/>
          <w:highlight w:val="none"/>
        </w:rPr>
        <w:t>投标报价出现前后不一致的，</w:t>
      </w:r>
      <w:r>
        <w:rPr>
          <w:rFonts w:hint="eastAsia" w:ascii="宋体" w:hAnsi="宋体" w:eastAsia="宋体" w:cs="宋体"/>
          <w:color w:val="auto"/>
          <w:spacing w:val="7"/>
          <w:sz w:val="24"/>
          <w:highlight w:val="none"/>
        </w:rPr>
        <w:t>评标委员会应按照下列原则修正</w:t>
      </w:r>
      <w:r>
        <w:rPr>
          <w:rFonts w:hint="eastAsia" w:ascii="宋体" w:hAnsi="宋体" w:eastAsia="宋体" w:cs="宋体"/>
          <w:color w:val="auto"/>
          <w:spacing w:val="8"/>
          <w:sz w:val="24"/>
          <w:highlight w:val="none"/>
        </w:rPr>
        <w:t>：</w:t>
      </w:r>
    </w:p>
    <w:p w14:paraId="484487C7">
      <w:pPr>
        <w:keepNext w:val="0"/>
        <w:keepLines w:val="0"/>
        <w:pageBreakBefore w:val="0"/>
        <w:widowControl w:val="0"/>
        <w:kinsoku/>
        <w:wordWrap/>
        <w:overflowPunct/>
        <w:topLinePunct w:val="0"/>
        <w:autoSpaceDE/>
        <w:autoSpaceDN/>
        <w:bidi w:val="0"/>
        <w:adjustRightInd w:val="0"/>
        <w:snapToGrid w:val="0"/>
        <w:spacing w:line="440" w:lineRule="exact"/>
        <w:ind w:firstLine="554" w:firstLineChars="214"/>
        <w:textAlignment w:val="auto"/>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（1）正本与副本不一致时，以正本为准；</w:t>
      </w:r>
    </w:p>
    <w:p w14:paraId="1C1DFFCE">
      <w:pPr>
        <w:keepNext w:val="0"/>
        <w:keepLines w:val="0"/>
        <w:pageBreakBefore w:val="0"/>
        <w:widowControl w:val="0"/>
        <w:kinsoku/>
        <w:wordWrap/>
        <w:overflowPunct/>
        <w:topLinePunct w:val="0"/>
        <w:autoSpaceDE/>
        <w:autoSpaceDN/>
        <w:bidi w:val="0"/>
        <w:adjustRightInd w:val="0"/>
        <w:snapToGrid w:val="0"/>
        <w:spacing w:line="440" w:lineRule="exact"/>
        <w:ind w:firstLine="554" w:firstLineChars="214"/>
        <w:textAlignment w:val="auto"/>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（2）对不同文字文本投标文件的解释发生异议的，以中文文本为准；</w:t>
      </w:r>
    </w:p>
    <w:p w14:paraId="0FA4EFE6">
      <w:pPr>
        <w:keepNext w:val="0"/>
        <w:keepLines w:val="0"/>
        <w:pageBreakBefore w:val="0"/>
        <w:widowControl w:val="0"/>
        <w:kinsoku/>
        <w:wordWrap/>
        <w:overflowPunct/>
        <w:topLinePunct w:val="0"/>
        <w:autoSpaceDE/>
        <w:autoSpaceDN/>
        <w:bidi w:val="0"/>
        <w:adjustRightInd w:val="0"/>
        <w:snapToGrid w:val="0"/>
        <w:spacing w:line="440" w:lineRule="exact"/>
        <w:ind w:firstLine="554" w:firstLineChars="214"/>
        <w:textAlignment w:val="auto"/>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（3）投标函总价与投标报价明细表合计金额不一致的，以投标函为准；但投标函存在明显单位、文字错误的，则澄清、说明、补正；</w:t>
      </w:r>
    </w:p>
    <w:p w14:paraId="1D4C1865">
      <w:pPr>
        <w:keepNext w:val="0"/>
        <w:keepLines w:val="0"/>
        <w:pageBreakBefore w:val="0"/>
        <w:widowControl w:val="0"/>
        <w:kinsoku/>
        <w:wordWrap/>
        <w:overflowPunct/>
        <w:topLinePunct w:val="0"/>
        <w:autoSpaceDE/>
        <w:autoSpaceDN/>
        <w:bidi w:val="0"/>
        <w:adjustRightInd w:val="0"/>
        <w:snapToGrid w:val="0"/>
        <w:spacing w:line="440" w:lineRule="exact"/>
        <w:ind w:firstLine="554" w:firstLineChars="214"/>
        <w:textAlignment w:val="auto"/>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（4）投标报价明细表合计金额与按综合单价汇总金额不一致的，以合计金额为准，修改综合单价；</w:t>
      </w:r>
    </w:p>
    <w:p w14:paraId="429F09B8">
      <w:pPr>
        <w:keepNext w:val="0"/>
        <w:keepLines w:val="0"/>
        <w:pageBreakBefore w:val="0"/>
        <w:widowControl w:val="0"/>
        <w:kinsoku/>
        <w:wordWrap/>
        <w:overflowPunct/>
        <w:topLinePunct w:val="0"/>
        <w:autoSpaceDE/>
        <w:autoSpaceDN/>
        <w:bidi w:val="0"/>
        <w:adjustRightInd w:val="0"/>
        <w:snapToGrid w:val="0"/>
        <w:spacing w:line="440" w:lineRule="exact"/>
        <w:ind w:firstLine="554" w:firstLineChars="214"/>
        <w:textAlignment w:val="auto"/>
        <w:rPr>
          <w:rFonts w:hint="eastAsia" w:ascii="宋体" w:hAnsi="宋体" w:eastAsia="宋体" w:cs="宋体"/>
          <w:b/>
          <w:color w:val="auto"/>
          <w:spacing w:val="9"/>
          <w:sz w:val="24"/>
          <w:highlight w:val="none"/>
          <w:u w:val="single"/>
          <w:lang w:val="zh-CN"/>
        </w:rPr>
      </w:pPr>
      <w:r>
        <w:rPr>
          <w:rFonts w:hint="eastAsia" w:ascii="宋体" w:hAnsi="宋体" w:eastAsia="宋体" w:cs="宋体"/>
          <w:b/>
          <w:color w:val="auto"/>
          <w:spacing w:val="9"/>
          <w:sz w:val="24"/>
          <w:highlight w:val="none"/>
          <w:u w:val="single"/>
          <w:lang w:val="zh-CN"/>
        </w:rPr>
        <w:t>（5）大写金额和小写金额不一致的，以大写金额为准；但大写有明显单位、文字错误的除外；</w:t>
      </w:r>
    </w:p>
    <w:p w14:paraId="34995627">
      <w:pPr>
        <w:keepNext w:val="0"/>
        <w:keepLines w:val="0"/>
        <w:pageBreakBefore w:val="0"/>
        <w:widowControl w:val="0"/>
        <w:kinsoku/>
        <w:wordWrap/>
        <w:overflowPunct/>
        <w:topLinePunct w:val="0"/>
        <w:autoSpaceDE/>
        <w:autoSpaceDN/>
        <w:bidi w:val="0"/>
        <w:adjustRightInd w:val="0"/>
        <w:snapToGrid w:val="0"/>
        <w:spacing w:line="440" w:lineRule="exact"/>
        <w:ind w:firstLine="554" w:firstLineChars="214"/>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9"/>
          <w:sz w:val="24"/>
          <w:highlight w:val="none"/>
          <w:u w:val="single"/>
          <w:lang w:val="zh-CN"/>
        </w:rPr>
        <w:t>（6）计量单位与第二章“投标人须知”第1.12款不符的，按招标文件规定进行修正。</w:t>
      </w:r>
    </w:p>
    <w:p w14:paraId="54B6C32F">
      <w:pPr>
        <w:pStyle w:val="3"/>
        <w:spacing w:before="140" w:after="140" w:line="360" w:lineRule="auto"/>
        <w:ind w:firstLine="482" w:firstLineChars="200"/>
        <w:jc w:val="both"/>
        <w:rPr>
          <w:rFonts w:hint="eastAsia" w:ascii="宋体" w:hAnsi="宋体" w:eastAsia="宋体" w:cs="宋体"/>
          <w:color w:val="auto"/>
          <w:sz w:val="24"/>
          <w:szCs w:val="24"/>
          <w:highlight w:val="none"/>
        </w:rPr>
      </w:pPr>
      <w:bookmarkStart w:id="125" w:name="_Toc23731"/>
      <w:r>
        <w:rPr>
          <w:rFonts w:hint="eastAsia" w:ascii="宋体" w:hAnsi="宋体" w:eastAsia="宋体" w:cs="宋体"/>
          <w:color w:val="auto"/>
          <w:sz w:val="24"/>
          <w:szCs w:val="24"/>
          <w:highlight w:val="none"/>
        </w:rPr>
        <w:t>7、排序与推荐中标候选人</w:t>
      </w:r>
      <w:bookmarkEnd w:id="125"/>
    </w:p>
    <w:p w14:paraId="3A44B341">
      <w:pPr>
        <w:keepNext w:val="0"/>
        <w:keepLines w:val="0"/>
        <w:pageBreakBefore w:val="0"/>
        <w:widowControl w:val="0"/>
        <w:kinsoku/>
        <w:wordWrap/>
        <w:overflowPunct/>
        <w:topLinePunct w:val="0"/>
        <w:autoSpaceDE/>
        <w:autoSpaceDN/>
        <w:bidi w:val="0"/>
        <w:adjustRightInd/>
        <w:snapToGrid/>
        <w:spacing w:line="440" w:lineRule="exact"/>
        <w:ind w:right="0" w:firstLine="420"/>
        <w:textAlignment w:val="auto"/>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7.1评标委员会从有效投标中按投标报价由低到高排序推荐中标候选人（数量见投标人须知前附表）。若报价相同，则由评标委员会按少数服从多数的原则通过投票表决决定排名先后。</w:t>
      </w:r>
    </w:p>
    <w:p w14:paraId="38F973BC">
      <w:pPr>
        <w:pStyle w:val="3"/>
        <w:spacing w:before="140" w:after="140" w:line="360" w:lineRule="auto"/>
        <w:jc w:val="center"/>
        <w:rPr>
          <w:rFonts w:hint="eastAsia" w:ascii="宋体" w:hAnsi="宋体" w:eastAsia="宋体" w:cs="宋体"/>
          <w:color w:val="auto"/>
          <w:sz w:val="24"/>
          <w:szCs w:val="24"/>
          <w:highlight w:val="none"/>
        </w:rPr>
      </w:pPr>
      <w:bookmarkStart w:id="126" w:name="_Toc1609"/>
      <w:r>
        <w:rPr>
          <w:rFonts w:hint="eastAsia" w:ascii="宋体" w:hAnsi="宋体" w:eastAsia="宋体" w:cs="宋体"/>
          <w:color w:val="auto"/>
          <w:sz w:val="24"/>
          <w:szCs w:val="24"/>
          <w:highlight w:val="none"/>
        </w:rPr>
        <w:t>8、完成评标报告</w:t>
      </w:r>
      <w:bookmarkEnd w:id="126"/>
    </w:p>
    <w:p w14:paraId="6F983B05">
      <w:pPr>
        <w:spacing w:line="400" w:lineRule="exact"/>
        <w:ind w:right="2" w:firstLine="422"/>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8.1 </w:t>
      </w:r>
      <w:r>
        <w:rPr>
          <w:rFonts w:hint="eastAsia" w:ascii="宋体" w:hAnsi="宋体" w:eastAsia="宋体" w:cs="宋体"/>
          <w:color w:val="auto"/>
          <w:spacing w:val="11"/>
          <w:sz w:val="24"/>
          <w:highlight w:val="none"/>
        </w:rPr>
        <w:t>评标委员会完成评标后，应当根据全体评标成员签字的原始评标记录和</w:t>
      </w:r>
      <w:r>
        <w:rPr>
          <w:rFonts w:hint="eastAsia" w:ascii="宋体" w:hAnsi="宋体" w:eastAsia="宋体" w:cs="宋体"/>
          <w:color w:val="auto"/>
          <w:spacing w:val="10"/>
          <w:sz w:val="24"/>
          <w:highlight w:val="none"/>
        </w:rPr>
        <w:t>评标结果编写评标</w:t>
      </w:r>
      <w:r>
        <w:rPr>
          <w:rFonts w:hint="eastAsia" w:ascii="宋体" w:hAnsi="宋体" w:eastAsia="宋体" w:cs="宋体"/>
          <w:color w:val="auto"/>
          <w:spacing w:val="8"/>
          <w:sz w:val="24"/>
          <w:highlight w:val="none"/>
        </w:rPr>
        <w:t>报告，并推荐中标候选人，评审报告由评标委员会成员</w:t>
      </w:r>
      <w:r>
        <w:rPr>
          <w:rFonts w:hint="eastAsia" w:ascii="宋体" w:hAnsi="宋体" w:eastAsia="宋体" w:cs="宋体"/>
          <w:color w:val="auto"/>
          <w:spacing w:val="7"/>
          <w:sz w:val="24"/>
          <w:highlight w:val="none"/>
        </w:rPr>
        <w:t>签字确认提交招标人</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并抄送有关监督部门</w:t>
      </w:r>
      <w:r>
        <w:rPr>
          <w:rFonts w:hint="eastAsia" w:ascii="宋体" w:hAnsi="宋体" w:eastAsia="宋体" w:cs="宋体"/>
          <w:color w:val="auto"/>
          <w:spacing w:val="8"/>
          <w:sz w:val="24"/>
          <w:highlight w:val="none"/>
        </w:rPr>
        <w:t>。</w:t>
      </w:r>
    </w:p>
    <w:p w14:paraId="2C213A65">
      <w:pPr>
        <w:spacing w:line="400" w:lineRule="exact"/>
        <w:ind w:left="3" w:right="2" w:firstLine="41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8.2 </w:t>
      </w:r>
      <w:r>
        <w:rPr>
          <w:rFonts w:hint="eastAsia" w:ascii="宋体" w:hAnsi="宋体" w:eastAsia="宋体" w:cs="宋体"/>
          <w:color w:val="auto"/>
          <w:spacing w:val="11"/>
          <w:sz w:val="24"/>
          <w:highlight w:val="none"/>
        </w:rPr>
        <w:t>评标委员会成员对需要共同认定的事项存在争议的，应当按照少数服从</w:t>
      </w:r>
      <w:r>
        <w:rPr>
          <w:rFonts w:hint="eastAsia" w:ascii="宋体" w:hAnsi="宋体" w:eastAsia="宋体" w:cs="宋体"/>
          <w:color w:val="auto"/>
          <w:spacing w:val="10"/>
          <w:sz w:val="24"/>
          <w:highlight w:val="none"/>
        </w:rPr>
        <w:t>多数的原则作出结</w:t>
      </w:r>
      <w:r>
        <w:rPr>
          <w:rFonts w:hint="eastAsia" w:ascii="宋体" w:hAnsi="宋体" w:eastAsia="宋体" w:cs="宋体"/>
          <w:color w:val="auto"/>
          <w:spacing w:val="8"/>
          <w:sz w:val="24"/>
          <w:highlight w:val="none"/>
        </w:rPr>
        <w:t>论。持不同意见的评标委员会成员应当在评标</w:t>
      </w:r>
      <w:r>
        <w:rPr>
          <w:rFonts w:hint="eastAsia" w:ascii="宋体" w:hAnsi="宋体" w:eastAsia="宋体" w:cs="宋体"/>
          <w:color w:val="auto"/>
          <w:spacing w:val="7"/>
          <w:sz w:val="24"/>
          <w:highlight w:val="none"/>
        </w:rPr>
        <w:t>报告上签署不同意见及理由</w:t>
      </w:r>
      <w:r>
        <w:rPr>
          <w:rFonts w:hint="eastAsia" w:ascii="宋体" w:hAnsi="宋体" w:eastAsia="宋体" w:cs="宋体"/>
          <w:color w:val="auto"/>
          <w:spacing w:val="8"/>
          <w:sz w:val="24"/>
          <w:highlight w:val="none"/>
        </w:rPr>
        <w:t>，</w:t>
      </w:r>
      <w:r>
        <w:rPr>
          <w:rFonts w:hint="eastAsia" w:ascii="宋体" w:hAnsi="宋体" w:eastAsia="宋体" w:cs="宋体"/>
          <w:color w:val="auto"/>
          <w:spacing w:val="7"/>
          <w:sz w:val="24"/>
          <w:highlight w:val="none"/>
        </w:rPr>
        <w:t>否则视为同意评标报告</w:t>
      </w:r>
      <w:r>
        <w:rPr>
          <w:rFonts w:hint="eastAsia" w:ascii="宋体" w:hAnsi="宋体" w:eastAsia="宋体" w:cs="宋体"/>
          <w:color w:val="auto"/>
          <w:spacing w:val="8"/>
          <w:sz w:val="24"/>
          <w:highlight w:val="none"/>
        </w:rPr>
        <w:t>。</w:t>
      </w:r>
    </w:p>
    <w:p w14:paraId="0B8BE33D">
      <w:pPr>
        <w:spacing w:line="400" w:lineRule="exact"/>
        <w:ind w:firstLine="422"/>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 xml:space="preserve">8.3 </w:t>
      </w:r>
      <w:r>
        <w:rPr>
          <w:rFonts w:hint="eastAsia" w:ascii="宋体" w:hAnsi="宋体" w:eastAsia="宋体" w:cs="宋体"/>
          <w:color w:val="auto"/>
          <w:spacing w:val="5"/>
          <w:sz w:val="24"/>
          <w:highlight w:val="none"/>
        </w:rPr>
        <w:t>评标报告应包</w:t>
      </w:r>
      <w:r>
        <w:rPr>
          <w:rFonts w:hint="eastAsia" w:ascii="宋体" w:hAnsi="宋体" w:eastAsia="宋体" w:cs="宋体"/>
          <w:color w:val="auto"/>
          <w:spacing w:val="4"/>
          <w:sz w:val="24"/>
          <w:highlight w:val="none"/>
        </w:rPr>
        <w:t>括以下内容</w:t>
      </w:r>
      <w:r>
        <w:rPr>
          <w:rFonts w:hint="eastAsia" w:ascii="宋体" w:hAnsi="宋体" w:eastAsia="宋体" w:cs="宋体"/>
          <w:color w:val="auto"/>
          <w:spacing w:val="5"/>
          <w:sz w:val="24"/>
          <w:highlight w:val="none"/>
        </w:rPr>
        <w:t>：</w:t>
      </w:r>
    </w:p>
    <w:p w14:paraId="46AC3692">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（1）开标记录；</w:t>
      </w:r>
    </w:p>
    <w:p w14:paraId="7B6811FE">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（2）评标内容、过程和结果；</w:t>
      </w:r>
    </w:p>
    <w:p w14:paraId="0E198566">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（3）否决投标情况说明及依据（包括对投标竞争性认定的理由（若有））；</w:t>
      </w:r>
    </w:p>
    <w:p w14:paraId="64BE1240">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（4）询标澄清纪要；</w:t>
      </w:r>
    </w:p>
    <w:p w14:paraId="34100A3D">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（5）中标候选人的优劣对比和存在问题（若有）；</w:t>
      </w:r>
    </w:p>
    <w:p w14:paraId="3FBD1A95">
      <w:pPr>
        <w:spacing w:line="400" w:lineRule="exact"/>
        <w:ind w:left="3" w:right="2" w:firstLine="419"/>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（6）评标委员会成员的不同意见及理由（若有）；</w:t>
      </w:r>
    </w:p>
    <w:p w14:paraId="61C2DAFF">
      <w:pPr>
        <w:spacing w:line="400" w:lineRule="exact"/>
        <w:ind w:left="3" w:right="2" w:firstLine="419"/>
        <w:rPr>
          <w:rFonts w:hint="eastAsia" w:ascii="宋体" w:hAnsi="宋体" w:eastAsia="宋体" w:cs="宋体"/>
          <w:b/>
          <w:color w:val="auto"/>
          <w:kern w:val="44"/>
          <w:szCs w:val="44"/>
          <w:highlight w:val="none"/>
        </w:rPr>
      </w:pPr>
      <w:r>
        <w:rPr>
          <w:rFonts w:hint="eastAsia" w:ascii="宋体" w:hAnsi="宋体" w:eastAsia="宋体" w:cs="宋体"/>
          <w:color w:val="auto"/>
          <w:spacing w:val="11"/>
          <w:sz w:val="24"/>
          <w:highlight w:val="none"/>
        </w:rPr>
        <w:t>（7）其他建议。</w:t>
      </w:r>
      <w:r>
        <w:rPr>
          <w:rFonts w:hint="eastAsia" w:ascii="宋体" w:hAnsi="宋体" w:eastAsia="宋体" w:cs="宋体"/>
          <w:color w:val="auto"/>
          <w:sz w:val="24"/>
          <w:highlight w:val="none"/>
        </w:rPr>
        <w:br w:type="page"/>
      </w:r>
      <w:bookmarkEnd w:id="116"/>
      <w:bookmarkEnd w:id="117"/>
      <w:bookmarkStart w:id="127" w:name="_Toc12216"/>
    </w:p>
    <w:p w14:paraId="2FDEA5F3">
      <w:pPr>
        <w:widowControl/>
        <w:numPr>
          <w:ilvl w:val="255"/>
          <w:numId w:val="0"/>
        </w:numPr>
        <w:spacing w:line="360" w:lineRule="auto"/>
        <w:jc w:val="center"/>
        <w:outlineLvl w:val="0"/>
        <w:rPr>
          <w:rFonts w:hint="eastAsia" w:ascii="宋体" w:hAnsi="宋体" w:eastAsia="宋体" w:cs="宋体"/>
          <w:b/>
          <w:bCs w:val="0"/>
          <w:color w:val="auto"/>
          <w:kern w:val="44"/>
          <w:szCs w:val="44"/>
          <w:highlight w:val="none"/>
        </w:rPr>
      </w:pPr>
      <w:bookmarkStart w:id="128" w:name="_Toc10023"/>
      <w:r>
        <w:rPr>
          <w:rFonts w:hint="eastAsia" w:ascii="宋体" w:hAnsi="宋体" w:eastAsia="宋体" w:cs="宋体"/>
          <w:b/>
          <w:bCs w:val="0"/>
          <w:color w:val="auto"/>
          <w:kern w:val="44"/>
          <w:szCs w:val="44"/>
          <w:highlight w:val="none"/>
        </w:rPr>
        <w:t>第五章  投标文件格式</w:t>
      </w:r>
      <w:bookmarkEnd w:id="127"/>
      <w:bookmarkEnd w:id="128"/>
    </w:p>
    <w:p w14:paraId="3E067811">
      <w:pPr>
        <w:wordWrap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投标文件封面格式</w:t>
      </w:r>
    </w:p>
    <w:p w14:paraId="03C35E77">
      <w:pPr>
        <w:adjustRightInd w:val="0"/>
        <w:snapToGrid w:val="0"/>
        <w:spacing w:line="360" w:lineRule="auto"/>
        <w:ind w:firstLine="480" w:firstLineChars="200"/>
        <w:jc w:val="center"/>
        <w:rPr>
          <w:rFonts w:hint="eastAsia" w:ascii="宋体" w:hAnsi="宋体" w:eastAsia="宋体" w:cs="宋体"/>
          <w:snapToGrid w:val="0"/>
          <w:color w:val="auto"/>
          <w:kern w:val="0"/>
          <w:sz w:val="24"/>
          <w:highlight w:val="none"/>
        </w:rPr>
      </w:pPr>
    </w:p>
    <w:p w14:paraId="056368FD">
      <w:pPr>
        <w:adjustRightInd w:val="0"/>
        <w:snapToGrid w:val="0"/>
        <w:spacing w:line="360" w:lineRule="auto"/>
        <w:ind w:right="420" w:firstLine="7920" w:firstLineChars="3300"/>
        <w:rPr>
          <w:rFonts w:hint="eastAsia" w:ascii="宋体" w:hAnsi="宋体" w:eastAsia="宋体" w:cs="宋体"/>
          <w:color w:val="auto"/>
          <w:sz w:val="24"/>
          <w:highlight w:val="none"/>
        </w:rPr>
      </w:pPr>
      <w:r>
        <w:rPr>
          <w:rFonts w:hint="eastAsia" w:ascii="宋体" w:hAnsi="宋体" w:eastAsia="宋体" w:cs="宋体"/>
          <w:color w:val="auto"/>
          <w:sz w:val="24"/>
          <w:highlight w:val="none"/>
        </w:rPr>
        <w:t>正本/副本</w:t>
      </w:r>
    </w:p>
    <w:p w14:paraId="401F08D1">
      <w:pPr>
        <w:wordWrap w:val="0"/>
        <w:spacing w:line="440" w:lineRule="exact"/>
        <w:ind w:firstLine="1440" w:firstLineChars="600"/>
        <w:rPr>
          <w:rFonts w:hint="eastAsia" w:ascii="宋体" w:hAnsi="宋体" w:eastAsia="宋体" w:cs="宋体"/>
          <w:color w:val="auto"/>
          <w:sz w:val="24"/>
          <w:highlight w:val="none"/>
        </w:rPr>
      </w:pPr>
    </w:p>
    <w:p w14:paraId="0EE96A6B">
      <w:pPr>
        <w:wordWrap w:val="0"/>
        <w:spacing w:line="440" w:lineRule="exact"/>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2024年-2026年临江公司水泥采购项目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5BD8FFF">
      <w:pPr>
        <w:wordWrap w:val="0"/>
        <w:spacing w:line="440" w:lineRule="exact"/>
        <w:ind w:firstLine="240" w:firstLineChars="100"/>
        <w:rPr>
          <w:rFonts w:hint="eastAsia" w:ascii="宋体" w:hAnsi="宋体" w:eastAsia="宋体" w:cs="宋体"/>
          <w:color w:val="auto"/>
          <w:sz w:val="24"/>
          <w:highlight w:val="none"/>
        </w:rPr>
      </w:pPr>
    </w:p>
    <w:p w14:paraId="2BC3A8D6">
      <w:pPr>
        <w:wordWrap w:val="0"/>
        <w:spacing w:line="440" w:lineRule="exact"/>
        <w:ind w:firstLine="1440" w:firstLineChars="6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lang w:eastAsia="zh-CN"/>
        </w:rPr>
        <w:t>NY-1HZB2408069</w:t>
      </w:r>
    </w:p>
    <w:p w14:paraId="61AA251B">
      <w:pPr>
        <w:wordWrap w:val="0"/>
        <w:spacing w:line="440" w:lineRule="exact"/>
        <w:rPr>
          <w:rFonts w:hint="eastAsia" w:ascii="宋体" w:hAnsi="宋体" w:eastAsia="宋体" w:cs="宋体"/>
          <w:color w:val="auto"/>
          <w:sz w:val="24"/>
          <w:highlight w:val="none"/>
        </w:rPr>
      </w:pPr>
    </w:p>
    <w:p w14:paraId="212ADE9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9C517B1">
      <w:pPr>
        <w:adjustRightInd w:val="0"/>
        <w:snapToGrid w:val="0"/>
        <w:spacing w:line="360" w:lineRule="auto"/>
        <w:jc w:val="center"/>
        <w:rPr>
          <w:rFonts w:hint="eastAsia" w:ascii="宋体" w:hAnsi="宋体" w:eastAsia="宋体" w:cs="宋体"/>
          <w:color w:val="auto"/>
          <w:sz w:val="24"/>
          <w:highlight w:val="none"/>
        </w:rPr>
      </w:pPr>
    </w:p>
    <w:p w14:paraId="6642363F">
      <w:pPr>
        <w:adjustRightInd w:val="0"/>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 标 文 件</w:t>
      </w:r>
    </w:p>
    <w:p w14:paraId="5D5F7D5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02AB318">
      <w:pPr>
        <w:adjustRightInd w:val="0"/>
        <w:snapToGrid w:val="0"/>
        <w:spacing w:line="360" w:lineRule="auto"/>
        <w:ind w:firstLine="480" w:firstLineChars="200"/>
        <w:rPr>
          <w:rFonts w:hint="eastAsia" w:ascii="宋体" w:hAnsi="宋体" w:eastAsia="宋体" w:cs="宋体"/>
          <w:color w:val="auto"/>
          <w:sz w:val="24"/>
          <w:highlight w:val="none"/>
        </w:rPr>
      </w:pPr>
    </w:p>
    <w:p w14:paraId="271539D9">
      <w:pPr>
        <w:adjustRightInd w:val="0"/>
        <w:snapToGrid w:val="0"/>
        <w:spacing w:line="360" w:lineRule="auto"/>
        <w:ind w:firstLine="480" w:firstLineChars="200"/>
        <w:rPr>
          <w:rFonts w:hint="eastAsia" w:ascii="宋体" w:hAnsi="宋体" w:eastAsia="宋体" w:cs="宋体"/>
          <w:color w:val="auto"/>
          <w:sz w:val="24"/>
          <w:highlight w:val="none"/>
        </w:rPr>
      </w:pPr>
    </w:p>
    <w:p w14:paraId="48FD8F3C">
      <w:pPr>
        <w:adjustRightInd w:val="0"/>
        <w:snapToGrid w:val="0"/>
        <w:spacing w:line="360" w:lineRule="auto"/>
        <w:ind w:firstLine="480" w:firstLineChars="200"/>
        <w:rPr>
          <w:rFonts w:hint="eastAsia" w:ascii="宋体" w:hAnsi="宋体" w:eastAsia="宋体" w:cs="宋体"/>
          <w:color w:val="auto"/>
          <w:sz w:val="24"/>
          <w:highlight w:val="none"/>
        </w:rPr>
      </w:pPr>
    </w:p>
    <w:p w14:paraId="3FC52958">
      <w:pPr>
        <w:adjustRightInd w:val="0"/>
        <w:snapToGrid w:val="0"/>
        <w:spacing w:line="360" w:lineRule="auto"/>
        <w:rPr>
          <w:rFonts w:hint="eastAsia" w:ascii="宋体" w:hAnsi="宋体" w:eastAsia="宋体" w:cs="宋体"/>
          <w:color w:val="auto"/>
          <w:sz w:val="24"/>
          <w:highlight w:val="none"/>
        </w:rPr>
      </w:pPr>
    </w:p>
    <w:p w14:paraId="70B31519">
      <w:pPr>
        <w:adjustRightInd w:val="0"/>
        <w:snapToGrid w:val="0"/>
        <w:spacing w:line="360" w:lineRule="auto"/>
        <w:ind w:firstLine="480" w:firstLineChars="200"/>
        <w:jc w:val="center"/>
        <w:rPr>
          <w:rFonts w:hint="eastAsia" w:ascii="宋体" w:hAnsi="宋体" w:eastAsia="宋体" w:cs="宋体"/>
          <w:color w:val="auto"/>
          <w:sz w:val="24"/>
          <w:highlight w:val="none"/>
        </w:rPr>
      </w:pPr>
    </w:p>
    <w:p w14:paraId="6F26F642">
      <w:pPr>
        <w:adjustRightInd w:val="0"/>
        <w:snapToGrid w:val="0"/>
        <w:spacing w:line="360" w:lineRule="auto"/>
        <w:ind w:firstLine="480" w:firstLineChars="200"/>
        <w:jc w:val="center"/>
        <w:rPr>
          <w:rFonts w:hint="eastAsia" w:ascii="宋体" w:hAnsi="宋体" w:eastAsia="宋体" w:cs="宋体"/>
          <w:color w:val="auto"/>
          <w:sz w:val="24"/>
          <w:highlight w:val="none"/>
        </w:rPr>
      </w:pPr>
    </w:p>
    <w:p w14:paraId="047067D5">
      <w:pPr>
        <w:adjustRightInd w:val="0"/>
        <w:snapToGrid w:val="0"/>
        <w:spacing w:line="360" w:lineRule="auto"/>
        <w:ind w:firstLine="480" w:firstLineChars="200"/>
        <w:jc w:val="center"/>
        <w:rPr>
          <w:rFonts w:hint="eastAsia" w:ascii="宋体" w:hAnsi="宋体" w:eastAsia="宋体" w:cs="宋体"/>
          <w:color w:val="auto"/>
          <w:sz w:val="24"/>
          <w:highlight w:val="none"/>
        </w:rPr>
      </w:pPr>
    </w:p>
    <w:p w14:paraId="54525369">
      <w:pPr>
        <w:adjustRightInd w:val="0"/>
        <w:snapToGrid w:val="0"/>
        <w:spacing w:line="360" w:lineRule="auto"/>
        <w:ind w:firstLine="1200" w:firstLineChars="500"/>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投标人：</w:t>
      </w:r>
      <w:r>
        <w:rPr>
          <w:rFonts w:hint="eastAsia" w:ascii="宋体" w:hAnsi="宋体" w:eastAsia="宋体" w:cs="宋体"/>
          <w:snapToGrid w:val="0"/>
          <w:color w:val="auto"/>
          <w:kern w:val="0"/>
          <w:sz w:val="24"/>
          <w:highlight w:val="none"/>
          <w:u w:val="single"/>
        </w:rPr>
        <w:t xml:space="preserve">                     （盖单位公章）</w:t>
      </w:r>
    </w:p>
    <w:p w14:paraId="3DD5A32F">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法定代表人（负责人）或其委托代理人：</w:t>
      </w:r>
      <w:r>
        <w:rPr>
          <w:rFonts w:hint="eastAsia" w:ascii="宋体" w:hAnsi="宋体" w:eastAsia="宋体" w:cs="宋体"/>
          <w:snapToGrid w:val="0"/>
          <w:color w:val="auto"/>
          <w:kern w:val="0"/>
          <w:sz w:val="24"/>
          <w:highlight w:val="none"/>
          <w:u w:val="single"/>
        </w:rPr>
        <w:t xml:space="preserve">   （签字或盖章）</w:t>
      </w:r>
    </w:p>
    <w:p w14:paraId="00F6A94E">
      <w:pPr>
        <w:adjustRightInd w:val="0"/>
        <w:snapToGrid w:val="0"/>
        <w:spacing w:line="360" w:lineRule="auto"/>
        <w:ind w:firstLine="1200" w:firstLineChars="5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  期：</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p>
    <w:p w14:paraId="00583821">
      <w:pPr>
        <w:adjustRightInd w:val="0"/>
        <w:snapToGrid w:val="0"/>
        <w:spacing w:line="360" w:lineRule="auto"/>
        <w:jc w:val="center"/>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bookmarkStart w:id="129" w:name="_Toc17952"/>
      <w:bookmarkStart w:id="130" w:name="_Toc5473"/>
      <w:bookmarkStart w:id="131" w:name="_Toc83886040"/>
      <w:r>
        <w:rPr>
          <w:rFonts w:hint="eastAsia" w:ascii="宋体" w:hAnsi="宋体" w:eastAsia="宋体" w:cs="宋体"/>
          <w:b/>
          <w:bCs/>
          <w:color w:val="auto"/>
          <w:sz w:val="24"/>
          <w:highlight w:val="none"/>
        </w:rPr>
        <w:t>资格审查索引</w:t>
      </w:r>
      <w:bookmarkEnd w:id="129"/>
      <w:bookmarkEnd w:id="130"/>
      <w:bookmarkEnd w:id="131"/>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34631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C7E9025">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14:paraId="6B851D4D">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14:paraId="4691E530">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14:paraId="68E044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F29784F">
            <w:pPr>
              <w:snapToGrid w:val="0"/>
              <w:spacing w:line="360" w:lineRule="exact"/>
              <w:jc w:val="center"/>
              <w:rPr>
                <w:rFonts w:hint="eastAsia" w:ascii="宋体" w:hAnsi="宋体" w:eastAsia="宋体" w:cs="宋体"/>
                <w:color w:val="auto"/>
                <w:sz w:val="24"/>
                <w:highlight w:val="none"/>
              </w:rPr>
            </w:pPr>
          </w:p>
        </w:tc>
        <w:tc>
          <w:tcPr>
            <w:tcW w:w="5470" w:type="dxa"/>
            <w:vAlign w:val="center"/>
          </w:tcPr>
          <w:p w14:paraId="5FB77924">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68388F45">
            <w:pPr>
              <w:snapToGrid w:val="0"/>
              <w:spacing w:line="360" w:lineRule="exact"/>
              <w:jc w:val="center"/>
              <w:rPr>
                <w:rFonts w:hint="eastAsia" w:ascii="宋体" w:hAnsi="宋体" w:eastAsia="宋体" w:cs="宋体"/>
                <w:color w:val="auto"/>
                <w:sz w:val="24"/>
                <w:highlight w:val="none"/>
              </w:rPr>
            </w:pPr>
          </w:p>
        </w:tc>
      </w:tr>
      <w:tr w14:paraId="2AD55D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E597D19">
            <w:pPr>
              <w:snapToGrid w:val="0"/>
              <w:spacing w:line="360" w:lineRule="exact"/>
              <w:jc w:val="center"/>
              <w:rPr>
                <w:rFonts w:hint="eastAsia" w:ascii="宋体" w:hAnsi="宋体" w:eastAsia="宋体" w:cs="宋体"/>
                <w:color w:val="auto"/>
                <w:sz w:val="24"/>
                <w:highlight w:val="none"/>
              </w:rPr>
            </w:pPr>
          </w:p>
        </w:tc>
        <w:tc>
          <w:tcPr>
            <w:tcW w:w="5470" w:type="dxa"/>
          </w:tcPr>
          <w:p w14:paraId="486D8DBB">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574A9FA1">
            <w:pPr>
              <w:snapToGrid w:val="0"/>
              <w:spacing w:line="360" w:lineRule="exact"/>
              <w:jc w:val="center"/>
              <w:rPr>
                <w:rFonts w:hint="eastAsia" w:ascii="宋体" w:hAnsi="宋体" w:eastAsia="宋体" w:cs="宋体"/>
                <w:b/>
                <w:color w:val="auto"/>
                <w:sz w:val="24"/>
                <w:highlight w:val="none"/>
              </w:rPr>
            </w:pPr>
          </w:p>
        </w:tc>
      </w:tr>
      <w:tr w14:paraId="688AB5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70CE36D">
            <w:pPr>
              <w:snapToGrid w:val="0"/>
              <w:spacing w:line="360" w:lineRule="exact"/>
              <w:jc w:val="center"/>
              <w:rPr>
                <w:rFonts w:hint="eastAsia" w:ascii="宋体" w:hAnsi="宋体" w:eastAsia="宋体" w:cs="宋体"/>
                <w:color w:val="auto"/>
                <w:sz w:val="24"/>
                <w:highlight w:val="none"/>
              </w:rPr>
            </w:pPr>
          </w:p>
        </w:tc>
        <w:tc>
          <w:tcPr>
            <w:tcW w:w="5470" w:type="dxa"/>
          </w:tcPr>
          <w:p w14:paraId="158ADA56">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4102FD16">
            <w:pPr>
              <w:snapToGrid w:val="0"/>
              <w:spacing w:line="360" w:lineRule="exact"/>
              <w:jc w:val="center"/>
              <w:rPr>
                <w:rFonts w:hint="eastAsia" w:ascii="宋体" w:hAnsi="宋体" w:eastAsia="宋体" w:cs="宋体"/>
                <w:b/>
                <w:color w:val="auto"/>
                <w:sz w:val="24"/>
                <w:highlight w:val="none"/>
              </w:rPr>
            </w:pPr>
          </w:p>
        </w:tc>
      </w:tr>
      <w:tr w14:paraId="1AA4B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39FD591">
            <w:pPr>
              <w:snapToGrid w:val="0"/>
              <w:spacing w:line="360" w:lineRule="exact"/>
              <w:jc w:val="center"/>
              <w:rPr>
                <w:rFonts w:hint="eastAsia" w:ascii="宋体" w:hAnsi="宋体" w:eastAsia="宋体" w:cs="宋体"/>
                <w:color w:val="auto"/>
                <w:sz w:val="24"/>
                <w:highlight w:val="none"/>
              </w:rPr>
            </w:pPr>
          </w:p>
        </w:tc>
        <w:tc>
          <w:tcPr>
            <w:tcW w:w="5470" w:type="dxa"/>
          </w:tcPr>
          <w:p w14:paraId="4BE4425D">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2E3F72C7">
            <w:pPr>
              <w:snapToGrid w:val="0"/>
              <w:spacing w:line="360" w:lineRule="exact"/>
              <w:jc w:val="center"/>
              <w:rPr>
                <w:rFonts w:hint="eastAsia" w:ascii="宋体" w:hAnsi="宋体" w:eastAsia="宋体" w:cs="宋体"/>
                <w:b/>
                <w:color w:val="auto"/>
                <w:sz w:val="24"/>
                <w:highlight w:val="none"/>
              </w:rPr>
            </w:pPr>
          </w:p>
        </w:tc>
      </w:tr>
      <w:tr w14:paraId="68A5B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790FA54">
            <w:pPr>
              <w:snapToGrid w:val="0"/>
              <w:spacing w:line="360" w:lineRule="exact"/>
              <w:jc w:val="center"/>
              <w:rPr>
                <w:rFonts w:hint="eastAsia" w:ascii="宋体" w:hAnsi="宋体" w:eastAsia="宋体" w:cs="宋体"/>
                <w:color w:val="auto"/>
                <w:sz w:val="24"/>
                <w:highlight w:val="none"/>
              </w:rPr>
            </w:pPr>
          </w:p>
        </w:tc>
        <w:tc>
          <w:tcPr>
            <w:tcW w:w="5470" w:type="dxa"/>
          </w:tcPr>
          <w:p w14:paraId="4A58EA8B">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78D3346F">
            <w:pPr>
              <w:snapToGrid w:val="0"/>
              <w:spacing w:line="360" w:lineRule="exact"/>
              <w:jc w:val="center"/>
              <w:rPr>
                <w:rFonts w:hint="eastAsia" w:ascii="宋体" w:hAnsi="宋体" w:eastAsia="宋体" w:cs="宋体"/>
                <w:b/>
                <w:color w:val="auto"/>
                <w:sz w:val="24"/>
                <w:highlight w:val="none"/>
              </w:rPr>
            </w:pPr>
          </w:p>
        </w:tc>
      </w:tr>
    </w:tbl>
    <w:p w14:paraId="28A382D0">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注：投标人根据招标公告“</w:t>
      </w:r>
      <w:r>
        <w:rPr>
          <w:rFonts w:hint="eastAsia" w:ascii="宋体" w:hAnsi="宋体" w:eastAsia="宋体" w:cs="宋体"/>
          <w:color w:val="auto"/>
          <w:sz w:val="24"/>
          <w:highlight w:val="none"/>
          <w:lang w:val="zh-CN"/>
        </w:rPr>
        <w:t>投标人资格条件</w:t>
      </w:r>
      <w:r>
        <w:rPr>
          <w:rFonts w:hint="eastAsia" w:ascii="宋体" w:hAnsi="宋体" w:eastAsia="宋体" w:cs="宋体"/>
          <w:color w:val="auto"/>
          <w:sz w:val="24"/>
          <w:highlight w:val="none"/>
        </w:rPr>
        <w:t>”条款一一对应填写本表。</w:t>
      </w:r>
    </w:p>
    <w:p w14:paraId="1FD51251">
      <w:pPr>
        <w:spacing w:line="420" w:lineRule="exact"/>
        <w:jc w:val="center"/>
        <w:rPr>
          <w:rFonts w:hint="eastAsia" w:ascii="宋体" w:hAnsi="宋体" w:eastAsia="宋体" w:cs="宋体"/>
          <w:color w:val="auto"/>
          <w:sz w:val="24"/>
          <w:highlight w:val="none"/>
        </w:rPr>
      </w:pPr>
    </w:p>
    <w:p w14:paraId="1023E3DF">
      <w:pPr>
        <w:spacing w:line="360" w:lineRule="auto"/>
        <w:jc w:val="center"/>
        <w:outlineLvl w:val="1"/>
        <w:rPr>
          <w:rFonts w:hint="eastAsia" w:ascii="宋体" w:hAnsi="宋体" w:eastAsia="宋体" w:cs="宋体"/>
          <w:b/>
          <w:bCs/>
          <w:color w:val="auto"/>
          <w:sz w:val="24"/>
          <w:highlight w:val="none"/>
        </w:rPr>
      </w:pPr>
      <w:bookmarkStart w:id="132" w:name="_Toc28418"/>
      <w:bookmarkStart w:id="133" w:name="_Toc83886041"/>
      <w:bookmarkStart w:id="134" w:name="_Toc6949"/>
      <w:r>
        <w:rPr>
          <w:rFonts w:hint="eastAsia" w:ascii="宋体" w:hAnsi="宋体" w:eastAsia="宋体" w:cs="宋体"/>
          <w:b/>
          <w:bCs/>
          <w:color w:val="auto"/>
          <w:sz w:val="24"/>
          <w:highlight w:val="none"/>
        </w:rPr>
        <w:t>符合性审查索引</w:t>
      </w:r>
      <w:bookmarkEnd w:id="132"/>
      <w:bookmarkEnd w:id="133"/>
      <w:bookmarkEnd w:id="134"/>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1C770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010F261">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470" w:type="dxa"/>
            <w:vAlign w:val="center"/>
          </w:tcPr>
          <w:p w14:paraId="73A4936E">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276" w:type="dxa"/>
            <w:vAlign w:val="center"/>
          </w:tcPr>
          <w:p w14:paraId="198A47AB">
            <w:pPr>
              <w:snapToGrid w:val="0"/>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14:paraId="4ADBA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EE55E1C">
            <w:pPr>
              <w:snapToGrid w:val="0"/>
              <w:spacing w:line="360" w:lineRule="exact"/>
              <w:jc w:val="center"/>
              <w:rPr>
                <w:rFonts w:hint="eastAsia" w:ascii="宋体" w:hAnsi="宋体" w:eastAsia="宋体" w:cs="宋体"/>
                <w:color w:val="auto"/>
                <w:sz w:val="24"/>
                <w:highlight w:val="none"/>
              </w:rPr>
            </w:pPr>
          </w:p>
        </w:tc>
        <w:tc>
          <w:tcPr>
            <w:tcW w:w="5470" w:type="dxa"/>
            <w:vAlign w:val="center"/>
          </w:tcPr>
          <w:p w14:paraId="3328014F">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3C1D1DB2">
            <w:pPr>
              <w:snapToGrid w:val="0"/>
              <w:spacing w:line="360" w:lineRule="exact"/>
              <w:jc w:val="center"/>
              <w:rPr>
                <w:rFonts w:hint="eastAsia" w:ascii="宋体" w:hAnsi="宋体" w:eastAsia="宋体" w:cs="宋体"/>
                <w:color w:val="auto"/>
                <w:sz w:val="24"/>
                <w:highlight w:val="none"/>
              </w:rPr>
            </w:pPr>
          </w:p>
        </w:tc>
      </w:tr>
      <w:tr w14:paraId="20A2A0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F165334">
            <w:pPr>
              <w:snapToGrid w:val="0"/>
              <w:spacing w:line="360" w:lineRule="exact"/>
              <w:jc w:val="center"/>
              <w:rPr>
                <w:rFonts w:hint="eastAsia" w:ascii="宋体" w:hAnsi="宋体" w:eastAsia="宋体" w:cs="宋体"/>
                <w:color w:val="auto"/>
                <w:sz w:val="24"/>
                <w:highlight w:val="none"/>
              </w:rPr>
            </w:pPr>
          </w:p>
        </w:tc>
        <w:tc>
          <w:tcPr>
            <w:tcW w:w="5470" w:type="dxa"/>
          </w:tcPr>
          <w:p w14:paraId="28DA6802">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6419EEBB">
            <w:pPr>
              <w:snapToGrid w:val="0"/>
              <w:spacing w:line="360" w:lineRule="exact"/>
              <w:jc w:val="center"/>
              <w:rPr>
                <w:rFonts w:hint="eastAsia" w:ascii="宋体" w:hAnsi="宋体" w:eastAsia="宋体" w:cs="宋体"/>
                <w:b/>
                <w:color w:val="auto"/>
                <w:sz w:val="24"/>
                <w:highlight w:val="none"/>
              </w:rPr>
            </w:pPr>
          </w:p>
        </w:tc>
      </w:tr>
      <w:tr w14:paraId="2264D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B3A0D6A">
            <w:pPr>
              <w:snapToGrid w:val="0"/>
              <w:spacing w:line="360" w:lineRule="exact"/>
              <w:jc w:val="center"/>
              <w:rPr>
                <w:rFonts w:hint="eastAsia" w:ascii="宋体" w:hAnsi="宋体" w:eastAsia="宋体" w:cs="宋体"/>
                <w:color w:val="auto"/>
                <w:sz w:val="24"/>
                <w:highlight w:val="none"/>
              </w:rPr>
            </w:pPr>
          </w:p>
        </w:tc>
        <w:tc>
          <w:tcPr>
            <w:tcW w:w="5470" w:type="dxa"/>
          </w:tcPr>
          <w:p w14:paraId="50AED593">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5DDA284B">
            <w:pPr>
              <w:snapToGrid w:val="0"/>
              <w:spacing w:line="360" w:lineRule="exact"/>
              <w:jc w:val="center"/>
              <w:rPr>
                <w:rFonts w:hint="eastAsia" w:ascii="宋体" w:hAnsi="宋体" w:eastAsia="宋体" w:cs="宋体"/>
                <w:b/>
                <w:color w:val="auto"/>
                <w:sz w:val="24"/>
                <w:highlight w:val="none"/>
              </w:rPr>
            </w:pPr>
          </w:p>
        </w:tc>
      </w:tr>
      <w:tr w14:paraId="7B4ED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3C7DF85">
            <w:pPr>
              <w:snapToGrid w:val="0"/>
              <w:spacing w:line="360" w:lineRule="exact"/>
              <w:jc w:val="center"/>
              <w:rPr>
                <w:rFonts w:hint="eastAsia" w:ascii="宋体" w:hAnsi="宋体" w:eastAsia="宋体" w:cs="宋体"/>
                <w:color w:val="auto"/>
                <w:sz w:val="24"/>
                <w:highlight w:val="none"/>
              </w:rPr>
            </w:pPr>
          </w:p>
        </w:tc>
        <w:tc>
          <w:tcPr>
            <w:tcW w:w="5470" w:type="dxa"/>
          </w:tcPr>
          <w:p w14:paraId="4128C97C">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683CAECD">
            <w:pPr>
              <w:snapToGrid w:val="0"/>
              <w:spacing w:line="360" w:lineRule="exact"/>
              <w:jc w:val="center"/>
              <w:rPr>
                <w:rFonts w:hint="eastAsia" w:ascii="宋体" w:hAnsi="宋体" w:eastAsia="宋体" w:cs="宋体"/>
                <w:b/>
                <w:color w:val="auto"/>
                <w:sz w:val="24"/>
                <w:highlight w:val="none"/>
              </w:rPr>
            </w:pPr>
          </w:p>
        </w:tc>
      </w:tr>
      <w:tr w14:paraId="4ED35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0AA9FF7">
            <w:pPr>
              <w:snapToGrid w:val="0"/>
              <w:spacing w:line="360" w:lineRule="exact"/>
              <w:jc w:val="center"/>
              <w:rPr>
                <w:rFonts w:hint="eastAsia" w:ascii="宋体" w:hAnsi="宋体" w:eastAsia="宋体" w:cs="宋体"/>
                <w:color w:val="auto"/>
                <w:sz w:val="24"/>
                <w:highlight w:val="none"/>
              </w:rPr>
            </w:pPr>
          </w:p>
        </w:tc>
        <w:tc>
          <w:tcPr>
            <w:tcW w:w="5470" w:type="dxa"/>
          </w:tcPr>
          <w:p w14:paraId="6BA96E57">
            <w:pPr>
              <w:snapToGrid w:val="0"/>
              <w:spacing w:line="360" w:lineRule="exact"/>
              <w:jc w:val="center"/>
              <w:rPr>
                <w:rFonts w:hint="eastAsia" w:ascii="宋体" w:hAnsi="宋体" w:eastAsia="宋体" w:cs="宋体"/>
                <w:color w:val="auto"/>
                <w:sz w:val="24"/>
                <w:highlight w:val="none"/>
              </w:rPr>
            </w:pPr>
          </w:p>
        </w:tc>
        <w:tc>
          <w:tcPr>
            <w:tcW w:w="1276" w:type="dxa"/>
            <w:vAlign w:val="center"/>
          </w:tcPr>
          <w:p w14:paraId="4B5D2AE3">
            <w:pPr>
              <w:snapToGrid w:val="0"/>
              <w:spacing w:line="360" w:lineRule="exact"/>
              <w:jc w:val="center"/>
              <w:rPr>
                <w:rFonts w:hint="eastAsia" w:ascii="宋体" w:hAnsi="宋体" w:eastAsia="宋体" w:cs="宋体"/>
                <w:b/>
                <w:color w:val="auto"/>
                <w:sz w:val="24"/>
                <w:highlight w:val="none"/>
              </w:rPr>
            </w:pPr>
          </w:p>
        </w:tc>
      </w:tr>
    </w:tbl>
    <w:p w14:paraId="7B01862B">
      <w:pPr>
        <w:spacing w:line="4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注：投标人根据评标方法和评价标准的“初步评审”中“符合性审查”条款一一对应填写本表。</w:t>
      </w:r>
    </w:p>
    <w:p w14:paraId="7D471506">
      <w:pPr>
        <w:spacing w:line="360" w:lineRule="auto"/>
        <w:jc w:val="center"/>
        <w:outlineLvl w:val="1"/>
        <w:rPr>
          <w:rFonts w:hint="eastAsia" w:ascii="宋体" w:hAnsi="宋体" w:eastAsia="宋体" w:cs="宋体"/>
          <w:b/>
          <w:bCs/>
          <w:color w:val="auto"/>
          <w:sz w:val="24"/>
          <w:highlight w:val="none"/>
        </w:rPr>
      </w:pPr>
      <w:bookmarkStart w:id="135" w:name="_Toc20861"/>
      <w:bookmarkStart w:id="136" w:name="_Toc83886042"/>
      <w:bookmarkStart w:id="137" w:name="_Toc4012"/>
      <w:r>
        <w:rPr>
          <w:rFonts w:hint="eastAsia" w:ascii="宋体" w:hAnsi="宋体" w:eastAsia="宋体" w:cs="宋体"/>
          <w:b/>
          <w:bCs/>
          <w:color w:val="auto"/>
          <w:sz w:val="24"/>
          <w:highlight w:val="none"/>
        </w:rPr>
        <w:t>详细评审索引</w:t>
      </w:r>
      <w:bookmarkEnd w:id="135"/>
      <w:bookmarkEnd w:id="136"/>
      <w:bookmarkEnd w:id="137"/>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2132D7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032AE9B">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356" w:type="dxa"/>
            <w:vAlign w:val="center"/>
          </w:tcPr>
          <w:p w14:paraId="55EA7896">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评分/评审细则</w:t>
            </w:r>
          </w:p>
        </w:tc>
        <w:tc>
          <w:tcPr>
            <w:tcW w:w="1276" w:type="dxa"/>
            <w:vAlign w:val="center"/>
          </w:tcPr>
          <w:p w14:paraId="0D77E491">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w:t>
            </w:r>
          </w:p>
        </w:tc>
      </w:tr>
      <w:tr w14:paraId="20F04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A95A26F">
            <w:pPr>
              <w:adjustRightInd w:val="0"/>
              <w:snapToGrid w:val="0"/>
              <w:jc w:val="center"/>
              <w:rPr>
                <w:rFonts w:hint="eastAsia" w:ascii="宋体" w:hAnsi="宋体" w:eastAsia="宋体" w:cs="宋体"/>
                <w:color w:val="auto"/>
                <w:sz w:val="24"/>
                <w:highlight w:val="none"/>
              </w:rPr>
            </w:pPr>
          </w:p>
        </w:tc>
        <w:tc>
          <w:tcPr>
            <w:tcW w:w="5356" w:type="dxa"/>
            <w:vAlign w:val="center"/>
          </w:tcPr>
          <w:p w14:paraId="132D22E6">
            <w:pPr>
              <w:adjustRightInd w:val="0"/>
              <w:snapToGrid w:val="0"/>
              <w:rPr>
                <w:rFonts w:hint="eastAsia" w:ascii="宋体" w:hAnsi="宋体" w:eastAsia="宋体" w:cs="宋体"/>
                <w:color w:val="auto"/>
                <w:sz w:val="24"/>
                <w:highlight w:val="none"/>
              </w:rPr>
            </w:pPr>
          </w:p>
        </w:tc>
        <w:tc>
          <w:tcPr>
            <w:tcW w:w="1276" w:type="dxa"/>
            <w:vAlign w:val="center"/>
          </w:tcPr>
          <w:p w14:paraId="17B4852A">
            <w:pPr>
              <w:adjustRightInd w:val="0"/>
              <w:snapToGrid w:val="0"/>
              <w:jc w:val="center"/>
              <w:rPr>
                <w:rFonts w:hint="eastAsia" w:ascii="宋体" w:hAnsi="宋体" w:eastAsia="宋体" w:cs="宋体"/>
                <w:b/>
                <w:color w:val="auto"/>
                <w:sz w:val="24"/>
                <w:highlight w:val="none"/>
              </w:rPr>
            </w:pPr>
          </w:p>
        </w:tc>
      </w:tr>
      <w:tr w14:paraId="16669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50FCF573">
            <w:pPr>
              <w:adjustRightInd w:val="0"/>
              <w:snapToGrid w:val="0"/>
              <w:jc w:val="center"/>
              <w:rPr>
                <w:rFonts w:hint="eastAsia" w:ascii="宋体" w:hAnsi="宋体" w:eastAsia="宋体" w:cs="宋体"/>
                <w:color w:val="auto"/>
                <w:sz w:val="24"/>
                <w:highlight w:val="none"/>
              </w:rPr>
            </w:pPr>
          </w:p>
        </w:tc>
        <w:tc>
          <w:tcPr>
            <w:tcW w:w="5356" w:type="dxa"/>
            <w:vAlign w:val="center"/>
          </w:tcPr>
          <w:p w14:paraId="6F288CD4">
            <w:pPr>
              <w:adjustRightInd w:val="0"/>
              <w:snapToGrid w:val="0"/>
              <w:rPr>
                <w:rFonts w:hint="eastAsia" w:ascii="宋体" w:hAnsi="宋体" w:eastAsia="宋体" w:cs="宋体"/>
                <w:color w:val="auto"/>
                <w:sz w:val="24"/>
                <w:highlight w:val="none"/>
              </w:rPr>
            </w:pPr>
          </w:p>
        </w:tc>
        <w:tc>
          <w:tcPr>
            <w:tcW w:w="1276" w:type="dxa"/>
            <w:vAlign w:val="center"/>
          </w:tcPr>
          <w:p w14:paraId="74FDAC3A">
            <w:pPr>
              <w:adjustRightInd w:val="0"/>
              <w:snapToGrid w:val="0"/>
              <w:jc w:val="center"/>
              <w:rPr>
                <w:rFonts w:hint="eastAsia" w:ascii="宋体" w:hAnsi="宋体" w:eastAsia="宋体" w:cs="宋体"/>
                <w:b/>
                <w:color w:val="auto"/>
                <w:sz w:val="24"/>
                <w:highlight w:val="none"/>
              </w:rPr>
            </w:pPr>
          </w:p>
        </w:tc>
      </w:tr>
      <w:tr w14:paraId="553E10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1B87010">
            <w:pPr>
              <w:adjustRightInd w:val="0"/>
              <w:snapToGrid w:val="0"/>
              <w:jc w:val="center"/>
              <w:rPr>
                <w:rFonts w:hint="eastAsia" w:ascii="宋体" w:hAnsi="宋体" w:eastAsia="宋体" w:cs="宋体"/>
                <w:color w:val="auto"/>
                <w:sz w:val="24"/>
                <w:highlight w:val="none"/>
              </w:rPr>
            </w:pPr>
          </w:p>
        </w:tc>
        <w:tc>
          <w:tcPr>
            <w:tcW w:w="5356" w:type="dxa"/>
            <w:vAlign w:val="center"/>
          </w:tcPr>
          <w:p w14:paraId="1DB24601">
            <w:pPr>
              <w:adjustRightInd w:val="0"/>
              <w:snapToGrid w:val="0"/>
              <w:rPr>
                <w:rFonts w:hint="eastAsia" w:ascii="宋体" w:hAnsi="宋体" w:eastAsia="宋体" w:cs="宋体"/>
                <w:color w:val="auto"/>
                <w:sz w:val="24"/>
                <w:highlight w:val="none"/>
              </w:rPr>
            </w:pPr>
          </w:p>
        </w:tc>
        <w:tc>
          <w:tcPr>
            <w:tcW w:w="1276" w:type="dxa"/>
            <w:vAlign w:val="center"/>
          </w:tcPr>
          <w:p w14:paraId="2E5F06F4">
            <w:pPr>
              <w:adjustRightInd w:val="0"/>
              <w:snapToGrid w:val="0"/>
              <w:jc w:val="center"/>
              <w:rPr>
                <w:rFonts w:hint="eastAsia" w:ascii="宋体" w:hAnsi="宋体" w:eastAsia="宋体" w:cs="宋体"/>
                <w:b/>
                <w:color w:val="auto"/>
                <w:sz w:val="24"/>
                <w:highlight w:val="none"/>
              </w:rPr>
            </w:pPr>
          </w:p>
        </w:tc>
      </w:tr>
      <w:tr w14:paraId="169B0D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F63F26F">
            <w:pPr>
              <w:adjustRightInd w:val="0"/>
              <w:snapToGrid w:val="0"/>
              <w:jc w:val="center"/>
              <w:rPr>
                <w:rFonts w:hint="eastAsia" w:ascii="宋体" w:hAnsi="宋体" w:eastAsia="宋体" w:cs="宋体"/>
                <w:color w:val="auto"/>
                <w:sz w:val="24"/>
                <w:highlight w:val="none"/>
              </w:rPr>
            </w:pPr>
          </w:p>
        </w:tc>
        <w:tc>
          <w:tcPr>
            <w:tcW w:w="5356" w:type="dxa"/>
            <w:vAlign w:val="center"/>
          </w:tcPr>
          <w:p w14:paraId="6862F676">
            <w:pPr>
              <w:adjustRightInd w:val="0"/>
              <w:snapToGrid w:val="0"/>
              <w:rPr>
                <w:rFonts w:hint="eastAsia" w:ascii="宋体" w:hAnsi="宋体" w:eastAsia="宋体" w:cs="宋体"/>
                <w:color w:val="auto"/>
                <w:sz w:val="24"/>
                <w:highlight w:val="none"/>
              </w:rPr>
            </w:pPr>
          </w:p>
        </w:tc>
        <w:tc>
          <w:tcPr>
            <w:tcW w:w="1276" w:type="dxa"/>
            <w:vAlign w:val="center"/>
          </w:tcPr>
          <w:p w14:paraId="38AC0492">
            <w:pPr>
              <w:adjustRightInd w:val="0"/>
              <w:snapToGrid w:val="0"/>
              <w:jc w:val="center"/>
              <w:rPr>
                <w:rFonts w:hint="eastAsia" w:ascii="宋体" w:hAnsi="宋体" w:eastAsia="宋体" w:cs="宋体"/>
                <w:b/>
                <w:color w:val="auto"/>
                <w:sz w:val="24"/>
                <w:highlight w:val="none"/>
              </w:rPr>
            </w:pPr>
          </w:p>
        </w:tc>
      </w:tr>
      <w:tr w14:paraId="6B114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428E3FA">
            <w:pPr>
              <w:adjustRightInd w:val="0"/>
              <w:snapToGrid w:val="0"/>
              <w:jc w:val="center"/>
              <w:rPr>
                <w:rFonts w:hint="eastAsia" w:ascii="宋体" w:hAnsi="宋体" w:eastAsia="宋体" w:cs="宋体"/>
                <w:color w:val="auto"/>
                <w:sz w:val="24"/>
                <w:highlight w:val="none"/>
              </w:rPr>
            </w:pPr>
          </w:p>
        </w:tc>
        <w:tc>
          <w:tcPr>
            <w:tcW w:w="5356" w:type="dxa"/>
            <w:vAlign w:val="center"/>
          </w:tcPr>
          <w:p w14:paraId="3B9858D7">
            <w:pPr>
              <w:adjustRightInd w:val="0"/>
              <w:snapToGrid w:val="0"/>
              <w:ind w:left="-3" w:leftChars="-1" w:firstLine="2"/>
              <w:rPr>
                <w:rFonts w:hint="eastAsia" w:ascii="宋体" w:hAnsi="宋体" w:eastAsia="宋体" w:cs="宋体"/>
                <w:b/>
                <w:color w:val="auto"/>
                <w:sz w:val="24"/>
                <w:highlight w:val="none"/>
              </w:rPr>
            </w:pPr>
          </w:p>
        </w:tc>
        <w:tc>
          <w:tcPr>
            <w:tcW w:w="1276" w:type="dxa"/>
            <w:vAlign w:val="center"/>
          </w:tcPr>
          <w:p w14:paraId="6F7E623C">
            <w:pPr>
              <w:adjustRightInd w:val="0"/>
              <w:snapToGrid w:val="0"/>
              <w:jc w:val="center"/>
              <w:rPr>
                <w:rFonts w:hint="eastAsia" w:ascii="宋体" w:hAnsi="宋体" w:eastAsia="宋体" w:cs="宋体"/>
                <w:b/>
                <w:color w:val="auto"/>
                <w:sz w:val="24"/>
                <w:highlight w:val="none"/>
              </w:rPr>
            </w:pPr>
          </w:p>
        </w:tc>
      </w:tr>
    </w:tbl>
    <w:p w14:paraId="652A731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注：投标人根据评标方法及评价标准的“详细评审”条款一一对应填写本表。</w:t>
      </w:r>
    </w:p>
    <w:p w14:paraId="01B6FA1D">
      <w:pPr>
        <w:pStyle w:val="7"/>
        <w:rPr>
          <w:rFonts w:hint="eastAsia" w:ascii="宋体" w:hAnsi="宋体" w:eastAsia="宋体" w:cs="宋体"/>
          <w:color w:val="auto"/>
          <w:sz w:val="24"/>
          <w:szCs w:val="24"/>
          <w:highlight w:val="none"/>
        </w:rPr>
      </w:pPr>
    </w:p>
    <w:p w14:paraId="6CAA92CF">
      <w:pPr>
        <w:pStyle w:val="7"/>
        <w:rPr>
          <w:rFonts w:hint="eastAsia" w:ascii="宋体" w:hAnsi="宋体" w:eastAsia="宋体" w:cs="宋体"/>
          <w:color w:val="auto"/>
          <w:sz w:val="24"/>
          <w:szCs w:val="24"/>
          <w:highlight w:val="none"/>
        </w:rPr>
      </w:pPr>
    </w:p>
    <w:p w14:paraId="65EEA693">
      <w:pPr>
        <w:rPr>
          <w:rFonts w:hint="eastAsia" w:ascii="宋体" w:hAnsi="宋体" w:eastAsia="宋体" w:cs="宋体"/>
          <w:b/>
          <w:color w:val="auto"/>
          <w:sz w:val="24"/>
          <w:highlight w:val="none"/>
        </w:rPr>
      </w:pPr>
      <w:bookmarkStart w:id="138" w:name="_Toc83886043"/>
    </w:p>
    <w:p w14:paraId="0E704299">
      <w:pPr>
        <w:wordWrap w:val="0"/>
        <w:spacing w:line="360" w:lineRule="auto"/>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t>目录</w:t>
      </w:r>
    </w:p>
    <w:p w14:paraId="27DF278F">
      <w:pPr>
        <w:wordWrap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资格审查文件部分</w:t>
      </w:r>
    </w:p>
    <w:p w14:paraId="0046A7C6">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1.营业执照（或者事业单位法人证书）副本复印件……………………………………（页码）</w:t>
      </w:r>
    </w:p>
    <w:p w14:paraId="229490F1">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2.投标保证金缴存证明……………………………………………………………………（页码）</w:t>
      </w:r>
    </w:p>
    <w:p w14:paraId="6169D1CA">
      <w:pPr>
        <w:keepNext w:val="0"/>
        <w:keepLines w:val="0"/>
        <w:pageBreakBefore w:val="0"/>
        <w:widowControl w:val="0"/>
        <w:kinsoku/>
        <w:overflowPunct/>
        <w:topLinePunct w:val="0"/>
        <w:autoSpaceDE/>
        <w:autoSpaceDN/>
        <w:bidi w:val="0"/>
        <w:spacing w:line="36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3.国家企业信用信息公示系统记录查询网页截图…</w:t>
      </w:r>
      <w:r>
        <w:rPr>
          <w:rFonts w:hint="eastAsia" w:ascii="宋体" w:hAnsi="宋体" w:eastAsia="宋体" w:cs="宋体"/>
          <w:color w:val="auto"/>
          <w:sz w:val="24"/>
          <w:highlight w:val="none"/>
        </w:rPr>
        <w:t>……………………………………</w:t>
      </w:r>
      <w:r>
        <w:rPr>
          <w:rFonts w:hint="eastAsia" w:ascii="宋体" w:hAnsi="宋体" w:eastAsia="宋体" w:cs="宋体"/>
          <w:b w:val="0"/>
          <w:bCs w:val="0"/>
          <w:color w:val="auto"/>
          <w:kern w:val="2"/>
          <w:sz w:val="24"/>
          <w:szCs w:val="24"/>
          <w:highlight w:val="none"/>
        </w:rPr>
        <w:t>…（页码）</w:t>
      </w:r>
    </w:p>
    <w:p w14:paraId="4F16C3DB">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4.失信被执行人、重大税收违法失信主体、政府采购严重违法失信行为等不良记录名单</w:t>
      </w:r>
      <w:r>
        <w:rPr>
          <w:rFonts w:hint="eastAsia" w:ascii="宋体" w:hAnsi="宋体" w:eastAsia="宋体" w:cs="宋体"/>
          <w:color w:val="auto"/>
          <w:sz w:val="24"/>
          <w:highlight w:val="none"/>
          <w:lang w:val="en-US" w:eastAsia="zh-CN"/>
        </w:rPr>
        <w:t>查询记录</w:t>
      </w:r>
      <w:r>
        <w:rPr>
          <w:rFonts w:hint="eastAsia" w:ascii="宋体" w:hAnsi="宋体" w:eastAsia="宋体" w:cs="宋体"/>
          <w:color w:val="auto"/>
          <w:sz w:val="24"/>
          <w:highlight w:val="none"/>
        </w:rPr>
        <w:t>…………………………………………………………………………（页码）</w:t>
      </w:r>
    </w:p>
    <w:p w14:paraId="52C1278A">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.安全服务承诺函…………………………………………………………………………（页码）</w:t>
      </w:r>
    </w:p>
    <w:p w14:paraId="65C42001">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.投标声明书………………………………………………………………………………（页码）</w:t>
      </w:r>
    </w:p>
    <w:p w14:paraId="3BB986D5">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.其他资格条件证明材料（复印件加盖公章）…………………………………………（页码）</w:t>
      </w:r>
    </w:p>
    <w:p w14:paraId="241E27F7">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z w:val="24"/>
          <w:highlight w:val="none"/>
        </w:rPr>
      </w:pPr>
      <w:bookmarkStart w:id="139" w:name="_Toc31500"/>
      <w:r>
        <w:rPr>
          <w:rFonts w:hint="eastAsia" w:ascii="宋体" w:hAnsi="宋体" w:eastAsia="宋体" w:cs="宋体"/>
          <w:b/>
          <w:color w:val="auto"/>
          <w:sz w:val="24"/>
          <w:highlight w:val="none"/>
        </w:rPr>
        <w:t>商务文件部分</w:t>
      </w:r>
      <w:bookmarkEnd w:id="139"/>
    </w:p>
    <w:p w14:paraId="61D9283D">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1.投标函……………………………………………………………………………………（页码）</w:t>
      </w:r>
    </w:p>
    <w:p w14:paraId="6ED87D7D">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2.投标报价明细表…………………………………………………………………………（页码）</w:t>
      </w:r>
    </w:p>
    <w:p w14:paraId="547A7E41">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3.法定代表人身份证明或附有法定代表人和委托代理人身份证明的授权委托书（格式见附件）……………………………………………………………………………………………（页码）</w:t>
      </w:r>
    </w:p>
    <w:p w14:paraId="311754E2">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.商务偏离表（格式见附件）……………………………………………………………（页码）</w:t>
      </w:r>
    </w:p>
    <w:p w14:paraId="44E0778C">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.优惠条件及特殊承诺……………………………………………………………………（页码）</w:t>
      </w:r>
    </w:p>
    <w:p w14:paraId="5549F549">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z w:val="24"/>
          <w:highlight w:val="none"/>
        </w:rPr>
      </w:pPr>
      <w:bookmarkStart w:id="140" w:name="_Toc3776"/>
      <w:r>
        <w:rPr>
          <w:rFonts w:hint="eastAsia" w:ascii="宋体" w:hAnsi="宋体" w:eastAsia="宋体" w:cs="宋体"/>
          <w:b/>
          <w:color w:val="auto"/>
          <w:sz w:val="24"/>
          <w:highlight w:val="none"/>
        </w:rPr>
        <w:t>资信文件部分</w:t>
      </w:r>
      <w:bookmarkEnd w:id="140"/>
    </w:p>
    <w:p w14:paraId="0E515F1E">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1.投标人基本情况表………………………………………………………………………（页码）</w:t>
      </w:r>
    </w:p>
    <w:p w14:paraId="3DF39F9C">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.诚信廉洁承诺函…………………………………………………………………………（页码）</w:t>
      </w:r>
    </w:p>
    <w:p w14:paraId="4302A2D2">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.投标人认为有必要的其他内容等………………………………………………………（页码）</w:t>
      </w:r>
    </w:p>
    <w:p w14:paraId="45A2F454">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技术文件部分</w:t>
      </w:r>
    </w:p>
    <w:p w14:paraId="43FDE21A">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1.技术与服务解决方案……………………………………………………………………（页码）</w:t>
      </w:r>
    </w:p>
    <w:p w14:paraId="416DACFD">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Cs/>
          <w:color w:val="auto"/>
          <w:sz w:val="24"/>
          <w:highlight w:val="none"/>
        </w:rPr>
        <w:t>技术优惠条件及特殊承诺</w:t>
      </w:r>
      <w:r>
        <w:rPr>
          <w:rFonts w:hint="eastAsia" w:ascii="宋体" w:hAnsi="宋体" w:eastAsia="宋体" w:cs="宋体"/>
          <w:color w:val="auto"/>
          <w:sz w:val="24"/>
          <w:highlight w:val="none"/>
        </w:rPr>
        <w:t>……………………………………………………………（页码）</w:t>
      </w:r>
    </w:p>
    <w:p w14:paraId="7E772429">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3.技术偏离表………………………………………………………………………………（页码）</w:t>
      </w:r>
    </w:p>
    <w:p w14:paraId="056E810A">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4.投标人认为需要提供的其他文件和说明………………………………………………（页码）</w:t>
      </w:r>
    </w:p>
    <w:p w14:paraId="41A82B9E">
      <w:pPr>
        <w:adjustRightInd w:val="0"/>
        <w:snapToGrid w:val="0"/>
        <w:spacing w:line="360" w:lineRule="auto"/>
        <w:jc w:val="center"/>
        <w:outlineLvl w:val="9"/>
        <w:rPr>
          <w:rFonts w:hint="eastAsia" w:ascii="宋体" w:hAnsi="宋体" w:eastAsia="宋体" w:cs="宋体"/>
          <w:color w:val="auto"/>
          <w:highlight w:val="none"/>
        </w:rPr>
      </w:pPr>
    </w:p>
    <w:p w14:paraId="50C48022">
      <w:pPr>
        <w:adjustRightInd w:val="0"/>
        <w:snapToGrid w:val="0"/>
        <w:spacing w:line="360" w:lineRule="auto"/>
        <w:jc w:val="center"/>
        <w:outlineLvl w:val="9"/>
        <w:rPr>
          <w:rFonts w:hint="eastAsia" w:ascii="宋体" w:hAnsi="宋体" w:eastAsia="宋体" w:cs="宋体"/>
          <w:b/>
          <w:bCs/>
          <w:color w:val="auto"/>
          <w:sz w:val="28"/>
          <w:szCs w:val="28"/>
          <w:highlight w:val="none"/>
        </w:rPr>
      </w:pPr>
    </w:p>
    <w:p w14:paraId="53B09085">
      <w:pPr>
        <w:pStyle w:val="23"/>
        <w:ind w:left="0" w:leftChars="0" w:firstLine="0"/>
        <w:outlineLvl w:val="9"/>
        <w:rPr>
          <w:rFonts w:hint="eastAsia" w:ascii="宋体" w:hAnsi="宋体" w:eastAsia="宋体" w:cs="宋体"/>
          <w:b/>
          <w:bCs/>
          <w:color w:val="auto"/>
          <w:sz w:val="28"/>
          <w:szCs w:val="28"/>
          <w:highlight w:val="none"/>
        </w:rPr>
      </w:pPr>
    </w:p>
    <w:p w14:paraId="62AD223E">
      <w:pPr>
        <w:rPr>
          <w:rFonts w:hint="eastAsia" w:ascii="宋体" w:hAnsi="宋体" w:eastAsia="宋体" w:cs="宋体"/>
          <w:color w:val="auto"/>
          <w:highlight w:val="none"/>
        </w:rPr>
      </w:pPr>
    </w:p>
    <w:p w14:paraId="5E45A9AC">
      <w:pPr>
        <w:adjustRightInd w:val="0"/>
        <w:snapToGrid w:val="0"/>
        <w:spacing w:line="360" w:lineRule="auto"/>
        <w:jc w:val="center"/>
        <w:outlineLvl w:val="1"/>
        <w:rPr>
          <w:rFonts w:hint="eastAsia" w:ascii="宋体" w:hAnsi="宋体" w:eastAsia="宋体" w:cs="宋体"/>
          <w:snapToGrid w:val="0"/>
          <w:color w:val="auto"/>
          <w:kern w:val="0"/>
          <w:szCs w:val="21"/>
          <w:highlight w:val="none"/>
        </w:rPr>
      </w:pPr>
      <w:bookmarkStart w:id="141" w:name="_Toc27"/>
      <w:r>
        <w:rPr>
          <w:rFonts w:hint="eastAsia" w:ascii="宋体" w:hAnsi="宋体" w:eastAsia="宋体" w:cs="宋体"/>
          <w:b/>
          <w:bCs/>
          <w:color w:val="auto"/>
          <w:sz w:val="28"/>
          <w:szCs w:val="28"/>
          <w:highlight w:val="none"/>
        </w:rPr>
        <w:t>第一部分、资格文件</w:t>
      </w:r>
      <w:bookmarkEnd w:id="138"/>
      <w:bookmarkEnd w:id="141"/>
    </w:p>
    <w:p w14:paraId="04208B0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Cs w:val="0"/>
          <w:color w:val="auto"/>
          <w:sz w:val="24"/>
          <w:szCs w:val="24"/>
          <w:highlight w:val="none"/>
        </w:rPr>
        <w:t>一</w:t>
      </w:r>
      <w:r>
        <w:rPr>
          <w:rFonts w:hint="eastAsia" w:ascii="宋体" w:hAnsi="宋体" w:eastAsia="宋体" w:cs="宋体"/>
          <w:b/>
          <w:bCs/>
          <w:color w:val="auto"/>
          <w:sz w:val="28"/>
          <w:szCs w:val="28"/>
          <w:highlight w:val="none"/>
        </w:rPr>
        <w:t>、营业执照、事业单位法人证书、社会团体法人登记证书或其他组织登记证明文件副本（复印件加盖公章）</w:t>
      </w:r>
    </w:p>
    <w:p w14:paraId="036A131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14:paraId="7337EB1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sz w:val="36"/>
          <w:szCs w:val="28"/>
          <w:highlight w:val="none"/>
        </w:rPr>
      </w:pPr>
    </w:p>
    <w:p w14:paraId="427D84B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二、投标保证金缴存证明</w:t>
      </w:r>
    </w:p>
    <w:p w14:paraId="451B31D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（附投标保证金缴存复印件）</w:t>
      </w:r>
    </w:p>
    <w:p w14:paraId="00BFE5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14:paraId="7EE5F81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14:paraId="0303F8D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p>
    <w:p w14:paraId="5AF1C61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14:paraId="05E2CA4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三、需提供“国家企业信用信息公示系统”股权结构查询。（查询结果网页截图）（根据招标文件要求提供）</w:t>
      </w:r>
    </w:p>
    <w:p w14:paraId="399EE9F8">
      <w:pPr>
        <w:pageBreakBefore w:val="0"/>
        <w:widowControl w:val="0"/>
        <w:kinsoku/>
        <w:wordWrap/>
        <w:overflowPunct/>
        <w:topLinePunct w:val="0"/>
        <w:autoSpaceDE/>
        <w:autoSpaceDN/>
        <w:bidi w:val="0"/>
        <w:spacing w:line="360" w:lineRule="auto"/>
        <w:ind w:firstLine="422" w:firstLineChars="150"/>
        <w:jc w:val="left"/>
        <w:textAlignment w:val="auto"/>
        <w:outlineLvl w:val="9"/>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z w:val="28"/>
          <w:szCs w:val="28"/>
          <w:highlight w:val="none"/>
        </w:rPr>
        <w:t>（注：若投标人未按实际情况提供或提供虚假信息，经评标委员会讨论后，应作废标处理。）</w:t>
      </w:r>
    </w:p>
    <w:p w14:paraId="44642A56">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14:paraId="7576982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p>
    <w:p w14:paraId="20E4EE6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近三年内，未被“信用中国”（www.creditchina.gov.cn）、中国政府采购网（www.ccgp.gov.cn）等官方网站列入失信被执行人、重大税收违法失信主体、政府采购严重违法失信行为等不良记录名单。（投标人提供查询记录，并由代理机构在开标当日通过官方查询核实）</w:t>
      </w:r>
    </w:p>
    <w:p w14:paraId="398B834A">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32"/>
          <w:szCs w:val="32"/>
          <w:highlight w:val="none"/>
        </w:rPr>
      </w:pPr>
    </w:p>
    <w:p w14:paraId="327A1B56">
      <w:pPr>
        <w:rPr>
          <w:rFonts w:hint="eastAsia" w:ascii="宋体" w:hAnsi="宋体" w:eastAsia="宋体" w:cs="宋体"/>
          <w:color w:val="auto"/>
          <w:highlight w:val="none"/>
        </w:rPr>
      </w:pPr>
    </w:p>
    <w:p w14:paraId="1D19B4CC">
      <w:pPr>
        <w:pStyle w:val="23"/>
        <w:ind w:left="640"/>
        <w:rPr>
          <w:rFonts w:hint="eastAsia" w:ascii="宋体" w:hAnsi="宋体" w:eastAsia="宋体" w:cs="宋体"/>
          <w:color w:val="auto"/>
          <w:highlight w:val="none"/>
        </w:rPr>
      </w:pPr>
    </w:p>
    <w:p w14:paraId="7E081D64">
      <w:pPr>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br w:type="page"/>
      </w:r>
    </w:p>
    <w:p w14:paraId="101458CD">
      <w:pPr>
        <w:spacing w:before="101" w:after="240" w:afterLines="100" w:line="440" w:lineRule="exact"/>
        <w:jc w:val="center"/>
        <w:outlineLvl w:val="9"/>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lang w:val="en-US" w:eastAsia="zh-CN"/>
        </w:rPr>
        <w:t>五</w:t>
      </w:r>
      <w:r>
        <w:rPr>
          <w:rFonts w:hint="eastAsia" w:ascii="宋体" w:hAnsi="宋体" w:eastAsia="宋体" w:cs="宋体"/>
          <w:b/>
          <w:color w:val="auto"/>
          <w:kern w:val="0"/>
          <w:szCs w:val="32"/>
          <w:highlight w:val="none"/>
        </w:rPr>
        <w:t>、安全服务承诺函</w:t>
      </w:r>
    </w:p>
    <w:p w14:paraId="44F61BF8">
      <w:pPr>
        <w:pStyle w:val="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杭州临江环境能源有限公司：</w:t>
      </w:r>
    </w:p>
    <w:p w14:paraId="7A39BC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承诺如成为该项目的中标人，在合同约定的服务期限内，我司</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5811E429">
      <w:pPr>
        <w:rPr>
          <w:rFonts w:hint="eastAsia" w:ascii="宋体" w:hAnsi="宋体" w:eastAsia="宋体" w:cs="宋体"/>
          <w:color w:val="auto"/>
          <w:sz w:val="24"/>
          <w:szCs w:val="24"/>
          <w:highlight w:val="none"/>
        </w:rPr>
      </w:pPr>
    </w:p>
    <w:p w14:paraId="15F63138">
      <w:pPr>
        <w:rPr>
          <w:rFonts w:hint="eastAsia" w:ascii="宋体" w:hAnsi="宋体" w:eastAsia="宋体" w:cs="宋体"/>
          <w:color w:val="auto"/>
          <w:sz w:val="24"/>
          <w:szCs w:val="24"/>
          <w:highlight w:val="none"/>
        </w:rPr>
      </w:pPr>
    </w:p>
    <w:p w14:paraId="74E6A53D">
      <w:pPr>
        <w:pStyle w:val="7"/>
        <w:ind w:firstLine="210"/>
        <w:rPr>
          <w:rFonts w:hint="eastAsia" w:ascii="宋体" w:hAnsi="宋体" w:eastAsia="宋体" w:cs="宋体"/>
          <w:color w:val="auto"/>
          <w:sz w:val="24"/>
          <w:szCs w:val="24"/>
          <w:highlight w:val="none"/>
        </w:rPr>
      </w:pPr>
    </w:p>
    <w:p w14:paraId="311E028B">
      <w:pPr>
        <w:pStyle w:val="8"/>
        <w:ind w:firstLine="210"/>
        <w:rPr>
          <w:rFonts w:hint="eastAsia" w:ascii="宋体" w:hAnsi="宋体" w:eastAsia="宋体" w:cs="宋体"/>
          <w:color w:val="auto"/>
          <w:sz w:val="24"/>
          <w:szCs w:val="24"/>
          <w:highlight w:val="none"/>
        </w:rPr>
      </w:pPr>
    </w:p>
    <w:p w14:paraId="3A35B0C5">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1332DB65">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26161D9E">
      <w:pPr>
        <w:pStyle w:val="7"/>
        <w:ind w:firstLine="2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14:paraId="4987CF42">
      <w:pPr>
        <w:pStyle w:val="21"/>
        <w:outlineLvl w:val="9"/>
        <w:rPr>
          <w:rFonts w:hint="eastAsia" w:ascii="宋体" w:hAnsi="宋体" w:eastAsia="宋体" w:cs="宋体"/>
          <w:color w:val="auto"/>
          <w:highlight w:val="none"/>
        </w:rPr>
      </w:pPr>
    </w:p>
    <w:p w14:paraId="72FFB4DC">
      <w:pPr>
        <w:outlineLvl w:val="9"/>
        <w:rPr>
          <w:rFonts w:hint="eastAsia" w:ascii="宋体" w:hAnsi="宋体" w:eastAsia="宋体" w:cs="宋体"/>
          <w:color w:val="auto"/>
          <w:highlight w:val="none"/>
        </w:rPr>
      </w:pPr>
    </w:p>
    <w:p w14:paraId="6317A7CD">
      <w:pPr>
        <w:pStyle w:val="21"/>
        <w:outlineLvl w:val="9"/>
        <w:rPr>
          <w:rFonts w:hint="eastAsia" w:ascii="宋体" w:hAnsi="宋体" w:eastAsia="宋体" w:cs="宋体"/>
          <w:color w:val="auto"/>
          <w:highlight w:val="none"/>
        </w:rPr>
      </w:pPr>
    </w:p>
    <w:p w14:paraId="2F2C57CE">
      <w:pPr>
        <w:outlineLvl w:val="9"/>
        <w:rPr>
          <w:rFonts w:hint="eastAsia" w:ascii="宋体" w:hAnsi="宋体" w:eastAsia="宋体" w:cs="宋体"/>
          <w:color w:val="auto"/>
          <w:highlight w:val="none"/>
        </w:rPr>
      </w:pPr>
    </w:p>
    <w:p w14:paraId="1807C483">
      <w:pPr>
        <w:pStyle w:val="21"/>
        <w:outlineLvl w:val="9"/>
        <w:rPr>
          <w:rFonts w:hint="eastAsia" w:ascii="宋体" w:hAnsi="宋体" w:eastAsia="宋体" w:cs="宋体"/>
          <w:color w:val="auto"/>
          <w:highlight w:val="none"/>
        </w:rPr>
      </w:pPr>
    </w:p>
    <w:p w14:paraId="4C9DD576">
      <w:pPr>
        <w:outlineLvl w:val="9"/>
        <w:rPr>
          <w:rFonts w:hint="eastAsia" w:ascii="宋体" w:hAnsi="宋体" w:eastAsia="宋体" w:cs="宋体"/>
          <w:color w:val="auto"/>
          <w:highlight w:val="none"/>
        </w:rPr>
      </w:pPr>
    </w:p>
    <w:p w14:paraId="1ED79972">
      <w:pPr>
        <w:pStyle w:val="21"/>
        <w:outlineLvl w:val="9"/>
        <w:rPr>
          <w:rFonts w:hint="eastAsia" w:ascii="宋体" w:hAnsi="宋体" w:eastAsia="宋体" w:cs="宋体"/>
          <w:color w:val="auto"/>
          <w:highlight w:val="none"/>
        </w:rPr>
      </w:pPr>
    </w:p>
    <w:p w14:paraId="46A0A37C">
      <w:pPr>
        <w:outlineLvl w:val="9"/>
        <w:rPr>
          <w:rFonts w:hint="eastAsia" w:ascii="宋体" w:hAnsi="宋体" w:eastAsia="宋体" w:cs="宋体"/>
          <w:color w:val="auto"/>
          <w:highlight w:val="none"/>
        </w:rPr>
      </w:pPr>
    </w:p>
    <w:p w14:paraId="7D92CD87">
      <w:pPr>
        <w:pStyle w:val="21"/>
        <w:outlineLvl w:val="9"/>
        <w:rPr>
          <w:rFonts w:hint="eastAsia" w:ascii="宋体" w:hAnsi="宋体" w:eastAsia="宋体" w:cs="宋体"/>
          <w:color w:val="auto"/>
          <w:highlight w:val="none"/>
        </w:rPr>
      </w:pPr>
    </w:p>
    <w:p w14:paraId="60AAF5FB">
      <w:pPr>
        <w:outlineLvl w:val="9"/>
        <w:rPr>
          <w:rFonts w:hint="eastAsia" w:ascii="宋体" w:hAnsi="宋体" w:eastAsia="宋体" w:cs="宋体"/>
          <w:color w:val="auto"/>
          <w:highlight w:val="none"/>
        </w:rPr>
      </w:pPr>
    </w:p>
    <w:p w14:paraId="3010EB6C">
      <w:pPr>
        <w:pStyle w:val="21"/>
        <w:outlineLvl w:val="9"/>
        <w:rPr>
          <w:rFonts w:hint="eastAsia" w:ascii="宋体" w:hAnsi="宋体" w:eastAsia="宋体" w:cs="宋体"/>
          <w:color w:val="auto"/>
          <w:highlight w:val="none"/>
        </w:rPr>
      </w:pPr>
    </w:p>
    <w:p w14:paraId="2F96F8AF">
      <w:pPr>
        <w:outlineLvl w:val="9"/>
        <w:rPr>
          <w:rFonts w:hint="eastAsia" w:ascii="宋体" w:hAnsi="宋体" w:eastAsia="宋体" w:cs="宋体"/>
          <w:color w:val="auto"/>
          <w:highlight w:val="none"/>
        </w:rPr>
      </w:pPr>
    </w:p>
    <w:p w14:paraId="3F5E813F">
      <w:pPr>
        <w:adjustRightInd w:val="0"/>
        <w:snapToGrid w:val="0"/>
        <w:spacing w:line="360" w:lineRule="auto"/>
        <w:outlineLvl w:val="9"/>
        <w:rPr>
          <w:rFonts w:hint="eastAsia" w:ascii="宋体" w:hAnsi="宋体" w:eastAsia="宋体" w:cs="宋体"/>
          <w:color w:val="auto"/>
          <w:highlight w:val="none"/>
        </w:rPr>
      </w:pPr>
    </w:p>
    <w:p w14:paraId="381C2342">
      <w:pPr>
        <w:spacing w:before="101" w:after="240" w:afterLines="100" w:line="440" w:lineRule="exact"/>
        <w:jc w:val="center"/>
        <w:outlineLvl w:val="9"/>
        <w:rPr>
          <w:rFonts w:hint="eastAsia" w:ascii="宋体" w:hAnsi="宋体" w:eastAsia="宋体" w:cs="宋体"/>
          <w:b/>
          <w:color w:val="auto"/>
          <w:kern w:val="0"/>
          <w:szCs w:val="32"/>
          <w:highlight w:val="none"/>
        </w:rPr>
      </w:pPr>
    </w:p>
    <w:p w14:paraId="09482E20">
      <w:pPr>
        <w:spacing w:before="101" w:after="240" w:afterLines="100" w:line="440" w:lineRule="exact"/>
        <w:jc w:val="center"/>
        <w:outlineLvl w:val="9"/>
        <w:rPr>
          <w:rFonts w:hint="eastAsia" w:ascii="宋体" w:hAnsi="宋体" w:eastAsia="宋体" w:cs="宋体"/>
          <w:b/>
          <w:color w:val="auto"/>
          <w:kern w:val="0"/>
          <w:szCs w:val="32"/>
          <w:highlight w:val="none"/>
        </w:rPr>
      </w:pPr>
    </w:p>
    <w:p w14:paraId="2F618503">
      <w:pPr>
        <w:spacing w:before="101" w:after="240" w:afterLines="100" w:line="44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kern w:val="0"/>
          <w:szCs w:val="32"/>
          <w:highlight w:val="none"/>
          <w:lang w:val="en-US" w:eastAsia="zh-CN"/>
        </w:rPr>
        <w:t>六</w:t>
      </w:r>
      <w:r>
        <w:rPr>
          <w:rFonts w:hint="eastAsia" w:ascii="宋体" w:hAnsi="宋体" w:eastAsia="宋体" w:cs="宋体"/>
          <w:b/>
          <w:color w:val="auto"/>
          <w:kern w:val="0"/>
          <w:szCs w:val="32"/>
          <w:highlight w:val="none"/>
        </w:rPr>
        <w:t>、投标声明书</w:t>
      </w:r>
    </w:p>
    <w:p w14:paraId="5E52B67A">
      <w:pPr>
        <w:pStyle w:val="54"/>
        <w:wordWrap w:val="0"/>
        <w:ind w:firstLine="720"/>
        <w:rPr>
          <w:rFonts w:hint="eastAsia" w:ascii="宋体" w:hAnsi="宋体" w:eastAsia="宋体" w:cs="宋体"/>
          <w:color w:val="auto"/>
          <w:szCs w:val="24"/>
          <w:highlight w:val="none"/>
        </w:rPr>
      </w:pPr>
    </w:p>
    <w:p w14:paraId="0BCD8004">
      <w:pPr>
        <w:pStyle w:val="11"/>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（招标人）              </w:t>
      </w:r>
      <w:r>
        <w:rPr>
          <w:rFonts w:hint="eastAsia" w:ascii="宋体" w:hAnsi="宋体" w:eastAsia="宋体" w:cs="宋体"/>
          <w:color w:val="auto"/>
          <w:sz w:val="24"/>
          <w:szCs w:val="24"/>
          <w:highlight w:val="none"/>
        </w:rPr>
        <w:t>：</w:t>
      </w:r>
    </w:p>
    <w:p w14:paraId="18C46923">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本单位自愿参加</w:t>
      </w:r>
      <w:r>
        <w:rPr>
          <w:rFonts w:hint="eastAsia" w:ascii="宋体" w:hAnsi="宋体" w:eastAsia="宋体" w:cs="宋体"/>
          <w:color w:val="auto"/>
          <w:sz w:val="24"/>
          <w:highlight w:val="none"/>
          <w:u w:val="single"/>
          <w:lang w:eastAsia="zh-CN"/>
        </w:rPr>
        <w:t>2024年-2026年临江公司水泥采购项目（</w:t>
      </w:r>
      <w:r>
        <w:rPr>
          <w:rFonts w:hint="eastAsia" w:ascii="宋体" w:hAnsi="宋体" w:eastAsia="宋体" w:cs="宋体"/>
          <w:color w:val="auto"/>
          <w:sz w:val="24"/>
          <w:highlight w:val="none"/>
          <w:u w:val="single"/>
          <w:lang w:val="en-US" w:eastAsia="zh-CN"/>
        </w:rPr>
        <w:t>项目编号：NY-1HZB2408069</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的投标，并保证投标文件中所列举的投标报价文件及相关资料和公司基本情况资料是真实的、合法的。为此，我方就本次投标有关事项郑重声明如下：</w:t>
      </w:r>
    </w:p>
    <w:p w14:paraId="61AEC5EE">
      <w:pPr>
        <w:numPr>
          <w:ilvl w:val="0"/>
          <w:numId w:val="5"/>
        </w:num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我单位具有独立承担民事责任的能力、具有良好的商业信誉和健全的财务会计制度、具有履行合同所必需的设备和专业技术能力、具有依法缴纳税收和社会保障资金的良好记录。</w:t>
      </w:r>
    </w:p>
    <w:p w14:paraId="11E16280">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二、本单位与招标人之间不存在下列利害关系：</w:t>
      </w:r>
    </w:p>
    <w:p w14:paraId="7A2BAE43">
      <w:pPr>
        <w:wordWrap w:val="0"/>
        <w:snapToGrid w:val="0"/>
        <w:spacing w:line="39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A．投资关系      B．行政隶属关系      C．业务指导关系  D．其他可能影响采购公正的利害关系。</w:t>
      </w:r>
    </w:p>
    <w:p w14:paraId="33D6787C">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b/>
          <w:bCs/>
          <w:color w:val="auto"/>
          <w:sz w:val="24"/>
          <w:highlight w:val="none"/>
          <w:u w:val="single"/>
        </w:rPr>
        <w:t>与本单位存在下列利害关系的投标人未参加本次采购活动：</w:t>
      </w:r>
    </w:p>
    <w:p w14:paraId="7D439C53">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A．法定代表人或负责人或实际控制人是同一人</w:t>
      </w:r>
    </w:p>
    <w:p w14:paraId="5663AD12">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B．法定代表人或负责人或实际控制人是夫妻关系</w:t>
      </w:r>
    </w:p>
    <w:p w14:paraId="70456020">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C．法定代表人或负责人或实际控制人是直系血亲关系</w:t>
      </w:r>
    </w:p>
    <w:p w14:paraId="2392C1F0">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D．法定代表人或负责人或实际控制人存在三代以内旁系血亲关系</w:t>
      </w:r>
    </w:p>
    <w:p w14:paraId="5B420A19">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E．法定代表人或负责人或实际控制人存在近姻亲关系</w:t>
      </w:r>
    </w:p>
    <w:p w14:paraId="7D1EE171">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F．法定代表人或负责人或实际控制人存在股份控制或实际控制关系</w:t>
      </w:r>
    </w:p>
    <w:p w14:paraId="5617479B">
      <w:pPr>
        <w:wordWrap w:val="0"/>
        <w:snapToGrid w:val="0"/>
        <w:spacing w:line="390" w:lineRule="exact"/>
        <w:ind w:left="730"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G．存在共同直接或间接投资设立子公司、联营企业和合营企业情况  </w:t>
      </w:r>
    </w:p>
    <w:p w14:paraId="38EF0E2C">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H．存在分级代理或代销关系、同一生产制造商关系、管理关系、重要业务（占主营业务收入50％以上）或重要财务往来关系（如融资）等其他实质性控制关系。</w:t>
      </w:r>
    </w:p>
    <w:p w14:paraId="7B590083">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I．其他利害关系情况：</w:t>
      </w:r>
      <w:r>
        <w:rPr>
          <w:rFonts w:hint="eastAsia" w:ascii="宋体" w:hAnsi="宋体" w:eastAsia="宋体" w:cs="宋体"/>
          <w:color w:val="auto"/>
          <w:sz w:val="24"/>
          <w:highlight w:val="none"/>
          <w:u w:val="single"/>
        </w:rPr>
        <w:t>直接控股或存在管理关系的</w:t>
      </w:r>
      <w:r>
        <w:rPr>
          <w:rFonts w:hint="eastAsia" w:ascii="宋体" w:hAnsi="宋体" w:eastAsia="宋体" w:cs="宋体"/>
          <w:color w:val="auto"/>
          <w:sz w:val="24"/>
          <w:highlight w:val="none"/>
        </w:rPr>
        <w:t>。</w:t>
      </w:r>
    </w:p>
    <w:p w14:paraId="7B039187">
      <w:pPr>
        <w:wordWrap w:val="0"/>
        <w:snapToGrid w:val="0"/>
        <w:spacing w:line="390" w:lineRule="exact"/>
        <w:ind w:firstLine="480" w:firstLineChars="200"/>
        <w:rPr>
          <w:rFonts w:hint="eastAsia" w:ascii="宋体" w:hAnsi="宋体" w:eastAsia="宋体" w:cs="宋体"/>
          <w:color w:val="auto"/>
          <w:sz w:val="24"/>
          <w:highlight w:val="none"/>
        </w:rPr>
      </w:pPr>
    </w:p>
    <w:p w14:paraId="43278881">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如有虚假或隐瞒，我方愿意承担一切后果，并不再寻求任何旨在减轻或免除法律责任的辩解。</w:t>
      </w:r>
    </w:p>
    <w:p w14:paraId="6A77DC2E">
      <w:pPr>
        <w:wordWrap w:val="0"/>
        <w:snapToGrid w:val="0"/>
        <w:spacing w:line="390" w:lineRule="exact"/>
        <w:ind w:firstLine="480" w:firstLineChars="200"/>
        <w:rPr>
          <w:rFonts w:hint="eastAsia" w:ascii="宋体" w:hAnsi="宋体" w:eastAsia="宋体" w:cs="宋体"/>
          <w:color w:val="auto"/>
          <w:sz w:val="24"/>
          <w:highlight w:val="none"/>
        </w:rPr>
      </w:pPr>
    </w:p>
    <w:p w14:paraId="40C33956">
      <w:pPr>
        <w:wordWrap w:val="0"/>
        <w:snapToGrid w:val="0"/>
        <w:spacing w:line="39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投标人名称（盖单位公章）：  </w:t>
      </w:r>
    </w:p>
    <w:p w14:paraId="4FE3424C">
      <w:pPr>
        <w:pStyle w:val="11"/>
        <w:wordWrap w:val="0"/>
        <w:spacing w:line="400" w:lineRule="exact"/>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年月日</w:t>
      </w:r>
    </w:p>
    <w:p w14:paraId="3601C1C8">
      <w:pPr>
        <w:pStyle w:val="3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z w:val="28"/>
          <w:szCs w:val="28"/>
          <w:highlight w:val="none"/>
        </w:rPr>
      </w:pPr>
    </w:p>
    <w:p w14:paraId="69FB3D16">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w:t>
      </w:r>
      <w:r>
        <w:rPr>
          <w:rFonts w:hint="eastAsia" w:ascii="宋体" w:hAnsi="宋体" w:eastAsia="宋体" w:cs="宋体"/>
          <w:b/>
          <w:bCs/>
          <w:color w:val="auto"/>
          <w:kern w:val="2"/>
          <w:sz w:val="28"/>
          <w:szCs w:val="28"/>
          <w:highlight w:val="none"/>
        </w:rPr>
        <w:t>其他资格条件证明材料（复印件加盖公章）</w:t>
      </w:r>
    </w:p>
    <w:p w14:paraId="00539B5E">
      <w:pPr>
        <w:wordWrap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142" w:name="_Toc83886044"/>
      <w:bookmarkStart w:id="143" w:name="_Toc18885"/>
    </w:p>
    <w:p w14:paraId="13499FD2">
      <w:pPr>
        <w:wordWrap w:val="0"/>
        <w:spacing w:line="360" w:lineRule="auto"/>
        <w:jc w:val="center"/>
        <w:outlineLvl w:val="1"/>
        <w:rPr>
          <w:rFonts w:hint="eastAsia" w:ascii="宋体" w:hAnsi="宋体" w:eastAsia="宋体" w:cs="宋体"/>
          <w:b/>
          <w:bCs/>
          <w:color w:val="auto"/>
          <w:sz w:val="28"/>
          <w:szCs w:val="28"/>
          <w:highlight w:val="none"/>
        </w:rPr>
      </w:pPr>
      <w:bookmarkStart w:id="144" w:name="_Toc23763"/>
      <w:r>
        <w:rPr>
          <w:rFonts w:hint="eastAsia" w:ascii="宋体" w:hAnsi="宋体" w:eastAsia="宋体" w:cs="宋体"/>
          <w:b/>
          <w:bCs/>
          <w:color w:val="auto"/>
          <w:sz w:val="28"/>
          <w:szCs w:val="28"/>
          <w:highlight w:val="none"/>
        </w:rPr>
        <w:t>第二部分、商务文件</w:t>
      </w:r>
      <w:bookmarkEnd w:id="142"/>
      <w:bookmarkEnd w:id="143"/>
      <w:bookmarkEnd w:id="144"/>
    </w:p>
    <w:p w14:paraId="018245F5">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14:paraId="161E20FF">
      <w:pPr>
        <w:tabs>
          <w:tab w:val="left" w:pos="2111"/>
        </w:tabs>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杭州临江环境能源有限公司</w:t>
      </w:r>
      <w:r>
        <w:rPr>
          <w:rFonts w:hint="eastAsia" w:ascii="宋体" w:hAnsi="宋体" w:eastAsia="宋体" w:cs="宋体"/>
          <w:color w:val="auto"/>
          <w:spacing w:val="-23"/>
          <w:sz w:val="24"/>
          <w:highlight w:val="none"/>
          <w:u w:val="single"/>
          <w:lang w:val="en-US" w:eastAsia="zh-CN"/>
        </w:rPr>
        <w:t xml:space="preserve">  </w:t>
      </w:r>
      <w:r>
        <w:rPr>
          <w:rFonts w:hint="eastAsia" w:ascii="宋体" w:hAnsi="宋体" w:eastAsia="宋体" w:cs="宋体"/>
          <w:color w:val="auto"/>
          <w:spacing w:val="-23"/>
          <w:sz w:val="24"/>
          <w:highlight w:val="none"/>
        </w:rPr>
        <w:t>：</w:t>
      </w:r>
    </w:p>
    <w:p w14:paraId="37A20CFF">
      <w:pPr>
        <w:adjustRightInd w:val="0"/>
        <w:snapToGrid w:val="0"/>
        <w:spacing w:line="360" w:lineRule="auto"/>
        <w:ind w:left="182" w:leftChars="5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2024年-2026年临江公司水泥采购项目</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NY-1HZB2408069</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）招标文件（包括招标补充文件）的全部内容，愿意以人民币</w:t>
      </w:r>
      <w:r>
        <w:rPr>
          <w:rFonts w:hint="eastAsia" w:ascii="宋体" w:hAnsi="宋体" w:eastAsia="宋体" w:cs="宋体"/>
          <w:color w:val="auto"/>
          <w:sz w:val="24"/>
          <w:highlight w:val="none"/>
          <w:u w:val="single"/>
        </w:rPr>
        <w:t xml:space="preserve">（大写）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,税率为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的投标总价</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val="en-US" w:eastAsia="zh-CN"/>
        </w:rPr>
        <w:t>发票须为货物类</w:t>
      </w:r>
      <w:r>
        <w:rPr>
          <w:rFonts w:hint="eastAsia" w:ascii="宋体" w:hAnsi="宋体" w:eastAsia="宋体" w:cs="宋体"/>
          <w:b/>
          <w:bCs/>
          <w:color w:val="auto"/>
          <w:sz w:val="24"/>
          <w:highlight w:val="none"/>
          <w:lang w:val="en-US" w:eastAsia="zh-CN"/>
        </w:rPr>
        <w:t>增值税专用发票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承担本项目的相关工作，</w:t>
      </w:r>
      <w:r>
        <w:rPr>
          <w:rFonts w:hint="eastAsia" w:ascii="宋体" w:hAnsi="宋体" w:eastAsia="宋体" w:cs="宋体"/>
          <w:color w:val="auto"/>
          <w:sz w:val="24"/>
          <w:highlight w:val="none"/>
          <w:lang w:val="en-US" w:eastAsia="zh-CN"/>
        </w:rPr>
        <w:t>供</w:t>
      </w:r>
      <w:r>
        <w:rPr>
          <w:rFonts w:hint="eastAsia" w:ascii="宋体" w:hAnsi="宋体" w:eastAsia="宋体" w:cs="宋体"/>
          <w:color w:val="auto"/>
          <w:sz w:val="24"/>
          <w:highlight w:val="none"/>
        </w:rPr>
        <w:t>货期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按招标文件要求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项目负责人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473B28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2．我方承诺在投标有效期内不撤销投标文件（从投标截止日起90日历天）</w:t>
      </w:r>
      <w:r>
        <w:rPr>
          <w:rFonts w:hint="eastAsia" w:ascii="宋体" w:hAnsi="宋体" w:eastAsia="宋体" w:cs="宋体"/>
          <w:b/>
          <w:bCs/>
          <w:color w:val="auto"/>
          <w:sz w:val="24"/>
          <w:highlight w:val="none"/>
        </w:rPr>
        <w:t>注：按项目实际情况予以修改投标有效期</w:t>
      </w:r>
      <w:r>
        <w:rPr>
          <w:rFonts w:hint="eastAsia" w:ascii="宋体" w:hAnsi="宋体" w:eastAsia="宋体" w:cs="宋体"/>
          <w:color w:val="auto"/>
          <w:sz w:val="24"/>
          <w:highlight w:val="none"/>
        </w:rPr>
        <w:t>。</w:t>
      </w:r>
    </w:p>
    <w:p w14:paraId="0194EB6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3．我方已详细审查全部招标文件、包括修改文件（如需要修改）以及全部参考资料和有关附件。我们完全理解并同意放弃对这方面有不明及误解的权利。</w:t>
      </w:r>
    </w:p>
    <w:p w14:paraId="43B9A73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我方同意按照招标人要求提供与其招标有关的一切数据和资料，完全理解招标人不一定接受最低价的投标或收到的任何投标。</w:t>
      </w:r>
    </w:p>
    <w:p w14:paraId="1631DC5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5．如我方中标：</w:t>
      </w:r>
    </w:p>
    <w:p w14:paraId="62656AD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（1）我方承诺收到中标通知书后，在中标通知书规定的期限内与你方签订合同。</w:t>
      </w:r>
    </w:p>
    <w:p w14:paraId="19DE346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（2）我方承诺按照招标文件规定向你方递交履约担保。</w:t>
      </w:r>
    </w:p>
    <w:p w14:paraId="342EC7C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（3）我方承诺在合同约定的期限内完成所有工作内容。</w:t>
      </w:r>
    </w:p>
    <w:p w14:paraId="4CB32B7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6．我方在此声明，所递交的投标文件及有关资料内容完整、真实和准确。</w:t>
      </w:r>
    </w:p>
    <w:p w14:paraId="259F3719">
      <w:pPr>
        <w:spacing w:line="440" w:lineRule="exact"/>
        <w:ind w:firstLine="504" w:firstLineChars="200"/>
        <w:contextualSpacing/>
        <w:rPr>
          <w:rFonts w:hint="eastAsia" w:ascii="宋体" w:hAnsi="宋体" w:eastAsia="宋体" w:cs="宋体"/>
          <w:color w:val="auto"/>
          <w:spacing w:val="6"/>
          <w:position w:val="1"/>
          <w:sz w:val="24"/>
          <w:highlight w:val="none"/>
        </w:rPr>
      </w:pPr>
      <w:r>
        <w:rPr>
          <w:rFonts w:hint="eastAsia" w:ascii="宋体" w:hAnsi="宋体" w:eastAsia="宋体" w:cs="宋体"/>
          <w:color w:val="auto"/>
          <w:spacing w:val="6"/>
          <w:position w:val="1"/>
          <w:sz w:val="24"/>
          <w:highlight w:val="none"/>
        </w:rPr>
        <w:t>7.如我方在响应过程中，发生招标文件规定的招标人可以不退还投标保证金的情形的，我方同意招标人不退还我方缴纳的全部投标保证金。</w:t>
      </w:r>
    </w:p>
    <w:p w14:paraId="595D6161">
      <w:pPr>
        <w:spacing w:line="440" w:lineRule="exact"/>
        <w:ind w:firstLine="504" w:firstLineChars="200"/>
        <w:contextualSpacing/>
        <w:rPr>
          <w:rFonts w:hint="eastAsia" w:ascii="宋体" w:hAnsi="宋体" w:eastAsia="宋体" w:cs="宋体"/>
          <w:color w:val="auto"/>
          <w:sz w:val="24"/>
          <w:highlight w:val="none"/>
        </w:rPr>
      </w:pPr>
      <w:r>
        <w:rPr>
          <w:rFonts w:hint="eastAsia" w:ascii="宋体" w:hAnsi="宋体" w:eastAsia="宋体" w:cs="宋体"/>
          <w:color w:val="auto"/>
          <w:spacing w:val="6"/>
          <w:position w:val="1"/>
          <w:sz w:val="24"/>
          <w:highlight w:val="none"/>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14:paraId="452B3635">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（盖单位公章）</w:t>
      </w:r>
    </w:p>
    <w:p w14:paraId="577C0741">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z w:val="24"/>
          <w:highlight w:val="none"/>
        </w:rPr>
        <w:t>或其委托代理人：（签字或盖章）</w:t>
      </w:r>
    </w:p>
    <w:p w14:paraId="55C433C9">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position w:val="15"/>
          <w:sz w:val="24"/>
          <w:highlight w:val="none"/>
        </w:rPr>
        <w:t xml:space="preserve">地   址 </w:t>
      </w:r>
      <w:r>
        <w:rPr>
          <w:rFonts w:hint="eastAsia" w:ascii="宋体" w:hAnsi="宋体" w:eastAsia="宋体" w:cs="宋体"/>
          <w:color w:val="auto"/>
          <w:spacing w:val="-69"/>
          <w:position w:val="15"/>
          <w:sz w:val="24"/>
          <w:highlight w:val="none"/>
        </w:rPr>
        <w:t>：</w:t>
      </w:r>
    </w:p>
    <w:p w14:paraId="0CA53964">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邮政</w:t>
      </w:r>
      <w:r>
        <w:rPr>
          <w:rFonts w:hint="eastAsia" w:ascii="宋体" w:hAnsi="宋体" w:eastAsia="宋体" w:cs="宋体"/>
          <w:color w:val="auto"/>
          <w:spacing w:val="2"/>
          <w:sz w:val="24"/>
          <w:highlight w:val="none"/>
        </w:rPr>
        <w:t>编码</w:t>
      </w:r>
      <w:r>
        <w:rPr>
          <w:rFonts w:hint="eastAsia" w:ascii="宋体" w:hAnsi="宋体" w:eastAsia="宋体" w:cs="宋体"/>
          <w:color w:val="auto"/>
          <w:spacing w:val="4"/>
          <w:sz w:val="24"/>
          <w:highlight w:val="none"/>
        </w:rPr>
        <w:t>：</w:t>
      </w:r>
    </w:p>
    <w:p w14:paraId="2E13CF8A">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r>
        <w:rPr>
          <w:rFonts w:hint="eastAsia" w:ascii="宋体" w:hAnsi="宋体" w:eastAsia="宋体" w:cs="宋体"/>
          <w:color w:val="auto"/>
          <w:spacing w:val="-94"/>
          <w:sz w:val="24"/>
          <w:highlight w:val="none"/>
        </w:rPr>
        <w:t>：</w:t>
      </w:r>
    </w:p>
    <w:p w14:paraId="72631790">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r>
        <w:rPr>
          <w:rFonts w:hint="eastAsia" w:ascii="宋体" w:hAnsi="宋体" w:eastAsia="宋体" w:cs="宋体"/>
          <w:color w:val="auto"/>
          <w:spacing w:val="-67"/>
          <w:sz w:val="24"/>
          <w:highlight w:val="none"/>
        </w:rPr>
        <w:t>：</w:t>
      </w:r>
    </w:p>
    <w:p w14:paraId="726588A3">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开</w:t>
      </w:r>
      <w:r>
        <w:rPr>
          <w:rFonts w:hint="eastAsia" w:ascii="宋体" w:hAnsi="宋体" w:eastAsia="宋体" w:cs="宋体"/>
          <w:color w:val="auto"/>
          <w:spacing w:val="5"/>
          <w:sz w:val="24"/>
          <w:highlight w:val="none"/>
        </w:rPr>
        <w:t>户银行</w:t>
      </w:r>
      <w:r>
        <w:rPr>
          <w:rFonts w:hint="eastAsia" w:ascii="宋体" w:hAnsi="宋体" w:eastAsia="宋体" w:cs="宋体"/>
          <w:color w:val="auto"/>
          <w:spacing w:val="7"/>
          <w:sz w:val="24"/>
          <w:highlight w:val="none"/>
        </w:rPr>
        <w:t>：</w:t>
      </w:r>
    </w:p>
    <w:p w14:paraId="498AA66B">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   号 </w:t>
      </w:r>
      <w:r>
        <w:rPr>
          <w:rFonts w:hint="eastAsia" w:ascii="宋体" w:hAnsi="宋体" w:eastAsia="宋体" w:cs="宋体"/>
          <w:color w:val="auto"/>
          <w:spacing w:val="-72"/>
          <w:sz w:val="24"/>
          <w:highlight w:val="none"/>
        </w:rPr>
        <w:t>：</w:t>
      </w:r>
    </w:p>
    <w:p w14:paraId="20CBBA50">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w:t>
      </w:r>
      <w:r>
        <w:rPr>
          <w:rFonts w:hint="eastAsia" w:ascii="宋体" w:hAnsi="宋体" w:eastAsia="宋体" w:cs="宋体"/>
          <w:color w:val="auto"/>
          <w:spacing w:val="-1"/>
          <w:sz w:val="24"/>
          <w:highlight w:val="none"/>
        </w:rPr>
        <w:t>：</w:t>
      </w:r>
      <w:r>
        <w:rPr>
          <w:rFonts w:hint="eastAsia" w:ascii="宋体" w:hAnsi="宋体" w:eastAsia="宋体" w:cs="宋体"/>
          <w:color w:val="auto"/>
          <w:sz w:val="24"/>
          <w:highlight w:val="none"/>
        </w:rPr>
        <w:t>年   月   日</w:t>
      </w:r>
    </w:p>
    <w:p w14:paraId="2AADA455">
      <w:pPr>
        <w:spacing w:line="440" w:lineRule="exact"/>
        <w:rPr>
          <w:rFonts w:hint="eastAsia" w:ascii="宋体" w:hAnsi="宋体" w:eastAsia="宋体" w:cs="宋体"/>
          <w:color w:val="auto"/>
          <w:sz w:val="24"/>
          <w:highlight w:val="none"/>
        </w:rPr>
        <w:sectPr>
          <w:pgSz w:w="11906" w:h="16838"/>
          <w:pgMar w:top="1440" w:right="991" w:bottom="1440" w:left="1080" w:header="0" w:footer="714" w:gutter="0"/>
          <w:cols w:space="720" w:num="1"/>
          <w:docGrid w:linePitch="435" w:charSpace="0"/>
        </w:sectPr>
      </w:pPr>
    </w:p>
    <w:p w14:paraId="4E842670">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二、投标报价明细表</w:t>
      </w:r>
    </w:p>
    <w:p w14:paraId="21A19133">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kern w:val="0"/>
          <w:sz w:val="24"/>
          <w:highlight w:val="none"/>
        </w:rPr>
      </w:pPr>
      <w:r>
        <w:rPr>
          <w:rFonts w:hint="eastAsia" w:ascii="宋体" w:hAnsi="宋体" w:eastAsia="宋体" w:cs="宋体"/>
          <w:i/>
          <w:color w:val="auto"/>
          <w:sz w:val="24"/>
          <w:highlight w:val="none"/>
        </w:rPr>
        <w:t xml:space="preserve"> </w:t>
      </w:r>
      <w:r>
        <w:rPr>
          <w:rFonts w:hint="eastAsia" w:ascii="宋体" w:hAnsi="宋体" w:eastAsia="宋体" w:cs="宋体"/>
          <w:i/>
          <w:color w:val="auto"/>
          <w:sz w:val="24"/>
          <w:highlight w:val="none"/>
        </w:rPr>
        <w:tab/>
      </w:r>
      <w:r>
        <w:rPr>
          <w:rFonts w:hint="eastAsia" w:ascii="宋体" w:hAnsi="宋体" w:eastAsia="宋体" w:cs="宋体"/>
          <w:i/>
          <w:color w:val="auto"/>
          <w:sz w:val="24"/>
          <w:highlight w:val="none"/>
        </w:rPr>
        <w:tab/>
      </w:r>
    </w:p>
    <w:p w14:paraId="432B4D17">
      <w:pPr>
        <w:tabs>
          <w:tab w:val="left" w:pos="2580"/>
          <w:tab w:val="left" w:pos="5940"/>
        </w:tabs>
        <w:autoSpaceDE w:val="0"/>
        <w:autoSpaceDN w:val="0"/>
        <w:adjustRightInd w:val="0"/>
        <w:snapToGrid w:val="0"/>
        <w:spacing w:line="300" w:lineRule="auto"/>
        <w:ind w:right="-2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2024年-2026年临江公司水泥采购项目</w:t>
      </w:r>
      <w:r>
        <w:rPr>
          <w:rFonts w:hint="eastAsia" w:ascii="宋体" w:hAnsi="宋体" w:eastAsia="宋体" w:cs="宋体"/>
          <w:color w:val="auto"/>
          <w:kern w:val="0"/>
          <w:sz w:val="24"/>
          <w:highlight w:val="none"/>
          <w:u w:val="single"/>
        </w:rPr>
        <w:t xml:space="preserve"> </w:t>
      </w:r>
    </w:p>
    <w:p w14:paraId="05BD0543">
      <w:pPr>
        <w:snapToGrid w:val="0"/>
        <w:spacing w:line="30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招标编号：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NY-1HZB2408069</w:t>
      </w:r>
      <w:r>
        <w:rPr>
          <w:rFonts w:hint="eastAsia" w:ascii="宋体" w:hAnsi="宋体" w:eastAsia="宋体" w:cs="宋体"/>
          <w:color w:val="auto"/>
          <w:kern w:val="0"/>
          <w:sz w:val="24"/>
          <w:highlight w:val="none"/>
          <w:u w:val="single"/>
        </w:rPr>
        <w:t xml:space="preserve">               </w:t>
      </w:r>
    </w:p>
    <w:tbl>
      <w:tblPr>
        <w:tblStyle w:val="24"/>
        <w:tblW w:w="12979" w:type="dxa"/>
        <w:tblInd w:w="-13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1272"/>
        <w:gridCol w:w="1500"/>
        <w:gridCol w:w="3072"/>
        <w:gridCol w:w="660"/>
        <w:gridCol w:w="780"/>
        <w:gridCol w:w="2004"/>
        <w:gridCol w:w="900"/>
        <w:gridCol w:w="972"/>
        <w:gridCol w:w="1248"/>
      </w:tblGrid>
      <w:tr w14:paraId="2B4749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571" w:type="dxa"/>
            <w:tcBorders>
              <w:tl2br w:val="nil"/>
              <w:tr2bl w:val="nil"/>
            </w:tcBorders>
            <w:shd w:val="clear" w:color="auto" w:fill="auto"/>
            <w:vAlign w:val="center"/>
          </w:tcPr>
          <w:p w14:paraId="087AE3A8">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272" w:type="dxa"/>
            <w:tcBorders>
              <w:tl2br w:val="nil"/>
              <w:tr2bl w:val="nil"/>
            </w:tcBorders>
            <w:shd w:val="clear" w:color="auto" w:fill="auto"/>
            <w:vAlign w:val="center"/>
          </w:tcPr>
          <w:p w14:paraId="3C02C0CB">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p>
        </w:tc>
        <w:tc>
          <w:tcPr>
            <w:tcW w:w="1500" w:type="dxa"/>
            <w:tcBorders>
              <w:tl2br w:val="nil"/>
              <w:tr2bl w:val="nil"/>
            </w:tcBorders>
            <w:shd w:val="clear" w:color="auto" w:fill="auto"/>
            <w:vAlign w:val="center"/>
          </w:tcPr>
          <w:p w14:paraId="2EB0D7C1">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品牌</w:t>
            </w:r>
          </w:p>
        </w:tc>
        <w:tc>
          <w:tcPr>
            <w:tcW w:w="3072" w:type="dxa"/>
            <w:tcBorders>
              <w:tl2br w:val="nil"/>
              <w:tr2bl w:val="nil"/>
            </w:tcBorders>
            <w:shd w:val="clear" w:color="auto" w:fill="auto"/>
            <w:vAlign w:val="center"/>
          </w:tcPr>
          <w:p w14:paraId="341456AA">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规格及要求</w:t>
            </w:r>
          </w:p>
        </w:tc>
        <w:tc>
          <w:tcPr>
            <w:tcW w:w="660" w:type="dxa"/>
            <w:tcBorders>
              <w:tl2br w:val="nil"/>
              <w:tr2bl w:val="nil"/>
            </w:tcBorders>
            <w:shd w:val="clear" w:color="auto" w:fill="auto"/>
            <w:vAlign w:val="center"/>
          </w:tcPr>
          <w:p w14:paraId="25AF6A0C">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w:t>
            </w:r>
          </w:p>
        </w:tc>
        <w:tc>
          <w:tcPr>
            <w:tcW w:w="780" w:type="dxa"/>
            <w:tcBorders>
              <w:tl2br w:val="nil"/>
              <w:tr2bl w:val="nil"/>
            </w:tcBorders>
            <w:shd w:val="clear" w:color="auto" w:fill="auto"/>
            <w:vAlign w:val="center"/>
          </w:tcPr>
          <w:p w14:paraId="73F78CF2">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2004" w:type="dxa"/>
            <w:tcBorders>
              <w:tl2br w:val="nil"/>
              <w:tr2bl w:val="nil"/>
            </w:tcBorders>
            <w:shd w:val="clear" w:color="auto" w:fill="auto"/>
            <w:vAlign w:val="center"/>
          </w:tcPr>
          <w:p w14:paraId="2EB5A6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以202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月份为例杭州市市区水泥M32.5R信息价（元/吨</w:t>
            </w:r>
            <w:r>
              <w:rPr>
                <w:rFonts w:hint="eastAsia" w:ascii="宋体" w:hAnsi="宋体" w:eastAsia="宋体" w:cs="宋体"/>
                <w:b w:val="0"/>
                <w:bCs w:val="0"/>
                <w:color w:val="auto"/>
                <w:sz w:val="24"/>
                <w:szCs w:val="24"/>
                <w:highlight w:val="none"/>
                <w:lang w:eastAsia="zh-CN"/>
              </w:rPr>
              <w:t>）</w:t>
            </w:r>
          </w:p>
        </w:tc>
        <w:tc>
          <w:tcPr>
            <w:tcW w:w="900" w:type="dxa"/>
            <w:tcBorders>
              <w:tl2br w:val="nil"/>
              <w:tr2bl w:val="nil"/>
            </w:tcBorders>
            <w:shd w:val="clear" w:color="auto" w:fill="auto"/>
            <w:vAlign w:val="center"/>
          </w:tcPr>
          <w:p w14:paraId="6825445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下浮率（%）</w:t>
            </w:r>
          </w:p>
        </w:tc>
        <w:tc>
          <w:tcPr>
            <w:tcW w:w="972" w:type="dxa"/>
            <w:tcBorders>
              <w:tl2br w:val="nil"/>
              <w:tr2bl w:val="nil"/>
            </w:tcBorders>
            <w:shd w:val="clear" w:color="auto" w:fill="auto"/>
            <w:vAlign w:val="center"/>
          </w:tcPr>
          <w:p w14:paraId="601DE2FB">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综合单价</w:t>
            </w:r>
            <w:r>
              <w:rPr>
                <w:rFonts w:hint="eastAsia" w:ascii="宋体" w:hAnsi="宋体" w:eastAsia="宋体" w:cs="宋体"/>
                <w:b w:val="0"/>
                <w:bCs w:val="0"/>
                <w:color w:val="auto"/>
                <w:sz w:val="24"/>
                <w:szCs w:val="24"/>
                <w:highlight w:val="none"/>
              </w:rPr>
              <w:t>（元/吨</w:t>
            </w:r>
            <w:r>
              <w:rPr>
                <w:rFonts w:hint="eastAsia" w:ascii="宋体" w:hAnsi="宋体" w:eastAsia="宋体" w:cs="宋体"/>
                <w:b w:val="0"/>
                <w:bCs w:val="0"/>
                <w:color w:val="auto"/>
                <w:sz w:val="24"/>
                <w:szCs w:val="24"/>
                <w:highlight w:val="none"/>
                <w:lang w:eastAsia="zh-CN"/>
              </w:rPr>
              <w:t>）</w:t>
            </w:r>
          </w:p>
        </w:tc>
        <w:tc>
          <w:tcPr>
            <w:tcW w:w="1248" w:type="dxa"/>
            <w:tcBorders>
              <w:tl2br w:val="nil"/>
              <w:tr2bl w:val="nil"/>
            </w:tcBorders>
            <w:shd w:val="clear" w:color="auto" w:fill="auto"/>
            <w:vAlign w:val="center"/>
          </w:tcPr>
          <w:p w14:paraId="64C150FC">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合计</w:t>
            </w:r>
            <w:r>
              <w:rPr>
                <w:rFonts w:hint="eastAsia" w:ascii="宋体" w:hAnsi="宋体" w:eastAsia="宋体" w:cs="宋体"/>
                <w:b w:val="0"/>
                <w:bCs w:val="0"/>
                <w:color w:val="auto"/>
                <w:sz w:val="24"/>
                <w:szCs w:val="24"/>
                <w:highlight w:val="none"/>
              </w:rPr>
              <w:t>金额（元</w:t>
            </w:r>
            <w:r>
              <w:rPr>
                <w:rFonts w:hint="eastAsia" w:ascii="宋体" w:hAnsi="宋体" w:eastAsia="宋体" w:cs="宋体"/>
                <w:b w:val="0"/>
                <w:bCs w:val="0"/>
                <w:color w:val="auto"/>
                <w:sz w:val="24"/>
                <w:szCs w:val="24"/>
                <w:highlight w:val="none"/>
                <w:lang w:eastAsia="zh-CN"/>
              </w:rPr>
              <w:t>）</w:t>
            </w:r>
          </w:p>
        </w:tc>
      </w:tr>
      <w:tr w14:paraId="0D99D2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571" w:type="dxa"/>
            <w:tcBorders>
              <w:tl2br w:val="nil"/>
              <w:tr2bl w:val="nil"/>
            </w:tcBorders>
            <w:shd w:val="clear" w:color="auto" w:fill="auto"/>
            <w:vAlign w:val="center"/>
          </w:tcPr>
          <w:p w14:paraId="1FCA941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272" w:type="dxa"/>
            <w:tcBorders>
              <w:tl2br w:val="nil"/>
              <w:tr2bl w:val="nil"/>
            </w:tcBorders>
            <w:shd w:val="clear" w:color="auto" w:fill="auto"/>
            <w:vAlign w:val="center"/>
          </w:tcPr>
          <w:p w14:paraId="3D0256F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袋装水泥</w:t>
            </w:r>
          </w:p>
        </w:tc>
        <w:tc>
          <w:tcPr>
            <w:tcW w:w="1500" w:type="dxa"/>
            <w:tcBorders>
              <w:tl2br w:val="nil"/>
              <w:tr2bl w:val="nil"/>
            </w:tcBorders>
            <w:shd w:val="clear" w:color="auto" w:fill="auto"/>
            <w:vAlign w:val="center"/>
          </w:tcPr>
          <w:p w14:paraId="53D4EF2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rPr>
            </w:pPr>
          </w:p>
        </w:tc>
        <w:tc>
          <w:tcPr>
            <w:tcW w:w="3072" w:type="dxa"/>
            <w:tcBorders>
              <w:tl2br w:val="nil"/>
              <w:tr2bl w:val="nil"/>
            </w:tcBorders>
            <w:shd w:val="clear" w:color="auto" w:fill="auto"/>
            <w:vAlign w:val="center"/>
          </w:tcPr>
          <w:p w14:paraId="3ECA283F">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M32.5R，满足GB/T3183-2017 砌筑水泥标准，25KG/袋，每次约20吨/车，</w:t>
            </w:r>
          </w:p>
        </w:tc>
        <w:tc>
          <w:tcPr>
            <w:tcW w:w="660" w:type="dxa"/>
            <w:tcBorders>
              <w:tl2br w:val="nil"/>
              <w:tr2bl w:val="nil"/>
            </w:tcBorders>
            <w:shd w:val="clear" w:color="auto" w:fill="auto"/>
            <w:vAlign w:val="center"/>
          </w:tcPr>
          <w:p w14:paraId="1B5D1A0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吨</w:t>
            </w:r>
          </w:p>
        </w:tc>
        <w:tc>
          <w:tcPr>
            <w:tcW w:w="780" w:type="dxa"/>
            <w:tcBorders>
              <w:tl2br w:val="nil"/>
              <w:tr2bl w:val="nil"/>
            </w:tcBorders>
            <w:shd w:val="clear" w:color="auto" w:fill="auto"/>
            <w:vAlign w:val="center"/>
          </w:tcPr>
          <w:p w14:paraId="2B67DB4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800</w:t>
            </w:r>
          </w:p>
        </w:tc>
        <w:tc>
          <w:tcPr>
            <w:tcW w:w="2004" w:type="dxa"/>
            <w:tcBorders>
              <w:tl2br w:val="nil"/>
              <w:tr2bl w:val="nil"/>
            </w:tcBorders>
            <w:shd w:val="clear" w:color="auto" w:fill="auto"/>
            <w:vAlign w:val="center"/>
          </w:tcPr>
          <w:p w14:paraId="526FC227">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360</w:t>
            </w:r>
          </w:p>
        </w:tc>
        <w:tc>
          <w:tcPr>
            <w:tcW w:w="900" w:type="dxa"/>
            <w:tcBorders>
              <w:tl2br w:val="nil"/>
              <w:tr2bl w:val="nil"/>
            </w:tcBorders>
            <w:shd w:val="clear" w:color="auto" w:fill="auto"/>
            <w:vAlign w:val="center"/>
          </w:tcPr>
          <w:p w14:paraId="55BBB8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p>
        </w:tc>
        <w:tc>
          <w:tcPr>
            <w:tcW w:w="972" w:type="dxa"/>
            <w:tcBorders>
              <w:tl2br w:val="nil"/>
              <w:tr2bl w:val="nil"/>
            </w:tcBorders>
            <w:shd w:val="clear" w:color="auto" w:fill="auto"/>
            <w:vAlign w:val="center"/>
          </w:tcPr>
          <w:p w14:paraId="16C1297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p>
        </w:tc>
        <w:tc>
          <w:tcPr>
            <w:tcW w:w="1248" w:type="dxa"/>
            <w:tcBorders>
              <w:tl2br w:val="nil"/>
              <w:tr2bl w:val="nil"/>
            </w:tcBorders>
            <w:shd w:val="clear" w:color="auto" w:fill="auto"/>
            <w:vAlign w:val="center"/>
          </w:tcPr>
          <w:p w14:paraId="4DB24AEE">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p>
        </w:tc>
      </w:tr>
      <w:tr w14:paraId="5E0CCC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571" w:type="dxa"/>
            <w:tcBorders>
              <w:tl2br w:val="nil"/>
              <w:tr2bl w:val="nil"/>
            </w:tcBorders>
            <w:shd w:val="clear" w:color="auto" w:fill="auto"/>
            <w:vAlign w:val="center"/>
          </w:tcPr>
          <w:p w14:paraId="11E21E7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272" w:type="dxa"/>
            <w:tcBorders>
              <w:tl2br w:val="nil"/>
              <w:tr2bl w:val="nil"/>
            </w:tcBorders>
            <w:shd w:val="clear" w:color="auto" w:fill="auto"/>
            <w:vAlign w:val="center"/>
          </w:tcPr>
          <w:p w14:paraId="6B34F2F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散装水泥</w:t>
            </w:r>
          </w:p>
        </w:tc>
        <w:tc>
          <w:tcPr>
            <w:tcW w:w="1500" w:type="dxa"/>
            <w:tcBorders>
              <w:tl2br w:val="nil"/>
              <w:tr2bl w:val="nil"/>
            </w:tcBorders>
            <w:shd w:val="clear" w:color="auto" w:fill="auto"/>
            <w:vAlign w:val="center"/>
          </w:tcPr>
          <w:p w14:paraId="7E3EA04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rPr>
            </w:pPr>
          </w:p>
        </w:tc>
        <w:tc>
          <w:tcPr>
            <w:tcW w:w="3072" w:type="dxa"/>
            <w:tcBorders>
              <w:tl2br w:val="nil"/>
              <w:tr2bl w:val="nil"/>
            </w:tcBorders>
            <w:shd w:val="clear" w:color="auto" w:fill="auto"/>
            <w:vAlign w:val="center"/>
          </w:tcPr>
          <w:p w14:paraId="39E35CFE">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M32.5R，满足GB/T3183-2017 砌筑水泥标准;罐车送货，每次约40-45吨/车</w:t>
            </w:r>
          </w:p>
        </w:tc>
        <w:tc>
          <w:tcPr>
            <w:tcW w:w="660" w:type="dxa"/>
            <w:tcBorders>
              <w:tl2br w:val="nil"/>
              <w:tr2bl w:val="nil"/>
            </w:tcBorders>
            <w:shd w:val="clear" w:color="auto" w:fill="auto"/>
            <w:vAlign w:val="center"/>
          </w:tcPr>
          <w:p w14:paraId="725F17D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吨</w:t>
            </w:r>
          </w:p>
        </w:tc>
        <w:tc>
          <w:tcPr>
            <w:tcW w:w="780" w:type="dxa"/>
            <w:tcBorders>
              <w:tl2br w:val="nil"/>
              <w:tr2bl w:val="nil"/>
            </w:tcBorders>
            <w:shd w:val="clear" w:color="auto" w:fill="auto"/>
            <w:vAlign w:val="center"/>
          </w:tcPr>
          <w:p w14:paraId="4561AF6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4100</w:t>
            </w:r>
          </w:p>
        </w:tc>
        <w:tc>
          <w:tcPr>
            <w:tcW w:w="2004" w:type="dxa"/>
            <w:tcBorders>
              <w:tl2br w:val="nil"/>
              <w:tr2bl w:val="nil"/>
            </w:tcBorders>
            <w:shd w:val="clear" w:color="auto" w:fill="auto"/>
            <w:vAlign w:val="center"/>
          </w:tcPr>
          <w:p w14:paraId="1F211A23">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320</w:t>
            </w:r>
          </w:p>
        </w:tc>
        <w:tc>
          <w:tcPr>
            <w:tcW w:w="900" w:type="dxa"/>
            <w:tcBorders>
              <w:tl2br w:val="nil"/>
              <w:tr2bl w:val="nil"/>
            </w:tcBorders>
            <w:shd w:val="clear" w:color="auto" w:fill="auto"/>
            <w:vAlign w:val="center"/>
          </w:tcPr>
          <w:p w14:paraId="6EA3DCF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p>
        </w:tc>
        <w:tc>
          <w:tcPr>
            <w:tcW w:w="972" w:type="dxa"/>
            <w:tcBorders>
              <w:tl2br w:val="nil"/>
              <w:tr2bl w:val="nil"/>
            </w:tcBorders>
            <w:shd w:val="clear" w:color="auto" w:fill="auto"/>
            <w:vAlign w:val="center"/>
          </w:tcPr>
          <w:p w14:paraId="2B3B64A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val="0"/>
                <w:bCs w:val="0"/>
                <w:color w:val="auto"/>
                <w:sz w:val="24"/>
                <w:szCs w:val="24"/>
                <w:highlight w:val="none"/>
                <w:lang w:val="en-US" w:eastAsia="zh-CN"/>
              </w:rPr>
            </w:pPr>
          </w:p>
        </w:tc>
        <w:tc>
          <w:tcPr>
            <w:tcW w:w="1248" w:type="dxa"/>
            <w:tcBorders>
              <w:tl2br w:val="nil"/>
              <w:tr2bl w:val="nil"/>
            </w:tcBorders>
            <w:shd w:val="clear" w:color="auto" w:fill="auto"/>
            <w:vAlign w:val="center"/>
          </w:tcPr>
          <w:p w14:paraId="5965C00D">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p>
        </w:tc>
      </w:tr>
      <w:tr w14:paraId="6EA699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3343" w:type="dxa"/>
            <w:gridSpan w:val="3"/>
            <w:tcBorders>
              <w:tl2br w:val="nil"/>
              <w:tr2bl w:val="nil"/>
            </w:tcBorders>
            <w:shd w:val="clear" w:color="auto" w:fill="auto"/>
            <w:vAlign w:val="center"/>
          </w:tcPr>
          <w:p w14:paraId="35F457A1">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投标总价</w:t>
            </w:r>
            <w:r>
              <w:rPr>
                <w:rFonts w:hint="eastAsia" w:ascii="宋体" w:hAnsi="宋体" w:eastAsia="宋体" w:cs="宋体"/>
                <w:b w:val="0"/>
                <w:bCs w:val="0"/>
                <w:color w:val="auto"/>
                <w:sz w:val="24"/>
                <w:szCs w:val="24"/>
                <w:highlight w:val="none"/>
              </w:rPr>
              <w:t>（小写）</w:t>
            </w:r>
          </w:p>
        </w:tc>
        <w:tc>
          <w:tcPr>
            <w:tcW w:w="9636" w:type="dxa"/>
            <w:gridSpan w:val="7"/>
            <w:tcBorders>
              <w:tl2br w:val="nil"/>
              <w:tr2bl w:val="nil"/>
            </w:tcBorders>
            <w:shd w:val="clear" w:color="auto" w:fill="auto"/>
            <w:vAlign w:val="center"/>
          </w:tcPr>
          <w:p w14:paraId="14E86B75">
            <w:pPr>
              <w:keepNext w:val="0"/>
              <w:keepLines w:val="0"/>
              <w:pageBreakBefore w:val="0"/>
              <w:kinsoku/>
              <w:wordWrap/>
              <w:overflowPunct/>
              <w:topLinePunct w:val="0"/>
              <w:autoSpaceDE/>
              <w:autoSpaceDN/>
              <w:bidi w:val="0"/>
              <w:adjustRightInd/>
              <w:snapToGrid/>
              <w:spacing w:line="280" w:lineRule="exact"/>
              <w:rPr>
                <w:rFonts w:ascii="宋体" w:hAnsi="宋体" w:eastAsia="宋体" w:cs="宋体"/>
                <w:b w:val="0"/>
                <w:bCs w:val="0"/>
                <w:color w:val="auto"/>
                <w:sz w:val="24"/>
                <w:szCs w:val="24"/>
                <w:highlight w:val="none"/>
              </w:rPr>
            </w:pPr>
          </w:p>
        </w:tc>
      </w:tr>
      <w:tr w14:paraId="73C7C0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3343" w:type="dxa"/>
            <w:gridSpan w:val="3"/>
            <w:tcBorders>
              <w:tl2br w:val="nil"/>
              <w:tr2bl w:val="nil"/>
            </w:tcBorders>
            <w:shd w:val="clear" w:color="auto" w:fill="auto"/>
            <w:vAlign w:val="center"/>
          </w:tcPr>
          <w:p w14:paraId="42D63CC3">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投标总价</w:t>
            </w:r>
            <w:r>
              <w:rPr>
                <w:rFonts w:hint="eastAsia" w:ascii="宋体" w:hAnsi="宋体" w:eastAsia="宋体" w:cs="宋体"/>
                <w:b w:val="0"/>
                <w:bCs w:val="0"/>
                <w:color w:val="auto"/>
                <w:sz w:val="24"/>
                <w:szCs w:val="24"/>
                <w:highlight w:val="none"/>
              </w:rPr>
              <w:t>（大写）</w:t>
            </w:r>
          </w:p>
        </w:tc>
        <w:tc>
          <w:tcPr>
            <w:tcW w:w="9636" w:type="dxa"/>
            <w:gridSpan w:val="7"/>
            <w:tcBorders>
              <w:tl2br w:val="nil"/>
              <w:tr2bl w:val="nil"/>
            </w:tcBorders>
            <w:shd w:val="clear" w:color="auto" w:fill="auto"/>
            <w:vAlign w:val="center"/>
          </w:tcPr>
          <w:p w14:paraId="158C38E0">
            <w:pPr>
              <w:keepNext w:val="0"/>
              <w:keepLines w:val="0"/>
              <w:pageBreakBefore w:val="0"/>
              <w:kinsoku/>
              <w:wordWrap/>
              <w:overflowPunct/>
              <w:topLinePunct w:val="0"/>
              <w:autoSpaceDE/>
              <w:autoSpaceDN/>
              <w:bidi w:val="0"/>
              <w:adjustRightInd/>
              <w:snapToGrid/>
              <w:spacing w:line="280" w:lineRule="exact"/>
              <w:rPr>
                <w:rFonts w:ascii="宋体" w:hAnsi="宋体" w:eastAsia="宋体" w:cs="宋体"/>
                <w:b w:val="0"/>
                <w:bCs w:val="0"/>
                <w:color w:val="auto"/>
                <w:sz w:val="24"/>
                <w:szCs w:val="24"/>
                <w:highlight w:val="none"/>
              </w:rPr>
            </w:pPr>
          </w:p>
        </w:tc>
      </w:tr>
      <w:tr w14:paraId="20DF0A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3343" w:type="dxa"/>
            <w:gridSpan w:val="3"/>
            <w:tcBorders>
              <w:tl2br w:val="nil"/>
              <w:tr2bl w:val="nil"/>
            </w:tcBorders>
            <w:shd w:val="clear" w:color="auto" w:fill="auto"/>
            <w:vAlign w:val="center"/>
          </w:tcPr>
          <w:p w14:paraId="3597BCD9">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税率</w:t>
            </w:r>
          </w:p>
        </w:tc>
        <w:tc>
          <w:tcPr>
            <w:tcW w:w="9636" w:type="dxa"/>
            <w:gridSpan w:val="7"/>
            <w:tcBorders>
              <w:tl2br w:val="nil"/>
              <w:tr2bl w:val="nil"/>
            </w:tcBorders>
            <w:shd w:val="clear" w:color="auto" w:fill="auto"/>
            <w:vAlign w:val="center"/>
          </w:tcPr>
          <w:p w14:paraId="3556004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rPr>
              <w:t>（发票须为货物类</w:t>
            </w:r>
            <w:r>
              <w:rPr>
                <w:rFonts w:hint="eastAsia" w:ascii="宋体" w:hAnsi="宋体" w:eastAsia="宋体" w:cs="宋体"/>
                <w:b w:val="0"/>
                <w:bCs w:val="0"/>
                <w:color w:val="auto"/>
                <w:sz w:val="24"/>
                <w:szCs w:val="24"/>
                <w:highlight w:val="none"/>
                <w:lang w:val="en-US" w:eastAsia="zh-CN"/>
              </w:rPr>
              <w:t>增值税专用</w:t>
            </w:r>
            <w:r>
              <w:rPr>
                <w:rFonts w:hint="eastAsia" w:ascii="宋体" w:hAnsi="宋体" w:eastAsia="宋体" w:cs="宋体"/>
                <w:b w:val="0"/>
                <w:bCs w:val="0"/>
                <w:color w:val="auto"/>
                <w:sz w:val="24"/>
                <w:szCs w:val="24"/>
                <w:highlight w:val="none"/>
              </w:rPr>
              <w:t>发票）</w:t>
            </w:r>
          </w:p>
        </w:tc>
      </w:tr>
    </w:tbl>
    <w:p w14:paraId="4FE92C63">
      <w:pPr>
        <w:tabs>
          <w:tab w:val="left" w:pos="180"/>
          <w:tab w:val="left" w:pos="900"/>
        </w:tabs>
        <w:spacing w:line="360" w:lineRule="exact"/>
        <w:ind w:right="420"/>
        <w:rPr>
          <w:rFonts w:hint="eastAsia" w:ascii="宋体" w:hAnsi="宋体" w:eastAsia="宋体" w:cs="宋体"/>
          <w:color w:val="auto"/>
          <w:sz w:val="24"/>
          <w:highlight w:val="none"/>
        </w:rPr>
      </w:pPr>
    </w:p>
    <w:p w14:paraId="617C0636">
      <w:pPr>
        <w:tabs>
          <w:tab w:val="left" w:pos="180"/>
          <w:tab w:val="left" w:pos="900"/>
        </w:tabs>
        <w:spacing w:line="360" w:lineRule="exact"/>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注：1.投标人需按本表格式填写，</w:t>
      </w:r>
      <w:r>
        <w:rPr>
          <w:rFonts w:hint="eastAsia" w:ascii="宋体" w:hAnsi="宋体" w:eastAsia="宋体" w:cs="宋体"/>
          <w:color w:val="auto"/>
          <w:sz w:val="24"/>
          <w:highlight w:val="none"/>
          <w:lang w:val="zh-CN"/>
        </w:rPr>
        <w:t>栏数不够可自加</w:t>
      </w:r>
      <w:r>
        <w:rPr>
          <w:rFonts w:hint="eastAsia" w:ascii="宋体" w:hAnsi="宋体" w:eastAsia="宋体" w:cs="宋体"/>
          <w:color w:val="auto"/>
          <w:sz w:val="24"/>
          <w:highlight w:val="none"/>
        </w:rPr>
        <w:t>。</w:t>
      </w:r>
    </w:p>
    <w:p w14:paraId="53B6B26F">
      <w:pPr>
        <w:tabs>
          <w:tab w:val="left" w:pos="180"/>
          <w:tab w:val="left" w:pos="900"/>
        </w:tabs>
        <w:spacing w:line="360" w:lineRule="exact"/>
        <w:ind w:firstLine="464"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2.本次报价包括了完成本合同所需的所有费用，包括但不限于货物、运输费、保险费、</w:t>
      </w:r>
      <w:r>
        <w:rPr>
          <w:rFonts w:hint="eastAsia" w:ascii="宋体" w:hAnsi="宋体" w:eastAsia="宋体" w:cs="宋体"/>
          <w:color w:val="auto"/>
          <w:sz w:val="24"/>
          <w:highlight w:val="none"/>
          <w:lang w:val="en-US" w:eastAsia="zh-CN"/>
        </w:rPr>
        <w:t>搬运、卸货费</w:t>
      </w:r>
      <w:r>
        <w:rPr>
          <w:rFonts w:hint="eastAsia" w:ascii="宋体" w:hAnsi="宋体" w:eastAsia="宋体" w:cs="宋体"/>
          <w:color w:val="auto"/>
          <w:sz w:val="24"/>
          <w:highlight w:val="none"/>
        </w:rPr>
        <w:t>等。</w:t>
      </w:r>
      <w:r>
        <w:rPr>
          <w:rFonts w:hint="eastAsia" w:ascii="宋体" w:hAnsi="宋体" w:eastAsia="宋体" w:cs="宋体"/>
          <w:color w:val="auto"/>
          <w:sz w:val="24"/>
          <w:highlight w:val="none"/>
          <w:lang w:val="zh-CN"/>
        </w:rPr>
        <w:t>散装水泥直接入水泥罐、袋装水泥由投标人负责卸货堆码，</w:t>
      </w:r>
      <w:r>
        <w:rPr>
          <w:rFonts w:hint="eastAsia" w:ascii="宋体" w:hAnsi="宋体" w:eastAsia="宋体" w:cs="宋体"/>
          <w:color w:val="auto"/>
          <w:sz w:val="24"/>
          <w:highlight w:val="none"/>
        </w:rPr>
        <w:t>投标人应充分考虑项目成本，合理报价，招标人不再另行追加</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费用。</w:t>
      </w:r>
    </w:p>
    <w:p w14:paraId="69D2EE50">
      <w:pPr>
        <w:tabs>
          <w:tab w:val="left" w:pos="180"/>
          <w:tab w:val="left" w:pos="900"/>
        </w:tabs>
        <w:spacing w:line="360" w:lineRule="exact"/>
        <w:ind w:right="420" w:firstLine="464"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 xml:space="preserve">综合单价=供货日所在月份的杭州市市区水泥M32.5R信息价(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元/吨)*（1-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 %下浮率）。 </w:t>
      </w:r>
    </w:p>
    <w:p w14:paraId="5C0D5870">
      <w:pPr>
        <w:tabs>
          <w:tab w:val="left" w:pos="180"/>
          <w:tab w:val="left" w:pos="900"/>
        </w:tabs>
        <w:spacing w:line="360" w:lineRule="exact"/>
        <w:ind w:right="420" w:firstLine="464"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报价是以202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月份杭州市市区散装/袋装水泥M32.5R信息价为计价基准。</w:t>
      </w:r>
    </w:p>
    <w:p w14:paraId="0706B7AD">
      <w:pPr>
        <w:tabs>
          <w:tab w:val="left" w:pos="180"/>
          <w:tab w:val="left" w:pos="900"/>
        </w:tabs>
        <w:spacing w:line="360" w:lineRule="exact"/>
        <w:ind w:right="420" w:firstLine="464"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下浮率在合同</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lang w:val="zh-CN"/>
        </w:rPr>
        <w:t>年有效期内不做调整。</w:t>
      </w:r>
    </w:p>
    <w:p w14:paraId="0BA53BB4">
      <w:pPr>
        <w:pStyle w:val="11"/>
        <w:snapToGrid w:val="0"/>
        <w:spacing w:line="360" w:lineRule="auto"/>
        <w:rPr>
          <w:rFonts w:hint="eastAsia" w:ascii="宋体" w:hAnsi="宋体" w:eastAsia="宋体" w:cs="宋体"/>
          <w:snapToGrid w:val="0"/>
          <w:color w:val="auto"/>
          <w:sz w:val="24"/>
          <w:szCs w:val="24"/>
          <w:highlight w:val="none"/>
        </w:rPr>
      </w:pPr>
    </w:p>
    <w:p w14:paraId="382E14FF">
      <w:pPr>
        <w:pStyle w:val="11"/>
        <w:snapToGrid w:val="0"/>
        <w:spacing w:line="360" w:lineRule="auto"/>
        <w:rPr>
          <w:rFonts w:hint="eastAsia" w:ascii="宋体" w:hAnsi="宋体" w:eastAsia="宋体" w:cs="宋体"/>
          <w:snapToGrid w:val="0"/>
          <w:color w:val="auto"/>
          <w:sz w:val="24"/>
          <w:szCs w:val="24"/>
          <w:highlight w:val="none"/>
        </w:rPr>
      </w:pPr>
    </w:p>
    <w:p w14:paraId="193A7EFF">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59F7F70D">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法定代表人（负责人）或其委托代理人（签字或盖章）：          </w:t>
      </w:r>
    </w:p>
    <w:p w14:paraId="0D3627AF">
      <w:pPr>
        <w:pStyle w:val="11"/>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45" w:name="_Toc30796"/>
    </w:p>
    <w:p w14:paraId="40D0B471">
      <w:pPr>
        <w:pStyle w:val="11"/>
        <w:snapToGrid w:val="0"/>
        <w:spacing w:line="360" w:lineRule="auto"/>
        <w:rPr>
          <w:rFonts w:hint="eastAsia" w:ascii="宋体" w:hAnsi="宋体" w:eastAsia="宋体" w:cs="宋体"/>
          <w:color w:val="auto"/>
          <w:sz w:val="24"/>
          <w:szCs w:val="24"/>
          <w:highlight w:val="none"/>
        </w:rPr>
      </w:pPr>
    </w:p>
    <w:p w14:paraId="3592A38E">
      <w:pPr>
        <w:pStyle w:val="4"/>
        <w:numPr>
          <w:ilvl w:val="255"/>
          <w:numId w:val="0"/>
        </w:numPr>
        <w:jc w:val="center"/>
        <w:rPr>
          <w:rFonts w:hint="eastAsia" w:ascii="宋体" w:hAnsi="宋体" w:eastAsia="宋体" w:cs="宋体"/>
          <w:b w:val="0"/>
          <w:bCs w:val="0"/>
          <w:color w:val="auto"/>
          <w:sz w:val="24"/>
          <w:szCs w:val="24"/>
          <w:highlight w:val="none"/>
        </w:rPr>
        <w:sectPr>
          <w:headerReference r:id="rId10" w:type="default"/>
          <w:footerReference r:id="rId12" w:type="default"/>
          <w:headerReference r:id="rId11" w:type="even"/>
          <w:footerReference r:id="rId13" w:type="even"/>
          <w:pgSz w:w="16838" w:h="11906" w:orient="landscape"/>
          <w:pgMar w:top="1587" w:right="2098" w:bottom="1474" w:left="1985" w:header="851" w:footer="737" w:gutter="0"/>
          <w:cols w:space="0" w:num="1"/>
          <w:docGrid w:type="linesAndChars" w:linePitch="589" w:charSpace="-1683"/>
        </w:sectPr>
      </w:pPr>
      <w:bookmarkStart w:id="146" w:name="_Toc83886045"/>
      <w:bookmarkStart w:id="147" w:name="_Toc27321"/>
    </w:p>
    <w:p w14:paraId="43AD0FEB">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rPr>
        <w:t>三、</w:t>
      </w:r>
      <w:r>
        <w:rPr>
          <w:rFonts w:hint="eastAsia" w:ascii="宋体" w:hAnsi="宋体" w:eastAsia="宋体" w:cs="宋体"/>
          <w:bCs w:val="0"/>
          <w:color w:val="auto"/>
          <w:sz w:val="24"/>
          <w:szCs w:val="24"/>
          <w:highlight w:val="none"/>
        </w:rPr>
        <w:t>法定代表人身份证明或</w:t>
      </w:r>
    </w:p>
    <w:p w14:paraId="407B7A19">
      <w:pPr>
        <w:pStyle w:val="4"/>
        <w:numPr>
          <w:ilvl w:val="255"/>
          <w:numId w:val="0"/>
        </w:numPr>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附有法定代表人和委托代理人身份证明的授权委托书</w:t>
      </w:r>
    </w:p>
    <w:p w14:paraId="086436C5">
      <w:pPr>
        <w:snapToGrid w:val="0"/>
        <w:spacing w:line="360" w:lineRule="auto"/>
        <w:jc w:val="center"/>
        <w:rPr>
          <w:rFonts w:hint="eastAsia" w:ascii="宋体" w:hAnsi="宋体" w:eastAsia="宋体" w:cs="宋体"/>
          <w:b/>
          <w:bCs/>
          <w:color w:val="auto"/>
          <w:sz w:val="24"/>
          <w:highlight w:val="none"/>
        </w:rPr>
      </w:pPr>
    </w:p>
    <w:p w14:paraId="50E4BD9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法定代表人身份证明</w:t>
      </w:r>
    </w:p>
    <w:p w14:paraId="2E2D8007">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14:paraId="1CD1FED5">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3CF4D8BE">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36729817">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37E66B6">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p>
    <w:p w14:paraId="45E3E1AB">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23672AE0">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p>
    <w:p w14:paraId="49DBE677">
      <w:pPr>
        <w:snapToGrid w:val="0"/>
        <w:spacing w:line="360" w:lineRule="auto"/>
        <w:ind w:firstLine="560"/>
        <w:rPr>
          <w:rFonts w:hint="eastAsia" w:ascii="宋体" w:hAnsi="宋体" w:eastAsia="宋体" w:cs="宋体"/>
          <w:color w:val="auto"/>
          <w:sz w:val="24"/>
          <w:highlight w:val="none"/>
        </w:rPr>
      </w:pPr>
    </w:p>
    <w:p w14:paraId="76AFFB5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w:t>
      </w:r>
    </w:p>
    <w:p w14:paraId="0FB723BF">
      <w:pPr>
        <w:snapToGrid w:val="0"/>
        <w:spacing w:line="360" w:lineRule="auto"/>
        <w:ind w:firstLine="560"/>
        <w:rPr>
          <w:rFonts w:hint="eastAsia" w:ascii="宋体" w:hAnsi="宋体" w:eastAsia="宋体" w:cs="宋体"/>
          <w:color w:val="auto"/>
          <w:sz w:val="24"/>
          <w:highlight w:val="none"/>
        </w:rPr>
      </w:pPr>
    </w:p>
    <w:p w14:paraId="203A1F0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2647BA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附：法定代表人身份证复印件</w:t>
      </w:r>
    </w:p>
    <w:p w14:paraId="338FD477">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投标人：（盖单位公章） </w:t>
      </w:r>
    </w:p>
    <w:p w14:paraId="672C16F4">
      <w:pPr>
        <w:snapToGrid w:val="0"/>
        <w:spacing w:line="360" w:lineRule="auto"/>
        <w:ind w:firstLine="6986" w:firstLineChars="296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11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14320E03">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法定代表人身份证复印件粘贴处（正、反面）</w:t>
            </w:r>
          </w:p>
        </w:tc>
      </w:tr>
    </w:tbl>
    <w:p w14:paraId="182F7AA1">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注：法定代表人参加开标的，须携带本人身份证或驾驶证或公安机关出具的临时身份证明或港澳台胞证或护照原件（其他诸如市民卡等无效）和法定代表人身份证明原件。</w:t>
      </w:r>
    </w:p>
    <w:p w14:paraId="1D672F0B">
      <w:pPr>
        <w:spacing w:after="294" w:afterLines="50" w:line="440" w:lineRule="exact"/>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rPr>
        <w:t>授权委托书</w:t>
      </w:r>
    </w:p>
    <w:p w14:paraId="200631CD">
      <w:pPr>
        <w:spacing w:line="440" w:lineRule="exact"/>
        <w:ind w:firstLine="472" w:firstLineChars="200"/>
        <w:rPr>
          <w:rFonts w:hint="eastAsia" w:ascii="宋体" w:hAnsi="宋体" w:eastAsia="宋体" w:cs="宋体"/>
          <w:color w:val="auto"/>
          <w:sz w:val="24"/>
          <w:highlight w:val="none"/>
        </w:rPr>
      </w:pPr>
    </w:p>
    <w:p w14:paraId="16E223CC">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（投标人名称）</w:t>
      </w:r>
      <w:r>
        <w:rPr>
          <w:rFonts w:hint="eastAsia" w:ascii="宋体" w:hAnsi="宋体" w:eastAsia="宋体" w:cs="宋体"/>
          <w:color w:val="auto"/>
          <w:sz w:val="24"/>
          <w:highlight w:val="none"/>
        </w:rPr>
        <w:t>的法定代表人（负责人），现委托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2024年-2026年临江公司水泥采购项目</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投标文件、签订合同和处理有关事宜，其法律后果由我方承担。</w:t>
      </w:r>
    </w:p>
    <w:p w14:paraId="7D33BE88">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03B7E127">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14:paraId="1316AA6B">
      <w:pPr>
        <w:spacing w:line="440" w:lineRule="exact"/>
        <w:rPr>
          <w:rFonts w:hint="eastAsia" w:ascii="宋体" w:hAnsi="宋体" w:eastAsia="宋体" w:cs="宋体"/>
          <w:color w:val="auto"/>
          <w:sz w:val="24"/>
          <w:highlight w:val="none"/>
        </w:rPr>
      </w:pPr>
    </w:p>
    <w:p w14:paraId="7AB5734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投标人：（盖单位公章）</w:t>
      </w:r>
    </w:p>
    <w:p w14:paraId="48C679F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法定代表人（负责人）：（签字或盖章）</w:t>
      </w:r>
    </w:p>
    <w:p w14:paraId="4969C28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19123B19">
      <w:pPr>
        <w:spacing w:line="440" w:lineRule="exact"/>
        <w:rPr>
          <w:rFonts w:hint="eastAsia" w:ascii="宋体" w:hAnsi="宋体" w:eastAsia="宋体" w:cs="宋体"/>
          <w:color w:val="auto"/>
          <w:sz w:val="24"/>
          <w:highlight w:val="none"/>
        </w:rPr>
      </w:pPr>
    </w:p>
    <w:p w14:paraId="187818B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委托的代理人：（签字或盖章）</w:t>
      </w:r>
    </w:p>
    <w:p w14:paraId="098DE3C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52FF9A93">
      <w:pPr>
        <w:snapToGrid w:val="0"/>
        <w:spacing w:line="360" w:lineRule="auto"/>
        <w:ind w:firstLine="4956"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48E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416F9255">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委托代理人身份证复印件粘贴处（正、反面）</w:t>
            </w:r>
          </w:p>
        </w:tc>
      </w:tr>
    </w:tbl>
    <w:p w14:paraId="2F644A2E">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注：1、如投标文件由委托代理人签字或盖章的，</w:t>
      </w:r>
      <w:r>
        <w:rPr>
          <w:rFonts w:hint="eastAsia" w:ascii="宋体" w:hAnsi="宋体" w:eastAsia="宋体" w:cs="宋体"/>
          <w:b/>
          <w:color w:val="auto"/>
          <w:sz w:val="24"/>
          <w:highlight w:val="none"/>
          <w:u w:val="single"/>
        </w:rPr>
        <w:t>投标文件必须附此授权委托书和法定代表人身份证明</w:t>
      </w:r>
      <w:r>
        <w:rPr>
          <w:rFonts w:hint="eastAsia" w:ascii="宋体" w:hAnsi="宋体" w:eastAsia="宋体" w:cs="宋体"/>
          <w:b/>
          <w:color w:val="auto"/>
          <w:sz w:val="24"/>
          <w:highlight w:val="none"/>
        </w:rPr>
        <w:t>。</w:t>
      </w:r>
    </w:p>
    <w:p w14:paraId="2F2A003B">
      <w:pPr>
        <w:spacing w:line="440" w:lineRule="exact"/>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6D7B59BF">
      <w:pPr>
        <w:pStyle w:val="4"/>
        <w:jc w:val="center"/>
        <w:rPr>
          <w:rFonts w:hint="eastAsia" w:ascii="宋体" w:hAnsi="宋体" w:eastAsia="宋体" w:cs="宋体"/>
          <w:bCs w:val="0"/>
          <w:color w:val="auto"/>
          <w:sz w:val="24"/>
          <w:szCs w:val="24"/>
          <w:highlight w:val="none"/>
        </w:rPr>
      </w:pPr>
      <w:r>
        <w:rPr>
          <w:rFonts w:hint="eastAsia"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rPr>
        <w:t>、商务偏离表</w:t>
      </w:r>
    </w:p>
    <w:p w14:paraId="4D0BCB3E">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13BC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4E330CA7">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43" w:type="dxa"/>
            <w:gridSpan w:val="2"/>
            <w:vAlign w:val="center"/>
          </w:tcPr>
          <w:p w14:paraId="023F68D0">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921" w:type="dxa"/>
            <w:gridSpan w:val="2"/>
            <w:vAlign w:val="center"/>
          </w:tcPr>
          <w:p w14:paraId="6594E1EA">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367" w:type="dxa"/>
            <w:vMerge w:val="restart"/>
            <w:vAlign w:val="center"/>
          </w:tcPr>
          <w:p w14:paraId="0029B91D">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5B2C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30F8D4FC">
            <w:pPr>
              <w:adjustRightInd w:val="0"/>
              <w:snapToGrid w:val="0"/>
              <w:jc w:val="center"/>
              <w:rPr>
                <w:rFonts w:hint="eastAsia" w:ascii="宋体" w:hAnsi="宋体" w:eastAsia="宋体" w:cs="宋体"/>
                <w:color w:val="auto"/>
                <w:sz w:val="24"/>
                <w:highlight w:val="none"/>
              </w:rPr>
            </w:pPr>
          </w:p>
        </w:tc>
        <w:tc>
          <w:tcPr>
            <w:tcW w:w="1140" w:type="dxa"/>
            <w:vAlign w:val="center"/>
          </w:tcPr>
          <w:p w14:paraId="280DB620">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03" w:type="dxa"/>
            <w:vAlign w:val="center"/>
          </w:tcPr>
          <w:p w14:paraId="4E9F8FAA">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200" w:type="dxa"/>
            <w:vAlign w:val="center"/>
          </w:tcPr>
          <w:p w14:paraId="75E6A13B">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721" w:type="dxa"/>
            <w:vAlign w:val="center"/>
          </w:tcPr>
          <w:p w14:paraId="55CDD79F">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367" w:type="dxa"/>
            <w:vMerge w:val="continue"/>
            <w:vAlign w:val="center"/>
          </w:tcPr>
          <w:p w14:paraId="00D81947">
            <w:pPr>
              <w:adjustRightInd w:val="0"/>
              <w:snapToGrid w:val="0"/>
              <w:jc w:val="center"/>
              <w:rPr>
                <w:rFonts w:hint="eastAsia" w:ascii="宋体" w:hAnsi="宋体" w:eastAsia="宋体" w:cs="宋体"/>
                <w:color w:val="auto"/>
                <w:sz w:val="24"/>
                <w:highlight w:val="none"/>
              </w:rPr>
            </w:pPr>
          </w:p>
        </w:tc>
      </w:tr>
      <w:tr w14:paraId="0B7F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41DB372">
            <w:pPr>
              <w:adjustRightInd w:val="0"/>
              <w:snapToGrid w:val="0"/>
              <w:jc w:val="center"/>
              <w:rPr>
                <w:rFonts w:hint="eastAsia" w:ascii="宋体" w:hAnsi="宋体" w:eastAsia="宋体" w:cs="宋体"/>
                <w:color w:val="auto"/>
                <w:sz w:val="24"/>
                <w:highlight w:val="none"/>
              </w:rPr>
            </w:pPr>
          </w:p>
        </w:tc>
        <w:tc>
          <w:tcPr>
            <w:tcW w:w="1140" w:type="dxa"/>
            <w:vAlign w:val="center"/>
          </w:tcPr>
          <w:p w14:paraId="143F0D04">
            <w:pPr>
              <w:adjustRightInd w:val="0"/>
              <w:snapToGrid w:val="0"/>
              <w:jc w:val="center"/>
              <w:rPr>
                <w:rFonts w:hint="eastAsia" w:ascii="宋体" w:hAnsi="宋体" w:eastAsia="宋体" w:cs="宋体"/>
                <w:color w:val="auto"/>
                <w:sz w:val="24"/>
                <w:highlight w:val="none"/>
              </w:rPr>
            </w:pPr>
          </w:p>
        </w:tc>
        <w:tc>
          <w:tcPr>
            <w:tcW w:w="2003" w:type="dxa"/>
            <w:vAlign w:val="center"/>
          </w:tcPr>
          <w:p w14:paraId="76F22C35">
            <w:pPr>
              <w:adjustRightInd w:val="0"/>
              <w:snapToGrid w:val="0"/>
              <w:jc w:val="center"/>
              <w:rPr>
                <w:rFonts w:hint="eastAsia" w:ascii="宋体" w:hAnsi="宋体" w:eastAsia="宋体" w:cs="宋体"/>
                <w:color w:val="auto"/>
                <w:sz w:val="24"/>
                <w:highlight w:val="none"/>
              </w:rPr>
            </w:pPr>
          </w:p>
        </w:tc>
        <w:tc>
          <w:tcPr>
            <w:tcW w:w="1200" w:type="dxa"/>
            <w:vAlign w:val="center"/>
          </w:tcPr>
          <w:p w14:paraId="7EB0E0FD">
            <w:pPr>
              <w:adjustRightInd w:val="0"/>
              <w:snapToGrid w:val="0"/>
              <w:jc w:val="center"/>
              <w:rPr>
                <w:rFonts w:hint="eastAsia" w:ascii="宋体" w:hAnsi="宋体" w:eastAsia="宋体" w:cs="宋体"/>
                <w:color w:val="auto"/>
                <w:sz w:val="24"/>
                <w:highlight w:val="none"/>
              </w:rPr>
            </w:pPr>
          </w:p>
        </w:tc>
        <w:tc>
          <w:tcPr>
            <w:tcW w:w="2721" w:type="dxa"/>
            <w:vAlign w:val="center"/>
          </w:tcPr>
          <w:p w14:paraId="1E2A021D">
            <w:pPr>
              <w:adjustRightInd w:val="0"/>
              <w:snapToGrid w:val="0"/>
              <w:jc w:val="center"/>
              <w:rPr>
                <w:rFonts w:hint="eastAsia" w:ascii="宋体" w:hAnsi="宋体" w:eastAsia="宋体" w:cs="宋体"/>
                <w:color w:val="auto"/>
                <w:sz w:val="24"/>
                <w:highlight w:val="none"/>
              </w:rPr>
            </w:pPr>
          </w:p>
        </w:tc>
        <w:tc>
          <w:tcPr>
            <w:tcW w:w="1367" w:type="dxa"/>
            <w:vAlign w:val="center"/>
          </w:tcPr>
          <w:p w14:paraId="69F3A8A2">
            <w:pPr>
              <w:adjustRightInd w:val="0"/>
              <w:snapToGrid w:val="0"/>
              <w:jc w:val="center"/>
              <w:rPr>
                <w:rFonts w:hint="eastAsia" w:ascii="宋体" w:hAnsi="宋体" w:eastAsia="宋体" w:cs="宋体"/>
                <w:color w:val="auto"/>
                <w:sz w:val="24"/>
                <w:highlight w:val="none"/>
              </w:rPr>
            </w:pPr>
          </w:p>
        </w:tc>
      </w:tr>
      <w:tr w14:paraId="4D44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811B028">
            <w:pPr>
              <w:adjustRightInd w:val="0"/>
              <w:snapToGrid w:val="0"/>
              <w:jc w:val="center"/>
              <w:rPr>
                <w:rFonts w:hint="eastAsia" w:ascii="宋体" w:hAnsi="宋体" w:eastAsia="宋体" w:cs="宋体"/>
                <w:color w:val="auto"/>
                <w:sz w:val="24"/>
                <w:highlight w:val="none"/>
              </w:rPr>
            </w:pPr>
          </w:p>
        </w:tc>
        <w:tc>
          <w:tcPr>
            <w:tcW w:w="1140" w:type="dxa"/>
            <w:vAlign w:val="center"/>
          </w:tcPr>
          <w:p w14:paraId="58E592A8">
            <w:pPr>
              <w:adjustRightInd w:val="0"/>
              <w:snapToGrid w:val="0"/>
              <w:jc w:val="center"/>
              <w:rPr>
                <w:rFonts w:hint="eastAsia" w:ascii="宋体" w:hAnsi="宋体" w:eastAsia="宋体" w:cs="宋体"/>
                <w:color w:val="auto"/>
                <w:sz w:val="24"/>
                <w:highlight w:val="none"/>
              </w:rPr>
            </w:pPr>
          </w:p>
        </w:tc>
        <w:tc>
          <w:tcPr>
            <w:tcW w:w="2003" w:type="dxa"/>
            <w:vAlign w:val="center"/>
          </w:tcPr>
          <w:p w14:paraId="699BB404">
            <w:pPr>
              <w:adjustRightInd w:val="0"/>
              <w:snapToGrid w:val="0"/>
              <w:jc w:val="center"/>
              <w:rPr>
                <w:rFonts w:hint="eastAsia" w:ascii="宋体" w:hAnsi="宋体" w:eastAsia="宋体" w:cs="宋体"/>
                <w:color w:val="auto"/>
                <w:sz w:val="24"/>
                <w:highlight w:val="none"/>
              </w:rPr>
            </w:pPr>
          </w:p>
        </w:tc>
        <w:tc>
          <w:tcPr>
            <w:tcW w:w="1200" w:type="dxa"/>
            <w:vAlign w:val="center"/>
          </w:tcPr>
          <w:p w14:paraId="029557B2">
            <w:pPr>
              <w:adjustRightInd w:val="0"/>
              <w:snapToGrid w:val="0"/>
              <w:jc w:val="center"/>
              <w:rPr>
                <w:rFonts w:hint="eastAsia" w:ascii="宋体" w:hAnsi="宋体" w:eastAsia="宋体" w:cs="宋体"/>
                <w:color w:val="auto"/>
                <w:sz w:val="24"/>
                <w:highlight w:val="none"/>
              </w:rPr>
            </w:pPr>
          </w:p>
        </w:tc>
        <w:tc>
          <w:tcPr>
            <w:tcW w:w="2721" w:type="dxa"/>
            <w:vAlign w:val="center"/>
          </w:tcPr>
          <w:p w14:paraId="3BBB952C">
            <w:pPr>
              <w:adjustRightInd w:val="0"/>
              <w:snapToGrid w:val="0"/>
              <w:jc w:val="center"/>
              <w:rPr>
                <w:rFonts w:hint="eastAsia" w:ascii="宋体" w:hAnsi="宋体" w:eastAsia="宋体" w:cs="宋体"/>
                <w:color w:val="auto"/>
                <w:sz w:val="24"/>
                <w:highlight w:val="none"/>
              </w:rPr>
            </w:pPr>
          </w:p>
        </w:tc>
        <w:tc>
          <w:tcPr>
            <w:tcW w:w="1367" w:type="dxa"/>
            <w:vAlign w:val="center"/>
          </w:tcPr>
          <w:p w14:paraId="166391CE">
            <w:pPr>
              <w:adjustRightInd w:val="0"/>
              <w:snapToGrid w:val="0"/>
              <w:jc w:val="center"/>
              <w:rPr>
                <w:rFonts w:hint="eastAsia" w:ascii="宋体" w:hAnsi="宋体" w:eastAsia="宋体" w:cs="宋体"/>
                <w:color w:val="auto"/>
                <w:sz w:val="24"/>
                <w:highlight w:val="none"/>
              </w:rPr>
            </w:pPr>
          </w:p>
        </w:tc>
      </w:tr>
      <w:tr w14:paraId="338E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8467BA4">
            <w:pPr>
              <w:adjustRightInd w:val="0"/>
              <w:snapToGrid w:val="0"/>
              <w:jc w:val="center"/>
              <w:rPr>
                <w:rFonts w:hint="eastAsia" w:ascii="宋体" w:hAnsi="宋体" w:eastAsia="宋体" w:cs="宋体"/>
                <w:color w:val="auto"/>
                <w:sz w:val="24"/>
                <w:highlight w:val="none"/>
              </w:rPr>
            </w:pPr>
          </w:p>
        </w:tc>
        <w:tc>
          <w:tcPr>
            <w:tcW w:w="1140" w:type="dxa"/>
            <w:vAlign w:val="center"/>
          </w:tcPr>
          <w:p w14:paraId="097BCCD0">
            <w:pPr>
              <w:adjustRightInd w:val="0"/>
              <w:snapToGrid w:val="0"/>
              <w:jc w:val="center"/>
              <w:rPr>
                <w:rFonts w:hint="eastAsia" w:ascii="宋体" w:hAnsi="宋体" w:eastAsia="宋体" w:cs="宋体"/>
                <w:color w:val="auto"/>
                <w:sz w:val="24"/>
                <w:highlight w:val="none"/>
              </w:rPr>
            </w:pPr>
          </w:p>
        </w:tc>
        <w:tc>
          <w:tcPr>
            <w:tcW w:w="2003" w:type="dxa"/>
            <w:vAlign w:val="center"/>
          </w:tcPr>
          <w:p w14:paraId="4B33508E">
            <w:pPr>
              <w:adjustRightInd w:val="0"/>
              <w:snapToGrid w:val="0"/>
              <w:jc w:val="center"/>
              <w:rPr>
                <w:rFonts w:hint="eastAsia" w:ascii="宋体" w:hAnsi="宋体" w:eastAsia="宋体" w:cs="宋体"/>
                <w:color w:val="auto"/>
                <w:sz w:val="24"/>
                <w:highlight w:val="none"/>
              </w:rPr>
            </w:pPr>
          </w:p>
        </w:tc>
        <w:tc>
          <w:tcPr>
            <w:tcW w:w="1200" w:type="dxa"/>
            <w:vAlign w:val="center"/>
          </w:tcPr>
          <w:p w14:paraId="167F587C">
            <w:pPr>
              <w:adjustRightInd w:val="0"/>
              <w:snapToGrid w:val="0"/>
              <w:jc w:val="center"/>
              <w:rPr>
                <w:rFonts w:hint="eastAsia" w:ascii="宋体" w:hAnsi="宋体" w:eastAsia="宋体" w:cs="宋体"/>
                <w:color w:val="auto"/>
                <w:sz w:val="24"/>
                <w:highlight w:val="none"/>
              </w:rPr>
            </w:pPr>
          </w:p>
        </w:tc>
        <w:tc>
          <w:tcPr>
            <w:tcW w:w="2721" w:type="dxa"/>
            <w:vAlign w:val="center"/>
          </w:tcPr>
          <w:p w14:paraId="709C3806">
            <w:pPr>
              <w:adjustRightInd w:val="0"/>
              <w:snapToGrid w:val="0"/>
              <w:jc w:val="center"/>
              <w:rPr>
                <w:rFonts w:hint="eastAsia" w:ascii="宋体" w:hAnsi="宋体" w:eastAsia="宋体" w:cs="宋体"/>
                <w:color w:val="auto"/>
                <w:sz w:val="24"/>
                <w:highlight w:val="none"/>
              </w:rPr>
            </w:pPr>
          </w:p>
        </w:tc>
        <w:tc>
          <w:tcPr>
            <w:tcW w:w="1367" w:type="dxa"/>
            <w:vAlign w:val="center"/>
          </w:tcPr>
          <w:p w14:paraId="1EC8DD3F">
            <w:pPr>
              <w:adjustRightInd w:val="0"/>
              <w:snapToGrid w:val="0"/>
              <w:jc w:val="center"/>
              <w:rPr>
                <w:rFonts w:hint="eastAsia" w:ascii="宋体" w:hAnsi="宋体" w:eastAsia="宋体" w:cs="宋体"/>
                <w:color w:val="auto"/>
                <w:sz w:val="24"/>
                <w:highlight w:val="none"/>
              </w:rPr>
            </w:pPr>
          </w:p>
        </w:tc>
      </w:tr>
      <w:tr w14:paraId="1D6C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1128AC2">
            <w:pPr>
              <w:adjustRightInd w:val="0"/>
              <w:snapToGrid w:val="0"/>
              <w:jc w:val="center"/>
              <w:rPr>
                <w:rFonts w:hint="eastAsia" w:ascii="宋体" w:hAnsi="宋体" w:eastAsia="宋体" w:cs="宋体"/>
                <w:color w:val="auto"/>
                <w:sz w:val="24"/>
                <w:highlight w:val="none"/>
              </w:rPr>
            </w:pPr>
          </w:p>
        </w:tc>
        <w:tc>
          <w:tcPr>
            <w:tcW w:w="1140" w:type="dxa"/>
            <w:vAlign w:val="center"/>
          </w:tcPr>
          <w:p w14:paraId="78D87D18">
            <w:pPr>
              <w:adjustRightInd w:val="0"/>
              <w:snapToGrid w:val="0"/>
              <w:jc w:val="center"/>
              <w:rPr>
                <w:rFonts w:hint="eastAsia" w:ascii="宋体" w:hAnsi="宋体" w:eastAsia="宋体" w:cs="宋体"/>
                <w:color w:val="auto"/>
                <w:sz w:val="24"/>
                <w:highlight w:val="none"/>
              </w:rPr>
            </w:pPr>
          </w:p>
        </w:tc>
        <w:tc>
          <w:tcPr>
            <w:tcW w:w="2003" w:type="dxa"/>
            <w:vAlign w:val="center"/>
          </w:tcPr>
          <w:p w14:paraId="4FD01036">
            <w:pPr>
              <w:adjustRightInd w:val="0"/>
              <w:snapToGrid w:val="0"/>
              <w:jc w:val="center"/>
              <w:rPr>
                <w:rFonts w:hint="eastAsia" w:ascii="宋体" w:hAnsi="宋体" w:eastAsia="宋体" w:cs="宋体"/>
                <w:color w:val="auto"/>
                <w:sz w:val="24"/>
                <w:highlight w:val="none"/>
              </w:rPr>
            </w:pPr>
          </w:p>
        </w:tc>
        <w:tc>
          <w:tcPr>
            <w:tcW w:w="1200" w:type="dxa"/>
            <w:vAlign w:val="center"/>
          </w:tcPr>
          <w:p w14:paraId="7C71FB65">
            <w:pPr>
              <w:adjustRightInd w:val="0"/>
              <w:snapToGrid w:val="0"/>
              <w:jc w:val="center"/>
              <w:rPr>
                <w:rFonts w:hint="eastAsia" w:ascii="宋体" w:hAnsi="宋体" w:eastAsia="宋体" w:cs="宋体"/>
                <w:color w:val="auto"/>
                <w:sz w:val="24"/>
                <w:highlight w:val="none"/>
              </w:rPr>
            </w:pPr>
          </w:p>
        </w:tc>
        <w:tc>
          <w:tcPr>
            <w:tcW w:w="2721" w:type="dxa"/>
            <w:vAlign w:val="center"/>
          </w:tcPr>
          <w:p w14:paraId="776382E1">
            <w:pPr>
              <w:adjustRightInd w:val="0"/>
              <w:snapToGrid w:val="0"/>
              <w:jc w:val="center"/>
              <w:rPr>
                <w:rFonts w:hint="eastAsia" w:ascii="宋体" w:hAnsi="宋体" w:eastAsia="宋体" w:cs="宋体"/>
                <w:color w:val="auto"/>
                <w:sz w:val="24"/>
                <w:highlight w:val="none"/>
              </w:rPr>
            </w:pPr>
          </w:p>
        </w:tc>
        <w:tc>
          <w:tcPr>
            <w:tcW w:w="1367" w:type="dxa"/>
            <w:vAlign w:val="center"/>
          </w:tcPr>
          <w:p w14:paraId="32C3FE33">
            <w:pPr>
              <w:adjustRightInd w:val="0"/>
              <w:snapToGrid w:val="0"/>
              <w:jc w:val="center"/>
              <w:rPr>
                <w:rFonts w:hint="eastAsia" w:ascii="宋体" w:hAnsi="宋体" w:eastAsia="宋体" w:cs="宋体"/>
                <w:color w:val="auto"/>
                <w:sz w:val="24"/>
                <w:highlight w:val="none"/>
              </w:rPr>
            </w:pPr>
          </w:p>
        </w:tc>
      </w:tr>
      <w:tr w14:paraId="68D3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F848667">
            <w:pPr>
              <w:adjustRightInd w:val="0"/>
              <w:snapToGrid w:val="0"/>
              <w:jc w:val="center"/>
              <w:rPr>
                <w:rFonts w:hint="eastAsia" w:ascii="宋体" w:hAnsi="宋体" w:eastAsia="宋体" w:cs="宋体"/>
                <w:color w:val="auto"/>
                <w:sz w:val="24"/>
                <w:highlight w:val="none"/>
              </w:rPr>
            </w:pPr>
          </w:p>
        </w:tc>
        <w:tc>
          <w:tcPr>
            <w:tcW w:w="1140" w:type="dxa"/>
            <w:vAlign w:val="center"/>
          </w:tcPr>
          <w:p w14:paraId="056C552E">
            <w:pPr>
              <w:adjustRightInd w:val="0"/>
              <w:snapToGrid w:val="0"/>
              <w:jc w:val="center"/>
              <w:rPr>
                <w:rFonts w:hint="eastAsia" w:ascii="宋体" w:hAnsi="宋体" w:eastAsia="宋体" w:cs="宋体"/>
                <w:color w:val="auto"/>
                <w:sz w:val="24"/>
                <w:highlight w:val="none"/>
              </w:rPr>
            </w:pPr>
          </w:p>
        </w:tc>
        <w:tc>
          <w:tcPr>
            <w:tcW w:w="2003" w:type="dxa"/>
            <w:vAlign w:val="center"/>
          </w:tcPr>
          <w:p w14:paraId="536EFFDD">
            <w:pPr>
              <w:adjustRightInd w:val="0"/>
              <w:snapToGrid w:val="0"/>
              <w:jc w:val="center"/>
              <w:rPr>
                <w:rFonts w:hint="eastAsia" w:ascii="宋体" w:hAnsi="宋体" w:eastAsia="宋体" w:cs="宋体"/>
                <w:color w:val="auto"/>
                <w:sz w:val="24"/>
                <w:highlight w:val="none"/>
              </w:rPr>
            </w:pPr>
          </w:p>
        </w:tc>
        <w:tc>
          <w:tcPr>
            <w:tcW w:w="1200" w:type="dxa"/>
            <w:vAlign w:val="center"/>
          </w:tcPr>
          <w:p w14:paraId="2F3039D5">
            <w:pPr>
              <w:adjustRightInd w:val="0"/>
              <w:snapToGrid w:val="0"/>
              <w:jc w:val="center"/>
              <w:rPr>
                <w:rFonts w:hint="eastAsia" w:ascii="宋体" w:hAnsi="宋体" w:eastAsia="宋体" w:cs="宋体"/>
                <w:color w:val="auto"/>
                <w:sz w:val="24"/>
                <w:highlight w:val="none"/>
              </w:rPr>
            </w:pPr>
          </w:p>
        </w:tc>
        <w:tc>
          <w:tcPr>
            <w:tcW w:w="2721" w:type="dxa"/>
            <w:vAlign w:val="center"/>
          </w:tcPr>
          <w:p w14:paraId="67AB0C83">
            <w:pPr>
              <w:adjustRightInd w:val="0"/>
              <w:snapToGrid w:val="0"/>
              <w:jc w:val="center"/>
              <w:rPr>
                <w:rFonts w:hint="eastAsia" w:ascii="宋体" w:hAnsi="宋体" w:eastAsia="宋体" w:cs="宋体"/>
                <w:color w:val="auto"/>
                <w:sz w:val="24"/>
                <w:highlight w:val="none"/>
              </w:rPr>
            </w:pPr>
          </w:p>
        </w:tc>
        <w:tc>
          <w:tcPr>
            <w:tcW w:w="1367" w:type="dxa"/>
            <w:vAlign w:val="center"/>
          </w:tcPr>
          <w:p w14:paraId="7C9F2C70">
            <w:pPr>
              <w:adjustRightInd w:val="0"/>
              <w:snapToGrid w:val="0"/>
              <w:jc w:val="center"/>
              <w:rPr>
                <w:rFonts w:hint="eastAsia" w:ascii="宋体" w:hAnsi="宋体" w:eastAsia="宋体" w:cs="宋体"/>
                <w:color w:val="auto"/>
                <w:sz w:val="24"/>
                <w:highlight w:val="none"/>
              </w:rPr>
            </w:pPr>
          </w:p>
        </w:tc>
      </w:tr>
      <w:tr w14:paraId="43C0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F401E75">
            <w:pPr>
              <w:adjustRightInd w:val="0"/>
              <w:snapToGrid w:val="0"/>
              <w:jc w:val="center"/>
              <w:rPr>
                <w:rFonts w:hint="eastAsia" w:ascii="宋体" w:hAnsi="宋体" w:eastAsia="宋体" w:cs="宋体"/>
                <w:color w:val="auto"/>
                <w:sz w:val="24"/>
                <w:highlight w:val="none"/>
              </w:rPr>
            </w:pPr>
          </w:p>
        </w:tc>
        <w:tc>
          <w:tcPr>
            <w:tcW w:w="1140" w:type="dxa"/>
            <w:vAlign w:val="center"/>
          </w:tcPr>
          <w:p w14:paraId="59DF1E1C">
            <w:pPr>
              <w:adjustRightInd w:val="0"/>
              <w:snapToGrid w:val="0"/>
              <w:jc w:val="center"/>
              <w:rPr>
                <w:rFonts w:hint="eastAsia" w:ascii="宋体" w:hAnsi="宋体" w:eastAsia="宋体" w:cs="宋体"/>
                <w:color w:val="auto"/>
                <w:sz w:val="24"/>
                <w:highlight w:val="none"/>
              </w:rPr>
            </w:pPr>
          </w:p>
        </w:tc>
        <w:tc>
          <w:tcPr>
            <w:tcW w:w="2003" w:type="dxa"/>
            <w:vAlign w:val="center"/>
          </w:tcPr>
          <w:p w14:paraId="5132917E">
            <w:pPr>
              <w:adjustRightInd w:val="0"/>
              <w:snapToGrid w:val="0"/>
              <w:jc w:val="center"/>
              <w:rPr>
                <w:rFonts w:hint="eastAsia" w:ascii="宋体" w:hAnsi="宋体" w:eastAsia="宋体" w:cs="宋体"/>
                <w:color w:val="auto"/>
                <w:sz w:val="24"/>
                <w:highlight w:val="none"/>
              </w:rPr>
            </w:pPr>
          </w:p>
        </w:tc>
        <w:tc>
          <w:tcPr>
            <w:tcW w:w="1200" w:type="dxa"/>
            <w:vAlign w:val="center"/>
          </w:tcPr>
          <w:p w14:paraId="32BCCC3A">
            <w:pPr>
              <w:adjustRightInd w:val="0"/>
              <w:snapToGrid w:val="0"/>
              <w:jc w:val="center"/>
              <w:rPr>
                <w:rFonts w:hint="eastAsia" w:ascii="宋体" w:hAnsi="宋体" w:eastAsia="宋体" w:cs="宋体"/>
                <w:color w:val="auto"/>
                <w:sz w:val="24"/>
                <w:highlight w:val="none"/>
              </w:rPr>
            </w:pPr>
          </w:p>
        </w:tc>
        <w:tc>
          <w:tcPr>
            <w:tcW w:w="2721" w:type="dxa"/>
            <w:vAlign w:val="center"/>
          </w:tcPr>
          <w:p w14:paraId="7B43AD0F">
            <w:pPr>
              <w:adjustRightInd w:val="0"/>
              <w:snapToGrid w:val="0"/>
              <w:jc w:val="center"/>
              <w:rPr>
                <w:rFonts w:hint="eastAsia" w:ascii="宋体" w:hAnsi="宋体" w:eastAsia="宋体" w:cs="宋体"/>
                <w:color w:val="auto"/>
                <w:sz w:val="24"/>
                <w:highlight w:val="none"/>
              </w:rPr>
            </w:pPr>
          </w:p>
        </w:tc>
        <w:tc>
          <w:tcPr>
            <w:tcW w:w="1367" w:type="dxa"/>
            <w:vAlign w:val="center"/>
          </w:tcPr>
          <w:p w14:paraId="4961B39D">
            <w:pPr>
              <w:adjustRightInd w:val="0"/>
              <w:snapToGrid w:val="0"/>
              <w:jc w:val="center"/>
              <w:rPr>
                <w:rFonts w:hint="eastAsia" w:ascii="宋体" w:hAnsi="宋体" w:eastAsia="宋体" w:cs="宋体"/>
                <w:color w:val="auto"/>
                <w:sz w:val="24"/>
                <w:highlight w:val="none"/>
              </w:rPr>
            </w:pPr>
          </w:p>
        </w:tc>
      </w:tr>
      <w:tr w14:paraId="109C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65813C3">
            <w:pPr>
              <w:adjustRightInd w:val="0"/>
              <w:snapToGrid w:val="0"/>
              <w:jc w:val="center"/>
              <w:rPr>
                <w:rFonts w:hint="eastAsia" w:ascii="宋体" w:hAnsi="宋体" w:eastAsia="宋体" w:cs="宋体"/>
                <w:color w:val="auto"/>
                <w:sz w:val="24"/>
                <w:highlight w:val="none"/>
              </w:rPr>
            </w:pPr>
          </w:p>
        </w:tc>
        <w:tc>
          <w:tcPr>
            <w:tcW w:w="1140" w:type="dxa"/>
            <w:vAlign w:val="center"/>
          </w:tcPr>
          <w:p w14:paraId="1D899689">
            <w:pPr>
              <w:adjustRightInd w:val="0"/>
              <w:snapToGrid w:val="0"/>
              <w:jc w:val="center"/>
              <w:rPr>
                <w:rFonts w:hint="eastAsia" w:ascii="宋体" w:hAnsi="宋体" w:eastAsia="宋体" w:cs="宋体"/>
                <w:color w:val="auto"/>
                <w:sz w:val="24"/>
                <w:highlight w:val="none"/>
              </w:rPr>
            </w:pPr>
          </w:p>
        </w:tc>
        <w:tc>
          <w:tcPr>
            <w:tcW w:w="2003" w:type="dxa"/>
            <w:vAlign w:val="center"/>
          </w:tcPr>
          <w:p w14:paraId="74E1E94E">
            <w:pPr>
              <w:adjustRightInd w:val="0"/>
              <w:snapToGrid w:val="0"/>
              <w:jc w:val="center"/>
              <w:rPr>
                <w:rFonts w:hint="eastAsia" w:ascii="宋体" w:hAnsi="宋体" w:eastAsia="宋体" w:cs="宋体"/>
                <w:color w:val="auto"/>
                <w:sz w:val="24"/>
                <w:highlight w:val="none"/>
              </w:rPr>
            </w:pPr>
          </w:p>
        </w:tc>
        <w:tc>
          <w:tcPr>
            <w:tcW w:w="1200" w:type="dxa"/>
            <w:vAlign w:val="center"/>
          </w:tcPr>
          <w:p w14:paraId="09853021">
            <w:pPr>
              <w:adjustRightInd w:val="0"/>
              <w:snapToGrid w:val="0"/>
              <w:jc w:val="center"/>
              <w:rPr>
                <w:rFonts w:hint="eastAsia" w:ascii="宋体" w:hAnsi="宋体" w:eastAsia="宋体" w:cs="宋体"/>
                <w:color w:val="auto"/>
                <w:sz w:val="24"/>
                <w:highlight w:val="none"/>
              </w:rPr>
            </w:pPr>
          </w:p>
        </w:tc>
        <w:tc>
          <w:tcPr>
            <w:tcW w:w="2721" w:type="dxa"/>
            <w:vAlign w:val="center"/>
          </w:tcPr>
          <w:p w14:paraId="512C03A5">
            <w:pPr>
              <w:adjustRightInd w:val="0"/>
              <w:snapToGrid w:val="0"/>
              <w:jc w:val="center"/>
              <w:rPr>
                <w:rFonts w:hint="eastAsia" w:ascii="宋体" w:hAnsi="宋体" w:eastAsia="宋体" w:cs="宋体"/>
                <w:color w:val="auto"/>
                <w:sz w:val="24"/>
                <w:highlight w:val="none"/>
              </w:rPr>
            </w:pPr>
          </w:p>
        </w:tc>
        <w:tc>
          <w:tcPr>
            <w:tcW w:w="1367" w:type="dxa"/>
            <w:vAlign w:val="center"/>
          </w:tcPr>
          <w:p w14:paraId="4A04AF37">
            <w:pPr>
              <w:adjustRightInd w:val="0"/>
              <w:snapToGrid w:val="0"/>
              <w:jc w:val="center"/>
              <w:rPr>
                <w:rFonts w:hint="eastAsia" w:ascii="宋体" w:hAnsi="宋体" w:eastAsia="宋体" w:cs="宋体"/>
                <w:color w:val="auto"/>
                <w:sz w:val="24"/>
                <w:highlight w:val="none"/>
              </w:rPr>
            </w:pPr>
          </w:p>
        </w:tc>
      </w:tr>
      <w:tr w14:paraId="02EF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0977739">
            <w:pPr>
              <w:adjustRightInd w:val="0"/>
              <w:snapToGrid w:val="0"/>
              <w:jc w:val="center"/>
              <w:rPr>
                <w:rFonts w:hint="eastAsia" w:ascii="宋体" w:hAnsi="宋体" w:eastAsia="宋体" w:cs="宋体"/>
                <w:color w:val="auto"/>
                <w:sz w:val="24"/>
                <w:highlight w:val="none"/>
              </w:rPr>
            </w:pPr>
          </w:p>
        </w:tc>
        <w:tc>
          <w:tcPr>
            <w:tcW w:w="1140" w:type="dxa"/>
            <w:vAlign w:val="center"/>
          </w:tcPr>
          <w:p w14:paraId="6FF42356">
            <w:pPr>
              <w:adjustRightInd w:val="0"/>
              <w:snapToGrid w:val="0"/>
              <w:jc w:val="center"/>
              <w:rPr>
                <w:rFonts w:hint="eastAsia" w:ascii="宋体" w:hAnsi="宋体" w:eastAsia="宋体" w:cs="宋体"/>
                <w:color w:val="auto"/>
                <w:sz w:val="24"/>
                <w:highlight w:val="none"/>
              </w:rPr>
            </w:pPr>
          </w:p>
        </w:tc>
        <w:tc>
          <w:tcPr>
            <w:tcW w:w="2003" w:type="dxa"/>
            <w:vAlign w:val="center"/>
          </w:tcPr>
          <w:p w14:paraId="02F7532A">
            <w:pPr>
              <w:adjustRightInd w:val="0"/>
              <w:snapToGrid w:val="0"/>
              <w:jc w:val="center"/>
              <w:rPr>
                <w:rFonts w:hint="eastAsia" w:ascii="宋体" w:hAnsi="宋体" w:eastAsia="宋体" w:cs="宋体"/>
                <w:color w:val="auto"/>
                <w:sz w:val="24"/>
                <w:highlight w:val="none"/>
              </w:rPr>
            </w:pPr>
          </w:p>
        </w:tc>
        <w:tc>
          <w:tcPr>
            <w:tcW w:w="1200" w:type="dxa"/>
            <w:vAlign w:val="center"/>
          </w:tcPr>
          <w:p w14:paraId="1C1F21D0">
            <w:pPr>
              <w:adjustRightInd w:val="0"/>
              <w:snapToGrid w:val="0"/>
              <w:jc w:val="center"/>
              <w:rPr>
                <w:rFonts w:hint="eastAsia" w:ascii="宋体" w:hAnsi="宋体" w:eastAsia="宋体" w:cs="宋体"/>
                <w:color w:val="auto"/>
                <w:sz w:val="24"/>
                <w:highlight w:val="none"/>
              </w:rPr>
            </w:pPr>
          </w:p>
        </w:tc>
        <w:tc>
          <w:tcPr>
            <w:tcW w:w="2721" w:type="dxa"/>
            <w:vAlign w:val="center"/>
          </w:tcPr>
          <w:p w14:paraId="36C5097A">
            <w:pPr>
              <w:adjustRightInd w:val="0"/>
              <w:snapToGrid w:val="0"/>
              <w:jc w:val="center"/>
              <w:rPr>
                <w:rFonts w:hint="eastAsia" w:ascii="宋体" w:hAnsi="宋体" w:eastAsia="宋体" w:cs="宋体"/>
                <w:color w:val="auto"/>
                <w:sz w:val="24"/>
                <w:highlight w:val="none"/>
              </w:rPr>
            </w:pPr>
          </w:p>
        </w:tc>
        <w:tc>
          <w:tcPr>
            <w:tcW w:w="1367" w:type="dxa"/>
            <w:vAlign w:val="center"/>
          </w:tcPr>
          <w:p w14:paraId="590928F2">
            <w:pPr>
              <w:adjustRightInd w:val="0"/>
              <w:snapToGrid w:val="0"/>
              <w:jc w:val="center"/>
              <w:rPr>
                <w:rFonts w:hint="eastAsia" w:ascii="宋体" w:hAnsi="宋体" w:eastAsia="宋体" w:cs="宋体"/>
                <w:color w:val="auto"/>
                <w:sz w:val="24"/>
                <w:highlight w:val="none"/>
              </w:rPr>
            </w:pPr>
          </w:p>
        </w:tc>
      </w:tr>
      <w:tr w14:paraId="1A31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841B503">
            <w:pPr>
              <w:adjustRightInd w:val="0"/>
              <w:snapToGrid w:val="0"/>
              <w:jc w:val="center"/>
              <w:rPr>
                <w:rFonts w:hint="eastAsia" w:ascii="宋体" w:hAnsi="宋体" w:eastAsia="宋体" w:cs="宋体"/>
                <w:color w:val="auto"/>
                <w:sz w:val="24"/>
                <w:highlight w:val="none"/>
              </w:rPr>
            </w:pPr>
          </w:p>
        </w:tc>
        <w:tc>
          <w:tcPr>
            <w:tcW w:w="1140" w:type="dxa"/>
            <w:vAlign w:val="center"/>
          </w:tcPr>
          <w:p w14:paraId="1B856A06">
            <w:pPr>
              <w:adjustRightInd w:val="0"/>
              <w:snapToGrid w:val="0"/>
              <w:jc w:val="center"/>
              <w:rPr>
                <w:rFonts w:hint="eastAsia" w:ascii="宋体" w:hAnsi="宋体" w:eastAsia="宋体" w:cs="宋体"/>
                <w:color w:val="auto"/>
                <w:sz w:val="24"/>
                <w:highlight w:val="none"/>
              </w:rPr>
            </w:pPr>
          </w:p>
        </w:tc>
        <w:tc>
          <w:tcPr>
            <w:tcW w:w="2003" w:type="dxa"/>
            <w:vAlign w:val="center"/>
          </w:tcPr>
          <w:p w14:paraId="4A996D06">
            <w:pPr>
              <w:adjustRightInd w:val="0"/>
              <w:snapToGrid w:val="0"/>
              <w:jc w:val="center"/>
              <w:rPr>
                <w:rFonts w:hint="eastAsia" w:ascii="宋体" w:hAnsi="宋体" w:eastAsia="宋体" w:cs="宋体"/>
                <w:color w:val="auto"/>
                <w:sz w:val="24"/>
                <w:highlight w:val="none"/>
              </w:rPr>
            </w:pPr>
          </w:p>
        </w:tc>
        <w:tc>
          <w:tcPr>
            <w:tcW w:w="1200" w:type="dxa"/>
            <w:vAlign w:val="center"/>
          </w:tcPr>
          <w:p w14:paraId="46B3342D">
            <w:pPr>
              <w:adjustRightInd w:val="0"/>
              <w:snapToGrid w:val="0"/>
              <w:jc w:val="center"/>
              <w:rPr>
                <w:rFonts w:hint="eastAsia" w:ascii="宋体" w:hAnsi="宋体" w:eastAsia="宋体" w:cs="宋体"/>
                <w:color w:val="auto"/>
                <w:sz w:val="24"/>
                <w:highlight w:val="none"/>
              </w:rPr>
            </w:pPr>
          </w:p>
        </w:tc>
        <w:tc>
          <w:tcPr>
            <w:tcW w:w="2721" w:type="dxa"/>
            <w:vAlign w:val="center"/>
          </w:tcPr>
          <w:p w14:paraId="1E4EA94F">
            <w:pPr>
              <w:adjustRightInd w:val="0"/>
              <w:snapToGrid w:val="0"/>
              <w:jc w:val="center"/>
              <w:rPr>
                <w:rFonts w:hint="eastAsia" w:ascii="宋体" w:hAnsi="宋体" w:eastAsia="宋体" w:cs="宋体"/>
                <w:color w:val="auto"/>
                <w:sz w:val="24"/>
                <w:highlight w:val="none"/>
              </w:rPr>
            </w:pPr>
          </w:p>
        </w:tc>
        <w:tc>
          <w:tcPr>
            <w:tcW w:w="1367" w:type="dxa"/>
            <w:vAlign w:val="center"/>
          </w:tcPr>
          <w:p w14:paraId="62E06053">
            <w:pPr>
              <w:adjustRightInd w:val="0"/>
              <w:snapToGrid w:val="0"/>
              <w:jc w:val="center"/>
              <w:rPr>
                <w:rFonts w:hint="eastAsia" w:ascii="宋体" w:hAnsi="宋体" w:eastAsia="宋体" w:cs="宋体"/>
                <w:color w:val="auto"/>
                <w:sz w:val="24"/>
                <w:highlight w:val="none"/>
              </w:rPr>
            </w:pPr>
          </w:p>
        </w:tc>
      </w:tr>
      <w:tr w14:paraId="5368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3690819">
            <w:pPr>
              <w:adjustRightInd w:val="0"/>
              <w:snapToGrid w:val="0"/>
              <w:jc w:val="center"/>
              <w:rPr>
                <w:rFonts w:hint="eastAsia" w:ascii="宋体" w:hAnsi="宋体" w:eastAsia="宋体" w:cs="宋体"/>
                <w:color w:val="auto"/>
                <w:sz w:val="24"/>
                <w:highlight w:val="none"/>
              </w:rPr>
            </w:pPr>
          </w:p>
        </w:tc>
        <w:tc>
          <w:tcPr>
            <w:tcW w:w="1140" w:type="dxa"/>
            <w:vAlign w:val="center"/>
          </w:tcPr>
          <w:p w14:paraId="5979D9AA">
            <w:pPr>
              <w:adjustRightInd w:val="0"/>
              <w:snapToGrid w:val="0"/>
              <w:jc w:val="center"/>
              <w:rPr>
                <w:rFonts w:hint="eastAsia" w:ascii="宋体" w:hAnsi="宋体" w:eastAsia="宋体" w:cs="宋体"/>
                <w:color w:val="auto"/>
                <w:sz w:val="24"/>
                <w:highlight w:val="none"/>
              </w:rPr>
            </w:pPr>
          </w:p>
        </w:tc>
        <w:tc>
          <w:tcPr>
            <w:tcW w:w="2003" w:type="dxa"/>
            <w:vAlign w:val="center"/>
          </w:tcPr>
          <w:p w14:paraId="0C34B50E">
            <w:pPr>
              <w:adjustRightInd w:val="0"/>
              <w:snapToGrid w:val="0"/>
              <w:jc w:val="center"/>
              <w:rPr>
                <w:rFonts w:hint="eastAsia" w:ascii="宋体" w:hAnsi="宋体" w:eastAsia="宋体" w:cs="宋体"/>
                <w:color w:val="auto"/>
                <w:sz w:val="24"/>
                <w:highlight w:val="none"/>
              </w:rPr>
            </w:pPr>
          </w:p>
        </w:tc>
        <w:tc>
          <w:tcPr>
            <w:tcW w:w="1200" w:type="dxa"/>
            <w:vAlign w:val="center"/>
          </w:tcPr>
          <w:p w14:paraId="4BA7DC0A">
            <w:pPr>
              <w:adjustRightInd w:val="0"/>
              <w:snapToGrid w:val="0"/>
              <w:jc w:val="center"/>
              <w:rPr>
                <w:rFonts w:hint="eastAsia" w:ascii="宋体" w:hAnsi="宋体" w:eastAsia="宋体" w:cs="宋体"/>
                <w:color w:val="auto"/>
                <w:sz w:val="24"/>
                <w:highlight w:val="none"/>
              </w:rPr>
            </w:pPr>
          </w:p>
        </w:tc>
        <w:tc>
          <w:tcPr>
            <w:tcW w:w="2721" w:type="dxa"/>
            <w:vAlign w:val="center"/>
          </w:tcPr>
          <w:p w14:paraId="1E8F6BDD">
            <w:pPr>
              <w:adjustRightInd w:val="0"/>
              <w:snapToGrid w:val="0"/>
              <w:jc w:val="center"/>
              <w:rPr>
                <w:rFonts w:hint="eastAsia" w:ascii="宋体" w:hAnsi="宋体" w:eastAsia="宋体" w:cs="宋体"/>
                <w:color w:val="auto"/>
                <w:sz w:val="24"/>
                <w:highlight w:val="none"/>
              </w:rPr>
            </w:pPr>
          </w:p>
        </w:tc>
        <w:tc>
          <w:tcPr>
            <w:tcW w:w="1367" w:type="dxa"/>
            <w:vAlign w:val="center"/>
          </w:tcPr>
          <w:p w14:paraId="6340890A">
            <w:pPr>
              <w:adjustRightInd w:val="0"/>
              <w:snapToGrid w:val="0"/>
              <w:jc w:val="center"/>
              <w:rPr>
                <w:rFonts w:hint="eastAsia" w:ascii="宋体" w:hAnsi="宋体" w:eastAsia="宋体" w:cs="宋体"/>
                <w:color w:val="auto"/>
                <w:sz w:val="24"/>
                <w:highlight w:val="none"/>
              </w:rPr>
            </w:pPr>
          </w:p>
        </w:tc>
      </w:tr>
      <w:tr w14:paraId="14F5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AFB1732">
            <w:pPr>
              <w:adjustRightInd w:val="0"/>
              <w:snapToGrid w:val="0"/>
              <w:jc w:val="center"/>
              <w:rPr>
                <w:rFonts w:hint="eastAsia" w:ascii="宋体" w:hAnsi="宋体" w:eastAsia="宋体" w:cs="宋体"/>
                <w:color w:val="auto"/>
                <w:sz w:val="24"/>
                <w:highlight w:val="none"/>
              </w:rPr>
            </w:pPr>
          </w:p>
        </w:tc>
        <w:tc>
          <w:tcPr>
            <w:tcW w:w="1140" w:type="dxa"/>
            <w:vAlign w:val="center"/>
          </w:tcPr>
          <w:p w14:paraId="3059DA18">
            <w:pPr>
              <w:adjustRightInd w:val="0"/>
              <w:snapToGrid w:val="0"/>
              <w:jc w:val="center"/>
              <w:rPr>
                <w:rFonts w:hint="eastAsia" w:ascii="宋体" w:hAnsi="宋体" w:eastAsia="宋体" w:cs="宋体"/>
                <w:color w:val="auto"/>
                <w:sz w:val="24"/>
                <w:highlight w:val="none"/>
              </w:rPr>
            </w:pPr>
          </w:p>
        </w:tc>
        <w:tc>
          <w:tcPr>
            <w:tcW w:w="2003" w:type="dxa"/>
            <w:vAlign w:val="center"/>
          </w:tcPr>
          <w:p w14:paraId="5FB9BCFD">
            <w:pPr>
              <w:adjustRightInd w:val="0"/>
              <w:snapToGrid w:val="0"/>
              <w:jc w:val="center"/>
              <w:rPr>
                <w:rFonts w:hint="eastAsia" w:ascii="宋体" w:hAnsi="宋体" w:eastAsia="宋体" w:cs="宋体"/>
                <w:color w:val="auto"/>
                <w:sz w:val="24"/>
                <w:highlight w:val="none"/>
              </w:rPr>
            </w:pPr>
          </w:p>
        </w:tc>
        <w:tc>
          <w:tcPr>
            <w:tcW w:w="1200" w:type="dxa"/>
            <w:vAlign w:val="center"/>
          </w:tcPr>
          <w:p w14:paraId="4D7E953F">
            <w:pPr>
              <w:adjustRightInd w:val="0"/>
              <w:snapToGrid w:val="0"/>
              <w:jc w:val="center"/>
              <w:rPr>
                <w:rFonts w:hint="eastAsia" w:ascii="宋体" w:hAnsi="宋体" w:eastAsia="宋体" w:cs="宋体"/>
                <w:color w:val="auto"/>
                <w:sz w:val="24"/>
                <w:highlight w:val="none"/>
              </w:rPr>
            </w:pPr>
          </w:p>
        </w:tc>
        <w:tc>
          <w:tcPr>
            <w:tcW w:w="2721" w:type="dxa"/>
            <w:vAlign w:val="center"/>
          </w:tcPr>
          <w:p w14:paraId="6F0605C7">
            <w:pPr>
              <w:adjustRightInd w:val="0"/>
              <w:snapToGrid w:val="0"/>
              <w:jc w:val="center"/>
              <w:rPr>
                <w:rFonts w:hint="eastAsia" w:ascii="宋体" w:hAnsi="宋体" w:eastAsia="宋体" w:cs="宋体"/>
                <w:color w:val="auto"/>
                <w:sz w:val="24"/>
                <w:highlight w:val="none"/>
              </w:rPr>
            </w:pPr>
          </w:p>
        </w:tc>
        <w:tc>
          <w:tcPr>
            <w:tcW w:w="1367" w:type="dxa"/>
            <w:vAlign w:val="center"/>
          </w:tcPr>
          <w:p w14:paraId="2B028D72">
            <w:pPr>
              <w:adjustRightInd w:val="0"/>
              <w:snapToGrid w:val="0"/>
              <w:jc w:val="center"/>
              <w:rPr>
                <w:rFonts w:hint="eastAsia" w:ascii="宋体" w:hAnsi="宋体" w:eastAsia="宋体" w:cs="宋体"/>
                <w:color w:val="auto"/>
                <w:sz w:val="24"/>
                <w:highlight w:val="none"/>
              </w:rPr>
            </w:pPr>
          </w:p>
        </w:tc>
      </w:tr>
    </w:tbl>
    <w:p w14:paraId="7D4EBD40">
      <w:pPr>
        <w:wordWrap w:val="0"/>
        <w:spacing w:line="400" w:lineRule="exact"/>
        <w:rPr>
          <w:rFonts w:hint="eastAsia" w:ascii="宋体" w:hAnsi="宋体" w:eastAsia="宋体" w:cs="宋体"/>
          <w:color w:val="auto"/>
          <w:kern w:val="0"/>
          <w:sz w:val="24"/>
          <w:highlight w:val="none"/>
        </w:rPr>
      </w:pPr>
    </w:p>
    <w:p w14:paraId="35921039">
      <w:pPr>
        <w:rPr>
          <w:rFonts w:hint="eastAsia" w:ascii="宋体" w:hAnsi="宋体" w:eastAsia="宋体" w:cs="宋体"/>
          <w:color w:val="auto"/>
          <w:sz w:val="24"/>
          <w:highlight w:val="none"/>
        </w:rPr>
      </w:pPr>
    </w:p>
    <w:p w14:paraId="3AE3DA8D">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注：1、请</w:t>
      </w:r>
      <w:r>
        <w:rPr>
          <w:rFonts w:hint="eastAsia" w:ascii="宋体" w:hAnsi="宋体" w:eastAsia="宋体" w:cs="宋体"/>
          <w:color w:val="auto"/>
          <w:sz w:val="24"/>
          <w:highlight w:val="none"/>
          <w:lang w:val="en-GB"/>
        </w:rPr>
        <w:t>投标人在“是否响应”栏内根据响应情况填写“满足、或负偏离，或正偏离”，负偏离或正偏离请在“偏离说明”栏内扼要说明偏离情况。</w:t>
      </w:r>
    </w:p>
    <w:p w14:paraId="5CEA295E">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2、若投标人未提供或未填写本表，均视作完全响应招标文件要求。</w:t>
      </w:r>
    </w:p>
    <w:p w14:paraId="7A3EB0AB">
      <w:pPr>
        <w:adjustRightInd w:val="0"/>
        <w:snapToGrid w:val="0"/>
        <w:spacing w:line="360" w:lineRule="auto"/>
        <w:ind w:firstLine="472" w:firstLineChars="200"/>
        <w:rPr>
          <w:rFonts w:hint="eastAsia" w:ascii="宋体" w:hAnsi="宋体" w:eastAsia="宋体" w:cs="宋体"/>
          <w:color w:val="auto"/>
          <w:sz w:val="24"/>
          <w:highlight w:val="none"/>
        </w:rPr>
      </w:pPr>
    </w:p>
    <w:p w14:paraId="20A35F84">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投标人（盖公章）：</w:t>
      </w:r>
    </w:p>
    <w:p w14:paraId="28A33721">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法定代表人（负责人）或其委托代理人（签字或盖章）：</w:t>
      </w:r>
    </w:p>
    <w:p w14:paraId="49DF18A6">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59F5DAC2">
      <w:pPr>
        <w:pStyle w:val="4"/>
        <w:jc w:val="center"/>
        <w:rPr>
          <w:rFonts w:hint="eastAsia" w:ascii="宋体" w:hAnsi="宋体" w:eastAsia="宋体" w:cs="宋体"/>
          <w:bCs w:val="0"/>
          <w:color w:val="auto"/>
          <w:sz w:val="24"/>
          <w:szCs w:val="24"/>
          <w:highlight w:val="none"/>
          <w:lang w:val="zh-CN"/>
        </w:rPr>
      </w:pPr>
      <w:r>
        <w:rPr>
          <w:rFonts w:hint="eastAsia" w:cs="宋体"/>
          <w:bCs w:val="0"/>
          <w:color w:val="auto"/>
          <w:sz w:val="24"/>
          <w:szCs w:val="24"/>
          <w:highlight w:val="none"/>
          <w:lang w:val="en-US" w:eastAsia="zh-CN"/>
        </w:rPr>
        <w:t>五</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zh-CN"/>
        </w:rPr>
        <w:t>优惠条件及特殊承诺</w:t>
      </w:r>
      <w:r>
        <w:rPr>
          <w:rFonts w:hint="eastAsia" w:cs="宋体"/>
          <w:bCs w:val="0"/>
          <w:color w:val="auto"/>
          <w:sz w:val="24"/>
          <w:szCs w:val="24"/>
          <w:highlight w:val="none"/>
          <w:lang w:val="zh-CN"/>
        </w:rPr>
        <w:t>（</w:t>
      </w:r>
      <w:r>
        <w:rPr>
          <w:rFonts w:hint="eastAsia" w:cs="宋体"/>
          <w:bCs w:val="0"/>
          <w:color w:val="auto"/>
          <w:sz w:val="24"/>
          <w:szCs w:val="24"/>
          <w:highlight w:val="none"/>
          <w:lang w:val="en-US" w:eastAsia="zh-CN"/>
        </w:rPr>
        <w:t>如有</w:t>
      </w:r>
      <w:r>
        <w:rPr>
          <w:rFonts w:hint="eastAsia" w:cs="宋体"/>
          <w:bCs w:val="0"/>
          <w:color w:val="auto"/>
          <w:sz w:val="24"/>
          <w:szCs w:val="24"/>
          <w:highlight w:val="none"/>
          <w:lang w:val="zh-CN"/>
        </w:rPr>
        <w:t>）</w:t>
      </w:r>
    </w:p>
    <w:p w14:paraId="1C6D9FB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14:paraId="6F53408A">
      <w:pPr>
        <w:spacing w:line="360" w:lineRule="auto"/>
        <w:jc w:val="center"/>
        <w:rPr>
          <w:rFonts w:hint="eastAsia" w:ascii="宋体" w:hAnsi="宋体" w:eastAsia="宋体" w:cs="宋体"/>
          <w:color w:val="auto"/>
          <w:sz w:val="24"/>
          <w:highlight w:val="none"/>
        </w:rPr>
      </w:pPr>
    </w:p>
    <w:p w14:paraId="43023F6C">
      <w:pPr>
        <w:pStyle w:val="11"/>
        <w:spacing w:line="360" w:lineRule="auto"/>
        <w:rPr>
          <w:rFonts w:hint="eastAsia" w:ascii="宋体" w:hAnsi="宋体" w:eastAsia="宋体" w:cs="宋体"/>
          <w:color w:val="auto"/>
          <w:sz w:val="24"/>
          <w:szCs w:val="24"/>
          <w:highlight w:val="none"/>
        </w:rPr>
      </w:pPr>
    </w:p>
    <w:p w14:paraId="3A5D724F">
      <w:pPr>
        <w:pStyle w:val="11"/>
        <w:spacing w:line="360" w:lineRule="auto"/>
        <w:rPr>
          <w:rFonts w:hint="eastAsia" w:ascii="宋体" w:hAnsi="宋体" w:eastAsia="宋体" w:cs="宋体"/>
          <w:color w:val="auto"/>
          <w:sz w:val="24"/>
          <w:szCs w:val="24"/>
          <w:highlight w:val="none"/>
        </w:rPr>
      </w:pPr>
    </w:p>
    <w:p w14:paraId="4EAE5312">
      <w:pPr>
        <w:pStyle w:val="11"/>
        <w:spacing w:line="360" w:lineRule="auto"/>
        <w:rPr>
          <w:rFonts w:hint="eastAsia" w:ascii="宋体" w:hAnsi="宋体" w:eastAsia="宋体" w:cs="宋体"/>
          <w:color w:val="auto"/>
          <w:sz w:val="24"/>
          <w:szCs w:val="24"/>
          <w:highlight w:val="none"/>
        </w:rPr>
      </w:pPr>
    </w:p>
    <w:p w14:paraId="2B3CD7E3">
      <w:pPr>
        <w:pStyle w:val="11"/>
        <w:spacing w:line="360" w:lineRule="auto"/>
        <w:rPr>
          <w:rFonts w:hint="eastAsia" w:ascii="宋体" w:hAnsi="宋体" w:eastAsia="宋体" w:cs="宋体"/>
          <w:color w:val="auto"/>
          <w:sz w:val="24"/>
          <w:szCs w:val="24"/>
          <w:highlight w:val="none"/>
        </w:rPr>
      </w:pPr>
    </w:p>
    <w:p w14:paraId="03826BA5">
      <w:pPr>
        <w:pStyle w:val="11"/>
        <w:spacing w:line="360" w:lineRule="auto"/>
        <w:rPr>
          <w:rFonts w:hint="eastAsia" w:ascii="宋体" w:hAnsi="宋体" w:eastAsia="宋体" w:cs="宋体"/>
          <w:color w:val="auto"/>
          <w:sz w:val="24"/>
          <w:szCs w:val="24"/>
          <w:highlight w:val="none"/>
        </w:rPr>
      </w:pPr>
    </w:p>
    <w:p w14:paraId="2A1A9B67">
      <w:pPr>
        <w:pStyle w:val="11"/>
        <w:spacing w:line="360" w:lineRule="auto"/>
        <w:rPr>
          <w:rFonts w:hint="eastAsia" w:ascii="宋体" w:hAnsi="宋体" w:eastAsia="宋体" w:cs="宋体"/>
          <w:color w:val="auto"/>
          <w:sz w:val="24"/>
          <w:szCs w:val="24"/>
          <w:highlight w:val="none"/>
        </w:rPr>
      </w:pPr>
    </w:p>
    <w:p w14:paraId="1A597D82">
      <w:pPr>
        <w:pStyle w:val="11"/>
        <w:spacing w:line="360" w:lineRule="auto"/>
        <w:rPr>
          <w:rFonts w:hint="eastAsia" w:ascii="宋体" w:hAnsi="宋体" w:eastAsia="宋体" w:cs="宋体"/>
          <w:color w:val="auto"/>
          <w:sz w:val="24"/>
          <w:szCs w:val="24"/>
          <w:highlight w:val="none"/>
        </w:rPr>
      </w:pPr>
    </w:p>
    <w:p w14:paraId="64A54531">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7B464517">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sz w:val="24"/>
          <w:szCs w:val="24"/>
          <w:highlight w:val="none"/>
        </w:rPr>
        <w:t>（负责人）</w:t>
      </w:r>
      <w:r>
        <w:rPr>
          <w:rFonts w:hint="eastAsia" w:ascii="宋体" w:hAnsi="宋体" w:eastAsia="宋体" w:cs="宋体"/>
          <w:color w:val="auto"/>
          <w:sz w:val="24"/>
          <w:szCs w:val="24"/>
          <w:highlight w:val="none"/>
        </w:rPr>
        <w:t>或其委托代理人（签字或盖章）：</w:t>
      </w:r>
    </w:p>
    <w:p w14:paraId="2A1039CA">
      <w:pPr>
        <w:pStyle w:val="49"/>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日期：</w:t>
      </w:r>
      <w:r>
        <w:rPr>
          <w:rFonts w:hint="eastAsia" w:ascii="宋体" w:hAnsi="宋体" w:eastAsia="宋体" w:cs="宋体"/>
          <w:color w:val="auto"/>
          <w:sz w:val="24"/>
          <w:highlight w:val="none"/>
        </w:rPr>
        <w:t>年    月    日</w:t>
      </w:r>
    </w:p>
    <w:p w14:paraId="4981B2D5">
      <w:pPr>
        <w:snapToGrid w:val="0"/>
        <w:spacing w:line="360" w:lineRule="auto"/>
        <w:jc w:val="center"/>
        <w:outlineLvl w:val="9"/>
        <w:rPr>
          <w:rFonts w:hint="eastAsia" w:ascii="宋体" w:hAnsi="宋体" w:eastAsia="宋体" w:cs="宋体"/>
          <w:b/>
          <w:bCs/>
          <w:color w:val="auto"/>
          <w:sz w:val="24"/>
          <w:highlight w:val="none"/>
        </w:rPr>
      </w:pPr>
    </w:p>
    <w:p w14:paraId="276EADF0">
      <w:pPr>
        <w:jc w:val="both"/>
        <w:outlineLvl w:val="9"/>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br w:type="page"/>
      </w:r>
    </w:p>
    <w:p w14:paraId="272D3CD0">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z w:val="28"/>
          <w:szCs w:val="28"/>
          <w:highlight w:val="none"/>
        </w:rPr>
      </w:pPr>
      <w:bookmarkStart w:id="148" w:name="_Toc20930"/>
      <w:r>
        <w:rPr>
          <w:rFonts w:hint="eastAsia" w:ascii="宋体" w:hAnsi="宋体" w:eastAsia="宋体" w:cs="宋体"/>
          <w:color w:val="auto"/>
          <w:sz w:val="28"/>
          <w:szCs w:val="28"/>
          <w:highlight w:val="none"/>
        </w:rPr>
        <w:t>第三部分、资信文件</w:t>
      </w:r>
      <w:bookmarkEnd w:id="146"/>
      <w:bookmarkEnd w:id="147"/>
      <w:bookmarkEnd w:id="148"/>
    </w:p>
    <w:p w14:paraId="7DCC2E6C">
      <w:pPr>
        <w:pStyle w:val="4"/>
        <w:jc w:val="center"/>
        <w:rPr>
          <w:rFonts w:hint="eastAsia" w:ascii="宋体" w:hAnsi="宋体" w:eastAsia="宋体" w:cs="宋体"/>
          <w:color w:val="auto"/>
          <w:sz w:val="24"/>
          <w:szCs w:val="24"/>
          <w:highlight w:val="none"/>
        </w:rPr>
      </w:pPr>
      <w:bookmarkStart w:id="149" w:name="_Toc31736"/>
      <w:r>
        <w:rPr>
          <w:rFonts w:hint="eastAsia" w:ascii="宋体" w:hAnsi="宋体" w:eastAsia="宋体" w:cs="宋体"/>
          <w:color w:val="auto"/>
          <w:sz w:val="24"/>
          <w:szCs w:val="24"/>
          <w:highlight w:val="none"/>
        </w:rPr>
        <w:t>一、投标人基本情况表</w:t>
      </w:r>
      <w:bookmarkEnd w:id="149"/>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56C4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FF570A6">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7370" w:type="dxa"/>
            <w:gridSpan w:val="7"/>
            <w:vAlign w:val="center"/>
          </w:tcPr>
          <w:p w14:paraId="3C957C2E">
            <w:pPr>
              <w:pStyle w:val="48"/>
              <w:rPr>
                <w:rFonts w:hint="eastAsia" w:ascii="宋体" w:hAnsi="宋体" w:eastAsia="宋体" w:cs="宋体"/>
                <w:color w:val="auto"/>
                <w:sz w:val="24"/>
                <w:szCs w:val="24"/>
                <w:highlight w:val="none"/>
              </w:rPr>
            </w:pPr>
          </w:p>
        </w:tc>
      </w:tr>
      <w:tr w14:paraId="5B36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54B07EA">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营业执照（事业单位法人证书等）</w:t>
            </w:r>
          </w:p>
        </w:tc>
      </w:tr>
      <w:tr w14:paraId="2711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50EFE9E">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697" w:type="dxa"/>
            <w:gridSpan w:val="3"/>
            <w:vAlign w:val="center"/>
          </w:tcPr>
          <w:p w14:paraId="113868C4">
            <w:pPr>
              <w:pStyle w:val="48"/>
              <w:rPr>
                <w:rFonts w:hint="eastAsia" w:ascii="宋体" w:hAnsi="宋体" w:eastAsia="宋体" w:cs="宋体"/>
                <w:color w:val="auto"/>
                <w:sz w:val="24"/>
                <w:szCs w:val="24"/>
                <w:highlight w:val="none"/>
              </w:rPr>
            </w:pPr>
          </w:p>
        </w:tc>
        <w:tc>
          <w:tcPr>
            <w:tcW w:w="1803" w:type="dxa"/>
            <w:gridSpan w:val="2"/>
            <w:vAlign w:val="center"/>
          </w:tcPr>
          <w:p w14:paraId="318BC213">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2870" w:type="dxa"/>
            <w:gridSpan w:val="2"/>
            <w:vAlign w:val="center"/>
          </w:tcPr>
          <w:p w14:paraId="7DB8ADA3">
            <w:pPr>
              <w:pStyle w:val="48"/>
              <w:rPr>
                <w:rFonts w:hint="eastAsia" w:ascii="宋体" w:hAnsi="宋体" w:eastAsia="宋体" w:cs="宋体"/>
                <w:color w:val="auto"/>
                <w:sz w:val="24"/>
                <w:szCs w:val="24"/>
                <w:highlight w:val="none"/>
              </w:rPr>
            </w:pPr>
          </w:p>
        </w:tc>
      </w:tr>
      <w:tr w14:paraId="4B6D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66F1BA4">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发照机关</w:t>
            </w:r>
          </w:p>
        </w:tc>
        <w:tc>
          <w:tcPr>
            <w:tcW w:w="2697" w:type="dxa"/>
            <w:gridSpan w:val="3"/>
            <w:vAlign w:val="center"/>
          </w:tcPr>
          <w:p w14:paraId="5BC47699">
            <w:pPr>
              <w:pStyle w:val="48"/>
              <w:rPr>
                <w:rFonts w:hint="eastAsia" w:ascii="宋体" w:hAnsi="宋体" w:eastAsia="宋体" w:cs="宋体"/>
                <w:color w:val="auto"/>
                <w:sz w:val="24"/>
                <w:szCs w:val="24"/>
                <w:highlight w:val="none"/>
              </w:rPr>
            </w:pPr>
          </w:p>
        </w:tc>
        <w:tc>
          <w:tcPr>
            <w:tcW w:w="1803" w:type="dxa"/>
            <w:gridSpan w:val="2"/>
            <w:vAlign w:val="center"/>
          </w:tcPr>
          <w:p w14:paraId="238AC7F6">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2870" w:type="dxa"/>
            <w:gridSpan w:val="2"/>
            <w:vAlign w:val="center"/>
          </w:tcPr>
          <w:p w14:paraId="1C7F9852">
            <w:pPr>
              <w:pStyle w:val="48"/>
              <w:rPr>
                <w:rFonts w:hint="eastAsia" w:ascii="宋体" w:hAnsi="宋体" w:eastAsia="宋体" w:cs="宋体"/>
                <w:color w:val="auto"/>
                <w:sz w:val="24"/>
                <w:szCs w:val="24"/>
                <w:highlight w:val="none"/>
              </w:rPr>
            </w:pPr>
          </w:p>
        </w:tc>
      </w:tr>
      <w:tr w14:paraId="389C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6B15077">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697" w:type="dxa"/>
            <w:gridSpan w:val="3"/>
            <w:vAlign w:val="center"/>
          </w:tcPr>
          <w:p w14:paraId="51EDD05E">
            <w:pPr>
              <w:pStyle w:val="48"/>
              <w:rPr>
                <w:rFonts w:hint="eastAsia" w:ascii="宋体" w:hAnsi="宋体" w:eastAsia="宋体" w:cs="宋体"/>
                <w:color w:val="auto"/>
                <w:sz w:val="24"/>
                <w:szCs w:val="24"/>
                <w:highlight w:val="none"/>
              </w:rPr>
            </w:pPr>
          </w:p>
        </w:tc>
        <w:tc>
          <w:tcPr>
            <w:tcW w:w="1803" w:type="dxa"/>
            <w:gridSpan w:val="2"/>
            <w:vAlign w:val="center"/>
          </w:tcPr>
          <w:p w14:paraId="45A87EDA">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tc>
        <w:tc>
          <w:tcPr>
            <w:tcW w:w="2870" w:type="dxa"/>
            <w:gridSpan w:val="2"/>
            <w:vAlign w:val="center"/>
          </w:tcPr>
          <w:p w14:paraId="3C23376E">
            <w:pPr>
              <w:pStyle w:val="48"/>
              <w:rPr>
                <w:rFonts w:hint="eastAsia" w:ascii="宋体" w:hAnsi="宋体" w:eastAsia="宋体" w:cs="宋体"/>
                <w:color w:val="auto"/>
                <w:sz w:val="24"/>
                <w:szCs w:val="24"/>
                <w:highlight w:val="none"/>
              </w:rPr>
            </w:pPr>
          </w:p>
        </w:tc>
      </w:tr>
      <w:tr w14:paraId="5F8D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AA17365">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370" w:type="dxa"/>
            <w:gridSpan w:val="7"/>
            <w:vAlign w:val="center"/>
          </w:tcPr>
          <w:p w14:paraId="7FCF98EC">
            <w:pPr>
              <w:pStyle w:val="48"/>
              <w:rPr>
                <w:rFonts w:hint="eastAsia" w:ascii="宋体" w:hAnsi="宋体" w:eastAsia="宋体" w:cs="宋体"/>
                <w:color w:val="auto"/>
                <w:sz w:val="24"/>
                <w:szCs w:val="24"/>
                <w:highlight w:val="none"/>
              </w:rPr>
            </w:pPr>
          </w:p>
        </w:tc>
      </w:tr>
      <w:tr w14:paraId="7B7B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E54A4C7">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单位资质</w:t>
            </w:r>
          </w:p>
        </w:tc>
      </w:tr>
      <w:tr w14:paraId="4BCE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B91A021">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单位资质等级</w:t>
            </w:r>
          </w:p>
        </w:tc>
        <w:tc>
          <w:tcPr>
            <w:tcW w:w="2697" w:type="dxa"/>
            <w:gridSpan w:val="3"/>
            <w:vAlign w:val="center"/>
          </w:tcPr>
          <w:p w14:paraId="1D52067F">
            <w:pPr>
              <w:pStyle w:val="48"/>
              <w:rPr>
                <w:rFonts w:hint="eastAsia" w:ascii="宋体" w:hAnsi="宋体" w:eastAsia="宋体" w:cs="宋体"/>
                <w:color w:val="auto"/>
                <w:sz w:val="24"/>
                <w:szCs w:val="24"/>
                <w:highlight w:val="none"/>
              </w:rPr>
            </w:pPr>
          </w:p>
        </w:tc>
        <w:tc>
          <w:tcPr>
            <w:tcW w:w="1803" w:type="dxa"/>
            <w:gridSpan w:val="2"/>
            <w:vAlign w:val="center"/>
          </w:tcPr>
          <w:p w14:paraId="26C68358">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2870" w:type="dxa"/>
            <w:gridSpan w:val="2"/>
            <w:vAlign w:val="center"/>
          </w:tcPr>
          <w:p w14:paraId="2AEC4248">
            <w:pPr>
              <w:pStyle w:val="48"/>
              <w:rPr>
                <w:rFonts w:hint="eastAsia" w:ascii="宋体" w:hAnsi="宋体" w:eastAsia="宋体" w:cs="宋体"/>
                <w:color w:val="auto"/>
                <w:sz w:val="24"/>
                <w:szCs w:val="24"/>
                <w:highlight w:val="none"/>
              </w:rPr>
            </w:pPr>
          </w:p>
        </w:tc>
      </w:tr>
      <w:tr w14:paraId="133B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29E49186">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7" w:type="dxa"/>
            <w:gridSpan w:val="3"/>
            <w:vAlign w:val="center"/>
          </w:tcPr>
          <w:p w14:paraId="442AEAC4">
            <w:pPr>
              <w:pStyle w:val="48"/>
              <w:rPr>
                <w:rFonts w:hint="eastAsia" w:ascii="宋体" w:hAnsi="宋体" w:eastAsia="宋体" w:cs="宋体"/>
                <w:color w:val="auto"/>
                <w:sz w:val="24"/>
                <w:szCs w:val="24"/>
                <w:highlight w:val="none"/>
              </w:rPr>
            </w:pPr>
          </w:p>
        </w:tc>
        <w:tc>
          <w:tcPr>
            <w:tcW w:w="1803" w:type="dxa"/>
            <w:gridSpan w:val="2"/>
            <w:vAlign w:val="center"/>
          </w:tcPr>
          <w:p w14:paraId="0484E35D">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业务范围</w:t>
            </w:r>
          </w:p>
        </w:tc>
        <w:tc>
          <w:tcPr>
            <w:tcW w:w="2870" w:type="dxa"/>
            <w:gridSpan w:val="2"/>
            <w:vAlign w:val="center"/>
          </w:tcPr>
          <w:p w14:paraId="2BA88D15">
            <w:pPr>
              <w:pStyle w:val="48"/>
              <w:rPr>
                <w:rFonts w:hint="eastAsia" w:ascii="宋体" w:hAnsi="宋体" w:eastAsia="宋体" w:cs="宋体"/>
                <w:color w:val="auto"/>
                <w:sz w:val="24"/>
                <w:szCs w:val="24"/>
                <w:highlight w:val="none"/>
              </w:rPr>
            </w:pPr>
          </w:p>
        </w:tc>
      </w:tr>
      <w:tr w14:paraId="4578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2A038E42">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领导层构成情况</w:t>
            </w:r>
          </w:p>
        </w:tc>
      </w:tr>
      <w:tr w14:paraId="58C0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DA50381">
            <w:pPr>
              <w:pStyle w:val="48"/>
              <w:rPr>
                <w:rFonts w:hint="eastAsia" w:ascii="宋体" w:hAnsi="宋体" w:eastAsia="宋体" w:cs="宋体"/>
                <w:color w:val="auto"/>
                <w:sz w:val="24"/>
                <w:szCs w:val="24"/>
                <w:highlight w:val="none"/>
              </w:rPr>
            </w:pPr>
          </w:p>
        </w:tc>
        <w:tc>
          <w:tcPr>
            <w:tcW w:w="1914" w:type="dxa"/>
            <w:gridSpan w:val="3"/>
            <w:vAlign w:val="center"/>
          </w:tcPr>
          <w:p w14:paraId="3CCD96EC">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14" w:type="dxa"/>
            <w:gridSpan w:val="2"/>
            <w:vAlign w:val="center"/>
          </w:tcPr>
          <w:p w14:paraId="0629623F">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914" w:type="dxa"/>
            <w:gridSpan w:val="2"/>
            <w:vAlign w:val="center"/>
          </w:tcPr>
          <w:p w14:paraId="3E4107C4">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2" w:type="dxa"/>
            <w:vAlign w:val="center"/>
          </w:tcPr>
          <w:p w14:paraId="78087BD7">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437B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E7E0B5E">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14" w:type="dxa"/>
            <w:gridSpan w:val="3"/>
            <w:vAlign w:val="center"/>
          </w:tcPr>
          <w:p w14:paraId="46584A22">
            <w:pPr>
              <w:pStyle w:val="48"/>
              <w:rPr>
                <w:rFonts w:hint="eastAsia" w:ascii="宋体" w:hAnsi="宋体" w:eastAsia="宋体" w:cs="宋体"/>
                <w:color w:val="auto"/>
                <w:sz w:val="24"/>
                <w:szCs w:val="24"/>
                <w:highlight w:val="none"/>
              </w:rPr>
            </w:pPr>
          </w:p>
        </w:tc>
        <w:tc>
          <w:tcPr>
            <w:tcW w:w="1914" w:type="dxa"/>
            <w:gridSpan w:val="2"/>
            <w:vAlign w:val="center"/>
          </w:tcPr>
          <w:p w14:paraId="5024A10C">
            <w:pPr>
              <w:pStyle w:val="48"/>
              <w:rPr>
                <w:rFonts w:hint="eastAsia" w:ascii="宋体" w:hAnsi="宋体" w:eastAsia="宋体" w:cs="宋体"/>
                <w:color w:val="auto"/>
                <w:sz w:val="24"/>
                <w:szCs w:val="24"/>
                <w:highlight w:val="none"/>
              </w:rPr>
            </w:pPr>
          </w:p>
        </w:tc>
        <w:tc>
          <w:tcPr>
            <w:tcW w:w="1914" w:type="dxa"/>
            <w:gridSpan w:val="2"/>
            <w:vAlign w:val="center"/>
          </w:tcPr>
          <w:p w14:paraId="7FF726B9">
            <w:pPr>
              <w:pStyle w:val="48"/>
              <w:rPr>
                <w:rFonts w:hint="eastAsia" w:ascii="宋体" w:hAnsi="宋体" w:eastAsia="宋体" w:cs="宋体"/>
                <w:color w:val="auto"/>
                <w:sz w:val="24"/>
                <w:szCs w:val="24"/>
                <w:highlight w:val="none"/>
              </w:rPr>
            </w:pPr>
          </w:p>
        </w:tc>
        <w:tc>
          <w:tcPr>
            <w:tcW w:w="1802" w:type="dxa"/>
            <w:vAlign w:val="center"/>
          </w:tcPr>
          <w:p w14:paraId="587A5EFC">
            <w:pPr>
              <w:pStyle w:val="48"/>
              <w:rPr>
                <w:rFonts w:hint="eastAsia" w:ascii="宋体" w:hAnsi="宋体" w:eastAsia="宋体" w:cs="宋体"/>
                <w:color w:val="auto"/>
                <w:sz w:val="24"/>
                <w:szCs w:val="24"/>
                <w:highlight w:val="none"/>
              </w:rPr>
            </w:pPr>
          </w:p>
        </w:tc>
      </w:tr>
      <w:tr w14:paraId="0C1E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9B978AE">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p>
        </w:tc>
        <w:tc>
          <w:tcPr>
            <w:tcW w:w="1914" w:type="dxa"/>
            <w:gridSpan w:val="3"/>
            <w:vAlign w:val="center"/>
          </w:tcPr>
          <w:p w14:paraId="6F071BDF">
            <w:pPr>
              <w:pStyle w:val="48"/>
              <w:rPr>
                <w:rFonts w:hint="eastAsia" w:ascii="宋体" w:hAnsi="宋体" w:eastAsia="宋体" w:cs="宋体"/>
                <w:color w:val="auto"/>
                <w:sz w:val="24"/>
                <w:szCs w:val="24"/>
                <w:highlight w:val="none"/>
              </w:rPr>
            </w:pPr>
          </w:p>
        </w:tc>
        <w:tc>
          <w:tcPr>
            <w:tcW w:w="1914" w:type="dxa"/>
            <w:gridSpan w:val="2"/>
            <w:vAlign w:val="center"/>
          </w:tcPr>
          <w:p w14:paraId="2B95F5CE">
            <w:pPr>
              <w:pStyle w:val="48"/>
              <w:rPr>
                <w:rFonts w:hint="eastAsia" w:ascii="宋体" w:hAnsi="宋体" w:eastAsia="宋体" w:cs="宋体"/>
                <w:color w:val="auto"/>
                <w:sz w:val="24"/>
                <w:szCs w:val="24"/>
                <w:highlight w:val="none"/>
              </w:rPr>
            </w:pPr>
          </w:p>
        </w:tc>
        <w:tc>
          <w:tcPr>
            <w:tcW w:w="1914" w:type="dxa"/>
            <w:gridSpan w:val="2"/>
            <w:vAlign w:val="center"/>
          </w:tcPr>
          <w:p w14:paraId="532E5245">
            <w:pPr>
              <w:pStyle w:val="48"/>
              <w:rPr>
                <w:rFonts w:hint="eastAsia" w:ascii="宋体" w:hAnsi="宋体" w:eastAsia="宋体" w:cs="宋体"/>
                <w:color w:val="auto"/>
                <w:sz w:val="24"/>
                <w:szCs w:val="24"/>
                <w:highlight w:val="none"/>
              </w:rPr>
            </w:pPr>
          </w:p>
        </w:tc>
        <w:tc>
          <w:tcPr>
            <w:tcW w:w="1802" w:type="dxa"/>
            <w:vAlign w:val="center"/>
          </w:tcPr>
          <w:p w14:paraId="3F984430">
            <w:pPr>
              <w:pStyle w:val="48"/>
              <w:rPr>
                <w:rFonts w:hint="eastAsia" w:ascii="宋体" w:hAnsi="宋体" w:eastAsia="宋体" w:cs="宋体"/>
                <w:color w:val="auto"/>
                <w:sz w:val="24"/>
                <w:szCs w:val="24"/>
                <w:highlight w:val="none"/>
              </w:rPr>
            </w:pPr>
          </w:p>
        </w:tc>
      </w:tr>
      <w:tr w14:paraId="05B6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9D4A10C">
            <w:pPr>
              <w:pStyle w:val="48"/>
              <w:rPr>
                <w:rFonts w:hint="eastAsia" w:ascii="宋体" w:hAnsi="宋体" w:eastAsia="宋体" w:cs="宋体"/>
                <w:color w:val="auto"/>
                <w:sz w:val="24"/>
                <w:szCs w:val="24"/>
                <w:highlight w:val="none"/>
              </w:rPr>
            </w:pPr>
          </w:p>
        </w:tc>
        <w:tc>
          <w:tcPr>
            <w:tcW w:w="1914" w:type="dxa"/>
            <w:gridSpan w:val="3"/>
            <w:vAlign w:val="center"/>
          </w:tcPr>
          <w:p w14:paraId="3E05FEC1">
            <w:pPr>
              <w:pStyle w:val="48"/>
              <w:rPr>
                <w:rFonts w:hint="eastAsia" w:ascii="宋体" w:hAnsi="宋体" w:eastAsia="宋体" w:cs="宋体"/>
                <w:color w:val="auto"/>
                <w:sz w:val="24"/>
                <w:szCs w:val="24"/>
                <w:highlight w:val="none"/>
              </w:rPr>
            </w:pPr>
          </w:p>
        </w:tc>
        <w:tc>
          <w:tcPr>
            <w:tcW w:w="1914" w:type="dxa"/>
            <w:gridSpan w:val="2"/>
            <w:vAlign w:val="center"/>
          </w:tcPr>
          <w:p w14:paraId="3DD523A0">
            <w:pPr>
              <w:pStyle w:val="48"/>
              <w:rPr>
                <w:rFonts w:hint="eastAsia" w:ascii="宋体" w:hAnsi="宋体" w:eastAsia="宋体" w:cs="宋体"/>
                <w:color w:val="auto"/>
                <w:sz w:val="24"/>
                <w:szCs w:val="24"/>
                <w:highlight w:val="none"/>
              </w:rPr>
            </w:pPr>
          </w:p>
        </w:tc>
        <w:tc>
          <w:tcPr>
            <w:tcW w:w="1914" w:type="dxa"/>
            <w:gridSpan w:val="2"/>
            <w:vAlign w:val="center"/>
          </w:tcPr>
          <w:p w14:paraId="1A592404">
            <w:pPr>
              <w:pStyle w:val="48"/>
              <w:rPr>
                <w:rFonts w:hint="eastAsia" w:ascii="宋体" w:hAnsi="宋体" w:eastAsia="宋体" w:cs="宋体"/>
                <w:color w:val="auto"/>
                <w:sz w:val="24"/>
                <w:szCs w:val="24"/>
                <w:highlight w:val="none"/>
              </w:rPr>
            </w:pPr>
          </w:p>
        </w:tc>
        <w:tc>
          <w:tcPr>
            <w:tcW w:w="1802" w:type="dxa"/>
            <w:vAlign w:val="center"/>
          </w:tcPr>
          <w:p w14:paraId="783A3415">
            <w:pPr>
              <w:pStyle w:val="48"/>
              <w:rPr>
                <w:rFonts w:hint="eastAsia" w:ascii="宋体" w:hAnsi="宋体" w:eastAsia="宋体" w:cs="宋体"/>
                <w:color w:val="auto"/>
                <w:sz w:val="24"/>
                <w:szCs w:val="24"/>
                <w:highlight w:val="none"/>
              </w:rPr>
            </w:pPr>
          </w:p>
        </w:tc>
      </w:tr>
      <w:tr w14:paraId="4806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F5667E4">
            <w:pPr>
              <w:pStyle w:val="48"/>
              <w:rPr>
                <w:rFonts w:hint="eastAsia" w:ascii="宋体" w:hAnsi="宋体" w:eastAsia="宋体" w:cs="宋体"/>
                <w:color w:val="auto"/>
                <w:sz w:val="24"/>
                <w:szCs w:val="24"/>
                <w:highlight w:val="none"/>
              </w:rPr>
            </w:pPr>
          </w:p>
        </w:tc>
        <w:tc>
          <w:tcPr>
            <w:tcW w:w="1914" w:type="dxa"/>
            <w:gridSpan w:val="3"/>
            <w:vAlign w:val="center"/>
          </w:tcPr>
          <w:p w14:paraId="559AEA07">
            <w:pPr>
              <w:pStyle w:val="48"/>
              <w:rPr>
                <w:rFonts w:hint="eastAsia" w:ascii="宋体" w:hAnsi="宋体" w:eastAsia="宋体" w:cs="宋体"/>
                <w:color w:val="auto"/>
                <w:sz w:val="24"/>
                <w:szCs w:val="24"/>
                <w:highlight w:val="none"/>
              </w:rPr>
            </w:pPr>
          </w:p>
        </w:tc>
        <w:tc>
          <w:tcPr>
            <w:tcW w:w="1914" w:type="dxa"/>
            <w:gridSpan w:val="2"/>
            <w:vAlign w:val="center"/>
          </w:tcPr>
          <w:p w14:paraId="20936BB5">
            <w:pPr>
              <w:pStyle w:val="48"/>
              <w:rPr>
                <w:rFonts w:hint="eastAsia" w:ascii="宋体" w:hAnsi="宋体" w:eastAsia="宋体" w:cs="宋体"/>
                <w:color w:val="auto"/>
                <w:sz w:val="24"/>
                <w:szCs w:val="24"/>
                <w:highlight w:val="none"/>
              </w:rPr>
            </w:pPr>
          </w:p>
        </w:tc>
        <w:tc>
          <w:tcPr>
            <w:tcW w:w="1914" w:type="dxa"/>
            <w:gridSpan w:val="2"/>
            <w:vAlign w:val="center"/>
          </w:tcPr>
          <w:p w14:paraId="4E5AD75D">
            <w:pPr>
              <w:pStyle w:val="48"/>
              <w:rPr>
                <w:rFonts w:hint="eastAsia" w:ascii="宋体" w:hAnsi="宋体" w:eastAsia="宋体" w:cs="宋体"/>
                <w:color w:val="auto"/>
                <w:sz w:val="24"/>
                <w:szCs w:val="24"/>
                <w:highlight w:val="none"/>
              </w:rPr>
            </w:pPr>
          </w:p>
        </w:tc>
        <w:tc>
          <w:tcPr>
            <w:tcW w:w="1802" w:type="dxa"/>
            <w:vAlign w:val="center"/>
          </w:tcPr>
          <w:p w14:paraId="175D38F1">
            <w:pPr>
              <w:pStyle w:val="48"/>
              <w:rPr>
                <w:rFonts w:hint="eastAsia" w:ascii="宋体" w:hAnsi="宋体" w:eastAsia="宋体" w:cs="宋体"/>
                <w:color w:val="auto"/>
                <w:sz w:val="24"/>
                <w:szCs w:val="24"/>
                <w:highlight w:val="none"/>
              </w:rPr>
            </w:pPr>
          </w:p>
        </w:tc>
      </w:tr>
      <w:tr w14:paraId="1515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03AADE8F">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人员职称构成情况</w:t>
            </w:r>
          </w:p>
        </w:tc>
      </w:tr>
      <w:tr w14:paraId="01D3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642632E">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人员总数</w:t>
            </w:r>
          </w:p>
        </w:tc>
        <w:tc>
          <w:tcPr>
            <w:tcW w:w="1914" w:type="dxa"/>
            <w:gridSpan w:val="3"/>
            <w:vAlign w:val="center"/>
          </w:tcPr>
          <w:p w14:paraId="50E2FF9C">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w:t>
            </w:r>
          </w:p>
        </w:tc>
        <w:tc>
          <w:tcPr>
            <w:tcW w:w="1914" w:type="dxa"/>
            <w:gridSpan w:val="2"/>
            <w:vAlign w:val="center"/>
          </w:tcPr>
          <w:p w14:paraId="0ED475BA">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w:t>
            </w:r>
          </w:p>
        </w:tc>
        <w:tc>
          <w:tcPr>
            <w:tcW w:w="1914" w:type="dxa"/>
            <w:gridSpan w:val="2"/>
            <w:vAlign w:val="center"/>
          </w:tcPr>
          <w:p w14:paraId="34EBB798">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w:t>
            </w:r>
          </w:p>
        </w:tc>
        <w:tc>
          <w:tcPr>
            <w:tcW w:w="1802" w:type="dxa"/>
            <w:vAlign w:val="center"/>
          </w:tcPr>
          <w:p w14:paraId="0E8DCDAB">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r>
      <w:tr w14:paraId="3B19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25D53756">
            <w:pPr>
              <w:pStyle w:val="48"/>
              <w:rPr>
                <w:rFonts w:hint="eastAsia" w:ascii="宋体" w:hAnsi="宋体" w:eastAsia="宋体" w:cs="宋体"/>
                <w:color w:val="auto"/>
                <w:sz w:val="24"/>
                <w:szCs w:val="24"/>
                <w:highlight w:val="none"/>
              </w:rPr>
            </w:pPr>
          </w:p>
        </w:tc>
        <w:tc>
          <w:tcPr>
            <w:tcW w:w="1914" w:type="dxa"/>
            <w:gridSpan w:val="3"/>
            <w:vAlign w:val="center"/>
          </w:tcPr>
          <w:p w14:paraId="21E1442D">
            <w:pPr>
              <w:pStyle w:val="48"/>
              <w:rPr>
                <w:rFonts w:hint="eastAsia" w:ascii="宋体" w:hAnsi="宋体" w:eastAsia="宋体" w:cs="宋体"/>
                <w:color w:val="auto"/>
                <w:sz w:val="24"/>
                <w:szCs w:val="24"/>
                <w:highlight w:val="none"/>
              </w:rPr>
            </w:pPr>
          </w:p>
        </w:tc>
        <w:tc>
          <w:tcPr>
            <w:tcW w:w="1914" w:type="dxa"/>
            <w:gridSpan w:val="2"/>
            <w:vAlign w:val="center"/>
          </w:tcPr>
          <w:p w14:paraId="34F29C50">
            <w:pPr>
              <w:pStyle w:val="48"/>
              <w:rPr>
                <w:rFonts w:hint="eastAsia" w:ascii="宋体" w:hAnsi="宋体" w:eastAsia="宋体" w:cs="宋体"/>
                <w:color w:val="auto"/>
                <w:sz w:val="24"/>
                <w:szCs w:val="24"/>
                <w:highlight w:val="none"/>
              </w:rPr>
            </w:pPr>
          </w:p>
        </w:tc>
        <w:tc>
          <w:tcPr>
            <w:tcW w:w="1914" w:type="dxa"/>
            <w:gridSpan w:val="2"/>
            <w:vAlign w:val="center"/>
          </w:tcPr>
          <w:p w14:paraId="37CD37EF">
            <w:pPr>
              <w:pStyle w:val="48"/>
              <w:rPr>
                <w:rFonts w:hint="eastAsia" w:ascii="宋体" w:hAnsi="宋体" w:eastAsia="宋体" w:cs="宋体"/>
                <w:color w:val="auto"/>
                <w:sz w:val="24"/>
                <w:szCs w:val="24"/>
                <w:highlight w:val="none"/>
              </w:rPr>
            </w:pPr>
          </w:p>
        </w:tc>
        <w:tc>
          <w:tcPr>
            <w:tcW w:w="1802" w:type="dxa"/>
            <w:vAlign w:val="center"/>
          </w:tcPr>
          <w:p w14:paraId="76FD251B">
            <w:pPr>
              <w:pStyle w:val="48"/>
              <w:rPr>
                <w:rFonts w:hint="eastAsia" w:ascii="宋体" w:hAnsi="宋体" w:eastAsia="宋体" w:cs="宋体"/>
                <w:color w:val="auto"/>
                <w:sz w:val="24"/>
                <w:szCs w:val="24"/>
                <w:highlight w:val="none"/>
              </w:rPr>
            </w:pPr>
          </w:p>
        </w:tc>
      </w:tr>
      <w:tr w14:paraId="3A92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E1166F8">
            <w:pPr>
              <w:pStyle w:val="4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近5年营业额情况（万元）</w:t>
            </w:r>
          </w:p>
        </w:tc>
      </w:tr>
      <w:tr w14:paraId="5D5E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11E0584B">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660" w:type="dxa"/>
            <w:vAlign w:val="center"/>
          </w:tcPr>
          <w:p w14:paraId="3F207995">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14:paraId="202254C0">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914" w:type="dxa"/>
            <w:gridSpan w:val="2"/>
            <w:vAlign w:val="center"/>
          </w:tcPr>
          <w:p w14:paraId="3C43EC6B">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c>
          <w:tcPr>
            <w:tcW w:w="1802" w:type="dxa"/>
            <w:vAlign w:val="center"/>
          </w:tcPr>
          <w:p w14:paraId="2805C4A4">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w:t>
            </w:r>
          </w:p>
        </w:tc>
      </w:tr>
      <w:tr w14:paraId="0FF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0B51BD80">
            <w:pPr>
              <w:pStyle w:val="48"/>
              <w:rPr>
                <w:rFonts w:hint="eastAsia" w:ascii="宋体" w:hAnsi="宋体" w:eastAsia="宋体" w:cs="宋体"/>
                <w:color w:val="auto"/>
                <w:sz w:val="24"/>
                <w:szCs w:val="24"/>
                <w:highlight w:val="none"/>
              </w:rPr>
            </w:pPr>
          </w:p>
        </w:tc>
        <w:tc>
          <w:tcPr>
            <w:tcW w:w="1660" w:type="dxa"/>
            <w:vAlign w:val="center"/>
          </w:tcPr>
          <w:p w14:paraId="356039A4">
            <w:pPr>
              <w:pStyle w:val="48"/>
              <w:rPr>
                <w:rFonts w:hint="eastAsia" w:ascii="宋体" w:hAnsi="宋体" w:eastAsia="宋体" w:cs="宋体"/>
                <w:color w:val="auto"/>
                <w:sz w:val="24"/>
                <w:szCs w:val="24"/>
                <w:highlight w:val="none"/>
              </w:rPr>
            </w:pPr>
          </w:p>
        </w:tc>
        <w:tc>
          <w:tcPr>
            <w:tcW w:w="1914" w:type="dxa"/>
            <w:gridSpan w:val="2"/>
            <w:vAlign w:val="center"/>
          </w:tcPr>
          <w:p w14:paraId="25AA9B60">
            <w:pPr>
              <w:pStyle w:val="48"/>
              <w:rPr>
                <w:rFonts w:hint="eastAsia" w:ascii="宋体" w:hAnsi="宋体" w:eastAsia="宋体" w:cs="宋体"/>
                <w:color w:val="auto"/>
                <w:sz w:val="24"/>
                <w:szCs w:val="24"/>
                <w:highlight w:val="none"/>
              </w:rPr>
            </w:pPr>
          </w:p>
        </w:tc>
        <w:tc>
          <w:tcPr>
            <w:tcW w:w="1914" w:type="dxa"/>
            <w:gridSpan w:val="2"/>
            <w:vAlign w:val="center"/>
          </w:tcPr>
          <w:p w14:paraId="1E57DB05">
            <w:pPr>
              <w:pStyle w:val="48"/>
              <w:rPr>
                <w:rFonts w:hint="eastAsia" w:ascii="宋体" w:hAnsi="宋体" w:eastAsia="宋体" w:cs="宋体"/>
                <w:color w:val="auto"/>
                <w:sz w:val="24"/>
                <w:szCs w:val="24"/>
                <w:highlight w:val="none"/>
              </w:rPr>
            </w:pPr>
          </w:p>
        </w:tc>
        <w:tc>
          <w:tcPr>
            <w:tcW w:w="1802" w:type="dxa"/>
            <w:vAlign w:val="center"/>
          </w:tcPr>
          <w:p w14:paraId="05FE7122">
            <w:pPr>
              <w:pStyle w:val="48"/>
              <w:rPr>
                <w:rFonts w:hint="eastAsia" w:ascii="宋体" w:hAnsi="宋体" w:eastAsia="宋体" w:cs="宋体"/>
                <w:color w:val="auto"/>
                <w:sz w:val="24"/>
                <w:szCs w:val="24"/>
                <w:highlight w:val="none"/>
              </w:rPr>
            </w:pPr>
          </w:p>
        </w:tc>
      </w:tr>
    </w:tbl>
    <w:p w14:paraId="67F3ACB3">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注：本表后应附相关证明材料的复印件并加盖公章。</w:t>
      </w:r>
    </w:p>
    <w:p w14:paraId="12C4B3F5">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36A18B9B">
      <w:pPr>
        <w:pStyle w:val="48"/>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14:paraId="79B4362A">
      <w:pPr>
        <w:pStyle w:val="48"/>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6CBC676E">
      <w:pPr>
        <w:pStyle w:val="48"/>
        <w:adjustRightInd w:val="0"/>
        <w:snapToGrid w:val="0"/>
        <w:spacing w:line="360" w:lineRule="auto"/>
        <w:jc w:val="center"/>
        <w:outlineLvl w:val="2"/>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、诚信廉洁承诺函</w:t>
      </w:r>
    </w:p>
    <w:p w14:paraId="6FBA7971">
      <w:pPr>
        <w:pStyle w:val="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杭州临江环境能源有限公司</w:t>
      </w:r>
      <w:r>
        <w:rPr>
          <w:rFonts w:hint="eastAsia" w:ascii="宋体" w:hAnsi="宋体" w:eastAsia="宋体" w:cs="宋体"/>
          <w:b/>
          <w:bCs/>
          <w:color w:val="auto"/>
          <w:sz w:val="24"/>
          <w:szCs w:val="24"/>
          <w:highlight w:val="none"/>
        </w:rPr>
        <w:t>：</w:t>
      </w:r>
    </w:p>
    <w:p w14:paraId="4707DCDA">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承诺提供的信息（含投标资料、各项应答及承诺）是真实可靠，并能在价格有效期内忠实履行的。</w:t>
      </w:r>
    </w:p>
    <w:p w14:paraId="14445040">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455485B4">
      <w:pPr>
        <w:spacing w:line="360" w:lineRule="exact"/>
        <w:ind w:firstLine="708"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4F1B45B5">
      <w:pPr>
        <w:spacing w:line="360" w:lineRule="auto"/>
        <w:jc w:val="center"/>
        <w:rPr>
          <w:rFonts w:hint="eastAsia" w:ascii="宋体" w:hAnsi="宋体" w:eastAsia="宋体" w:cs="宋体"/>
          <w:color w:val="auto"/>
          <w:sz w:val="24"/>
          <w:highlight w:val="none"/>
        </w:rPr>
      </w:pPr>
    </w:p>
    <w:p w14:paraId="0A956333">
      <w:pPr>
        <w:spacing w:line="360" w:lineRule="auto"/>
        <w:jc w:val="center"/>
        <w:rPr>
          <w:rFonts w:hint="eastAsia" w:ascii="宋体" w:hAnsi="宋体" w:eastAsia="宋体" w:cs="宋体"/>
          <w:color w:val="auto"/>
          <w:sz w:val="24"/>
          <w:highlight w:val="none"/>
        </w:rPr>
      </w:pPr>
    </w:p>
    <w:p w14:paraId="78E42FA5">
      <w:pPr>
        <w:rPr>
          <w:rFonts w:hint="eastAsia" w:ascii="宋体" w:hAnsi="宋体" w:eastAsia="宋体" w:cs="宋体"/>
          <w:color w:val="auto"/>
          <w:sz w:val="24"/>
          <w:highlight w:val="none"/>
        </w:rPr>
      </w:pPr>
    </w:p>
    <w:p w14:paraId="6C06FB16">
      <w:pPr>
        <w:rPr>
          <w:rFonts w:hint="eastAsia" w:ascii="宋体" w:hAnsi="宋体" w:eastAsia="宋体" w:cs="宋体"/>
          <w:color w:val="auto"/>
          <w:sz w:val="24"/>
          <w:highlight w:val="none"/>
        </w:rPr>
      </w:pPr>
    </w:p>
    <w:p w14:paraId="51358629">
      <w:pPr>
        <w:rPr>
          <w:rFonts w:hint="eastAsia" w:ascii="宋体" w:hAnsi="宋体" w:eastAsia="宋体" w:cs="宋体"/>
          <w:color w:val="auto"/>
          <w:sz w:val="24"/>
          <w:highlight w:val="none"/>
        </w:rPr>
      </w:pPr>
    </w:p>
    <w:p w14:paraId="35DCF574">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24C80FC4">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法定代表人（负责人）或其委托代理人（签字或盖章）：</w:t>
      </w:r>
    </w:p>
    <w:p w14:paraId="094B4C17">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40046C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61E75EB">
      <w:pPr>
        <w:adjustRightInd w:val="0"/>
        <w:snapToGrid w:val="0"/>
        <w:spacing w:line="360" w:lineRule="auto"/>
        <w:jc w:val="center"/>
        <w:outlineLvl w:val="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、投标人认为有必要的其他内容等</w:t>
      </w:r>
      <w:r>
        <w:rPr>
          <w:rFonts w:hint="eastAsia" w:ascii="宋体" w:hAnsi="宋体" w:eastAsia="宋体" w:cs="宋体"/>
          <w:b/>
          <w:bCs/>
          <w:color w:val="auto"/>
          <w:kern w:val="0"/>
          <w:sz w:val="24"/>
          <w:highlight w:val="none"/>
        </w:rPr>
        <w:t>（如有）</w:t>
      </w:r>
    </w:p>
    <w:p w14:paraId="7D6F6682">
      <w:pPr>
        <w:adjustRightInd w:val="0"/>
        <w:snapToGrid w:val="0"/>
        <w:spacing w:line="360" w:lineRule="auto"/>
        <w:outlineLvl w:val="9"/>
        <w:rPr>
          <w:rFonts w:hint="eastAsia" w:ascii="宋体" w:hAnsi="宋体" w:eastAsia="宋体" w:cs="宋体"/>
          <w:color w:val="auto"/>
          <w:sz w:val="24"/>
          <w:highlight w:val="none"/>
        </w:rPr>
      </w:pPr>
    </w:p>
    <w:p w14:paraId="29DAE9BC">
      <w:pPr>
        <w:adjustRightInd w:val="0"/>
        <w:snapToGrid w:val="0"/>
        <w:spacing w:line="360" w:lineRule="auto"/>
        <w:outlineLvl w:val="9"/>
        <w:rPr>
          <w:rFonts w:hint="eastAsia" w:ascii="宋体" w:hAnsi="宋体" w:eastAsia="宋体" w:cs="宋体"/>
          <w:color w:val="auto"/>
          <w:sz w:val="24"/>
          <w:highlight w:val="none"/>
        </w:rPr>
      </w:pPr>
    </w:p>
    <w:p w14:paraId="4B33B9A5">
      <w:pPr>
        <w:adjustRightInd w:val="0"/>
        <w:snapToGrid w:val="0"/>
        <w:spacing w:line="360" w:lineRule="auto"/>
        <w:outlineLvl w:val="9"/>
        <w:rPr>
          <w:rFonts w:hint="eastAsia" w:ascii="宋体" w:hAnsi="宋体" w:eastAsia="宋体" w:cs="宋体"/>
          <w:color w:val="auto"/>
          <w:sz w:val="24"/>
          <w:highlight w:val="none"/>
        </w:rPr>
      </w:pPr>
    </w:p>
    <w:p w14:paraId="4E14781B">
      <w:pPr>
        <w:adjustRightInd w:val="0"/>
        <w:snapToGrid w:val="0"/>
        <w:spacing w:line="360" w:lineRule="auto"/>
        <w:outlineLvl w:val="9"/>
        <w:rPr>
          <w:rFonts w:hint="eastAsia" w:ascii="宋体" w:hAnsi="宋体" w:eastAsia="宋体" w:cs="宋体"/>
          <w:color w:val="auto"/>
          <w:sz w:val="24"/>
          <w:highlight w:val="none"/>
        </w:rPr>
      </w:pPr>
    </w:p>
    <w:p w14:paraId="26A597AF">
      <w:pPr>
        <w:spacing w:before="65" w:line="440" w:lineRule="exact"/>
        <w:ind w:firstLine="1"/>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投</w:t>
      </w:r>
      <w:r>
        <w:rPr>
          <w:rFonts w:hint="eastAsia" w:ascii="宋体" w:hAnsi="宋体" w:eastAsia="宋体" w:cs="宋体"/>
          <w:color w:val="auto"/>
          <w:spacing w:val="7"/>
          <w:sz w:val="24"/>
          <w:highlight w:val="none"/>
        </w:rPr>
        <w:t>标人（盖公章</w:t>
      </w:r>
      <w:r>
        <w:rPr>
          <w:rFonts w:hint="eastAsia" w:ascii="宋体" w:hAnsi="宋体" w:eastAsia="宋体" w:cs="宋体"/>
          <w:color w:val="auto"/>
          <w:spacing w:val="10"/>
          <w:sz w:val="24"/>
          <w:highlight w:val="none"/>
        </w:rPr>
        <w:t>）：</w:t>
      </w:r>
    </w:p>
    <w:p w14:paraId="4894A165">
      <w:pPr>
        <w:spacing w:before="162" w:line="440" w:lineRule="exact"/>
        <w:rPr>
          <w:rFonts w:hint="eastAsia" w:ascii="宋体" w:hAnsi="宋体" w:eastAsia="宋体" w:cs="宋体"/>
          <w:color w:val="auto"/>
          <w:sz w:val="24"/>
          <w:highlight w:val="none"/>
        </w:rPr>
      </w:pPr>
      <w:r>
        <w:rPr>
          <w:rFonts w:hint="eastAsia" w:ascii="宋体" w:hAnsi="宋体" w:eastAsia="宋体" w:cs="宋体"/>
          <w:color w:val="auto"/>
          <w:spacing w:val="9"/>
          <w:sz w:val="24"/>
          <w:highlight w:val="none"/>
        </w:rPr>
        <w:t>法定代表人</w:t>
      </w:r>
      <w:r>
        <w:rPr>
          <w:rFonts w:hint="eastAsia" w:ascii="宋体" w:hAnsi="宋体" w:eastAsia="宋体" w:cs="宋体"/>
          <w:snapToGrid w:val="0"/>
          <w:color w:val="auto"/>
          <w:kern w:val="0"/>
          <w:sz w:val="24"/>
          <w:highlight w:val="none"/>
        </w:rPr>
        <w:t>（负责人）</w:t>
      </w:r>
      <w:r>
        <w:rPr>
          <w:rFonts w:hint="eastAsia" w:ascii="宋体" w:hAnsi="宋体" w:eastAsia="宋体" w:cs="宋体"/>
          <w:color w:val="auto"/>
          <w:spacing w:val="9"/>
          <w:sz w:val="24"/>
          <w:highlight w:val="none"/>
        </w:rPr>
        <w:t>或其委托代理人（签字或</w:t>
      </w:r>
      <w:r>
        <w:rPr>
          <w:rFonts w:hint="eastAsia" w:ascii="宋体" w:hAnsi="宋体" w:eastAsia="宋体" w:cs="宋体"/>
          <w:color w:val="auto"/>
          <w:spacing w:val="8"/>
          <w:sz w:val="24"/>
          <w:highlight w:val="none"/>
        </w:rPr>
        <w:t>盖章</w:t>
      </w:r>
      <w:r>
        <w:rPr>
          <w:rFonts w:hint="eastAsia" w:ascii="宋体" w:hAnsi="宋体" w:eastAsia="宋体" w:cs="宋体"/>
          <w:color w:val="auto"/>
          <w:spacing w:val="10"/>
          <w:sz w:val="24"/>
          <w:highlight w:val="none"/>
        </w:rPr>
        <w:t>）：</w:t>
      </w:r>
    </w:p>
    <w:p w14:paraId="69B45A01">
      <w:pPr>
        <w:spacing w:before="161" w:line="440" w:lineRule="exact"/>
        <w:ind w:firstLine="35"/>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日期：年月   日</w:t>
      </w:r>
    </w:p>
    <w:p w14:paraId="603CEF33">
      <w:pPr>
        <w:adjustRightInd w:val="0"/>
        <w:snapToGrid w:val="0"/>
        <w:spacing w:line="360" w:lineRule="auto"/>
        <w:jc w:val="center"/>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Start w:id="150" w:name="_Toc83886046"/>
    </w:p>
    <w:p w14:paraId="0746B56E">
      <w:pPr>
        <w:adjustRightInd w:val="0"/>
        <w:snapToGrid w:val="0"/>
        <w:spacing w:line="360" w:lineRule="auto"/>
        <w:jc w:val="center"/>
        <w:outlineLvl w:val="1"/>
        <w:rPr>
          <w:rFonts w:hint="eastAsia" w:ascii="宋体" w:hAnsi="宋体" w:eastAsia="宋体" w:cs="宋体"/>
          <w:b/>
          <w:bCs/>
          <w:color w:val="auto"/>
          <w:sz w:val="24"/>
          <w:highlight w:val="none"/>
        </w:rPr>
      </w:pPr>
      <w:bookmarkStart w:id="151" w:name="_Toc14689"/>
      <w:r>
        <w:rPr>
          <w:rFonts w:hint="eastAsia" w:ascii="宋体" w:hAnsi="宋体" w:eastAsia="宋体" w:cs="宋体"/>
          <w:b/>
          <w:bCs/>
          <w:color w:val="auto"/>
          <w:sz w:val="24"/>
          <w:highlight w:val="none"/>
        </w:rPr>
        <w:t>第四部分、技术文件</w:t>
      </w:r>
      <w:bookmarkEnd w:id="150"/>
      <w:bookmarkEnd w:id="151"/>
    </w:p>
    <w:p w14:paraId="1D1F92E8">
      <w:pPr>
        <w:snapToGrid w:val="0"/>
        <w:spacing w:line="360" w:lineRule="auto"/>
        <w:jc w:val="center"/>
        <w:outlineLvl w:val="9"/>
        <w:rPr>
          <w:rFonts w:hint="eastAsia" w:ascii="宋体" w:hAnsi="宋体" w:eastAsia="宋体" w:cs="宋体"/>
          <w:b/>
          <w:bCs/>
          <w:color w:val="auto"/>
          <w:sz w:val="24"/>
          <w:highlight w:val="none"/>
        </w:rPr>
      </w:pPr>
      <w:bookmarkStart w:id="152" w:name="_Toc20079"/>
    </w:p>
    <w:p w14:paraId="7048E07B">
      <w:pPr>
        <w:snapToGrid w:val="0"/>
        <w:spacing w:line="360" w:lineRule="auto"/>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一、技术与服务解决方案</w:t>
      </w:r>
    </w:p>
    <w:p w14:paraId="28BF4D1E">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1.售后相应承诺</w:t>
      </w:r>
    </w:p>
    <w:p w14:paraId="4657DF29">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（由投标人根据招标需求及招标文件要求编制）</w:t>
      </w:r>
    </w:p>
    <w:p w14:paraId="2A9EFAB0">
      <w:pPr>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2.质保期承诺</w:t>
      </w:r>
    </w:p>
    <w:p w14:paraId="7DA0A98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（由投标人根据招标需求及招标文件要求编制）</w:t>
      </w:r>
    </w:p>
    <w:p w14:paraId="71F7412B">
      <w:pPr>
        <w:snapToGrid w:val="0"/>
        <w:spacing w:line="360" w:lineRule="auto"/>
        <w:jc w:val="center"/>
        <w:rPr>
          <w:rFonts w:hint="eastAsia" w:ascii="宋体" w:hAnsi="宋体" w:eastAsia="宋体" w:cs="宋体"/>
          <w:b/>
          <w:color w:val="auto"/>
          <w:sz w:val="24"/>
          <w:highlight w:val="none"/>
        </w:rPr>
      </w:pPr>
    </w:p>
    <w:p w14:paraId="4F3CF865">
      <w:pPr>
        <w:rPr>
          <w:rFonts w:hint="eastAsia"/>
          <w:highlight w:val="none"/>
        </w:rPr>
      </w:pPr>
      <w:r>
        <w:rPr>
          <w:rFonts w:hint="eastAsia" w:ascii="宋体" w:hAnsi="宋体" w:eastAsia="宋体" w:cs="宋体"/>
          <w:color w:val="auto"/>
          <w:highlight w:val="none"/>
        </w:rPr>
        <w:br w:type="page"/>
      </w:r>
    </w:p>
    <w:p w14:paraId="37815C69">
      <w:pPr>
        <w:spacing w:line="360" w:lineRule="auto"/>
        <w:jc w:val="center"/>
        <w:outlineLvl w:val="2"/>
        <w:rPr>
          <w:rFonts w:hint="eastAsia" w:ascii="宋体" w:hAnsi="宋体" w:eastAsia="宋体" w:cs="宋体"/>
          <w:b/>
          <w:bCs/>
          <w:color w:val="auto"/>
          <w:sz w:val="24"/>
          <w:highlight w:val="none"/>
          <w:lang w:val="zh-CN"/>
        </w:rPr>
      </w:pPr>
      <w:r>
        <w:rPr>
          <w:rFonts w:hint="eastAsia" w:ascii="宋体" w:hAnsi="宋体" w:eastAsia="宋体" w:cs="宋体"/>
          <w:b/>
          <w:color w:val="auto"/>
          <w:kern w:val="0"/>
          <w:sz w:val="24"/>
          <w:highlight w:val="none"/>
        </w:rPr>
        <w:t>二、</w:t>
      </w:r>
      <w:r>
        <w:rPr>
          <w:rFonts w:hint="eastAsia" w:ascii="宋体" w:hAnsi="宋体" w:eastAsia="宋体" w:cs="宋体"/>
          <w:b/>
          <w:bCs/>
          <w:color w:val="auto"/>
          <w:sz w:val="24"/>
          <w:highlight w:val="none"/>
        </w:rPr>
        <w:t>技术</w:t>
      </w:r>
      <w:r>
        <w:rPr>
          <w:rFonts w:hint="eastAsia" w:ascii="宋体" w:hAnsi="宋体" w:eastAsia="宋体" w:cs="宋体"/>
          <w:b/>
          <w:bCs/>
          <w:color w:val="auto"/>
          <w:sz w:val="24"/>
          <w:highlight w:val="none"/>
          <w:lang w:val="zh-CN"/>
        </w:rPr>
        <w:t>优惠条件及特殊承诺</w:t>
      </w:r>
      <w:r>
        <w:rPr>
          <w:rFonts w:hint="eastAsia" w:ascii="宋体" w:hAnsi="宋体" w:eastAsia="宋体" w:cs="宋体"/>
          <w:b/>
          <w:bCs/>
          <w:color w:val="auto"/>
          <w:sz w:val="24"/>
          <w:highlight w:val="none"/>
          <w:lang w:val="zh-CN"/>
        </w:rPr>
        <w:t>（如有）</w:t>
      </w:r>
    </w:p>
    <w:p w14:paraId="16E440C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（由投标人根据招标需求自行编制）</w:t>
      </w:r>
    </w:p>
    <w:p w14:paraId="182610F6">
      <w:pPr>
        <w:spacing w:line="360" w:lineRule="auto"/>
        <w:jc w:val="center"/>
        <w:rPr>
          <w:rFonts w:hint="eastAsia" w:ascii="宋体" w:hAnsi="宋体" w:eastAsia="宋体" w:cs="宋体"/>
          <w:color w:val="auto"/>
          <w:sz w:val="24"/>
          <w:highlight w:val="none"/>
        </w:rPr>
      </w:pPr>
    </w:p>
    <w:p w14:paraId="603B2909">
      <w:pPr>
        <w:pStyle w:val="11"/>
        <w:snapToGrid w:val="0"/>
        <w:spacing w:line="360" w:lineRule="auto"/>
        <w:rPr>
          <w:rFonts w:hint="eastAsia" w:ascii="宋体" w:hAnsi="宋体" w:eastAsia="宋体" w:cs="宋体"/>
          <w:snapToGrid w:val="0"/>
          <w:color w:val="auto"/>
          <w:sz w:val="24"/>
          <w:szCs w:val="24"/>
          <w:highlight w:val="none"/>
        </w:rPr>
      </w:pPr>
    </w:p>
    <w:p w14:paraId="4A5BABC2">
      <w:pPr>
        <w:pStyle w:val="11"/>
        <w:snapToGrid w:val="0"/>
        <w:spacing w:line="360" w:lineRule="auto"/>
        <w:rPr>
          <w:rFonts w:hint="eastAsia" w:ascii="宋体" w:hAnsi="宋体" w:eastAsia="宋体" w:cs="宋体"/>
          <w:snapToGrid w:val="0"/>
          <w:color w:val="auto"/>
          <w:sz w:val="24"/>
          <w:szCs w:val="24"/>
          <w:highlight w:val="none"/>
        </w:rPr>
      </w:pPr>
    </w:p>
    <w:p w14:paraId="18B6ABA3">
      <w:pPr>
        <w:pStyle w:val="11"/>
        <w:snapToGrid w:val="0"/>
        <w:spacing w:line="360" w:lineRule="auto"/>
        <w:rPr>
          <w:rFonts w:hint="eastAsia" w:ascii="宋体" w:hAnsi="宋体" w:eastAsia="宋体" w:cs="宋体"/>
          <w:snapToGrid w:val="0"/>
          <w:color w:val="auto"/>
          <w:sz w:val="24"/>
          <w:szCs w:val="24"/>
          <w:highlight w:val="none"/>
        </w:rPr>
      </w:pPr>
    </w:p>
    <w:p w14:paraId="19C19CB4">
      <w:pPr>
        <w:pStyle w:val="11"/>
        <w:snapToGrid w:val="0"/>
        <w:spacing w:line="360" w:lineRule="auto"/>
        <w:rPr>
          <w:rFonts w:hint="eastAsia" w:ascii="宋体" w:hAnsi="宋体" w:eastAsia="宋体" w:cs="宋体"/>
          <w:snapToGrid w:val="0"/>
          <w:color w:val="auto"/>
          <w:sz w:val="24"/>
          <w:szCs w:val="24"/>
          <w:highlight w:val="none"/>
        </w:rPr>
      </w:pPr>
    </w:p>
    <w:p w14:paraId="2EEC8AB1">
      <w:pPr>
        <w:pStyle w:val="11"/>
        <w:snapToGrid w:val="0"/>
        <w:spacing w:line="360" w:lineRule="auto"/>
        <w:rPr>
          <w:rFonts w:hint="eastAsia" w:ascii="宋体" w:hAnsi="宋体" w:eastAsia="宋体" w:cs="宋体"/>
          <w:snapToGrid w:val="0"/>
          <w:color w:val="auto"/>
          <w:sz w:val="24"/>
          <w:szCs w:val="24"/>
          <w:highlight w:val="none"/>
        </w:rPr>
      </w:pPr>
    </w:p>
    <w:p w14:paraId="1FE4AB69">
      <w:pPr>
        <w:pStyle w:val="11"/>
        <w:snapToGrid w:val="0"/>
        <w:spacing w:line="360" w:lineRule="auto"/>
        <w:rPr>
          <w:rFonts w:hint="eastAsia" w:ascii="宋体" w:hAnsi="宋体" w:eastAsia="宋体" w:cs="宋体"/>
          <w:snapToGrid w:val="0"/>
          <w:color w:val="auto"/>
          <w:sz w:val="24"/>
          <w:szCs w:val="24"/>
          <w:highlight w:val="none"/>
        </w:rPr>
      </w:pPr>
    </w:p>
    <w:p w14:paraId="70CAB28A">
      <w:pPr>
        <w:pStyle w:val="11"/>
        <w:snapToGrid w:val="0"/>
        <w:spacing w:line="360" w:lineRule="auto"/>
        <w:rPr>
          <w:rFonts w:hint="eastAsia" w:ascii="宋体" w:hAnsi="宋体" w:eastAsia="宋体" w:cs="宋体"/>
          <w:snapToGrid w:val="0"/>
          <w:color w:val="auto"/>
          <w:sz w:val="24"/>
          <w:szCs w:val="24"/>
          <w:highlight w:val="none"/>
        </w:rPr>
      </w:pPr>
    </w:p>
    <w:p w14:paraId="592ED8FB">
      <w:pPr>
        <w:pStyle w:val="11"/>
        <w:snapToGrid w:val="0"/>
        <w:spacing w:line="360" w:lineRule="auto"/>
        <w:rPr>
          <w:rFonts w:hint="eastAsia" w:ascii="宋体" w:hAnsi="宋体" w:eastAsia="宋体" w:cs="宋体"/>
          <w:snapToGrid w:val="0"/>
          <w:color w:val="auto"/>
          <w:sz w:val="24"/>
          <w:szCs w:val="24"/>
          <w:highlight w:val="none"/>
        </w:rPr>
      </w:pPr>
    </w:p>
    <w:p w14:paraId="48AEB201">
      <w:pPr>
        <w:pStyle w:val="11"/>
        <w:snapToGrid w:val="0"/>
        <w:spacing w:line="360" w:lineRule="auto"/>
        <w:rPr>
          <w:rFonts w:hint="eastAsia" w:ascii="宋体" w:hAnsi="宋体" w:eastAsia="宋体" w:cs="宋体"/>
          <w:snapToGrid w:val="0"/>
          <w:color w:val="auto"/>
          <w:sz w:val="24"/>
          <w:szCs w:val="24"/>
          <w:highlight w:val="none"/>
        </w:rPr>
      </w:pPr>
    </w:p>
    <w:p w14:paraId="2B4D0A79">
      <w:pPr>
        <w:pStyle w:val="11"/>
        <w:snapToGrid w:val="0"/>
        <w:spacing w:line="360" w:lineRule="auto"/>
        <w:rPr>
          <w:rFonts w:hint="eastAsia" w:ascii="宋体" w:hAnsi="宋体" w:eastAsia="宋体" w:cs="宋体"/>
          <w:snapToGrid w:val="0"/>
          <w:color w:val="auto"/>
          <w:sz w:val="24"/>
          <w:szCs w:val="24"/>
          <w:highlight w:val="none"/>
        </w:rPr>
      </w:pPr>
    </w:p>
    <w:p w14:paraId="2B1329B5">
      <w:pPr>
        <w:pStyle w:val="11"/>
        <w:snapToGrid w:val="0"/>
        <w:spacing w:line="360" w:lineRule="auto"/>
        <w:rPr>
          <w:rFonts w:hint="eastAsia" w:ascii="宋体" w:hAnsi="宋体" w:eastAsia="宋体" w:cs="宋体"/>
          <w:snapToGrid w:val="0"/>
          <w:color w:val="auto"/>
          <w:sz w:val="24"/>
          <w:szCs w:val="24"/>
          <w:highlight w:val="none"/>
        </w:rPr>
      </w:pPr>
    </w:p>
    <w:p w14:paraId="0D0C6988">
      <w:pPr>
        <w:pStyle w:val="11"/>
        <w:snapToGrid w:val="0"/>
        <w:spacing w:line="360" w:lineRule="auto"/>
        <w:rPr>
          <w:rFonts w:hint="eastAsia" w:ascii="宋体" w:hAnsi="宋体" w:eastAsia="宋体" w:cs="宋体"/>
          <w:snapToGrid w:val="0"/>
          <w:color w:val="auto"/>
          <w:sz w:val="24"/>
          <w:szCs w:val="24"/>
          <w:highlight w:val="none"/>
        </w:rPr>
      </w:pPr>
    </w:p>
    <w:p w14:paraId="5A347806">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投标人（盖公章）：</w:t>
      </w:r>
    </w:p>
    <w:p w14:paraId="69B5D9A1">
      <w:pPr>
        <w:pStyle w:val="11"/>
        <w:snapToGrid w:val="0"/>
        <w:spacing w:line="360" w:lineRule="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法定代表人或其委托代理人（签字或盖章）：</w:t>
      </w:r>
    </w:p>
    <w:p w14:paraId="23848F37">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59CE0E5C">
      <w:pPr>
        <w:pStyle w:val="48"/>
        <w:adjustRightInd w:val="0"/>
        <w:snapToGrid w:val="0"/>
        <w:spacing w:line="360" w:lineRule="auto"/>
        <w:rPr>
          <w:rFonts w:hint="eastAsia" w:ascii="宋体" w:hAnsi="宋体" w:eastAsia="宋体" w:cs="宋体"/>
          <w:color w:val="auto"/>
          <w:sz w:val="24"/>
          <w:szCs w:val="24"/>
          <w:highlight w:val="none"/>
        </w:rPr>
      </w:pPr>
    </w:p>
    <w:p w14:paraId="7489D629">
      <w:pPr>
        <w:pStyle w:val="48"/>
        <w:adjustRightInd w:val="0"/>
        <w:snapToGrid w:val="0"/>
        <w:spacing w:line="360" w:lineRule="auto"/>
        <w:rPr>
          <w:rFonts w:hint="eastAsia" w:ascii="宋体" w:hAnsi="宋体" w:eastAsia="宋体" w:cs="宋体"/>
          <w:color w:val="auto"/>
          <w:sz w:val="24"/>
          <w:szCs w:val="24"/>
          <w:highlight w:val="none"/>
        </w:rPr>
      </w:pPr>
    </w:p>
    <w:p w14:paraId="30340A16">
      <w:pPr>
        <w:rPr>
          <w:rFonts w:hint="eastAsia" w:ascii="宋体" w:hAnsi="宋体" w:eastAsia="宋体" w:cs="宋体"/>
          <w:b/>
          <w:bCs/>
          <w:color w:val="auto"/>
          <w:sz w:val="24"/>
          <w:highlight w:val="none"/>
        </w:rPr>
      </w:pPr>
    </w:p>
    <w:p w14:paraId="1FAEFD5D">
      <w:pPr>
        <w:pStyle w:val="16"/>
        <w:rPr>
          <w:rFonts w:hint="eastAsia" w:ascii="宋体" w:hAnsi="宋体" w:eastAsia="宋体" w:cs="宋体"/>
          <w:b/>
          <w:bCs/>
          <w:color w:val="auto"/>
          <w:sz w:val="24"/>
          <w:highlight w:val="none"/>
        </w:rPr>
      </w:pPr>
    </w:p>
    <w:p w14:paraId="165BAB7D">
      <w:pPr>
        <w:rPr>
          <w:rFonts w:hint="eastAsia" w:ascii="宋体" w:hAnsi="宋体" w:eastAsia="宋体" w:cs="宋体"/>
          <w:b/>
          <w:bCs/>
          <w:color w:val="auto"/>
          <w:sz w:val="24"/>
          <w:highlight w:val="none"/>
        </w:rPr>
      </w:pPr>
    </w:p>
    <w:p w14:paraId="365FA1C4">
      <w:pPr>
        <w:pStyle w:val="16"/>
        <w:rPr>
          <w:rFonts w:hint="eastAsia" w:ascii="宋体" w:hAnsi="宋体" w:eastAsia="宋体" w:cs="宋体"/>
          <w:color w:val="auto"/>
          <w:highlight w:val="none"/>
        </w:rPr>
      </w:pPr>
    </w:p>
    <w:p w14:paraId="6B0822D2">
      <w:pPr>
        <w:jc w:val="center"/>
        <w:outlineLvl w:val="2"/>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三、</w:t>
      </w:r>
      <w:r>
        <w:rPr>
          <w:rFonts w:hint="eastAsia" w:ascii="宋体" w:hAnsi="宋体" w:eastAsia="宋体" w:cs="宋体"/>
          <w:b/>
          <w:color w:val="auto"/>
          <w:kern w:val="0"/>
          <w:sz w:val="24"/>
          <w:highlight w:val="none"/>
        </w:rPr>
        <w:t>技术偏离表</w:t>
      </w:r>
      <w:bookmarkEnd w:id="152"/>
    </w:p>
    <w:p w14:paraId="1DFF6075">
      <w:pPr>
        <w:adjustRightInd w:val="0"/>
        <w:snapToGrid w:val="0"/>
        <w:spacing w:line="360" w:lineRule="auto"/>
        <w:ind w:firstLine="47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0F2E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0C4BAD83">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22" w:type="dxa"/>
            <w:gridSpan w:val="2"/>
            <w:vAlign w:val="center"/>
          </w:tcPr>
          <w:p w14:paraId="412B547D">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240" w:type="dxa"/>
            <w:gridSpan w:val="2"/>
            <w:vAlign w:val="center"/>
          </w:tcPr>
          <w:p w14:paraId="4EEF5552">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110" w:type="dxa"/>
            <w:vMerge w:val="restart"/>
            <w:vAlign w:val="center"/>
          </w:tcPr>
          <w:p w14:paraId="74DF9A78">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c>
          <w:tcPr>
            <w:tcW w:w="1081" w:type="dxa"/>
            <w:vMerge w:val="restart"/>
            <w:vAlign w:val="center"/>
          </w:tcPr>
          <w:p w14:paraId="4D12923D">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1A7A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1CE50587">
            <w:pPr>
              <w:adjustRightInd w:val="0"/>
              <w:snapToGrid w:val="0"/>
              <w:jc w:val="center"/>
              <w:rPr>
                <w:rFonts w:hint="eastAsia" w:ascii="宋体" w:hAnsi="宋体" w:eastAsia="宋体" w:cs="宋体"/>
                <w:color w:val="auto"/>
                <w:sz w:val="24"/>
                <w:highlight w:val="none"/>
              </w:rPr>
            </w:pPr>
          </w:p>
        </w:tc>
        <w:tc>
          <w:tcPr>
            <w:tcW w:w="872" w:type="dxa"/>
            <w:vAlign w:val="center"/>
          </w:tcPr>
          <w:p w14:paraId="71C9BF7A">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050" w:type="dxa"/>
            <w:vAlign w:val="center"/>
          </w:tcPr>
          <w:p w14:paraId="4E6D78B7">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简要内容</w:t>
            </w:r>
          </w:p>
        </w:tc>
        <w:tc>
          <w:tcPr>
            <w:tcW w:w="1050" w:type="dxa"/>
            <w:vAlign w:val="center"/>
          </w:tcPr>
          <w:p w14:paraId="0D3F8FFB">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w:t>
            </w:r>
          </w:p>
        </w:tc>
        <w:tc>
          <w:tcPr>
            <w:tcW w:w="2190" w:type="dxa"/>
            <w:vAlign w:val="center"/>
          </w:tcPr>
          <w:p w14:paraId="3CF97F05">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实际响应的具体内容</w:t>
            </w:r>
          </w:p>
        </w:tc>
        <w:tc>
          <w:tcPr>
            <w:tcW w:w="1110" w:type="dxa"/>
            <w:vMerge w:val="continue"/>
            <w:vAlign w:val="center"/>
          </w:tcPr>
          <w:p w14:paraId="0D5F85CD">
            <w:pPr>
              <w:adjustRightInd w:val="0"/>
              <w:snapToGrid w:val="0"/>
              <w:jc w:val="center"/>
              <w:rPr>
                <w:rFonts w:hint="eastAsia" w:ascii="宋体" w:hAnsi="宋体" w:eastAsia="宋体" w:cs="宋体"/>
                <w:color w:val="auto"/>
                <w:sz w:val="24"/>
                <w:highlight w:val="none"/>
              </w:rPr>
            </w:pPr>
          </w:p>
        </w:tc>
        <w:tc>
          <w:tcPr>
            <w:tcW w:w="1081" w:type="dxa"/>
            <w:vMerge w:val="continue"/>
            <w:vAlign w:val="center"/>
          </w:tcPr>
          <w:p w14:paraId="38F54B80">
            <w:pPr>
              <w:adjustRightInd w:val="0"/>
              <w:snapToGrid w:val="0"/>
              <w:jc w:val="center"/>
              <w:rPr>
                <w:rFonts w:hint="eastAsia" w:ascii="宋体" w:hAnsi="宋体" w:eastAsia="宋体" w:cs="宋体"/>
                <w:color w:val="auto"/>
                <w:sz w:val="24"/>
                <w:highlight w:val="none"/>
              </w:rPr>
            </w:pPr>
          </w:p>
        </w:tc>
      </w:tr>
      <w:tr w14:paraId="3D4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D229708">
            <w:pPr>
              <w:adjustRightInd w:val="0"/>
              <w:snapToGrid w:val="0"/>
              <w:jc w:val="center"/>
              <w:rPr>
                <w:rFonts w:hint="eastAsia" w:ascii="宋体" w:hAnsi="宋体" w:eastAsia="宋体" w:cs="宋体"/>
                <w:color w:val="auto"/>
                <w:sz w:val="24"/>
                <w:highlight w:val="none"/>
              </w:rPr>
            </w:pPr>
          </w:p>
        </w:tc>
        <w:tc>
          <w:tcPr>
            <w:tcW w:w="872" w:type="dxa"/>
            <w:vAlign w:val="center"/>
          </w:tcPr>
          <w:p w14:paraId="6E794674">
            <w:pPr>
              <w:adjustRightInd w:val="0"/>
              <w:snapToGrid w:val="0"/>
              <w:jc w:val="center"/>
              <w:rPr>
                <w:rFonts w:hint="eastAsia" w:ascii="宋体" w:hAnsi="宋体" w:eastAsia="宋体" w:cs="宋体"/>
                <w:color w:val="auto"/>
                <w:sz w:val="24"/>
                <w:highlight w:val="none"/>
              </w:rPr>
            </w:pPr>
          </w:p>
        </w:tc>
        <w:tc>
          <w:tcPr>
            <w:tcW w:w="2050" w:type="dxa"/>
            <w:vAlign w:val="center"/>
          </w:tcPr>
          <w:p w14:paraId="2F45C350">
            <w:pPr>
              <w:adjustRightInd w:val="0"/>
              <w:snapToGrid w:val="0"/>
              <w:jc w:val="center"/>
              <w:rPr>
                <w:rFonts w:hint="eastAsia" w:ascii="宋体" w:hAnsi="宋体" w:eastAsia="宋体" w:cs="宋体"/>
                <w:color w:val="auto"/>
                <w:sz w:val="24"/>
                <w:highlight w:val="none"/>
              </w:rPr>
            </w:pPr>
          </w:p>
        </w:tc>
        <w:tc>
          <w:tcPr>
            <w:tcW w:w="1050" w:type="dxa"/>
            <w:vAlign w:val="center"/>
          </w:tcPr>
          <w:p w14:paraId="547309D7">
            <w:pPr>
              <w:adjustRightInd w:val="0"/>
              <w:snapToGrid w:val="0"/>
              <w:jc w:val="center"/>
              <w:rPr>
                <w:rFonts w:hint="eastAsia" w:ascii="宋体" w:hAnsi="宋体" w:eastAsia="宋体" w:cs="宋体"/>
                <w:color w:val="auto"/>
                <w:sz w:val="24"/>
                <w:highlight w:val="none"/>
              </w:rPr>
            </w:pPr>
          </w:p>
        </w:tc>
        <w:tc>
          <w:tcPr>
            <w:tcW w:w="2190" w:type="dxa"/>
            <w:vAlign w:val="center"/>
          </w:tcPr>
          <w:p w14:paraId="2D9ECC9D">
            <w:pPr>
              <w:adjustRightInd w:val="0"/>
              <w:snapToGrid w:val="0"/>
              <w:jc w:val="center"/>
              <w:rPr>
                <w:rFonts w:hint="eastAsia" w:ascii="宋体" w:hAnsi="宋体" w:eastAsia="宋体" w:cs="宋体"/>
                <w:color w:val="auto"/>
                <w:sz w:val="24"/>
                <w:highlight w:val="none"/>
              </w:rPr>
            </w:pPr>
          </w:p>
        </w:tc>
        <w:tc>
          <w:tcPr>
            <w:tcW w:w="1110" w:type="dxa"/>
            <w:vAlign w:val="center"/>
          </w:tcPr>
          <w:p w14:paraId="17FD952A">
            <w:pPr>
              <w:adjustRightInd w:val="0"/>
              <w:snapToGrid w:val="0"/>
              <w:jc w:val="center"/>
              <w:rPr>
                <w:rFonts w:hint="eastAsia" w:ascii="宋体" w:hAnsi="宋体" w:eastAsia="宋体" w:cs="宋体"/>
                <w:color w:val="auto"/>
                <w:sz w:val="24"/>
                <w:highlight w:val="none"/>
              </w:rPr>
            </w:pPr>
          </w:p>
        </w:tc>
        <w:tc>
          <w:tcPr>
            <w:tcW w:w="1081" w:type="dxa"/>
            <w:vAlign w:val="center"/>
          </w:tcPr>
          <w:p w14:paraId="300B4C6F">
            <w:pPr>
              <w:adjustRightInd w:val="0"/>
              <w:snapToGrid w:val="0"/>
              <w:jc w:val="center"/>
              <w:rPr>
                <w:rFonts w:hint="eastAsia" w:ascii="宋体" w:hAnsi="宋体" w:eastAsia="宋体" w:cs="宋体"/>
                <w:color w:val="auto"/>
                <w:sz w:val="24"/>
                <w:highlight w:val="none"/>
              </w:rPr>
            </w:pPr>
          </w:p>
        </w:tc>
      </w:tr>
      <w:tr w14:paraId="271A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420A4E0">
            <w:pPr>
              <w:adjustRightInd w:val="0"/>
              <w:snapToGrid w:val="0"/>
              <w:jc w:val="center"/>
              <w:rPr>
                <w:rFonts w:hint="eastAsia" w:ascii="宋体" w:hAnsi="宋体" w:eastAsia="宋体" w:cs="宋体"/>
                <w:color w:val="auto"/>
                <w:sz w:val="24"/>
                <w:highlight w:val="none"/>
              </w:rPr>
            </w:pPr>
          </w:p>
        </w:tc>
        <w:tc>
          <w:tcPr>
            <w:tcW w:w="872" w:type="dxa"/>
            <w:vAlign w:val="center"/>
          </w:tcPr>
          <w:p w14:paraId="0B8F048C">
            <w:pPr>
              <w:adjustRightInd w:val="0"/>
              <w:snapToGrid w:val="0"/>
              <w:jc w:val="center"/>
              <w:rPr>
                <w:rFonts w:hint="eastAsia" w:ascii="宋体" w:hAnsi="宋体" w:eastAsia="宋体" w:cs="宋体"/>
                <w:color w:val="auto"/>
                <w:sz w:val="24"/>
                <w:highlight w:val="none"/>
              </w:rPr>
            </w:pPr>
          </w:p>
        </w:tc>
        <w:tc>
          <w:tcPr>
            <w:tcW w:w="2050" w:type="dxa"/>
            <w:vAlign w:val="center"/>
          </w:tcPr>
          <w:p w14:paraId="0418F0DE">
            <w:pPr>
              <w:adjustRightInd w:val="0"/>
              <w:snapToGrid w:val="0"/>
              <w:jc w:val="center"/>
              <w:rPr>
                <w:rFonts w:hint="eastAsia" w:ascii="宋体" w:hAnsi="宋体" w:eastAsia="宋体" w:cs="宋体"/>
                <w:color w:val="auto"/>
                <w:sz w:val="24"/>
                <w:highlight w:val="none"/>
              </w:rPr>
            </w:pPr>
          </w:p>
        </w:tc>
        <w:tc>
          <w:tcPr>
            <w:tcW w:w="1050" w:type="dxa"/>
            <w:vAlign w:val="center"/>
          </w:tcPr>
          <w:p w14:paraId="7402F5CD">
            <w:pPr>
              <w:adjustRightInd w:val="0"/>
              <w:snapToGrid w:val="0"/>
              <w:jc w:val="center"/>
              <w:rPr>
                <w:rFonts w:hint="eastAsia" w:ascii="宋体" w:hAnsi="宋体" w:eastAsia="宋体" w:cs="宋体"/>
                <w:color w:val="auto"/>
                <w:sz w:val="24"/>
                <w:highlight w:val="none"/>
              </w:rPr>
            </w:pPr>
          </w:p>
        </w:tc>
        <w:tc>
          <w:tcPr>
            <w:tcW w:w="2190" w:type="dxa"/>
            <w:vAlign w:val="center"/>
          </w:tcPr>
          <w:p w14:paraId="2EC6DF7C">
            <w:pPr>
              <w:adjustRightInd w:val="0"/>
              <w:snapToGrid w:val="0"/>
              <w:jc w:val="center"/>
              <w:rPr>
                <w:rFonts w:hint="eastAsia" w:ascii="宋体" w:hAnsi="宋体" w:eastAsia="宋体" w:cs="宋体"/>
                <w:color w:val="auto"/>
                <w:sz w:val="24"/>
                <w:highlight w:val="none"/>
              </w:rPr>
            </w:pPr>
          </w:p>
        </w:tc>
        <w:tc>
          <w:tcPr>
            <w:tcW w:w="1110" w:type="dxa"/>
            <w:vAlign w:val="center"/>
          </w:tcPr>
          <w:p w14:paraId="55064A16">
            <w:pPr>
              <w:adjustRightInd w:val="0"/>
              <w:snapToGrid w:val="0"/>
              <w:jc w:val="center"/>
              <w:rPr>
                <w:rFonts w:hint="eastAsia" w:ascii="宋体" w:hAnsi="宋体" w:eastAsia="宋体" w:cs="宋体"/>
                <w:color w:val="auto"/>
                <w:sz w:val="24"/>
                <w:highlight w:val="none"/>
              </w:rPr>
            </w:pPr>
          </w:p>
        </w:tc>
        <w:tc>
          <w:tcPr>
            <w:tcW w:w="1081" w:type="dxa"/>
            <w:vAlign w:val="center"/>
          </w:tcPr>
          <w:p w14:paraId="1CB96840">
            <w:pPr>
              <w:adjustRightInd w:val="0"/>
              <w:snapToGrid w:val="0"/>
              <w:jc w:val="center"/>
              <w:rPr>
                <w:rFonts w:hint="eastAsia" w:ascii="宋体" w:hAnsi="宋体" w:eastAsia="宋体" w:cs="宋体"/>
                <w:color w:val="auto"/>
                <w:sz w:val="24"/>
                <w:highlight w:val="none"/>
              </w:rPr>
            </w:pPr>
          </w:p>
        </w:tc>
      </w:tr>
      <w:tr w14:paraId="2B5C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2E80302">
            <w:pPr>
              <w:adjustRightInd w:val="0"/>
              <w:snapToGrid w:val="0"/>
              <w:jc w:val="center"/>
              <w:rPr>
                <w:rFonts w:hint="eastAsia" w:ascii="宋体" w:hAnsi="宋体" w:eastAsia="宋体" w:cs="宋体"/>
                <w:color w:val="auto"/>
                <w:sz w:val="24"/>
                <w:highlight w:val="none"/>
              </w:rPr>
            </w:pPr>
          </w:p>
        </w:tc>
        <w:tc>
          <w:tcPr>
            <w:tcW w:w="872" w:type="dxa"/>
            <w:vAlign w:val="center"/>
          </w:tcPr>
          <w:p w14:paraId="6674CF15">
            <w:pPr>
              <w:adjustRightInd w:val="0"/>
              <w:snapToGrid w:val="0"/>
              <w:jc w:val="center"/>
              <w:rPr>
                <w:rFonts w:hint="eastAsia" w:ascii="宋体" w:hAnsi="宋体" w:eastAsia="宋体" w:cs="宋体"/>
                <w:color w:val="auto"/>
                <w:sz w:val="24"/>
                <w:highlight w:val="none"/>
              </w:rPr>
            </w:pPr>
          </w:p>
        </w:tc>
        <w:tc>
          <w:tcPr>
            <w:tcW w:w="2050" w:type="dxa"/>
            <w:vAlign w:val="center"/>
          </w:tcPr>
          <w:p w14:paraId="21D02A59">
            <w:pPr>
              <w:adjustRightInd w:val="0"/>
              <w:snapToGrid w:val="0"/>
              <w:jc w:val="center"/>
              <w:rPr>
                <w:rFonts w:hint="eastAsia" w:ascii="宋体" w:hAnsi="宋体" w:eastAsia="宋体" w:cs="宋体"/>
                <w:color w:val="auto"/>
                <w:sz w:val="24"/>
                <w:highlight w:val="none"/>
              </w:rPr>
            </w:pPr>
          </w:p>
        </w:tc>
        <w:tc>
          <w:tcPr>
            <w:tcW w:w="1050" w:type="dxa"/>
            <w:vAlign w:val="center"/>
          </w:tcPr>
          <w:p w14:paraId="34E4D3A5">
            <w:pPr>
              <w:adjustRightInd w:val="0"/>
              <w:snapToGrid w:val="0"/>
              <w:jc w:val="center"/>
              <w:rPr>
                <w:rFonts w:hint="eastAsia" w:ascii="宋体" w:hAnsi="宋体" w:eastAsia="宋体" w:cs="宋体"/>
                <w:color w:val="auto"/>
                <w:sz w:val="24"/>
                <w:highlight w:val="none"/>
              </w:rPr>
            </w:pPr>
          </w:p>
        </w:tc>
        <w:tc>
          <w:tcPr>
            <w:tcW w:w="2190" w:type="dxa"/>
            <w:vAlign w:val="center"/>
          </w:tcPr>
          <w:p w14:paraId="38BC1D92">
            <w:pPr>
              <w:adjustRightInd w:val="0"/>
              <w:snapToGrid w:val="0"/>
              <w:jc w:val="center"/>
              <w:rPr>
                <w:rFonts w:hint="eastAsia" w:ascii="宋体" w:hAnsi="宋体" w:eastAsia="宋体" w:cs="宋体"/>
                <w:color w:val="auto"/>
                <w:sz w:val="24"/>
                <w:highlight w:val="none"/>
              </w:rPr>
            </w:pPr>
          </w:p>
        </w:tc>
        <w:tc>
          <w:tcPr>
            <w:tcW w:w="1110" w:type="dxa"/>
            <w:vAlign w:val="center"/>
          </w:tcPr>
          <w:p w14:paraId="0625E007">
            <w:pPr>
              <w:adjustRightInd w:val="0"/>
              <w:snapToGrid w:val="0"/>
              <w:jc w:val="center"/>
              <w:rPr>
                <w:rFonts w:hint="eastAsia" w:ascii="宋体" w:hAnsi="宋体" w:eastAsia="宋体" w:cs="宋体"/>
                <w:color w:val="auto"/>
                <w:sz w:val="24"/>
                <w:highlight w:val="none"/>
              </w:rPr>
            </w:pPr>
          </w:p>
        </w:tc>
        <w:tc>
          <w:tcPr>
            <w:tcW w:w="1081" w:type="dxa"/>
            <w:vAlign w:val="center"/>
          </w:tcPr>
          <w:p w14:paraId="07517A2C">
            <w:pPr>
              <w:adjustRightInd w:val="0"/>
              <w:snapToGrid w:val="0"/>
              <w:jc w:val="center"/>
              <w:rPr>
                <w:rFonts w:hint="eastAsia" w:ascii="宋体" w:hAnsi="宋体" w:eastAsia="宋体" w:cs="宋体"/>
                <w:color w:val="auto"/>
                <w:sz w:val="24"/>
                <w:highlight w:val="none"/>
              </w:rPr>
            </w:pPr>
          </w:p>
        </w:tc>
      </w:tr>
      <w:tr w14:paraId="3E94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D62610C">
            <w:pPr>
              <w:adjustRightInd w:val="0"/>
              <w:snapToGrid w:val="0"/>
              <w:jc w:val="center"/>
              <w:rPr>
                <w:rFonts w:hint="eastAsia" w:ascii="宋体" w:hAnsi="宋体" w:eastAsia="宋体" w:cs="宋体"/>
                <w:color w:val="auto"/>
                <w:sz w:val="24"/>
                <w:highlight w:val="none"/>
              </w:rPr>
            </w:pPr>
          </w:p>
        </w:tc>
        <w:tc>
          <w:tcPr>
            <w:tcW w:w="872" w:type="dxa"/>
            <w:vAlign w:val="center"/>
          </w:tcPr>
          <w:p w14:paraId="48519198">
            <w:pPr>
              <w:adjustRightInd w:val="0"/>
              <w:snapToGrid w:val="0"/>
              <w:jc w:val="center"/>
              <w:rPr>
                <w:rFonts w:hint="eastAsia" w:ascii="宋体" w:hAnsi="宋体" w:eastAsia="宋体" w:cs="宋体"/>
                <w:color w:val="auto"/>
                <w:sz w:val="24"/>
                <w:highlight w:val="none"/>
              </w:rPr>
            </w:pPr>
          </w:p>
        </w:tc>
        <w:tc>
          <w:tcPr>
            <w:tcW w:w="2050" w:type="dxa"/>
            <w:vAlign w:val="center"/>
          </w:tcPr>
          <w:p w14:paraId="6C5EB3BD">
            <w:pPr>
              <w:adjustRightInd w:val="0"/>
              <w:snapToGrid w:val="0"/>
              <w:jc w:val="center"/>
              <w:rPr>
                <w:rFonts w:hint="eastAsia" w:ascii="宋体" w:hAnsi="宋体" w:eastAsia="宋体" w:cs="宋体"/>
                <w:color w:val="auto"/>
                <w:sz w:val="24"/>
                <w:highlight w:val="none"/>
              </w:rPr>
            </w:pPr>
          </w:p>
        </w:tc>
        <w:tc>
          <w:tcPr>
            <w:tcW w:w="1050" w:type="dxa"/>
            <w:vAlign w:val="center"/>
          </w:tcPr>
          <w:p w14:paraId="143E76CE">
            <w:pPr>
              <w:adjustRightInd w:val="0"/>
              <w:snapToGrid w:val="0"/>
              <w:jc w:val="center"/>
              <w:rPr>
                <w:rFonts w:hint="eastAsia" w:ascii="宋体" w:hAnsi="宋体" w:eastAsia="宋体" w:cs="宋体"/>
                <w:color w:val="auto"/>
                <w:sz w:val="24"/>
                <w:highlight w:val="none"/>
              </w:rPr>
            </w:pPr>
          </w:p>
        </w:tc>
        <w:tc>
          <w:tcPr>
            <w:tcW w:w="2190" w:type="dxa"/>
            <w:vAlign w:val="center"/>
          </w:tcPr>
          <w:p w14:paraId="7ACE1B2B">
            <w:pPr>
              <w:adjustRightInd w:val="0"/>
              <w:snapToGrid w:val="0"/>
              <w:jc w:val="center"/>
              <w:rPr>
                <w:rFonts w:hint="eastAsia" w:ascii="宋体" w:hAnsi="宋体" w:eastAsia="宋体" w:cs="宋体"/>
                <w:color w:val="auto"/>
                <w:sz w:val="24"/>
                <w:highlight w:val="none"/>
              </w:rPr>
            </w:pPr>
          </w:p>
        </w:tc>
        <w:tc>
          <w:tcPr>
            <w:tcW w:w="1110" w:type="dxa"/>
            <w:vAlign w:val="center"/>
          </w:tcPr>
          <w:p w14:paraId="75BBF0B2">
            <w:pPr>
              <w:adjustRightInd w:val="0"/>
              <w:snapToGrid w:val="0"/>
              <w:jc w:val="center"/>
              <w:rPr>
                <w:rFonts w:hint="eastAsia" w:ascii="宋体" w:hAnsi="宋体" w:eastAsia="宋体" w:cs="宋体"/>
                <w:color w:val="auto"/>
                <w:sz w:val="24"/>
                <w:highlight w:val="none"/>
              </w:rPr>
            </w:pPr>
          </w:p>
        </w:tc>
        <w:tc>
          <w:tcPr>
            <w:tcW w:w="1081" w:type="dxa"/>
            <w:vAlign w:val="center"/>
          </w:tcPr>
          <w:p w14:paraId="747132A9">
            <w:pPr>
              <w:adjustRightInd w:val="0"/>
              <w:snapToGrid w:val="0"/>
              <w:jc w:val="center"/>
              <w:rPr>
                <w:rFonts w:hint="eastAsia" w:ascii="宋体" w:hAnsi="宋体" w:eastAsia="宋体" w:cs="宋体"/>
                <w:color w:val="auto"/>
                <w:sz w:val="24"/>
                <w:highlight w:val="none"/>
              </w:rPr>
            </w:pPr>
          </w:p>
        </w:tc>
      </w:tr>
      <w:tr w14:paraId="1666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DEFE365">
            <w:pPr>
              <w:adjustRightInd w:val="0"/>
              <w:snapToGrid w:val="0"/>
              <w:jc w:val="center"/>
              <w:rPr>
                <w:rFonts w:hint="eastAsia" w:ascii="宋体" w:hAnsi="宋体" w:eastAsia="宋体" w:cs="宋体"/>
                <w:color w:val="auto"/>
                <w:sz w:val="24"/>
                <w:highlight w:val="none"/>
              </w:rPr>
            </w:pPr>
          </w:p>
        </w:tc>
        <w:tc>
          <w:tcPr>
            <w:tcW w:w="872" w:type="dxa"/>
            <w:vAlign w:val="center"/>
          </w:tcPr>
          <w:p w14:paraId="40EBFEAE">
            <w:pPr>
              <w:adjustRightInd w:val="0"/>
              <w:snapToGrid w:val="0"/>
              <w:jc w:val="center"/>
              <w:rPr>
                <w:rFonts w:hint="eastAsia" w:ascii="宋体" w:hAnsi="宋体" w:eastAsia="宋体" w:cs="宋体"/>
                <w:color w:val="auto"/>
                <w:sz w:val="24"/>
                <w:highlight w:val="none"/>
              </w:rPr>
            </w:pPr>
          </w:p>
        </w:tc>
        <w:tc>
          <w:tcPr>
            <w:tcW w:w="2050" w:type="dxa"/>
            <w:vAlign w:val="center"/>
          </w:tcPr>
          <w:p w14:paraId="25A2B9EF">
            <w:pPr>
              <w:adjustRightInd w:val="0"/>
              <w:snapToGrid w:val="0"/>
              <w:jc w:val="center"/>
              <w:rPr>
                <w:rFonts w:hint="eastAsia" w:ascii="宋体" w:hAnsi="宋体" w:eastAsia="宋体" w:cs="宋体"/>
                <w:color w:val="auto"/>
                <w:sz w:val="24"/>
                <w:highlight w:val="none"/>
              </w:rPr>
            </w:pPr>
          </w:p>
        </w:tc>
        <w:tc>
          <w:tcPr>
            <w:tcW w:w="1050" w:type="dxa"/>
            <w:vAlign w:val="center"/>
          </w:tcPr>
          <w:p w14:paraId="7B917573">
            <w:pPr>
              <w:adjustRightInd w:val="0"/>
              <w:snapToGrid w:val="0"/>
              <w:jc w:val="center"/>
              <w:rPr>
                <w:rFonts w:hint="eastAsia" w:ascii="宋体" w:hAnsi="宋体" w:eastAsia="宋体" w:cs="宋体"/>
                <w:color w:val="auto"/>
                <w:sz w:val="24"/>
                <w:highlight w:val="none"/>
              </w:rPr>
            </w:pPr>
          </w:p>
        </w:tc>
        <w:tc>
          <w:tcPr>
            <w:tcW w:w="2190" w:type="dxa"/>
            <w:vAlign w:val="center"/>
          </w:tcPr>
          <w:p w14:paraId="083EC637">
            <w:pPr>
              <w:adjustRightInd w:val="0"/>
              <w:snapToGrid w:val="0"/>
              <w:jc w:val="center"/>
              <w:rPr>
                <w:rFonts w:hint="eastAsia" w:ascii="宋体" w:hAnsi="宋体" w:eastAsia="宋体" w:cs="宋体"/>
                <w:color w:val="auto"/>
                <w:sz w:val="24"/>
                <w:highlight w:val="none"/>
              </w:rPr>
            </w:pPr>
          </w:p>
        </w:tc>
        <w:tc>
          <w:tcPr>
            <w:tcW w:w="1110" w:type="dxa"/>
            <w:vAlign w:val="center"/>
          </w:tcPr>
          <w:p w14:paraId="3D77DBD7">
            <w:pPr>
              <w:adjustRightInd w:val="0"/>
              <w:snapToGrid w:val="0"/>
              <w:jc w:val="center"/>
              <w:rPr>
                <w:rFonts w:hint="eastAsia" w:ascii="宋体" w:hAnsi="宋体" w:eastAsia="宋体" w:cs="宋体"/>
                <w:color w:val="auto"/>
                <w:sz w:val="24"/>
                <w:highlight w:val="none"/>
              </w:rPr>
            </w:pPr>
          </w:p>
        </w:tc>
        <w:tc>
          <w:tcPr>
            <w:tcW w:w="1081" w:type="dxa"/>
            <w:vAlign w:val="center"/>
          </w:tcPr>
          <w:p w14:paraId="034DE43B">
            <w:pPr>
              <w:adjustRightInd w:val="0"/>
              <w:snapToGrid w:val="0"/>
              <w:jc w:val="center"/>
              <w:rPr>
                <w:rFonts w:hint="eastAsia" w:ascii="宋体" w:hAnsi="宋体" w:eastAsia="宋体" w:cs="宋体"/>
                <w:color w:val="auto"/>
                <w:sz w:val="24"/>
                <w:highlight w:val="none"/>
              </w:rPr>
            </w:pPr>
          </w:p>
        </w:tc>
      </w:tr>
      <w:tr w14:paraId="0A0B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54AB4CE">
            <w:pPr>
              <w:adjustRightInd w:val="0"/>
              <w:snapToGrid w:val="0"/>
              <w:jc w:val="center"/>
              <w:rPr>
                <w:rFonts w:hint="eastAsia" w:ascii="宋体" w:hAnsi="宋体" w:eastAsia="宋体" w:cs="宋体"/>
                <w:color w:val="auto"/>
                <w:sz w:val="24"/>
                <w:highlight w:val="none"/>
              </w:rPr>
            </w:pPr>
          </w:p>
        </w:tc>
        <w:tc>
          <w:tcPr>
            <w:tcW w:w="872" w:type="dxa"/>
            <w:vAlign w:val="center"/>
          </w:tcPr>
          <w:p w14:paraId="5AC3E7EB">
            <w:pPr>
              <w:adjustRightInd w:val="0"/>
              <w:snapToGrid w:val="0"/>
              <w:jc w:val="center"/>
              <w:rPr>
                <w:rFonts w:hint="eastAsia" w:ascii="宋体" w:hAnsi="宋体" w:eastAsia="宋体" w:cs="宋体"/>
                <w:color w:val="auto"/>
                <w:sz w:val="24"/>
                <w:highlight w:val="none"/>
              </w:rPr>
            </w:pPr>
          </w:p>
        </w:tc>
        <w:tc>
          <w:tcPr>
            <w:tcW w:w="2050" w:type="dxa"/>
            <w:vAlign w:val="center"/>
          </w:tcPr>
          <w:p w14:paraId="09781E0F">
            <w:pPr>
              <w:adjustRightInd w:val="0"/>
              <w:snapToGrid w:val="0"/>
              <w:jc w:val="center"/>
              <w:rPr>
                <w:rFonts w:hint="eastAsia" w:ascii="宋体" w:hAnsi="宋体" w:eastAsia="宋体" w:cs="宋体"/>
                <w:color w:val="auto"/>
                <w:sz w:val="24"/>
                <w:highlight w:val="none"/>
              </w:rPr>
            </w:pPr>
          </w:p>
        </w:tc>
        <w:tc>
          <w:tcPr>
            <w:tcW w:w="1050" w:type="dxa"/>
            <w:vAlign w:val="center"/>
          </w:tcPr>
          <w:p w14:paraId="01C27E77">
            <w:pPr>
              <w:adjustRightInd w:val="0"/>
              <w:snapToGrid w:val="0"/>
              <w:jc w:val="center"/>
              <w:rPr>
                <w:rFonts w:hint="eastAsia" w:ascii="宋体" w:hAnsi="宋体" w:eastAsia="宋体" w:cs="宋体"/>
                <w:color w:val="auto"/>
                <w:sz w:val="24"/>
                <w:highlight w:val="none"/>
              </w:rPr>
            </w:pPr>
          </w:p>
        </w:tc>
        <w:tc>
          <w:tcPr>
            <w:tcW w:w="2190" w:type="dxa"/>
            <w:vAlign w:val="center"/>
          </w:tcPr>
          <w:p w14:paraId="7FE7D445">
            <w:pPr>
              <w:adjustRightInd w:val="0"/>
              <w:snapToGrid w:val="0"/>
              <w:jc w:val="center"/>
              <w:rPr>
                <w:rFonts w:hint="eastAsia" w:ascii="宋体" w:hAnsi="宋体" w:eastAsia="宋体" w:cs="宋体"/>
                <w:color w:val="auto"/>
                <w:sz w:val="24"/>
                <w:highlight w:val="none"/>
              </w:rPr>
            </w:pPr>
          </w:p>
        </w:tc>
        <w:tc>
          <w:tcPr>
            <w:tcW w:w="1110" w:type="dxa"/>
            <w:vAlign w:val="center"/>
          </w:tcPr>
          <w:p w14:paraId="24019CD4">
            <w:pPr>
              <w:adjustRightInd w:val="0"/>
              <w:snapToGrid w:val="0"/>
              <w:jc w:val="center"/>
              <w:rPr>
                <w:rFonts w:hint="eastAsia" w:ascii="宋体" w:hAnsi="宋体" w:eastAsia="宋体" w:cs="宋体"/>
                <w:color w:val="auto"/>
                <w:sz w:val="24"/>
                <w:highlight w:val="none"/>
              </w:rPr>
            </w:pPr>
          </w:p>
        </w:tc>
        <w:tc>
          <w:tcPr>
            <w:tcW w:w="1081" w:type="dxa"/>
            <w:vAlign w:val="center"/>
          </w:tcPr>
          <w:p w14:paraId="44E6057E">
            <w:pPr>
              <w:adjustRightInd w:val="0"/>
              <w:snapToGrid w:val="0"/>
              <w:jc w:val="center"/>
              <w:rPr>
                <w:rFonts w:hint="eastAsia" w:ascii="宋体" w:hAnsi="宋体" w:eastAsia="宋体" w:cs="宋体"/>
                <w:color w:val="auto"/>
                <w:sz w:val="24"/>
                <w:highlight w:val="none"/>
              </w:rPr>
            </w:pPr>
          </w:p>
        </w:tc>
      </w:tr>
      <w:tr w14:paraId="68C4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12E1FF0">
            <w:pPr>
              <w:adjustRightInd w:val="0"/>
              <w:snapToGrid w:val="0"/>
              <w:jc w:val="center"/>
              <w:rPr>
                <w:rFonts w:hint="eastAsia" w:ascii="宋体" w:hAnsi="宋体" w:eastAsia="宋体" w:cs="宋体"/>
                <w:color w:val="auto"/>
                <w:sz w:val="24"/>
                <w:highlight w:val="none"/>
              </w:rPr>
            </w:pPr>
          </w:p>
        </w:tc>
        <w:tc>
          <w:tcPr>
            <w:tcW w:w="872" w:type="dxa"/>
            <w:vAlign w:val="center"/>
          </w:tcPr>
          <w:p w14:paraId="724B0980">
            <w:pPr>
              <w:adjustRightInd w:val="0"/>
              <w:snapToGrid w:val="0"/>
              <w:jc w:val="center"/>
              <w:rPr>
                <w:rFonts w:hint="eastAsia" w:ascii="宋体" w:hAnsi="宋体" w:eastAsia="宋体" w:cs="宋体"/>
                <w:color w:val="auto"/>
                <w:sz w:val="24"/>
                <w:highlight w:val="none"/>
              </w:rPr>
            </w:pPr>
          </w:p>
        </w:tc>
        <w:tc>
          <w:tcPr>
            <w:tcW w:w="2050" w:type="dxa"/>
            <w:vAlign w:val="center"/>
          </w:tcPr>
          <w:p w14:paraId="462E4EA7">
            <w:pPr>
              <w:adjustRightInd w:val="0"/>
              <w:snapToGrid w:val="0"/>
              <w:jc w:val="center"/>
              <w:rPr>
                <w:rFonts w:hint="eastAsia" w:ascii="宋体" w:hAnsi="宋体" w:eastAsia="宋体" w:cs="宋体"/>
                <w:color w:val="auto"/>
                <w:sz w:val="24"/>
                <w:highlight w:val="none"/>
              </w:rPr>
            </w:pPr>
          </w:p>
        </w:tc>
        <w:tc>
          <w:tcPr>
            <w:tcW w:w="1050" w:type="dxa"/>
            <w:vAlign w:val="center"/>
          </w:tcPr>
          <w:p w14:paraId="357740C8">
            <w:pPr>
              <w:adjustRightInd w:val="0"/>
              <w:snapToGrid w:val="0"/>
              <w:jc w:val="center"/>
              <w:rPr>
                <w:rFonts w:hint="eastAsia" w:ascii="宋体" w:hAnsi="宋体" w:eastAsia="宋体" w:cs="宋体"/>
                <w:color w:val="auto"/>
                <w:sz w:val="24"/>
                <w:highlight w:val="none"/>
              </w:rPr>
            </w:pPr>
          </w:p>
        </w:tc>
        <w:tc>
          <w:tcPr>
            <w:tcW w:w="2190" w:type="dxa"/>
            <w:vAlign w:val="center"/>
          </w:tcPr>
          <w:p w14:paraId="42A3262B">
            <w:pPr>
              <w:adjustRightInd w:val="0"/>
              <w:snapToGrid w:val="0"/>
              <w:jc w:val="center"/>
              <w:rPr>
                <w:rFonts w:hint="eastAsia" w:ascii="宋体" w:hAnsi="宋体" w:eastAsia="宋体" w:cs="宋体"/>
                <w:color w:val="auto"/>
                <w:sz w:val="24"/>
                <w:highlight w:val="none"/>
              </w:rPr>
            </w:pPr>
          </w:p>
        </w:tc>
        <w:tc>
          <w:tcPr>
            <w:tcW w:w="1110" w:type="dxa"/>
            <w:vAlign w:val="center"/>
          </w:tcPr>
          <w:p w14:paraId="46C9A237">
            <w:pPr>
              <w:adjustRightInd w:val="0"/>
              <w:snapToGrid w:val="0"/>
              <w:jc w:val="center"/>
              <w:rPr>
                <w:rFonts w:hint="eastAsia" w:ascii="宋体" w:hAnsi="宋体" w:eastAsia="宋体" w:cs="宋体"/>
                <w:color w:val="auto"/>
                <w:sz w:val="24"/>
                <w:highlight w:val="none"/>
              </w:rPr>
            </w:pPr>
          </w:p>
        </w:tc>
        <w:tc>
          <w:tcPr>
            <w:tcW w:w="1081" w:type="dxa"/>
            <w:vAlign w:val="center"/>
          </w:tcPr>
          <w:p w14:paraId="0D6454CA">
            <w:pPr>
              <w:adjustRightInd w:val="0"/>
              <w:snapToGrid w:val="0"/>
              <w:jc w:val="center"/>
              <w:rPr>
                <w:rFonts w:hint="eastAsia" w:ascii="宋体" w:hAnsi="宋体" w:eastAsia="宋体" w:cs="宋体"/>
                <w:color w:val="auto"/>
                <w:sz w:val="24"/>
                <w:highlight w:val="none"/>
              </w:rPr>
            </w:pPr>
          </w:p>
        </w:tc>
      </w:tr>
      <w:tr w14:paraId="723A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A94D73C">
            <w:pPr>
              <w:adjustRightInd w:val="0"/>
              <w:snapToGrid w:val="0"/>
              <w:jc w:val="center"/>
              <w:rPr>
                <w:rFonts w:hint="eastAsia" w:ascii="宋体" w:hAnsi="宋体" w:eastAsia="宋体" w:cs="宋体"/>
                <w:color w:val="auto"/>
                <w:sz w:val="24"/>
                <w:highlight w:val="none"/>
              </w:rPr>
            </w:pPr>
          </w:p>
        </w:tc>
        <w:tc>
          <w:tcPr>
            <w:tcW w:w="872" w:type="dxa"/>
            <w:vAlign w:val="center"/>
          </w:tcPr>
          <w:p w14:paraId="155E6884">
            <w:pPr>
              <w:adjustRightInd w:val="0"/>
              <w:snapToGrid w:val="0"/>
              <w:jc w:val="center"/>
              <w:rPr>
                <w:rFonts w:hint="eastAsia" w:ascii="宋体" w:hAnsi="宋体" w:eastAsia="宋体" w:cs="宋体"/>
                <w:color w:val="auto"/>
                <w:sz w:val="24"/>
                <w:highlight w:val="none"/>
              </w:rPr>
            </w:pPr>
          </w:p>
        </w:tc>
        <w:tc>
          <w:tcPr>
            <w:tcW w:w="2050" w:type="dxa"/>
            <w:vAlign w:val="center"/>
          </w:tcPr>
          <w:p w14:paraId="60A38DCD">
            <w:pPr>
              <w:adjustRightInd w:val="0"/>
              <w:snapToGrid w:val="0"/>
              <w:jc w:val="center"/>
              <w:rPr>
                <w:rFonts w:hint="eastAsia" w:ascii="宋体" w:hAnsi="宋体" w:eastAsia="宋体" w:cs="宋体"/>
                <w:color w:val="auto"/>
                <w:sz w:val="24"/>
                <w:highlight w:val="none"/>
              </w:rPr>
            </w:pPr>
          </w:p>
        </w:tc>
        <w:tc>
          <w:tcPr>
            <w:tcW w:w="1050" w:type="dxa"/>
            <w:vAlign w:val="center"/>
          </w:tcPr>
          <w:p w14:paraId="45753929">
            <w:pPr>
              <w:adjustRightInd w:val="0"/>
              <w:snapToGrid w:val="0"/>
              <w:jc w:val="center"/>
              <w:rPr>
                <w:rFonts w:hint="eastAsia" w:ascii="宋体" w:hAnsi="宋体" w:eastAsia="宋体" w:cs="宋体"/>
                <w:color w:val="auto"/>
                <w:sz w:val="24"/>
                <w:highlight w:val="none"/>
              </w:rPr>
            </w:pPr>
          </w:p>
        </w:tc>
        <w:tc>
          <w:tcPr>
            <w:tcW w:w="2190" w:type="dxa"/>
            <w:vAlign w:val="center"/>
          </w:tcPr>
          <w:p w14:paraId="0CAFFADC">
            <w:pPr>
              <w:adjustRightInd w:val="0"/>
              <w:snapToGrid w:val="0"/>
              <w:jc w:val="center"/>
              <w:rPr>
                <w:rFonts w:hint="eastAsia" w:ascii="宋体" w:hAnsi="宋体" w:eastAsia="宋体" w:cs="宋体"/>
                <w:color w:val="auto"/>
                <w:sz w:val="24"/>
                <w:highlight w:val="none"/>
              </w:rPr>
            </w:pPr>
          </w:p>
        </w:tc>
        <w:tc>
          <w:tcPr>
            <w:tcW w:w="1110" w:type="dxa"/>
            <w:vAlign w:val="center"/>
          </w:tcPr>
          <w:p w14:paraId="53C42FAF">
            <w:pPr>
              <w:adjustRightInd w:val="0"/>
              <w:snapToGrid w:val="0"/>
              <w:jc w:val="center"/>
              <w:rPr>
                <w:rFonts w:hint="eastAsia" w:ascii="宋体" w:hAnsi="宋体" w:eastAsia="宋体" w:cs="宋体"/>
                <w:color w:val="auto"/>
                <w:sz w:val="24"/>
                <w:highlight w:val="none"/>
              </w:rPr>
            </w:pPr>
          </w:p>
        </w:tc>
        <w:tc>
          <w:tcPr>
            <w:tcW w:w="1081" w:type="dxa"/>
            <w:vAlign w:val="center"/>
          </w:tcPr>
          <w:p w14:paraId="2F615F8D">
            <w:pPr>
              <w:adjustRightInd w:val="0"/>
              <w:snapToGrid w:val="0"/>
              <w:jc w:val="center"/>
              <w:rPr>
                <w:rFonts w:hint="eastAsia" w:ascii="宋体" w:hAnsi="宋体" w:eastAsia="宋体" w:cs="宋体"/>
                <w:color w:val="auto"/>
                <w:sz w:val="24"/>
                <w:highlight w:val="none"/>
              </w:rPr>
            </w:pPr>
          </w:p>
        </w:tc>
      </w:tr>
      <w:tr w14:paraId="79D1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C626975">
            <w:pPr>
              <w:adjustRightInd w:val="0"/>
              <w:snapToGrid w:val="0"/>
              <w:jc w:val="center"/>
              <w:rPr>
                <w:rFonts w:hint="eastAsia" w:ascii="宋体" w:hAnsi="宋体" w:eastAsia="宋体" w:cs="宋体"/>
                <w:color w:val="auto"/>
                <w:sz w:val="24"/>
                <w:highlight w:val="none"/>
              </w:rPr>
            </w:pPr>
          </w:p>
        </w:tc>
        <w:tc>
          <w:tcPr>
            <w:tcW w:w="872" w:type="dxa"/>
            <w:vAlign w:val="center"/>
          </w:tcPr>
          <w:p w14:paraId="5B8E77B1">
            <w:pPr>
              <w:adjustRightInd w:val="0"/>
              <w:snapToGrid w:val="0"/>
              <w:jc w:val="center"/>
              <w:rPr>
                <w:rFonts w:hint="eastAsia" w:ascii="宋体" w:hAnsi="宋体" w:eastAsia="宋体" w:cs="宋体"/>
                <w:color w:val="auto"/>
                <w:sz w:val="24"/>
                <w:highlight w:val="none"/>
              </w:rPr>
            </w:pPr>
          </w:p>
        </w:tc>
        <w:tc>
          <w:tcPr>
            <w:tcW w:w="2050" w:type="dxa"/>
            <w:vAlign w:val="center"/>
          </w:tcPr>
          <w:p w14:paraId="3C6458EC">
            <w:pPr>
              <w:adjustRightInd w:val="0"/>
              <w:snapToGrid w:val="0"/>
              <w:jc w:val="center"/>
              <w:rPr>
                <w:rFonts w:hint="eastAsia" w:ascii="宋体" w:hAnsi="宋体" w:eastAsia="宋体" w:cs="宋体"/>
                <w:color w:val="auto"/>
                <w:sz w:val="24"/>
                <w:highlight w:val="none"/>
              </w:rPr>
            </w:pPr>
          </w:p>
        </w:tc>
        <w:tc>
          <w:tcPr>
            <w:tcW w:w="1050" w:type="dxa"/>
            <w:vAlign w:val="center"/>
          </w:tcPr>
          <w:p w14:paraId="7DAABFB9">
            <w:pPr>
              <w:adjustRightInd w:val="0"/>
              <w:snapToGrid w:val="0"/>
              <w:jc w:val="center"/>
              <w:rPr>
                <w:rFonts w:hint="eastAsia" w:ascii="宋体" w:hAnsi="宋体" w:eastAsia="宋体" w:cs="宋体"/>
                <w:color w:val="auto"/>
                <w:sz w:val="24"/>
                <w:highlight w:val="none"/>
              </w:rPr>
            </w:pPr>
          </w:p>
        </w:tc>
        <w:tc>
          <w:tcPr>
            <w:tcW w:w="2190" w:type="dxa"/>
            <w:vAlign w:val="center"/>
          </w:tcPr>
          <w:p w14:paraId="38E44501">
            <w:pPr>
              <w:adjustRightInd w:val="0"/>
              <w:snapToGrid w:val="0"/>
              <w:jc w:val="center"/>
              <w:rPr>
                <w:rFonts w:hint="eastAsia" w:ascii="宋体" w:hAnsi="宋体" w:eastAsia="宋体" w:cs="宋体"/>
                <w:color w:val="auto"/>
                <w:sz w:val="24"/>
                <w:highlight w:val="none"/>
              </w:rPr>
            </w:pPr>
          </w:p>
        </w:tc>
        <w:tc>
          <w:tcPr>
            <w:tcW w:w="1110" w:type="dxa"/>
            <w:vAlign w:val="center"/>
          </w:tcPr>
          <w:p w14:paraId="49A81428">
            <w:pPr>
              <w:adjustRightInd w:val="0"/>
              <w:snapToGrid w:val="0"/>
              <w:jc w:val="center"/>
              <w:rPr>
                <w:rFonts w:hint="eastAsia" w:ascii="宋体" w:hAnsi="宋体" w:eastAsia="宋体" w:cs="宋体"/>
                <w:color w:val="auto"/>
                <w:sz w:val="24"/>
                <w:highlight w:val="none"/>
              </w:rPr>
            </w:pPr>
          </w:p>
        </w:tc>
        <w:tc>
          <w:tcPr>
            <w:tcW w:w="1081" w:type="dxa"/>
            <w:vAlign w:val="center"/>
          </w:tcPr>
          <w:p w14:paraId="24A0954E">
            <w:pPr>
              <w:adjustRightInd w:val="0"/>
              <w:snapToGrid w:val="0"/>
              <w:jc w:val="center"/>
              <w:rPr>
                <w:rFonts w:hint="eastAsia" w:ascii="宋体" w:hAnsi="宋体" w:eastAsia="宋体" w:cs="宋体"/>
                <w:color w:val="auto"/>
                <w:sz w:val="24"/>
                <w:highlight w:val="none"/>
              </w:rPr>
            </w:pPr>
          </w:p>
        </w:tc>
      </w:tr>
      <w:tr w14:paraId="6B19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5CC396D">
            <w:pPr>
              <w:adjustRightInd w:val="0"/>
              <w:snapToGrid w:val="0"/>
              <w:jc w:val="center"/>
              <w:rPr>
                <w:rFonts w:hint="eastAsia" w:ascii="宋体" w:hAnsi="宋体" w:eastAsia="宋体" w:cs="宋体"/>
                <w:color w:val="auto"/>
                <w:sz w:val="24"/>
                <w:highlight w:val="none"/>
              </w:rPr>
            </w:pPr>
          </w:p>
        </w:tc>
        <w:tc>
          <w:tcPr>
            <w:tcW w:w="872" w:type="dxa"/>
            <w:vAlign w:val="center"/>
          </w:tcPr>
          <w:p w14:paraId="2F7E108F">
            <w:pPr>
              <w:adjustRightInd w:val="0"/>
              <w:snapToGrid w:val="0"/>
              <w:jc w:val="center"/>
              <w:rPr>
                <w:rFonts w:hint="eastAsia" w:ascii="宋体" w:hAnsi="宋体" w:eastAsia="宋体" w:cs="宋体"/>
                <w:color w:val="auto"/>
                <w:sz w:val="24"/>
                <w:highlight w:val="none"/>
              </w:rPr>
            </w:pPr>
          </w:p>
        </w:tc>
        <w:tc>
          <w:tcPr>
            <w:tcW w:w="2050" w:type="dxa"/>
            <w:vAlign w:val="center"/>
          </w:tcPr>
          <w:p w14:paraId="69163F3F">
            <w:pPr>
              <w:adjustRightInd w:val="0"/>
              <w:snapToGrid w:val="0"/>
              <w:jc w:val="center"/>
              <w:rPr>
                <w:rFonts w:hint="eastAsia" w:ascii="宋体" w:hAnsi="宋体" w:eastAsia="宋体" w:cs="宋体"/>
                <w:color w:val="auto"/>
                <w:sz w:val="24"/>
                <w:highlight w:val="none"/>
              </w:rPr>
            </w:pPr>
          </w:p>
        </w:tc>
        <w:tc>
          <w:tcPr>
            <w:tcW w:w="1050" w:type="dxa"/>
            <w:vAlign w:val="center"/>
          </w:tcPr>
          <w:p w14:paraId="3B56C4CC">
            <w:pPr>
              <w:adjustRightInd w:val="0"/>
              <w:snapToGrid w:val="0"/>
              <w:jc w:val="center"/>
              <w:rPr>
                <w:rFonts w:hint="eastAsia" w:ascii="宋体" w:hAnsi="宋体" w:eastAsia="宋体" w:cs="宋体"/>
                <w:color w:val="auto"/>
                <w:sz w:val="24"/>
                <w:highlight w:val="none"/>
              </w:rPr>
            </w:pPr>
          </w:p>
        </w:tc>
        <w:tc>
          <w:tcPr>
            <w:tcW w:w="2190" w:type="dxa"/>
            <w:vAlign w:val="center"/>
          </w:tcPr>
          <w:p w14:paraId="775AE8DB">
            <w:pPr>
              <w:adjustRightInd w:val="0"/>
              <w:snapToGrid w:val="0"/>
              <w:jc w:val="center"/>
              <w:rPr>
                <w:rFonts w:hint="eastAsia" w:ascii="宋体" w:hAnsi="宋体" w:eastAsia="宋体" w:cs="宋体"/>
                <w:color w:val="auto"/>
                <w:sz w:val="24"/>
                <w:highlight w:val="none"/>
              </w:rPr>
            </w:pPr>
          </w:p>
        </w:tc>
        <w:tc>
          <w:tcPr>
            <w:tcW w:w="1110" w:type="dxa"/>
            <w:vAlign w:val="center"/>
          </w:tcPr>
          <w:p w14:paraId="732E8CA5">
            <w:pPr>
              <w:adjustRightInd w:val="0"/>
              <w:snapToGrid w:val="0"/>
              <w:jc w:val="center"/>
              <w:rPr>
                <w:rFonts w:hint="eastAsia" w:ascii="宋体" w:hAnsi="宋体" w:eastAsia="宋体" w:cs="宋体"/>
                <w:color w:val="auto"/>
                <w:sz w:val="24"/>
                <w:highlight w:val="none"/>
              </w:rPr>
            </w:pPr>
          </w:p>
        </w:tc>
        <w:tc>
          <w:tcPr>
            <w:tcW w:w="1081" w:type="dxa"/>
            <w:vAlign w:val="center"/>
          </w:tcPr>
          <w:p w14:paraId="5ADE0AFA">
            <w:pPr>
              <w:adjustRightInd w:val="0"/>
              <w:snapToGrid w:val="0"/>
              <w:jc w:val="center"/>
              <w:rPr>
                <w:rFonts w:hint="eastAsia" w:ascii="宋体" w:hAnsi="宋体" w:eastAsia="宋体" w:cs="宋体"/>
                <w:color w:val="auto"/>
                <w:sz w:val="24"/>
                <w:highlight w:val="none"/>
              </w:rPr>
            </w:pPr>
          </w:p>
        </w:tc>
      </w:tr>
      <w:tr w14:paraId="0F28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A4EEECD">
            <w:pPr>
              <w:adjustRightInd w:val="0"/>
              <w:snapToGrid w:val="0"/>
              <w:jc w:val="center"/>
              <w:rPr>
                <w:rFonts w:hint="eastAsia" w:ascii="宋体" w:hAnsi="宋体" w:eastAsia="宋体" w:cs="宋体"/>
                <w:color w:val="auto"/>
                <w:sz w:val="24"/>
                <w:highlight w:val="none"/>
              </w:rPr>
            </w:pPr>
          </w:p>
        </w:tc>
        <w:tc>
          <w:tcPr>
            <w:tcW w:w="872" w:type="dxa"/>
            <w:vAlign w:val="center"/>
          </w:tcPr>
          <w:p w14:paraId="7CCA0C95">
            <w:pPr>
              <w:adjustRightInd w:val="0"/>
              <w:snapToGrid w:val="0"/>
              <w:jc w:val="center"/>
              <w:rPr>
                <w:rFonts w:hint="eastAsia" w:ascii="宋体" w:hAnsi="宋体" w:eastAsia="宋体" w:cs="宋体"/>
                <w:color w:val="auto"/>
                <w:sz w:val="24"/>
                <w:highlight w:val="none"/>
              </w:rPr>
            </w:pPr>
          </w:p>
        </w:tc>
        <w:tc>
          <w:tcPr>
            <w:tcW w:w="2050" w:type="dxa"/>
            <w:vAlign w:val="center"/>
          </w:tcPr>
          <w:p w14:paraId="23F70387">
            <w:pPr>
              <w:adjustRightInd w:val="0"/>
              <w:snapToGrid w:val="0"/>
              <w:jc w:val="center"/>
              <w:rPr>
                <w:rFonts w:hint="eastAsia" w:ascii="宋体" w:hAnsi="宋体" w:eastAsia="宋体" w:cs="宋体"/>
                <w:color w:val="auto"/>
                <w:sz w:val="24"/>
                <w:highlight w:val="none"/>
              </w:rPr>
            </w:pPr>
          </w:p>
        </w:tc>
        <w:tc>
          <w:tcPr>
            <w:tcW w:w="1050" w:type="dxa"/>
            <w:vAlign w:val="center"/>
          </w:tcPr>
          <w:p w14:paraId="65B0140D">
            <w:pPr>
              <w:adjustRightInd w:val="0"/>
              <w:snapToGrid w:val="0"/>
              <w:jc w:val="center"/>
              <w:rPr>
                <w:rFonts w:hint="eastAsia" w:ascii="宋体" w:hAnsi="宋体" w:eastAsia="宋体" w:cs="宋体"/>
                <w:color w:val="auto"/>
                <w:sz w:val="24"/>
                <w:highlight w:val="none"/>
              </w:rPr>
            </w:pPr>
          </w:p>
        </w:tc>
        <w:tc>
          <w:tcPr>
            <w:tcW w:w="2190" w:type="dxa"/>
            <w:vAlign w:val="center"/>
          </w:tcPr>
          <w:p w14:paraId="4F92510C">
            <w:pPr>
              <w:adjustRightInd w:val="0"/>
              <w:snapToGrid w:val="0"/>
              <w:jc w:val="center"/>
              <w:rPr>
                <w:rFonts w:hint="eastAsia" w:ascii="宋体" w:hAnsi="宋体" w:eastAsia="宋体" w:cs="宋体"/>
                <w:color w:val="auto"/>
                <w:sz w:val="24"/>
                <w:highlight w:val="none"/>
              </w:rPr>
            </w:pPr>
          </w:p>
        </w:tc>
        <w:tc>
          <w:tcPr>
            <w:tcW w:w="1110" w:type="dxa"/>
            <w:vAlign w:val="center"/>
          </w:tcPr>
          <w:p w14:paraId="53C6A31B">
            <w:pPr>
              <w:adjustRightInd w:val="0"/>
              <w:snapToGrid w:val="0"/>
              <w:jc w:val="center"/>
              <w:rPr>
                <w:rFonts w:hint="eastAsia" w:ascii="宋体" w:hAnsi="宋体" w:eastAsia="宋体" w:cs="宋体"/>
                <w:color w:val="auto"/>
                <w:sz w:val="24"/>
                <w:highlight w:val="none"/>
              </w:rPr>
            </w:pPr>
          </w:p>
        </w:tc>
        <w:tc>
          <w:tcPr>
            <w:tcW w:w="1081" w:type="dxa"/>
            <w:vAlign w:val="center"/>
          </w:tcPr>
          <w:p w14:paraId="10385C4B">
            <w:pPr>
              <w:adjustRightInd w:val="0"/>
              <w:snapToGrid w:val="0"/>
              <w:jc w:val="center"/>
              <w:rPr>
                <w:rFonts w:hint="eastAsia" w:ascii="宋体" w:hAnsi="宋体" w:eastAsia="宋体" w:cs="宋体"/>
                <w:color w:val="auto"/>
                <w:sz w:val="24"/>
                <w:highlight w:val="none"/>
              </w:rPr>
            </w:pPr>
          </w:p>
        </w:tc>
      </w:tr>
    </w:tbl>
    <w:p w14:paraId="3A1EC599">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注：1、请投标人在“是否响应”栏内根据响应情况填写“满足、或负偏离、或正偏离”，负偏离或正偏离请在“偏离说明”栏内扼要说明偏离情况。</w:t>
      </w:r>
    </w:p>
    <w:p w14:paraId="745DA7E5">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2、若投标人未提供或未填写本表，均视作完全响应招标文件要求。</w:t>
      </w:r>
    </w:p>
    <w:p w14:paraId="74C0D967">
      <w:pPr>
        <w:pStyle w:val="48"/>
        <w:adjustRightInd w:val="0"/>
        <w:snapToGrid w:val="0"/>
        <w:spacing w:line="360" w:lineRule="auto"/>
        <w:ind w:firstLine="472" w:firstLineChars="200"/>
        <w:rPr>
          <w:rFonts w:hint="eastAsia" w:ascii="宋体" w:hAnsi="宋体" w:eastAsia="宋体" w:cs="宋体"/>
          <w:color w:val="auto"/>
          <w:sz w:val="24"/>
          <w:szCs w:val="24"/>
          <w:highlight w:val="none"/>
        </w:rPr>
      </w:pPr>
    </w:p>
    <w:p w14:paraId="255B8A7F">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7918AF9E">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法定代表人（负责人）或其委托代理人（签字或盖章）：</w:t>
      </w:r>
    </w:p>
    <w:p w14:paraId="51BECDE0">
      <w:pPr>
        <w:pStyle w:val="4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p>
    <w:p w14:paraId="312D3DA9">
      <w:pPr>
        <w:pStyle w:val="48"/>
        <w:adjustRightInd w:val="0"/>
        <w:snapToGrid w:val="0"/>
        <w:spacing w:line="360" w:lineRule="auto"/>
        <w:rPr>
          <w:rFonts w:hint="eastAsia" w:ascii="宋体" w:hAnsi="宋体" w:eastAsia="宋体" w:cs="宋体"/>
          <w:color w:val="auto"/>
          <w:sz w:val="24"/>
          <w:szCs w:val="24"/>
          <w:highlight w:val="none"/>
        </w:rPr>
      </w:pPr>
    </w:p>
    <w:p w14:paraId="779722D4">
      <w:pPr>
        <w:pStyle w:val="48"/>
        <w:adjustRightInd w:val="0"/>
        <w:snapToGrid w:val="0"/>
        <w:spacing w:line="360" w:lineRule="auto"/>
        <w:rPr>
          <w:rFonts w:hint="eastAsia" w:ascii="宋体" w:hAnsi="宋体" w:eastAsia="宋体" w:cs="宋体"/>
          <w:color w:val="auto"/>
          <w:sz w:val="24"/>
          <w:szCs w:val="24"/>
          <w:highlight w:val="none"/>
        </w:rPr>
      </w:pPr>
    </w:p>
    <w:p w14:paraId="18F407E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53" w:name="_Toc2511"/>
    </w:p>
    <w:p w14:paraId="1FF4048B">
      <w:pPr>
        <w:pStyle w:val="4"/>
        <w:jc w:val="center"/>
        <w:outlineLvl w:val="2"/>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rPr>
        <w:t>四、</w:t>
      </w:r>
      <w:r>
        <w:rPr>
          <w:rFonts w:hint="eastAsia" w:ascii="宋体" w:hAnsi="宋体" w:eastAsia="宋体" w:cs="宋体"/>
          <w:bCs w:val="0"/>
          <w:color w:val="auto"/>
          <w:sz w:val="24"/>
          <w:szCs w:val="24"/>
          <w:highlight w:val="none"/>
          <w:lang w:val="zh-CN"/>
        </w:rPr>
        <w:t>投标人认为有必要的其他内容</w:t>
      </w:r>
      <w:bookmarkEnd w:id="153"/>
      <w:r>
        <w:rPr>
          <w:rFonts w:hint="eastAsia" w:cs="宋体"/>
          <w:bCs w:val="0"/>
          <w:color w:val="auto"/>
          <w:sz w:val="24"/>
          <w:szCs w:val="24"/>
          <w:highlight w:val="none"/>
          <w:lang w:val="zh-CN"/>
        </w:rPr>
        <w:t>（</w:t>
      </w:r>
      <w:r>
        <w:rPr>
          <w:rFonts w:hint="eastAsia" w:cs="宋体"/>
          <w:bCs w:val="0"/>
          <w:color w:val="auto"/>
          <w:sz w:val="24"/>
          <w:szCs w:val="24"/>
          <w:highlight w:val="none"/>
          <w:lang w:val="en-US" w:eastAsia="zh-CN"/>
        </w:rPr>
        <w:t>如有</w:t>
      </w:r>
      <w:r>
        <w:rPr>
          <w:rFonts w:hint="eastAsia" w:cs="宋体"/>
          <w:bCs w:val="0"/>
          <w:color w:val="auto"/>
          <w:sz w:val="24"/>
          <w:szCs w:val="24"/>
          <w:highlight w:val="none"/>
          <w:lang w:val="zh-CN"/>
        </w:rPr>
        <w:t>）</w:t>
      </w:r>
    </w:p>
    <w:p w14:paraId="6666146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（包括与评审有关的内容）</w:t>
      </w:r>
    </w:p>
    <w:p w14:paraId="06D12B4F">
      <w:pPr>
        <w:jc w:val="center"/>
        <w:rPr>
          <w:rFonts w:hint="eastAsia" w:ascii="宋体" w:hAnsi="宋体" w:eastAsia="宋体" w:cs="宋体"/>
          <w:color w:val="auto"/>
          <w:sz w:val="24"/>
          <w:highlight w:val="none"/>
        </w:rPr>
      </w:pPr>
    </w:p>
    <w:p w14:paraId="46986601">
      <w:pPr>
        <w:jc w:val="center"/>
        <w:rPr>
          <w:rFonts w:hint="eastAsia" w:ascii="宋体" w:hAnsi="宋体" w:eastAsia="宋体" w:cs="宋体"/>
          <w:color w:val="auto"/>
          <w:sz w:val="24"/>
          <w:highlight w:val="none"/>
        </w:rPr>
      </w:pPr>
    </w:p>
    <w:p w14:paraId="58904A70">
      <w:pPr>
        <w:jc w:val="center"/>
        <w:rPr>
          <w:rFonts w:hint="eastAsia" w:ascii="宋体" w:hAnsi="宋体" w:eastAsia="宋体" w:cs="宋体"/>
          <w:color w:val="auto"/>
          <w:sz w:val="24"/>
          <w:highlight w:val="none"/>
        </w:rPr>
      </w:pPr>
    </w:p>
    <w:p w14:paraId="517AB9B9">
      <w:pPr>
        <w:jc w:val="center"/>
        <w:rPr>
          <w:rFonts w:hint="eastAsia" w:ascii="宋体" w:hAnsi="宋体" w:eastAsia="宋体" w:cs="宋体"/>
          <w:color w:val="auto"/>
          <w:sz w:val="24"/>
          <w:highlight w:val="none"/>
        </w:rPr>
      </w:pPr>
    </w:p>
    <w:p w14:paraId="72B2A5FC">
      <w:pPr>
        <w:jc w:val="center"/>
        <w:rPr>
          <w:rFonts w:hint="eastAsia" w:ascii="宋体" w:hAnsi="宋体" w:eastAsia="宋体" w:cs="宋体"/>
          <w:color w:val="auto"/>
          <w:sz w:val="24"/>
          <w:highlight w:val="none"/>
        </w:rPr>
      </w:pPr>
    </w:p>
    <w:p w14:paraId="37C9D707">
      <w:pPr>
        <w:jc w:val="center"/>
        <w:rPr>
          <w:rFonts w:hint="eastAsia" w:ascii="宋体" w:hAnsi="宋体" w:eastAsia="宋体" w:cs="宋体"/>
          <w:color w:val="auto"/>
          <w:sz w:val="24"/>
          <w:highlight w:val="none"/>
        </w:rPr>
      </w:pPr>
    </w:p>
    <w:p w14:paraId="408D9C36">
      <w:pPr>
        <w:jc w:val="center"/>
        <w:rPr>
          <w:rFonts w:hint="eastAsia" w:ascii="宋体" w:hAnsi="宋体" w:eastAsia="宋体" w:cs="宋体"/>
          <w:color w:val="auto"/>
          <w:sz w:val="24"/>
          <w:highlight w:val="none"/>
        </w:rPr>
      </w:pPr>
    </w:p>
    <w:p w14:paraId="4FF29619">
      <w:pPr>
        <w:jc w:val="center"/>
        <w:rPr>
          <w:rFonts w:hint="eastAsia" w:ascii="宋体" w:hAnsi="宋体" w:eastAsia="宋体" w:cs="宋体"/>
          <w:color w:val="auto"/>
          <w:sz w:val="24"/>
          <w:highlight w:val="none"/>
        </w:rPr>
      </w:pPr>
    </w:p>
    <w:p w14:paraId="4D48CB2F">
      <w:pPr>
        <w:jc w:val="center"/>
        <w:rPr>
          <w:rFonts w:hint="eastAsia" w:ascii="宋体" w:hAnsi="宋体" w:eastAsia="宋体" w:cs="宋体"/>
          <w:color w:val="auto"/>
          <w:sz w:val="24"/>
          <w:highlight w:val="none"/>
        </w:rPr>
      </w:pPr>
    </w:p>
    <w:p w14:paraId="7D8D436B">
      <w:pPr>
        <w:jc w:val="center"/>
        <w:rPr>
          <w:rFonts w:hint="eastAsia" w:ascii="宋体" w:hAnsi="宋体" w:eastAsia="宋体" w:cs="宋体"/>
          <w:color w:val="auto"/>
          <w:sz w:val="24"/>
          <w:highlight w:val="none"/>
        </w:rPr>
      </w:pPr>
    </w:p>
    <w:p w14:paraId="3E9774F5">
      <w:pPr>
        <w:jc w:val="center"/>
        <w:rPr>
          <w:rFonts w:hint="eastAsia" w:ascii="宋体" w:hAnsi="宋体" w:eastAsia="宋体" w:cs="宋体"/>
          <w:color w:val="auto"/>
          <w:sz w:val="24"/>
          <w:highlight w:val="none"/>
        </w:rPr>
      </w:pPr>
    </w:p>
    <w:p w14:paraId="196C6DBE">
      <w:pPr>
        <w:jc w:val="center"/>
        <w:rPr>
          <w:rFonts w:hint="eastAsia" w:ascii="宋体" w:hAnsi="宋体" w:eastAsia="宋体" w:cs="宋体"/>
          <w:color w:val="auto"/>
          <w:sz w:val="24"/>
          <w:highlight w:val="none"/>
        </w:rPr>
      </w:pPr>
    </w:p>
    <w:p w14:paraId="060C3649">
      <w:pPr>
        <w:jc w:val="center"/>
        <w:rPr>
          <w:rFonts w:hint="eastAsia" w:ascii="宋体" w:hAnsi="宋体" w:eastAsia="宋体" w:cs="宋体"/>
          <w:color w:val="auto"/>
          <w:sz w:val="24"/>
          <w:highlight w:val="none"/>
        </w:rPr>
      </w:pPr>
    </w:p>
    <w:p w14:paraId="2930048D">
      <w:pPr>
        <w:jc w:val="center"/>
        <w:rPr>
          <w:rFonts w:hint="eastAsia" w:ascii="宋体" w:hAnsi="宋体" w:eastAsia="宋体" w:cs="宋体"/>
          <w:color w:val="auto"/>
          <w:sz w:val="24"/>
          <w:highlight w:val="none"/>
        </w:rPr>
      </w:pPr>
    </w:p>
    <w:p w14:paraId="74AD1257">
      <w:pPr>
        <w:jc w:val="center"/>
        <w:rPr>
          <w:rFonts w:hint="eastAsia" w:ascii="宋体" w:hAnsi="宋体" w:eastAsia="宋体" w:cs="宋体"/>
          <w:color w:val="auto"/>
          <w:sz w:val="24"/>
          <w:highlight w:val="none"/>
        </w:rPr>
      </w:pPr>
    </w:p>
    <w:p w14:paraId="68827F9C">
      <w:pPr>
        <w:jc w:val="center"/>
        <w:rPr>
          <w:rFonts w:hint="eastAsia" w:ascii="宋体" w:hAnsi="宋体" w:eastAsia="宋体" w:cs="宋体"/>
          <w:color w:val="auto"/>
          <w:sz w:val="24"/>
          <w:highlight w:val="none"/>
        </w:rPr>
      </w:pPr>
    </w:p>
    <w:p w14:paraId="52E67EA5">
      <w:pPr>
        <w:jc w:val="center"/>
        <w:rPr>
          <w:rFonts w:hint="eastAsia" w:ascii="宋体" w:hAnsi="宋体" w:eastAsia="宋体" w:cs="宋体"/>
          <w:color w:val="auto"/>
          <w:sz w:val="24"/>
          <w:highlight w:val="none"/>
        </w:rPr>
      </w:pPr>
    </w:p>
    <w:p w14:paraId="23B77A4E">
      <w:pPr>
        <w:jc w:val="center"/>
        <w:rPr>
          <w:rFonts w:hint="eastAsia" w:ascii="宋体" w:hAnsi="宋体" w:eastAsia="宋体" w:cs="宋体"/>
          <w:color w:val="auto"/>
          <w:sz w:val="24"/>
          <w:highlight w:val="none"/>
        </w:rPr>
      </w:pPr>
    </w:p>
    <w:p w14:paraId="2825E310">
      <w:pPr>
        <w:jc w:val="center"/>
        <w:rPr>
          <w:rFonts w:hint="eastAsia" w:ascii="宋体" w:hAnsi="宋体" w:eastAsia="宋体" w:cs="宋体"/>
          <w:color w:val="auto"/>
          <w:sz w:val="24"/>
          <w:highlight w:val="none"/>
        </w:rPr>
      </w:pPr>
    </w:p>
    <w:p w14:paraId="3F7237D3">
      <w:pPr>
        <w:jc w:val="center"/>
        <w:rPr>
          <w:rFonts w:hint="eastAsia" w:ascii="宋体" w:hAnsi="宋体" w:eastAsia="宋体" w:cs="宋体"/>
          <w:color w:val="auto"/>
          <w:sz w:val="24"/>
          <w:highlight w:val="none"/>
        </w:rPr>
      </w:pPr>
    </w:p>
    <w:bookmarkEnd w:id="145"/>
    <w:p w14:paraId="4E10FCE5">
      <w:pPr>
        <w:pStyle w:val="2"/>
        <w:widowControl/>
        <w:adjustRightInd w:val="0"/>
        <w:snapToGrid w:val="0"/>
        <w:spacing w:before="0" w:after="0" w:line="360" w:lineRule="auto"/>
        <w:rPr>
          <w:rFonts w:hint="eastAsia" w:ascii="宋体" w:hAnsi="宋体" w:eastAsia="宋体" w:cs="宋体"/>
          <w:b/>
          <w:bCs w:val="0"/>
          <w:color w:val="auto"/>
          <w:sz w:val="32"/>
          <w:szCs w:val="32"/>
          <w:highlight w:val="none"/>
        </w:rPr>
      </w:pPr>
      <w:bookmarkStart w:id="154" w:name="_Toc14379"/>
      <w:bookmarkStart w:id="155" w:name="_Toc1923"/>
      <w:r>
        <w:rPr>
          <w:rFonts w:hint="eastAsia" w:ascii="宋体" w:hAnsi="宋体" w:eastAsia="宋体" w:cs="宋体"/>
          <w:b/>
          <w:bCs w:val="0"/>
          <w:color w:val="auto"/>
          <w:sz w:val="32"/>
          <w:szCs w:val="32"/>
          <w:highlight w:val="none"/>
        </w:rPr>
        <w:t>第六章  合同条款及格式（仅供参考，以实际签订为准）</w:t>
      </w:r>
      <w:bookmarkEnd w:id="154"/>
    </w:p>
    <w:bookmarkEnd w:id="0"/>
    <w:bookmarkEnd w:id="155"/>
    <w:p w14:paraId="6150E33F">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LJGS-2024-          </w:t>
      </w:r>
    </w:p>
    <w:p w14:paraId="44301297">
      <w:pPr>
        <w:spacing w:line="480" w:lineRule="auto"/>
        <w:rPr>
          <w:rFonts w:hint="eastAsia" w:ascii="宋体" w:hAnsi="宋体" w:eastAsia="宋体" w:cs="宋体"/>
          <w:b/>
          <w:color w:val="auto"/>
          <w:sz w:val="24"/>
          <w:highlight w:val="none"/>
        </w:rPr>
      </w:pPr>
    </w:p>
    <w:p w14:paraId="48FAFCFB">
      <w:pPr>
        <w:outlineLvl w:val="9"/>
        <w:rPr>
          <w:rFonts w:hint="eastAsia" w:ascii="宋体" w:hAnsi="宋体" w:eastAsia="宋体" w:cs="宋体"/>
          <w:color w:val="auto"/>
          <w:sz w:val="24"/>
          <w:highlight w:val="none"/>
        </w:rPr>
      </w:pPr>
    </w:p>
    <w:p w14:paraId="52E9AD7B">
      <w:pPr>
        <w:rPr>
          <w:rFonts w:hint="eastAsia" w:ascii="宋体" w:hAnsi="宋体" w:eastAsia="宋体" w:cs="宋体"/>
          <w:color w:val="auto"/>
          <w:highlight w:val="none"/>
        </w:rPr>
      </w:pPr>
    </w:p>
    <w:p w14:paraId="48610058">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货物类采购合同</w:t>
      </w:r>
    </w:p>
    <w:p w14:paraId="6084468C">
      <w:pPr>
        <w:pStyle w:val="51"/>
        <w:ind w:left="632" w:firstLine="472"/>
        <w:rPr>
          <w:rFonts w:hint="eastAsia" w:ascii="宋体" w:hAnsi="宋体" w:eastAsia="宋体" w:cs="宋体"/>
          <w:color w:val="auto"/>
          <w:szCs w:val="24"/>
          <w:highlight w:val="none"/>
        </w:rPr>
      </w:pPr>
    </w:p>
    <w:p w14:paraId="0A7E91DB">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2024年-2026年临江公司水泥采购项目</w:t>
      </w:r>
      <w:r>
        <w:rPr>
          <w:rFonts w:hint="eastAsia" w:ascii="宋体" w:hAnsi="宋体" w:eastAsia="宋体" w:cs="宋体"/>
          <w:color w:val="auto"/>
          <w:sz w:val="24"/>
          <w:highlight w:val="none"/>
          <w:u w:val="single"/>
        </w:rPr>
        <w:t xml:space="preserve">      </w:t>
      </w:r>
    </w:p>
    <w:p w14:paraId="62C74EEF">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rPr>
        <w:t xml:space="preserve">         杭州临江环境能源有限公司         </w:t>
      </w:r>
    </w:p>
    <w:p w14:paraId="74EED691">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乙    方：</w:t>
      </w:r>
      <w:r>
        <w:rPr>
          <w:rFonts w:hint="eastAsia" w:ascii="宋体" w:hAnsi="宋体" w:eastAsia="宋体" w:cs="宋体"/>
          <w:color w:val="auto"/>
          <w:sz w:val="24"/>
          <w:highlight w:val="none"/>
          <w:u w:val="single"/>
        </w:rPr>
        <w:t xml:space="preserve">                                          </w:t>
      </w:r>
    </w:p>
    <w:p w14:paraId="1C554920">
      <w:pPr>
        <w:spacing w:before="120" w:line="22" w:lineRule="atLeast"/>
        <w:ind w:firstLine="944"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签 订 地：</w:t>
      </w:r>
      <w:r>
        <w:rPr>
          <w:rFonts w:hint="eastAsia" w:ascii="宋体" w:hAnsi="宋体" w:eastAsia="宋体" w:cs="宋体"/>
          <w:color w:val="auto"/>
          <w:sz w:val="24"/>
          <w:highlight w:val="none"/>
          <w:u w:val="single"/>
        </w:rPr>
        <w:t xml:space="preserve">           浙江省杭州市钱塘区             </w:t>
      </w:r>
    </w:p>
    <w:p w14:paraId="28C6EC6B">
      <w:pPr>
        <w:spacing w:before="120" w:line="22" w:lineRule="atLeast"/>
        <w:ind w:firstLine="944"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6999C9C">
      <w:pPr>
        <w:pStyle w:val="51"/>
        <w:ind w:left="0" w:leftChars="0" w:firstLine="0" w:firstLineChars="0"/>
        <w:rPr>
          <w:rFonts w:hint="eastAsia" w:ascii="宋体" w:hAnsi="宋体" w:eastAsia="宋体" w:cs="宋体"/>
          <w:b/>
          <w:color w:val="auto"/>
          <w:szCs w:val="24"/>
          <w:highlight w:val="none"/>
        </w:rPr>
      </w:pPr>
    </w:p>
    <w:p w14:paraId="04C43CAE">
      <w:pPr>
        <w:pStyle w:val="9"/>
        <w:rPr>
          <w:rFonts w:hint="eastAsia" w:ascii="宋体" w:hAnsi="宋体" w:eastAsia="宋体" w:cs="宋体"/>
          <w:b/>
          <w:color w:val="auto"/>
          <w:szCs w:val="24"/>
          <w:highlight w:val="none"/>
        </w:rPr>
      </w:pPr>
    </w:p>
    <w:p w14:paraId="25753012">
      <w:pPr>
        <w:pStyle w:val="9"/>
        <w:rPr>
          <w:rFonts w:hint="eastAsia" w:ascii="宋体" w:hAnsi="宋体" w:eastAsia="宋体" w:cs="宋体"/>
          <w:b/>
          <w:color w:val="auto"/>
          <w:szCs w:val="24"/>
          <w:highlight w:val="none"/>
        </w:rPr>
      </w:pPr>
    </w:p>
    <w:p w14:paraId="61CB335F">
      <w:pPr>
        <w:pStyle w:val="9"/>
        <w:rPr>
          <w:rFonts w:hint="eastAsia" w:ascii="宋体" w:hAnsi="宋体" w:eastAsia="宋体" w:cs="宋体"/>
          <w:b/>
          <w:color w:val="auto"/>
          <w:szCs w:val="24"/>
          <w:highlight w:val="none"/>
        </w:rPr>
      </w:pPr>
    </w:p>
    <w:p w14:paraId="1881F906">
      <w:pPr>
        <w:pStyle w:val="9"/>
        <w:rPr>
          <w:rFonts w:hint="eastAsia" w:ascii="宋体" w:hAnsi="宋体" w:eastAsia="宋体" w:cs="宋体"/>
          <w:b/>
          <w:color w:val="auto"/>
          <w:szCs w:val="24"/>
          <w:highlight w:val="none"/>
        </w:rPr>
      </w:pPr>
    </w:p>
    <w:p w14:paraId="143F99A6">
      <w:pPr>
        <w:pStyle w:val="8"/>
        <w:adjustRightInd w:val="0"/>
        <w:snapToGrid w:val="0"/>
        <w:spacing w:line="360" w:lineRule="auto"/>
        <w:ind w:firstLine="207"/>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目录</w:t>
      </w:r>
    </w:p>
    <w:p w14:paraId="108B3827">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第一章 合同书  ……………………………………………………………（页码）</w:t>
      </w:r>
    </w:p>
    <w:p w14:paraId="67EB5C55">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第二章 合同一般条款………………………………………………………（页码）</w:t>
      </w:r>
    </w:p>
    <w:p w14:paraId="2BB12776">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第三章 </w:t>
      </w:r>
      <w:r>
        <w:rPr>
          <w:rFonts w:hint="eastAsia" w:ascii="宋体" w:hAnsi="宋体" w:eastAsia="宋体" w:cs="宋体"/>
          <w:color w:val="auto"/>
          <w:highlight w:val="none"/>
          <w:lang w:val="en-US" w:eastAsia="zh-CN"/>
        </w:rPr>
        <w:t>安全</w:t>
      </w:r>
      <w:r>
        <w:rPr>
          <w:rFonts w:hint="eastAsia" w:ascii="宋体" w:hAnsi="宋体" w:eastAsia="宋体" w:cs="宋体"/>
          <w:color w:val="auto"/>
          <w:highlight w:val="none"/>
        </w:rPr>
        <w:t>协议……………………………………………………………（页码）</w:t>
      </w:r>
    </w:p>
    <w:p w14:paraId="12911861">
      <w:pPr>
        <w:pStyle w:val="9"/>
        <w:snapToGrid w:val="0"/>
        <w:ind w:firstLine="236" w:firstLineChars="10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章 廉洁协议……………………………………………………………（页码）</w:t>
      </w:r>
    </w:p>
    <w:p w14:paraId="5000D3E8">
      <w:pPr>
        <w:pStyle w:val="9"/>
        <w:snapToGrid w:val="0"/>
        <w:ind w:firstLine="236" w:firstLineChars="100"/>
        <w:rPr>
          <w:rFonts w:hint="eastAsia" w:ascii="宋体" w:hAnsi="宋体" w:eastAsia="宋体" w:cs="宋体"/>
          <w:color w:val="auto"/>
          <w:highlight w:val="none"/>
        </w:rPr>
      </w:pPr>
    </w:p>
    <w:p w14:paraId="2AB9BE0B">
      <w:pPr>
        <w:pStyle w:val="51"/>
        <w:ind w:left="632" w:firstLine="472"/>
        <w:rPr>
          <w:rFonts w:hint="eastAsia" w:ascii="宋体" w:hAnsi="宋体" w:eastAsia="宋体" w:cs="宋体"/>
          <w:color w:val="auto"/>
          <w:szCs w:val="24"/>
          <w:highlight w:val="none"/>
        </w:rPr>
      </w:pPr>
    </w:p>
    <w:p w14:paraId="4C8B4C7F">
      <w:pPr>
        <w:pStyle w:val="9"/>
        <w:snapToGrid w:val="0"/>
        <w:spacing w:line="240" w:lineRule="auto"/>
        <w:rPr>
          <w:rFonts w:hint="eastAsia" w:ascii="宋体" w:hAnsi="宋体" w:eastAsia="宋体" w:cs="宋体"/>
          <w:color w:val="auto"/>
          <w:highlight w:val="none"/>
        </w:rPr>
      </w:pPr>
    </w:p>
    <w:p w14:paraId="6953C4B3">
      <w:pPr>
        <w:pStyle w:val="9"/>
        <w:snapToGrid w:val="0"/>
        <w:spacing w:line="240" w:lineRule="auto"/>
        <w:rPr>
          <w:rFonts w:hint="eastAsia" w:ascii="宋体" w:hAnsi="宋体" w:eastAsia="宋体" w:cs="宋体"/>
          <w:color w:val="auto"/>
          <w:highlight w:val="none"/>
        </w:rPr>
      </w:pPr>
    </w:p>
    <w:p w14:paraId="2E3C675A">
      <w:pPr>
        <w:pStyle w:val="9"/>
        <w:snapToGrid w:val="0"/>
        <w:spacing w:line="240" w:lineRule="auto"/>
        <w:rPr>
          <w:rFonts w:hint="eastAsia" w:ascii="宋体" w:hAnsi="宋体" w:eastAsia="宋体" w:cs="宋体"/>
          <w:color w:val="auto"/>
          <w:highlight w:val="none"/>
        </w:rPr>
      </w:pPr>
    </w:p>
    <w:p w14:paraId="6C5CD35F">
      <w:pPr>
        <w:pStyle w:val="9"/>
        <w:snapToGrid w:val="0"/>
        <w:spacing w:line="240" w:lineRule="auto"/>
        <w:rPr>
          <w:rFonts w:hint="eastAsia" w:ascii="宋体" w:hAnsi="宋体" w:eastAsia="宋体" w:cs="宋体"/>
          <w:color w:val="auto"/>
          <w:highlight w:val="none"/>
        </w:rPr>
      </w:pPr>
    </w:p>
    <w:p w14:paraId="22DFF826">
      <w:pPr>
        <w:pStyle w:val="9"/>
        <w:snapToGrid w:val="0"/>
        <w:spacing w:line="240" w:lineRule="auto"/>
        <w:rPr>
          <w:rFonts w:hint="eastAsia" w:ascii="宋体" w:hAnsi="宋体" w:eastAsia="宋体" w:cs="宋体"/>
          <w:color w:val="auto"/>
          <w:highlight w:val="none"/>
        </w:rPr>
      </w:pPr>
    </w:p>
    <w:p w14:paraId="68E5D602">
      <w:pPr>
        <w:pStyle w:val="9"/>
        <w:snapToGrid w:val="0"/>
        <w:spacing w:line="240" w:lineRule="auto"/>
        <w:rPr>
          <w:rFonts w:hint="eastAsia" w:ascii="宋体" w:hAnsi="宋体" w:eastAsia="宋体" w:cs="宋体"/>
          <w:color w:val="auto"/>
          <w:highlight w:val="none"/>
        </w:rPr>
      </w:pPr>
    </w:p>
    <w:p w14:paraId="2319E103">
      <w:pPr>
        <w:pStyle w:val="9"/>
        <w:snapToGrid w:val="0"/>
        <w:spacing w:line="240" w:lineRule="auto"/>
        <w:rPr>
          <w:rFonts w:hint="eastAsia" w:ascii="宋体" w:hAnsi="宋体" w:eastAsia="宋体" w:cs="宋体"/>
          <w:color w:val="auto"/>
          <w:highlight w:val="none"/>
        </w:rPr>
      </w:pPr>
    </w:p>
    <w:p w14:paraId="7BCB8E3A">
      <w:pPr>
        <w:pStyle w:val="9"/>
        <w:snapToGrid w:val="0"/>
        <w:spacing w:line="240" w:lineRule="auto"/>
        <w:rPr>
          <w:rFonts w:hint="eastAsia" w:ascii="宋体" w:hAnsi="宋体" w:eastAsia="宋体" w:cs="宋体"/>
          <w:color w:val="auto"/>
          <w:highlight w:val="none"/>
        </w:rPr>
      </w:pPr>
    </w:p>
    <w:p w14:paraId="1C4D4609">
      <w:pPr>
        <w:pStyle w:val="9"/>
        <w:snapToGrid w:val="0"/>
        <w:spacing w:line="240" w:lineRule="auto"/>
        <w:rPr>
          <w:rFonts w:hint="eastAsia" w:ascii="宋体" w:hAnsi="宋体" w:eastAsia="宋体" w:cs="宋体"/>
          <w:color w:val="auto"/>
          <w:highlight w:val="none"/>
        </w:rPr>
      </w:pPr>
    </w:p>
    <w:p w14:paraId="1923C81E">
      <w:pPr>
        <w:pStyle w:val="9"/>
        <w:snapToGrid w:val="0"/>
        <w:spacing w:line="240" w:lineRule="auto"/>
        <w:rPr>
          <w:rFonts w:hint="eastAsia" w:ascii="宋体" w:hAnsi="宋体" w:eastAsia="宋体" w:cs="宋体"/>
          <w:color w:val="auto"/>
          <w:highlight w:val="none"/>
        </w:rPr>
      </w:pPr>
    </w:p>
    <w:p w14:paraId="0A166320">
      <w:pPr>
        <w:pStyle w:val="9"/>
        <w:snapToGrid w:val="0"/>
        <w:spacing w:line="240" w:lineRule="auto"/>
        <w:rPr>
          <w:rFonts w:hint="eastAsia" w:ascii="宋体" w:hAnsi="宋体" w:eastAsia="宋体" w:cs="宋体"/>
          <w:color w:val="auto"/>
          <w:highlight w:val="none"/>
        </w:rPr>
      </w:pPr>
    </w:p>
    <w:p w14:paraId="7D29B170">
      <w:pPr>
        <w:pStyle w:val="9"/>
        <w:snapToGrid w:val="0"/>
        <w:spacing w:line="240" w:lineRule="auto"/>
        <w:rPr>
          <w:rFonts w:hint="eastAsia" w:ascii="宋体" w:hAnsi="宋体" w:eastAsia="宋体" w:cs="宋体"/>
          <w:color w:val="auto"/>
          <w:highlight w:val="none"/>
        </w:rPr>
      </w:pPr>
    </w:p>
    <w:p w14:paraId="05CA4DFE">
      <w:pPr>
        <w:pStyle w:val="9"/>
        <w:snapToGrid w:val="0"/>
        <w:spacing w:line="240" w:lineRule="auto"/>
        <w:rPr>
          <w:rFonts w:hint="eastAsia" w:ascii="宋体" w:hAnsi="宋体" w:eastAsia="宋体" w:cs="宋体"/>
          <w:color w:val="auto"/>
          <w:highlight w:val="none"/>
        </w:rPr>
      </w:pPr>
    </w:p>
    <w:p w14:paraId="43ED4532">
      <w:pPr>
        <w:pStyle w:val="9"/>
        <w:snapToGrid w:val="0"/>
        <w:spacing w:line="240" w:lineRule="auto"/>
        <w:rPr>
          <w:rFonts w:hint="eastAsia" w:ascii="宋体" w:hAnsi="宋体" w:eastAsia="宋体" w:cs="宋体"/>
          <w:color w:val="auto"/>
          <w:highlight w:val="none"/>
        </w:rPr>
      </w:pPr>
    </w:p>
    <w:p w14:paraId="26BC1066">
      <w:pPr>
        <w:pStyle w:val="9"/>
        <w:snapToGrid w:val="0"/>
        <w:spacing w:line="240" w:lineRule="auto"/>
        <w:rPr>
          <w:rFonts w:hint="eastAsia" w:ascii="宋体" w:hAnsi="宋体" w:eastAsia="宋体" w:cs="宋体"/>
          <w:color w:val="auto"/>
          <w:highlight w:val="none"/>
        </w:rPr>
      </w:pPr>
    </w:p>
    <w:p w14:paraId="064D8E17">
      <w:pPr>
        <w:pStyle w:val="9"/>
        <w:snapToGrid w:val="0"/>
        <w:spacing w:line="240" w:lineRule="auto"/>
        <w:rPr>
          <w:rFonts w:hint="eastAsia" w:ascii="宋体" w:hAnsi="宋体" w:eastAsia="宋体" w:cs="宋体"/>
          <w:color w:val="auto"/>
          <w:highlight w:val="none"/>
        </w:rPr>
      </w:pPr>
    </w:p>
    <w:p w14:paraId="610B8883">
      <w:pPr>
        <w:pStyle w:val="9"/>
        <w:snapToGrid w:val="0"/>
        <w:spacing w:line="240" w:lineRule="auto"/>
        <w:rPr>
          <w:rFonts w:hint="eastAsia" w:ascii="宋体" w:hAnsi="宋体" w:eastAsia="宋体" w:cs="宋体"/>
          <w:color w:val="auto"/>
          <w:highlight w:val="none"/>
        </w:rPr>
      </w:pPr>
    </w:p>
    <w:p w14:paraId="0CFA9931">
      <w:pPr>
        <w:pStyle w:val="9"/>
        <w:snapToGrid w:val="0"/>
        <w:spacing w:line="240" w:lineRule="auto"/>
        <w:rPr>
          <w:rFonts w:hint="eastAsia" w:ascii="宋体" w:hAnsi="宋体" w:eastAsia="宋体" w:cs="宋体"/>
          <w:color w:val="auto"/>
          <w:highlight w:val="none"/>
        </w:rPr>
      </w:pPr>
    </w:p>
    <w:p w14:paraId="60D0D6F9">
      <w:pPr>
        <w:pStyle w:val="9"/>
        <w:snapToGrid w:val="0"/>
        <w:spacing w:line="240" w:lineRule="auto"/>
        <w:rPr>
          <w:rFonts w:hint="eastAsia" w:ascii="宋体" w:hAnsi="宋体" w:eastAsia="宋体" w:cs="宋体"/>
          <w:color w:val="auto"/>
          <w:highlight w:val="none"/>
        </w:rPr>
      </w:pPr>
    </w:p>
    <w:p w14:paraId="25DA6F30">
      <w:pPr>
        <w:pStyle w:val="9"/>
        <w:snapToGrid w:val="0"/>
        <w:spacing w:line="240" w:lineRule="auto"/>
        <w:rPr>
          <w:rFonts w:hint="eastAsia" w:ascii="宋体" w:hAnsi="宋体" w:eastAsia="宋体" w:cs="宋体"/>
          <w:color w:val="auto"/>
          <w:highlight w:val="none"/>
        </w:rPr>
      </w:pPr>
    </w:p>
    <w:p w14:paraId="5FE6CF8D">
      <w:pPr>
        <w:pStyle w:val="51"/>
        <w:spacing w:line="240" w:lineRule="auto"/>
        <w:ind w:left="0" w:leftChars="0" w:firstLine="0" w:firstLineChars="0"/>
        <w:rPr>
          <w:rFonts w:hint="eastAsia" w:ascii="宋体" w:hAnsi="宋体" w:eastAsia="宋体" w:cs="宋体"/>
          <w:color w:val="auto"/>
          <w:szCs w:val="24"/>
          <w:highlight w:val="none"/>
        </w:rPr>
      </w:pPr>
    </w:p>
    <w:p w14:paraId="45D51B1E">
      <w:pPr>
        <w:pStyle w:val="51"/>
        <w:spacing w:line="240" w:lineRule="auto"/>
        <w:ind w:left="0" w:leftChars="0" w:firstLine="0" w:firstLineChars="0"/>
        <w:jc w:val="center"/>
        <w:rPr>
          <w:rFonts w:hint="eastAsia" w:ascii="宋体" w:hAnsi="宋体" w:eastAsia="宋体" w:cs="宋体"/>
          <w:b/>
          <w:color w:val="auto"/>
          <w:szCs w:val="24"/>
          <w:highlight w:val="none"/>
        </w:rPr>
      </w:pPr>
    </w:p>
    <w:p w14:paraId="615ED9E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FA46F67">
      <w:pPr>
        <w:adjustRightInd w:val="0"/>
        <w:snapToGrid w:val="0"/>
        <w:jc w:val="center"/>
        <w:outlineLvl w:val="1"/>
        <w:rPr>
          <w:rFonts w:hint="eastAsia" w:ascii="宋体" w:hAnsi="宋体" w:eastAsia="宋体" w:cs="宋体"/>
          <w:b/>
          <w:color w:val="auto"/>
          <w:sz w:val="24"/>
          <w:highlight w:val="none"/>
        </w:rPr>
      </w:pPr>
      <w:bookmarkStart w:id="156" w:name="_Toc16392"/>
      <w:r>
        <w:rPr>
          <w:rFonts w:hint="eastAsia" w:ascii="宋体" w:hAnsi="宋体" w:eastAsia="宋体" w:cs="宋体"/>
          <w:b/>
          <w:color w:val="auto"/>
          <w:sz w:val="24"/>
          <w:highlight w:val="none"/>
        </w:rPr>
        <w:t>第一章 合同书</w:t>
      </w:r>
      <w:bookmarkEnd w:id="156"/>
    </w:p>
    <w:p w14:paraId="7C310A3D">
      <w:pPr>
        <w:adjustRightInd w:val="0"/>
        <w:snapToGrid w:val="0"/>
        <w:spacing w:line="360" w:lineRule="auto"/>
        <w:ind w:firstLine="412" w:firstLineChars="200"/>
        <w:rPr>
          <w:rFonts w:hint="eastAsia" w:ascii="宋体" w:hAnsi="宋体" w:eastAsia="宋体" w:cs="宋体"/>
          <w:color w:val="auto"/>
          <w:sz w:val="21"/>
          <w:szCs w:val="21"/>
          <w:highlight w:val="none"/>
          <w:u w:val="single"/>
          <w:lang w:val="zh-CN"/>
        </w:rPr>
      </w:pPr>
    </w:p>
    <w:p w14:paraId="0F7A2C7C">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公开招标 </w:t>
      </w:r>
      <w:r>
        <w:rPr>
          <w:rFonts w:hint="eastAsia" w:ascii="宋体" w:hAnsi="宋体" w:eastAsia="宋体" w:cs="宋体"/>
          <w:color w:val="auto"/>
          <w:sz w:val="21"/>
          <w:szCs w:val="21"/>
          <w:highlight w:val="none"/>
        </w:rPr>
        <w:t>形式对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2024年-2026年临江公司水泥采购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项目进行了采购。经</w:t>
      </w:r>
      <w:r>
        <w:rPr>
          <w:rFonts w:hint="eastAsia" w:ascii="宋体" w:hAnsi="宋体" w:eastAsia="宋体" w:cs="宋体"/>
          <w:color w:val="auto"/>
          <w:sz w:val="21"/>
          <w:szCs w:val="21"/>
          <w:highlight w:val="none"/>
          <w:u w:val="single"/>
        </w:rPr>
        <w:t xml:space="preserve">   评标小组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（中标投标人名称）</w:t>
      </w:r>
      <w:r>
        <w:rPr>
          <w:rFonts w:hint="eastAsia" w:ascii="宋体" w:hAnsi="宋体" w:eastAsia="宋体" w:cs="宋体"/>
          <w:color w:val="auto"/>
          <w:sz w:val="21"/>
          <w:szCs w:val="21"/>
          <w:highlight w:val="none"/>
        </w:rPr>
        <w:t>为该项目中标投标人。现于中标通知书发出之日起30个工作日内，按照采购文件等确定的事项签订本合同。</w:t>
      </w:r>
    </w:p>
    <w:p w14:paraId="4A12B194">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z w:val="21"/>
          <w:szCs w:val="21"/>
          <w:highlight w:val="none"/>
          <w:u w:val="single"/>
        </w:rPr>
        <w:t xml:space="preserve">   杭州临江环境能源有限公司   （</w:t>
      </w:r>
      <w:r>
        <w:rPr>
          <w:rFonts w:hint="eastAsia" w:ascii="宋体" w:hAnsi="宋体" w:eastAsia="宋体" w:cs="宋体"/>
          <w:color w:val="auto"/>
          <w:sz w:val="21"/>
          <w:szCs w:val="21"/>
          <w:highlight w:val="none"/>
          <w:lang w:val="zh-CN"/>
        </w:rPr>
        <w:t>以下简称：甲方）和</w:t>
      </w:r>
      <w:r>
        <w:rPr>
          <w:rFonts w:hint="eastAsia" w:ascii="宋体" w:hAnsi="宋体" w:eastAsia="宋体" w:cs="宋体"/>
          <w:color w:val="auto"/>
          <w:sz w:val="21"/>
          <w:szCs w:val="21"/>
          <w:highlight w:val="none"/>
          <w:u w:val="single"/>
        </w:rPr>
        <w:t xml:space="preserve">   （中标投标人名称）   （</w:t>
      </w:r>
      <w:r>
        <w:rPr>
          <w:rFonts w:hint="eastAsia" w:ascii="宋体" w:hAnsi="宋体" w:eastAsia="宋体" w:cs="宋体"/>
          <w:color w:val="auto"/>
          <w:sz w:val="21"/>
          <w:szCs w:val="21"/>
          <w:highlight w:val="none"/>
          <w:lang w:val="zh-CN"/>
        </w:rPr>
        <w:t>以下简称：乙方）协商一致，约定以下合同</w:t>
      </w:r>
      <w:r>
        <w:rPr>
          <w:rFonts w:hint="eastAsia" w:ascii="宋体" w:hAnsi="宋体" w:eastAsia="宋体" w:cs="宋体"/>
          <w:color w:val="auto"/>
          <w:sz w:val="21"/>
          <w:szCs w:val="21"/>
          <w:highlight w:val="none"/>
        </w:rPr>
        <w:t>条款，以兹共同遵守、全面履行。</w:t>
      </w:r>
    </w:p>
    <w:p w14:paraId="2F67AED7">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57" w:name="_Toc3029"/>
      <w:bookmarkStart w:id="158" w:name="_Toc24059"/>
      <w:bookmarkStart w:id="159" w:name="_Toc2232"/>
      <w:r>
        <w:rPr>
          <w:rFonts w:hint="eastAsia" w:ascii="宋体" w:hAnsi="宋体" w:eastAsia="宋体" w:cs="宋体"/>
          <w:b/>
          <w:color w:val="auto"/>
          <w:sz w:val="21"/>
          <w:szCs w:val="21"/>
          <w:highlight w:val="none"/>
        </w:rPr>
        <w:t>一、合同组成部分</w:t>
      </w:r>
      <w:bookmarkEnd w:id="157"/>
      <w:bookmarkEnd w:id="158"/>
      <w:bookmarkEnd w:id="159"/>
    </w:p>
    <w:p w14:paraId="754D9184">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C43299">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本合同及其补充合同、变更协议；</w:t>
      </w:r>
    </w:p>
    <w:p w14:paraId="4B2C8D6B">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2.中标或者成交通知书；</w:t>
      </w:r>
    </w:p>
    <w:p w14:paraId="1CC4E6CE">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3.投标或者响应文件（含澄清或者说明文件）；</w:t>
      </w:r>
    </w:p>
    <w:p w14:paraId="7983E812">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4.采购文件（含澄清或者修改文件）；</w:t>
      </w:r>
    </w:p>
    <w:p w14:paraId="57813C17">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其他相关采购文件。</w:t>
      </w:r>
    </w:p>
    <w:p w14:paraId="4E75D23A">
      <w:pPr>
        <w:adjustRightInd w:val="0"/>
        <w:snapToGrid w:val="0"/>
        <w:spacing w:line="360" w:lineRule="auto"/>
        <w:ind w:firstLine="412" w:firstLineChars="200"/>
        <w:rPr>
          <w:rFonts w:hAnsi="宋体" w:cs="宋体"/>
          <w:b/>
          <w:sz w:val="24"/>
          <w:highlight w:val="none"/>
        </w:rPr>
      </w:pPr>
      <w:bookmarkStart w:id="160" w:name="_Toc27126"/>
      <w:bookmarkStart w:id="161" w:name="_Toc24300"/>
      <w:bookmarkStart w:id="162" w:name="_Toc21295"/>
      <w:r>
        <w:rPr>
          <w:rFonts w:hint="eastAsia" w:ascii="宋体" w:hAnsi="宋体" w:eastAsia="宋体" w:cs="宋体"/>
          <w:b/>
          <w:color w:val="auto"/>
          <w:sz w:val="21"/>
          <w:szCs w:val="21"/>
          <w:highlight w:val="none"/>
        </w:rPr>
        <w:t xml:space="preserve">二、 </w:t>
      </w:r>
      <w:bookmarkEnd w:id="160"/>
      <w:bookmarkEnd w:id="161"/>
      <w:bookmarkEnd w:id="162"/>
      <w:r>
        <w:rPr>
          <w:rFonts w:hint="eastAsia" w:ascii="宋体" w:hAnsi="宋体" w:eastAsia="宋体" w:cs="宋体"/>
          <w:b/>
          <w:color w:val="auto"/>
          <w:sz w:val="21"/>
          <w:szCs w:val="21"/>
          <w:highlight w:val="none"/>
        </w:rPr>
        <w:t>合同标的及价款</w:t>
      </w:r>
      <w:bookmarkStart w:id="163" w:name="_Toc1814"/>
      <w:bookmarkStart w:id="164" w:name="_Toc22618"/>
      <w:bookmarkStart w:id="165" w:name="_Toc10340"/>
    </w:p>
    <w:p w14:paraId="10D258D3">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1.本合同总价（含税）为：￥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元人民币），税率为 </w:t>
      </w:r>
      <w:r>
        <w:rPr>
          <w:rFonts w:hint="eastAsia" w:ascii="宋体" w:hAnsi="宋体" w:eastAsia="宋体" w:cs="宋体"/>
          <w:color w:val="auto"/>
          <w:sz w:val="21"/>
          <w:szCs w:val="21"/>
          <w:highlight w:val="none"/>
          <w:u w:val="single"/>
        </w:rPr>
        <w:t xml:space="preserve">13/9/6/3/1 </w:t>
      </w:r>
      <w:r>
        <w:rPr>
          <w:rFonts w:hint="eastAsia" w:ascii="宋体" w:hAnsi="宋体" w:eastAsia="宋体" w:cs="宋体"/>
          <w:color w:val="auto"/>
          <w:sz w:val="21"/>
          <w:szCs w:val="21"/>
          <w:highlight w:val="none"/>
        </w:rPr>
        <w:t xml:space="preserve"> %，单价和总价均包括但不限于货款、包装费、运输费、</w:t>
      </w:r>
      <w:r>
        <w:rPr>
          <w:rFonts w:hint="eastAsia" w:ascii="宋体" w:hAnsi="宋体" w:eastAsia="宋体" w:cs="宋体"/>
          <w:color w:val="auto"/>
          <w:sz w:val="21"/>
          <w:szCs w:val="21"/>
          <w:highlight w:val="none"/>
          <w:lang w:val="en-US" w:eastAsia="zh-CN"/>
        </w:rPr>
        <w:t>卸车、</w:t>
      </w:r>
      <w:r>
        <w:rPr>
          <w:rFonts w:hint="eastAsia" w:ascii="宋体" w:hAnsi="宋体" w:eastAsia="宋体" w:cs="宋体"/>
          <w:color w:val="auto"/>
          <w:sz w:val="21"/>
          <w:szCs w:val="21"/>
          <w:highlight w:val="none"/>
        </w:rPr>
        <w:t>搬运费、税费等相关费用，散装水泥直接入水泥罐、袋装水泥由乙方负责卸货堆码。</w:t>
      </w:r>
    </w:p>
    <w:p w14:paraId="70A65F41">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2.单价定价原则：水泥单价=交货日所在月份杭州市市区散装/袋装水泥M32.5R信息价(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元/吨)*（1-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%下浮率），下浮率在合同有效期内不做调整。信息价网址：</w:t>
      </w:r>
    </w:p>
    <w:p w14:paraId="39A14131">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https://jgxx.cxjw.hangzhou.gov.cn:88/search/#/home </w:t>
      </w:r>
      <w:r>
        <w:rPr>
          <w:rFonts w:hint="eastAsia" w:ascii="宋体" w:hAnsi="宋体" w:eastAsia="宋体" w:cs="宋体"/>
          <w:color w:val="auto"/>
          <w:sz w:val="21"/>
          <w:szCs w:val="21"/>
          <w:highlight w:val="none"/>
        </w:rPr>
        <w:t>。若合同有效期内网址发生调整，以最新的政府指导价网址为准。</w:t>
      </w:r>
    </w:p>
    <w:tbl>
      <w:tblPr>
        <w:tblStyle w:val="24"/>
        <w:tblpPr w:leftFromText="180" w:rightFromText="180" w:vertAnchor="text" w:horzAnchor="page" w:tblpX="1316" w:tblpY="601"/>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584"/>
        <w:gridCol w:w="2256"/>
        <w:gridCol w:w="708"/>
        <w:gridCol w:w="720"/>
        <w:gridCol w:w="1296"/>
        <w:gridCol w:w="856"/>
        <w:gridCol w:w="944"/>
        <w:gridCol w:w="1061"/>
      </w:tblGrid>
      <w:tr w14:paraId="1AF6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vAlign w:val="center"/>
          </w:tcPr>
          <w:p w14:paraId="5995A263">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序号</w:t>
            </w:r>
          </w:p>
        </w:tc>
        <w:tc>
          <w:tcPr>
            <w:tcW w:w="1584" w:type="dxa"/>
            <w:vAlign w:val="center"/>
          </w:tcPr>
          <w:p w14:paraId="2BDBEED9">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货物名称</w:t>
            </w:r>
          </w:p>
        </w:tc>
        <w:tc>
          <w:tcPr>
            <w:tcW w:w="2256" w:type="dxa"/>
            <w:vAlign w:val="center"/>
          </w:tcPr>
          <w:p w14:paraId="25313C97">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技术指标</w:t>
            </w:r>
          </w:p>
        </w:tc>
        <w:tc>
          <w:tcPr>
            <w:tcW w:w="708" w:type="dxa"/>
            <w:vAlign w:val="center"/>
          </w:tcPr>
          <w:p w14:paraId="3D1F4931">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品牌/厂家</w:t>
            </w:r>
          </w:p>
        </w:tc>
        <w:tc>
          <w:tcPr>
            <w:tcW w:w="720" w:type="dxa"/>
            <w:vAlign w:val="center"/>
          </w:tcPr>
          <w:p w14:paraId="5910734C">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下浮率（%）</w:t>
            </w:r>
          </w:p>
        </w:tc>
        <w:tc>
          <w:tcPr>
            <w:tcW w:w="1296" w:type="dxa"/>
            <w:vAlign w:val="center"/>
          </w:tcPr>
          <w:p w14:paraId="5C74475E">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杭州市</w:t>
            </w:r>
            <w:r>
              <w:rPr>
                <w:rFonts w:hint="eastAsia" w:ascii="宋体" w:hAnsi="宋体" w:eastAsia="宋体" w:cs="宋体"/>
                <w:color w:val="auto"/>
                <w:sz w:val="16"/>
                <w:szCs w:val="16"/>
                <w:highlight w:val="none"/>
                <w:lang w:val="en-US" w:eastAsia="zh-CN"/>
              </w:rPr>
              <w:t>信息</w:t>
            </w:r>
            <w:r>
              <w:rPr>
                <w:rFonts w:hint="eastAsia" w:ascii="宋体" w:hAnsi="宋体" w:eastAsia="宋体" w:cs="宋体"/>
                <w:color w:val="auto"/>
                <w:sz w:val="16"/>
                <w:szCs w:val="16"/>
                <w:highlight w:val="none"/>
              </w:rPr>
              <w:t>价（以202</w:t>
            </w:r>
            <w:r>
              <w:rPr>
                <w:rFonts w:hint="eastAsia" w:ascii="宋体" w:hAnsi="宋体" w:eastAsia="宋体" w:cs="宋体"/>
                <w:color w:val="auto"/>
                <w:sz w:val="16"/>
                <w:szCs w:val="16"/>
                <w:highlight w:val="none"/>
                <w:lang w:val="en-US" w:eastAsia="zh-CN"/>
              </w:rPr>
              <w:t>4</w:t>
            </w:r>
            <w:r>
              <w:rPr>
                <w:rFonts w:hint="eastAsia" w:ascii="宋体" w:hAnsi="宋体" w:eastAsia="宋体" w:cs="宋体"/>
                <w:color w:val="auto"/>
                <w:sz w:val="16"/>
                <w:szCs w:val="16"/>
                <w:highlight w:val="none"/>
              </w:rPr>
              <w:t>年</w:t>
            </w:r>
            <w:r>
              <w:rPr>
                <w:rFonts w:hint="eastAsia" w:ascii="宋体" w:hAnsi="宋体" w:eastAsia="宋体" w:cs="宋体"/>
                <w:color w:val="auto"/>
                <w:sz w:val="16"/>
                <w:szCs w:val="16"/>
                <w:highlight w:val="none"/>
                <w:lang w:val="en-US" w:eastAsia="zh-CN"/>
              </w:rPr>
              <w:t>6</w:t>
            </w:r>
            <w:r>
              <w:rPr>
                <w:rFonts w:hint="eastAsia" w:ascii="宋体" w:hAnsi="宋体" w:eastAsia="宋体" w:cs="宋体"/>
                <w:color w:val="auto"/>
                <w:sz w:val="16"/>
                <w:szCs w:val="16"/>
                <w:highlight w:val="none"/>
              </w:rPr>
              <w:t>月份为例）</w:t>
            </w:r>
          </w:p>
        </w:tc>
        <w:tc>
          <w:tcPr>
            <w:tcW w:w="856" w:type="dxa"/>
            <w:vAlign w:val="center"/>
          </w:tcPr>
          <w:p w14:paraId="0F552280">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综合单价</w:t>
            </w:r>
          </w:p>
          <w:p w14:paraId="03FB89A9">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（元/吨）</w:t>
            </w:r>
          </w:p>
        </w:tc>
        <w:tc>
          <w:tcPr>
            <w:tcW w:w="944" w:type="dxa"/>
            <w:vAlign w:val="center"/>
          </w:tcPr>
          <w:p w14:paraId="50ED670E">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暂定数量（吨）</w:t>
            </w:r>
          </w:p>
        </w:tc>
        <w:tc>
          <w:tcPr>
            <w:tcW w:w="1061" w:type="dxa"/>
            <w:vAlign w:val="center"/>
          </w:tcPr>
          <w:p w14:paraId="4237A7B4">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金额（元）</w:t>
            </w:r>
          </w:p>
        </w:tc>
      </w:tr>
      <w:tr w14:paraId="4A0F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1" w:type="dxa"/>
            <w:vAlign w:val="center"/>
          </w:tcPr>
          <w:p w14:paraId="0E1A8E23">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w:t>
            </w:r>
          </w:p>
        </w:tc>
        <w:tc>
          <w:tcPr>
            <w:tcW w:w="1584" w:type="dxa"/>
            <w:vAlign w:val="center"/>
          </w:tcPr>
          <w:p w14:paraId="48C19987">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散装水泥M32.5R</w:t>
            </w:r>
          </w:p>
        </w:tc>
        <w:tc>
          <w:tcPr>
            <w:tcW w:w="2256" w:type="dxa"/>
            <w:vAlign w:val="center"/>
          </w:tcPr>
          <w:p w14:paraId="06391504">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满足GB/T3183-2017标准</w:t>
            </w:r>
          </w:p>
        </w:tc>
        <w:tc>
          <w:tcPr>
            <w:tcW w:w="708" w:type="dxa"/>
            <w:vAlign w:val="center"/>
          </w:tcPr>
          <w:p w14:paraId="15719E69">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c>
          <w:tcPr>
            <w:tcW w:w="720" w:type="dxa"/>
            <w:vAlign w:val="center"/>
          </w:tcPr>
          <w:p w14:paraId="24646C92">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c>
          <w:tcPr>
            <w:tcW w:w="1296" w:type="dxa"/>
            <w:vAlign w:val="center"/>
          </w:tcPr>
          <w:p w14:paraId="647FD2A2">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r>
              <w:rPr>
                <w:rFonts w:hint="eastAsia" w:ascii="宋体" w:hAnsi="宋体" w:eastAsia="宋体" w:cs="宋体"/>
                <w:color w:val="auto"/>
                <w:sz w:val="16"/>
                <w:szCs w:val="16"/>
                <w:highlight w:val="none"/>
                <w:lang w:val="en-US" w:eastAsia="zh-CN"/>
              </w:rPr>
              <w:t>2</w:t>
            </w:r>
            <w:r>
              <w:rPr>
                <w:rFonts w:hint="eastAsia" w:ascii="宋体" w:hAnsi="宋体" w:eastAsia="宋体" w:cs="宋体"/>
                <w:color w:val="auto"/>
                <w:sz w:val="16"/>
                <w:szCs w:val="16"/>
                <w:highlight w:val="none"/>
              </w:rPr>
              <w:t>0</w:t>
            </w:r>
          </w:p>
        </w:tc>
        <w:tc>
          <w:tcPr>
            <w:tcW w:w="856" w:type="dxa"/>
            <w:vAlign w:val="center"/>
          </w:tcPr>
          <w:p w14:paraId="14A0A296">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c>
          <w:tcPr>
            <w:tcW w:w="944" w:type="dxa"/>
            <w:vAlign w:val="center"/>
          </w:tcPr>
          <w:p w14:paraId="42F105CD">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4100</w:t>
            </w:r>
            <w:r>
              <w:rPr>
                <w:rFonts w:hint="eastAsia" w:ascii="宋体" w:hAnsi="宋体" w:eastAsia="宋体" w:cs="宋体"/>
                <w:color w:val="auto"/>
                <w:sz w:val="16"/>
                <w:szCs w:val="16"/>
                <w:highlight w:val="none"/>
              </w:rPr>
              <w:t>吨</w:t>
            </w:r>
          </w:p>
        </w:tc>
        <w:tc>
          <w:tcPr>
            <w:tcW w:w="1061" w:type="dxa"/>
            <w:vAlign w:val="center"/>
          </w:tcPr>
          <w:p w14:paraId="62F9D202">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r>
      <w:tr w14:paraId="61E9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71" w:type="dxa"/>
            <w:vAlign w:val="center"/>
          </w:tcPr>
          <w:p w14:paraId="48A6C22E">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w:t>
            </w:r>
          </w:p>
        </w:tc>
        <w:tc>
          <w:tcPr>
            <w:tcW w:w="1584" w:type="dxa"/>
            <w:vAlign w:val="center"/>
          </w:tcPr>
          <w:p w14:paraId="2E1EA9A9">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袋装水泥M32.5R</w:t>
            </w:r>
          </w:p>
        </w:tc>
        <w:tc>
          <w:tcPr>
            <w:tcW w:w="2256" w:type="dxa"/>
            <w:vAlign w:val="center"/>
          </w:tcPr>
          <w:p w14:paraId="222B8658">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满足GB/T3183-2017标准</w:t>
            </w:r>
          </w:p>
        </w:tc>
        <w:tc>
          <w:tcPr>
            <w:tcW w:w="708" w:type="dxa"/>
            <w:vAlign w:val="center"/>
          </w:tcPr>
          <w:p w14:paraId="30569D93">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c>
          <w:tcPr>
            <w:tcW w:w="720" w:type="dxa"/>
            <w:vAlign w:val="center"/>
          </w:tcPr>
          <w:p w14:paraId="3293DAD6">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c>
          <w:tcPr>
            <w:tcW w:w="1296" w:type="dxa"/>
            <w:vAlign w:val="center"/>
          </w:tcPr>
          <w:p w14:paraId="14DC937B">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r>
              <w:rPr>
                <w:rFonts w:hint="eastAsia" w:ascii="宋体" w:hAnsi="宋体" w:eastAsia="宋体" w:cs="宋体"/>
                <w:color w:val="auto"/>
                <w:sz w:val="16"/>
                <w:szCs w:val="16"/>
                <w:highlight w:val="none"/>
                <w:lang w:val="en-US" w:eastAsia="zh-CN"/>
              </w:rPr>
              <w:t>6</w:t>
            </w:r>
            <w:r>
              <w:rPr>
                <w:rFonts w:hint="eastAsia" w:ascii="宋体" w:hAnsi="宋体" w:eastAsia="宋体" w:cs="宋体"/>
                <w:color w:val="auto"/>
                <w:sz w:val="16"/>
                <w:szCs w:val="16"/>
                <w:highlight w:val="none"/>
              </w:rPr>
              <w:t>0</w:t>
            </w:r>
          </w:p>
        </w:tc>
        <w:tc>
          <w:tcPr>
            <w:tcW w:w="856" w:type="dxa"/>
            <w:vAlign w:val="center"/>
          </w:tcPr>
          <w:p w14:paraId="5869F24D">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c>
          <w:tcPr>
            <w:tcW w:w="944" w:type="dxa"/>
            <w:vAlign w:val="center"/>
          </w:tcPr>
          <w:p w14:paraId="0DDCF96E">
            <w:pPr>
              <w:adjustRightInd w:val="0"/>
              <w:snapToGrid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8</w:t>
            </w:r>
            <w:r>
              <w:rPr>
                <w:rFonts w:hint="eastAsia" w:ascii="宋体" w:hAnsi="宋体" w:eastAsia="宋体" w:cs="宋体"/>
                <w:color w:val="auto"/>
                <w:sz w:val="16"/>
                <w:szCs w:val="16"/>
                <w:highlight w:val="none"/>
              </w:rPr>
              <w:t>00吨</w:t>
            </w:r>
          </w:p>
        </w:tc>
        <w:tc>
          <w:tcPr>
            <w:tcW w:w="1061" w:type="dxa"/>
            <w:vAlign w:val="center"/>
          </w:tcPr>
          <w:p w14:paraId="0BFB9628">
            <w:pPr>
              <w:adjustRightInd w:val="0"/>
              <w:snapToGrid w:val="0"/>
              <w:spacing w:line="360" w:lineRule="auto"/>
              <w:ind w:firstLine="312" w:firstLineChars="200"/>
              <w:jc w:val="center"/>
              <w:rPr>
                <w:rFonts w:hint="eastAsia" w:ascii="宋体" w:hAnsi="宋体" w:eastAsia="宋体" w:cs="宋体"/>
                <w:color w:val="auto"/>
                <w:sz w:val="16"/>
                <w:szCs w:val="16"/>
                <w:highlight w:val="none"/>
              </w:rPr>
            </w:pPr>
          </w:p>
        </w:tc>
      </w:tr>
    </w:tbl>
    <w:p w14:paraId="15C3B8BC">
      <w:pPr>
        <w:numPr>
          <w:ilvl w:val="0"/>
          <w:numId w:val="0"/>
        </w:numPr>
        <w:adjustRightInd w:val="0"/>
        <w:snapToGrid w:val="0"/>
        <w:spacing w:line="360" w:lineRule="auto"/>
        <w:ind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货物名称、品牌、规格型号</w:t>
      </w:r>
      <w:r>
        <w:rPr>
          <w:rFonts w:hint="eastAsia" w:ascii="宋体" w:hAnsi="宋体" w:eastAsia="宋体" w:cs="宋体"/>
          <w:color w:val="auto"/>
          <w:sz w:val="21"/>
          <w:szCs w:val="21"/>
          <w:highlight w:val="none"/>
          <w:lang w:val="en-US" w:eastAsia="zh-CN"/>
        </w:rPr>
        <w:t>如下：</w:t>
      </w:r>
    </w:p>
    <w:p w14:paraId="33D36D4F">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4.货物数量：按需供货，按实结算；合同清单数量仅为甲方暂定数量，乙方须按照甲方的采购订单数量供货，不得以超过合同暂定数量为由停止供货。</w:t>
      </w:r>
    </w:p>
    <w:p w14:paraId="42E9D548">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三、合同期限、货物交付期限、地点和联系方式、交付方式</w:t>
      </w:r>
    </w:p>
    <w:p w14:paraId="6D137ECB">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w:t>
      </w:r>
      <w:r>
        <w:rPr>
          <w:rFonts w:hint="eastAsia" w:ascii="宋体" w:hAnsi="宋体" w:eastAsia="宋体" w:cs="宋体"/>
          <w:color w:val="auto"/>
          <w:sz w:val="21"/>
          <w:szCs w:val="21"/>
          <w:highlight w:val="none"/>
        </w:rPr>
        <w:t>同期限：合同签订之日起两年；</w:t>
      </w:r>
    </w:p>
    <w:p w14:paraId="31C8B6DE">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2.履约方式：</w:t>
      </w:r>
      <w:r>
        <w:rPr>
          <w:rFonts w:hint="eastAsia" w:ascii="宋体" w:hAnsi="宋体" w:eastAsia="宋体" w:cs="宋体"/>
          <w:color w:val="auto"/>
          <w:sz w:val="21"/>
          <w:szCs w:val="21"/>
          <w:highlight w:val="none"/>
          <w:u w:val="single"/>
        </w:rPr>
        <w:t>按采购订单要求执行  ；</w:t>
      </w:r>
    </w:p>
    <w:p w14:paraId="190A27F5">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3.交付地点：浙江省杭州市钱塘区临江街道红十五路10388-123号，杭州临江环境能源有限公司厂区内 ；</w:t>
      </w:r>
    </w:p>
    <w:p w14:paraId="29BED3DE">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4.交付甲方联系人：</w:t>
      </w:r>
      <w:r>
        <w:rPr>
          <w:rFonts w:hint="eastAsia" w:ascii="宋体" w:hAnsi="宋体" w:eastAsia="宋体" w:cs="宋体"/>
          <w:color w:val="auto"/>
          <w:sz w:val="21"/>
          <w:szCs w:val="21"/>
          <w:highlight w:val="none"/>
          <w:u w:val="single"/>
        </w:rPr>
        <w:t>按采购订单要求执行 ；</w:t>
      </w:r>
    </w:p>
    <w:p w14:paraId="57A14A45">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5.乙方联系人及联系方式：</w:t>
      </w:r>
      <w:r>
        <w:rPr>
          <w:rFonts w:hint="eastAsia" w:ascii="宋体" w:hAnsi="宋体" w:eastAsia="宋体" w:cs="宋体"/>
          <w:color w:val="auto"/>
          <w:sz w:val="21"/>
          <w:szCs w:val="21"/>
          <w:highlight w:val="none"/>
          <w:u w:val="single"/>
        </w:rPr>
        <w:t xml:space="preserve">             ；</w:t>
      </w:r>
    </w:p>
    <w:p w14:paraId="1E3BDECE">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6.交付方式：</w:t>
      </w:r>
      <w:r>
        <w:rPr>
          <w:rFonts w:hint="eastAsia" w:ascii="宋体" w:hAnsi="宋体" w:eastAsia="宋体" w:cs="宋体"/>
          <w:color w:val="auto"/>
          <w:sz w:val="21"/>
          <w:szCs w:val="21"/>
          <w:highlight w:val="none"/>
          <w:u w:val="single"/>
        </w:rPr>
        <w:t xml:space="preserve"> 按采购订单要求执行 ，基本要求如下： </w:t>
      </w:r>
    </w:p>
    <w:p w14:paraId="28663597">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（1）推荐乙方安排自有员工送货到甲方指定地点；</w:t>
      </w:r>
    </w:p>
    <w:p w14:paraId="73A1DB3E">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（2）乙方委托物流公司交货的，乙方应提前告知甲方经办人员，同时须授权物流人员办理交货、验收、退换货等事宜。</w:t>
      </w:r>
    </w:p>
    <w:p w14:paraId="6C0F8A62">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（3）特殊情况下，双方友好协商解决。</w:t>
      </w:r>
    </w:p>
    <w:p w14:paraId="171A55CA">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四、技术和质量要求</w:t>
      </w:r>
    </w:p>
    <w:p w14:paraId="027C5224">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66" w:name="_Toc14563"/>
      <w:bookmarkStart w:id="167" w:name="_Toc1125"/>
      <w:bookmarkStart w:id="168" w:name="_Toc6596"/>
      <w:r>
        <w:rPr>
          <w:rFonts w:hint="eastAsia" w:ascii="宋体" w:hAnsi="宋体" w:eastAsia="宋体" w:cs="宋体"/>
          <w:color w:val="auto"/>
          <w:sz w:val="21"/>
          <w:szCs w:val="21"/>
          <w:highlight w:val="none"/>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7A675A2E">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2.产品质保期：到货验收合格之日起算不少于1个月。                   </w:t>
      </w:r>
    </w:p>
    <w:p w14:paraId="7A3553B8">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14:paraId="1C76983D">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生产计划，确定送货数量要求，分批次供货，乙方负责在接到甲方电话或书面通知后在3日内完成供货。乙方负责卸货，人工费由乙方承担，甲方可免费提供叉车服务。散装水泥由罐车送货入甲方的水泥罐，每次</w:t>
      </w:r>
      <w:r>
        <w:rPr>
          <w:rFonts w:hint="eastAsia" w:ascii="宋体" w:hAnsi="宋体" w:eastAsia="宋体" w:cs="宋体"/>
          <w:color w:val="auto"/>
          <w:sz w:val="21"/>
          <w:szCs w:val="21"/>
          <w:highlight w:val="none"/>
          <w:lang w:val="en-US" w:eastAsia="zh-CN"/>
        </w:rPr>
        <w:t>约40-45吨</w:t>
      </w:r>
      <w:r>
        <w:rPr>
          <w:rFonts w:hint="eastAsia" w:ascii="宋体" w:hAnsi="宋体" w:eastAsia="宋体" w:cs="宋体"/>
          <w:color w:val="auto"/>
          <w:sz w:val="21"/>
          <w:szCs w:val="21"/>
          <w:highlight w:val="none"/>
        </w:rPr>
        <w:t>；袋装水泥每次</w:t>
      </w:r>
      <w:r>
        <w:rPr>
          <w:rFonts w:hint="eastAsia" w:ascii="宋体" w:hAnsi="宋体" w:eastAsia="宋体" w:cs="宋体"/>
          <w:color w:val="auto"/>
          <w:sz w:val="21"/>
          <w:szCs w:val="21"/>
          <w:highlight w:val="none"/>
          <w:lang w:val="en-US" w:eastAsia="zh-CN"/>
        </w:rPr>
        <w:t>约2</w:t>
      </w:r>
      <w:r>
        <w:rPr>
          <w:rFonts w:hint="eastAsia" w:ascii="宋体" w:hAnsi="宋体" w:eastAsia="宋体" w:cs="宋体"/>
          <w:color w:val="auto"/>
          <w:sz w:val="21"/>
          <w:szCs w:val="21"/>
          <w:highlight w:val="none"/>
        </w:rPr>
        <w:t>0吨，袋装水泥由乙方负责卸货堆码。</w:t>
      </w:r>
    </w:p>
    <w:p w14:paraId="5856B475">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5DA22E87">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3.甲方不再对任何售后服务进行付费。乙方的派遣人员产生的一切费用由供应商承担。</w:t>
      </w:r>
    </w:p>
    <w:p w14:paraId="62B00684">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4.在乙方所供的货物使用过程中，经甲方检测不合格的，乙方应在12小时内更换合格货物，造成甲方机械设备故障或货物损坏，由乙方承担甲方的一切损失，包括直接和间接损失。</w:t>
      </w:r>
    </w:p>
    <w:p w14:paraId="5B32AB96">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运输车辆外观整洁；运输过程中，严禁抛洒滴漏，如发生抛洒滴漏状况，乙方必须立即清理干净；运输及装卸货品全过程安全责任由乙方自行承担。产品必须完整安全按时到达交货地点（在运送过程中，须办理道路通行证或须夜间运送的由乙方办理和承担）。</w:t>
      </w:r>
    </w:p>
    <w:p w14:paraId="75D3DF88">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六、检验和验收</w:t>
      </w:r>
      <w:bookmarkEnd w:id="166"/>
      <w:bookmarkEnd w:id="167"/>
      <w:bookmarkEnd w:id="168"/>
    </w:p>
    <w:p w14:paraId="6C901CE9">
      <w:pPr>
        <w:tabs>
          <w:tab w:val="left" w:pos="360"/>
          <w:tab w:val="left" w:pos="540"/>
          <w:tab w:val="left" w:pos="1080"/>
        </w:tabs>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1.货物交付前，乙方应对货物的质量、数量等方面进行详细、全面的检验，并向甲方</w:t>
      </w:r>
      <w:r>
        <w:rPr>
          <w:rFonts w:hint="eastAsia" w:ascii="宋体" w:hAnsi="宋体" w:eastAsia="宋体" w:cs="宋体"/>
          <w:b/>
          <w:bCs/>
          <w:color w:val="auto"/>
          <w:sz w:val="21"/>
          <w:szCs w:val="21"/>
          <w:highlight w:val="none"/>
          <w:u w:val="single"/>
        </w:rPr>
        <w:t>出具证明货物符合合同约定的文件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交付时，甲方在</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个工作日</w:t>
      </w:r>
      <w:r>
        <w:rPr>
          <w:rFonts w:hint="eastAsia" w:ascii="宋体" w:hAnsi="宋体" w:eastAsia="宋体" w:cs="宋体"/>
          <w:color w:val="auto"/>
          <w:sz w:val="21"/>
          <w:szCs w:val="21"/>
          <w:highlight w:val="none"/>
        </w:rPr>
        <w:t>内组织验收，验收应出具</w:t>
      </w:r>
      <w:r>
        <w:rPr>
          <w:rFonts w:hint="eastAsia" w:ascii="宋体" w:hAnsi="宋体" w:eastAsia="宋体" w:cs="宋体"/>
          <w:b/>
          <w:bCs/>
          <w:color w:val="auto"/>
          <w:sz w:val="21"/>
          <w:szCs w:val="21"/>
          <w:highlight w:val="none"/>
          <w:u w:val="single"/>
        </w:rPr>
        <w:t>验收报告</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若甲方认为有必要可邀请相关方参加。</w:t>
      </w:r>
    </w:p>
    <w:p w14:paraId="4A4ADC51">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2.证明货物符合合同约定的文件是指包括但不限于合格证、检测报告（制造厂家或者第三方机构）、质量承诺（格式自拟）等证明材料。以下情况在甲方同意的前提下，可采用质量承诺的方式：</w:t>
      </w:r>
    </w:p>
    <w:p w14:paraId="7F534DE9">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（1）低值易耗或者非标件等货物不能提供合格证或者检测报告的；</w:t>
      </w:r>
    </w:p>
    <w:p w14:paraId="329EE36A">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（2）非关键部位的货物，品牌制造商或者集成商采用外购形式的。</w:t>
      </w:r>
    </w:p>
    <w:p w14:paraId="68E46B82">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14:paraId="7642635E">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273CEBF8">
      <w:pPr>
        <w:tabs>
          <w:tab w:val="left" w:pos="360"/>
          <w:tab w:val="left" w:pos="540"/>
          <w:tab w:val="left" w:pos="1080"/>
        </w:tabs>
        <w:adjustRightInd w:val="0"/>
        <w:snapToGrid w:val="0"/>
        <w:spacing w:line="360" w:lineRule="auto"/>
        <w:ind w:firstLine="412"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rPr>
        <w:t>6.</w:t>
      </w:r>
      <w:r>
        <w:rPr>
          <w:rFonts w:hint="eastAsia" w:ascii="宋体" w:hAnsi="宋体" w:eastAsia="宋体" w:cs="宋体"/>
          <w:color w:val="auto"/>
          <w:sz w:val="21"/>
          <w:szCs w:val="21"/>
          <w:highlight w:val="none"/>
          <w:u w:val="single"/>
          <w:lang w:val="en-US" w:eastAsia="zh-CN"/>
        </w:rPr>
        <w:t>每年不少于1次送第三方单位检测，检测指标为关键指标（S0</w:t>
      </w:r>
      <w:r>
        <w:rPr>
          <w:rFonts w:hint="eastAsia" w:ascii="宋体" w:hAnsi="宋体" w:eastAsia="宋体" w:cs="宋体"/>
          <w:color w:val="auto"/>
          <w:sz w:val="21"/>
          <w:szCs w:val="21"/>
          <w:highlight w:val="none"/>
          <w:u w:val="single"/>
          <w:vertAlign w:val="subscript"/>
          <w:lang w:val="en-US" w:eastAsia="zh-CN"/>
        </w:rPr>
        <w:t>3</w:t>
      </w:r>
      <w:r>
        <w:rPr>
          <w:rFonts w:hint="eastAsia" w:ascii="宋体" w:hAnsi="宋体" w:eastAsia="宋体" w:cs="宋体"/>
          <w:color w:val="auto"/>
          <w:sz w:val="21"/>
          <w:szCs w:val="21"/>
          <w:highlight w:val="none"/>
          <w:u w:val="single"/>
          <w:lang w:val="en-US" w:eastAsia="zh-CN"/>
        </w:rPr>
        <w:t>、氯离子含量），非关键指标可不检测。甲方双方共同取样、封样、留样、邮寄，</w:t>
      </w:r>
      <w:r>
        <w:rPr>
          <w:rFonts w:hint="eastAsia" w:ascii="宋体" w:hAnsi="宋体" w:eastAsia="宋体" w:cs="宋体"/>
          <w:b/>
          <w:bCs/>
          <w:color w:val="auto"/>
          <w:sz w:val="21"/>
          <w:szCs w:val="21"/>
          <w:highlight w:val="none"/>
          <w:u w:val="single"/>
          <w:lang w:val="en-US" w:eastAsia="zh-CN"/>
        </w:rPr>
        <w:t>第三方检测单位由甲方确定，甲方可以不告知乙方第三方检测单位名称，检测费由乙方承担，甲方垫付，检测费在乙方的货款中扣除</w:t>
      </w:r>
      <w:r>
        <w:rPr>
          <w:rFonts w:hint="eastAsia" w:ascii="宋体" w:hAnsi="宋体" w:eastAsia="宋体" w:cs="宋体"/>
          <w:color w:val="auto"/>
          <w:sz w:val="21"/>
          <w:szCs w:val="21"/>
          <w:highlight w:val="none"/>
          <w:u w:val="single"/>
          <w:lang w:val="en-US" w:eastAsia="zh-CN"/>
        </w:rPr>
        <w:t>。日常验收结算不需要额外提供第三方检测报告。</w:t>
      </w:r>
    </w:p>
    <w:p w14:paraId="28B30377">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七、验收特别约定条款</w:t>
      </w:r>
    </w:p>
    <w:p w14:paraId="0FE31A1D">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以甲方过磅净重为结算依据；若甲方过磅净重小于乙方提供的送货数量，以甲方过磅净重为准；若甲方过磅净重大于等于乙方提供的送货数量，以乙方的送货数量为准。</w:t>
      </w:r>
    </w:p>
    <w:p w14:paraId="170C4AD4">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以水泥生产厂家出厂检测报告或合格证为验收依据。若在使用过程中发生质量问题，经第三方检测确定为产品质量问题，该批次货物</w:t>
      </w:r>
      <w:r>
        <w:rPr>
          <w:rFonts w:hint="eastAsia" w:ascii="宋体" w:hAnsi="宋体" w:eastAsia="宋体" w:cs="宋体"/>
          <w:b/>
          <w:bCs/>
          <w:color w:val="auto"/>
          <w:sz w:val="21"/>
          <w:szCs w:val="21"/>
          <w:highlight w:val="none"/>
          <w:lang w:val="en-US" w:eastAsia="zh-CN"/>
        </w:rPr>
        <w:t>（当天供货总量为一个批次）</w:t>
      </w:r>
      <w:r>
        <w:rPr>
          <w:rFonts w:hint="eastAsia" w:ascii="宋体" w:hAnsi="宋体" w:eastAsia="宋体" w:cs="宋体"/>
          <w:color w:val="auto"/>
          <w:sz w:val="21"/>
          <w:szCs w:val="21"/>
          <w:highlight w:val="none"/>
        </w:rPr>
        <w:t>甲方不予结算，且甲方保留索赔的权利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委托第三方检测机构检测费用由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 xml:space="preserve">承担。       </w:t>
      </w:r>
    </w:p>
    <w:p w14:paraId="22034420">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八、履约保证金</w:t>
      </w:r>
    </w:p>
    <w:p w14:paraId="1FB84F68">
      <w:pPr>
        <w:pStyle w:val="52"/>
        <w:adjustRightInd w:val="0"/>
        <w:snapToGrid w:val="0"/>
        <w:spacing w:before="0" w:beforeAutospacing="0" w:after="0" w:afterAutospacing="0" w:line="24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需要支付履约保证金。若需要支付履约保证金的，则：</w:t>
      </w:r>
    </w:p>
    <w:p w14:paraId="3E7DB907">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1.履约保证金的比例为合同金额的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4B73C787">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2.履约保证金支付时间：乙方应于本合同签订前按招标文件和本合同约定的支付履约保证金；</w:t>
      </w:r>
    </w:p>
    <w:p w14:paraId="2E302509">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3.履约保证金支付方式： 电汇/转账 ；账户信息如下：</w:t>
      </w:r>
    </w:p>
    <w:p w14:paraId="6A7B0370">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名称：杭州临江环境能源有限公司   </w:t>
      </w:r>
    </w:p>
    <w:p w14:paraId="798B4B7E">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税号：91330100MA2B02NX2L</w:t>
      </w:r>
    </w:p>
    <w:p w14:paraId="06BAB19D">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地址电话：浙江省杭州市钱塘区临江街道红十五路10388-123号 0571-81997919</w:t>
      </w:r>
    </w:p>
    <w:p w14:paraId="3EE5951C">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开户行及账号：杭州银行大江东支行 3301040160008775754</w:t>
      </w:r>
    </w:p>
    <w:p w14:paraId="359C24C4">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0505E0F">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5.甲方在项目验收结束后及时退还履约保证金。甲方在项目通过验收之日起   30 个工作日内将履约保证金无息退还乙方。</w:t>
      </w:r>
    </w:p>
    <w:p w14:paraId="5CF6A8DC">
      <w:pPr>
        <w:pStyle w:val="7"/>
        <w:keepNext w:val="0"/>
        <w:keepLines w:val="0"/>
        <w:pageBreakBefore w:val="0"/>
        <w:widowControl w:val="0"/>
        <w:kinsoku/>
        <w:wordWrap/>
        <w:overflowPunct/>
        <w:topLinePunct w:val="0"/>
        <w:autoSpaceDE/>
        <w:autoSpaceDN/>
        <w:bidi w:val="0"/>
        <w:adjustRightInd w:val="0"/>
        <w:snapToGrid w:val="0"/>
        <w:spacing w:line="240" w:lineRule="auto"/>
        <w:ind w:firstLine="41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6.乙方提前完成合同约定内容且无任何遗留问题，双方可提前终止合同（按第二章合同一般条款中的合同中止、终止条款执行），甲方应在终止合同之后提前退还乙方履约保证金。</w:t>
      </w:r>
    </w:p>
    <w:bookmarkEnd w:id="163"/>
    <w:bookmarkEnd w:id="164"/>
    <w:bookmarkEnd w:id="165"/>
    <w:p w14:paraId="16C5C16D">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九、预付款</w:t>
      </w:r>
    </w:p>
    <w:p w14:paraId="4F97CBC6">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color w:val="auto"/>
          <w:sz w:val="21"/>
          <w:szCs w:val="21"/>
          <w:highlight w:val="none"/>
        </w:rPr>
        <w:t>需要支付预付款。若需要支付预付款的，则：</w:t>
      </w:r>
    </w:p>
    <w:p w14:paraId="482E4902">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1.预付款比例、支付方式、时间：</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38E61F10">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2.预付款的扣回方式：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51EC658">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3.预付款的担保措施：</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31646F">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十、资金支付</w:t>
      </w:r>
    </w:p>
    <w:p w14:paraId="4AC63FDB">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bookmarkStart w:id="169" w:name="_Toc19304"/>
      <w:bookmarkStart w:id="170" w:name="_Toc2846"/>
      <w:bookmarkStart w:id="171" w:name="_Toc32071"/>
      <w:r>
        <w:rPr>
          <w:rFonts w:hint="eastAsia" w:ascii="宋体" w:hAnsi="宋体" w:eastAsia="宋体" w:cs="宋体"/>
          <w:color w:val="auto"/>
          <w:sz w:val="21"/>
          <w:szCs w:val="21"/>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i/>
          <w:iCs/>
          <w:color w:val="auto"/>
          <w:sz w:val="21"/>
          <w:szCs w:val="21"/>
          <w:highlight w:val="none"/>
          <w:u w:val="single"/>
        </w:rPr>
        <w:t>30</w:t>
      </w:r>
      <w:r>
        <w:rPr>
          <w:rFonts w:hint="eastAsia" w:ascii="宋体" w:hAnsi="宋体" w:eastAsia="宋体" w:cs="宋体"/>
          <w:color w:val="auto"/>
          <w:sz w:val="21"/>
          <w:szCs w:val="21"/>
          <w:highlight w:val="none"/>
        </w:rPr>
        <w:t>个工作日内将资金支付到合同约定的乙方账户。</w:t>
      </w:r>
    </w:p>
    <w:p w14:paraId="56BF4B01">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2.本合同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sym w:font="Wingdings" w:char="00A8"/>
      </w:r>
      <w:r>
        <w:rPr>
          <w:rFonts w:hint="eastAsia" w:ascii="宋体" w:hAnsi="宋体" w:eastAsia="宋体" w:cs="宋体"/>
          <w:color w:val="auto"/>
          <w:sz w:val="21"/>
          <w:szCs w:val="21"/>
          <w:highlight w:val="none"/>
          <w:u w:val="single"/>
        </w:rPr>
        <w:t xml:space="preserve">是  </w:t>
      </w:r>
      <w:r>
        <w:rPr>
          <w:rFonts w:hint="eastAsia" w:ascii="宋体" w:hAnsi="宋体" w:eastAsia="宋体" w:cs="宋体"/>
          <w:color w:val="auto"/>
          <w:sz w:val="21"/>
          <w:szCs w:val="21"/>
          <w:highlight w:val="none"/>
          <w:u w:val="single"/>
        </w:rPr>
        <w:sym w:font="Wingdings" w:char="00FE"/>
      </w:r>
      <w:r>
        <w:rPr>
          <w:rFonts w:hint="eastAsia" w:ascii="宋体" w:hAnsi="宋体" w:eastAsia="宋体" w:cs="宋体"/>
          <w:color w:val="auto"/>
          <w:sz w:val="21"/>
          <w:szCs w:val="21"/>
          <w:highlight w:val="none"/>
          <w:u w:val="single"/>
        </w:rPr>
        <w:t xml:space="preserve">否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有质保金。若有质保金的，则：</w:t>
      </w:r>
    </w:p>
    <w:p w14:paraId="67DDE5DA">
      <w:pPr>
        <w:adjustRightInd w:val="0"/>
        <w:snapToGrid w:val="0"/>
        <w:spacing w:line="360" w:lineRule="auto"/>
        <w:ind w:firstLine="412"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（1）质保期限：</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FDEE704">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（2）质保金的比例为合同金额的</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6F1758">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（3）质保金支付条件：</w:t>
      </w:r>
      <w:r>
        <w:rPr>
          <w:rFonts w:hint="eastAsia" w:ascii="宋体" w:hAnsi="宋体" w:eastAsia="宋体" w:cs="宋体"/>
          <w:color w:val="auto"/>
          <w:sz w:val="21"/>
          <w:szCs w:val="21"/>
          <w:highlight w:val="none"/>
          <w:u w:val="single"/>
        </w:rPr>
        <w:t>质保期内无任何质量问题，双方无任何遗留问题 ，质保期结束后30天内甲方无息支付</w:t>
      </w:r>
      <w:r>
        <w:rPr>
          <w:rFonts w:hint="eastAsia" w:ascii="宋体" w:hAnsi="宋体" w:eastAsia="宋体" w:cs="宋体"/>
          <w:color w:val="auto"/>
          <w:sz w:val="21"/>
          <w:szCs w:val="21"/>
          <w:highlight w:val="none"/>
        </w:rPr>
        <w:t>。</w:t>
      </w:r>
    </w:p>
    <w:p w14:paraId="02C9FC51">
      <w:pPr>
        <w:pStyle w:val="52"/>
        <w:adjustRightInd w:val="0"/>
        <w:snapToGrid w:val="0"/>
        <w:spacing w:before="0" w:beforeAutospacing="0" w:after="0" w:afterAutospacing="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3.本项目资金支付的方式、时间和条件采用以下第</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条款规定：</w:t>
      </w:r>
    </w:p>
    <w:bookmarkEnd w:id="169"/>
    <w:bookmarkEnd w:id="170"/>
    <w:bookmarkEnd w:id="171"/>
    <w:p w14:paraId="411D115B">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bookmarkStart w:id="172" w:name="_Toc21423"/>
      <w:bookmarkStart w:id="173" w:name="_Toc27250"/>
      <w:bookmarkStart w:id="174" w:name="_Toc19554"/>
      <w:r>
        <w:rPr>
          <w:rFonts w:hint="eastAsia" w:ascii="宋体" w:hAnsi="宋体" w:eastAsia="宋体" w:cs="宋体"/>
          <w:color w:val="auto"/>
          <w:sz w:val="21"/>
          <w:szCs w:val="21"/>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93B3102">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33311F3C">
      <w:pPr>
        <w:adjustRightInd w:val="0"/>
        <w:snapToGrid w:val="0"/>
        <w:spacing w:line="360" w:lineRule="auto"/>
        <w:ind w:firstLine="41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（3）一次性付款，经甲方验收合格后，甲方收到乙方提供的增值税专用发票后，甲方在本合同约定时间内完成支付。  </w:t>
      </w:r>
    </w:p>
    <w:p w14:paraId="448691D8">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         </w:t>
      </w:r>
    </w:p>
    <w:p w14:paraId="629B4C40">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十一、违约责任</w:t>
      </w:r>
      <w:bookmarkEnd w:id="172"/>
      <w:bookmarkEnd w:id="173"/>
      <w:bookmarkEnd w:id="174"/>
    </w:p>
    <w:p w14:paraId="58F044B5">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bookmarkStart w:id="175" w:name="_Toc16021"/>
      <w:bookmarkStart w:id="176" w:name="_Toc28375"/>
      <w:bookmarkStart w:id="177" w:name="_Toc15583"/>
      <w:r>
        <w:rPr>
          <w:rFonts w:hint="eastAsia" w:ascii="宋体" w:hAnsi="宋体" w:eastAsia="宋体" w:cs="宋体"/>
          <w:color w:val="auto"/>
          <w:sz w:val="21"/>
          <w:szCs w:val="21"/>
          <w:highlight w:val="none"/>
          <w:lang w:val="en-US" w:eastAsia="zh-CN"/>
        </w:rPr>
        <w:t>1.除不可抗力外，如果乙方没有按照本合同约定的期限、地点和方式交付货物，那么甲方可要求乙方支付违约金，违约金每迟延交付货物一日按应交付而未交付货物的含税总金额的 0.1 %计算，迟延交付货物  15 天的，甲方有权单方解除本合同，并要求乙方一次性承担（□本合同累计已发生金额/□合同约定总金额/☑应交付而未交付货物的含税总金额）30%的违约金。</w:t>
      </w:r>
    </w:p>
    <w:p w14:paraId="6396D041">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具体按以下情形执行：</w:t>
      </w:r>
    </w:p>
    <w:p w14:paraId="02DA3D83">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（1）未中止或解除合同的，违约金甲方有权优先从履约保证金扣除，不足部分从已供货未结算的货款中扣除；若无履约保证金的，甲方有权直接从已供货未结算的货款中扣除违约金。</w:t>
      </w:r>
    </w:p>
    <w:p w14:paraId="3AAD8EDC">
      <w:pPr>
        <w:adjustRightInd w:val="0"/>
        <w:snapToGrid w:val="0"/>
        <w:spacing w:line="360" w:lineRule="auto"/>
        <w:ind w:firstLine="41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（2）中止或解除合同的，甲方扣除全额履约保证金，违约金甲方从已供货未结算的货款中扣除；若无履约保证金的，甲方直接从已供货未结算的货款中扣除违约金。</w:t>
      </w:r>
    </w:p>
    <w:p w14:paraId="1760D105">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2.除不可抗力外，如果甲方没有按照本合同约定的付款方式付款，那么乙方可要求甲方支付违约金，违约金按每迟延付款一日的应付而未付款的 0.05  %计算，迟延付款  30 天的，乙方有权在要求甲方支付违约金的同时，书面通知甲方解除本合同；</w:t>
      </w:r>
    </w:p>
    <w:p w14:paraId="09C07433">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03C7DCF">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BCB0E2F">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E2654B7">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6.违约责任另有约定具体如下：</w:t>
      </w:r>
    </w:p>
    <w:p w14:paraId="178FCA90">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（1）乙方交付的货物不符合合同约定或验收不合格的，应当及时更换，因此延误交货期限的，按照逾期交货承担违约责任 ；</w:t>
      </w:r>
    </w:p>
    <w:p w14:paraId="316DF198">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不履行售后服务义务的，每次应向甲方承担1000元的违约金，且仍应履行售后服务义务；违约金甲方有权优先从履约保证金扣除，不足部分从已供货未结算的货款中扣除；若无履约保证金的，甲方有权直接从已供货未结算的货款中扣除；</w:t>
      </w:r>
    </w:p>
    <w:p w14:paraId="40C111FC">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（3）甲方无故拒收货物，乙方有权要求甲方按照合同原价支付货款；</w:t>
      </w:r>
    </w:p>
    <w:p w14:paraId="2EF87B9B">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（4）若质保期内出现质量问题，甲方有权从质保金中扣除违约金，同时乙方应免费维修或更换。</w:t>
      </w:r>
    </w:p>
    <w:p w14:paraId="10C9FA4A">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十二、合同争议的解决</w:t>
      </w:r>
      <w:bookmarkEnd w:id="175"/>
      <w:bookmarkEnd w:id="176"/>
      <w:bookmarkEnd w:id="177"/>
    </w:p>
    <w:p w14:paraId="2F12AD5D">
      <w:pPr>
        <w:adjustRightInd w:val="0"/>
        <w:snapToGrid w:val="0"/>
        <w:spacing w:line="360" w:lineRule="auto"/>
        <w:ind w:left="-91" w:leftChars="-29" w:right="-632" w:rightChars="-200"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1"/>
          <w:szCs w:val="21"/>
          <w:highlight w:val="none"/>
          <w:u w:val="single"/>
        </w:rPr>
        <w:t xml:space="preserve">  </w:t>
      </w:r>
      <w:r>
        <w:rPr>
          <w:rFonts w:hint="eastAsia" w:ascii="宋体" w:hAnsi="宋体" w:eastAsia="宋体" w:cs="宋体"/>
          <w:b/>
          <w:i w:val="0"/>
          <w:iCs/>
          <w:color w:val="auto"/>
          <w:sz w:val="21"/>
          <w:szCs w:val="21"/>
          <w:highlight w:val="none"/>
          <w:u w:val="single"/>
        </w:rPr>
        <w:t>2  条</w:t>
      </w:r>
      <w:r>
        <w:rPr>
          <w:rFonts w:hint="eastAsia" w:ascii="宋体" w:hAnsi="宋体" w:eastAsia="宋体" w:cs="宋体"/>
          <w:color w:val="auto"/>
          <w:sz w:val="21"/>
          <w:szCs w:val="21"/>
          <w:highlight w:val="none"/>
        </w:rPr>
        <w:t>规定的方式解决：</w:t>
      </w:r>
    </w:p>
    <w:p w14:paraId="231E3B21">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bookmarkStart w:id="178" w:name="_Toc15322"/>
      <w:bookmarkStart w:id="179" w:name="_Toc11173"/>
      <w:bookmarkStart w:id="180" w:name="_Toc7245"/>
      <w:r>
        <w:rPr>
          <w:rFonts w:hint="eastAsia" w:ascii="宋体" w:hAnsi="宋体" w:eastAsia="宋体" w:cs="宋体"/>
          <w:color w:val="auto"/>
          <w:sz w:val="21"/>
          <w:szCs w:val="21"/>
          <w:highlight w:val="none"/>
        </w:rPr>
        <w:t>1. 将争议提交</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iCs/>
          <w:color w:val="auto"/>
          <w:sz w:val="21"/>
          <w:szCs w:val="21"/>
          <w:highlight w:val="none"/>
        </w:rPr>
        <w:t>仲</w:t>
      </w:r>
      <w:r>
        <w:rPr>
          <w:rFonts w:hint="eastAsia" w:ascii="宋体" w:hAnsi="宋体" w:eastAsia="宋体" w:cs="宋体"/>
          <w:color w:val="auto"/>
          <w:sz w:val="21"/>
          <w:szCs w:val="21"/>
          <w:highlight w:val="none"/>
        </w:rPr>
        <w:t>裁委员会依申请仲裁时其现行有效的仲裁规则裁决；</w:t>
      </w:r>
    </w:p>
    <w:p w14:paraId="440ABE16">
      <w:pPr>
        <w:adjustRightInd w:val="0"/>
        <w:snapToGrid w:val="0"/>
        <w:spacing w:line="360" w:lineRule="auto"/>
        <w:ind w:right="-632" w:rightChars="-200"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b/>
          <w:iCs/>
          <w:color w:val="auto"/>
          <w:sz w:val="21"/>
          <w:szCs w:val="21"/>
          <w:highlight w:val="none"/>
          <w:u w:val="single"/>
        </w:rPr>
        <w:t>甲方所在地</w:t>
      </w:r>
      <w:r>
        <w:rPr>
          <w:rFonts w:hint="eastAsia" w:ascii="宋体" w:hAnsi="宋体" w:eastAsia="宋体" w:cs="宋体"/>
          <w:color w:val="auto"/>
          <w:sz w:val="21"/>
          <w:szCs w:val="21"/>
          <w:highlight w:val="none"/>
        </w:rPr>
        <w:t>人民法院起诉。</w:t>
      </w:r>
    </w:p>
    <w:bookmarkEnd w:id="178"/>
    <w:bookmarkEnd w:id="179"/>
    <w:bookmarkEnd w:id="180"/>
    <w:p w14:paraId="07509B5E">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十三、合同生效</w:t>
      </w:r>
    </w:p>
    <w:p w14:paraId="3F1573E0">
      <w:pPr>
        <w:pStyle w:val="51"/>
        <w:ind w:left="0" w:leftChars="0" w:firstLine="412"/>
        <w:jc w:val="left"/>
        <w:rPr>
          <w:rFonts w:hint="eastAsia" w:ascii="宋体" w:hAnsi="宋体" w:eastAsia="宋体" w:cs="宋体"/>
          <w:b/>
          <w:color w:val="auto"/>
          <w:sz w:val="21"/>
          <w:highlight w:val="none"/>
        </w:rPr>
      </w:pPr>
      <w:r>
        <w:rPr>
          <w:rFonts w:hint="eastAsia" w:ascii="宋体" w:hAnsi="宋体" w:eastAsia="宋体" w:cs="宋体"/>
          <w:color w:val="auto"/>
          <w:sz w:val="21"/>
          <w:highlight w:val="none"/>
        </w:rPr>
        <w:t>本合同自双方盖章、签字时生效。合同份数按</w:t>
      </w:r>
      <w:r>
        <w:rPr>
          <w:rFonts w:hint="eastAsia" w:ascii="宋体" w:hAnsi="宋体" w:eastAsia="宋体" w:cs="宋体"/>
          <w:b/>
          <w:bCs/>
          <w:color w:val="auto"/>
          <w:sz w:val="21"/>
          <w:highlight w:val="none"/>
          <w:u w:val="single"/>
        </w:rPr>
        <w:t>一式四份</w:t>
      </w:r>
      <w:r>
        <w:rPr>
          <w:rFonts w:hint="eastAsia" w:ascii="宋体" w:hAnsi="宋体" w:eastAsia="宋体" w:cs="宋体"/>
          <w:color w:val="auto"/>
          <w:sz w:val="21"/>
          <w:highlight w:val="none"/>
        </w:rPr>
        <w:t>规定，</w:t>
      </w:r>
      <w:r>
        <w:rPr>
          <w:rFonts w:hint="eastAsia" w:ascii="宋体" w:hAnsi="宋体" w:eastAsia="宋体" w:cs="宋体"/>
          <w:bCs/>
          <w:color w:val="auto"/>
          <w:sz w:val="21"/>
          <w:highlight w:val="none"/>
        </w:rPr>
        <w:t>第二章合同一般条款</w:t>
      </w:r>
      <w:r>
        <w:rPr>
          <w:rFonts w:hint="eastAsia" w:ascii="宋体" w:hAnsi="宋体" w:eastAsia="宋体" w:cs="宋体"/>
          <w:color w:val="auto"/>
          <w:sz w:val="21"/>
          <w:highlight w:val="none"/>
        </w:rPr>
        <w:t>、第三章</w:t>
      </w:r>
      <w:r>
        <w:rPr>
          <w:rFonts w:hint="eastAsia" w:ascii="宋体" w:hAnsi="宋体" w:cs="宋体"/>
          <w:color w:val="auto"/>
          <w:sz w:val="21"/>
          <w:highlight w:val="none"/>
          <w:lang w:val="en-US" w:eastAsia="zh-CN"/>
        </w:rPr>
        <w:t>安全协议</w:t>
      </w:r>
      <w:r>
        <w:rPr>
          <w:rFonts w:hint="eastAsia" w:ascii="宋体" w:hAnsi="宋体" w:cs="宋体"/>
          <w:color w:val="auto"/>
          <w:sz w:val="21"/>
          <w:highlight w:val="none"/>
          <w:lang w:eastAsia="zh-CN"/>
        </w:rPr>
        <w:t>、</w:t>
      </w:r>
      <w:r>
        <w:rPr>
          <w:rFonts w:hint="eastAsia" w:ascii="宋体" w:hAnsi="宋体" w:cs="宋体"/>
          <w:color w:val="auto"/>
          <w:sz w:val="21"/>
          <w:highlight w:val="none"/>
          <w:lang w:val="en-US" w:eastAsia="zh-CN"/>
        </w:rPr>
        <w:t>第四章</w:t>
      </w:r>
      <w:r>
        <w:rPr>
          <w:rFonts w:hint="eastAsia" w:ascii="宋体" w:hAnsi="宋体" w:eastAsia="宋体" w:cs="宋体"/>
          <w:color w:val="auto"/>
          <w:sz w:val="21"/>
          <w:highlight w:val="none"/>
        </w:rPr>
        <w:t>廉洁协议为本合同不可分割的一部分，均具有同等法律效力。</w:t>
      </w:r>
    </w:p>
    <w:p w14:paraId="354C4371">
      <w:pPr>
        <w:pStyle w:val="51"/>
        <w:ind w:left="0" w:leftChars="0" w:firstLine="0" w:firstLineChars="0"/>
        <w:jc w:val="center"/>
        <w:outlineLvl w:val="1"/>
        <w:rPr>
          <w:rFonts w:hint="eastAsia" w:ascii="宋体" w:hAnsi="宋体" w:eastAsia="宋体" w:cs="宋体"/>
          <w:b/>
          <w:color w:val="auto"/>
          <w:sz w:val="21"/>
          <w:highlight w:val="none"/>
        </w:rPr>
      </w:pPr>
      <w:bookmarkStart w:id="181" w:name="_Toc27702"/>
      <w:r>
        <w:rPr>
          <w:rFonts w:hint="eastAsia" w:ascii="宋体" w:hAnsi="宋体" w:eastAsia="宋体" w:cs="宋体"/>
          <w:b/>
          <w:color w:val="auto"/>
          <w:sz w:val="21"/>
          <w:highlight w:val="none"/>
        </w:rPr>
        <w:t>第二章 合同一般条款</w:t>
      </w:r>
      <w:bookmarkEnd w:id="181"/>
    </w:p>
    <w:p w14:paraId="37DDE800">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182" w:name="_Ref467379109"/>
      <w:bookmarkStart w:id="183" w:name="_Ref467379225"/>
      <w:bookmarkStart w:id="184" w:name="_Toc259093669"/>
      <w:bookmarkStart w:id="185" w:name="_Ref467379214"/>
      <w:bookmarkStart w:id="186" w:name="_Ref467378499"/>
      <w:bookmarkStart w:id="187" w:name="_Toc487900349"/>
      <w:bookmarkStart w:id="188" w:name="_Toc16917"/>
      <w:bookmarkStart w:id="189" w:name="_Ref467379195"/>
      <w:bookmarkStart w:id="190" w:name="_Ref467379101"/>
      <w:bookmarkStart w:id="191" w:name="_Toc19614"/>
      <w:bookmarkStart w:id="192" w:name="_Ref467379094"/>
      <w:bookmarkStart w:id="193" w:name="_Toc28763"/>
      <w:bookmarkStart w:id="194" w:name="_Toc279701240"/>
      <w:bookmarkStart w:id="195" w:name="_Ref467379205"/>
      <w:bookmarkStart w:id="196" w:name="_Ref467378404"/>
      <w:bookmarkStart w:id="197" w:name="_Ref467378463"/>
      <w:r>
        <w:rPr>
          <w:rFonts w:hint="eastAsia" w:ascii="宋体" w:hAnsi="宋体" w:eastAsia="宋体" w:cs="宋体"/>
          <w:b/>
          <w:color w:val="auto"/>
          <w:sz w:val="21"/>
          <w:szCs w:val="21"/>
          <w:highlight w:val="none"/>
        </w:rPr>
        <w:t>一、 定义</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48B8ACF">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本合同中的下列词语应按以下内容进行解释：</w:t>
      </w:r>
    </w:p>
    <w:p w14:paraId="1BE120AD">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1.“合同”系指招标人和中标或成交投标人签订的载明双方当事人所达成的协议，并包括所有的附件、附录和构成合同的其他文件。</w:t>
      </w:r>
    </w:p>
    <w:p w14:paraId="24EA3EC8">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2.“合同价”系指根据合同约定，中标或成交投标人在完全履行合同义务后，招标人应支付给中标或成交投标人的价格。</w:t>
      </w:r>
    </w:p>
    <w:p w14:paraId="5D8DD321">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3.“货物”系指中标或成交投标人根据合同约定应向招标人交付的一切各种形态和种类的物品，包括设备、机械、计算机软件、</w:t>
      </w:r>
      <w:r>
        <w:rPr>
          <w:rFonts w:hint="eastAsia" w:ascii="宋体" w:hAnsi="宋体" w:eastAsia="宋体" w:cs="宋体"/>
          <w:color w:val="auto"/>
          <w:sz w:val="21"/>
          <w:szCs w:val="21"/>
          <w:highlight w:val="none"/>
          <w:lang w:val="en-US" w:eastAsia="zh-CN"/>
        </w:rPr>
        <w:t>辅助材料</w:t>
      </w:r>
      <w:r>
        <w:rPr>
          <w:rFonts w:hint="eastAsia" w:ascii="宋体" w:hAnsi="宋体" w:eastAsia="宋体" w:cs="宋体"/>
          <w:color w:val="auto"/>
          <w:sz w:val="21"/>
          <w:szCs w:val="21"/>
          <w:highlight w:val="none"/>
        </w:rPr>
        <w:t>等，并包括工具、手册等其他相关资料。</w:t>
      </w:r>
    </w:p>
    <w:p w14:paraId="4F462337">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98" w:name="_Ref467378840"/>
      <w:r>
        <w:rPr>
          <w:rFonts w:hint="eastAsia" w:ascii="宋体" w:hAnsi="宋体" w:eastAsia="宋体" w:cs="宋体"/>
          <w:color w:val="auto"/>
          <w:sz w:val="21"/>
          <w:szCs w:val="21"/>
          <w:highlight w:val="none"/>
        </w:rPr>
        <w:t>4. “甲方”系指与中标或成交投标人签署合同的</w:t>
      </w:r>
      <w:bookmarkEnd w:id="198"/>
      <w:r>
        <w:rPr>
          <w:rFonts w:hint="eastAsia" w:ascii="宋体" w:hAnsi="宋体" w:eastAsia="宋体" w:cs="宋体"/>
          <w:color w:val="auto"/>
          <w:sz w:val="21"/>
          <w:szCs w:val="21"/>
          <w:highlight w:val="none"/>
        </w:rPr>
        <w:t>招标人；招标人委托采购代理机构代表其与乙方签订合同的，招标人的授权委托书作为合同附件。</w:t>
      </w:r>
    </w:p>
    <w:p w14:paraId="6304AAB5">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199" w:name="_Ref467379400"/>
      <w:r>
        <w:rPr>
          <w:rFonts w:hint="eastAsia" w:ascii="宋体" w:hAnsi="宋体" w:eastAsia="宋体" w:cs="宋体"/>
          <w:color w:val="auto"/>
          <w:sz w:val="21"/>
          <w:szCs w:val="21"/>
          <w:highlight w:val="none"/>
        </w:rPr>
        <w:t>5.“乙方”系指根据合同约定交付货物的中标或成交</w:t>
      </w:r>
      <w:bookmarkEnd w:id="199"/>
      <w:r>
        <w:rPr>
          <w:rFonts w:hint="eastAsia" w:ascii="宋体" w:hAnsi="宋体" w:eastAsia="宋体" w:cs="宋体"/>
          <w:color w:val="auto"/>
          <w:sz w:val="21"/>
          <w:szCs w:val="21"/>
          <w:highlight w:val="none"/>
        </w:rPr>
        <w:t>投标人；两个以上的自然人、法人或者其他组织组成一个联合体，以一个投标人的身份共同参加政府采购的，联合体各方均应为乙方或者与乙方相同地位的合同当事人，并就合同约定的事项对甲方承担连带责任。</w:t>
      </w:r>
    </w:p>
    <w:p w14:paraId="68FE0C26">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00" w:name="_Ref467379436"/>
      <w:r>
        <w:rPr>
          <w:rFonts w:hint="eastAsia" w:ascii="宋体" w:hAnsi="宋体" w:eastAsia="宋体" w:cs="宋体"/>
          <w:color w:val="auto"/>
          <w:sz w:val="21"/>
          <w:szCs w:val="21"/>
          <w:highlight w:val="none"/>
        </w:rPr>
        <w:t>6.“现场”系指合同约定货物将要运的地点。</w:t>
      </w:r>
      <w:bookmarkEnd w:id="200"/>
    </w:p>
    <w:p w14:paraId="4F2088A7">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01" w:name="_Toc27635"/>
      <w:bookmarkStart w:id="202" w:name="_Toc279701241"/>
      <w:bookmarkStart w:id="203" w:name="_Toc259093670"/>
      <w:bookmarkStart w:id="204" w:name="_Toc487900350"/>
      <w:bookmarkStart w:id="205" w:name="_Toc13336"/>
      <w:bookmarkStart w:id="206" w:name="_Toc32504"/>
      <w:r>
        <w:rPr>
          <w:rFonts w:hint="eastAsia" w:ascii="宋体" w:hAnsi="宋体" w:eastAsia="宋体" w:cs="宋体"/>
          <w:b/>
          <w:color w:val="auto"/>
          <w:sz w:val="21"/>
          <w:szCs w:val="21"/>
          <w:highlight w:val="none"/>
        </w:rPr>
        <w:t>二、技术规范</w:t>
      </w:r>
      <w:bookmarkEnd w:id="201"/>
      <w:bookmarkEnd w:id="202"/>
      <w:bookmarkEnd w:id="203"/>
      <w:bookmarkEnd w:id="204"/>
      <w:bookmarkEnd w:id="205"/>
      <w:bookmarkEnd w:id="206"/>
    </w:p>
    <w:p w14:paraId="29A82A54">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6D23E6C">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07" w:name="_Toc279701242"/>
      <w:bookmarkStart w:id="208" w:name="_Toc9829"/>
      <w:bookmarkStart w:id="209" w:name="_Toc487900351"/>
      <w:bookmarkStart w:id="210" w:name="_Toc259093671"/>
      <w:bookmarkStart w:id="211" w:name="_Toc27853"/>
      <w:bookmarkStart w:id="212" w:name="_Toc31634"/>
      <w:r>
        <w:rPr>
          <w:rFonts w:hint="eastAsia" w:ascii="宋体" w:hAnsi="宋体" w:eastAsia="宋体" w:cs="宋体"/>
          <w:b/>
          <w:color w:val="auto"/>
          <w:sz w:val="21"/>
          <w:szCs w:val="21"/>
          <w:highlight w:val="none"/>
        </w:rPr>
        <w:t>三、知识产权</w:t>
      </w:r>
      <w:bookmarkEnd w:id="207"/>
      <w:bookmarkEnd w:id="208"/>
      <w:bookmarkEnd w:id="209"/>
      <w:bookmarkEnd w:id="210"/>
      <w:bookmarkEnd w:id="211"/>
      <w:bookmarkEnd w:id="212"/>
    </w:p>
    <w:p w14:paraId="00E39CA9">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3440114">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2.具有知识产权的计算机软件等货物的知识产权归属，双方另行商定签订协议。</w:t>
      </w:r>
    </w:p>
    <w:p w14:paraId="1DD5EC33">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13" w:name="_Toc29149"/>
      <w:bookmarkStart w:id="214" w:name="_Toc11932"/>
      <w:bookmarkStart w:id="215" w:name="_Toc4194"/>
      <w:r>
        <w:rPr>
          <w:rFonts w:hint="eastAsia" w:ascii="宋体" w:hAnsi="宋体" w:eastAsia="宋体" w:cs="宋体"/>
          <w:b/>
          <w:color w:val="auto"/>
          <w:sz w:val="21"/>
          <w:szCs w:val="21"/>
          <w:highlight w:val="none"/>
        </w:rPr>
        <w:t>四、装运包装</w:t>
      </w:r>
      <w:bookmarkEnd w:id="213"/>
      <w:bookmarkEnd w:id="214"/>
      <w:bookmarkEnd w:id="215"/>
      <w:r>
        <w:rPr>
          <w:rFonts w:hint="eastAsia" w:ascii="宋体" w:hAnsi="宋体" w:eastAsia="宋体" w:cs="宋体"/>
          <w:b/>
          <w:color w:val="auto"/>
          <w:sz w:val="21"/>
          <w:szCs w:val="21"/>
          <w:highlight w:val="none"/>
        </w:rPr>
        <w:t>及交付要求</w:t>
      </w:r>
    </w:p>
    <w:p w14:paraId="7ECEF6CA">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A4448AA">
      <w:pPr>
        <w:adjustRightInd w:val="0"/>
        <w:snapToGrid w:val="0"/>
        <w:spacing w:line="360" w:lineRule="auto"/>
        <w:ind w:firstLine="41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2.乙方交付货物的要求如下：</w:t>
      </w:r>
    </w:p>
    <w:p w14:paraId="3FCC0855">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（1）乙方送货每批物资必须附甲方采购订单、送货单、合格证或者检测报告，否则甲方有权拒收；</w:t>
      </w:r>
    </w:p>
    <w:p w14:paraId="1B4B33E0">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（2）送货单须完好并书面整洁，必须填写投标人名称、货物名称、规格型号、数量等信息，且均与采购订单上信息一致，同时加盖投标人单位章；</w:t>
      </w:r>
    </w:p>
    <w:p w14:paraId="1F4A676D">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（3）送货单内容、数量必须与送货实物一致，不得虚开数量，超送部分，甲方有权拒收；</w:t>
      </w:r>
    </w:p>
    <w:p w14:paraId="7C6F1594">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（4）货物外包装上必须标明物资名称、规格信息、数量等基本信息，同一货物数量尽量采用整箱或整十包装，便于甲方点数；若有破损或被挤压变形，甲方有权拒收。</w:t>
      </w:r>
    </w:p>
    <w:p w14:paraId="7460187F">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16" w:name="_Toc30272"/>
      <w:bookmarkStart w:id="217" w:name="_Toc19074"/>
      <w:bookmarkStart w:id="218" w:name="_Toc26182"/>
      <w:r>
        <w:rPr>
          <w:rFonts w:hint="eastAsia" w:ascii="宋体" w:hAnsi="宋体" w:eastAsia="宋体" w:cs="宋体"/>
          <w:b/>
          <w:color w:val="auto"/>
          <w:sz w:val="21"/>
          <w:szCs w:val="21"/>
          <w:highlight w:val="none"/>
        </w:rPr>
        <w:t>五、 履约检查和问题反馈</w:t>
      </w:r>
      <w:bookmarkEnd w:id="216"/>
      <w:bookmarkEnd w:id="217"/>
      <w:bookmarkEnd w:id="218"/>
    </w:p>
    <w:p w14:paraId="5CB7B022">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19" w:name="_Toc186431854"/>
      <w:bookmarkStart w:id="220" w:name="_Toc259093676"/>
      <w:bookmarkStart w:id="221" w:name="_Ref467379793"/>
      <w:bookmarkStart w:id="222" w:name="_Toc487900357"/>
      <w:bookmarkStart w:id="223" w:name="_Ref467379807"/>
      <w:bookmarkStart w:id="224" w:name="_Toc279701247"/>
      <w:r>
        <w:rPr>
          <w:rFonts w:hint="eastAsia" w:ascii="宋体" w:hAnsi="宋体" w:eastAsia="宋体" w:cs="宋体"/>
          <w:color w:val="auto"/>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6924FDA">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合同履行期间，甲方有权将履行过程中出现的问题反馈给乙方，双方当事人应以书面形式约定需要完善和改进的内容</w:t>
      </w:r>
      <w:bookmarkEnd w:id="219"/>
      <w:bookmarkStart w:id="225" w:name="_Toc186431855"/>
      <w:r>
        <w:rPr>
          <w:rFonts w:hint="eastAsia" w:ascii="宋体" w:hAnsi="宋体" w:eastAsia="宋体" w:cs="宋体"/>
          <w:color w:val="auto"/>
          <w:sz w:val="21"/>
          <w:szCs w:val="21"/>
          <w:highlight w:val="none"/>
        </w:rPr>
        <w:t>。</w:t>
      </w:r>
    </w:p>
    <w:bookmarkEnd w:id="220"/>
    <w:bookmarkEnd w:id="221"/>
    <w:bookmarkEnd w:id="222"/>
    <w:bookmarkEnd w:id="223"/>
    <w:bookmarkEnd w:id="224"/>
    <w:bookmarkEnd w:id="225"/>
    <w:p w14:paraId="1F76C381">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26" w:name="_Ref467379863"/>
      <w:bookmarkStart w:id="227" w:name="_Ref467379923"/>
      <w:bookmarkStart w:id="228" w:name="_Ref467379852"/>
      <w:bookmarkStart w:id="229" w:name="_Toc279701248"/>
      <w:bookmarkStart w:id="230" w:name="_Toc487900358"/>
      <w:bookmarkStart w:id="231" w:name="_Toc259093677"/>
      <w:bookmarkStart w:id="232" w:name="_Toc3225"/>
      <w:bookmarkStart w:id="233" w:name="_Toc774"/>
      <w:bookmarkStart w:id="234" w:name="_Toc16110"/>
      <w:r>
        <w:rPr>
          <w:rFonts w:hint="eastAsia" w:ascii="宋体" w:hAnsi="宋体" w:eastAsia="宋体" w:cs="宋体"/>
          <w:b/>
          <w:color w:val="auto"/>
          <w:sz w:val="21"/>
          <w:szCs w:val="21"/>
          <w:highlight w:val="none"/>
        </w:rPr>
        <w:t>六、技术资料</w:t>
      </w:r>
      <w:bookmarkEnd w:id="226"/>
      <w:bookmarkEnd w:id="227"/>
      <w:bookmarkEnd w:id="228"/>
      <w:bookmarkEnd w:id="229"/>
      <w:bookmarkEnd w:id="230"/>
      <w:bookmarkEnd w:id="231"/>
      <w:r>
        <w:rPr>
          <w:rFonts w:hint="eastAsia" w:ascii="宋体" w:hAnsi="宋体" w:eastAsia="宋体" w:cs="宋体"/>
          <w:b/>
          <w:color w:val="auto"/>
          <w:sz w:val="21"/>
          <w:szCs w:val="21"/>
          <w:highlight w:val="none"/>
        </w:rPr>
        <w:t>和保密义务</w:t>
      </w:r>
      <w:bookmarkEnd w:id="232"/>
      <w:bookmarkEnd w:id="233"/>
      <w:bookmarkEnd w:id="234"/>
    </w:p>
    <w:p w14:paraId="55182283">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1.乙方有权依据合同约定和项目需要，向甲方了解有关情况，调阅有关资料等，甲方应予积极配合；</w:t>
      </w:r>
    </w:p>
    <w:p w14:paraId="187FD395">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2.乙方有义务妥善保管和保护由甲方提供的前款信息和资料等；</w:t>
      </w:r>
    </w:p>
    <w:p w14:paraId="1D186CC7">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DF7036">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35" w:name="_Toc7860"/>
      <w:r>
        <w:rPr>
          <w:rFonts w:hint="eastAsia" w:ascii="宋体" w:hAnsi="宋体" w:eastAsia="宋体" w:cs="宋体"/>
          <w:b/>
          <w:color w:val="auto"/>
          <w:sz w:val="21"/>
          <w:szCs w:val="21"/>
          <w:highlight w:val="none"/>
        </w:rPr>
        <w:t>七、质量保证</w:t>
      </w:r>
      <w:bookmarkEnd w:id="235"/>
    </w:p>
    <w:p w14:paraId="42413C93">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乙方应保证履行合同的人员数量和素质、软件和硬件设备的配置、场地、环境和设施等满足全面履行合同的要求。</w:t>
      </w:r>
    </w:p>
    <w:p w14:paraId="1FA2E2AB">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36" w:name="_Toc17244"/>
      <w:bookmarkStart w:id="237" w:name="_Toc487900362"/>
      <w:bookmarkStart w:id="238" w:name="_Toc259093681"/>
      <w:bookmarkStart w:id="239" w:name="_Toc279701252"/>
      <w:r>
        <w:rPr>
          <w:rFonts w:hint="eastAsia" w:ascii="宋体" w:hAnsi="宋体" w:eastAsia="宋体" w:cs="宋体"/>
          <w:b/>
          <w:color w:val="auto"/>
          <w:sz w:val="21"/>
          <w:szCs w:val="21"/>
          <w:highlight w:val="none"/>
        </w:rPr>
        <w:t>八、货物的风险负担</w:t>
      </w:r>
      <w:bookmarkEnd w:id="236"/>
    </w:p>
    <w:p w14:paraId="6309F6B3">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货物或者在途货物或者交付给第一承运人后的货物毁损、灭失的风险负担由乙方承担。</w:t>
      </w:r>
    </w:p>
    <w:p w14:paraId="2E0DC600">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40" w:name="_Toc14055"/>
      <w:r>
        <w:rPr>
          <w:rFonts w:hint="eastAsia" w:ascii="宋体" w:hAnsi="宋体" w:eastAsia="宋体" w:cs="宋体"/>
          <w:b/>
          <w:color w:val="auto"/>
          <w:sz w:val="21"/>
          <w:szCs w:val="21"/>
          <w:highlight w:val="none"/>
        </w:rPr>
        <w:t>九、延迟交货</w:t>
      </w:r>
      <w:bookmarkEnd w:id="237"/>
      <w:bookmarkEnd w:id="238"/>
      <w:bookmarkEnd w:id="239"/>
      <w:bookmarkEnd w:id="240"/>
    </w:p>
    <w:p w14:paraId="00096CA9">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E987E46">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41" w:name="_Toc7502"/>
      <w:bookmarkStart w:id="242" w:name="_Toc487900364"/>
      <w:bookmarkStart w:id="243" w:name="_Ref467378121"/>
      <w:bookmarkStart w:id="244" w:name="_Toc279701254"/>
      <w:bookmarkStart w:id="245" w:name="_Toc259093683"/>
      <w:r>
        <w:rPr>
          <w:rFonts w:hint="eastAsia" w:ascii="宋体" w:hAnsi="宋体" w:eastAsia="宋体" w:cs="宋体"/>
          <w:b/>
          <w:color w:val="auto"/>
          <w:sz w:val="21"/>
          <w:szCs w:val="21"/>
          <w:highlight w:val="none"/>
        </w:rPr>
        <w:t>十、合同变更</w:t>
      </w:r>
      <w:bookmarkEnd w:id="241"/>
      <w:r>
        <w:rPr>
          <w:rFonts w:hint="eastAsia" w:ascii="宋体" w:hAnsi="宋体" w:eastAsia="宋体" w:cs="宋体"/>
          <w:b/>
          <w:color w:val="auto"/>
          <w:sz w:val="21"/>
          <w:szCs w:val="21"/>
          <w:highlight w:val="none"/>
        </w:rPr>
        <w:t>或补充</w:t>
      </w:r>
    </w:p>
    <w:p w14:paraId="2C9510F1">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46" w:name="_Toc259093688"/>
      <w:bookmarkStart w:id="247" w:name="_Toc279701259"/>
      <w:bookmarkStart w:id="248" w:name="_Toc487900369"/>
      <w:bookmarkStart w:id="249" w:name="_Toc22955"/>
      <w:bookmarkStart w:id="250" w:name="_Toc10366"/>
      <w:bookmarkStart w:id="251" w:name="_Toc15237"/>
      <w:r>
        <w:rPr>
          <w:rFonts w:hint="eastAsia" w:ascii="宋体" w:hAnsi="宋体" w:eastAsia="宋体" w:cs="宋体"/>
          <w:color w:val="auto"/>
          <w:sz w:val="21"/>
          <w:szCs w:val="21"/>
          <w:highlight w:val="none"/>
        </w:rPr>
        <w:t>1.合同继续履行将损害国家利益和社会公共利益的，双方当事人应当以书面形式变更合同。有过错的一方应当承担赔偿责任，双方当事人都有过错的，各自承担相应的责任。</w:t>
      </w:r>
    </w:p>
    <w:p w14:paraId="752B31F2">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2.本合同如有未尽事宜，双方协商解决。经双方协商后以补充协议形式书面确认，并作为本合同不可分割部分。如补充协议与本合同有不同之处，以补充协议为准。</w:t>
      </w:r>
    </w:p>
    <w:p w14:paraId="679F56F9">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3.本合同生效后，双方就质量、价款或者报酬、履行地点等内容没有约定或者约定不明确的，或者存在明显错误的，可以协议补充；不能达成补充协议的，按照合同相关条款确定。</w:t>
      </w:r>
    </w:p>
    <w:p w14:paraId="27C62B1B">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 合同转让</w:t>
      </w:r>
      <w:bookmarkEnd w:id="246"/>
      <w:bookmarkEnd w:id="247"/>
      <w:bookmarkEnd w:id="248"/>
      <w:r>
        <w:rPr>
          <w:rFonts w:hint="eastAsia" w:ascii="宋体" w:hAnsi="宋体" w:eastAsia="宋体" w:cs="宋体"/>
          <w:b/>
          <w:color w:val="auto"/>
          <w:sz w:val="21"/>
          <w:szCs w:val="21"/>
          <w:highlight w:val="none"/>
        </w:rPr>
        <w:t>和分包</w:t>
      </w:r>
      <w:bookmarkEnd w:id="249"/>
      <w:bookmarkEnd w:id="250"/>
      <w:bookmarkEnd w:id="251"/>
    </w:p>
    <w:p w14:paraId="3A1CCEF3">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4A9A80EA">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2.乙方采取分包方式履行合同的，甲方可直接向分包投标人支付款项。</w:t>
      </w:r>
    </w:p>
    <w:p w14:paraId="526C0A7D">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52" w:name="_Toc14066"/>
      <w:bookmarkStart w:id="253" w:name="_Toc13566"/>
      <w:bookmarkStart w:id="254" w:name="_Toc16508"/>
      <w:r>
        <w:rPr>
          <w:rFonts w:hint="eastAsia" w:ascii="宋体" w:hAnsi="宋体" w:eastAsia="宋体" w:cs="宋体"/>
          <w:b/>
          <w:color w:val="auto"/>
          <w:sz w:val="21"/>
          <w:szCs w:val="21"/>
          <w:highlight w:val="none"/>
        </w:rPr>
        <w:t>十二、不可抗力</w:t>
      </w:r>
      <w:bookmarkEnd w:id="252"/>
      <w:bookmarkEnd w:id="253"/>
      <w:bookmarkEnd w:id="254"/>
    </w:p>
    <w:p w14:paraId="489EE9EE">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55" w:name="_Toc6969"/>
      <w:bookmarkStart w:id="256" w:name="_Toc30676"/>
      <w:bookmarkStart w:id="257" w:name="_Toc259093684"/>
      <w:bookmarkStart w:id="258" w:name="_Toc487900365"/>
      <w:bookmarkStart w:id="259" w:name="_Toc689"/>
      <w:bookmarkStart w:id="260" w:name="_Toc279701255"/>
      <w:r>
        <w:rPr>
          <w:rFonts w:hint="eastAsia" w:ascii="宋体" w:hAnsi="宋体" w:eastAsia="宋体" w:cs="宋体"/>
          <w:color w:val="auto"/>
          <w:sz w:val="21"/>
          <w:szCs w:val="21"/>
          <w:highlight w:val="none"/>
        </w:rPr>
        <w:t>1.如果任何一方遭遇法律规定的不可抗力，致使合同履行受阻时，履行合同的期限应予延长，延长的期限应相当于不可抗力所影响的时间；</w:t>
      </w:r>
    </w:p>
    <w:p w14:paraId="2EBB0A8F">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因不可抗力致使不能实现合同目的的，当事人可以解除合同；</w:t>
      </w:r>
    </w:p>
    <w:p w14:paraId="6CC6C3A7">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3.因不可抗力致使合同有变更必要的，双方当事人应在</w:t>
      </w:r>
      <w:r>
        <w:rPr>
          <w:rFonts w:hint="eastAsia" w:ascii="宋体" w:hAnsi="宋体" w:eastAsia="宋体" w:cs="宋体"/>
          <w:color w:val="auto"/>
          <w:sz w:val="21"/>
          <w:szCs w:val="21"/>
          <w:highlight w:val="none"/>
          <w:u w:val="single"/>
        </w:rPr>
        <w:t>5个工作日</w:t>
      </w:r>
      <w:r>
        <w:rPr>
          <w:rFonts w:hint="eastAsia" w:ascii="宋体" w:hAnsi="宋体" w:eastAsia="宋体" w:cs="宋体"/>
          <w:color w:val="auto"/>
          <w:sz w:val="21"/>
          <w:szCs w:val="21"/>
          <w:highlight w:val="none"/>
        </w:rPr>
        <w:t>内以书面形式变更合同；</w:t>
      </w:r>
    </w:p>
    <w:p w14:paraId="44FC5088">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4.受不可抗力影响的一方在不可抗力发生后，应在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内以书面形式通知对方当事人，并在</w:t>
      </w:r>
      <w:r>
        <w:rPr>
          <w:rFonts w:hint="eastAsia" w:ascii="宋体" w:hAnsi="宋体" w:eastAsia="宋体" w:cs="宋体"/>
          <w:color w:val="auto"/>
          <w:sz w:val="21"/>
          <w:szCs w:val="21"/>
          <w:highlight w:val="none"/>
          <w:u w:val="single"/>
        </w:rPr>
        <w:t>3个工作日</w:t>
      </w:r>
      <w:r>
        <w:rPr>
          <w:rFonts w:hint="eastAsia" w:ascii="宋体" w:hAnsi="宋体" w:eastAsia="宋体" w:cs="宋体"/>
          <w:color w:val="auto"/>
          <w:sz w:val="21"/>
          <w:szCs w:val="21"/>
          <w:highlight w:val="none"/>
        </w:rPr>
        <w:t>内，将有关部门出具的证明文件送达对方当事人。</w:t>
      </w:r>
    </w:p>
    <w:p w14:paraId="15053BE2">
      <w:pPr>
        <w:adjustRightInd w:val="0"/>
        <w:snapToGrid w:val="0"/>
        <w:spacing w:line="360" w:lineRule="auto"/>
        <w:ind w:firstLine="41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十三、 税费</w:t>
      </w:r>
      <w:bookmarkEnd w:id="255"/>
      <w:bookmarkEnd w:id="256"/>
      <w:bookmarkEnd w:id="257"/>
      <w:bookmarkEnd w:id="258"/>
      <w:bookmarkEnd w:id="259"/>
      <w:bookmarkEnd w:id="260"/>
    </w:p>
    <w:p w14:paraId="493F949C">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与合同有关的一切税费，均按照中华人民共和国法律的相关规定。</w:t>
      </w:r>
    </w:p>
    <w:p w14:paraId="3951BD67">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61" w:name="_Toc7102"/>
      <w:bookmarkStart w:id="262" w:name="_Toc16959"/>
      <w:bookmarkStart w:id="263" w:name="_Toc259093687"/>
      <w:bookmarkStart w:id="264" w:name="_Toc279701258"/>
      <w:bookmarkStart w:id="265" w:name="_Toc487900368"/>
      <w:bookmarkStart w:id="266" w:name="_Toc8298"/>
      <w:r>
        <w:rPr>
          <w:rFonts w:hint="eastAsia" w:ascii="宋体" w:hAnsi="宋体" w:eastAsia="宋体" w:cs="宋体"/>
          <w:b/>
          <w:color w:val="auto"/>
          <w:sz w:val="21"/>
          <w:szCs w:val="21"/>
          <w:highlight w:val="none"/>
        </w:rPr>
        <w:t>十四、乙方破产</w:t>
      </w:r>
      <w:bookmarkEnd w:id="261"/>
      <w:bookmarkEnd w:id="262"/>
      <w:bookmarkEnd w:id="263"/>
      <w:bookmarkEnd w:id="264"/>
      <w:bookmarkEnd w:id="265"/>
      <w:bookmarkEnd w:id="266"/>
    </w:p>
    <w:p w14:paraId="65B2066B">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04A931E">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67" w:name="_Toc15387"/>
      <w:bookmarkStart w:id="268" w:name="_Toc6134"/>
      <w:bookmarkStart w:id="269" w:name="_Toc29333"/>
      <w:r>
        <w:rPr>
          <w:rFonts w:hint="eastAsia" w:ascii="宋体" w:hAnsi="宋体" w:eastAsia="宋体" w:cs="宋体"/>
          <w:b/>
          <w:color w:val="auto"/>
          <w:sz w:val="21"/>
          <w:szCs w:val="21"/>
          <w:highlight w:val="none"/>
        </w:rPr>
        <w:t>十五、合同中止、终止</w:t>
      </w:r>
      <w:bookmarkEnd w:id="267"/>
      <w:bookmarkEnd w:id="268"/>
      <w:bookmarkEnd w:id="269"/>
    </w:p>
    <w:p w14:paraId="1414F556">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1.双方当事人不得擅自中止或者终止合同；</w:t>
      </w:r>
    </w:p>
    <w:p w14:paraId="6A7C90B0">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2.双方当事人应当中止或者终止合同，有过错的一方应当承担赔偿责任，双方当事人都有过错的，各自承担相应的责任；</w:t>
      </w:r>
    </w:p>
    <w:p w14:paraId="2BA65169">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3.合同到期后，自动终止合同；</w:t>
      </w:r>
    </w:p>
    <w:p w14:paraId="53E2CDA7">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4.乙方完成合同约定内容的（不得超过合同总金额），自动终止合同；若在合同有效期之前完成的，提前终止合同，无须再另行签订终止补充协议，甲方按合同约定要求及时退还乙方履约保证金。</w:t>
      </w:r>
    </w:p>
    <w:p w14:paraId="1D6B4610">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5.出现违约行为的，甲方有权</w:t>
      </w:r>
      <w:r>
        <w:rPr>
          <w:rFonts w:hint="eastAsia" w:ascii="宋体" w:hAnsi="宋体" w:eastAsia="宋体" w:cs="宋体"/>
          <w:color w:val="auto"/>
          <w:sz w:val="21"/>
          <w:szCs w:val="21"/>
          <w:highlight w:val="none"/>
          <w:lang w:eastAsia="zh-CN"/>
        </w:rPr>
        <w:t>终</w:t>
      </w:r>
      <w:r>
        <w:rPr>
          <w:rFonts w:hint="eastAsia" w:ascii="宋体" w:hAnsi="宋体" w:eastAsia="宋体" w:cs="宋体"/>
          <w:color w:val="auto"/>
          <w:sz w:val="21"/>
          <w:szCs w:val="21"/>
          <w:highlight w:val="none"/>
        </w:rPr>
        <w:t>止或解除合同。</w:t>
      </w:r>
    </w:p>
    <w:bookmarkEnd w:id="242"/>
    <w:bookmarkEnd w:id="243"/>
    <w:bookmarkEnd w:id="244"/>
    <w:bookmarkEnd w:id="245"/>
    <w:p w14:paraId="6650E2DE">
      <w:pPr>
        <w:adjustRightInd w:val="0"/>
        <w:snapToGrid w:val="0"/>
        <w:spacing w:line="360" w:lineRule="auto"/>
        <w:ind w:firstLine="412" w:firstLineChars="200"/>
        <w:rPr>
          <w:rFonts w:hint="eastAsia" w:ascii="宋体" w:hAnsi="宋体" w:eastAsia="宋体" w:cs="宋体"/>
          <w:b/>
          <w:color w:val="auto"/>
          <w:sz w:val="21"/>
          <w:szCs w:val="21"/>
          <w:highlight w:val="none"/>
        </w:rPr>
      </w:pPr>
      <w:bookmarkStart w:id="270" w:name="_Toc259093690"/>
      <w:bookmarkStart w:id="271" w:name="_Toc279701261"/>
      <w:bookmarkStart w:id="272" w:name="_Toc487900371"/>
      <w:bookmarkStart w:id="273" w:name="_Toc11284"/>
      <w:bookmarkStart w:id="274" w:name="_Toc25182"/>
      <w:bookmarkStart w:id="275" w:name="_Toc19604"/>
      <w:r>
        <w:rPr>
          <w:rFonts w:hint="eastAsia" w:ascii="宋体" w:hAnsi="宋体" w:eastAsia="宋体" w:cs="宋体"/>
          <w:b/>
          <w:color w:val="auto"/>
          <w:sz w:val="21"/>
          <w:szCs w:val="21"/>
          <w:highlight w:val="none"/>
        </w:rPr>
        <w:t>十六、 通知</w:t>
      </w:r>
      <w:bookmarkEnd w:id="270"/>
      <w:bookmarkEnd w:id="271"/>
      <w:bookmarkEnd w:id="272"/>
      <w:r>
        <w:rPr>
          <w:rFonts w:hint="eastAsia" w:ascii="宋体" w:hAnsi="宋体" w:eastAsia="宋体" w:cs="宋体"/>
          <w:b/>
          <w:color w:val="auto"/>
          <w:sz w:val="21"/>
          <w:szCs w:val="21"/>
          <w:highlight w:val="none"/>
        </w:rPr>
        <w:t>和送达</w:t>
      </w:r>
      <w:bookmarkEnd w:id="273"/>
      <w:bookmarkEnd w:id="274"/>
      <w:bookmarkEnd w:id="275"/>
    </w:p>
    <w:p w14:paraId="250D040B">
      <w:pPr>
        <w:adjustRightInd w:val="0"/>
        <w:snapToGrid w:val="0"/>
        <w:spacing w:line="360" w:lineRule="auto"/>
        <w:ind w:firstLine="412" w:firstLineChars="200"/>
        <w:rPr>
          <w:rFonts w:hint="eastAsia" w:ascii="宋体" w:hAnsi="宋体" w:eastAsia="宋体" w:cs="宋体"/>
          <w:color w:val="auto"/>
          <w:sz w:val="21"/>
          <w:szCs w:val="21"/>
          <w:highlight w:val="none"/>
        </w:rPr>
      </w:pPr>
      <w:bookmarkStart w:id="276" w:name="_Toc18401"/>
      <w:bookmarkStart w:id="277" w:name="_Toc27674"/>
      <w:bookmarkStart w:id="278" w:name="_Toc30599"/>
      <w:bookmarkStart w:id="279" w:name="_Toc259093691"/>
      <w:bookmarkStart w:id="280" w:name="_Toc18540"/>
      <w:bookmarkStart w:id="281" w:name="_Toc487900372"/>
      <w:bookmarkStart w:id="282" w:name="_Toc279701262"/>
      <w:bookmarkStart w:id="283" w:name="_Toc4355"/>
      <w:r>
        <w:rPr>
          <w:rFonts w:hint="eastAsia" w:ascii="宋体" w:hAnsi="宋体" w:eastAsia="宋体" w:cs="宋体"/>
          <w:color w:val="auto"/>
          <w:sz w:val="21"/>
          <w:szCs w:val="21"/>
          <w:highlight w:val="none"/>
        </w:rPr>
        <w:t>1.任何一方因履行合同而以合同第二章尾部所列明的电子邮件发出的所有通知、文件、材料，均视为已向对方当事人送达；任何一方变更上述送达方式或者地址的，应于</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个工作日内书面通知对方当事人，在对方当事人收到有关变更通知之前，变更前的约定送达方式或者地址仍视为有效。</w:t>
      </w:r>
    </w:p>
    <w:p w14:paraId="7BABC1A5">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2.以当面交付方式送达的，交付之时视为送达；以电子邮件方式送达的，发出电子邮件之时视为送达；以邮寄方式送达的，邮件挂号寄出或者交邮之日之次日视为送达。</w:t>
      </w:r>
      <w:bookmarkEnd w:id="276"/>
      <w:bookmarkEnd w:id="277"/>
    </w:p>
    <w:p w14:paraId="63225849">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十七、 计量单位</w:t>
      </w:r>
      <w:bookmarkEnd w:id="278"/>
      <w:bookmarkEnd w:id="279"/>
      <w:bookmarkEnd w:id="280"/>
      <w:bookmarkEnd w:id="281"/>
      <w:bookmarkEnd w:id="282"/>
      <w:bookmarkEnd w:id="283"/>
    </w:p>
    <w:p w14:paraId="14BE12CC">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除技术规范中另有规定外，合同的计量单位均使用国家法定计量单位。</w:t>
      </w:r>
    </w:p>
    <w:p w14:paraId="11B53C82">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bookmarkStart w:id="284" w:name="_Toc259093692"/>
      <w:bookmarkStart w:id="285" w:name="_Toc18567"/>
      <w:bookmarkStart w:id="286" w:name="_Toc487900373"/>
      <w:bookmarkStart w:id="287" w:name="_Toc10330"/>
      <w:bookmarkStart w:id="288" w:name="_Toc279701263"/>
      <w:bookmarkStart w:id="289" w:name="_Toc12773"/>
      <w:r>
        <w:rPr>
          <w:rFonts w:hint="eastAsia" w:ascii="宋体" w:hAnsi="宋体" w:eastAsia="宋体" w:cs="宋体"/>
          <w:b/>
          <w:color w:val="auto"/>
          <w:sz w:val="21"/>
          <w:szCs w:val="21"/>
          <w:highlight w:val="none"/>
        </w:rPr>
        <w:t>十八、合同使用的文字和适用的法律</w:t>
      </w:r>
      <w:bookmarkEnd w:id="284"/>
      <w:bookmarkEnd w:id="285"/>
      <w:bookmarkEnd w:id="286"/>
      <w:bookmarkEnd w:id="287"/>
      <w:bookmarkEnd w:id="288"/>
      <w:bookmarkEnd w:id="289"/>
    </w:p>
    <w:p w14:paraId="1D2FCF1B">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1.合同使用汉语书写、变更和解释；</w:t>
      </w:r>
    </w:p>
    <w:p w14:paraId="6420386A">
      <w:pPr>
        <w:adjustRightInd w:val="0"/>
        <w:snapToGrid w:val="0"/>
        <w:spacing w:line="360" w:lineRule="auto"/>
        <w:ind w:firstLine="412"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2.合同适用中华人民共和国法律。</w:t>
      </w:r>
    </w:p>
    <w:p w14:paraId="2E020B57">
      <w:pPr>
        <w:adjustRightInd w:val="0"/>
        <w:snapToGrid w:val="0"/>
        <w:spacing w:line="360" w:lineRule="auto"/>
        <w:ind w:firstLine="41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十九、特别提示</w:t>
      </w:r>
    </w:p>
    <w:p w14:paraId="5F5C5B0C">
      <w:pPr>
        <w:adjustRightInd w:val="0"/>
        <w:snapToGrid w:val="0"/>
        <w:spacing w:line="360" w:lineRule="auto"/>
        <w:ind w:firstLine="41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23C05A8">
      <w:pPr>
        <w:pStyle w:val="16"/>
        <w:rPr>
          <w:rFonts w:hint="eastAsia" w:ascii="宋体" w:hAnsi="宋体" w:eastAsia="宋体" w:cs="宋体"/>
          <w:b/>
          <w:bCs/>
          <w:color w:val="auto"/>
          <w:sz w:val="21"/>
          <w:szCs w:val="21"/>
          <w:highlight w:val="none"/>
          <w:u w:val="single"/>
        </w:rPr>
      </w:pPr>
    </w:p>
    <w:p w14:paraId="53A37084">
      <w:pPr>
        <w:rPr>
          <w:rFonts w:hint="eastAsia" w:ascii="宋体" w:hAnsi="宋体" w:eastAsia="宋体" w:cs="宋体"/>
          <w:color w:val="auto"/>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05307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9"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BEEE7D6">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7D0BB41">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乙方： </w:t>
            </w:r>
          </w:p>
        </w:tc>
      </w:tr>
      <w:tr w14:paraId="3AEAD6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9D1AD0B">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5A33C273">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w:t>
            </w:r>
          </w:p>
        </w:tc>
      </w:tr>
      <w:tr w14:paraId="17C409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1F9D55D">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70655DA">
            <w:pPr>
              <w:adjustRightInd w:val="0"/>
              <w:snapToGrid w:val="0"/>
              <w:spacing w:line="360" w:lineRule="auto"/>
              <w:ind w:firstLine="412"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地址：</w:t>
            </w:r>
          </w:p>
        </w:tc>
      </w:tr>
      <w:tr w14:paraId="2CA55C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9D4E346">
            <w:pPr>
              <w:adjustRightInd w:val="0"/>
              <w:snapToGrid w:val="0"/>
              <w:spacing w:line="360" w:lineRule="auto"/>
              <w:ind w:firstLine="41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w:t>
            </w:r>
            <w:r>
              <w:rPr>
                <w:rFonts w:hint="eastAsia" w:ascii="宋体" w:hAnsi="宋体" w:eastAsia="宋体" w:cs="宋体"/>
                <w:color w:val="auto"/>
                <w:sz w:val="21"/>
                <w:szCs w:val="21"/>
                <w:highlight w:val="none"/>
                <w:lang w:val="en-US" w:eastAsia="zh-CN"/>
              </w:rPr>
              <w:t>LJGS_CG@163.com</w:t>
            </w:r>
          </w:p>
        </w:tc>
        <w:tc>
          <w:tcPr>
            <w:tcW w:w="5220" w:type="dxa"/>
            <w:tcBorders>
              <w:top w:val="dotted" w:color="auto" w:sz="4" w:space="0"/>
              <w:left w:val="dotted" w:color="auto" w:sz="4" w:space="0"/>
              <w:bottom w:val="dotted" w:color="auto" w:sz="4" w:space="0"/>
              <w:right w:val="dotted" w:color="auto" w:sz="4" w:space="0"/>
            </w:tcBorders>
          </w:tcPr>
          <w:p w14:paraId="7B3437E7">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电子邮箱：</w:t>
            </w:r>
          </w:p>
        </w:tc>
      </w:tr>
      <w:tr w14:paraId="0FCAE8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036446">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4C45F4F1">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法定代表人或授权代表（签字）：</w:t>
            </w:r>
          </w:p>
        </w:tc>
      </w:tr>
      <w:tr w14:paraId="204573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0082110">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2B4CA3BD">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开户银行：</w:t>
            </w:r>
          </w:p>
        </w:tc>
      </w:tr>
      <w:tr w14:paraId="7E96FF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33ADAB">
            <w:pPr>
              <w:adjustRightInd w:val="0"/>
              <w:snapToGrid w:val="0"/>
              <w:spacing w:line="360" w:lineRule="auto"/>
              <w:ind w:firstLine="412"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3ACC04A7">
            <w:pPr>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开户账号：</w:t>
            </w:r>
          </w:p>
        </w:tc>
      </w:tr>
    </w:tbl>
    <w:p w14:paraId="7312709B">
      <w:pPr>
        <w:pStyle w:val="51"/>
        <w:spacing w:line="560" w:lineRule="exact"/>
        <w:ind w:left="0" w:leftChars="0" w:firstLine="0" w:firstLineChars="0"/>
        <w:jc w:val="center"/>
        <w:rPr>
          <w:rFonts w:hint="eastAsia" w:ascii="宋体" w:hAnsi="宋体" w:eastAsia="宋体" w:cs="宋体"/>
          <w:b/>
          <w:color w:val="auto"/>
          <w:szCs w:val="24"/>
          <w:highlight w:val="none"/>
        </w:rPr>
      </w:pPr>
    </w:p>
    <w:p w14:paraId="6A0797E3">
      <w:pPr>
        <w:pStyle w:val="51"/>
        <w:spacing w:line="560" w:lineRule="exact"/>
        <w:ind w:left="0" w:leftChars="0" w:firstLine="0" w:firstLineChars="0"/>
        <w:jc w:val="center"/>
        <w:rPr>
          <w:rFonts w:hint="eastAsia" w:ascii="宋体" w:hAnsi="宋体" w:eastAsia="宋体" w:cs="宋体"/>
          <w:b/>
          <w:color w:val="auto"/>
          <w:szCs w:val="24"/>
          <w:highlight w:val="none"/>
        </w:rPr>
      </w:pPr>
    </w:p>
    <w:p w14:paraId="0821BB0A">
      <w:pPr>
        <w:rPr>
          <w:rFonts w:hint="eastAsia" w:ascii="宋体" w:hAnsi="宋体" w:eastAsia="宋体" w:cs="宋体"/>
          <w:color w:val="auto"/>
          <w:highlight w:val="none"/>
        </w:rPr>
      </w:pPr>
    </w:p>
    <w:p w14:paraId="27A9F770">
      <w:pPr>
        <w:pStyle w:val="51"/>
        <w:ind w:left="0" w:leftChars="0" w:firstLine="0" w:firstLineChars="0"/>
        <w:jc w:val="center"/>
        <w:outlineLvl w:val="1"/>
        <w:rPr>
          <w:rFonts w:hint="eastAsia" w:ascii="宋体" w:hAnsi="宋体" w:eastAsia="宋体" w:cs="宋体"/>
          <w:b/>
          <w:color w:val="auto"/>
          <w:sz w:val="21"/>
          <w:highlight w:val="none"/>
        </w:rPr>
        <w:sectPr>
          <w:pgSz w:w="11906" w:h="16838"/>
          <w:pgMar w:top="2098" w:right="1274" w:bottom="1984" w:left="1587" w:header="851" w:footer="737" w:gutter="0"/>
          <w:cols w:space="0" w:num="1"/>
          <w:docGrid w:type="linesAndChars" w:linePitch="589" w:charSpace="-842"/>
        </w:sectPr>
      </w:pPr>
    </w:p>
    <w:p w14:paraId="10109C84">
      <w:pPr>
        <w:pStyle w:val="51"/>
        <w:ind w:left="0" w:leftChars="0" w:firstLine="0" w:firstLineChars="0"/>
        <w:jc w:val="center"/>
        <w:outlineLvl w:val="1"/>
        <w:rPr>
          <w:rFonts w:hint="eastAsia" w:ascii="宋体" w:hAnsi="宋体" w:eastAsia="宋体" w:cs="宋体"/>
          <w:b/>
          <w:color w:val="auto"/>
          <w:sz w:val="21"/>
          <w:highlight w:val="none"/>
        </w:rPr>
      </w:pPr>
      <w:bookmarkStart w:id="290" w:name="_Toc27406"/>
      <w:r>
        <w:rPr>
          <w:rFonts w:hint="eastAsia" w:ascii="宋体" w:hAnsi="宋体" w:eastAsia="宋体" w:cs="宋体"/>
          <w:b/>
          <w:color w:val="auto"/>
          <w:sz w:val="21"/>
          <w:highlight w:val="none"/>
        </w:rPr>
        <w:t>第三章  安全协议</w:t>
      </w:r>
      <w:bookmarkEnd w:id="290"/>
    </w:p>
    <w:p w14:paraId="0E54B8BD">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r>
        <w:rPr>
          <w:rFonts w:hint="eastAsia" w:ascii="宋体" w:hAnsi="宋体" w:eastAsia="宋体" w:cs="宋体"/>
          <w:color w:val="auto"/>
          <w:sz w:val="21"/>
          <w:szCs w:val="21"/>
          <w:highlight w:val="none"/>
          <w:u w:val="single"/>
        </w:rPr>
        <w:t>杭州临江环境能源有限公司（简称甲方）</w:t>
      </w:r>
      <w:r>
        <w:rPr>
          <w:rFonts w:hint="eastAsia" w:ascii="宋体" w:hAnsi="宋体" w:eastAsia="宋体" w:cs="宋体"/>
          <w:color w:val="auto"/>
          <w:sz w:val="21"/>
          <w:szCs w:val="21"/>
          <w:highlight w:val="none"/>
        </w:rPr>
        <w:t xml:space="preserve"> </w:t>
      </w:r>
    </w:p>
    <w:p w14:paraId="2EA92AE5">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承包单位：</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（简称乙方）</w:t>
      </w:r>
      <w:r>
        <w:rPr>
          <w:rFonts w:hint="eastAsia" w:ascii="宋体" w:hAnsi="宋体" w:eastAsia="宋体" w:cs="宋体"/>
          <w:color w:val="auto"/>
          <w:sz w:val="21"/>
          <w:szCs w:val="21"/>
          <w:highlight w:val="none"/>
        </w:rPr>
        <w:t xml:space="preserve"> </w:t>
      </w:r>
    </w:p>
    <w:p w14:paraId="76F47B19">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w:t>
      </w:r>
      <w:r>
        <w:rPr>
          <w:rFonts w:hint="eastAsia" w:ascii="宋体" w:hAnsi="宋体" w:eastAsia="宋体" w:cs="宋体"/>
          <w:color w:val="auto"/>
          <w:sz w:val="21"/>
          <w:szCs w:val="21"/>
          <w:highlight w:val="none"/>
          <w:u w:val="single"/>
          <w:lang w:val="en-US" w:eastAsia="zh-CN"/>
        </w:rPr>
        <w:t xml:space="preserve">   2024年-2026年临江公司水泥采购项目 </w:t>
      </w:r>
      <w:r>
        <w:rPr>
          <w:rFonts w:hint="eastAsia" w:ascii="宋体" w:hAnsi="宋体" w:eastAsia="宋体" w:cs="宋体"/>
          <w:color w:val="auto"/>
          <w:sz w:val="21"/>
          <w:szCs w:val="21"/>
          <w:highlight w:val="none"/>
        </w:rPr>
        <w:t xml:space="preserve">  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D07500A">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一、服务项目 </w:t>
      </w:r>
    </w:p>
    <w:p w14:paraId="3BFB95F3">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1.项目名称：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2024年-2026年临江公司水泥采购项目</w:t>
      </w:r>
      <w:r>
        <w:rPr>
          <w:rFonts w:hint="eastAsia" w:ascii="宋体" w:hAnsi="宋体" w:eastAsia="宋体" w:cs="宋体"/>
          <w:color w:val="auto"/>
          <w:sz w:val="21"/>
          <w:szCs w:val="21"/>
          <w:highlight w:val="none"/>
        </w:rPr>
        <w:t xml:space="preserve">        </w:t>
      </w:r>
    </w:p>
    <w:p w14:paraId="7A2523AF">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2.项目地址：位于浙江省杭州钱塘区临江街道杭州临江环境能源有限公司厂区内。 </w:t>
      </w:r>
    </w:p>
    <w:p w14:paraId="10382523">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二、甲方职责</w:t>
      </w:r>
    </w:p>
    <w:p w14:paraId="482CB4DD">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1.甲方对乙方资质进行审查，确保符合要求，并为乙方正常服务场所工作提供便利，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项目实施前就各实施区域的现状及周边情况向乙方进行交底。如：实施项目周边的电缆线、消防管道及排水沟及周边车辆行驶情况等。</w:t>
      </w:r>
    </w:p>
    <w:p w14:paraId="01E701BC">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2.为本项目指定专人负责具体的联系沟通工作。</w:t>
      </w:r>
    </w:p>
    <w:p w14:paraId="046A3BD0">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3.做好与本项目有关的其他各级单位的沟通协调工作。</w:t>
      </w:r>
    </w:p>
    <w:p w14:paraId="5193A2FC">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三、乙方职责</w:t>
      </w:r>
    </w:p>
    <w:p w14:paraId="0C48CD6E">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乙方应落实</w:t>
      </w:r>
      <w:r>
        <w:rPr>
          <w:rFonts w:hint="eastAsia" w:ascii="宋体" w:hAnsi="宋体" w:eastAsia="宋体" w:cs="宋体"/>
          <w:color w:val="auto"/>
          <w:sz w:val="21"/>
          <w:szCs w:val="21"/>
          <w:highlight w:val="none"/>
        </w:rPr>
        <w:t>安全管理人员</w:t>
      </w:r>
      <w:r>
        <w:rPr>
          <w:rFonts w:hint="eastAsia" w:ascii="宋体" w:hAnsi="宋体" w:eastAsia="宋体" w:cs="宋体"/>
          <w:color w:val="auto"/>
          <w:sz w:val="21"/>
          <w:szCs w:val="21"/>
          <w:highlight w:val="none"/>
          <w:lang w:val="en-US" w:eastAsia="zh-CN"/>
        </w:rPr>
        <w:t>和安全管理措施</w:t>
      </w:r>
      <w:r>
        <w:rPr>
          <w:rFonts w:hint="eastAsia" w:ascii="宋体" w:hAnsi="宋体" w:eastAsia="宋体" w:cs="宋体"/>
          <w:color w:val="auto"/>
          <w:sz w:val="21"/>
          <w:szCs w:val="21"/>
          <w:highlight w:val="none"/>
        </w:rPr>
        <w:t>。</w:t>
      </w:r>
    </w:p>
    <w:p w14:paraId="7A9E3E37">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2.乙方在项目服务期间，必须对工作人员进行安全生产教育，落实安全技术交底工作，确保各类专业技术人员持证上岗。</w:t>
      </w:r>
    </w:p>
    <w:p w14:paraId="2272CD6F">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3.乙方应遵守甲方相关的安全生产管理制度，在禁烟区内严禁吸烟以及擅自动用各类明火（动用需经审批），并在现场设置灭火器材及警示标识。</w:t>
      </w:r>
    </w:p>
    <w:p w14:paraId="6AE49B5A">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4.乙方在项目服务期间应严格按照用电规范要求，严禁私拉乱接电线，各类电器、照明设备必须使用防爆产品或设置防爆装置。</w:t>
      </w:r>
    </w:p>
    <w:p w14:paraId="1FEAC1F0">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5.乙方内部要建立安全生产检查制度、落实自查自检，按“定人、定时间、定措施”的隐患整改原则，消除现场不安全因素。</w:t>
      </w:r>
    </w:p>
    <w:p w14:paraId="5772C5ED">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6．安全、规范、文明、科学作业，不损坏甲方的地上地下各类设施，确保项目实施区域安全有序。</w:t>
      </w:r>
    </w:p>
    <w:p w14:paraId="34F5367C">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7.接受甲方的监督检查。</w:t>
      </w:r>
    </w:p>
    <w:p w14:paraId="68B09A17">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0AC67EE9">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1.在项目服务过程中，乙方必须做到安全生产，并服从甲方管理人员的调度指挥，有下列行为的，乙方扣罚履约保证金500-1000元/次：</w:t>
      </w:r>
    </w:p>
    <w:p w14:paraId="22AD8631">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不服从甲方指挥，强令冒险作业；</w:t>
      </w:r>
    </w:p>
    <w:p w14:paraId="300FEB48">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未按要求参加甲方组织的各项安全检查、会议活动；</w:t>
      </w:r>
    </w:p>
    <w:p w14:paraId="368BFA53">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工作人员在禁烟区擅自动火、吸烟；</w:t>
      </w:r>
    </w:p>
    <w:p w14:paraId="21FAF553">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工作人员未按规定穿戴劳动防护用品，经劝说不听或不服从管理的；</w:t>
      </w:r>
    </w:p>
    <w:p w14:paraId="587276B0">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项目服务过程造成环境影响。</w:t>
      </w:r>
    </w:p>
    <w:p w14:paraId="3DF02D1F">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2.乙方在项目服务过程中有下列行为的，扣罚履约保证金5000元/次：</w:t>
      </w:r>
    </w:p>
    <w:p w14:paraId="0180FFC0">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由于乙方原因造成甲方被主管单位、新闻媒体、12345公开电话投诉或其他上级有关部门书面警告等通报批评的；</w:t>
      </w:r>
    </w:p>
    <w:p w14:paraId="39F6255C">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乙方未履行职责，经甲方三次书面警告的，进行停业整顿的，每次停业整顿。</w:t>
      </w:r>
    </w:p>
    <w:p w14:paraId="4C0D391F">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3.乙方项目服务人员无证驾驶车辆（设备）、特殊工种无证上岗、消防器材配置缺损已提醒二十四小时无改进措施等现象，扣罚保证金2000元/人·次。</w:t>
      </w:r>
    </w:p>
    <w:p w14:paraId="3C2EED44">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4.乙方在项目服务过程中，对甲方的设施、绿化道路造成影响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乙方应按甲方要求及时进行原貌恢复或清理，如乙方未能及时进行处理的，甲方有权委托相关部门执行，相应费用在乙方履约保证金中扣除。</w:t>
      </w:r>
    </w:p>
    <w:p w14:paraId="67B852AF">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E73EF76">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1"/>
          <w:szCs w:val="21"/>
          <w:highlight w:val="none"/>
          <w:lang w:eastAsia="zh-CN"/>
        </w:rPr>
        <w:t>送往</w:t>
      </w:r>
      <w:r>
        <w:rPr>
          <w:rFonts w:hint="eastAsia" w:ascii="宋体" w:hAnsi="宋体" w:eastAsia="宋体" w:cs="宋体"/>
          <w:color w:val="auto"/>
          <w:sz w:val="21"/>
          <w:szCs w:val="21"/>
          <w:highlight w:val="none"/>
        </w:rPr>
        <w:t>就近医院。</w:t>
      </w:r>
    </w:p>
    <w:p w14:paraId="4340E3E5">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7.在项目服务期间，乙方发生的安全事故以及造成的人员或财产损失由乙方全额负责。</w:t>
      </w:r>
    </w:p>
    <w:p w14:paraId="4A247992">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8.其他违反甲方相关安全规章制度的现象，根据违规情况每次酌情扣罚履约保证金200—1000元。</w:t>
      </w:r>
    </w:p>
    <w:p w14:paraId="15EC6ACD">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w:t>
      </w:r>
    </w:p>
    <w:p w14:paraId="38E38CE3">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本协议有效期为双方签署之日起至双方权利义务履行完毕为止。有效期内发生的违约事实，有效期后发现的适用本协议。</w:t>
      </w:r>
    </w:p>
    <w:p w14:paraId="68106F10">
      <w:pPr>
        <w:pStyle w:val="51"/>
        <w:ind w:left="0" w:leftChars="0" w:firstLine="0" w:firstLineChars="0"/>
        <w:jc w:val="center"/>
        <w:outlineLvl w:val="1"/>
        <w:rPr>
          <w:rFonts w:hint="eastAsia" w:ascii="宋体" w:hAnsi="宋体" w:eastAsia="宋体" w:cs="宋体"/>
          <w:b/>
          <w:color w:val="auto"/>
          <w:sz w:val="21"/>
          <w:highlight w:val="none"/>
        </w:rPr>
        <w:sectPr>
          <w:pgSz w:w="11906" w:h="16838"/>
          <w:pgMar w:top="2098" w:right="1274" w:bottom="1984" w:left="1587" w:header="851" w:footer="737" w:gutter="0"/>
          <w:cols w:space="0" w:num="1"/>
          <w:docGrid w:type="linesAndChars" w:linePitch="589" w:charSpace="-842"/>
        </w:sectPr>
      </w:pPr>
    </w:p>
    <w:p w14:paraId="132A69C3">
      <w:pPr>
        <w:pStyle w:val="51"/>
        <w:ind w:left="0" w:leftChars="0" w:firstLine="0" w:firstLineChars="0"/>
        <w:jc w:val="center"/>
        <w:outlineLvl w:val="1"/>
        <w:rPr>
          <w:rFonts w:hint="eastAsia" w:ascii="宋体" w:hAnsi="宋体" w:eastAsia="宋体" w:cs="宋体"/>
          <w:b/>
          <w:color w:val="auto"/>
          <w:sz w:val="21"/>
          <w:highlight w:val="none"/>
        </w:rPr>
      </w:pPr>
      <w:bookmarkStart w:id="291" w:name="_Toc14409"/>
      <w:r>
        <w:rPr>
          <w:rFonts w:hint="eastAsia" w:ascii="宋体" w:hAnsi="宋体" w:eastAsia="宋体" w:cs="宋体"/>
          <w:b/>
          <w:color w:val="auto"/>
          <w:sz w:val="21"/>
          <w:highlight w:val="none"/>
        </w:rPr>
        <w:t>第</w:t>
      </w:r>
      <w:r>
        <w:rPr>
          <w:rFonts w:hint="eastAsia" w:ascii="宋体" w:hAnsi="宋体" w:eastAsia="宋体" w:cs="宋体"/>
          <w:b/>
          <w:color w:val="auto"/>
          <w:sz w:val="21"/>
          <w:highlight w:val="none"/>
          <w:lang w:val="en-US" w:eastAsia="zh-CN"/>
        </w:rPr>
        <w:t>四</w:t>
      </w:r>
      <w:r>
        <w:rPr>
          <w:rFonts w:hint="eastAsia" w:ascii="宋体" w:hAnsi="宋体" w:eastAsia="宋体" w:cs="宋体"/>
          <w:b/>
          <w:color w:val="auto"/>
          <w:sz w:val="21"/>
          <w:highlight w:val="none"/>
        </w:rPr>
        <w:t>章 廉洁协议</w:t>
      </w:r>
      <w:bookmarkEnd w:id="291"/>
    </w:p>
    <w:p w14:paraId="1A5FD3D8">
      <w:pPr>
        <w:pStyle w:val="9"/>
        <w:snapToGrid w:val="0"/>
        <w:ind w:firstLine="0"/>
        <w:rPr>
          <w:rFonts w:hint="eastAsia" w:ascii="宋体" w:hAnsi="宋体" w:eastAsia="宋体" w:cs="宋体"/>
          <w:color w:val="auto"/>
          <w:sz w:val="21"/>
          <w:szCs w:val="21"/>
          <w:highlight w:val="none"/>
        </w:rPr>
      </w:pPr>
    </w:p>
    <w:p w14:paraId="7F57442E">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杭州临江环境能源有限公司</w:t>
      </w:r>
    </w:p>
    <w:p w14:paraId="1FD31DEA">
      <w:pPr>
        <w:adjustRightInd w:val="0"/>
        <w:snapToGrid w:val="0"/>
        <w:spacing w:line="360" w:lineRule="auto"/>
        <w:ind w:left="1" w:right="77" w:firstLine="42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1AFAB664">
      <w:pPr>
        <w:adjustRightInd w:val="0"/>
        <w:snapToGrid w:val="0"/>
        <w:spacing w:line="360" w:lineRule="auto"/>
        <w:ind w:left="1" w:right="77"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30816B7">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一、甲、乙双方约定</w:t>
      </w:r>
    </w:p>
    <w:p w14:paraId="52D3C68B">
      <w:pPr>
        <w:adjustRightInd w:val="0"/>
        <w:snapToGrid w:val="0"/>
        <w:spacing w:line="360" w:lineRule="auto"/>
        <w:ind w:right="115"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1.甲、乙双方应共同严格遵守国家和省市以及招标人主管部门关于市场准入、项目招标投标、市场经济活动等有关法律法规和相关政策，以及项目廉政建设的各项规定。</w:t>
      </w:r>
    </w:p>
    <w:p w14:paraId="647232A0">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2.甲、乙双方应认真执行双方签订的合同文件，  自觉按合同约定履行责任。</w:t>
      </w:r>
    </w:p>
    <w:p w14:paraId="38045DD5">
      <w:pPr>
        <w:adjustRightInd w:val="0"/>
        <w:snapToGrid w:val="0"/>
        <w:spacing w:line="360" w:lineRule="auto"/>
        <w:ind w:left="4"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3.甲、乙双方的业务活动必须坚持公开、公平、公正、诚信、透明的原则（除法律法规另有规定者外）。不得为获取不正当的利益，损害国家、集体和对方利益；不得违反管理相关规章制度。</w:t>
      </w:r>
    </w:p>
    <w:p w14:paraId="5071FC63">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4.甲、乙双方有对本方人员开展廉政告知、廉政教育和职业道德教育的义务。</w:t>
      </w:r>
    </w:p>
    <w:p w14:paraId="5523FA15">
      <w:pPr>
        <w:adjustRightInd w:val="0"/>
        <w:snapToGrid w:val="0"/>
        <w:spacing w:line="360" w:lineRule="auto"/>
        <w:ind w:left="3"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5.甲、乙双方应加强对本方人员廉政监督，建立健全廉政制度，认真严肃查处本方人员违法违纪行为。</w:t>
      </w:r>
    </w:p>
    <w:p w14:paraId="3BE95BE8">
      <w:pPr>
        <w:adjustRightInd w:val="0"/>
        <w:snapToGrid w:val="0"/>
        <w:spacing w:line="360" w:lineRule="auto"/>
        <w:ind w:right="77"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1"/>
          <w:szCs w:val="21"/>
          <w:highlight w:val="none"/>
          <w:lang w:eastAsia="zh-CN"/>
        </w:rPr>
        <w:t>法定代表人</w:t>
      </w:r>
      <w:r>
        <w:rPr>
          <w:rFonts w:hint="eastAsia" w:ascii="宋体" w:hAnsi="宋体" w:eastAsia="宋体" w:cs="宋体"/>
          <w:color w:val="auto"/>
          <w:sz w:val="21"/>
          <w:szCs w:val="21"/>
          <w:highlight w:val="none"/>
        </w:rPr>
        <w:t>、纪检监察部门及检察机关如实反映情况。</w:t>
      </w:r>
    </w:p>
    <w:p w14:paraId="078AD96D">
      <w:pPr>
        <w:adjustRightInd w:val="0"/>
        <w:snapToGrid w:val="0"/>
        <w:spacing w:line="360" w:lineRule="auto"/>
        <w:ind w:firstLine="418" w:firstLineChars="20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二、甲方（含甲方人员）廉政责任</w:t>
      </w:r>
    </w:p>
    <w:p w14:paraId="012641A0">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1.不得接受乙方或向乙方索取或以借用为名占用乙方的任何财物；不得接受乙方的礼金、</w:t>
      </w:r>
    </w:p>
    <w:p w14:paraId="79D39B5D">
      <w:pPr>
        <w:adjustRightInd w:val="0"/>
        <w:snapToGrid w:val="0"/>
        <w:spacing w:line="360" w:lineRule="auto"/>
        <w:ind w:left="4" w:hanging="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礼品和各种有价证券、支付凭证及其他贵重物品；不得接受乙方的以任何名义支付的回扣、好处费、感谢费或其他经济利益。</w:t>
      </w:r>
    </w:p>
    <w:p w14:paraId="54EC3FA5">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ED354DD">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3.不得利用职务便利向乙方介绍或指定工程分包单位（或个人）、物资投标人；不得利用职务便利向乙方推销或指定使用物资设备等。</w:t>
      </w:r>
    </w:p>
    <w:p w14:paraId="040C1701">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4.不得接受乙方购置的或长期提供的通信工具、交通工具等。</w:t>
      </w:r>
    </w:p>
    <w:p w14:paraId="187A838D">
      <w:pPr>
        <w:adjustRightInd w:val="0"/>
        <w:snapToGrid w:val="0"/>
        <w:spacing w:line="360" w:lineRule="auto"/>
        <w:ind w:left="1"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5.对无法拒绝的乙方及其个人所送的钱物，受礼者自收受之日起一个月内上交至甲方监察审计部门。</w:t>
      </w:r>
    </w:p>
    <w:p w14:paraId="18EA71B4">
      <w:pPr>
        <w:adjustRightInd w:val="0"/>
        <w:snapToGrid w:val="0"/>
        <w:spacing w:line="360" w:lineRule="auto"/>
        <w:ind w:right="3503"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6.对乙方提供的有关信息，应及时调查处理并反馈结果。</w:t>
      </w:r>
    </w:p>
    <w:p w14:paraId="47F9F9AE">
      <w:pPr>
        <w:adjustRightInd w:val="0"/>
        <w:snapToGrid w:val="0"/>
        <w:spacing w:line="360" w:lineRule="auto"/>
        <w:ind w:left="366" w:leftChars="116" w:right="3503"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三、乙方（含乙方人员）廉政责任</w:t>
      </w:r>
    </w:p>
    <w:p w14:paraId="2AAD2E86">
      <w:pPr>
        <w:adjustRightInd w:val="0"/>
        <w:snapToGrid w:val="0"/>
        <w:spacing w:line="360" w:lineRule="auto"/>
        <w:ind w:right="77"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1.不得以任何形式向甲方行贿；不得向甲方送礼金、礼品和各种有价证券、支付凭证及其他贵重物品；不得以任何名义向甲方及其工作人员支付回扣、好处费、感谢费或其他经济利益。</w:t>
      </w:r>
    </w:p>
    <w:p w14:paraId="48032C9E">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00D7DCC">
      <w:pPr>
        <w:adjustRightInd w:val="0"/>
        <w:snapToGrid w:val="0"/>
        <w:spacing w:line="360" w:lineRule="auto"/>
        <w:ind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3.不得接受甲方介绍或指定的工程分包单位和物资投标人；不得接受甲方推销或指定使用的物资设备。</w:t>
      </w:r>
    </w:p>
    <w:p w14:paraId="31458E0B">
      <w:pPr>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4.不得以任何理由为甲方及其工作人员购置或长期提供通信工具、交通工具等。</w:t>
      </w:r>
    </w:p>
    <w:p w14:paraId="18B8E22B">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5.对甲方及其个人索要钱物、介绍或指定工程分包单位和物资投标人、推销或指定使用物资设备、借用占用车辆等行为予以拒绝，并及时主动向乙方上级纪检监察组织报告。</w:t>
      </w:r>
    </w:p>
    <w:p w14:paraId="0A66DD25">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6.对甲方提供的乙方（含乙方人员）违纪违规有关信息，应及时调查处理并反馈结果。</w:t>
      </w:r>
    </w:p>
    <w:p w14:paraId="30D727C1">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7.乙方不得以任何理由为甲方及其工作人员组织有可能影响公正执行公务的宴请和各类休闲娱乐等活动。</w:t>
      </w:r>
    </w:p>
    <w:p w14:paraId="1E874291">
      <w:pPr>
        <w:adjustRightInd w:val="0"/>
        <w:snapToGrid w:val="0"/>
        <w:spacing w:line="360" w:lineRule="auto"/>
        <w:ind w:left="366" w:leftChars="116" w:right="90" w:firstLine="408"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8.乙方及其工作人员必须严格按照有关规程办事，不得与其他单位互相串通，损害甲方利益。</w:t>
      </w:r>
    </w:p>
    <w:p w14:paraId="39AEE465">
      <w:pPr>
        <w:adjustRightInd w:val="0"/>
        <w:snapToGrid w:val="0"/>
        <w:spacing w:line="360" w:lineRule="auto"/>
        <w:ind w:left="366" w:leftChars="116" w:right="90" w:firstLine="408" w:firstLineChars="19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四、违约责任</w:t>
      </w:r>
    </w:p>
    <w:p w14:paraId="180D7FAE">
      <w:pPr>
        <w:adjustRightInd w:val="0"/>
        <w:snapToGrid w:val="0"/>
        <w:spacing w:line="360" w:lineRule="auto"/>
        <w:ind w:left="3" w:right="24" w:firstLine="435" w:firstLineChars="2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甲乙双方不履行各自义务，构成犯罪和违纪的，由司法机关和有关纪检监察部门按管辖依法依纪处理，所认定的事实和处理结果作为承担下列约定违约责任的依据。</w:t>
      </w:r>
    </w:p>
    <w:p w14:paraId="34ECA682">
      <w:pPr>
        <w:adjustRightInd w:val="0"/>
        <w:snapToGrid w:val="0"/>
        <w:spacing w:line="360" w:lineRule="auto"/>
        <w:ind w:left="4"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DFAD01F">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2.乙方贿赂甲方人员的，被纪检监察部门或检察机关立案查处的，甲方有权终止项目合同，由此造成甲方的损失以及一切费用均由乙方承担。</w:t>
      </w:r>
    </w:p>
    <w:p w14:paraId="0830A60C">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3.甲方双方不履行协议约定义务的，应将责任人调离本项目并按规定予以处理，且双方有义务将有关责任人的责任追究情况通报对方。</w:t>
      </w:r>
    </w:p>
    <w:p w14:paraId="73D2CFDA">
      <w:pPr>
        <w:adjustRightInd w:val="0"/>
        <w:snapToGrid w:val="0"/>
        <w:spacing w:line="360" w:lineRule="auto"/>
        <w:ind w:left="5"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FEB588F">
      <w:pPr>
        <w:adjustRightInd w:val="0"/>
        <w:snapToGrid w:val="0"/>
        <w:spacing w:line="360" w:lineRule="auto"/>
        <w:ind w:firstLine="414"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5.由于甲乙双方单位或工作人员个人行为造成违约的，双方承担上述违约责任。</w:t>
      </w:r>
    </w:p>
    <w:p w14:paraId="2095D85C">
      <w:pPr>
        <w:adjustRightInd w:val="0"/>
        <w:snapToGrid w:val="0"/>
        <w:spacing w:line="360" w:lineRule="auto"/>
        <w:ind w:left="3" w:right="24"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6.甲乙双方在履行协议中发生争议，一方有权向对方上级单位主管部门和纪检监察部门反映情况并要求帮助解决争议。</w:t>
      </w:r>
    </w:p>
    <w:p w14:paraId="389A5F07">
      <w:pPr>
        <w:adjustRightInd w:val="0"/>
        <w:snapToGrid w:val="0"/>
        <w:spacing w:line="360" w:lineRule="auto"/>
        <w:ind w:firstLine="420" w:firstLineChars="20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五、有效期</w:t>
      </w:r>
    </w:p>
    <w:p w14:paraId="182055F7">
      <w:pPr>
        <w:adjustRightInd w:val="0"/>
        <w:snapToGrid w:val="0"/>
        <w:spacing w:line="360" w:lineRule="auto"/>
        <w:ind w:firstLine="420"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本协议有效期为双方签署之日起至双方权利义务履行完毕为止。有效期内发生的违约事实，有效期后发现的适用本协议。</w:t>
      </w:r>
    </w:p>
    <w:p w14:paraId="5907CD17">
      <w:pPr>
        <w:adjustRightInd w:val="0"/>
        <w:snapToGrid w:val="0"/>
        <w:spacing w:line="360" w:lineRule="auto"/>
        <w:ind w:right="341" w:rightChars="108"/>
        <w:rPr>
          <w:rFonts w:hint="eastAsia" w:ascii="宋体" w:hAnsi="宋体" w:eastAsia="宋体" w:cs="宋体"/>
          <w:color w:val="auto"/>
          <w:sz w:val="18"/>
          <w:szCs w:val="18"/>
          <w:highlight w:val="none"/>
        </w:rPr>
      </w:pPr>
    </w:p>
    <w:sectPr>
      <w:pgSz w:w="11906" w:h="16838"/>
      <w:pgMar w:top="2098" w:right="1274"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1512A75-D882-480B-8DAF-F4AA123B531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276083B0-ED21-467C-AD2C-AA76A2AAA9D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75E2">
    <w:pPr>
      <w:pStyle w:val="14"/>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1919650D">
        <w:pPr>
          <w:pStyle w:val="14"/>
        </w:pPr>
        <w:r>
          <w:fldChar w:fldCharType="begin"/>
        </w:r>
        <w:r>
          <w:instrText xml:space="preserve">PAGE   \* MERGEFORMAT</w:instrText>
        </w:r>
        <w:r>
          <w:fldChar w:fldCharType="separate"/>
        </w:r>
        <w:r>
          <w:rPr>
            <w:lang w:val="zh-CN"/>
          </w:rPr>
          <w:t>2</w:t>
        </w:r>
        <w:r>
          <w:fldChar w:fldCharType="end"/>
        </w:r>
      </w:p>
    </w:sdtContent>
  </w:sdt>
  <w:p w14:paraId="5C43576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219307B">
        <w:pPr>
          <w:pStyle w:val="14"/>
          <w:ind w:firstLine="4500" w:firstLineChars="2500"/>
        </w:pPr>
        <w:r>
          <w:fldChar w:fldCharType="begin"/>
        </w:r>
        <w:r>
          <w:instrText xml:space="preserve">PAGE   \* MERGEFORMAT</w:instrText>
        </w:r>
        <w:r>
          <w:fldChar w:fldCharType="separate"/>
        </w:r>
        <w:r>
          <w:rPr>
            <w:lang w:val="zh-CN"/>
          </w:rPr>
          <w:t>2</w:t>
        </w:r>
        <w:r>
          <w:fldChar w:fldCharType="end"/>
        </w:r>
      </w:p>
    </w:sdtContent>
  </w:sdt>
  <w:p w14:paraId="265E8553">
    <w:pPr>
      <w:pStyle w:val="14"/>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7408E1B1">
        <w:pPr>
          <w:pStyle w:val="14"/>
          <w:ind w:firstLine="3600" w:firstLineChars="2000"/>
        </w:pPr>
        <w:r>
          <w:fldChar w:fldCharType="begin"/>
        </w:r>
        <w:r>
          <w:instrText xml:space="preserve">PAGE   \* MERGEFORMAT</w:instrText>
        </w:r>
        <w:r>
          <w:fldChar w:fldCharType="separate"/>
        </w:r>
        <w:r>
          <w:rPr>
            <w:lang w:val="zh-CN"/>
          </w:rPr>
          <w:t>2</w:t>
        </w:r>
        <w:r>
          <w:fldChar w:fldCharType="end"/>
        </w:r>
      </w:p>
    </w:sdtContent>
  </w:sdt>
  <w:p w14:paraId="495321F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E3A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30BB1">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730BB1">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BF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18298">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0318298">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A2C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B7EA">
    <w:pPr>
      <w:pStyle w:val="15"/>
      <w:jc w:val="both"/>
    </w:pPr>
  </w:p>
  <w:p w14:paraId="1863F02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2169">
    <w:pPr>
      <w:pStyle w:val="15"/>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CFFB">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5DF0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19B2B927"/>
    <w:multiLevelType w:val="singleLevel"/>
    <w:tmpl w:val="19B2B927"/>
    <w:lvl w:ilvl="0" w:tentative="0">
      <w:start w:val="1"/>
      <w:numFmt w:val="chineseCounting"/>
      <w:suff w:val="nothing"/>
      <w:lvlText w:val="%1、"/>
      <w:lvlJc w:val="left"/>
      <w:rPr>
        <w:rFonts w:hint="eastAsia"/>
      </w:rPr>
    </w:lvl>
  </w:abstractNum>
  <w:abstractNum w:abstractNumId="2">
    <w:nsid w:val="3AB83F5C"/>
    <w:multiLevelType w:val="singleLevel"/>
    <w:tmpl w:val="3AB83F5C"/>
    <w:lvl w:ilvl="0" w:tentative="0">
      <w:start w:val="12"/>
      <w:numFmt w:val="decimal"/>
      <w:suff w:val="nothing"/>
      <w:lvlText w:val="（%1）"/>
      <w:lvlJc w:val="left"/>
    </w:lvl>
  </w:abstractNum>
  <w:abstractNum w:abstractNumId="3">
    <w:nsid w:val="5877D036"/>
    <w:multiLevelType w:val="singleLevel"/>
    <w:tmpl w:val="5877D036"/>
    <w:lvl w:ilvl="0" w:tentative="0">
      <w:start w:val="1"/>
      <w:numFmt w:val="chineseCounting"/>
      <w:suff w:val="nothing"/>
      <w:lvlText w:val="%1、"/>
      <w:lvlJc w:val="left"/>
      <w:rPr>
        <w:rFonts w:hint="eastAsia"/>
      </w:rPr>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lMzgzNzAzODdiMDZkMGNhMzgzZTA2OTAxZDU1MzI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602F91"/>
    <w:rsid w:val="00605308"/>
    <w:rsid w:val="006505E9"/>
    <w:rsid w:val="00651495"/>
    <w:rsid w:val="00663C8A"/>
    <w:rsid w:val="0066604A"/>
    <w:rsid w:val="00685978"/>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462E8"/>
    <w:rsid w:val="015B3B47"/>
    <w:rsid w:val="01B23E14"/>
    <w:rsid w:val="01B96EEB"/>
    <w:rsid w:val="02A653D6"/>
    <w:rsid w:val="03973673"/>
    <w:rsid w:val="04477AA3"/>
    <w:rsid w:val="04AC0A1D"/>
    <w:rsid w:val="04E610CC"/>
    <w:rsid w:val="04FD0162"/>
    <w:rsid w:val="056921F6"/>
    <w:rsid w:val="05B844FC"/>
    <w:rsid w:val="07007DB5"/>
    <w:rsid w:val="077B00A1"/>
    <w:rsid w:val="08CE609D"/>
    <w:rsid w:val="08EC3538"/>
    <w:rsid w:val="099C7E5C"/>
    <w:rsid w:val="0B3B7059"/>
    <w:rsid w:val="0B866CC0"/>
    <w:rsid w:val="0BA15CEB"/>
    <w:rsid w:val="0E2624D8"/>
    <w:rsid w:val="0E305629"/>
    <w:rsid w:val="0E316732"/>
    <w:rsid w:val="0F702681"/>
    <w:rsid w:val="10702514"/>
    <w:rsid w:val="10D25671"/>
    <w:rsid w:val="11B6087A"/>
    <w:rsid w:val="123E0DFD"/>
    <w:rsid w:val="12655CC4"/>
    <w:rsid w:val="128503ED"/>
    <w:rsid w:val="12971B2C"/>
    <w:rsid w:val="13426006"/>
    <w:rsid w:val="13D44784"/>
    <w:rsid w:val="147C10A3"/>
    <w:rsid w:val="14A423A8"/>
    <w:rsid w:val="15FD6515"/>
    <w:rsid w:val="16CB7C6F"/>
    <w:rsid w:val="16EB42BE"/>
    <w:rsid w:val="17EE4066"/>
    <w:rsid w:val="181A1B73"/>
    <w:rsid w:val="19614D0C"/>
    <w:rsid w:val="19FD4A34"/>
    <w:rsid w:val="1A18361C"/>
    <w:rsid w:val="1B5E7755"/>
    <w:rsid w:val="1C356465"/>
    <w:rsid w:val="1DBB0E8E"/>
    <w:rsid w:val="1E8474D2"/>
    <w:rsid w:val="1F5783A2"/>
    <w:rsid w:val="203C0075"/>
    <w:rsid w:val="21CA30C9"/>
    <w:rsid w:val="21D014A7"/>
    <w:rsid w:val="21E4116E"/>
    <w:rsid w:val="221424D5"/>
    <w:rsid w:val="22252D7A"/>
    <w:rsid w:val="22820725"/>
    <w:rsid w:val="2307710F"/>
    <w:rsid w:val="233F60BE"/>
    <w:rsid w:val="23EB6A35"/>
    <w:rsid w:val="243E0123"/>
    <w:rsid w:val="25A11771"/>
    <w:rsid w:val="26485289"/>
    <w:rsid w:val="27135897"/>
    <w:rsid w:val="27205368"/>
    <w:rsid w:val="292728BE"/>
    <w:rsid w:val="29712D49"/>
    <w:rsid w:val="29F86FC6"/>
    <w:rsid w:val="2AEC647E"/>
    <w:rsid w:val="2BAC1E16"/>
    <w:rsid w:val="2C136339"/>
    <w:rsid w:val="2C1A5638"/>
    <w:rsid w:val="2CB521E5"/>
    <w:rsid w:val="2CBB7012"/>
    <w:rsid w:val="2CCA4DAC"/>
    <w:rsid w:val="2CD0188A"/>
    <w:rsid w:val="2D0143E4"/>
    <w:rsid w:val="2D1546DA"/>
    <w:rsid w:val="2D6F0569"/>
    <w:rsid w:val="2DDFE72C"/>
    <w:rsid w:val="2E7F7CB6"/>
    <w:rsid w:val="2F0A5A38"/>
    <w:rsid w:val="2F35748D"/>
    <w:rsid w:val="2F8B1E73"/>
    <w:rsid w:val="308E711C"/>
    <w:rsid w:val="31D9592F"/>
    <w:rsid w:val="32017127"/>
    <w:rsid w:val="3286655C"/>
    <w:rsid w:val="33744D0D"/>
    <w:rsid w:val="338C7379"/>
    <w:rsid w:val="3522139B"/>
    <w:rsid w:val="35425176"/>
    <w:rsid w:val="356A4012"/>
    <w:rsid w:val="35A950E7"/>
    <w:rsid w:val="36CB38C9"/>
    <w:rsid w:val="37662F96"/>
    <w:rsid w:val="37B16457"/>
    <w:rsid w:val="38042A8C"/>
    <w:rsid w:val="38966FA3"/>
    <w:rsid w:val="38AE04BE"/>
    <w:rsid w:val="396C3668"/>
    <w:rsid w:val="3A532689"/>
    <w:rsid w:val="3AF76185"/>
    <w:rsid w:val="3AFD268F"/>
    <w:rsid w:val="3C2C4FD9"/>
    <w:rsid w:val="3C3F599F"/>
    <w:rsid w:val="3E0D4FFF"/>
    <w:rsid w:val="3EB149F9"/>
    <w:rsid w:val="3F4C7741"/>
    <w:rsid w:val="4237602D"/>
    <w:rsid w:val="43F63ADC"/>
    <w:rsid w:val="44466E54"/>
    <w:rsid w:val="446071E8"/>
    <w:rsid w:val="44C6048B"/>
    <w:rsid w:val="44F87A23"/>
    <w:rsid w:val="45877A91"/>
    <w:rsid w:val="46020B59"/>
    <w:rsid w:val="46633233"/>
    <w:rsid w:val="46F37065"/>
    <w:rsid w:val="471B0FE7"/>
    <w:rsid w:val="475A49C5"/>
    <w:rsid w:val="49042E3A"/>
    <w:rsid w:val="4942492D"/>
    <w:rsid w:val="49D547D7"/>
    <w:rsid w:val="4AC54295"/>
    <w:rsid w:val="4B731F2B"/>
    <w:rsid w:val="4C5B3CD9"/>
    <w:rsid w:val="4C602AB7"/>
    <w:rsid w:val="4CB80D36"/>
    <w:rsid w:val="4D381304"/>
    <w:rsid w:val="4D3875D7"/>
    <w:rsid w:val="4D5123C6"/>
    <w:rsid w:val="4D953813"/>
    <w:rsid w:val="4ED25235"/>
    <w:rsid w:val="50FC6543"/>
    <w:rsid w:val="51287B62"/>
    <w:rsid w:val="51455647"/>
    <w:rsid w:val="51B1799A"/>
    <w:rsid w:val="523533C3"/>
    <w:rsid w:val="523C1194"/>
    <w:rsid w:val="530549C3"/>
    <w:rsid w:val="53542C10"/>
    <w:rsid w:val="53B905AF"/>
    <w:rsid w:val="53C77C7D"/>
    <w:rsid w:val="53F005F3"/>
    <w:rsid w:val="54212AF2"/>
    <w:rsid w:val="55102B67"/>
    <w:rsid w:val="55BE4C30"/>
    <w:rsid w:val="57842AAA"/>
    <w:rsid w:val="57F019BE"/>
    <w:rsid w:val="58C3686E"/>
    <w:rsid w:val="58FD6DBD"/>
    <w:rsid w:val="591064EA"/>
    <w:rsid w:val="5A1C100A"/>
    <w:rsid w:val="5A43139D"/>
    <w:rsid w:val="5A4620CF"/>
    <w:rsid w:val="5BAF30D9"/>
    <w:rsid w:val="5CA65E11"/>
    <w:rsid w:val="5D6B15C9"/>
    <w:rsid w:val="5E745606"/>
    <w:rsid w:val="5EB3711B"/>
    <w:rsid w:val="5EB80FA2"/>
    <w:rsid w:val="5ECB1541"/>
    <w:rsid w:val="5ECF1260"/>
    <w:rsid w:val="5FF33A08"/>
    <w:rsid w:val="600F393E"/>
    <w:rsid w:val="6010576E"/>
    <w:rsid w:val="613F280A"/>
    <w:rsid w:val="615F476F"/>
    <w:rsid w:val="617E0BFA"/>
    <w:rsid w:val="62507EEA"/>
    <w:rsid w:val="636649C5"/>
    <w:rsid w:val="63A64DC2"/>
    <w:rsid w:val="63A77956"/>
    <w:rsid w:val="63F35B2D"/>
    <w:rsid w:val="641B57B0"/>
    <w:rsid w:val="644D3EFB"/>
    <w:rsid w:val="64F35D38"/>
    <w:rsid w:val="652F12CE"/>
    <w:rsid w:val="656B2999"/>
    <w:rsid w:val="66BF2D70"/>
    <w:rsid w:val="67826B91"/>
    <w:rsid w:val="67FD5AEF"/>
    <w:rsid w:val="6815114A"/>
    <w:rsid w:val="68297D70"/>
    <w:rsid w:val="688A4919"/>
    <w:rsid w:val="68EC14C9"/>
    <w:rsid w:val="69076303"/>
    <w:rsid w:val="69194288"/>
    <w:rsid w:val="6A021292"/>
    <w:rsid w:val="6A2D7545"/>
    <w:rsid w:val="6AB72D3D"/>
    <w:rsid w:val="6ADB5BDE"/>
    <w:rsid w:val="6AE3374A"/>
    <w:rsid w:val="6B5A46FF"/>
    <w:rsid w:val="6BA240C1"/>
    <w:rsid w:val="6BDA065F"/>
    <w:rsid w:val="6BE75F78"/>
    <w:rsid w:val="6C980234"/>
    <w:rsid w:val="6D6F26C8"/>
    <w:rsid w:val="6DA73C10"/>
    <w:rsid w:val="6DFE4F73"/>
    <w:rsid w:val="6E893520"/>
    <w:rsid w:val="706A53C9"/>
    <w:rsid w:val="707068C7"/>
    <w:rsid w:val="720E2949"/>
    <w:rsid w:val="727339CE"/>
    <w:rsid w:val="72B82BE4"/>
    <w:rsid w:val="72F31840"/>
    <w:rsid w:val="72FE645C"/>
    <w:rsid w:val="736B3932"/>
    <w:rsid w:val="736F3422"/>
    <w:rsid w:val="73A77042"/>
    <w:rsid w:val="742442AB"/>
    <w:rsid w:val="74403DA8"/>
    <w:rsid w:val="74573C84"/>
    <w:rsid w:val="74D77BED"/>
    <w:rsid w:val="754E3B61"/>
    <w:rsid w:val="75C423FF"/>
    <w:rsid w:val="77004C52"/>
    <w:rsid w:val="77B77146"/>
    <w:rsid w:val="77BC3BB4"/>
    <w:rsid w:val="77C87FD8"/>
    <w:rsid w:val="78230A6B"/>
    <w:rsid w:val="78CC6E57"/>
    <w:rsid w:val="79022643"/>
    <w:rsid w:val="79262624"/>
    <w:rsid w:val="792A45E6"/>
    <w:rsid w:val="79FD6441"/>
    <w:rsid w:val="7AC1208A"/>
    <w:rsid w:val="7AEF4E49"/>
    <w:rsid w:val="7B786BEC"/>
    <w:rsid w:val="7D58064F"/>
    <w:rsid w:val="7DA261A2"/>
    <w:rsid w:val="7DDC7574"/>
    <w:rsid w:val="7E310BD4"/>
    <w:rsid w:val="7E6C3160"/>
    <w:rsid w:val="7FFD2121"/>
    <w:rsid w:val="B6FDFFC4"/>
    <w:rsid w:val="BCDF449D"/>
    <w:rsid w:val="BFAEBEE1"/>
    <w:rsid w:val="EFEE7D79"/>
    <w:rsid w:val="FDF9457B"/>
    <w:rsid w:val="FEBFE7B3"/>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eastAsia="宋体"/>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spacing w:after="120"/>
    </w:pPr>
    <w:rPr>
      <w:rFonts w:eastAsia="宋体"/>
      <w:sz w:val="21"/>
      <w:szCs w:val="21"/>
    </w:rPr>
  </w:style>
  <w:style w:type="paragraph" w:styleId="8">
    <w:name w:val="Body Text First Indent"/>
    <w:basedOn w:val="7"/>
    <w:next w:val="1"/>
    <w:autoRedefine/>
    <w:qFormat/>
    <w:uiPriority w:val="99"/>
    <w:pPr>
      <w:widowControl/>
      <w:ind w:firstLine="420" w:firstLineChars="100"/>
      <w:jc w:val="left"/>
    </w:pPr>
    <w:rPr>
      <w:kern w:val="0"/>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0">
    <w:name w:val="toc 5"/>
    <w:basedOn w:val="1"/>
    <w:next w:val="1"/>
    <w:autoRedefine/>
    <w:qFormat/>
    <w:uiPriority w:val="0"/>
    <w:pPr>
      <w:ind w:left="1680" w:leftChars="800"/>
    </w:pPr>
    <w:rPr>
      <w:rFonts w:eastAsia="宋体"/>
      <w:sz w:val="21"/>
    </w:rPr>
  </w:style>
  <w:style w:type="paragraph" w:styleId="11">
    <w:name w:val="Plain Text"/>
    <w:basedOn w:val="1"/>
    <w:link w:val="59"/>
    <w:autoRedefine/>
    <w:unhideWhenUsed/>
    <w:qFormat/>
    <w:uiPriority w:val="0"/>
    <w:rPr>
      <w:rFonts w:ascii="宋体" w:hAnsi="Courier New" w:eastAsia="宋体"/>
      <w:kern w:val="0"/>
      <w:sz w:val="20"/>
      <w:szCs w:val="20"/>
    </w:rPr>
  </w:style>
  <w:style w:type="paragraph" w:styleId="12">
    <w:name w:val="Date"/>
    <w:basedOn w:val="1"/>
    <w:next w:val="1"/>
    <w:autoRedefine/>
    <w:semiHidden/>
    <w:unhideWhenUsed/>
    <w:qFormat/>
    <w:uiPriority w:val="0"/>
    <w:pPr>
      <w:ind w:left="100" w:leftChars="2500"/>
    </w:pPr>
    <w:rPr>
      <w:rFonts w:eastAsia="宋体"/>
      <w:sz w:val="24"/>
    </w:rPr>
  </w:style>
  <w:style w:type="paragraph" w:styleId="13">
    <w:name w:val="Balloon Text"/>
    <w:basedOn w:val="1"/>
    <w:link w:val="32"/>
    <w:autoRedefine/>
    <w:qFormat/>
    <w:uiPriority w:val="0"/>
    <w:rPr>
      <w:sz w:val="18"/>
      <w:szCs w:val="18"/>
    </w:rPr>
  </w:style>
  <w:style w:type="paragraph" w:styleId="14">
    <w:name w:val="footer"/>
    <w:basedOn w:val="1"/>
    <w:link w:val="33"/>
    <w:autoRedefine/>
    <w:qFormat/>
    <w:uiPriority w:val="99"/>
    <w:pPr>
      <w:tabs>
        <w:tab w:val="center" w:pos="4153"/>
        <w:tab w:val="right" w:pos="8306"/>
      </w:tabs>
      <w:snapToGrid w:val="0"/>
      <w:jc w:val="left"/>
    </w:pPr>
    <w:rPr>
      <w:sz w:val="18"/>
      <w:szCs w:val="18"/>
    </w:rPr>
  </w:style>
  <w:style w:type="paragraph" w:styleId="15">
    <w:name w:val="header"/>
    <w:basedOn w:val="1"/>
    <w:next w:val="10"/>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9"/>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3"/>
    <w:autoRedefine/>
    <w:qFormat/>
    <w:uiPriority w:val="0"/>
    <w:rPr>
      <w:rFonts w:eastAsia="仿宋_GB2312"/>
      <w:kern w:val="2"/>
      <w:sz w:val="18"/>
      <w:szCs w:val="18"/>
    </w:rPr>
  </w:style>
  <w:style w:type="character" w:customStyle="1" w:styleId="33">
    <w:name w:val="页脚 字符"/>
    <w:basedOn w:val="26"/>
    <w:link w:val="14"/>
    <w:autoRedefine/>
    <w:qFormat/>
    <w:uiPriority w:val="99"/>
    <w:rPr>
      <w:rFonts w:eastAsia="仿宋_GB2312"/>
      <w:kern w:val="2"/>
      <w:sz w:val="18"/>
      <w:szCs w:val="18"/>
    </w:rPr>
  </w:style>
  <w:style w:type="character" w:customStyle="1" w:styleId="34">
    <w:name w:val="页眉 字符"/>
    <w:basedOn w:val="26"/>
    <w:link w:val="15"/>
    <w:autoRedefine/>
    <w:qFormat/>
    <w:uiPriority w:val="99"/>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5"/>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3"/>
    <w:autoRedefine/>
    <w:semiHidden/>
    <w:qFormat/>
    <w:uiPriority w:val="0"/>
    <w:rPr>
      <w:rFonts w:ascii="Calibri Light" w:hAnsi="Calibri Light" w:eastAsia="宋体" w:cs="Times New Roman"/>
      <w:b/>
      <w:bCs/>
      <w:sz w:val="32"/>
      <w:szCs w:val="32"/>
    </w:rPr>
  </w:style>
  <w:style w:type="character" w:customStyle="1" w:styleId="41">
    <w:name w:val="标题 1 字符"/>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1"/>
    <w:autoRedefine/>
    <w:qFormat/>
    <w:uiPriority w:val="0"/>
    <w:rPr>
      <w:rFonts w:ascii="宋体" w:hAnsi="Courier New"/>
    </w:rPr>
  </w:style>
  <w:style w:type="character" w:customStyle="1" w:styleId="60">
    <w:name w:val="未处理的提及1"/>
    <w:basedOn w:val="2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67</Pages>
  <Words>34776</Words>
  <Characters>37301</Characters>
  <Lines>312</Lines>
  <Paragraphs>88</Paragraphs>
  <TotalTime>13</TotalTime>
  <ScaleCrop>false</ScaleCrop>
  <LinksUpToDate>false</LinksUpToDate>
  <CharactersWithSpaces>39025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2023-11-25T10:00:00Z</dcterms:created>
  <dc:creator>pc</dc:creator>
  <cp:lastModifiedBy>阿宝</cp:lastModifiedBy>
  <cp:lastPrinted>2024-05-07T08:08:00Z</cp:lastPrinted>
  <dcterms:modified xsi:type="dcterms:W3CDTF">2024-08-21T09:01:22Z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A1BECF8CA85545C5A60C650E2A8B9245_13</vt:lpwstr>
  </property>
</Properties>
</file>