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2024年临江公司碱液脱酸系统备件采购项目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8"/>
      </w:pPr>
    </w:p>
    <w:p/>
    <w:p>
      <w:pPr>
        <w:pStyle w:val="8"/>
      </w:pPr>
    </w:p>
    <w:p/>
    <w:p>
      <w:pPr>
        <w:spacing w:line="360" w:lineRule="auto"/>
        <w:rPr>
          <w:rFonts w:cs="仿宋" w:asciiTheme="minorEastAsia" w:hAnsiTheme="minorEastAsia"/>
          <w:sz w:val="24"/>
        </w:rPr>
      </w:pPr>
    </w:p>
    <w:p>
      <w:pPr>
        <w:pStyle w:val="8"/>
        <w:rPr>
          <w:rFonts w:cs="仿宋" w:asciiTheme="minorEastAsia" w:hAnsiTheme="minorEastAsia"/>
          <w:sz w:val="24"/>
          <w:szCs w:val="24"/>
        </w:rPr>
      </w:pPr>
    </w:p>
    <w:p>
      <w:pPr>
        <w:pStyle w:val="8"/>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2024年临江公司碱液脱酸系统备件采购项目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szCs w:val="24"/>
          <w:highlight w:val="none"/>
          <w:u w:val="single"/>
          <w:lang w:val="en-US" w:eastAsia="zh-CN"/>
        </w:rPr>
        <w:t>26.5</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碱液脱酸系统备件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自合同签订生效后30天内完成</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及安装调试</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08月22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5300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eastAsia="zh-CN"/>
              </w:rPr>
              <w:t>2024年临江公司碱液脱酸系统备件采购项目</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8"/>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7"/>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left="0" w:leftChars="0" w:firstLine="0"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hint="eastAsia"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widowControl/>
        <w:shd w:val="clear" w:color="auto" w:fill="FFFFFF"/>
        <w:spacing w:line="360" w:lineRule="auto"/>
        <w:ind w:firstLine="480"/>
        <w:jc w:val="left"/>
        <w:rPr>
          <w:rFonts w:hint="eastAsia"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7"/>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7"/>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采购</w:t>
      </w:r>
      <w:r>
        <w:rPr>
          <w:rFonts w:hint="eastAsia" w:cs="仿宋" w:asciiTheme="minorEastAsia" w:hAnsiTheme="minorEastAsia"/>
          <w:sz w:val="24"/>
          <w:u w:val="single"/>
          <w:lang w:eastAsia="zh-CN"/>
        </w:rPr>
        <w:t>碱液脱酸系统</w:t>
      </w:r>
      <w:r>
        <w:rPr>
          <w:rFonts w:hint="eastAsia"/>
          <w:lang w:val="en-US" w:eastAsia="zh-CN"/>
        </w:rPr>
        <w:t>备件用于雾化器检修时可以喷碱液确保环保达标。</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482</w:t>
            </w:r>
          </w:p>
        </w:tc>
        <w:tc>
          <w:tcPr>
            <w:tcW w:w="2543"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液碱输送泵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格兰富</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型号：CR10-9A-FJ-A-E-HQQE 功率：3KW 流量：10m³/h 扬程：72.3m 最大扬程：91.8m  转速2902r/min 介质：30%氢氧化钠溶液 过流件耐酸耐碱</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不锈钢压力表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型号：Y-150B-FZ φ150，径向，精度1.6%，全密封型，安全玻璃，表壳材质304，IP65，充油耐震型，介质20%氢氧化钠，常温，压力1MPa，量程范围0~1.6MPa，过程连接G3/8 外螺纹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压力变送器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罗斯蒙特</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型号：3051GP2A2B21BM5HR5(配316材质1/4NPT外转换14转换接头) 迁移量100%，电源24VDC，精度0.075%，输出信号4~20mA+HART,两线制，电气接口规格M20*1.5，IP66，带LCD显示，介质:30%氢氧化钠，温度:常温，压力:0.3MPa，测量范围:0~1.6Mpa，过程连接NPT1/2"内螺纹:过流部件:316L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电磁流量计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正常流量1.5m³/h，最大流量：3m³/h，刻度流量0~5m³/h ，内部材料：PTFE或同等材料；电极：316L；精确度±1%，电源：220VAC 50Hz，防护等级：IP65，输出： 4~20mA HART + 脉冲 无源，液晶显示，瞬时量、累积量，参数可调，工艺介质：30%氢氧化钠、 常温；法兰连接，GB9119-2010，DN25 PN1.6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气动调节阀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型号：ZXP-16R DN25 PN16 工艺介质：30%氢氧化钠、 常温 最小/常用/最大流量m³/h：0.1/1.5/3 阀前/阀后压力MPa: 0.45/0.3 管道直径：DN25 过程连接：法兰连接 供电电源：24V 精度0.5级 带输入信号、反馈信号4-20mA 带位置反馈、集成智能定位器 不防爆、电气连接：M20*1.5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止回阀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型号：H61W-16P  DN25 PN16 连接形式：焊接 材质:304 密封材料：PTFE</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气动关断阀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型号：Q641F-16 DN25 PN16 阀体材质：304 工艺介质：20%氢氧化钠  过程连接：法兰连接 供电电源：24V  带输入信号、反馈信号4-20mA 带位置反馈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DN15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DN25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型号：ZR-YJV-0.6/1KV 芯数截面：1(4*2.5)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芯数截面：1(4*1.0)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芯数截面：1(2*2*1.0)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254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14"/>
        <w:rPr>
          <w:rFonts w:hint="eastAsia"/>
          <w:lang w:val="en-US"/>
        </w:rPr>
      </w:pPr>
    </w:p>
    <w:p>
      <w:pPr>
        <w:pStyle w:val="6"/>
        <w:numPr>
          <w:ilvl w:val="0"/>
          <w:numId w:val="0"/>
        </w:numPr>
        <w:spacing w:after="0"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bidi="ar-SA"/>
        </w:rPr>
        <w:t>1.</w:t>
      </w:r>
      <w:r>
        <w:rPr>
          <w:rFonts w:hint="eastAsia" w:ascii="宋体" w:hAnsi="宋体" w:eastAsia="宋体" w:cs="宋体"/>
          <w:b w:val="0"/>
          <w:bCs w:val="0"/>
          <w:snapToGrid/>
          <w:color w:val="auto"/>
          <w:kern w:val="2"/>
          <w:sz w:val="24"/>
          <w:szCs w:val="24"/>
        </w:rPr>
        <w:t>清单数量为</w:t>
      </w:r>
      <w:r>
        <w:rPr>
          <w:rFonts w:hint="eastAsia" w:ascii="宋体" w:hAnsi="宋体" w:eastAsia="宋体" w:cs="宋体"/>
          <w:b w:val="0"/>
          <w:bCs w:val="0"/>
          <w:snapToGrid/>
          <w:color w:val="auto"/>
          <w:kern w:val="2"/>
          <w:sz w:val="24"/>
          <w:szCs w:val="24"/>
          <w:lang w:val="en-US" w:eastAsia="zh-CN"/>
        </w:rPr>
        <w:t>采购人方案图纸的数量测算</w:t>
      </w:r>
      <w:r>
        <w:rPr>
          <w:rFonts w:hint="eastAsia" w:ascii="宋体" w:hAnsi="宋体" w:eastAsia="宋体" w:cs="宋体"/>
          <w:b w:val="0"/>
          <w:bCs w:val="0"/>
          <w:snapToGrid/>
          <w:color w:val="auto"/>
          <w:kern w:val="2"/>
          <w:sz w:val="24"/>
          <w:szCs w:val="24"/>
        </w:rPr>
        <w:t>，</w:t>
      </w:r>
      <w:r>
        <w:rPr>
          <w:rFonts w:hint="eastAsia" w:ascii="宋体" w:hAnsi="宋体" w:eastAsia="宋体" w:cs="宋体"/>
          <w:b w:val="0"/>
          <w:bCs w:val="0"/>
          <w:snapToGrid/>
          <w:color w:val="auto"/>
          <w:kern w:val="2"/>
          <w:sz w:val="24"/>
          <w:szCs w:val="24"/>
          <w:lang w:val="en-US" w:eastAsia="zh-CN"/>
        </w:rPr>
        <w:t>供应商</w:t>
      </w:r>
      <w:r>
        <w:rPr>
          <w:rFonts w:hint="eastAsia" w:hAnsi="宋体" w:eastAsia="宋体" w:cs="宋体"/>
          <w:b w:val="0"/>
          <w:bCs w:val="0"/>
          <w:snapToGrid/>
          <w:color w:val="auto"/>
          <w:kern w:val="2"/>
          <w:sz w:val="24"/>
          <w:szCs w:val="24"/>
          <w:lang w:val="en-US" w:eastAsia="zh-CN"/>
        </w:rPr>
        <w:t>可</w:t>
      </w:r>
      <w:r>
        <w:rPr>
          <w:rFonts w:hint="eastAsia" w:ascii="宋体" w:hAnsi="宋体" w:eastAsia="宋体" w:cs="宋体"/>
          <w:b w:val="0"/>
          <w:bCs w:val="0"/>
          <w:snapToGrid/>
          <w:color w:val="auto"/>
          <w:kern w:val="2"/>
          <w:sz w:val="24"/>
          <w:szCs w:val="24"/>
          <w:lang w:val="en-US" w:eastAsia="zh-CN"/>
        </w:rPr>
        <w:t>按方案图纸测算</w:t>
      </w:r>
      <w:r>
        <w:rPr>
          <w:rFonts w:hint="eastAsia" w:hAnsi="宋体" w:eastAsia="宋体" w:cs="宋体"/>
          <w:b w:val="0"/>
          <w:bCs w:val="0"/>
          <w:snapToGrid/>
          <w:color w:val="auto"/>
          <w:kern w:val="2"/>
          <w:sz w:val="24"/>
          <w:szCs w:val="24"/>
          <w:lang w:val="en-US" w:eastAsia="zh-CN"/>
        </w:rPr>
        <w:t>或自行现场确认数量，材料使用数量按实结算，</w:t>
      </w:r>
      <w:r>
        <w:rPr>
          <w:rFonts w:hint="eastAsia" w:ascii="宋体" w:hAnsi="宋体" w:eastAsia="宋体" w:cs="宋体"/>
          <w:b w:val="0"/>
          <w:bCs w:val="0"/>
          <w:snapToGrid/>
          <w:color w:val="auto"/>
          <w:kern w:val="2"/>
          <w:sz w:val="24"/>
          <w:szCs w:val="24"/>
          <w:lang w:val="en-US" w:eastAsia="zh-CN"/>
        </w:rPr>
        <w:t>方案</w:t>
      </w:r>
      <w:r>
        <w:rPr>
          <w:rFonts w:hint="eastAsia" w:hAnsi="宋体" w:eastAsia="宋体" w:cs="宋体"/>
          <w:b w:val="0"/>
          <w:bCs w:val="0"/>
          <w:snapToGrid/>
          <w:color w:val="auto"/>
          <w:kern w:val="2"/>
          <w:sz w:val="24"/>
          <w:szCs w:val="24"/>
          <w:lang w:val="en-US" w:eastAsia="zh-CN"/>
        </w:rPr>
        <w:t>简图</w:t>
      </w:r>
      <w:r>
        <w:rPr>
          <w:rFonts w:hint="eastAsia" w:ascii="宋体" w:hAnsi="宋体" w:eastAsia="宋体" w:cs="宋体"/>
          <w:b w:val="0"/>
          <w:bCs w:val="0"/>
          <w:snapToGrid/>
          <w:color w:val="auto"/>
          <w:kern w:val="2"/>
          <w:sz w:val="24"/>
          <w:szCs w:val="24"/>
          <w:lang w:val="en-US" w:eastAsia="zh-CN"/>
        </w:rPr>
        <w:t>见</w:t>
      </w:r>
      <w:r>
        <w:rPr>
          <w:rFonts w:hint="eastAsia" w:hAnsi="宋体" w:eastAsia="宋体" w:cs="宋体"/>
          <w:b w:val="0"/>
          <w:bCs w:val="0"/>
          <w:snapToGrid/>
          <w:color w:val="auto"/>
          <w:kern w:val="2"/>
          <w:sz w:val="24"/>
          <w:szCs w:val="24"/>
          <w:lang w:val="en-US" w:eastAsia="zh-CN"/>
        </w:rPr>
        <w:t>采购需求下附图</w:t>
      </w:r>
      <w:r>
        <w:rPr>
          <w:rFonts w:hint="eastAsia" w:ascii="宋体" w:hAnsi="宋体" w:eastAsia="宋体" w:cs="宋体"/>
          <w:b w:val="0"/>
          <w:bCs w:val="0"/>
          <w:snapToGrid/>
          <w:color w:val="auto"/>
          <w:kern w:val="2"/>
          <w:sz w:val="24"/>
          <w:szCs w:val="24"/>
          <w:lang w:val="en-US" w:eastAsia="zh-CN"/>
        </w:rPr>
        <w:t>。</w:t>
      </w:r>
    </w:p>
    <w:p>
      <w:pPr>
        <w:pStyle w:val="6"/>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default" w:ascii="宋体" w:hAnsi="Arial" w:cs="Arial" w:eastAsiaTheme="minorEastAsia"/>
          <w:b w:val="0"/>
          <w:bCs w:val="0"/>
          <w:snapToGrid w:val="0"/>
          <w:kern w:val="2"/>
          <w:sz w:val="24"/>
          <w:szCs w:val="24"/>
          <w:lang w:val="en-US" w:eastAsia="zh-CN" w:bidi="ar-SA"/>
        </w:rPr>
        <w:t>2.现场环境：液碱制备间至反应塔底的管道标高为+5米，反应塔底爬升至反应塔顶的标高为+37.156米，反应塔顶管道水平布置，反应塔顶环境温度约50℃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，供应商自行考虑作业条件，或到现场确认作业环境。</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由供应商</w:t>
      </w:r>
      <w:r>
        <w:rPr>
          <w:rFonts w:hint="default" w:ascii="宋体" w:hAnsi="Arial" w:cs="Arial" w:eastAsiaTheme="minorEastAsia"/>
          <w:b w:val="0"/>
          <w:bCs w:val="0"/>
          <w:snapToGrid w:val="0"/>
          <w:kern w:val="2"/>
          <w:sz w:val="24"/>
          <w:szCs w:val="24"/>
          <w:lang w:val="en-US" w:eastAsia="zh-CN" w:bidi="ar-SA"/>
        </w:rPr>
        <w:t>自筹或租赁，所需费用由</w:t>
      </w:r>
      <w:r>
        <w:rPr>
          <w:rFonts w:hint="eastAsia" w:cs="Arial"/>
          <w:b w:val="0"/>
          <w:bCs w:val="0"/>
          <w:snapToGrid w:val="0"/>
          <w:kern w:val="2"/>
          <w:sz w:val="24"/>
          <w:szCs w:val="24"/>
          <w:lang w:val="en-US" w:eastAsia="zh-CN" w:bidi="ar-SA"/>
        </w:rPr>
        <w:t>供应商</w:t>
      </w:r>
      <w:r>
        <w:rPr>
          <w:rFonts w:hint="default" w:ascii="宋体" w:hAnsi="Arial" w:cs="Arial" w:eastAsiaTheme="minorEastAsia"/>
          <w:b w:val="0"/>
          <w:bCs w:val="0"/>
          <w:snapToGrid w:val="0"/>
          <w:kern w:val="2"/>
          <w:sz w:val="24"/>
          <w:szCs w:val="24"/>
          <w:lang w:val="en-US" w:eastAsia="zh-CN" w:bidi="ar-SA"/>
        </w:rPr>
        <w:t>自行承担。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3.主要作业内容：能源项目液碱喷淋脱酸系统安装（南北各一套）</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1）液碱喷淋脱酸系统供应管道安装，总长约482米（单侧约241米），总爬高约37米；</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2）管道布置时所需的支架、抱箍等安装； </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3）管件、阀门、流量计、压力表的安装；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4）所有支架需除锈，刷一道底漆，一道防锈面漆，面漆颜色，淡灰B03；</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5）供应泵的安装及调试；</w:t>
      </w:r>
    </w:p>
    <w:p>
      <w:pPr>
        <w:pStyle w:val="14"/>
        <w:rPr>
          <w:rFonts w:hint="default"/>
          <w:lang w:val="en-US"/>
        </w:rPr>
      </w:pPr>
      <w:r>
        <w:rPr>
          <w:rFonts w:hint="eastAsia" w:hAnsi="Arial" w:cs="Arial"/>
          <w:b w:val="0"/>
          <w:bCs w:val="0"/>
          <w:snapToGrid w:val="0"/>
          <w:kern w:val="2"/>
          <w:sz w:val="24"/>
          <w:szCs w:val="24"/>
          <w:lang w:val="en-US" w:eastAsia="zh-CN" w:bidi="ar-SA"/>
        </w:rPr>
        <w:t>6）电缆敷设及接线（电缆敷设涉及的电缆桥架的拆除及恢复及相应的辅材均由乙方负责）。</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自合同签订生效后30天内完成供货及安装调试验收。</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按合同约定完成供货、安装及调试。</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14"/>
        <w:rPr>
          <w:rFonts w:hint="default"/>
          <w:lang w:val="en-US" w:eastAsia="zh-CN"/>
        </w:rPr>
      </w:pPr>
      <w:r>
        <w:rPr>
          <w:rFonts w:hint="eastAsia"/>
          <w:highlight w:val="none"/>
          <w:lang w:val="en-US" w:eastAsia="zh-CN"/>
        </w:rPr>
        <w:t>4.对钢管、焊缝、支架等成品要做油漆防腐处理。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w:t>
      </w:r>
      <w:r>
        <w:rPr>
          <w:rFonts w:hint="eastAsia"/>
          <w:lang w:val="en-US" w:eastAsia="zh-CN"/>
        </w:rPr>
        <w:t>完成</w:t>
      </w:r>
      <w:r>
        <w:rPr>
          <w:rFonts w:hint="eastAsia"/>
          <w:lang w:val="en-US"/>
        </w:rPr>
        <w:t>供货</w:t>
      </w:r>
      <w:r>
        <w:rPr>
          <w:rFonts w:hint="eastAsia"/>
          <w:lang w:val="en-US" w:eastAsia="zh-CN"/>
        </w:rPr>
        <w:t>、安装及调试</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rFonts w:hint="eastAsia"/>
          <w:lang w:val="en-US"/>
        </w:rPr>
      </w:pPr>
      <w:r>
        <w:rPr>
          <w:rFonts w:hint="eastAsia"/>
          <w:lang w:val="en-US" w:eastAsia="zh-CN"/>
        </w:rPr>
        <w:t>3</w:t>
      </w:r>
      <w:r>
        <w:rPr>
          <w:rFonts w:hint="eastAsia"/>
          <w:lang w:val="en-US"/>
        </w:rPr>
        <w:t>.</w:t>
      </w:r>
      <w:r>
        <w:rPr>
          <w:rFonts w:hint="eastAsia"/>
          <w:lang w:val="en-US" w:eastAsia="zh-CN"/>
        </w:rPr>
        <w:t>供应商的作业人员必须具备相应的资质要求（焊工证、登高证等）。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14"/>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r>
        <w:rPr>
          <w:rFonts w:hint="eastAsia" w:ascii="宋体"/>
          <w:lang w:val="en-US"/>
        </w:rPr>
        <w:br w:type="page"/>
      </w: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b w:val="0"/>
          <w:bCs w:val="0"/>
          <w:snapToGrid w:val="0"/>
          <w:kern w:val="2"/>
          <w:sz w:val="24"/>
          <w:szCs w:val="24"/>
          <w:lang w:val="en-US" w:eastAsia="zh-CN" w:bidi="ar-SA"/>
        </w:rPr>
      </w:pPr>
      <w:r>
        <w:rPr>
          <w:rFonts w:hint="eastAsia" w:ascii="宋体" w:hAnsi="Arial" w:cs="Arial"/>
          <w:b/>
          <w:bCs/>
          <w:snapToGrid w:val="0"/>
          <w:kern w:val="2"/>
          <w:sz w:val="24"/>
          <w:szCs w:val="21"/>
          <w:lang w:val="en-US" w:eastAsia="zh-CN" w:bidi="ar-SA"/>
        </w:rPr>
        <w:t>附图：</w:t>
      </w:r>
      <w:r>
        <w:rPr>
          <w:rFonts w:hint="default" w:ascii="宋体" w:hAnsi="Arial" w:cs="Arial" w:eastAsiaTheme="minorEastAsia"/>
          <w:b w:val="0"/>
          <w:bCs w:val="0"/>
          <w:snapToGrid w:val="0"/>
          <w:kern w:val="2"/>
          <w:sz w:val="24"/>
          <w:szCs w:val="24"/>
          <w:lang w:val="en-US" w:eastAsia="zh-CN" w:bidi="ar-SA"/>
        </w:rPr>
        <w:t>液碱制备间至反应塔底的管道标高为+5米，反应塔底爬升至反应塔顶的标高为+37.156米</w:t>
      </w:r>
      <w:r>
        <w:rPr>
          <w:rFonts w:hint="eastAsia" w:ascii="宋体" w:hAnsi="Arial" w:cs="Arial"/>
          <w:b w:val="0"/>
          <w:bCs w:val="0"/>
          <w:snapToGrid w:val="0"/>
          <w:kern w:val="2"/>
          <w:sz w:val="24"/>
          <w:szCs w:val="24"/>
          <w:lang w:val="en-US" w:eastAsia="zh-CN" w:bidi="ar-SA"/>
        </w:rPr>
        <w:t>。</w:t>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Arial" w:cs="Arial"/>
          <w:b w:val="0"/>
          <w:bCs w:val="0"/>
          <w:snapToGrid w:val="0"/>
          <w:kern w:val="2"/>
          <w:sz w:val="24"/>
          <w:szCs w:val="24"/>
          <w:lang w:val="en-US" w:eastAsia="zh-CN" w:bidi="ar-SA"/>
        </w:rPr>
        <w:t>1.平面布置图：</w:t>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宋体" w:eastAsia="宋体" w:cs="宋体"/>
          <w:lang w:val="en-US" w:eastAsia="zh-CN"/>
        </w:rPr>
        <w:drawing>
          <wp:anchor distT="0" distB="0" distL="114300" distR="114300" simplePos="0" relativeHeight="251665408" behindDoc="0" locked="0" layoutInCell="1" allowOverlap="1">
            <wp:simplePos x="0" y="0"/>
            <wp:positionH relativeFrom="column">
              <wp:posOffset>130175</wp:posOffset>
            </wp:positionH>
            <wp:positionV relativeFrom="paragraph">
              <wp:posOffset>37465</wp:posOffset>
            </wp:positionV>
            <wp:extent cx="5271770" cy="3733800"/>
            <wp:effectExtent l="0" t="0" r="5080" b="0"/>
            <wp:wrapSquare wrapText="bothSides"/>
            <wp:docPr id="16" name="图片 16" descr="总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总平面图1"/>
                    <pic:cNvPicPr>
                      <a:picLocks noChangeAspect="1"/>
                    </pic:cNvPicPr>
                  </pic:nvPicPr>
                  <pic:blipFill>
                    <a:blip r:embed="rId23"/>
                    <a:stretch>
                      <a:fillRect/>
                    </a:stretch>
                  </pic:blipFill>
                  <pic:spPr>
                    <a:xfrm>
                      <a:off x="0" y="0"/>
                      <a:ext cx="5271770" cy="3733800"/>
                    </a:xfrm>
                    <a:prstGeom prst="rect">
                      <a:avLst/>
                    </a:prstGeom>
                  </pic:spPr>
                </pic:pic>
              </a:graphicData>
            </a:graphic>
          </wp:anchor>
        </w:drawing>
      </w:r>
      <w:r>
        <w:rPr>
          <w:rFonts w:hint="eastAsia" w:ascii="宋体" w:hAnsi="Arial" w:cs="Arial"/>
          <w:b w:val="0"/>
          <w:bCs w:val="0"/>
          <w:snapToGrid w:val="0"/>
          <w:kern w:val="2"/>
          <w:sz w:val="24"/>
          <w:szCs w:val="24"/>
          <w:lang w:val="en-US" w:eastAsia="zh-CN" w:bidi="ar-SA"/>
        </w:rPr>
        <w:t>2.截面图：</w:t>
      </w:r>
    </w:p>
    <w:p>
      <w:pPr>
        <w:spacing w:line="460" w:lineRule="exact"/>
        <w:jc w:val="left"/>
        <w:rPr>
          <w:rFonts w:hint="default" w:ascii="宋体" w:hAnsi="Arial" w:cs="Arial"/>
          <w:b w:val="0"/>
          <w:bCs w:val="0"/>
          <w:snapToGrid w:val="0"/>
          <w:kern w:val="2"/>
          <w:sz w:val="24"/>
          <w:szCs w:val="24"/>
          <w:lang w:val="en-US" w:eastAsia="zh-CN" w:bidi="ar-SA"/>
        </w:rPr>
      </w:pPr>
      <w:r>
        <w:rPr>
          <w:rFonts w:hint="default"/>
          <w:lang w:val="en-US" w:eastAsia="zh-CN"/>
        </w:rPr>
        <w:drawing>
          <wp:anchor distT="0" distB="0" distL="114300" distR="114300" simplePos="0" relativeHeight="251666432" behindDoc="0" locked="0" layoutInCell="1" allowOverlap="1">
            <wp:simplePos x="0" y="0"/>
            <wp:positionH relativeFrom="column">
              <wp:posOffset>112395</wp:posOffset>
            </wp:positionH>
            <wp:positionV relativeFrom="paragraph">
              <wp:posOffset>160020</wp:posOffset>
            </wp:positionV>
            <wp:extent cx="5268595" cy="3278505"/>
            <wp:effectExtent l="0" t="0" r="8255" b="17145"/>
            <wp:wrapSquare wrapText="bothSides"/>
            <wp:docPr id="17" name="图片 17" descr="C:\Users\70897\Desktop\液碱喷淋改造图纸\截面图3.jpg截面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70897\Desktop\液碱喷淋改造图纸\截面图3.jpg截面图3"/>
                    <pic:cNvPicPr>
                      <a:picLocks noChangeAspect="1"/>
                    </pic:cNvPicPr>
                  </pic:nvPicPr>
                  <pic:blipFill>
                    <a:blip r:embed="rId24"/>
                    <a:srcRect/>
                    <a:stretch>
                      <a:fillRect/>
                    </a:stretch>
                  </pic:blipFill>
                  <pic:spPr>
                    <a:xfrm>
                      <a:off x="0" y="0"/>
                      <a:ext cx="5268595" cy="3278505"/>
                    </a:xfrm>
                    <a:prstGeom prst="rect">
                      <a:avLst/>
                    </a:prstGeom>
                  </pic:spPr>
                </pic:pic>
              </a:graphicData>
            </a:graphic>
          </wp:anchor>
        </w:drawing>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Arial" w:cs="Arial"/>
          <w:b w:val="0"/>
          <w:bCs w:val="0"/>
          <w:snapToGrid w:val="0"/>
          <w:kern w:val="2"/>
          <w:sz w:val="24"/>
          <w:szCs w:val="24"/>
          <w:lang w:val="en-US" w:eastAsia="zh-CN" w:bidi="ar-SA"/>
        </w:rPr>
        <w:t>3.接口示意图</w:t>
      </w:r>
    </w:p>
    <w:p>
      <w:pPr>
        <w:jc w:val="center"/>
        <w:rPr>
          <w:rFonts w:hint="default"/>
          <w:lang w:val="en-US" w:eastAsia="zh-CN"/>
        </w:rPr>
      </w:pPr>
      <w:r>
        <w:rPr>
          <w:rFonts w:hint="default"/>
          <w:lang w:val="en-US" w:eastAsia="zh-CN"/>
        </w:rPr>
        <w:drawing>
          <wp:inline distT="0" distB="0" distL="114300" distR="114300">
            <wp:extent cx="6037580" cy="3543300"/>
            <wp:effectExtent l="0" t="0" r="1270" b="0"/>
            <wp:docPr id="18" name="图片 18" descr="C:\Users\70897\Desktop\液碱喷淋改造图纸\反应塔顶接管图2.png反应塔顶接管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70897\Desktop\液碱喷淋改造图纸\反应塔顶接管图2.png反应塔顶接管图2"/>
                    <pic:cNvPicPr>
                      <a:picLocks noChangeAspect="1"/>
                    </pic:cNvPicPr>
                  </pic:nvPicPr>
                  <pic:blipFill>
                    <a:blip r:embed="rId25"/>
                    <a:srcRect/>
                    <a:stretch>
                      <a:fillRect/>
                    </a:stretch>
                  </pic:blipFill>
                  <pic:spPr>
                    <a:xfrm>
                      <a:off x="0" y="0"/>
                      <a:ext cx="6037580" cy="3543300"/>
                    </a:xfrm>
                    <a:prstGeom prst="rect">
                      <a:avLst/>
                    </a:prstGeom>
                  </pic:spPr>
                </pic:pic>
              </a:graphicData>
            </a:graphic>
          </wp:inline>
        </w:drawing>
      </w:r>
    </w:p>
    <w:p>
      <w:pPr>
        <w:numPr>
          <w:ilvl w:val="0"/>
          <w:numId w:val="1"/>
        </w:numPr>
        <w:jc w:val="left"/>
        <w:rPr>
          <w:rFonts w:hint="eastAsia"/>
          <w:lang w:val="en-US" w:eastAsia="zh-CN"/>
        </w:rPr>
      </w:pPr>
      <w:r>
        <w:rPr>
          <w:rFonts w:hint="eastAsia"/>
          <w:lang w:val="en-US" w:eastAsia="zh-CN"/>
        </w:rPr>
        <w:t>接线示意图：</w:t>
      </w:r>
    </w:p>
    <w:p>
      <w:pPr>
        <w:numPr>
          <w:ilvl w:val="0"/>
          <w:numId w:val="0"/>
        </w:numPr>
        <w:jc w:val="left"/>
        <w:rPr>
          <w:rFonts w:cs="仿宋" w:asciiTheme="minorEastAsia" w:hAnsiTheme="minorEastAsia"/>
          <w:b/>
          <w:sz w:val="36"/>
          <w:szCs w:val="36"/>
        </w:rPr>
      </w:pPr>
      <w:r>
        <w:drawing>
          <wp:inline distT="0" distB="0" distL="114300" distR="114300">
            <wp:extent cx="5642610" cy="4039235"/>
            <wp:effectExtent l="0" t="0" r="15240" b="1841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6"/>
                    <a:stretch>
                      <a:fillRect/>
                    </a:stretch>
                  </pic:blipFill>
                  <pic:spPr>
                    <a:xfrm>
                      <a:off x="0" y="0"/>
                      <a:ext cx="5642610" cy="4039235"/>
                    </a:xfrm>
                    <a:prstGeom prst="rect">
                      <a:avLst/>
                    </a:prstGeom>
                    <a:noFill/>
                    <a:ln>
                      <a:noFill/>
                    </a:ln>
                  </pic:spPr>
                </pic:pic>
              </a:graphicData>
            </a:graphic>
          </wp:inline>
        </w:drawing>
      </w: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9"/>
      <w:bookmarkEnd w:id="19"/>
      <w:bookmarkStart w:id="20" w:name="_Toc184312107"/>
      <w:bookmarkEnd w:id="20"/>
      <w:bookmarkStart w:id="21" w:name="_Toc184312122"/>
      <w:bookmarkEnd w:id="21"/>
      <w:bookmarkStart w:id="22" w:name="_Toc184308053"/>
      <w:bookmarkEnd w:id="22"/>
      <w:bookmarkStart w:id="23" w:name="_Toc184312111"/>
      <w:bookmarkEnd w:id="23"/>
      <w:bookmarkStart w:id="24" w:name="_Toc184313239"/>
      <w:bookmarkEnd w:id="24"/>
      <w:bookmarkStart w:id="25" w:name="_Toc184313244"/>
      <w:bookmarkEnd w:id="25"/>
      <w:bookmarkStart w:id="26" w:name="_Toc184312128"/>
      <w:bookmarkEnd w:id="26"/>
      <w:bookmarkStart w:id="27" w:name="_Toc184312088"/>
      <w:bookmarkEnd w:id="27"/>
      <w:bookmarkStart w:id="28" w:name="_Toc184314430"/>
      <w:bookmarkEnd w:id="28"/>
      <w:bookmarkStart w:id="29" w:name="_Toc184308045"/>
      <w:bookmarkEnd w:id="29"/>
      <w:bookmarkStart w:id="30" w:name="_Toc184308087"/>
      <w:bookmarkEnd w:id="30"/>
      <w:bookmarkStart w:id="31" w:name="_Toc184312075"/>
      <w:bookmarkEnd w:id="31"/>
      <w:bookmarkStart w:id="32" w:name="_Toc184312072"/>
      <w:bookmarkEnd w:id="32"/>
      <w:bookmarkStart w:id="33" w:name="_Toc184312117"/>
      <w:bookmarkEnd w:id="33"/>
      <w:bookmarkStart w:id="34" w:name="_Toc184310334"/>
      <w:bookmarkEnd w:id="34"/>
      <w:bookmarkStart w:id="35" w:name="_Toc184314468"/>
      <w:bookmarkEnd w:id="35"/>
      <w:bookmarkStart w:id="36" w:name="_Toc184314441"/>
      <w:bookmarkEnd w:id="36"/>
      <w:bookmarkStart w:id="37" w:name="_Toc184313296"/>
      <w:bookmarkEnd w:id="37"/>
      <w:bookmarkStart w:id="38" w:name="_Toc184310321"/>
      <w:bookmarkEnd w:id="38"/>
      <w:bookmarkStart w:id="39" w:name="_Toc184313249"/>
      <w:bookmarkEnd w:id="39"/>
      <w:bookmarkStart w:id="40" w:name="_Toc184308086"/>
      <w:bookmarkEnd w:id="40"/>
      <w:bookmarkStart w:id="41" w:name="_Toc184313255"/>
      <w:bookmarkEnd w:id="41"/>
      <w:bookmarkStart w:id="42" w:name="_Toc184313272"/>
      <w:bookmarkEnd w:id="42"/>
      <w:bookmarkStart w:id="43" w:name="_Toc184313268"/>
      <w:bookmarkEnd w:id="43"/>
      <w:bookmarkStart w:id="44" w:name="_Toc184308056"/>
      <w:bookmarkEnd w:id="44"/>
      <w:bookmarkStart w:id="45" w:name="_Toc184310300"/>
      <w:bookmarkEnd w:id="45"/>
      <w:bookmarkStart w:id="46" w:name="_Toc184313289"/>
      <w:bookmarkEnd w:id="46"/>
      <w:bookmarkStart w:id="47" w:name="_Toc184314442"/>
      <w:bookmarkEnd w:id="47"/>
      <w:bookmarkStart w:id="48" w:name="_Toc184308085"/>
      <w:bookmarkEnd w:id="48"/>
      <w:bookmarkStart w:id="49" w:name="_Toc184314428"/>
      <w:bookmarkEnd w:id="49"/>
      <w:bookmarkStart w:id="50" w:name="_Toc184310283"/>
      <w:bookmarkEnd w:id="50"/>
      <w:bookmarkStart w:id="51" w:name="_Toc184314458"/>
      <w:bookmarkEnd w:id="51"/>
      <w:bookmarkStart w:id="52" w:name="_Toc184314449"/>
      <w:bookmarkEnd w:id="52"/>
      <w:bookmarkStart w:id="53" w:name="_Toc184310322"/>
      <w:bookmarkEnd w:id="53"/>
      <w:bookmarkStart w:id="54" w:name="_Toc184308054"/>
      <w:bookmarkEnd w:id="54"/>
      <w:bookmarkStart w:id="55" w:name="_Toc184310333"/>
      <w:bookmarkEnd w:id="55"/>
      <w:bookmarkStart w:id="56" w:name="_Toc184310285"/>
      <w:bookmarkEnd w:id="56"/>
      <w:bookmarkStart w:id="57" w:name="_Toc184314452"/>
      <w:bookmarkEnd w:id="57"/>
      <w:bookmarkStart w:id="58" w:name="_Toc184310338"/>
      <w:bookmarkEnd w:id="58"/>
      <w:bookmarkStart w:id="59" w:name="_Toc184312076"/>
      <w:bookmarkEnd w:id="59"/>
      <w:bookmarkStart w:id="60" w:name="_Toc184312079"/>
      <w:bookmarkEnd w:id="60"/>
      <w:bookmarkStart w:id="61" w:name="_Toc184312131"/>
      <w:bookmarkEnd w:id="61"/>
      <w:bookmarkStart w:id="62" w:name="_Toc184314466"/>
      <w:bookmarkEnd w:id="62"/>
      <w:bookmarkStart w:id="63" w:name="_Toc184312093"/>
      <w:bookmarkEnd w:id="63"/>
      <w:bookmarkStart w:id="64" w:name="_Toc184310290"/>
      <w:bookmarkEnd w:id="64"/>
      <w:bookmarkStart w:id="65" w:name="_Toc184313294"/>
      <w:bookmarkEnd w:id="65"/>
      <w:bookmarkStart w:id="66" w:name="_Toc184308082"/>
      <w:bookmarkEnd w:id="66"/>
      <w:bookmarkStart w:id="67" w:name="_Toc184313246"/>
      <w:bookmarkEnd w:id="67"/>
      <w:bookmarkStart w:id="68" w:name="_Toc184308049"/>
      <w:bookmarkEnd w:id="68"/>
      <w:bookmarkStart w:id="69" w:name="_Toc184308095"/>
      <w:bookmarkEnd w:id="69"/>
      <w:bookmarkStart w:id="70" w:name="_Toc184308050"/>
      <w:bookmarkEnd w:id="70"/>
      <w:bookmarkStart w:id="71" w:name="_Toc184314436"/>
      <w:bookmarkEnd w:id="71"/>
      <w:bookmarkStart w:id="72" w:name="_Toc184312069"/>
      <w:bookmarkEnd w:id="72"/>
      <w:bookmarkStart w:id="73" w:name="_Toc184310299"/>
      <w:bookmarkEnd w:id="73"/>
      <w:bookmarkStart w:id="74" w:name="_Toc184314477"/>
      <w:bookmarkEnd w:id="74"/>
      <w:bookmarkStart w:id="75" w:name="_Toc184312103"/>
      <w:bookmarkEnd w:id="75"/>
      <w:bookmarkStart w:id="76" w:name="_Toc184313297"/>
      <w:bookmarkEnd w:id="76"/>
      <w:bookmarkStart w:id="77" w:name="_Toc184308058"/>
      <w:bookmarkEnd w:id="77"/>
      <w:bookmarkStart w:id="78" w:name="_Toc184308041"/>
      <w:bookmarkEnd w:id="78"/>
      <w:bookmarkStart w:id="79" w:name="_Toc184313248"/>
      <w:bookmarkEnd w:id="79"/>
      <w:bookmarkStart w:id="80" w:name="_Toc184310308"/>
      <w:bookmarkEnd w:id="80"/>
      <w:bookmarkStart w:id="81" w:name="_Toc184313251"/>
      <w:bookmarkEnd w:id="81"/>
      <w:bookmarkStart w:id="82" w:name="_Toc184314420"/>
      <w:bookmarkEnd w:id="82"/>
      <w:bookmarkStart w:id="83" w:name="_Toc184313282"/>
      <w:bookmarkEnd w:id="83"/>
      <w:bookmarkStart w:id="84" w:name="_Toc184310329"/>
      <w:bookmarkEnd w:id="84"/>
      <w:bookmarkStart w:id="85" w:name="_Toc184314450"/>
      <w:bookmarkEnd w:id="85"/>
      <w:bookmarkStart w:id="86" w:name="_Toc184310339"/>
      <w:bookmarkEnd w:id="86"/>
      <w:bookmarkStart w:id="87" w:name="_Toc184312138"/>
      <w:bookmarkEnd w:id="87"/>
      <w:bookmarkStart w:id="88" w:name="_Toc184313310"/>
      <w:bookmarkEnd w:id="88"/>
      <w:bookmarkStart w:id="89" w:name="_Toc184314416"/>
      <w:bookmarkEnd w:id="89"/>
      <w:bookmarkStart w:id="90" w:name="_Toc184314431"/>
      <w:bookmarkEnd w:id="90"/>
      <w:bookmarkStart w:id="91" w:name="_Toc184313252"/>
      <w:bookmarkEnd w:id="91"/>
      <w:bookmarkStart w:id="92" w:name="_Toc184313293"/>
      <w:bookmarkEnd w:id="92"/>
      <w:bookmarkStart w:id="93" w:name="_Toc184313300"/>
      <w:bookmarkEnd w:id="93"/>
      <w:bookmarkStart w:id="94" w:name="_Toc184308072"/>
      <w:bookmarkEnd w:id="94"/>
      <w:bookmarkStart w:id="95" w:name="_Toc184313261"/>
      <w:bookmarkEnd w:id="95"/>
      <w:bookmarkStart w:id="96" w:name="_Toc184308081"/>
      <w:bookmarkEnd w:id="96"/>
      <w:bookmarkStart w:id="97" w:name="_Toc184308038"/>
      <w:bookmarkEnd w:id="97"/>
      <w:bookmarkStart w:id="98" w:name="_Toc184314467"/>
      <w:bookmarkEnd w:id="98"/>
      <w:bookmarkStart w:id="99" w:name="_Toc184313308"/>
      <w:bookmarkEnd w:id="99"/>
      <w:bookmarkStart w:id="100" w:name="_Toc184310305"/>
      <w:bookmarkEnd w:id="100"/>
      <w:bookmarkStart w:id="101" w:name="_Toc184314423"/>
      <w:bookmarkEnd w:id="101"/>
      <w:bookmarkStart w:id="102" w:name="_Toc184313250"/>
      <w:bookmarkEnd w:id="102"/>
      <w:bookmarkStart w:id="103" w:name="_Toc184308062"/>
      <w:bookmarkEnd w:id="103"/>
      <w:bookmarkStart w:id="104" w:name="_Toc184310342"/>
      <w:bookmarkEnd w:id="104"/>
      <w:bookmarkStart w:id="105" w:name="_Toc184308061"/>
      <w:bookmarkEnd w:id="105"/>
      <w:bookmarkStart w:id="106" w:name="_Toc184314480"/>
      <w:bookmarkEnd w:id="106"/>
      <w:bookmarkStart w:id="107" w:name="_Toc184313243"/>
      <w:bookmarkEnd w:id="107"/>
      <w:bookmarkStart w:id="108" w:name="_Toc184313280"/>
      <w:bookmarkEnd w:id="108"/>
      <w:bookmarkStart w:id="109" w:name="_Toc184312077"/>
      <w:bookmarkEnd w:id="109"/>
      <w:bookmarkStart w:id="110" w:name="_Toc184313263"/>
      <w:bookmarkEnd w:id="110"/>
      <w:bookmarkStart w:id="111" w:name="_Toc184313301"/>
      <w:bookmarkEnd w:id="111"/>
      <w:bookmarkStart w:id="112" w:name="_Toc184308047"/>
      <w:bookmarkEnd w:id="112"/>
      <w:bookmarkStart w:id="113" w:name="_Toc184310282"/>
      <w:bookmarkEnd w:id="113"/>
      <w:bookmarkStart w:id="114" w:name="_Toc184313287"/>
      <w:bookmarkEnd w:id="114"/>
      <w:bookmarkStart w:id="115" w:name="_Toc184313276"/>
      <w:bookmarkEnd w:id="115"/>
      <w:bookmarkStart w:id="116" w:name="_Toc184313304"/>
      <w:bookmarkEnd w:id="116"/>
      <w:bookmarkStart w:id="117" w:name="_Toc184313306"/>
      <w:bookmarkEnd w:id="117"/>
      <w:bookmarkStart w:id="118" w:name="_Toc184314460"/>
      <w:bookmarkEnd w:id="118"/>
      <w:bookmarkStart w:id="119" w:name="_Toc184312106"/>
      <w:bookmarkEnd w:id="119"/>
      <w:bookmarkStart w:id="120" w:name="_Toc184308097"/>
      <w:bookmarkEnd w:id="120"/>
      <w:bookmarkStart w:id="121" w:name="_Toc184308088"/>
      <w:bookmarkEnd w:id="121"/>
      <w:bookmarkStart w:id="122" w:name="_Toc184310297"/>
      <w:bookmarkEnd w:id="122"/>
      <w:bookmarkStart w:id="123" w:name="_Toc184313270"/>
      <w:bookmarkEnd w:id="123"/>
      <w:bookmarkStart w:id="124" w:name="_Toc184312081"/>
      <w:bookmarkEnd w:id="124"/>
      <w:bookmarkStart w:id="125" w:name="_Toc184312096"/>
      <w:bookmarkEnd w:id="125"/>
      <w:bookmarkStart w:id="126" w:name="_Toc184308073"/>
      <w:bookmarkEnd w:id="126"/>
      <w:bookmarkStart w:id="127" w:name="_Toc184310304"/>
      <w:bookmarkEnd w:id="127"/>
      <w:bookmarkStart w:id="128" w:name="_Toc184314443"/>
      <w:bookmarkEnd w:id="128"/>
      <w:bookmarkStart w:id="129" w:name="_Toc184313271"/>
      <w:bookmarkEnd w:id="129"/>
      <w:bookmarkStart w:id="130" w:name="_Toc184313264"/>
      <w:bookmarkEnd w:id="130"/>
      <w:bookmarkStart w:id="131" w:name="_Toc184314438"/>
      <w:bookmarkEnd w:id="131"/>
      <w:bookmarkStart w:id="132" w:name="_Toc184310274"/>
      <w:bookmarkEnd w:id="132"/>
      <w:bookmarkStart w:id="133" w:name="_Toc184310325"/>
      <w:bookmarkEnd w:id="133"/>
      <w:bookmarkStart w:id="134" w:name="_Toc184310281"/>
      <w:bookmarkEnd w:id="134"/>
      <w:bookmarkStart w:id="135" w:name="_Toc184308066"/>
      <w:bookmarkEnd w:id="135"/>
      <w:bookmarkStart w:id="136" w:name="_Toc184308092"/>
      <w:bookmarkEnd w:id="136"/>
      <w:bookmarkStart w:id="137" w:name="_Toc184313266"/>
      <w:bookmarkEnd w:id="137"/>
      <w:bookmarkStart w:id="138" w:name="_Toc184310291"/>
      <w:bookmarkEnd w:id="138"/>
      <w:bookmarkStart w:id="139" w:name="_Toc184310286"/>
      <w:bookmarkEnd w:id="139"/>
      <w:bookmarkStart w:id="140" w:name="_Toc184312120"/>
      <w:bookmarkEnd w:id="140"/>
      <w:bookmarkStart w:id="141" w:name="_Toc184314464"/>
      <w:bookmarkEnd w:id="141"/>
      <w:bookmarkStart w:id="142" w:name="_Toc184310287"/>
      <w:bookmarkEnd w:id="142"/>
      <w:bookmarkStart w:id="143" w:name="_Toc184310275"/>
      <w:bookmarkEnd w:id="143"/>
      <w:bookmarkStart w:id="144" w:name="_Toc184312097"/>
      <w:bookmarkEnd w:id="144"/>
      <w:bookmarkStart w:id="145" w:name="_Toc184310335"/>
      <w:bookmarkEnd w:id="145"/>
      <w:bookmarkStart w:id="146" w:name="_Toc184308103"/>
      <w:bookmarkEnd w:id="146"/>
      <w:bookmarkStart w:id="147" w:name="_Toc184308052"/>
      <w:bookmarkEnd w:id="147"/>
      <w:bookmarkStart w:id="148" w:name="_Toc184308101"/>
      <w:bookmarkEnd w:id="148"/>
      <w:bookmarkStart w:id="149" w:name="_Toc184310301"/>
      <w:bookmarkEnd w:id="149"/>
      <w:bookmarkStart w:id="150" w:name="_Toc184314448"/>
      <w:bookmarkEnd w:id="150"/>
      <w:bookmarkStart w:id="151" w:name="_Toc184314426"/>
      <w:bookmarkEnd w:id="151"/>
      <w:bookmarkStart w:id="152" w:name="_Toc184310306"/>
      <w:bookmarkEnd w:id="152"/>
      <w:bookmarkStart w:id="153" w:name="_Toc184313254"/>
      <w:bookmarkEnd w:id="153"/>
      <w:bookmarkStart w:id="154" w:name="_Toc184313260"/>
      <w:bookmarkEnd w:id="154"/>
      <w:bookmarkStart w:id="155" w:name="_Toc184312126"/>
      <w:bookmarkEnd w:id="155"/>
      <w:bookmarkStart w:id="156" w:name="_Toc184310341"/>
      <w:bookmarkEnd w:id="156"/>
      <w:bookmarkStart w:id="157" w:name="_Toc184310311"/>
      <w:bookmarkEnd w:id="157"/>
      <w:bookmarkStart w:id="158" w:name="_Toc184314415"/>
      <w:bookmarkEnd w:id="158"/>
      <w:bookmarkStart w:id="159" w:name="_Toc184313259"/>
      <w:bookmarkEnd w:id="159"/>
      <w:bookmarkStart w:id="160" w:name="_Toc184308067"/>
      <w:bookmarkEnd w:id="160"/>
      <w:bookmarkStart w:id="161" w:name="_Toc184313292"/>
      <w:bookmarkEnd w:id="161"/>
      <w:bookmarkStart w:id="162" w:name="_Toc184310298"/>
      <w:bookmarkEnd w:id="162"/>
      <w:bookmarkStart w:id="163" w:name="_Toc184312104"/>
      <w:bookmarkEnd w:id="163"/>
      <w:bookmarkStart w:id="164" w:name="_Toc184312125"/>
      <w:bookmarkEnd w:id="164"/>
      <w:bookmarkStart w:id="165" w:name="_Toc184308089"/>
      <w:bookmarkEnd w:id="165"/>
      <w:bookmarkStart w:id="166" w:name="_Toc184308093"/>
      <w:bookmarkEnd w:id="166"/>
      <w:bookmarkStart w:id="167" w:name="_Toc184312070"/>
      <w:bookmarkEnd w:id="167"/>
      <w:bookmarkStart w:id="168" w:name="_Toc184312132"/>
      <w:bookmarkEnd w:id="168"/>
      <w:bookmarkStart w:id="169" w:name="_Toc184312137"/>
      <w:bookmarkEnd w:id="169"/>
      <w:bookmarkStart w:id="170" w:name="_Toc184314417"/>
      <w:bookmarkEnd w:id="170"/>
      <w:bookmarkStart w:id="171" w:name="_Toc184312110"/>
      <w:bookmarkEnd w:id="171"/>
      <w:bookmarkStart w:id="172" w:name="_Toc184308051"/>
      <w:bookmarkEnd w:id="172"/>
      <w:bookmarkStart w:id="173" w:name="_Toc184312073"/>
      <w:bookmarkEnd w:id="173"/>
      <w:bookmarkStart w:id="174" w:name="_Toc184308096"/>
      <w:bookmarkEnd w:id="174"/>
      <w:bookmarkStart w:id="175" w:name="_Toc184314445"/>
      <w:bookmarkEnd w:id="175"/>
      <w:bookmarkStart w:id="176" w:name="_Toc184312082"/>
      <w:bookmarkEnd w:id="176"/>
      <w:bookmarkStart w:id="177" w:name="_Toc184313295"/>
      <w:bookmarkEnd w:id="177"/>
      <w:bookmarkStart w:id="178" w:name="_Toc184310330"/>
      <w:bookmarkEnd w:id="178"/>
      <w:bookmarkStart w:id="179" w:name="_Toc184314435"/>
      <w:bookmarkEnd w:id="179"/>
      <w:bookmarkStart w:id="180" w:name="_Toc184314424"/>
      <w:bookmarkEnd w:id="180"/>
      <w:bookmarkStart w:id="181" w:name="_Toc184314465"/>
      <w:bookmarkEnd w:id="181"/>
      <w:bookmarkStart w:id="182" w:name="_Toc184308068"/>
      <w:bookmarkEnd w:id="182"/>
      <w:bookmarkStart w:id="183" w:name="_Toc184314478"/>
      <w:bookmarkEnd w:id="183"/>
      <w:bookmarkStart w:id="184" w:name="_Toc184312133"/>
      <w:bookmarkEnd w:id="184"/>
      <w:bookmarkStart w:id="185" w:name="_Toc184314461"/>
      <w:bookmarkEnd w:id="185"/>
      <w:bookmarkStart w:id="186" w:name="_Toc184310309"/>
      <w:bookmarkEnd w:id="186"/>
      <w:bookmarkStart w:id="187" w:name="_Toc184312067"/>
      <w:bookmarkEnd w:id="187"/>
      <w:bookmarkStart w:id="188" w:name="_Toc184313240"/>
      <w:bookmarkEnd w:id="188"/>
      <w:bookmarkStart w:id="189" w:name="_Toc184310326"/>
      <w:bookmarkEnd w:id="189"/>
      <w:bookmarkStart w:id="190" w:name="_Toc184312084"/>
      <w:bookmarkEnd w:id="190"/>
      <w:bookmarkStart w:id="191" w:name="_Toc184313267"/>
      <w:bookmarkEnd w:id="191"/>
      <w:bookmarkStart w:id="192" w:name="_Toc184312102"/>
      <w:bookmarkEnd w:id="192"/>
      <w:bookmarkStart w:id="193" w:name="_Toc184308039"/>
      <w:bookmarkEnd w:id="193"/>
      <w:bookmarkStart w:id="194" w:name="_Toc184313285"/>
      <w:bookmarkEnd w:id="194"/>
      <w:bookmarkStart w:id="195" w:name="_Toc184308055"/>
      <w:bookmarkEnd w:id="195"/>
      <w:bookmarkStart w:id="196" w:name="_Toc184310344"/>
      <w:bookmarkEnd w:id="196"/>
      <w:bookmarkStart w:id="197" w:name="_Toc184308036"/>
      <w:bookmarkEnd w:id="197"/>
      <w:bookmarkStart w:id="198" w:name="_Toc184308107"/>
      <w:bookmarkEnd w:id="198"/>
      <w:bookmarkStart w:id="199" w:name="_Toc184312129"/>
      <w:bookmarkEnd w:id="199"/>
      <w:bookmarkStart w:id="200" w:name="_Toc184314475"/>
      <w:bookmarkEnd w:id="200"/>
      <w:bookmarkStart w:id="201" w:name="_Toc184314471"/>
      <w:bookmarkEnd w:id="201"/>
      <w:bookmarkStart w:id="202" w:name="_Toc184310331"/>
      <w:bookmarkEnd w:id="202"/>
      <w:bookmarkStart w:id="203" w:name="_Toc184314411"/>
      <w:bookmarkEnd w:id="203"/>
      <w:bookmarkStart w:id="204" w:name="_Toc184310293"/>
      <w:bookmarkEnd w:id="204"/>
      <w:bookmarkStart w:id="205" w:name="_Toc184313279"/>
      <w:bookmarkEnd w:id="205"/>
      <w:bookmarkStart w:id="206" w:name="_Toc184310316"/>
      <w:bookmarkEnd w:id="206"/>
      <w:bookmarkStart w:id="207" w:name="_Toc184312119"/>
      <w:bookmarkEnd w:id="207"/>
      <w:bookmarkStart w:id="208" w:name="_Toc184310324"/>
      <w:bookmarkEnd w:id="208"/>
      <w:bookmarkStart w:id="209" w:name="_Toc184312135"/>
      <w:bookmarkEnd w:id="209"/>
      <w:bookmarkStart w:id="210" w:name="_Toc184313257"/>
      <w:bookmarkEnd w:id="210"/>
      <w:bookmarkStart w:id="211" w:name="_Toc184313253"/>
      <w:bookmarkEnd w:id="211"/>
      <w:bookmarkStart w:id="212" w:name="_Toc184308064"/>
      <w:bookmarkEnd w:id="212"/>
      <w:bookmarkStart w:id="213" w:name="_Toc184312083"/>
      <w:bookmarkEnd w:id="213"/>
      <w:bookmarkStart w:id="214" w:name="_Toc184313277"/>
      <w:bookmarkEnd w:id="214"/>
      <w:bookmarkStart w:id="215" w:name="_Toc184314437"/>
      <w:bookmarkEnd w:id="215"/>
      <w:bookmarkStart w:id="216" w:name="_Toc184312139"/>
      <w:bookmarkEnd w:id="216"/>
      <w:bookmarkStart w:id="217" w:name="_Toc184310276"/>
      <w:bookmarkEnd w:id="217"/>
      <w:bookmarkStart w:id="218" w:name="_Toc184308083"/>
      <w:bookmarkEnd w:id="218"/>
      <w:bookmarkStart w:id="219" w:name="_Toc184314421"/>
      <w:bookmarkEnd w:id="219"/>
      <w:bookmarkStart w:id="220" w:name="_Toc184308070"/>
      <w:bookmarkEnd w:id="220"/>
      <w:bookmarkStart w:id="221" w:name="_Toc184313284"/>
      <w:bookmarkEnd w:id="221"/>
      <w:bookmarkStart w:id="222" w:name="_Toc184310273"/>
      <w:bookmarkEnd w:id="222"/>
      <w:bookmarkStart w:id="223" w:name="_Toc184308069"/>
      <w:bookmarkEnd w:id="223"/>
      <w:bookmarkStart w:id="224" w:name="_Toc184313281"/>
      <w:bookmarkEnd w:id="224"/>
      <w:bookmarkStart w:id="225" w:name="_Toc184308042"/>
      <w:bookmarkEnd w:id="225"/>
      <w:bookmarkStart w:id="226" w:name="_Toc184310337"/>
      <w:bookmarkEnd w:id="226"/>
      <w:bookmarkStart w:id="227" w:name="_Toc184308102"/>
      <w:bookmarkEnd w:id="227"/>
      <w:bookmarkStart w:id="228" w:name="_Toc184314470"/>
      <w:bookmarkEnd w:id="228"/>
      <w:bookmarkStart w:id="229" w:name="_Toc184314463"/>
      <w:bookmarkEnd w:id="229"/>
      <w:bookmarkStart w:id="230" w:name="_Toc184314469"/>
      <w:bookmarkEnd w:id="230"/>
      <w:bookmarkStart w:id="231" w:name="_Toc184314433"/>
      <w:bookmarkEnd w:id="231"/>
      <w:bookmarkStart w:id="232" w:name="_Toc184310279"/>
      <w:bookmarkEnd w:id="232"/>
      <w:bookmarkStart w:id="233" w:name="_Toc184308065"/>
      <w:bookmarkEnd w:id="233"/>
      <w:bookmarkStart w:id="234" w:name="_Toc184313241"/>
      <w:bookmarkEnd w:id="234"/>
      <w:bookmarkStart w:id="235" w:name="_Toc184314439"/>
      <w:bookmarkEnd w:id="235"/>
      <w:bookmarkStart w:id="236" w:name="_Toc184308057"/>
      <w:bookmarkEnd w:id="236"/>
      <w:bookmarkStart w:id="237" w:name="_Toc184308098"/>
      <w:bookmarkEnd w:id="237"/>
      <w:bookmarkStart w:id="238" w:name="_Toc184312090"/>
      <w:bookmarkEnd w:id="238"/>
      <w:bookmarkStart w:id="239" w:name="_Toc184308078"/>
      <w:bookmarkEnd w:id="239"/>
      <w:bookmarkStart w:id="240" w:name="_Toc184313247"/>
      <w:bookmarkEnd w:id="240"/>
      <w:bookmarkStart w:id="241" w:name="_Toc184310336"/>
      <w:bookmarkEnd w:id="241"/>
      <w:bookmarkStart w:id="242" w:name="_Toc184308059"/>
      <w:bookmarkEnd w:id="242"/>
      <w:bookmarkStart w:id="243" w:name="_Toc184313262"/>
      <w:bookmarkEnd w:id="243"/>
      <w:bookmarkStart w:id="244" w:name="_Toc184308084"/>
      <w:bookmarkEnd w:id="244"/>
      <w:bookmarkStart w:id="245" w:name="_Toc184312087"/>
      <w:bookmarkEnd w:id="245"/>
      <w:bookmarkStart w:id="246" w:name="_Toc184314462"/>
      <w:bookmarkEnd w:id="246"/>
      <w:bookmarkStart w:id="247" w:name="_Toc184310320"/>
      <w:bookmarkEnd w:id="247"/>
      <w:bookmarkStart w:id="248" w:name="_Toc184312109"/>
      <w:bookmarkEnd w:id="248"/>
      <w:bookmarkStart w:id="249" w:name="_Toc184310302"/>
      <w:bookmarkEnd w:id="249"/>
      <w:bookmarkStart w:id="250" w:name="_Toc184314453"/>
      <w:bookmarkEnd w:id="250"/>
      <w:bookmarkStart w:id="251" w:name="_Toc184310323"/>
      <w:bookmarkEnd w:id="251"/>
      <w:bookmarkStart w:id="252" w:name="_Toc184314473"/>
      <w:bookmarkEnd w:id="252"/>
      <w:bookmarkStart w:id="253" w:name="_Toc184308040"/>
      <w:bookmarkEnd w:id="253"/>
      <w:bookmarkStart w:id="254" w:name="_Toc184314456"/>
      <w:bookmarkEnd w:id="254"/>
      <w:bookmarkStart w:id="255" w:name="_Toc184310303"/>
      <w:bookmarkEnd w:id="255"/>
      <w:bookmarkStart w:id="256" w:name="_Toc184314459"/>
      <w:bookmarkEnd w:id="256"/>
      <w:bookmarkStart w:id="257" w:name="_Toc184308074"/>
      <w:bookmarkEnd w:id="257"/>
      <w:bookmarkStart w:id="258" w:name="_Toc184312130"/>
      <w:bookmarkEnd w:id="258"/>
      <w:bookmarkStart w:id="259" w:name="_Toc184312114"/>
      <w:bookmarkEnd w:id="259"/>
      <w:bookmarkStart w:id="260" w:name="_Toc184310328"/>
      <w:bookmarkEnd w:id="260"/>
      <w:bookmarkStart w:id="261" w:name="_Toc184312134"/>
      <w:bookmarkEnd w:id="261"/>
      <w:bookmarkStart w:id="262" w:name="_Toc184314412"/>
      <w:bookmarkEnd w:id="262"/>
      <w:bookmarkStart w:id="263" w:name="_Toc184314454"/>
      <w:bookmarkEnd w:id="263"/>
      <w:bookmarkStart w:id="264" w:name="_Toc184310343"/>
      <w:bookmarkEnd w:id="264"/>
      <w:bookmarkStart w:id="265" w:name="_Toc184314482"/>
      <w:bookmarkEnd w:id="265"/>
      <w:bookmarkStart w:id="266" w:name="_Toc184314451"/>
      <w:bookmarkEnd w:id="266"/>
      <w:bookmarkStart w:id="267" w:name="_Toc184314432"/>
      <w:bookmarkEnd w:id="267"/>
      <w:bookmarkStart w:id="268" w:name="_Toc184313307"/>
      <w:bookmarkEnd w:id="268"/>
      <w:bookmarkStart w:id="269" w:name="_Toc184314476"/>
      <w:bookmarkEnd w:id="269"/>
      <w:bookmarkStart w:id="270" w:name="_Toc184310312"/>
      <w:bookmarkEnd w:id="270"/>
      <w:bookmarkStart w:id="271" w:name="_Toc184313273"/>
      <w:bookmarkEnd w:id="271"/>
      <w:bookmarkStart w:id="272" w:name="_Toc184310295"/>
      <w:bookmarkEnd w:id="272"/>
      <w:bookmarkStart w:id="273" w:name="_Toc184308099"/>
      <w:bookmarkEnd w:id="273"/>
      <w:bookmarkStart w:id="274" w:name="_Toc184310315"/>
      <w:bookmarkEnd w:id="274"/>
      <w:bookmarkStart w:id="275" w:name="_Toc184314414"/>
      <w:bookmarkEnd w:id="275"/>
      <w:bookmarkStart w:id="276" w:name="_Toc184313288"/>
      <w:bookmarkEnd w:id="276"/>
      <w:bookmarkStart w:id="277" w:name="_Toc184310294"/>
      <w:bookmarkEnd w:id="277"/>
      <w:bookmarkStart w:id="278" w:name="_Toc184312091"/>
      <w:bookmarkEnd w:id="278"/>
      <w:bookmarkStart w:id="279" w:name="_Toc184313298"/>
      <w:bookmarkEnd w:id="279"/>
      <w:bookmarkStart w:id="280" w:name="_Toc184314422"/>
      <w:bookmarkEnd w:id="280"/>
      <w:bookmarkStart w:id="281" w:name="_Toc184313305"/>
      <w:bookmarkEnd w:id="281"/>
      <w:bookmarkStart w:id="282" w:name="_Toc184312068"/>
      <w:bookmarkEnd w:id="282"/>
      <w:bookmarkStart w:id="283" w:name="_Toc184308108"/>
      <w:bookmarkEnd w:id="283"/>
      <w:bookmarkStart w:id="284" w:name="_Toc184312112"/>
      <w:bookmarkEnd w:id="284"/>
      <w:bookmarkStart w:id="285" w:name="_Toc184314472"/>
      <w:bookmarkEnd w:id="285"/>
      <w:bookmarkStart w:id="286" w:name="_Toc184314427"/>
      <w:bookmarkEnd w:id="286"/>
      <w:bookmarkStart w:id="287" w:name="_Toc184308048"/>
      <w:bookmarkEnd w:id="287"/>
      <w:bookmarkStart w:id="288" w:name="_Toc184312115"/>
      <w:bookmarkEnd w:id="288"/>
      <w:bookmarkStart w:id="289" w:name="_Toc184314419"/>
      <w:bookmarkEnd w:id="289"/>
      <w:bookmarkStart w:id="290" w:name="_Toc184314457"/>
      <w:bookmarkEnd w:id="290"/>
      <w:bookmarkStart w:id="291" w:name="_Toc184310272"/>
      <w:bookmarkEnd w:id="291"/>
      <w:bookmarkStart w:id="292" w:name="_Toc184314429"/>
      <w:bookmarkEnd w:id="292"/>
      <w:bookmarkStart w:id="293" w:name="_Toc184313275"/>
      <w:bookmarkEnd w:id="293"/>
      <w:bookmarkStart w:id="294" w:name="_Toc184313278"/>
      <w:bookmarkEnd w:id="294"/>
      <w:bookmarkStart w:id="295" w:name="_Toc184312124"/>
      <w:bookmarkEnd w:id="295"/>
      <w:bookmarkStart w:id="296" w:name="_Toc184308106"/>
      <w:bookmarkEnd w:id="296"/>
      <w:bookmarkStart w:id="297" w:name="_Toc184310277"/>
      <w:bookmarkEnd w:id="297"/>
      <w:bookmarkStart w:id="298" w:name="_Toc184313290"/>
      <w:bookmarkEnd w:id="298"/>
      <w:bookmarkStart w:id="299" w:name="_Toc184314413"/>
      <w:bookmarkEnd w:id="299"/>
      <w:bookmarkStart w:id="300" w:name="_Toc184308076"/>
      <w:bookmarkEnd w:id="300"/>
      <w:bookmarkStart w:id="301" w:name="_Toc184313303"/>
      <w:bookmarkEnd w:id="301"/>
      <w:bookmarkStart w:id="302" w:name="_Toc184314474"/>
      <w:bookmarkEnd w:id="302"/>
      <w:bookmarkStart w:id="303" w:name="_Toc184310340"/>
      <w:bookmarkEnd w:id="303"/>
      <w:bookmarkStart w:id="304" w:name="_Toc184310310"/>
      <w:bookmarkEnd w:id="304"/>
      <w:bookmarkStart w:id="305" w:name="_Toc184308091"/>
      <w:bookmarkEnd w:id="305"/>
      <w:bookmarkStart w:id="306" w:name="_Toc184314481"/>
      <w:bookmarkEnd w:id="306"/>
      <w:bookmarkStart w:id="307" w:name="_Toc184313309"/>
      <w:bookmarkEnd w:id="307"/>
      <w:bookmarkStart w:id="308" w:name="_Toc184314418"/>
      <w:bookmarkEnd w:id="308"/>
      <w:bookmarkStart w:id="309" w:name="_Toc184314434"/>
      <w:bookmarkEnd w:id="309"/>
      <w:bookmarkStart w:id="310" w:name="_Toc184312086"/>
      <w:bookmarkEnd w:id="310"/>
      <w:bookmarkStart w:id="311" w:name="_Toc184308046"/>
      <w:bookmarkEnd w:id="311"/>
      <w:bookmarkStart w:id="312" w:name="_Toc184308044"/>
      <w:bookmarkEnd w:id="312"/>
      <w:bookmarkStart w:id="313" w:name="_Toc184310280"/>
      <w:bookmarkEnd w:id="313"/>
      <w:bookmarkStart w:id="314" w:name="_Toc184310307"/>
      <w:bookmarkEnd w:id="314"/>
      <w:bookmarkStart w:id="315" w:name="_Toc184308079"/>
      <w:bookmarkEnd w:id="315"/>
      <w:bookmarkStart w:id="316" w:name="_Toc184313299"/>
      <w:bookmarkEnd w:id="316"/>
      <w:bookmarkStart w:id="317" w:name="_Toc184313283"/>
      <w:bookmarkEnd w:id="317"/>
      <w:bookmarkStart w:id="318" w:name="_Toc184313256"/>
      <w:bookmarkEnd w:id="318"/>
      <w:bookmarkStart w:id="319" w:name="_Toc184310278"/>
      <w:bookmarkEnd w:id="319"/>
      <w:bookmarkStart w:id="320" w:name="_Toc184314410"/>
      <w:bookmarkEnd w:id="320"/>
      <w:bookmarkStart w:id="321" w:name="_Toc184308100"/>
      <w:bookmarkEnd w:id="321"/>
      <w:bookmarkStart w:id="322" w:name="_Toc184308090"/>
      <w:bookmarkEnd w:id="322"/>
      <w:bookmarkStart w:id="323" w:name="_Toc184313245"/>
      <w:bookmarkEnd w:id="323"/>
      <w:bookmarkStart w:id="324" w:name="_Toc184312118"/>
      <w:bookmarkEnd w:id="324"/>
      <w:bookmarkStart w:id="325" w:name="_Toc184313291"/>
      <w:bookmarkEnd w:id="325"/>
      <w:bookmarkStart w:id="326" w:name="_Toc184308037"/>
      <w:bookmarkEnd w:id="326"/>
      <w:bookmarkStart w:id="327" w:name="_Toc184312094"/>
      <w:bookmarkEnd w:id="327"/>
      <w:bookmarkStart w:id="328" w:name="_Toc184312098"/>
      <w:bookmarkEnd w:id="328"/>
      <w:bookmarkStart w:id="329" w:name="_Toc184313238"/>
      <w:bookmarkEnd w:id="329"/>
      <w:bookmarkStart w:id="330" w:name="_Toc184310296"/>
      <w:bookmarkEnd w:id="330"/>
      <w:bookmarkStart w:id="331" w:name="_Toc184312121"/>
      <w:bookmarkEnd w:id="331"/>
      <w:bookmarkStart w:id="332" w:name="_Toc184314440"/>
      <w:bookmarkEnd w:id="332"/>
      <w:bookmarkStart w:id="333" w:name="_Toc184310313"/>
      <w:bookmarkEnd w:id="333"/>
      <w:bookmarkStart w:id="334" w:name="_Toc184310288"/>
      <w:bookmarkEnd w:id="334"/>
      <w:bookmarkStart w:id="335" w:name="_Toc184308077"/>
      <w:bookmarkEnd w:id="335"/>
      <w:bookmarkStart w:id="336" w:name="_Toc184312089"/>
      <w:bookmarkEnd w:id="336"/>
      <w:bookmarkStart w:id="337" w:name="_Toc184308094"/>
      <w:bookmarkEnd w:id="337"/>
      <w:bookmarkStart w:id="338" w:name="_Toc184312113"/>
      <w:bookmarkEnd w:id="338"/>
      <w:bookmarkStart w:id="339" w:name="_Toc184310289"/>
      <w:bookmarkEnd w:id="339"/>
      <w:bookmarkStart w:id="340" w:name="_Toc184310319"/>
      <w:bookmarkEnd w:id="340"/>
      <w:bookmarkStart w:id="341" w:name="_Toc184312127"/>
      <w:bookmarkEnd w:id="341"/>
      <w:bookmarkStart w:id="342" w:name="_Toc184308105"/>
      <w:bookmarkEnd w:id="342"/>
      <w:bookmarkStart w:id="343" w:name="_Toc184312108"/>
      <w:bookmarkEnd w:id="343"/>
      <w:bookmarkStart w:id="344" w:name="_Toc184310318"/>
      <w:bookmarkEnd w:id="344"/>
      <w:bookmarkStart w:id="345" w:name="_Toc184312080"/>
      <w:bookmarkEnd w:id="345"/>
      <w:bookmarkStart w:id="346" w:name="_Toc184308104"/>
      <w:bookmarkEnd w:id="346"/>
      <w:bookmarkStart w:id="347" w:name="_Toc184308060"/>
      <w:bookmarkEnd w:id="347"/>
      <w:bookmarkStart w:id="348" w:name="_Toc184308063"/>
      <w:bookmarkEnd w:id="348"/>
      <w:bookmarkStart w:id="349" w:name="_Toc184314425"/>
      <w:bookmarkEnd w:id="349"/>
      <w:bookmarkStart w:id="350" w:name="_Toc184313302"/>
      <w:bookmarkEnd w:id="350"/>
      <w:bookmarkStart w:id="351" w:name="_Toc184310292"/>
      <w:bookmarkEnd w:id="351"/>
      <w:bookmarkStart w:id="352" w:name="_Toc184314479"/>
      <w:bookmarkEnd w:id="352"/>
      <w:bookmarkStart w:id="353" w:name="_Toc184314444"/>
      <w:bookmarkEnd w:id="353"/>
      <w:bookmarkStart w:id="354" w:name="_Toc184312099"/>
      <w:bookmarkEnd w:id="354"/>
      <w:bookmarkStart w:id="355" w:name="_Toc184312116"/>
      <w:bookmarkEnd w:id="355"/>
      <w:bookmarkStart w:id="356" w:name="_Toc184312136"/>
      <w:bookmarkEnd w:id="356"/>
      <w:bookmarkStart w:id="357" w:name="_Toc184308080"/>
      <w:bookmarkEnd w:id="357"/>
      <w:bookmarkStart w:id="358" w:name="_Toc184308071"/>
      <w:bookmarkEnd w:id="358"/>
      <w:bookmarkStart w:id="359" w:name="_Toc184308043"/>
      <w:bookmarkEnd w:id="359"/>
      <w:bookmarkStart w:id="360" w:name="_Toc184314455"/>
      <w:bookmarkEnd w:id="360"/>
      <w:bookmarkStart w:id="361" w:name="_Toc184308075"/>
      <w:bookmarkEnd w:id="361"/>
      <w:bookmarkStart w:id="362" w:name="_Toc184312085"/>
      <w:bookmarkEnd w:id="362"/>
      <w:bookmarkStart w:id="363" w:name="_Toc184312092"/>
      <w:bookmarkEnd w:id="363"/>
      <w:bookmarkStart w:id="364" w:name="_Toc184310327"/>
      <w:bookmarkEnd w:id="364"/>
      <w:bookmarkStart w:id="365" w:name="_Toc184310284"/>
      <w:bookmarkEnd w:id="365"/>
      <w:bookmarkStart w:id="366" w:name="_Toc184312101"/>
      <w:bookmarkEnd w:id="366"/>
      <w:bookmarkStart w:id="367" w:name="_Toc184314447"/>
      <w:bookmarkEnd w:id="367"/>
      <w:bookmarkStart w:id="368" w:name="_Toc184313274"/>
      <w:bookmarkEnd w:id="368"/>
      <w:bookmarkStart w:id="369" w:name="_Toc184312095"/>
      <w:bookmarkEnd w:id="369"/>
      <w:bookmarkStart w:id="370" w:name="_Toc184310317"/>
      <w:bookmarkEnd w:id="370"/>
      <w:bookmarkStart w:id="371" w:name="_Toc184313265"/>
      <w:bookmarkEnd w:id="371"/>
      <w:bookmarkStart w:id="372" w:name="_Toc184310332"/>
      <w:bookmarkEnd w:id="372"/>
      <w:bookmarkStart w:id="373" w:name="_Toc184312105"/>
      <w:bookmarkEnd w:id="373"/>
      <w:bookmarkStart w:id="374" w:name="_Toc184312123"/>
      <w:bookmarkEnd w:id="374"/>
      <w:bookmarkStart w:id="375" w:name="_Toc184312071"/>
      <w:bookmarkEnd w:id="375"/>
      <w:bookmarkStart w:id="376" w:name="_Toc184310314"/>
      <w:bookmarkEnd w:id="376"/>
      <w:bookmarkStart w:id="377" w:name="_Toc184312078"/>
      <w:bookmarkEnd w:id="377"/>
      <w:bookmarkStart w:id="378" w:name="_Toc184313258"/>
      <w:bookmarkEnd w:id="378"/>
      <w:bookmarkStart w:id="379" w:name="_Toc184313242"/>
      <w:bookmarkEnd w:id="379"/>
      <w:bookmarkStart w:id="380" w:name="_Toc184312100"/>
      <w:bookmarkEnd w:id="380"/>
      <w:bookmarkStart w:id="381" w:name="_Toc184312074"/>
      <w:bookmarkEnd w:id="381"/>
      <w:bookmarkStart w:id="382" w:name="_Toc184314446"/>
      <w:bookmarkEnd w:id="382"/>
      <w:bookmarkStart w:id="383" w:name="_Toc18431328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7"/>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2024年临江公司碱液脱酸系统备件采购</w:t>
      </w:r>
      <w:r>
        <w:rPr>
          <w:rFonts w:hint="eastAsia" w:ascii="宋体" w:hAnsi="宋体" w:cs="宋体"/>
          <w:sz w:val="24"/>
          <w:u w:val="single"/>
          <w:lang w:val="en-US" w:eastAsia="zh-CN"/>
        </w:rPr>
        <w:t xml:space="preserve">项目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23"/>
        <w:ind w:left="0" w:leftChars="0" w:firstLine="0" w:firstLineChars="0"/>
        <w:rPr>
          <w:rFonts w:ascii="宋体" w:hAnsi="宋体" w:cs="宋体"/>
          <w:b/>
          <w:szCs w:val="24"/>
        </w:rPr>
      </w:pPr>
    </w:p>
    <w:p>
      <w:pPr>
        <w:pStyle w:val="14"/>
        <w:jc w:val="center"/>
        <w:rPr>
          <w:rFonts w:eastAsia="宋体"/>
          <w:b/>
          <w:bCs/>
        </w:rPr>
      </w:pPr>
      <w:r>
        <w:rPr>
          <w:rFonts w:hint="eastAsia"/>
          <w:b/>
          <w:bCs/>
        </w:rPr>
        <w:t>目录</w:t>
      </w:r>
    </w:p>
    <w:p>
      <w:pPr>
        <w:pStyle w:val="7"/>
        <w:spacing w:line="360" w:lineRule="auto"/>
        <w:ind w:firstLine="240" w:firstLineChars="100"/>
      </w:pPr>
      <w:r>
        <w:rPr>
          <w:rFonts w:hint="eastAsia"/>
        </w:rPr>
        <w:t>第一章 合同书  ……………………………………………………………（页码）</w:t>
      </w:r>
    </w:p>
    <w:p>
      <w:pPr>
        <w:pStyle w:val="7"/>
        <w:spacing w:line="360" w:lineRule="auto"/>
        <w:ind w:firstLine="240" w:firstLineChars="100"/>
        <w:rPr>
          <w:rFonts w:hint="eastAsia"/>
        </w:rPr>
      </w:pPr>
      <w:r>
        <w:rPr>
          <w:rFonts w:hint="eastAsia"/>
        </w:rPr>
        <w:t>第二章 合同一般条款………………………………………………………（页码）</w:t>
      </w:r>
    </w:p>
    <w:p>
      <w:pPr>
        <w:pStyle w:val="7"/>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7"/>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7"/>
        <w:spacing w:line="360" w:lineRule="auto"/>
        <w:ind w:firstLine="240" w:firstLineChars="100"/>
        <w:rPr>
          <w:rFonts w:hint="eastAsia"/>
        </w:rPr>
      </w:pPr>
    </w:p>
    <w:p>
      <w:pPr>
        <w:pStyle w:val="23"/>
        <w:rPr>
          <w:rFonts w:ascii="宋体" w:hAnsi="宋体" w:cs="宋体"/>
          <w:szCs w:val="24"/>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2024年临江公司锅炉水平烟道落灰管改造及炉排底冷却风管改造备件采购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641"/>
        <w:gridCol w:w="641"/>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总计（元）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液碱输送泵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格兰富</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型号：CR10-9A-FJ-A-E-HQQE 功率：3KW 流量：10m³/h 扬程：72.3m 最大扬程：91.8m  转速2902r/min 介质：30%氢氧化钠溶液 过流件耐酸耐碱</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不锈钢压力表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型号：Y-150B-FZ φ150，径向，精度1.6%，全密封型，安全玻璃，表壳材质304，IP65，充油耐震型，介质20%氢氧化钠，常温，压力1MPa，量程范围0~1.6MPa，过程连接G3/8 外螺纹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压力变送器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罗斯蒙特</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型号：3051GP2A2B21BM5HR5(配316材质1/4NPT外转换14转换接头) 迁移量100%，电源24VDC，精度0.075%，输出信号4~20mA+HART,两线制，电气接口规格M20*1.5，IP66，带LCD显示，介质:30%氢氧化钠，温度:常温，压力:0.3MPa，测量范围:0~1.6Mpa，过程连接NPT1/2"内螺纹:过流部件:316L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电磁流量计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正常流量1.5m³/h，最大流量：3m³/h，刻度流量0~5m³/h ，内部材料：PTFE或同等材料；电极：316L；精确度±1%，电源：220VAC 50Hz，防护等级：IP65，输出： 4~20mA HART + 脉冲 无源，液晶显示，瞬时量、累积量，参数可调，工艺介质：30%氢氧化钠、 常温；法兰连接，GB9119-2010，DN25 PN1.6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气动调节阀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型号：ZXP-16R DN25 PN16 工艺介质：30%氢氧化钠、 常温 最小/常用/最大流量m³/h：0.1/1.5/3 阀前/阀后压力MPa: 0.45/0.3 管道直径：DN25 过程连接：法兰连接 供电电源：24V 精度0.5级 带输入信号、反馈信号4-20mA 带位置反馈、集成智能定位器 不防爆、电气连接：M20*1.5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止回阀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型号：H61W-16P  DN25 PN16 连接形式：焊接 材质:304 密封材料：PTFE</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气动关断阀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型号：Q641F-16 DN25 PN16 阀体材质：304 工艺介质：20%氢氧化钠  过程连接：法兰连接 供电电源：24V  带输入信号、反馈信号4-20mA 带位置反馈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DN15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DN25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型号：ZR-YJV-0.6/1KV 芯数截面：1(4*2.5)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芯数截面：1(4*1.0)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芯数截面：1(2*2*1.0)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：清单数量为</w:t>
      </w:r>
      <w:r>
        <w:rPr>
          <w:rFonts w:hint="eastAsia" w:ascii="宋体" w:hAnsi="宋体" w:cs="宋体"/>
          <w:sz w:val="24"/>
          <w:u w:val="single"/>
          <w:lang w:val="en-US" w:eastAsia="zh-CN"/>
        </w:rPr>
        <w:t>甲方根据方案图纸的数量测算</w:t>
      </w:r>
      <w:r>
        <w:rPr>
          <w:rFonts w:hint="eastAsia" w:ascii="宋体" w:hAnsi="宋体" w:cs="宋体"/>
          <w:sz w:val="24"/>
          <w:u w:val="single"/>
        </w:rPr>
        <w:t>，</w:t>
      </w:r>
      <w:r>
        <w:rPr>
          <w:rFonts w:hint="eastAsia" w:ascii="宋体" w:hAnsi="宋体" w:cs="宋体"/>
          <w:sz w:val="24"/>
          <w:u w:val="single"/>
          <w:lang w:val="en-US" w:eastAsia="zh-CN"/>
        </w:rPr>
        <w:t>乙方可按方案图纸测算或自行现场确认数量，材料使用数量按现场实际使用数量结算。</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自合同签订生效后30天内完成供货、安装及调试；</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自合同签订生效后30天内完成供货、安装及调试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6"/>
        <w:numPr>
          <w:ilvl w:val="0"/>
          <w:numId w:val="0"/>
        </w:numPr>
        <w:ind w:firstLine="480" w:firstLineChars="200"/>
        <w:rPr>
          <w:rFonts w:hint="eastAsia" w:ascii="宋体" w:hAnsi="宋体" w:eastAsia="宋体" w:cs="宋体"/>
          <w:lang w:val="en-US" w:eastAsia="zh-CN"/>
        </w:rPr>
      </w:pPr>
      <w:r>
        <w:rPr>
          <w:rFonts w:hint="eastAsia"/>
          <w:highlight w:val="none"/>
          <w:lang w:val="en-US" w:eastAsia="zh-CN"/>
        </w:rPr>
        <w:t>4.乙方负责对成品做除锈及油漆防腐处理，</w:t>
      </w:r>
      <w:r>
        <w:rPr>
          <w:rFonts w:hint="eastAsia" w:ascii="宋体" w:hAnsi="宋体" w:eastAsia="宋体" w:cs="宋体"/>
          <w:lang w:val="en-US" w:eastAsia="zh-CN"/>
        </w:rPr>
        <w:t>刷一道底漆，一道防锈面漆，面漆颜色，淡灰B03。</w:t>
      </w:r>
    </w:p>
    <w:p>
      <w:pPr>
        <w:pStyle w:val="6"/>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eastAsia" w:cs="Arial"/>
          <w:b w:val="0"/>
          <w:bCs w:val="0"/>
          <w:snapToGrid w:val="0"/>
          <w:kern w:val="2"/>
          <w:sz w:val="24"/>
          <w:szCs w:val="24"/>
          <w:lang w:val="en-US" w:eastAsia="zh-CN" w:bidi="ar-SA"/>
        </w:rPr>
        <w:t>5.</w:t>
      </w:r>
      <w:r>
        <w:rPr>
          <w:rFonts w:hint="default" w:ascii="宋体" w:hAnsi="Arial" w:cs="Arial" w:eastAsiaTheme="minorEastAsia"/>
          <w:b w:val="0"/>
          <w:bCs w:val="0"/>
          <w:snapToGrid w:val="0"/>
          <w:kern w:val="2"/>
          <w:sz w:val="24"/>
          <w:szCs w:val="24"/>
          <w:lang w:val="en-US" w:eastAsia="zh-CN" w:bidi="ar-SA"/>
        </w:rPr>
        <w:t>液碱制备间至反应塔底的管道标高为+5米，反应塔底爬升至反应塔顶的标高为+37.156米，反应塔顶管道水平布置，反应塔顶环境温度约50℃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，乙方自行考虑作业条件，或到现场确认。</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w:t>
      </w:r>
      <w:r>
        <w:rPr>
          <w:rFonts w:hint="default" w:ascii="宋体" w:hAnsi="Arial" w:cs="Arial" w:eastAsiaTheme="minorEastAsia"/>
          <w:b w:val="0"/>
          <w:bCs w:val="0"/>
          <w:snapToGrid w:val="0"/>
          <w:kern w:val="2"/>
          <w:sz w:val="24"/>
          <w:szCs w:val="24"/>
          <w:lang w:val="en-US" w:eastAsia="zh-CN" w:bidi="ar-SA"/>
        </w:rPr>
        <w:t>乙方自筹或租赁，所需费用由乙方自行承担。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6.主要作业内容：临江公司能源项目液碱喷淋脱酸系统安装（南北各一套）</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1）液碱喷淋脱酸系统供应管道安装，总长约482米（单侧约241米），总爬高约37米；</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2）管道布置时所需的支架、抱箍等安装； </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3）管件、阀门、流量计、压力表的安装；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4）供应泵的安装及调试；</w:t>
      </w:r>
    </w:p>
    <w:p>
      <w:pPr>
        <w:pStyle w:val="14"/>
        <w:rPr>
          <w:rFonts w:hint="default"/>
          <w:lang w:val="en-US"/>
        </w:rPr>
      </w:pPr>
      <w:r>
        <w:rPr>
          <w:rFonts w:hint="eastAsia" w:hAnsi="Arial" w:cs="Arial"/>
          <w:b w:val="0"/>
          <w:bCs w:val="0"/>
          <w:snapToGrid w:val="0"/>
          <w:kern w:val="2"/>
          <w:sz w:val="24"/>
          <w:szCs w:val="24"/>
          <w:lang w:val="en-US" w:eastAsia="zh-CN" w:bidi="ar-SA"/>
        </w:rPr>
        <w:t>5）电缆敷设及接线（电缆敷设涉及的电缆桥架的拆除及恢复及相应的辅材均由乙方负责）。</w:t>
      </w:r>
    </w:p>
    <w:p>
      <w:pPr>
        <w:rPr>
          <w:rFonts w:hint="eastAsia"/>
        </w:rPr>
      </w:pP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14"/>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（4）若质保期内出现质量问题，甲方有权从质保金中扣除违约金，同时乙方应免费维修或更换。</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lang w:eastAsia="zh-CN"/>
        </w:rPr>
        <w:t>（</w:t>
      </w:r>
      <w:r>
        <w:rPr>
          <w:rFonts w:hint="eastAsia" w:ascii="宋体" w:hAnsi="宋体" w:cs="宋体"/>
          <w:sz w:val="24"/>
          <w:u w:val="single"/>
          <w:lang w:val="en-US" w:eastAsia="zh-CN"/>
        </w:rPr>
        <w:t>5</w:t>
      </w:r>
      <w:r>
        <w:rPr>
          <w:rFonts w:hint="eastAsia" w:ascii="宋体" w:hAnsi="宋体" w:cs="宋体"/>
          <w:sz w:val="24"/>
          <w:u w:val="single"/>
          <w:lang w:eastAsia="zh-CN"/>
        </w:rPr>
        <w:t>）在使用乙方提供的货物或者服务过程中，因产品质量或乙方其他问题给机械设备造成故障或货物损坏，由乙方承担甲方的一切损失，包括直接和间接损失。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第三章安全协议及</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Toc279701240"/>
      <w:bookmarkStart w:id="410" w:name="_Ref467379225"/>
      <w:bookmarkStart w:id="411" w:name="_Toc19614"/>
      <w:bookmarkStart w:id="412" w:name="_Ref467379205"/>
      <w:bookmarkStart w:id="413" w:name="_Ref467379214"/>
      <w:bookmarkStart w:id="414" w:name="_Ref467378463"/>
      <w:bookmarkStart w:id="415" w:name="_Toc28763"/>
      <w:bookmarkStart w:id="416" w:name="_Ref467379101"/>
      <w:bookmarkStart w:id="417" w:name="_Toc16917"/>
      <w:bookmarkStart w:id="418" w:name="_Ref467378404"/>
      <w:bookmarkStart w:id="419" w:name="_Ref467379109"/>
      <w:bookmarkStart w:id="420" w:name="_Ref467379094"/>
      <w:bookmarkStart w:id="421" w:name="_Toc487900349"/>
      <w:bookmarkStart w:id="422" w:name="_Ref467379195"/>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487900350"/>
      <w:bookmarkStart w:id="430" w:name="_Toc32504"/>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59093671"/>
      <w:bookmarkStart w:id="435" w:name="_Toc31634"/>
      <w:bookmarkStart w:id="436" w:name="_Toc279701242"/>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59093677"/>
      <w:bookmarkStart w:id="454" w:name="_Toc487900358"/>
      <w:bookmarkStart w:id="455" w:name="_Ref467379863"/>
      <w:bookmarkStart w:id="456" w:name="_Toc279701248"/>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79701255"/>
      <w:bookmarkStart w:id="483" w:name="_Toc689"/>
      <w:bookmarkStart w:id="484" w:name="_Toc30676"/>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279701258"/>
      <w:bookmarkStart w:id="490" w:name="_Toc259093687"/>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59093691"/>
      <w:bookmarkStart w:id="506" w:name="_Toc487900372"/>
      <w:bookmarkStart w:id="507" w:name="_Toc4355"/>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487900373"/>
      <w:bookmarkStart w:id="513" w:name="_Toc10330"/>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2024年临江公司碱液脱酸系统备件采购项目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2024年临江公司碱液脱酸系统备件采购项目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Times New Roman"/>
          <w:b/>
          <w:szCs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7"/>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3"/>
      </w:pPr>
    </w:p>
    <w:p/>
    <w:p>
      <w:pPr>
        <w:pStyle w:val="13"/>
      </w:pPr>
    </w:p>
    <w:p/>
    <w:p>
      <w:pPr>
        <w:pStyle w:val="13"/>
      </w:pPr>
    </w:p>
    <w:p/>
    <w:p>
      <w:pPr>
        <w:pStyle w:val="6"/>
      </w:pPr>
    </w:p>
    <w:p/>
    <w:p>
      <w:pPr>
        <w:pStyle w:val="6"/>
      </w:pPr>
    </w:p>
    <w:p/>
    <w:p>
      <w:pPr>
        <w:pStyle w:val="6"/>
      </w:pPr>
    </w:p>
    <w:p>
      <w:pPr>
        <w:pStyle w:val="14"/>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2024年临江公司碱液脱酸系统备件采购项目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4"/>
      </w:pPr>
    </w:p>
    <w:p/>
    <w:p/>
    <w:p/>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4"/>
      </w:pPr>
    </w:p>
    <w:p/>
    <w:p>
      <w:pPr>
        <w:pStyle w:val="6"/>
      </w:pPr>
    </w:p>
    <w:p>
      <w:pPr>
        <w:pStyle w:val="14"/>
      </w:pPr>
    </w:p>
    <w:p/>
    <w:p>
      <w:pPr>
        <w:pStyle w:val="6"/>
      </w:pPr>
    </w:p>
    <w:p>
      <w:pPr>
        <w:pStyle w:val="14"/>
      </w:pPr>
    </w:p>
    <w:p/>
    <w:p>
      <w:pPr>
        <w:pStyle w:val="11"/>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14"/>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4"/>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6"/>
      </w:pPr>
    </w:p>
    <w:p>
      <w:pPr>
        <w:pStyle w:val="14"/>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Pr>
        <w:pStyle w:val="14"/>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14"/>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14"/>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14"/>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1"/>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1"/>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lang w:eastAsia="zh-CN"/>
        </w:rPr>
        <w:t>（</w:t>
      </w:r>
      <w:r>
        <w:rPr>
          <w:rFonts w:hint="eastAsia" w:cs="仿宋" w:asciiTheme="minorEastAsia" w:hAnsiTheme="minorEastAsia"/>
          <w:b/>
          <w:bCs/>
          <w:sz w:val="24"/>
          <w:szCs w:val="24"/>
          <w:lang w:val="en-US" w:eastAsia="zh-CN"/>
        </w:rPr>
        <w:t>发票仅接收货物类发票，不接受工程类或服务类发票</w:t>
      </w:r>
      <w:r>
        <w:rPr>
          <w:rFonts w:hint="eastAsia" w:ascii="宋体" w:hAnsi="宋体" w:eastAsia="宋体" w:cs="宋体"/>
          <w:sz w:val="24"/>
          <w:szCs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5014"/>
        <w:gridCol w:w="1173"/>
        <w:gridCol w:w="900"/>
        <w:gridCol w:w="845"/>
        <w:gridCol w:w="1023"/>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5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不锈钢钢管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φ32*3.5 材质：316L</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r>
              <w:rPr>
                <w:rFonts w:hint="default" w:ascii="宋体" w:hAnsi="宋体" w:eastAsia="宋体" w:cs="宋体"/>
                <w:b/>
                <w:bCs/>
                <w:snapToGrid w:val="0"/>
                <w:szCs w:val="21"/>
                <w:lang w:val="en-US" w:eastAsia="zh-CN"/>
              </w:rPr>
              <w:t>液碱制备间至反应塔底的管道标高为+5米，反应塔底爬升至反应塔顶的标高为+37.156米，反应塔顶管道水平布置，反应塔顶环境温度约50℃</w:t>
            </w:r>
            <w:r>
              <w:rPr>
                <w:rFonts w:hint="eastAsia" w:ascii="宋体" w:hAnsi="宋体" w:eastAsia="宋体" w:cs="宋体"/>
                <w:b/>
                <w:bCs/>
                <w:snapToGrid w:val="0"/>
                <w:szCs w:val="21"/>
                <w:lang w:val="en-US" w:eastAsia="zh-CN"/>
              </w:rPr>
              <w:t>，供应商自行考虑作业条件，或到现场确认作业环境。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等径三通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φ32*3.5 材质：316L</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  PN16 304不锈钢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DN15  PN16 304不锈钢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液碱输送泵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格兰富</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型号：CR10-9A-FJ-A-E-HQQE 功率：3KW 流量：10m³/h 扬程：72.3m 最大扬程：91.8m  转速2902r/min 介质：30%氢氧化钠溶液 过流件耐酸耐碱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不锈钢压力表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型号：Y-150B-FZ φ150，径向，精度1.6%，全密封型，安全玻璃，表壳材质304，IP65，充油耐震型，介质20%氢氧化钠，常温，压力1MPa，量程范围0~1.6MPa，过程连接G3/8 外螺纹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压力变送器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罗斯蒙特</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型号：3051GP2A2B21BM5HR5(配316材质1/4NPT外转换14转换接头) 迁移量100%，电源24VDC，精度0.075%，输出信号4~20mA+HART,两线制，电气接口规格M20*1.5，IP66，带LCD显示，介质:30%氢氧化钠，温度:常温，压力:0.3MPa，测量范围:0~1.6Mpa，过程连接NPT1/2"内螺纹:过流部件:316L</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正常流量1.5m³/h，最大流量：3m³/h，刻度流量0~5m³/h ，内部材料：PTFE或同等材料；电极：316L；精确度±1%，电源：220VAC 50Hz，防护等级：IP65，输出： 4~20mA HART + 脉冲 无源，液晶显示，瞬时量、累积量，参数可调，工艺介质：30%氢氧化钠、 常温；法兰连接，GB9119-2010，DN25 PN1.6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气动调节阀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型号：ZXP-16R DN25 PN16 工艺介质：30%氢氧化钠、 常温 最小/常用/最大流量m³/h：0.1/1.5/3 阀前/阀后压力MPa: 0.45/0.3 管道直径：DN25 过程连接：法兰连接 供电电源：24V 精度0.5级 带输入信号、反馈信号4-20mA 带位置反馈、集成智能定位器 不防爆、电气连接：M20*1.5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止回阀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型号：H61W-16P  DN25 PN16 连接形式：焊接 材质:304 密封材料：PTFE</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气动关断阀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型号：Q641F-16 DN25 PN16 阀体材质：304 工艺介质：20%氢氧化钠  过程连接：法兰连接 供电电源：24V  带输入信号、反馈信号4-20mA 带位置反馈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型号：Q61F-16P DN15 材质：304 介质：30%氢氧化钠溶液</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型号：Q61F-16P DN25 材质：304 介质：30%氢氧化钠溶液</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型号：ZR-YJV-0.6/1KV 芯数截面：1(4*2.5)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型号：ZR-KVVP-0.45/0.75kV 芯数截面：1(4*1.0)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型号：ZR-KVVP-0.45/0.75kV 芯数截面：1(6*1.0)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型号：ZR-DJYPVP-0.3/0.5kV 芯数截面：1(1*2*1.0)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型号：ZR-DJYPVP-0.3/0.5kV 芯数截面：1(2*2*1.0)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型号：ZR-KVVP-0.45/0.75kV 芯数截面：1(6*1.0)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型号：ZR-DJYPVP-0.3/0.5kV 芯数截面：1(1*2*1.0)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1"/>
                <w:szCs w:val="21"/>
              </w:rPr>
              <w:t>响应报价合计（小写）</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响应报价合计（大写）</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税率</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1"/>
                <w:szCs w:val="21"/>
                <w:lang w:eastAsia="zh-CN"/>
              </w:rPr>
              <w:t>（</w:t>
            </w:r>
            <w:r>
              <w:rPr>
                <w:rFonts w:hint="eastAsia" w:cs="仿宋" w:asciiTheme="minorEastAsia" w:hAnsiTheme="minorEastAsia"/>
                <w:b/>
                <w:bCs/>
                <w:sz w:val="21"/>
                <w:szCs w:val="21"/>
                <w:lang w:val="en-US" w:eastAsia="zh-CN"/>
              </w:rPr>
              <w:t>发票仅接收货物类发票，不接受工程类或服务类发票</w:t>
            </w:r>
            <w:r>
              <w:rPr>
                <w:rFonts w:hint="eastAsia" w:cs="仿宋" w:asciiTheme="minorEastAsia" w:hAnsiTheme="minorEastAsia"/>
                <w:b/>
                <w:bCs/>
                <w:sz w:val="21"/>
                <w:szCs w:val="21"/>
                <w:lang w:eastAsia="zh-CN"/>
              </w:rPr>
              <w:t>）</w:t>
            </w:r>
          </w:p>
        </w:tc>
      </w:tr>
    </w:tbl>
    <w:p>
      <w:pPr>
        <w:spacing w:line="360" w:lineRule="auto"/>
        <w:jc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1"/>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14"/>
      </w:pPr>
    </w:p>
    <w:p>
      <w:pPr>
        <w:pStyle w:val="12"/>
      </w:pPr>
    </w:p>
    <w:p/>
    <w:p>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bookmarkStart w:id="517" w:name="_GoBack"/>
      <w:bookmarkEnd w:id="517"/>
      <w:r>
        <w:rPr>
          <w:rFonts w:hint="eastAsia" w:ascii="宋体" w:hAnsi="宋体" w:cs="宋体"/>
          <w:sz w:val="24"/>
        </w:rPr>
        <w:t xml:space="preserve">                </w:t>
      </w:r>
    </w:p>
    <w:p>
      <w:pPr>
        <w:pStyle w:val="8"/>
        <w:rPr>
          <w:rFonts w:hint="eastAsia" w:hAnsi="宋体" w:cs="宋体"/>
          <w:b/>
          <w:bCs/>
          <w:sz w:val="24"/>
        </w:rPr>
      </w:pPr>
    </w:p>
    <w:p>
      <w:pPr>
        <w:pStyle w:val="8"/>
        <w:rPr>
          <w:rFonts w:hint="eastAsia" w:hAnsi="宋体" w:cs="宋体"/>
          <w:b/>
          <w:bCs/>
          <w:sz w:val="24"/>
        </w:rPr>
      </w:pPr>
    </w:p>
    <w:p>
      <w:pPr>
        <w:pStyle w:val="8"/>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E40BEEEB"/>
    <w:multiLevelType w:val="singleLevel"/>
    <w:tmpl w:val="E40BEEEB"/>
    <w:lvl w:ilvl="0" w:tentative="0">
      <w:start w:val="4"/>
      <w:numFmt w:val="decimal"/>
      <w:suff w:val="nothing"/>
      <w:lvlText w:val="%1、"/>
      <w:lvlJc w:val="left"/>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454474"/>
    <w:rsid w:val="34AF40BC"/>
    <w:rsid w:val="35C75880"/>
    <w:rsid w:val="36162BCB"/>
    <w:rsid w:val="364530C9"/>
    <w:rsid w:val="36483084"/>
    <w:rsid w:val="36A71B58"/>
    <w:rsid w:val="37103BA1"/>
    <w:rsid w:val="37514AF4"/>
    <w:rsid w:val="377C0298"/>
    <w:rsid w:val="37B04D36"/>
    <w:rsid w:val="37C65D75"/>
    <w:rsid w:val="37D2523E"/>
    <w:rsid w:val="37E66CE3"/>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CDC3C38"/>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34</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2024-08-22T02:07:31Z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