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2024年临江公司石灰浆备用管道及备件采购项目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202408022</w:t>
      </w:r>
    </w:p>
    <w:p>
      <w:pPr>
        <w:spacing w:line="360" w:lineRule="auto"/>
        <w:jc w:val="center"/>
        <w:rPr>
          <w:rFonts w:cs="仿宋" w:asciiTheme="minorEastAsia" w:hAnsiTheme="minorEastAsia"/>
          <w:b/>
          <w:bCs/>
          <w:sz w:val="72"/>
          <w:szCs w:val="72"/>
        </w:rPr>
      </w:pPr>
    </w:p>
    <w:p>
      <w:pPr>
        <w:pStyle w:val="3"/>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22</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2024年临江公司石灰浆备用管道及备件采购项目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5"/>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202408022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2024年临江公司石灰浆备用管道及备件采购项目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szCs w:val="24"/>
          <w:highlight w:val="none"/>
          <w:u w:val="single"/>
          <w:lang w:val="en-US" w:eastAsia="zh-CN"/>
        </w:rPr>
        <w:t>14.82</w:t>
      </w:r>
      <w:r>
        <w:rPr>
          <w:rFonts w:hint="eastAsia" w:cs="仿宋" w:asciiTheme="minorEastAsia" w:hAnsiTheme="minorEastAsia"/>
          <w:b w:val="0"/>
          <w:bCs w:val="0"/>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val="en-US" w:eastAsia="zh-CN"/>
        </w:rPr>
        <w:t>石灰浆备用管道及备件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自合同签订生效后6个月内完成</w:t>
      </w:r>
      <w:r>
        <w:rPr>
          <w:rFonts w:hint="eastAsia" w:cs="仿宋" w:asciiTheme="minorEastAsia" w:hAnsiTheme="minorEastAsia"/>
          <w:sz w:val="24"/>
          <w:u w:val="single"/>
        </w:rPr>
        <w:t>供货</w:t>
      </w:r>
      <w:r>
        <w:rPr>
          <w:rFonts w:hint="eastAsia" w:cs="仿宋" w:asciiTheme="minorEastAsia" w:hAnsiTheme="minorEastAsia"/>
          <w:sz w:val="24"/>
          <w:u w:val="single"/>
          <w:lang w:val="en-US" w:eastAsia="zh-CN"/>
        </w:rPr>
        <w:t>及安装调试</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5"/>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bookmarkStart w:id="517" w:name="_GoBack"/>
      <w:bookmarkEnd w:id="517"/>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08月22</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b/>
                <w:bCs/>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val="0"/>
                    <w:bCs w:val="0"/>
                    <w:color w:val="auto"/>
                    <w:szCs w:val="21"/>
                    <w:lang w:val="en-US" w:eastAsia="zh-CN"/>
                  </w:rPr>
                  <w:t>否</w:t>
                </w:r>
                <w:r>
                  <w:rPr>
                    <w:rFonts w:hint="eastAsia" w:ascii="宋体" w:hAnsi="宋体" w:eastAsia="宋体" w:cs="宋体"/>
                    <w:b w:val="0"/>
                    <w:bCs w:val="0"/>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3"/>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3"/>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3"/>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3"/>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3"/>
        <w:ind w:firstLine="480" w:firstLineChars="200"/>
        <w:rPr>
          <w:rFonts w:hint="eastAsia"/>
          <w:lang w:val="en-US"/>
        </w:rPr>
      </w:pPr>
      <w:r>
        <w:rPr>
          <w:rFonts w:hint="eastAsia"/>
          <w:lang w:val="en-US"/>
        </w:rPr>
        <w:t>杭州临江环境能源有限公司因日常生产需要，需采购</w:t>
      </w:r>
      <w:r>
        <w:rPr>
          <w:rFonts w:hint="eastAsia" w:hAnsi="宋体" w:cs="宋体"/>
          <w:bCs/>
          <w:sz w:val="24"/>
        </w:rPr>
        <w:t>采购</w:t>
      </w:r>
      <w:r>
        <w:rPr>
          <w:rFonts w:hint="eastAsia" w:hAnsi="宋体" w:cs="宋体"/>
          <w:bCs/>
          <w:sz w:val="24"/>
          <w:lang w:val="en-US" w:eastAsia="zh-CN"/>
        </w:rPr>
        <w:t>石灰浆管道及</w:t>
      </w:r>
      <w:r>
        <w:rPr>
          <w:rFonts w:hint="eastAsia"/>
          <w:lang w:val="en-US" w:eastAsia="zh-CN"/>
        </w:rPr>
        <w:t>备件用于制作雾化器备用石灰浆管道。</w:t>
      </w:r>
      <w:r>
        <w:rPr>
          <w:rFonts w:hint="eastAsia"/>
          <w:lang w:val="en-US"/>
        </w:rPr>
        <w:t>具体如下：</w:t>
      </w:r>
    </w:p>
    <w:tbl>
      <w:tblPr>
        <w:tblStyle w:val="15"/>
        <w:tblW w:w="90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616"/>
        <w:gridCol w:w="2482"/>
        <w:gridCol w:w="668"/>
        <w:gridCol w:w="641"/>
        <w:gridCol w:w="2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物资名称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型号规格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无缝钢管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φ89*4.5，材质：20#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660</w:t>
            </w:r>
          </w:p>
        </w:tc>
        <w:tc>
          <w:tcPr>
            <w:tcW w:w="2543" w:type="dxa"/>
            <w:vMerge w:val="restart"/>
            <w:tcBorders>
              <w:top w:val="single" w:color="000000" w:sz="4" w:space="0"/>
              <w:left w:val="single" w:color="000000" w:sz="4" w:space="0"/>
              <w:right w:val="single" w:color="000000" w:sz="4" w:space="0"/>
            </w:tcBorders>
            <w:shd w:val="clear" w:color="auto" w:fill="auto"/>
            <w:noWrap/>
            <w:vAlign w:val="center"/>
          </w:tcPr>
          <w:p>
            <w:pPr>
              <w:tabs>
                <w:tab w:val="left" w:pos="542"/>
              </w:tabs>
              <w:jc w:val="left"/>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材料报价包含改造安装过程中所有的油漆、工具、辅材、人工、脚手架及其他安全措施费。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90°焊接弯头</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φ89*4.5，R=5D，材质：20#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角钢</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50*50*3，材质；Q235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U型卡箍双头螺栓</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M8，配φ89管道</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无缝钢管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Φ45*3，材质:20#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手动球阀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Q41F-16C,DN40，1.6MPa</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pStyle w:val="2"/>
        <w:rPr>
          <w:rFonts w:hint="eastAsia"/>
          <w:lang w:val="en-US"/>
        </w:rPr>
      </w:pPr>
    </w:p>
    <w:p>
      <w:pPr>
        <w:pStyle w:val="3"/>
        <w:numPr>
          <w:ilvl w:val="0"/>
          <w:numId w:val="0"/>
        </w:numPr>
        <w:spacing w:after="0" w:line="360" w:lineRule="auto"/>
        <w:ind w:firstLine="480" w:firstLineChars="200"/>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bidi="ar-SA"/>
        </w:rPr>
        <w:t>1.</w:t>
      </w:r>
      <w:r>
        <w:rPr>
          <w:rFonts w:hint="eastAsia" w:ascii="宋体" w:hAnsi="宋体" w:eastAsia="宋体" w:cs="宋体"/>
          <w:b w:val="0"/>
          <w:bCs w:val="0"/>
          <w:snapToGrid/>
          <w:color w:val="auto"/>
          <w:kern w:val="2"/>
          <w:sz w:val="24"/>
          <w:szCs w:val="24"/>
        </w:rPr>
        <w:t>清单数量为</w:t>
      </w:r>
      <w:r>
        <w:rPr>
          <w:rFonts w:hint="eastAsia" w:ascii="宋体" w:hAnsi="宋体" w:eastAsia="宋体" w:cs="宋体"/>
          <w:b w:val="0"/>
          <w:bCs w:val="0"/>
          <w:snapToGrid/>
          <w:color w:val="auto"/>
          <w:kern w:val="2"/>
          <w:sz w:val="24"/>
          <w:szCs w:val="24"/>
          <w:lang w:val="en-US" w:eastAsia="zh-CN"/>
        </w:rPr>
        <w:t>采购人方案图纸的数量测算</w:t>
      </w:r>
      <w:r>
        <w:rPr>
          <w:rFonts w:hint="eastAsia" w:ascii="宋体" w:hAnsi="宋体" w:eastAsia="宋体" w:cs="宋体"/>
          <w:b w:val="0"/>
          <w:bCs w:val="0"/>
          <w:snapToGrid/>
          <w:color w:val="auto"/>
          <w:kern w:val="2"/>
          <w:sz w:val="24"/>
          <w:szCs w:val="24"/>
        </w:rPr>
        <w:t>，</w:t>
      </w:r>
      <w:r>
        <w:rPr>
          <w:rFonts w:hint="eastAsia" w:ascii="宋体" w:hAnsi="宋体" w:eastAsia="宋体" w:cs="宋体"/>
          <w:b w:val="0"/>
          <w:bCs w:val="0"/>
          <w:snapToGrid/>
          <w:color w:val="auto"/>
          <w:kern w:val="2"/>
          <w:sz w:val="24"/>
          <w:szCs w:val="24"/>
          <w:lang w:val="en-US" w:eastAsia="zh-CN"/>
        </w:rPr>
        <w:t>供应商</w:t>
      </w:r>
      <w:r>
        <w:rPr>
          <w:rFonts w:hint="eastAsia" w:hAnsi="宋体" w:eastAsia="宋体" w:cs="宋体"/>
          <w:b w:val="0"/>
          <w:bCs w:val="0"/>
          <w:snapToGrid/>
          <w:color w:val="auto"/>
          <w:kern w:val="2"/>
          <w:sz w:val="24"/>
          <w:szCs w:val="24"/>
          <w:lang w:val="en-US" w:eastAsia="zh-CN"/>
        </w:rPr>
        <w:t>可</w:t>
      </w:r>
      <w:r>
        <w:rPr>
          <w:rFonts w:hint="eastAsia" w:ascii="宋体" w:hAnsi="宋体" w:eastAsia="宋体" w:cs="宋体"/>
          <w:b w:val="0"/>
          <w:bCs w:val="0"/>
          <w:snapToGrid/>
          <w:color w:val="auto"/>
          <w:kern w:val="2"/>
          <w:sz w:val="24"/>
          <w:szCs w:val="24"/>
          <w:lang w:val="en-US" w:eastAsia="zh-CN"/>
        </w:rPr>
        <w:t>按方案图纸测算</w:t>
      </w:r>
      <w:r>
        <w:rPr>
          <w:rFonts w:hint="eastAsia" w:hAnsi="宋体" w:eastAsia="宋体" w:cs="宋体"/>
          <w:b w:val="0"/>
          <w:bCs w:val="0"/>
          <w:snapToGrid/>
          <w:color w:val="auto"/>
          <w:kern w:val="2"/>
          <w:sz w:val="24"/>
          <w:szCs w:val="24"/>
          <w:lang w:val="en-US" w:eastAsia="zh-CN"/>
        </w:rPr>
        <w:t>或自行现场确认数量，材料使用数量按实结算，</w:t>
      </w:r>
      <w:r>
        <w:rPr>
          <w:rFonts w:hint="eastAsia" w:ascii="宋体" w:hAnsi="宋体" w:eastAsia="宋体" w:cs="宋体"/>
          <w:b w:val="0"/>
          <w:bCs w:val="0"/>
          <w:snapToGrid/>
          <w:color w:val="auto"/>
          <w:kern w:val="2"/>
          <w:sz w:val="24"/>
          <w:szCs w:val="24"/>
          <w:lang w:val="en-US" w:eastAsia="zh-CN"/>
        </w:rPr>
        <w:t>方案</w:t>
      </w:r>
      <w:r>
        <w:rPr>
          <w:rFonts w:hint="eastAsia" w:hAnsi="宋体" w:eastAsia="宋体" w:cs="宋体"/>
          <w:b w:val="0"/>
          <w:bCs w:val="0"/>
          <w:snapToGrid/>
          <w:color w:val="auto"/>
          <w:kern w:val="2"/>
          <w:sz w:val="24"/>
          <w:szCs w:val="24"/>
          <w:lang w:val="en-US" w:eastAsia="zh-CN"/>
        </w:rPr>
        <w:t>简图</w:t>
      </w:r>
      <w:r>
        <w:rPr>
          <w:rFonts w:hint="eastAsia" w:ascii="宋体" w:hAnsi="宋体" w:eastAsia="宋体" w:cs="宋体"/>
          <w:b w:val="0"/>
          <w:bCs w:val="0"/>
          <w:snapToGrid/>
          <w:color w:val="auto"/>
          <w:kern w:val="2"/>
          <w:sz w:val="24"/>
          <w:szCs w:val="24"/>
          <w:lang w:val="en-US" w:eastAsia="zh-CN"/>
        </w:rPr>
        <w:t>见</w:t>
      </w:r>
      <w:r>
        <w:rPr>
          <w:rFonts w:hint="eastAsia" w:hAnsi="宋体" w:eastAsia="宋体" w:cs="宋体"/>
          <w:b w:val="0"/>
          <w:bCs w:val="0"/>
          <w:snapToGrid/>
          <w:color w:val="auto"/>
          <w:kern w:val="2"/>
          <w:sz w:val="24"/>
          <w:szCs w:val="24"/>
          <w:lang w:val="en-US" w:eastAsia="zh-CN"/>
        </w:rPr>
        <w:t>采购需求下附图</w:t>
      </w:r>
      <w:r>
        <w:rPr>
          <w:rFonts w:hint="eastAsia" w:ascii="宋体" w:hAnsi="宋体" w:eastAsia="宋体" w:cs="宋体"/>
          <w:b w:val="0"/>
          <w:bCs w:val="0"/>
          <w:snapToGrid/>
          <w:color w:val="auto"/>
          <w:kern w:val="2"/>
          <w:sz w:val="24"/>
          <w:szCs w:val="24"/>
          <w:lang w:val="en-US" w:eastAsia="zh-CN"/>
        </w:rPr>
        <w:t>。</w:t>
      </w:r>
    </w:p>
    <w:p>
      <w:pPr>
        <w:pStyle w:val="3"/>
        <w:numPr>
          <w:ilvl w:val="0"/>
          <w:numId w:val="0"/>
        </w:numPr>
        <w:spacing w:after="0" w:line="360" w:lineRule="auto"/>
        <w:ind w:firstLine="480" w:firstLineChars="200"/>
        <w:rPr>
          <w:rFonts w:hint="default" w:ascii="宋体" w:hAnsi="Arial" w:cs="Arial" w:eastAsiaTheme="minorEastAsia"/>
          <w:b w:val="0"/>
          <w:bCs w:val="0"/>
          <w:snapToGrid w:val="0"/>
          <w:kern w:val="2"/>
          <w:sz w:val="24"/>
          <w:szCs w:val="24"/>
          <w:lang w:val="en-US" w:eastAsia="zh-CN" w:bidi="ar-SA"/>
        </w:rPr>
      </w:pPr>
      <w:r>
        <w:rPr>
          <w:rFonts w:hint="default" w:ascii="宋体" w:hAnsi="Arial" w:cs="Arial" w:eastAsiaTheme="minorEastAsia"/>
          <w:b w:val="0"/>
          <w:bCs w:val="0"/>
          <w:snapToGrid w:val="0"/>
          <w:kern w:val="2"/>
          <w:sz w:val="24"/>
          <w:szCs w:val="24"/>
          <w:lang w:val="en-US" w:eastAsia="zh-CN" w:bidi="ar-SA"/>
        </w:rPr>
        <w:t>2.现场环境：</w:t>
      </w:r>
      <w:r>
        <w:rPr>
          <w:rFonts w:hint="eastAsia" w:cs="Arial"/>
          <w:b w:val="0"/>
          <w:bCs w:val="0"/>
          <w:snapToGrid w:val="0"/>
          <w:kern w:val="2"/>
          <w:sz w:val="24"/>
          <w:szCs w:val="24"/>
          <w:lang w:val="en-US" w:eastAsia="zh-CN" w:bidi="ar-SA"/>
        </w:rPr>
        <w:t>石灰浆</w:t>
      </w:r>
      <w:r>
        <w:rPr>
          <w:rFonts w:hint="default" w:ascii="宋体" w:hAnsi="Arial" w:cs="Arial" w:eastAsiaTheme="minorEastAsia"/>
          <w:b w:val="0"/>
          <w:bCs w:val="0"/>
          <w:snapToGrid w:val="0"/>
          <w:kern w:val="2"/>
          <w:sz w:val="24"/>
          <w:szCs w:val="24"/>
          <w:lang w:val="en-US" w:eastAsia="zh-CN" w:bidi="ar-SA"/>
        </w:rPr>
        <w:t>制备间至反应塔底的管道标高为+5米，反应塔底爬升至反应塔顶的标高为+37.156米，反应塔顶管道水平布置，反应塔顶环境温度约50℃</w:t>
      </w:r>
      <w:r>
        <w:rPr>
          <w:rFonts w:hint="eastAsia" w:cs="Arial"/>
          <w:b w:val="0"/>
          <w:bCs w:val="0"/>
          <w:snapToGrid w:val="0"/>
          <w:kern w:val="2"/>
          <w:sz w:val="24"/>
          <w:szCs w:val="24"/>
          <w:lang w:val="en-US" w:eastAsia="zh-CN" w:bidi="ar-SA"/>
        </w:rPr>
        <w:t>，供应商自行考虑作业条件，或到现场确认作业环境。</w:t>
      </w:r>
      <w:r>
        <w:rPr>
          <w:rFonts w:hint="default" w:ascii="宋体" w:hAnsi="Arial" w:cs="Arial" w:eastAsiaTheme="minorEastAsia"/>
          <w:b w:val="0"/>
          <w:bCs w:val="0"/>
          <w:snapToGrid w:val="0"/>
          <w:kern w:val="2"/>
          <w:sz w:val="24"/>
          <w:szCs w:val="24"/>
          <w:lang w:val="en-US" w:eastAsia="zh-CN" w:bidi="ar-SA"/>
        </w:rPr>
        <w:t>安装过程中如需搭设脚手架，使用吊车、登高车等工程车辆，风扇、轴流风机等降温设备，电动葫芦、卷扬机等起吊设备，均</w:t>
      </w:r>
      <w:r>
        <w:rPr>
          <w:rFonts w:hint="eastAsia" w:cs="Arial"/>
          <w:b w:val="0"/>
          <w:bCs w:val="0"/>
          <w:snapToGrid w:val="0"/>
          <w:kern w:val="2"/>
          <w:sz w:val="24"/>
          <w:szCs w:val="24"/>
          <w:lang w:val="en-US" w:eastAsia="zh-CN" w:bidi="ar-SA"/>
        </w:rPr>
        <w:t>由供应商</w:t>
      </w:r>
      <w:r>
        <w:rPr>
          <w:rFonts w:hint="default" w:ascii="宋体" w:hAnsi="Arial" w:cs="Arial" w:eastAsiaTheme="minorEastAsia"/>
          <w:b w:val="0"/>
          <w:bCs w:val="0"/>
          <w:snapToGrid w:val="0"/>
          <w:kern w:val="2"/>
          <w:sz w:val="24"/>
          <w:szCs w:val="24"/>
          <w:lang w:val="en-US" w:eastAsia="zh-CN" w:bidi="ar-SA"/>
        </w:rPr>
        <w:t>自筹或租赁，所需费用由</w:t>
      </w:r>
      <w:r>
        <w:rPr>
          <w:rFonts w:hint="eastAsia" w:cs="Arial"/>
          <w:b w:val="0"/>
          <w:bCs w:val="0"/>
          <w:snapToGrid w:val="0"/>
          <w:kern w:val="2"/>
          <w:sz w:val="24"/>
          <w:szCs w:val="24"/>
          <w:lang w:val="en-US" w:eastAsia="zh-CN" w:bidi="ar-SA"/>
        </w:rPr>
        <w:t>供应商</w:t>
      </w:r>
      <w:r>
        <w:rPr>
          <w:rFonts w:hint="default" w:ascii="宋体" w:hAnsi="Arial" w:cs="Arial" w:eastAsiaTheme="minorEastAsia"/>
          <w:b w:val="0"/>
          <w:bCs w:val="0"/>
          <w:snapToGrid w:val="0"/>
          <w:kern w:val="2"/>
          <w:sz w:val="24"/>
          <w:szCs w:val="24"/>
          <w:lang w:val="en-US" w:eastAsia="zh-CN" w:bidi="ar-SA"/>
        </w:rPr>
        <w:t>自行承担。</w:t>
      </w:r>
    </w:p>
    <w:p>
      <w:pPr>
        <w:spacing w:line="360" w:lineRule="auto"/>
        <w:ind w:firstLine="480" w:firstLineChars="200"/>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3.主要作业内容：石灰浆供应系统备用母管安装（南北各一套）</w:t>
      </w:r>
    </w:p>
    <w:p>
      <w:pPr>
        <w:spacing w:line="360" w:lineRule="auto"/>
        <w:ind w:firstLine="480" w:firstLineChars="200"/>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1）石灰浆供应系统备用母管安装，总长约660米（单侧约330米），总爬高约37米，弯头50个（单侧25个）；</w:t>
      </w:r>
    </w:p>
    <w:p>
      <w:pPr>
        <w:spacing w:line="360" w:lineRule="auto"/>
        <w:ind w:firstLine="480" w:firstLineChars="200"/>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 xml:space="preserve">2）母管布置时所需的支架、抱箍等安装； </w:t>
      </w:r>
    </w:p>
    <w:p>
      <w:pPr>
        <w:spacing w:line="360" w:lineRule="auto"/>
        <w:ind w:firstLine="480" w:firstLineChars="200"/>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3）母管至雾化器的支管及阀门安装；</w:t>
      </w:r>
    </w:p>
    <w:p>
      <w:pPr>
        <w:spacing w:line="360" w:lineRule="auto"/>
        <w:ind w:left="479" w:leftChars="228" w:firstLine="0" w:firstLineChars="0"/>
        <w:rPr>
          <w:rFonts w:ascii="宋体" w:hAnsi="宋体" w:cs="宋体"/>
          <w:sz w:val="24"/>
        </w:rPr>
      </w:pPr>
      <w:r>
        <w:rPr>
          <w:rFonts w:hint="eastAsia" w:hAnsi="Arial" w:cs="Arial"/>
          <w:b w:val="0"/>
          <w:bCs w:val="0"/>
          <w:snapToGrid w:val="0"/>
          <w:kern w:val="2"/>
          <w:sz w:val="24"/>
          <w:szCs w:val="24"/>
          <w:lang w:val="en-US" w:eastAsia="zh-CN" w:bidi="ar-SA"/>
        </w:rPr>
        <w:t>4）所有管道及支架需除锈，刷一道底漆，一道防锈面漆，面漆颜色，淡灰B03。</w:t>
      </w: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自合同签订生效后6个月内完成供货及安装调试验收。</w:t>
      </w:r>
    </w:p>
    <w:p>
      <w:pPr>
        <w:pStyle w:val="3"/>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合同期内</w:t>
      </w:r>
      <w:r>
        <w:rPr>
          <w:rFonts w:hint="eastAsia"/>
          <w:color w:val="auto"/>
          <w:highlight w:val="none"/>
          <w:lang w:val="en-US" w:eastAsia="zh-CN"/>
        </w:rPr>
        <w:t>按合同约定完成供货、安装及调试。</w:t>
      </w:r>
    </w:p>
    <w:p>
      <w:pPr>
        <w:pStyle w:val="3"/>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3"/>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3"/>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的材料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3"/>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成品质保期限自验收合格后12个月，若质保期内出现质量问题（非质量问题除外），由供应商负责免费维修，产生的费用全部由供应商承担。</w:t>
      </w:r>
    </w:p>
    <w:p>
      <w:pPr>
        <w:pStyle w:val="2"/>
        <w:rPr>
          <w:rFonts w:hint="default"/>
          <w:lang w:val="en-US" w:eastAsia="zh-CN"/>
        </w:rPr>
      </w:pPr>
      <w:r>
        <w:rPr>
          <w:rFonts w:hint="eastAsia"/>
          <w:highlight w:val="none"/>
          <w:lang w:val="en-US" w:eastAsia="zh-CN"/>
        </w:rPr>
        <w:t>4.对钢管、焊缝、支架等成品要做油漆防腐处理。</w:t>
      </w:r>
    </w:p>
    <w:p>
      <w:pPr>
        <w:pStyle w:val="3"/>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3"/>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3"/>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双方指定人员现场确认安装质量并由双方签字确认。</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3"/>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lang w:val="en-US" w:eastAsia="zh-CN"/>
        </w:rPr>
        <w:t>6个月</w:t>
      </w:r>
      <w:r>
        <w:rPr>
          <w:rFonts w:hint="eastAsia"/>
          <w:lang w:val="en-US"/>
        </w:rPr>
        <w:t>内</w:t>
      </w:r>
      <w:r>
        <w:rPr>
          <w:rFonts w:hint="eastAsia"/>
          <w:lang w:val="en-US" w:eastAsia="zh-CN"/>
        </w:rPr>
        <w:t>分批次完成南北备用管道的完成</w:t>
      </w:r>
      <w:r>
        <w:rPr>
          <w:rFonts w:hint="eastAsia"/>
          <w:lang w:val="en-US"/>
        </w:rPr>
        <w:t>供货</w:t>
      </w:r>
      <w:r>
        <w:rPr>
          <w:rFonts w:hint="eastAsia"/>
          <w:lang w:val="en-US" w:eastAsia="zh-CN"/>
        </w:rPr>
        <w:t>、安装及调试</w:t>
      </w:r>
      <w:r>
        <w:rPr>
          <w:rFonts w:hint="eastAsia"/>
          <w:lang w:val="en-US"/>
        </w:rPr>
        <w:t>。</w:t>
      </w:r>
    </w:p>
    <w:p>
      <w:pPr>
        <w:pStyle w:val="3"/>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3"/>
        <w:ind w:firstLine="480" w:firstLineChars="200"/>
        <w:rPr>
          <w:rFonts w:hint="eastAsia"/>
          <w:lang w:val="en-US"/>
        </w:rPr>
      </w:pPr>
      <w:r>
        <w:rPr>
          <w:rFonts w:hint="eastAsia"/>
          <w:lang w:val="en-US" w:eastAsia="zh-CN"/>
        </w:rPr>
        <w:t>3</w:t>
      </w:r>
      <w:r>
        <w:rPr>
          <w:rFonts w:hint="eastAsia"/>
          <w:lang w:val="en-US"/>
        </w:rPr>
        <w:t>.</w:t>
      </w:r>
      <w:r>
        <w:rPr>
          <w:rFonts w:hint="eastAsia"/>
          <w:lang w:val="en-US" w:eastAsia="zh-CN"/>
        </w:rPr>
        <w:t>供应商的作业人员必须具备相应的资质要求（焊工证、登高证等）。</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2"/>
        <w:ind w:firstLine="480" w:firstLineChars="200"/>
        <w:rPr>
          <w:lang w:val="en-US"/>
        </w:rPr>
      </w:pPr>
      <w:r>
        <w:rPr>
          <w:rFonts w:hint="eastAsia"/>
          <w:lang w:val="en-US"/>
        </w:rPr>
        <w:t>以本询价采购文件中的合同条款为准。</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3"/>
        <w:ind w:firstLine="480" w:firstLineChars="200"/>
        <w:rPr>
          <w:rFonts w:hint="eastAsia" w:ascii="宋体"/>
          <w:lang w:val="en-US"/>
        </w:rPr>
      </w:pPr>
      <w:r>
        <w:rPr>
          <w:rFonts w:hint="eastAsia"/>
          <w:lang w:val="en-US" w:eastAsia="zh-CN"/>
        </w:rPr>
        <w:t>1.供应商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3"/>
        <w:ind w:firstLine="480" w:firstLineChars="200"/>
        <w:rPr>
          <w:rFonts w:hint="eastAsia" w:ascii="宋体"/>
          <w:lang w:val="en-US"/>
        </w:rPr>
      </w:pPr>
      <w:r>
        <w:rPr>
          <w:rFonts w:hint="eastAsia"/>
          <w:lang w:val="en-US" w:eastAsia="zh-CN"/>
        </w:rPr>
        <w:t>2</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3"/>
        <w:ind w:firstLine="480" w:firstLineChars="200"/>
        <w:rPr>
          <w:rFonts w:hint="eastAsia" w:ascii="宋体"/>
          <w:lang w:val="en-US"/>
        </w:rPr>
      </w:pPr>
      <w:r>
        <w:rPr>
          <w:rFonts w:hint="eastAsia"/>
          <w:lang w:val="en-US" w:eastAsia="zh-CN"/>
        </w:rPr>
        <w:t>3</w:t>
      </w:r>
      <w:r>
        <w:rPr>
          <w:rFonts w:hint="eastAsia" w:ascii="宋体"/>
          <w:lang w:val="en-US"/>
        </w:rPr>
        <w:t>.在设备使用过程中，因产品质量问题给他机械设备造成故障或货物损坏，由供应商承担采购人的一切损失，包括直接和间接损失。</w:t>
      </w:r>
    </w:p>
    <w:p>
      <w:r>
        <w:rPr>
          <w:rFonts w:hint="eastAsia" w:ascii="宋体"/>
          <w:lang w:val="en-US"/>
        </w:rPr>
        <w:br w:type="page"/>
      </w: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b w:val="0"/>
          <w:bCs w:val="0"/>
          <w:snapToGrid w:val="0"/>
          <w:kern w:val="2"/>
          <w:sz w:val="24"/>
          <w:szCs w:val="24"/>
          <w:lang w:val="en-US" w:eastAsia="zh-CN" w:bidi="ar-SA"/>
        </w:rPr>
      </w:pPr>
      <w:r>
        <w:rPr>
          <w:rFonts w:hint="eastAsia" w:ascii="宋体" w:hAnsi="Arial" w:cs="Arial"/>
          <w:b/>
          <w:bCs/>
          <w:snapToGrid w:val="0"/>
          <w:kern w:val="2"/>
          <w:sz w:val="24"/>
          <w:szCs w:val="21"/>
          <w:lang w:val="en-US" w:eastAsia="zh-CN" w:bidi="ar-SA"/>
        </w:rPr>
        <w:t>附图：</w:t>
      </w:r>
      <w:r>
        <w:rPr>
          <w:rFonts w:hint="eastAsia" w:ascii="宋体" w:hAnsi="Arial" w:cs="Arial"/>
          <w:b w:val="0"/>
          <w:bCs w:val="0"/>
          <w:snapToGrid w:val="0"/>
          <w:kern w:val="2"/>
          <w:sz w:val="24"/>
          <w:szCs w:val="24"/>
          <w:lang w:val="en-US" w:eastAsia="zh-CN" w:bidi="ar-SA"/>
        </w:rPr>
        <w:t>石灰浆</w:t>
      </w:r>
      <w:r>
        <w:rPr>
          <w:rFonts w:hint="default" w:ascii="宋体" w:hAnsi="Arial" w:cs="Arial" w:eastAsiaTheme="minorEastAsia"/>
          <w:b w:val="0"/>
          <w:bCs w:val="0"/>
          <w:snapToGrid w:val="0"/>
          <w:kern w:val="2"/>
          <w:sz w:val="24"/>
          <w:szCs w:val="24"/>
          <w:lang w:val="en-US" w:eastAsia="zh-CN" w:bidi="ar-SA"/>
        </w:rPr>
        <w:t>制备间至反应塔底的管道标高为+5米，反应塔底爬升至反应塔顶的标高为+37.156米</w:t>
      </w:r>
      <w:r>
        <w:rPr>
          <w:rFonts w:hint="eastAsia" w:ascii="宋体" w:hAnsi="Arial" w:cs="Arial"/>
          <w:b w:val="0"/>
          <w:bCs w:val="0"/>
          <w:snapToGrid w:val="0"/>
          <w:kern w:val="2"/>
          <w:sz w:val="24"/>
          <w:szCs w:val="24"/>
          <w:lang w:val="en-US" w:eastAsia="zh-CN" w:bidi="ar-SA"/>
        </w:rPr>
        <w:t>。</w:t>
      </w:r>
    </w:p>
    <w:p>
      <w:pPr>
        <w:spacing w:line="460" w:lineRule="exact"/>
        <w:jc w:val="left"/>
        <w:rPr>
          <w:rFonts w:hint="default" w:ascii="宋体" w:hAnsi="Arial" w:cs="Arial"/>
          <w:b w:val="0"/>
          <w:bCs w:val="0"/>
          <w:snapToGrid w:val="0"/>
          <w:kern w:val="2"/>
          <w:sz w:val="24"/>
          <w:szCs w:val="24"/>
          <w:lang w:val="en-US" w:eastAsia="zh-CN" w:bidi="ar-SA"/>
        </w:rPr>
      </w:pPr>
      <w:r>
        <w:rPr>
          <w:rFonts w:hint="eastAsia" w:ascii="宋体" w:hAnsi="Arial" w:cs="Arial"/>
          <w:b w:val="0"/>
          <w:bCs w:val="0"/>
          <w:snapToGrid w:val="0"/>
          <w:kern w:val="2"/>
          <w:sz w:val="24"/>
          <w:szCs w:val="24"/>
          <w:lang w:val="en-US" w:eastAsia="zh-CN" w:bidi="ar-SA"/>
        </w:rPr>
        <w:t>1.石灰浆制备间平面布置图：</w:t>
      </w:r>
    </w:p>
    <w:p>
      <w:pPr>
        <w:numPr>
          <w:ilvl w:val="0"/>
          <w:numId w:val="0"/>
        </w:numPr>
        <w:jc w:val="left"/>
        <w:rPr>
          <w:rFonts w:hint="eastAsia" w:ascii="宋体" w:hAnsi="宋体" w:eastAsia="宋体" w:cs="宋体"/>
          <w:lang w:val="en-US" w:eastAsia="zh-CN"/>
        </w:rPr>
      </w:pPr>
      <w:r>
        <w:rPr>
          <w:rFonts w:hint="eastAsia" w:ascii="宋体" w:hAnsi="宋体" w:eastAsia="宋体" w:cs="宋体"/>
          <w:lang w:val="en-US" w:eastAsia="zh-CN"/>
        </w:rPr>
        <w:drawing>
          <wp:inline distT="0" distB="0" distL="114300" distR="114300">
            <wp:extent cx="5267960" cy="3609340"/>
            <wp:effectExtent l="0" t="0" r="8890" b="10160"/>
            <wp:docPr id="15" name="图片 15" descr="171826705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18267059260"/>
                    <pic:cNvPicPr>
                      <a:picLocks noChangeAspect="1"/>
                    </pic:cNvPicPr>
                  </pic:nvPicPr>
                  <pic:blipFill>
                    <a:blip r:embed="rId23"/>
                    <a:stretch>
                      <a:fillRect/>
                    </a:stretch>
                  </pic:blipFill>
                  <pic:spPr>
                    <a:xfrm>
                      <a:off x="0" y="0"/>
                      <a:ext cx="5267960" cy="3609340"/>
                    </a:xfrm>
                    <a:prstGeom prst="rect">
                      <a:avLst/>
                    </a:prstGeom>
                  </pic:spPr>
                </pic:pic>
              </a:graphicData>
            </a:graphic>
          </wp:inline>
        </w:drawing>
      </w:r>
    </w:p>
    <w:p>
      <w:pPr>
        <w:numPr>
          <w:ilvl w:val="0"/>
          <w:numId w:val="0"/>
        </w:numPr>
        <w:jc w:val="left"/>
        <w:rPr>
          <w:rFonts w:hint="eastAsia" w:ascii="宋体" w:hAnsi="宋体" w:eastAsia="宋体" w:cs="宋体"/>
          <w:lang w:val="en-US" w:eastAsia="zh-CN"/>
        </w:rPr>
      </w:pPr>
    </w:p>
    <w:p>
      <w:pPr>
        <w:numPr>
          <w:ilvl w:val="0"/>
          <w:numId w:val="0"/>
        </w:numPr>
        <w:jc w:val="left"/>
        <w:rPr>
          <w:rFonts w:hint="eastAsia" w:ascii="宋体" w:hAnsi="宋体" w:eastAsia="宋体" w:cs="宋体"/>
          <w:lang w:val="en-US" w:eastAsia="zh-CN"/>
        </w:rPr>
      </w:pPr>
    </w:p>
    <w:p>
      <w:pPr>
        <w:numPr>
          <w:ilvl w:val="0"/>
          <w:numId w:val="0"/>
        </w:numPr>
        <w:jc w:val="left"/>
        <w:rPr>
          <w:rFonts w:hint="eastAsia" w:ascii="宋体" w:hAnsi="宋体" w:eastAsia="宋体" w:cs="宋体"/>
          <w:lang w:val="en-US" w:eastAsia="zh-CN"/>
        </w:rPr>
      </w:pPr>
    </w:p>
    <w:p>
      <w:pPr>
        <w:numPr>
          <w:ilvl w:val="0"/>
          <w:numId w:val="0"/>
        </w:numPr>
        <w:jc w:val="left"/>
        <w:rPr>
          <w:rFonts w:hint="eastAsia" w:ascii="宋体" w:hAnsi="宋体" w:eastAsia="宋体" w:cs="宋体"/>
          <w:lang w:val="en-US" w:eastAsia="zh-CN"/>
        </w:rPr>
      </w:pPr>
    </w:p>
    <w:p>
      <w:pPr>
        <w:numPr>
          <w:ilvl w:val="0"/>
          <w:numId w:val="0"/>
        </w:numPr>
        <w:jc w:val="left"/>
      </w:pPr>
    </w:p>
    <w:p>
      <w:pPr>
        <w:numPr>
          <w:ilvl w:val="0"/>
          <w:numId w:val="0"/>
        </w:numPr>
        <w:jc w:val="left"/>
      </w:pPr>
    </w:p>
    <w:p>
      <w:pPr>
        <w:numPr>
          <w:ilvl w:val="0"/>
          <w:numId w:val="0"/>
        </w:numPr>
        <w:jc w:val="left"/>
      </w:pPr>
    </w:p>
    <w:p>
      <w:pPr>
        <w:pStyle w:val="2"/>
      </w:pPr>
    </w:p>
    <w:p/>
    <w:p>
      <w:pPr>
        <w:pStyle w:val="2"/>
      </w:pPr>
    </w:p>
    <w:p/>
    <w:p>
      <w:pPr>
        <w:pStyle w:val="2"/>
      </w:pPr>
    </w:p>
    <w:p/>
    <w:p>
      <w:pPr>
        <w:pStyle w:val="2"/>
      </w:pPr>
    </w:p>
    <w:p/>
    <w:p>
      <w:pPr>
        <w:pStyle w:val="2"/>
      </w:pPr>
    </w:p>
    <w:p/>
    <w:p>
      <w:pPr>
        <w:pStyle w:val="2"/>
        <w:rPr>
          <w:rFonts w:hint="default" w:eastAsiaTheme="minorEastAsia"/>
          <w:lang w:val="en-US" w:eastAsia="zh-CN"/>
        </w:rPr>
      </w:pPr>
      <w:r>
        <w:rPr>
          <w:rFonts w:hint="eastAsia"/>
          <w:lang w:val="en-US" w:eastAsia="zh-CN"/>
        </w:rPr>
        <w:t>2、总平面布置图</w:t>
      </w:r>
    </w:p>
    <w:p>
      <w:pPr>
        <w:numPr>
          <w:ilvl w:val="0"/>
          <w:numId w:val="0"/>
        </w:numPr>
        <w:jc w:val="left"/>
        <w:rPr>
          <w:rFonts w:cs="仿宋" w:asciiTheme="minorEastAsia" w:hAnsiTheme="minorEastAsia"/>
          <w:b/>
          <w:sz w:val="36"/>
          <w:szCs w:val="36"/>
        </w:rPr>
      </w:pPr>
      <w:r>
        <w:drawing>
          <wp:inline distT="0" distB="0" distL="114300" distR="114300">
            <wp:extent cx="5647690" cy="6776720"/>
            <wp:effectExtent l="0" t="0" r="10160" b="508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24"/>
                    <a:stretch>
                      <a:fillRect/>
                    </a:stretch>
                  </pic:blipFill>
                  <pic:spPr>
                    <a:xfrm>
                      <a:off x="0" y="0"/>
                      <a:ext cx="5647690" cy="6776720"/>
                    </a:xfrm>
                    <a:prstGeom prst="rect">
                      <a:avLst/>
                    </a:prstGeom>
                    <a:noFill/>
                    <a:ln>
                      <a:noFill/>
                    </a:ln>
                  </pic:spPr>
                </pic:pic>
              </a:graphicData>
            </a:graphic>
          </wp:inline>
        </w:drawing>
      </w: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83"/>
      <w:bookmarkEnd w:id="19"/>
      <w:bookmarkStart w:id="20" w:name="_Toc184312098"/>
      <w:bookmarkEnd w:id="20"/>
      <w:bookmarkStart w:id="21" w:name="_Toc184312108"/>
      <w:bookmarkEnd w:id="21"/>
      <w:bookmarkStart w:id="22" w:name="_Toc184314440"/>
      <w:bookmarkEnd w:id="22"/>
      <w:bookmarkStart w:id="23" w:name="_Toc184312099"/>
      <w:bookmarkEnd w:id="23"/>
      <w:bookmarkStart w:id="24" w:name="_Toc184313238"/>
      <w:bookmarkEnd w:id="24"/>
      <w:bookmarkStart w:id="25" w:name="_Toc184312127"/>
      <w:bookmarkEnd w:id="25"/>
      <w:bookmarkStart w:id="26" w:name="_Toc184308043"/>
      <w:bookmarkEnd w:id="26"/>
      <w:bookmarkStart w:id="27" w:name="_Toc184308060"/>
      <w:bookmarkEnd w:id="27"/>
      <w:bookmarkStart w:id="28" w:name="_Toc184314422"/>
      <w:bookmarkEnd w:id="28"/>
      <w:bookmarkStart w:id="29" w:name="_Toc184313245"/>
      <w:bookmarkEnd w:id="29"/>
      <w:bookmarkStart w:id="30" w:name="_Toc184310292"/>
      <w:bookmarkEnd w:id="30"/>
      <w:bookmarkStart w:id="31" w:name="_Toc184308076"/>
      <w:bookmarkEnd w:id="31"/>
      <w:bookmarkStart w:id="32" w:name="_Toc184312101"/>
      <w:bookmarkEnd w:id="32"/>
      <w:bookmarkStart w:id="33" w:name="_Toc184310296"/>
      <w:bookmarkEnd w:id="33"/>
      <w:bookmarkStart w:id="34" w:name="_Toc184308080"/>
      <w:bookmarkEnd w:id="34"/>
      <w:bookmarkStart w:id="35" w:name="_Toc184314418"/>
      <w:bookmarkEnd w:id="35"/>
      <w:bookmarkStart w:id="36" w:name="_Toc184312105"/>
      <w:bookmarkEnd w:id="36"/>
      <w:bookmarkStart w:id="37" w:name="_Toc184314410"/>
      <w:bookmarkEnd w:id="37"/>
      <w:bookmarkStart w:id="38" w:name="_Toc184313302"/>
      <w:bookmarkEnd w:id="38"/>
      <w:bookmarkStart w:id="39" w:name="_Toc184312113"/>
      <w:bookmarkEnd w:id="39"/>
      <w:bookmarkStart w:id="40" w:name="_Toc184314444"/>
      <w:bookmarkEnd w:id="40"/>
      <w:bookmarkStart w:id="41" w:name="_Toc184312116"/>
      <w:bookmarkEnd w:id="41"/>
      <w:bookmarkStart w:id="42" w:name="_Toc184310319"/>
      <w:bookmarkEnd w:id="42"/>
      <w:bookmarkStart w:id="43" w:name="_Toc184314457"/>
      <w:bookmarkEnd w:id="43"/>
      <w:bookmarkStart w:id="44" w:name="_Toc184314479"/>
      <w:bookmarkEnd w:id="44"/>
      <w:bookmarkStart w:id="45" w:name="_Toc184308091"/>
      <w:bookmarkEnd w:id="45"/>
      <w:bookmarkStart w:id="46" w:name="_Toc184308105"/>
      <w:bookmarkEnd w:id="46"/>
      <w:bookmarkStart w:id="47" w:name="_Toc184314474"/>
      <w:bookmarkEnd w:id="47"/>
      <w:bookmarkStart w:id="48" w:name="_Toc184310318"/>
      <w:bookmarkEnd w:id="48"/>
      <w:bookmarkStart w:id="49" w:name="_Toc184310327"/>
      <w:bookmarkEnd w:id="49"/>
      <w:bookmarkStart w:id="50" w:name="_Toc184308077"/>
      <w:bookmarkEnd w:id="50"/>
      <w:bookmarkStart w:id="51" w:name="_Toc184308104"/>
      <w:bookmarkEnd w:id="51"/>
      <w:bookmarkStart w:id="52" w:name="_Toc184312136"/>
      <w:bookmarkEnd w:id="52"/>
      <w:bookmarkStart w:id="53" w:name="_Toc184312092"/>
      <w:bookmarkEnd w:id="53"/>
      <w:bookmarkStart w:id="54" w:name="_Toc184308100"/>
      <w:bookmarkEnd w:id="54"/>
      <w:bookmarkStart w:id="55" w:name="_Toc184312118"/>
      <w:bookmarkEnd w:id="55"/>
      <w:bookmarkStart w:id="56" w:name="_Toc184310284"/>
      <w:bookmarkEnd w:id="56"/>
      <w:bookmarkStart w:id="57" w:name="_Toc184308071"/>
      <w:bookmarkEnd w:id="57"/>
      <w:bookmarkStart w:id="58" w:name="_Toc184310314"/>
      <w:bookmarkEnd w:id="58"/>
      <w:bookmarkStart w:id="59" w:name="_Toc184312080"/>
      <w:bookmarkEnd w:id="59"/>
      <w:bookmarkStart w:id="60" w:name="_Toc184308044"/>
      <w:bookmarkEnd w:id="60"/>
      <w:bookmarkStart w:id="61" w:name="_Toc184312128"/>
      <w:bookmarkEnd w:id="61"/>
      <w:bookmarkStart w:id="62" w:name="_Toc184314447"/>
      <w:bookmarkEnd w:id="62"/>
      <w:bookmarkStart w:id="63" w:name="_Toc184310332"/>
      <w:bookmarkEnd w:id="63"/>
      <w:bookmarkStart w:id="64" w:name="_Toc184313256"/>
      <w:bookmarkEnd w:id="64"/>
      <w:bookmarkStart w:id="65" w:name="_Toc184312100"/>
      <w:bookmarkEnd w:id="65"/>
      <w:bookmarkStart w:id="66" w:name="_Toc184313286"/>
      <w:bookmarkEnd w:id="66"/>
      <w:bookmarkStart w:id="67" w:name="_Toc184308063"/>
      <w:bookmarkEnd w:id="67"/>
      <w:bookmarkStart w:id="68" w:name="_Toc184312072"/>
      <w:bookmarkEnd w:id="68"/>
      <w:bookmarkStart w:id="69" w:name="_Toc184308037"/>
      <w:bookmarkEnd w:id="69"/>
      <w:bookmarkStart w:id="70" w:name="_Toc184310313"/>
      <w:bookmarkEnd w:id="70"/>
      <w:bookmarkStart w:id="71" w:name="_Toc184310288"/>
      <w:bookmarkEnd w:id="71"/>
      <w:bookmarkStart w:id="72" w:name="_Toc184312086"/>
      <w:bookmarkEnd w:id="72"/>
      <w:bookmarkStart w:id="73" w:name="_Toc184314455"/>
      <w:bookmarkEnd w:id="73"/>
      <w:bookmarkStart w:id="74" w:name="_Toc184312089"/>
      <w:bookmarkEnd w:id="74"/>
      <w:bookmarkStart w:id="75" w:name="_Toc184310289"/>
      <w:bookmarkEnd w:id="75"/>
      <w:bookmarkStart w:id="76" w:name="_Toc184313265"/>
      <w:bookmarkEnd w:id="76"/>
      <w:bookmarkStart w:id="77" w:name="_Toc184313274"/>
      <w:bookmarkEnd w:id="77"/>
      <w:bookmarkStart w:id="78" w:name="_Toc184312085"/>
      <w:bookmarkEnd w:id="78"/>
      <w:bookmarkStart w:id="79" w:name="_Toc184310317"/>
      <w:bookmarkEnd w:id="79"/>
      <w:bookmarkStart w:id="80" w:name="_Toc184312095"/>
      <w:bookmarkEnd w:id="80"/>
      <w:bookmarkStart w:id="81" w:name="_Toc184314452"/>
      <w:bookmarkEnd w:id="81"/>
      <w:bookmarkStart w:id="82" w:name="_Toc184314425"/>
      <w:bookmarkEnd w:id="82"/>
      <w:bookmarkStart w:id="83" w:name="_Toc184314434"/>
      <w:bookmarkEnd w:id="83"/>
      <w:bookmarkStart w:id="84" w:name="_Toc184308094"/>
      <w:bookmarkEnd w:id="84"/>
      <w:bookmarkStart w:id="85" w:name="_Toc184313268"/>
      <w:bookmarkEnd w:id="85"/>
      <w:bookmarkStart w:id="86" w:name="_Toc184314458"/>
      <w:bookmarkEnd w:id="86"/>
      <w:bookmarkStart w:id="87" w:name="_Toc184314446"/>
      <w:bookmarkEnd w:id="87"/>
      <w:bookmarkStart w:id="88" w:name="_Toc184312078"/>
      <w:bookmarkEnd w:id="88"/>
      <w:bookmarkStart w:id="89" w:name="_Toc184312074"/>
      <w:bookmarkEnd w:id="89"/>
      <w:bookmarkStart w:id="90" w:name="_Toc184313246"/>
      <w:bookmarkEnd w:id="90"/>
      <w:bookmarkStart w:id="91" w:name="_Toc184310338"/>
      <w:bookmarkEnd w:id="91"/>
      <w:bookmarkStart w:id="92" w:name="_Toc184310321"/>
      <w:bookmarkEnd w:id="92"/>
      <w:bookmarkStart w:id="93" w:name="_Toc184314468"/>
      <w:bookmarkEnd w:id="93"/>
      <w:bookmarkStart w:id="94" w:name="_Toc184313258"/>
      <w:bookmarkEnd w:id="94"/>
      <w:bookmarkStart w:id="95" w:name="_Toc184312069"/>
      <w:bookmarkEnd w:id="95"/>
      <w:bookmarkStart w:id="96" w:name="_Toc184308045"/>
      <w:bookmarkEnd w:id="96"/>
      <w:bookmarkStart w:id="97" w:name="_Toc184308049"/>
      <w:bookmarkEnd w:id="97"/>
      <w:bookmarkStart w:id="98" w:name="_Toc184308095"/>
      <w:bookmarkEnd w:id="98"/>
      <w:bookmarkStart w:id="99" w:name="_Toc184313242"/>
      <w:bookmarkEnd w:id="99"/>
      <w:bookmarkStart w:id="100" w:name="_Toc184313244"/>
      <w:bookmarkEnd w:id="100"/>
      <w:bookmarkStart w:id="101" w:name="_Toc184314430"/>
      <w:bookmarkEnd w:id="101"/>
      <w:bookmarkStart w:id="102" w:name="_Toc184313249"/>
      <w:bookmarkEnd w:id="102"/>
      <w:bookmarkStart w:id="103" w:name="_Toc184310334"/>
      <w:bookmarkEnd w:id="103"/>
      <w:bookmarkStart w:id="104" w:name="_Toc184312123"/>
      <w:bookmarkEnd w:id="104"/>
      <w:bookmarkStart w:id="105" w:name="_Toc184310300"/>
      <w:bookmarkEnd w:id="105"/>
      <w:bookmarkStart w:id="106" w:name="_Toc184308087"/>
      <w:bookmarkEnd w:id="106"/>
      <w:bookmarkStart w:id="107" w:name="_Toc184310307"/>
      <w:bookmarkEnd w:id="107"/>
      <w:bookmarkStart w:id="108" w:name="_Toc184313239"/>
      <w:bookmarkEnd w:id="108"/>
      <w:bookmarkStart w:id="109" w:name="_Toc184314428"/>
      <w:bookmarkEnd w:id="109"/>
      <w:bookmarkStart w:id="110" w:name="_Toc184312088"/>
      <w:bookmarkEnd w:id="110"/>
      <w:bookmarkStart w:id="111" w:name="_Toc184312117"/>
      <w:bookmarkEnd w:id="111"/>
      <w:bookmarkStart w:id="112" w:name="_Toc184308056"/>
      <w:bookmarkEnd w:id="112"/>
      <w:bookmarkStart w:id="113" w:name="_Toc184312107"/>
      <w:bookmarkEnd w:id="113"/>
      <w:bookmarkStart w:id="114" w:name="_Toc184308086"/>
      <w:bookmarkEnd w:id="114"/>
      <w:bookmarkStart w:id="115" w:name="_Toc184312131"/>
      <w:bookmarkEnd w:id="115"/>
      <w:bookmarkStart w:id="116" w:name="_Toc184313261"/>
      <w:bookmarkEnd w:id="116"/>
      <w:bookmarkStart w:id="117" w:name="_Toc184310333"/>
      <w:bookmarkEnd w:id="117"/>
      <w:bookmarkStart w:id="118" w:name="_Toc184313255"/>
      <w:bookmarkEnd w:id="118"/>
      <w:bookmarkStart w:id="119" w:name="_Toc184314441"/>
      <w:bookmarkEnd w:id="119"/>
      <w:bookmarkStart w:id="120" w:name="_Toc184312079"/>
      <w:bookmarkEnd w:id="120"/>
      <w:bookmarkStart w:id="121" w:name="_Toc184312071"/>
      <w:bookmarkEnd w:id="121"/>
      <w:bookmarkStart w:id="122" w:name="_Toc184308075"/>
      <w:bookmarkEnd w:id="122"/>
      <w:bookmarkStart w:id="123" w:name="_Toc184314466"/>
      <w:bookmarkEnd w:id="123"/>
      <w:bookmarkStart w:id="124" w:name="_Toc184308050"/>
      <w:bookmarkEnd w:id="124"/>
      <w:bookmarkStart w:id="125" w:name="_Toc184308058"/>
      <w:bookmarkEnd w:id="125"/>
      <w:bookmarkStart w:id="126" w:name="_Toc184312075"/>
      <w:bookmarkEnd w:id="126"/>
      <w:bookmarkStart w:id="127" w:name="_Toc184312111"/>
      <w:bookmarkEnd w:id="127"/>
      <w:bookmarkStart w:id="128" w:name="_Toc184313269"/>
      <w:bookmarkEnd w:id="128"/>
      <w:bookmarkStart w:id="129" w:name="_Toc184313272"/>
      <w:bookmarkEnd w:id="129"/>
      <w:bookmarkStart w:id="130" w:name="_Toc184308062"/>
      <w:bookmarkEnd w:id="130"/>
      <w:bookmarkStart w:id="131" w:name="_Toc184313263"/>
      <w:bookmarkEnd w:id="131"/>
      <w:bookmarkStart w:id="132" w:name="_Toc184313293"/>
      <w:bookmarkEnd w:id="132"/>
      <w:bookmarkStart w:id="133" w:name="_Toc184312122"/>
      <w:bookmarkEnd w:id="133"/>
      <w:bookmarkStart w:id="134" w:name="_Toc184314420"/>
      <w:bookmarkEnd w:id="134"/>
      <w:bookmarkStart w:id="135" w:name="_Toc184313296"/>
      <w:bookmarkEnd w:id="135"/>
      <w:bookmarkStart w:id="136" w:name="_Toc184312076"/>
      <w:bookmarkEnd w:id="136"/>
      <w:bookmarkStart w:id="137" w:name="_Toc184314449"/>
      <w:bookmarkEnd w:id="137"/>
      <w:bookmarkStart w:id="138" w:name="_Toc184313271"/>
      <w:bookmarkEnd w:id="138"/>
      <w:bookmarkStart w:id="139" w:name="_Toc184314442"/>
      <w:bookmarkEnd w:id="139"/>
      <w:bookmarkStart w:id="140" w:name="_Toc184310339"/>
      <w:bookmarkEnd w:id="140"/>
      <w:bookmarkStart w:id="141" w:name="_Toc184308041"/>
      <w:bookmarkEnd w:id="141"/>
      <w:bookmarkStart w:id="142" w:name="_Toc184310342"/>
      <w:bookmarkEnd w:id="142"/>
      <w:bookmarkStart w:id="143" w:name="_Toc184310283"/>
      <w:bookmarkEnd w:id="143"/>
      <w:bookmarkStart w:id="144" w:name="_Toc184308053"/>
      <w:bookmarkEnd w:id="144"/>
      <w:bookmarkStart w:id="145" w:name="_Toc184308085"/>
      <w:bookmarkEnd w:id="145"/>
      <w:bookmarkStart w:id="146" w:name="_Toc184313306"/>
      <w:bookmarkEnd w:id="146"/>
      <w:bookmarkStart w:id="147" w:name="_Toc184314436"/>
      <w:bookmarkEnd w:id="147"/>
      <w:bookmarkStart w:id="148" w:name="_Toc184310291"/>
      <w:bookmarkEnd w:id="148"/>
      <w:bookmarkStart w:id="149" w:name="_Toc184308073"/>
      <w:bookmarkEnd w:id="149"/>
      <w:bookmarkStart w:id="150" w:name="_Toc184310285"/>
      <w:bookmarkEnd w:id="150"/>
      <w:bookmarkStart w:id="151" w:name="_Toc184313297"/>
      <w:bookmarkEnd w:id="151"/>
      <w:bookmarkStart w:id="152" w:name="_Toc184308047"/>
      <w:bookmarkEnd w:id="152"/>
      <w:bookmarkStart w:id="153" w:name="_Toc184312093"/>
      <w:bookmarkEnd w:id="153"/>
      <w:bookmarkStart w:id="154" w:name="_Toc184314416"/>
      <w:bookmarkEnd w:id="154"/>
      <w:bookmarkStart w:id="155" w:name="_Toc184310290"/>
      <w:bookmarkEnd w:id="155"/>
      <w:bookmarkStart w:id="156" w:name="_Toc184308054"/>
      <w:bookmarkEnd w:id="156"/>
      <w:bookmarkStart w:id="157" w:name="_Toc184312138"/>
      <w:bookmarkEnd w:id="157"/>
      <w:bookmarkStart w:id="158" w:name="_Toc184310329"/>
      <w:bookmarkEnd w:id="158"/>
      <w:bookmarkStart w:id="159" w:name="_Toc184313250"/>
      <w:bookmarkEnd w:id="159"/>
      <w:bookmarkStart w:id="160" w:name="_Toc184314477"/>
      <w:bookmarkEnd w:id="160"/>
      <w:bookmarkStart w:id="161" w:name="_Toc184312103"/>
      <w:bookmarkEnd w:id="161"/>
      <w:bookmarkStart w:id="162" w:name="_Toc184314460"/>
      <w:bookmarkEnd w:id="162"/>
      <w:bookmarkStart w:id="163" w:name="_Toc184312106"/>
      <w:bookmarkEnd w:id="163"/>
      <w:bookmarkStart w:id="164" w:name="_Toc184313248"/>
      <w:bookmarkEnd w:id="164"/>
      <w:bookmarkStart w:id="165" w:name="_Toc184313252"/>
      <w:bookmarkEnd w:id="165"/>
      <w:bookmarkStart w:id="166" w:name="_Toc184313304"/>
      <w:bookmarkEnd w:id="166"/>
      <w:bookmarkStart w:id="167" w:name="_Toc184308082"/>
      <w:bookmarkEnd w:id="167"/>
      <w:bookmarkStart w:id="168" w:name="_Toc184313310"/>
      <w:bookmarkEnd w:id="168"/>
      <w:bookmarkStart w:id="169" w:name="_Toc184308072"/>
      <w:bookmarkEnd w:id="169"/>
      <w:bookmarkStart w:id="170" w:name="_Toc184313289"/>
      <w:bookmarkEnd w:id="170"/>
      <w:bookmarkStart w:id="171" w:name="_Toc184313294"/>
      <w:bookmarkEnd w:id="171"/>
      <w:bookmarkStart w:id="172" w:name="_Toc184308081"/>
      <w:bookmarkEnd w:id="172"/>
      <w:bookmarkStart w:id="173" w:name="_Toc184310274"/>
      <w:bookmarkEnd w:id="173"/>
      <w:bookmarkStart w:id="174" w:name="_Toc184310308"/>
      <w:bookmarkEnd w:id="174"/>
      <w:bookmarkStart w:id="175" w:name="_Toc184314450"/>
      <w:bookmarkEnd w:id="175"/>
      <w:bookmarkStart w:id="176" w:name="_Toc184310322"/>
      <w:bookmarkEnd w:id="176"/>
      <w:bookmarkStart w:id="177" w:name="_Toc184313282"/>
      <w:bookmarkEnd w:id="177"/>
      <w:bookmarkStart w:id="178" w:name="_Toc184310282"/>
      <w:bookmarkEnd w:id="178"/>
      <w:bookmarkStart w:id="179" w:name="_Toc184310335"/>
      <w:bookmarkEnd w:id="179"/>
      <w:bookmarkStart w:id="180" w:name="_Toc184313301"/>
      <w:bookmarkEnd w:id="180"/>
      <w:bookmarkStart w:id="181" w:name="_Toc184310281"/>
      <w:bookmarkEnd w:id="181"/>
      <w:bookmarkStart w:id="182" w:name="_Toc184308068"/>
      <w:bookmarkEnd w:id="182"/>
      <w:bookmarkStart w:id="183" w:name="_Toc184312120"/>
      <w:bookmarkEnd w:id="183"/>
      <w:bookmarkStart w:id="184" w:name="_Toc184312096"/>
      <w:bookmarkEnd w:id="184"/>
      <w:bookmarkStart w:id="185" w:name="_Toc184314445"/>
      <w:bookmarkEnd w:id="185"/>
      <w:bookmarkStart w:id="186" w:name="_Toc184310299"/>
      <w:bookmarkEnd w:id="186"/>
      <w:bookmarkStart w:id="187" w:name="_Toc184308061"/>
      <w:bookmarkEnd w:id="187"/>
      <w:bookmarkStart w:id="188" w:name="_Toc184313280"/>
      <w:bookmarkEnd w:id="188"/>
      <w:bookmarkStart w:id="189" w:name="_Toc184314480"/>
      <w:bookmarkEnd w:id="189"/>
      <w:bookmarkStart w:id="190" w:name="_Toc184313251"/>
      <w:bookmarkEnd w:id="190"/>
      <w:bookmarkStart w:id="191" w:name="_Toc184310325"/>
      <w:bookmarkEnd w:id="191"/>
      <w:bookmarkStart w:id="192" w:name="_Toc184310275"/>
      <w:bookmarkEnd w:id="192"/>
      <w:bookmarkStart w:id="193" w:name="_Toc184310305"/>
      <w:bookmarkEnd w:id="193"/>
      <w:bookmarkStart w:id="194" w:name="_Toc184314467"/>
      <w:bookmarkEnd w:id="194"/>
      <w:bookmarkStart w:id="195" w:name="_Toc184313243"/>
      <w:bookmarkEnd w:id="195"/>
      <w:bookmarkStart w:id="196" w:name="_Toc184313292"/>
      <w:bookmarkEnd w:id="196"/>
      <w:bookmarkStart w:id="197" w:name="_Toc184313287"/>
      <w:bookmarkEnd w:id="197"/>
      <w:bookmarkStart w:id="198" w:name="_Toc184313270"/>
      <w:bookmarkEnd w:id="198"/>
      <w:bookmarkStart w:id="199" w:name="_Toc184313300"/>
      <w:bookmarkEnd w:id="199"/>
      <w:bookmarkStart w:id="200" w:name="_Toc184308038"/>
      <w:bookmarkEnd w:id="200"/>
      <w:bookmarkStart w:id="201" w:name="_Toc184312073"/>
      <w:bookmarkEnd w:id="201"/>
      <w:bookmarkStart w:id="202" w:name="_Toc184314423"/>
      <w:bookmarkEnd w:id="202"/>
      <w:bookmarkStart w:id="203" w:name="_Toc184313276"/>
      <w:bookmarkEnd w:id="203"/>
      <w:bookmarkStart w:id="204" w:name="_Toc184314431"/>
      <w:bookmarkEnd w:id="204"/>
      <w:bookmarkStart w:id="205" w:name="_Toc184310306"/>
      <w:bookmarkEnd w:id="205"/>
      <w:bookmarkStart w:id="206" w:name="_Toc184313308"/>
      <w:bookmarkEnd w:id="206"/>
      <w:bookmarkStart w:id="207" w:name="_Toc184314464"/>
      <w:bookmarkEnd w:id="207"/>
      <w:bookmarkStart w:id="208" w:name="_Toc184313266"/>
      <w:bookmarkEnd w:id="208"/>
      <w:bookmarkStart w:id="209" w:name="_Toc184312097"/>
      <w:bookmarkEnd w:id="209"/>
      <w:bookmarkStart w:id="210" w:name="_Toc184308055"/>
      <w:bookmarkEnd w:id="210"/>
      <w:bookmarkStart w:id="211" w:name="_Toc184308036"/>
      <w:bookmarkEnd w:id="211"/>
      <w:bookmarkStart w:id="212" w:name="_Toc184314443"/>
      <w:bookmarkEnd w:id="212"/>
      <w:bookmarkStart w:id="213" w:name="_Toc184314417"/>
      <w:bookmarkEnd w:id="213"/>
      <w:bookmarkStart w:id="214" w:name="_Toc184310286"/>
      <w:bookmarkEnd w:id="214"/>
      <w:bookmarkStart w:id="215" w:name="_Toc184314448"/>
      <w:bookmarkEnd w:id="215"/>
      <w:bookmarkStart w:id="216" w:name="_Toc184312132"/>
      <w:bookmarkEnd w:id="216"/>
      <w:bookmarkStart w:id="217" w:name="_Toc184308101"/>
      <w:bookmarkEnd w:id="217"/>
      <w:bookmarkStart w:id="218" w:name="_Toc184313267"/>
      <w:bookmarkEnd w:id="218"/>
      <w:bookmarkStart w:id="219" w:name="_Toc184308051"/>
      <w:bookmarkEnd w:id="219"/>
      <w:bookmarkStart w:id="220" w:name="_Toc184308089"/>
      <w:bookmarkEnd w:id="220"/>
      <w:bookmarkStart w:id="221" w:name="_Toc184313259"/>
      <w:bookmarkEnd w:id="221"/>
      <w:bookmarkStart w:id="222" w:name="_Toc184308092"/>
      <w:bookmarkEnd w:id="222"/>
      <w:bookmarkStart w:id="223" w:name="_Toc184313254"/>
      <w:bookmarkEnd w:id="223"/>
      <w:bookmarkStart w:id="224" w:name="_Toc184308067"/>
      <w:bookmarkEnd w:id="224"/>
      <w:bookmarkStart w:id="225" w:name="_Toc184310304"/>
      <w:bookmarkEnd w:id="225"/>
      <w:bookmarkStart w:id="226" w:name="_Toc184312110"/>
      <w:bookmarkEnd w:id="226"/>
      <w:bookmarkStart w:id="227" w:name="_Toc184310311"/>
      <w:bookmarkEnd w:id="227"/>
      <w:bookmarkStart w:id="228" w:name="_Toc184308088"/>
      <w:bookmarkEnd w:id="228"/>
      <w:bookmarkStart w:id="229" w:name="_Toc184312126"/>
      <w:bookmarkEnd w:id="229"/>
      <w:bookmarkStart w:id="230" w:name="_Toc184308097"/>
      <w:bookmarkEnd w:id="230"/>
      <w:bookmarkStart w:id="231" w:name="_Toc184314438"/>
      <w:bookmarkEnd w:id="231"/>
      <w:bookmarkStart w:id="232" w:name="_Toc184312082"/>
      <w:bookmarkEnd w:id="232"/>
      <w:bookmarkStart w:id="233" w:name="_Toc184310297"/>
      <w:bookmarkEnd w:id="233"/>
      <w:bookmarkStart w:id="234" w:name="_Toc184313260"/>
      <w:bookmarkEnd w:id="234"/>
      <w:bookmarkStart w:id="235" w:name="_Toc184312077"/>
      <w:bookmarkEnd w:id="235"/>
      <w:bookmarkStart w:id="236" w:name="_Toc184312137"/>
      <w:bookmarkEnd w:id="236"/>
      <w:bookmarkStart w:id="237" w:name="_Toc184310330"/>
      <w:bookmarkEnd w:id="237"/>
      <w:bookmarkStart w:id="238" w:name="_Toc184313264"/>
      <w:bookmarkEnd w:id="238"/>
      <w:bookmarkStart w:id="239" w:name="_Toc184308103"/>
      <w:bookmarkEnd w:id="239"/>
      <w:bookmarkStart w:id="240" w:name="_Toc184310287"/>
      <w:bookmarkEnd w:id="240"/>
      <w:bookmarkStart w:id="241" w:name="_Toc184314415"/>
      <w:bookmarkEnd w:id="241"/>
      <w:bookmarkStart w:id="242" w:name="_Toc184314470"/>
      <w:bookmarkEnd w:id="242"/>
      <w:bookmarkStart w:id="243" w:name="_Toc184310316"/>
      <w:bookmarkEnd w:id="243"/>
      <w:bookmarkStart w:id="244" w:name="_Toc184308066"/>
      <w:bookmarkEnd w:id="244"/>
      <w:bookmarkStart w:id="245" w:name="_Toc184312081"/>
      <w:bookmarkEnd w:id="245"/>
      <w:bookmarkStart w:id="246" w:name="_Toc184313240"/>
      <w:bookmarkEnd w:id="246"/>
      <w:bookmarkStart w:id="247" w:name="_Toc184314424"/>
      <w:bookmarkEnd w:id="247"/>
      <w:bookmarkStart w:id="248" w:name="_Toc184314475"/>
      <w:bookmarkEnd w:id="248"/>
      <w:bookmarkStart w:id="249" w:name="_Toc184314426"/>
      <w:bookmarkEnd w:id="249"/>
      <w:bookmarkStart w:id="250" w:name="_Toc184313281"/>
      <w:bookmarkEnd w:id="250"/>
      <w:bookmarkStart w:id="251" w:name="_Toc184312083"/>
      <w:bookmarkEnd w:id="251"/>
      <w:bookmarkStart w:id="252" w:name="_Toc184314437"/>
      <w:bookmarkEnd w:id="252"/>
      <w:bookmarkStart w:id="253" w:name="_Toc184314463"/>
      <w:bookmarkEnd w:id="253"/>
      <w:bookmarkStart w:id="254" w:name="_Toc184308096"/>
      <w:bookmarkEnd w:id="254"/>
      <w:bookmarkStart w:id="255" w:name="_Toc184312102"/>
      <w:bookmarkEnd w:id="255"/>
      <w:bookmarkStart w:id="256" w:name="_Toc184314435"/>
      <w:bookmarkEnd w:id="256"/>
      <w:bookmarkStart w:id="257" w:name="_Toc184308039"/>
      <w:bookmarkEnd w:id="257"/>
      <w:bookmarkStart w:id="258" w:name="_Toc184308093"/>
      <w:bookmarkEnd w:id="258"/>
      <w:bookmarkStart w:id="259" w:name="_Toc184308107"/>
      <w:bookmarkEnd w:id="259"/>
      <w:bookmarkStart w:id="260" w:name="_Toc184313253"/>
      <w:bookmarkEnd w:id="260"/>
      <w:bookmarkStart w:id="261" w:name="_Toc184310331"/>
      <w:bookmarkEnd w:id="261"/>
      <w:bookmarkStart w:id="262" w:name="_Toc184310344"/>
      <w:bookmarkEnd w:id="262"/>
      <w:bookmarkStart w:id="263" w:name="_Toc184310309"/>
      <w:bookmarkEnd w:id="263"/>
      <w:bookmarkStart w:id="264" w:name="_Toc184314433"/>
      <w:bookmarkEnd w:id="264"/>
      <w:bookmarkStart w:id="265" w:name="_Toc184310341"/>
      <w:bookmarkEnd w:id="265"/>
      <w:bookmarkStart w:id="266" w:name="_Toc184308069"/>
      <w:bookmarkEnd w:id="266"/>
      <w:bookmarkStart w:id="267" w:name="_Toc184313295"/>
      <w:bookmarkEnd w:id="267"/>
      <w:bookmarkStart w:id="268" w:name="_Toc184312133"/>
      <w:bookmarkEnd w:id="268"/>
      <w:bookmarkStart w:id="269" w:name="_Toc184308052"/>
      <w:bookmarkEnd w:id="269"/>
      <w:bookmarkStart w:id="270" w:name="_Toc184313279"/>
      <w:bookmarkEnd w:id="270"/>
      <w:bookmarkStart w:id="271" w:name="_Toc184313284"/>
      <w:bookmarkEnd w:id="271"/>
      <w:bookmarkStart w:id="272" w:name="_Toc184310301"/>
      <w:bookmarkEnd w:id="272"/>
      <w:bookmarkStart w:id="273" w:name="_Toc184310324"/>
      <w:bookmarkEnd w:id="273"/>
      <w:bookmarkStart w:id="274" w:name="_Toc184313285"/>
      <w:bookmarkEnd w:id="274"/>
      <w:bookmarkStart w:id="275" w:name="_Toc184308042"/>
      <w:bookmarkEnd w:id="275"/>
      <w:bookmarkStart w:id="276" w:name="_Toc184312104"/>
      <w:bookmarkEnd w:id="276"/>
      <w:bookmarkStart w:id="277" w:name="_Toc184312135"/>
      <w:bookmarkEnd w:id="277"/>
      <w:bookmarkStart w:id="278" w:name="_Toc184310326"/>
      <w:bookmarkEnd w:id="278"/>
      <w:bookmarkStart w:id="279" w:name="_Toc184314471"/>
      <w:bookmarkEnd w:id="279"/>
      <w:bookmarkStart w:id="280" w:name="_Toc184310298"/>
      <w:bookmarkEnd w:id="280"/>
      <w:bookmarkStart w:id="281" w:name="_Toc184312070"/>
      <w:bookmarkEnd w:id="281"/>
      <w:bookmarkStart w:id="282" w:name="_Toc184310336"/>
      <w:bookmarkEnd w:id="282"/>
      <w:bookmarkStart w:id="283" w:name="_Toc184312087"/>
      <w:bookmarkEnd w:id="283"/>
      <w:bookmarkStart w:id="284" w:name="_Toc184308070"/>
      <w:bookmarkEnd w:id="284"/>
      <w:bookmarkStart w:id="285" w:name="_Toc184314454"/>
      <w:bookmarkEnd w:id="285"/>
      <w:bookmarkStart w:id="286" w:name="_Toc184308083"/>
      <w:bookmarkEnd w:id="286"/>
      <w:bookmarkStart w:id="287" w:name="_Toc184312129"/>
      <w:bookmarkEnd w:id="287"/>
      <w:bookmarkStart w:id="288" w:name="_Toc184314432"/>
      <w:bookmarkEnd w:id="288"/>
      <w:bookmarkStart w:id="289" w:name="_Toc184314421"/>
      <w:bookmarkEnd w:id="289"/>
      <w:bookmarkStart w:id="290" w:name="_Toc184310337"/>
      <w:bookmarkEnd w:id="290"/>
      <w:bookmarkStart w:id="291" w:name="_Toc184312125"/>
      <w:bookmarkEnd w:id="291"/>
      <w:bookmarkStart w:id="292" w:name="_Toc184312067"/>
      <w:bookmarkEnd w:id="292"/>
      <w:bookmarkStart w:id="293" w:name="_Toc184310293"/>
      <w:bookmarkEnd w:id="293"/>
      <w:bookmarkStart w:id="294" w:name="_Toc184314461"/>
      <w:bookmarkEnd w:id="294"/>
      <w:bookmarkStart w:id="295" w:name="_Toc184312084"/>
      <w:bookmarkEnd w:id="295"/>
      <w:bookmarkStart w:id="296" w:name="_Toc184314465"/>
      <w:bookmarkEnd w:id="296"/>
      <w:bookmarkStart w:id="297" w:name="_Toc184314439"/>
      <w:bookmarkEnd w:id="297"/>
      <w:bookmarkStart w:id="298" w:name="_Toc184312114"/>
      <w:bookmarkEnd w:id="298"/>
      <w:bookmarkStart w:id="299" w:name="_Toc184308098"/>
      <w:bookmarkEnd w:id="299"/>
      <w:bookmarkStart w:id="300" w:name="_Toc184310323"/>
      <w:bookmarkEnd w:id="300"/>
      <w:bookmarkStart w:id="301" w:name="_Toc184310328"/>
      <w:bookmarkEnd w:id="301"/>
      <w:bookmarkStart w:id="302" w:name="_Toc184314411"/>
      <w:bookmarkEnd w:id="302"/>
      <w:bookmarkStart w:id="303" w:name="_Toc184312109"/>
      <w:bookmarkEnd w:id="303"/>
      <w:bookmarkStart w:id="304" w:name="_Toc184314478"/>
      <w:bookmarkEnd w:id="304"/>
      <w:bookmarkStart w:id="305" w:name="_Toc184312130"/>
      <w:bookmarkEnd w:id="305"/>
      <w:bookmarkStart w:id="306" w:name="_Toc184314469"/>
      <w:bookmarkEnd w:id="306"/>
      <w:bookmarkStart w:id="307" w:name="_Toc184312139"/>
      <w:bookmarkEnd w:id="307"/>
      <w:bookmarkStart w:id="308" w:name="_Toc184308040"/>
      <w:bookmarkEnd w:id="308"/>
      <w:bookmarkStart w:id="309" w:name="_Toc184312134"/>
      <w:bookmarkEnd w:id="309"/>
      <w:bookmarkStart w:id="310" w:name="_Toc184310279"/>
      <w:bookmarkEnd w:id="310"/>
      <w:bookmarkStart w:id="311" w:name="_Toc184308065"/>
      <w:bookmarkEnd w:id="311"/>
      <w:bookmarkStart w:id="312" w:name="_Toc184313303"/>
      <w:bookmarkEnd w:id="312"/>
      <w:bookmarkStart w:id="313" w:name="_Toc184308084"/>
      <w:bookmarkEnd w:id="313"/>
      <w:bookmarkStart w:id="314" w:name="_Toc184314414"/>
      <w:bookmarkEnd w:id="314"/>
      <w:bookmarkStart w:id="315" w:name="_Toc184308074"/>
      <w:bookmarkEnd w:id="315"/>
      <w:bookmarkStart w:id="316" w:name="_Toc184310273"/>
      <w:bookmarkEnd w:id="316"/>
      <w:bookmarkStart w:id="317" w:name="_Toc184313278"/>
      <w:bookmarkEnd w:id="317"/>
      <w:bookmarkStart w:id="318" w:name="_Toc184314453"/>
      <w:bookmarkEnd w:id="318"/>
      <w:bookmarkStart w:id="319" w:name="_Toc184314419"/>
      <w:bookmarkEnd w:id="319"/>
      <w:bookmarkStart w:id="320" w:name="_Toc184310303"/>
      <w:bookmarkEnd w:id="320"/>
      <w:bookmarkStart w:id="321" w:name="_Toc184312090"/>
      <w:bookmarkEnd w:id="321"/>
      <w:bookmarkStart w:id="322" w:name="_Toc184314459"/>
      <w:bookmarkEnd w:id="322"/>
      <w:bookmarkStart w:id="323" w:name="_Toc184313241"/>
      <w:bookmarkEnd w:id="323"/>
      <w:bookmarkStart w:id="324" w:name="_Toc184308108"/>
      <w:bookmarkEnd w:id="324"/>
      <w:bookmarkStart w:id="325" w:name="_Toc184313277"/>
      <w:bookmarkEnd w:id="325"/>
      <w:bookmarkStart w:id="326" w:name="_Toc184310320"/>
      <w:bookmarkEnd w:id="326"/>
      <w:bookmarkStart w:id="327" w:name="_Toc184308102"/>
      <w:bookmarkEnd w:id="327"/>
      <w:bookmarkStart w:id="328" w:name="_Toc184310294"/>
      <w:bookmarkEnd w:id="328"/>
      <w:bookmarkStart w:id="329" w:name="_Toc184312115"/>
      <w:bookmarkEnd w:id="329"/>
      <w:bookmarkStart w:id="330" w:name="_Toc184312091"/>
      <w:bookmarkEnd w:id="330"/>
      <w:bookmarkStart w:id="331" w:name="_Toc184313273"/>
      <w:bookmarkEnd w:id="331"/>
      <w:bookmarkStart w:id="332" w:name="_Toc184314482"/>
      <w:bookmarkEnd w:id="332"/>
      <w:bookmarkStart w:id="333" w:name="_Toc184314413"/>
      <w:bookmarkEnd w:id="333"/>
      <w:bookmarkStart w:id="334" w:name="_Toc184313262"/>
      <w:bookmarkEnd w:id="334"/>
      <w:bookmarkStart w:id="335" w:name="_Toc184310343"/>
      <w:bookmarkEnd w:id="335"/>
      <w:bookmarkStart w:id="336" w:name="_Toc184310302"/>
      <w:bookmarkEnd w:id="336"/>
      <w:bookmarkStart w:id="337" w:name="_Toc184308099"/>
      <w:bookmarkEnd w:id="337"/>
      <w:bookmarkStart w:id="338" w:name="_Toc184308046"/>
      <w:bookmarkEnd w:id="338"/>
      <w:bookmarkStart w:id="339" w:name="_Toc184314462"/>
      <w:bookmarkEnd w:id="339"/>
      <w:bookmarkStart w:id="340" w:name="_Toc184312119"/>
      <w:bookmarkEnd w:id="340"/>
      <w:bookmarkStart w:id="341" w:name="_Toc184310277"/>
      <w:bookmarkEnd w:id="341"/>
      <w:bookmarkStart w:id="342" w:name="_Toc184313309"/>
      <w:bookmarkEnd w:id="342"/>
      <w:bookmarkStart w:id="343" w:name="_Toc184314429"/>
      <w:bookmarkEnd w:id="343"/>
      <w:bookmarkStart w:id="344" w:name="_Toc184308106"/>
      <w:bookmarkEnd w:id="344"/>
      <w:bookmarkStart w:id="345" w:name="_Toc184313257"/>
      <w:bookmarkEnd w:id="345"/>
      <w:bookmarkStart w:id="346" w:name="_Toc184314412"/>
      <w:bookmarkEnd w:id="346"/>
      <w:bookmarkStart w:id="347" w:name="_Toc184313307"/>
      <w:bookmarkEnd w:id="347"/>
      <w:bookmarkStart w:id="348" w:name="_Toc184312112"/>
      <w:bookmarkEnd w:id="348"/>
      <w:bookmarkStart w:id="349" w:name="_Toc184308064"/>
      <w:bookmarkEnd w:id="349"/>
      <w:bookmarkStart w:id="350" w:name="_Toc184310295"/>
      <w:bookmarkEnd w:id="350"/>
      <w:bookmarkStart w:id="351" w:name="_Toc184310276"/>
      <w:bookmarkEnd w:id="351"/>
      <w:bookmarkStart w:id="352" w:name="_Toc184308090"/>
      <w:bookmarkEnd w:id="352"/>
      <w:bookmarkStart w:id="353" w:name="_Toc184314427"/>
      <w:bookmarkEnd w:id="353"/>
      <w:bookmarkStart w:id="354" w:name="_Toc184313275"/>
      <w:bookmarkEnd w:id="354"/>
      <w:bookmarkStart w:id="355" w:name="_Toc184314451"/>
      <w:bookmarkEnd w:id="355"/>
      <w:bookmarkStart w:id="356" w:name="_Toc184314476"/>
      <w:bookmarkEnd w:id="356"/>
      <w:bookmarkStart w:id="357" w:name="_Toc184313247"/>
      <w:bookmarkEnd w:id="357"/>
      <w:bookmarkStart w:id="358" w:name="_Toc184308048"/>
      <w:bookmarkEnd w:id="358"/>
      <w:bookmarkStart w:id="359" w:name="_Toc184312121"/>
      <w:bookmarkEnd w:id="359"/>
      <w:bookmarkStart w:id="360" w:name="_Toc184308079"/>
      <w:bookmarkEnd w:id="360"/>
      <w:bookmarkStart w:id="361" w:name="_Toc184310312"/>
      <w:bookmarkEnd w:id="361"/>
      <w:bookmarkStart w:id="362" w:name="_Toc184308078"/>
      <w:bookmarkEnd w:id="362"/>
      <w:bookmarkStart w:id="363" w:name="_Toc184313288"/>
      <w:bookmarkEnd w:id="363"/>
      <w:bookmarkStart w:id="364" w:name="_Toc184310280"/>
      <w:bookmarkEnd w:id="364"/>
      <w:bookmarkStart w:id="365" w:name="_Toc184312094"/>
      <w:bookmarkEnd w:id="365"/>
      <w:bookmarkStart w:id="366" w:name="_Toc184310278"/>
      <w:bookmarkEnd w:id="366"/>
      <w:bookmarkStart w:id="367" w:name="_Toc184313305"/>
      <w:bookmarkEnd w:id="367"/>
      <w:bookmarkStart w:id="368" w:name="_Toc184310340"/>
      <w:bookmarkEnd w:id="368"/>
      <w:bookmarkStart w:id="369" w:name="_Toc184312124"/>
      <w:bookmarkEnd w:id="369"/>
      <w:bookmarkStart w:id="370" w:name="_Toc184313291"/>
      <w:bookmarkEnd w:id="370"/>
      <w:bookmarkStart w:id="371" w:name="_Toc184310310"/>
      <w:bookmarkEnd w:id="371"/>
      <w:bookmarkStart w:id="372" w:name="_Toc184314472"/>
      <w:bookmarkEnd w:id="372"/>
      <w:bookmarkStart w:id="373" w:name="_Toc184314481"/>
      <w:bookmarkEnd w:id="373"/>
      <w:bookmarkStart w:id="374" w:name="_Toc184313299"/>
      <w:bookmarkEnd w:id="374"/>
      <w:bookmarkStart w:id="375" w:name="_Toc184313290"/>
      <w:bookmarkEnd w:id="375"/>
      <w:bookmarkStart w:id="376" w:name="_Toc184312068"/>
      <w:bookmarkEnd w:id="376"/>
      <w:bookmarkStart w:id="377" w:name="_Toc184313298"/>
      <w:bookmarkEnd w:id="377"/>
      <w:bookmarkStart w:id="378" w:name="_Toc184310272"/>
      <w:bookmarkEnd w:id="378"/>
      <w:bookmarkStart w:id="379" w:name="_Toc184310315"/>
      <w:bookmarkEnd w:id="379"/>
      <w:bookmarkStart w:id="380" w:name="_Toc184308059"/>
      <w:bookmarkEnd w:id="380"/>
      <w:bookmarkStart w:id="381" w:name="_Toc184314456"/>
      <w:bookmarkEnd w:id="381"/>
      <w:bookmarkStart w:id="382" w:name="_Toc184308057"/>
      <w:bookmarkEnd w:id="382"/>
      <w:bookmarkStart w:id="383" w:name="_Toc184314473"/>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3"/>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5"/>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hint="default" w:ascii="宋体" w:hAnsi="宋体" w:cs="宋体"/>
          <w:sz w:val="24"/>
          <w:u w:val="single"/>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2024年临江公司石灰浆备用管道及备件采购项目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u w:val="single"/>
          <w:lang w:eastAsia="zh-CN"/>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 xml:space="preserve">2024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3"/>
        <w:ind w:left="0" w:leftChars="0" w:firstLine="0" w:firstLineChars="0"/>
        <w:rPr>
          <w:rFonts w:ascii="宋体" w:hAnsi="宋体" w:cs="宋体"/>
          <w:b/>
          <w:szCs w:val="24"/>
        </w:rPr>
      </w:pPr>
    </w:p>
    <w:p>
      <w:pPr>
        <w:pStyle w:val="2"/>
        <w:jc w:val="center"/>
        <w:rPr>
          <w:rFonts w:eastAsia="宋体"/>
          <w:b/>
          <w:bCs/>
        </w:rPr>
      </w:pPr>
      <w:r>
        <w:rPr>
          <w:rFonts w:hint="eastAsia"/>
          <w:b/>
          <w:bCs/>
        </w:rPr>
        <w:t>目录</w:t>
      </w:r>
    </w:p>
    <w:p>
      <w:pPr>
        <w:pStyle w:val="8"/>
        <w:spacing w:line="360" w:lineRule="auto"/>
        <w:ind w:firstLine="240" w:firstLineChars="100"/>
      </w:pPr>
      <w:r>
        <w:rPr>
          <w:rFonts w:hint="eastAsia"/>
        </w:rPr>
        <w:t>第一章 合同书  ……………………………………………………………（页码）</w:t>
      </w:r>
    </w:p>
    <w:p>
      <w:pPr>
        <w:pStyle w:val="8"/>
        <w:spacing w:line="360" w:lineRule="auto"/>
        <w:ind w:firstLine="240" w:firstLineChars="100"/>
        <w:rPr>
          <w:rFonts w:hint="eastAsia"/>
        </w:rPr>
      </w:pPr>
      <w:r>
        <w:rPr>
          <w:rFonts w:hint="eastAsia"/>
        </w:rPr>
        <w:t>第二章 合同一般条款………………………………………………………（页码）</w:t>
      </w:r>
    </w:p>
    <w:p>
      <w:pPr>
        <w:pStyle w:val="8"/>
        <w:spacing w:line="360" w:lineRule="auto"/>
        <w:ind w:firstLine="240" w:firstLineChars="100"/>
        <w:rPr>
          <w:rFonts w:hint="eastAsia"/>
        </w:rPr>
      </w:pPr>
      <w:r>
        <w:rPr>
          <w:rFonts w:hint="eastAsia"/>
        </w:rPr>
        <w:t>第</w:t>
      </w:r>
      <w:r>
        <w:rPr>
          <w:rFonts w:hint="eastAsia"/>
          <w:lang w:val="en-US" w:eastAsia="zh-CN"/>
        </w:rPr>
        <w:t>三</w:t>
      </w:r>
      <w:r>
        <w:rPr>
          <w:rFonts w:hint="eastAsia"/>
        </w:rPr>
        <w:t xml:space="preserve">章 </w:t>
      </w:r>
      <w:r>
        <w:rPr>
          <w:rFonts w:hint="eastAsia"/>
          <w:lang w:val="en-US" w:eastAsia="zh-CN"/>
        </w:rPr>
        <w:t>安全</w:t>
      </w:r>
      <w:r>
        <w:rPr>
          <w:rFonts w:hint="eastAsia"/>
        </w:rPr>
        <w:t>协议……………………………………………………………（页码）</w:t>
      </w:r>
    </w:p>
    <w:p>
      <w:pPr>
        <w:pStyle w:val="8"/>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8"/>
        <w:spacing w:line="360" w:lineRule="auto"/>
        <w:ind w:firstLine="240" w:firstLineChars="100"/>
        <w:rPr>
          <w:rFonts w:hint="eastAsia"/>
        </w:rPr>
      </w:pPr>
    </w:p>
    <w:p>
      <w:pPr>
        <w:pStyle w:val="23"/>
        <w:rPr>
          <w:rFonts w:ascii="宋体" w:hAnsi="宋体" w:cs="宋体"/>
          <w:szCs w:val="24"/>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2024年临江公司锅炉水平烟道落灰管改造及炉排底冷却风管改造备件采购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pStyle w:val="2"/>
        <w:rPr>
          <w:rFonts w:hint="eastAsia"/>
          <w:lang w:val="en-US" w:eastAsia="zh-CN"/>
        </w:rPr>
      </w:pPr>
    </w:p>
    <w:p>
      <w:pPr>
        <w:rPr>
          <w:rFonts w:hint="eastAsia"/>
          <w:lang w:val="en-US" w:eastAsia="zh-CN"/>
        </w:rPr>
      </w:pPr>
    </w:p>
    <w:tbl>
      <w:tblPr>
        <w:tblStyle w:val="15"/>
        <w:tblW w:w="9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616"/>
        <w:gridCol w:w="2482"/>
        <w:gridCol w:w="668"/>
        <w:gridCol w:w="641"/>
        <w:gridCol w:w="641"/>
        <w:gridCol w:w="641"/>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物资名称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型号规格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总计（元）</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无缝钢管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φ89*4.5，材质：20#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660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restart"/>
            <w:tcBorders>
              <w:top w:val="single" w:color="000000" w:sz="4" w:space="0"/>
              <w:left w:val="single" w:color="000000" w:sz="4" w:space="0"/>
              <w:right w:val="single" w:color="000000" w:sz="4" w:space="0"/>
            </w:tcBorders>
            <w:shd w:val="clear" w:color="auto" w:fill="auto"/>
            <w:noWrap/>
            <w:vAlign w:val="center"/>
          </w:tcPr>
          <w:p>
            <w:pPr>
              <w:tabs>
                <w:tab w:val="left" w:pos="542"/>
              </w:tabs>
              <w:jc w:val="center"/>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材料报价包含改造安装过程中所有的油漆、工具、辅材、人工、脚手架及其他安全措施费。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90°焊接弯头</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φ89*4.5，R=5D，材质：20#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角钢</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50*50*3，材质；Q235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U型卡箍双头螺栓</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M8，配φ89管道</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无缝钢管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Φ45*3，材质：20#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手动球阀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Q41F-16C,DN40，1.6MPa</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35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：清单数量为</w:t>
      </w:r>
      <w:r>
        <w:rPr>
          <w:rFonts w:hint="eastAsia" w:ascii="宋体" w:hAnsi="宋体" w:cs="宋体"/>
          <w:sz w:val="24"/>
          <w:u w:val="single"/>
          <w:lang w:val="en-US" w:eastAsia="zh-CN"/>
        </w:rPr>
        <w:t>采购人方案图纸的数量测算</w:t>
      </w:r>
      <w:r>
        <w:rPr>
          <w:rFonts w:hint="eastAsia" w:ascii="宋体" w:hAnsi="宋体" w:cs="宋体"/>
          <w:sz w:val="24"/>
          <w:u w:val="single"/>
        </w:rPr>
        <w:t>，</w:t>
      </w:r>
      <w:r>
        <w:rPr>
          <w:rFonts w:hint="eastAsia" w:ascii="宋体" w:hAnsi="宋体" w:cs="宋体"/>
          <w:sz w:val="24"/>
          <w:u w:val="single"/>
          <w:lang w:val="en-US" w:eastAsia="zh-CN"/>
        </w:rPr>
        <w:t>供应商可按方案图纸测算或自行现场确认数量，材料使用数量按现场实际使用数量结算。</w:t>
      </w:r>
    </w:p>
    <w:p>
      <w:pPr>
        <w:pStyle w:val="24"/>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自合同签订生效后6个月内完成供货、安装及调试；</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highlight w:val="none"/>
          <w:u w:val="single"/>
          <w:lang w:val="en-US" w:eastAsia="zh-CN"/>
        </w:rPr>
        <w:t>自合同签订生效后6个月内完成供货、安装及调试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3"/>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3"/>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w:t>
      </w:r>
      <w:r>
        <w:rPr>
          <w:rFonts w:hint="eastAsia"/>
          <w:color w:val="auto"/>
          <w:highlight w:val="none"/>
          <w:lang w:val="en-US" w:eastAsia="zh-CN"/>
        </w:rPr>
        <w:t>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3"/>
        <w:numPr>
          <w:ilvl w:val="0"/>
          <w:numId w:val="0"/>
        </w:numPr>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成品质保期限自验收合格后12个月，若质保期内出现质量问题（非质量问题除外），由乙方负责免费维修，产生的费用全部由乙方承担。</w:t>
      </w:r>
    </w:p>
    <w:p>
      <w:pPr>
        <w:pStyle w:val="3"/>
        <w:numPr>
          <w:ilvl w:val="0"/>
          <w:numId w:val="0"/>
        </w:numPr>
        <w:spacing w:after="0" w:line="360" w:lineRule="auto"/>
        <w:ind w:firstLine="480" w:firstLineChars="200"/>
        <w:rPr>
          <w:rFonts w:hint="default" w:ascii="宋体" w:hAnsi="Arial" w:cs="Arial" w:eastAsiaTheme="minorEastAsia"/>
          <w:b w:val="0"/>
          <w:bCs w:val="0"/>
          <w:snapToGrid w:val="0"/>
          <w:kern w:val="2"/>
          <w:sz w:val="24"/>
          <w:szCs w:val="24"/>
          <w:lang w:val="en-US" w:eastAsia="zh-CN" w:bidi="ar-SA"/>
        </w:rPr>
      </w:pPr>
      <w:r>
        <w:rPr>
          <w:rFonts w:hint="eastAsia" w:cs="Arial"/>
          <w:b w:val="0"/>
          <w:bCs w:val="0"/>
          <w:snapToGrid w:val="0"/>
          <w:kern w:val="2"/>
          <w:sz w:val="24"/>
          <w:szCs w:val="24"/>
          <w:lang w:val="en-US" w:eastAsia="zh-CN" w:bidi="ar-SA"/>
        </w:rPr>
        <w:t>4</w:t>
      </w:r>
      <w:r>
        <w:rPr>
          <w:rFonts w:hint="default" w:ascii="宋体" w:hAnsi="Arial" w:cs="Arial" w:eastAsiaTheme="minorEastAsia"/>
          <w:b w:val="0"/>
          <w:bCs w:val="0"/>
          <w:snapToGrid w:val="0"/>
          <w:kern w:val="2"/>
          <w:sz w:val="24"/>
          <w:szCs w:val="24"/>
          <w:lang w:val="en-US" w:eastAsia="zh-CN" w:bidi="ar-SA"/>
        </w:rPr>
        <w:t>.现场环境：</w:t>
      </w:r>
      <w:r>
        <w:rPr>
          <w:rFonts w:hint="eastAsia" w:cs="Arial"/>
          <w:b w:val="0"/>
          <w:bCs w:val="0"/>
          <w:snapToGrid w:val="0"/>
          <w:kern w:val="2"/>
          <w:sz w:val="24"/>
          <w:szCs w:val="24"/>
          <w:lang w:val="en-US" w:eastAsia="zh-CN" w:bidi="ar-SA"/>
        </w:rPr>
        <w:t>石灰浆</w:t>
      </w:r>
      <w:r>
        <w:rPr>
          <w:rFonts w:hint="default" w:ascii="宋体" w:hAnsi="Arial" w:cs="Arial" w:eastAsiaTheme="minorEastAsia"/>
          <w:b w:val="0"/>
          <w:bCs w:val="0"/>
          <w:snapToGrid w:val="0"/>
          <w:kern w:val="2"/>
          <w:sz w:val="24"/>
          <w:szCs w:val="24"/>
          <w:lang w:val="en-US" w:eastAsia="zh-CN" w:bidi="ar-SA"/>
        </w:rPr>
        <w:t>制备间至反应塔底的管道标高为+5米，反应塔底爬升至反应塔顶的标高为+37.156米，反应塔顶管道水平布置，反应塔顶环境温度约50℃</w:t>
      </w:r>
      <w:r>
        <w:rPr>
          <w:rFonts w:hint="eastAsia" w:cs="Arial"/>
          <w:b w:val="0"/>
          <w:bCs w:val="0"/>
          <w:snapToGrid w:val="0"/>
          <w:kern w:val="2"/>
          <w:sz w:val="24"/>
          <w:szCs w:val="24"/>
          <w:lang w:val="en-US" w:eastAsia="zh-CN" w:bidi="ar-SA"/>
        </w:rPr>
        <w:t>，供应商自行考虑作业条件，或到现场确认作业环境。</w:t>
      </w:r>
      <w:r>
        <w:rPr>
          <w:rFonts w:hint="default" w:ascii="宋体" w:hAnsi="Arial" w:cs="Arial" w:eastAsiaTheme="minorEastAsia"/>
          <w:b w:val="0"/>
          <w:bCs w:val="0"/>
          <w:snapToGrid w:val="0"/>
          <w:kern w:val="2"/>
          <w:sz w:val="24"/>
          <w:szCs w:val="24"/>
          <w:lang w:val="en-US" w:eastAsia="zh-CN" w:bidi="ar-SA"/>
        </w:rPr>
        <w:t>安装过程中如需搭设脚手架，使用吊车、登高车等工程车辆，风扇、轴流风机等降温设备，电动葫芦、卷扬机等起吊设备，均</w:t>
      </w:r>
      <w:r>
        <w:rPr>
          <w:rFonts w:hint="eastAsia" w:cs="Arial"/>
          <w:b w:val="0"/>
          <w:bCs w:val="0"/>
          <w:snapToGrid w:val="0"/>
          <w:kern w:val="2"/>
          <w:sz w:val="24"/>
          <w:szCs w:val="24"/>
          <w:lang w:val="en-US" w:eastAsia="zh-CN" w:bidi="ar-SA"/>
        </w:rPr>
        <w:t>由乙方</w:t>
      </w:r>
      <w:r>
        <w:rPr>
          <w:rFonts w:hint="default" w:ascii="宋体" w:hAnsi="Arial" w:cs="Arial" w:eastAsiaTheme="minorEastAsia"/>
          <w:b w:val="0"/>
          <w:bCs w:val="0"/>
          <w:snapToGrid w:val="0"/>
          <w:kern w:val="2"/>
          <w:sz w:val="24"/>
          <w:szCs w:val="24"/>
          <w:lang w:val="en-US" w:eastAsia="zh-CN" w:bidi="ar-SA"/>
        </w:rPr>
        <w:t>自筹或租赁，所需费用由</w:t>
      </w:r>
      <w:r>
        <w:rPr>
          <w:rFonts w:hint="eastAsia" w:cs="Arial"/>
          <w:b w:val="0"/>
          <w:bCs w:val="0"/>
          <w:snapToGrid w:val="0"/>
          <w:kern w:val="2"/>
          <w:sz w:val="24"/>
          <w:szCs w:val="24"/>
          <w:lang w:val="en-US" w:eastAsia="zh-CN" w:bidi="ar-SA"/>
        </w:rPr>
        <w:t>乙方</w:t>
      </w:r>
      <w:r>
        <w:rPr>
          <w:rFonts w:hint="default" w:ascii="宋体" w:hAnsi="Arial" w:cs="Arial" w:eastAsiaTheme="minorEastAsia"/>
          <w:b w:val="0"/>
          <w:bCs w:val="0"/>
          <w:snapToGrid w:val="0"/>
          <w:kern w:val="2"/>
          <w:sz w:val="24"/>
          <w:szCs w:val="24"/>
          <w:lang w:val="en-US" w:eastAsia="zh-CN" w:bidi="ar-SA"/>
        </w:rPr>
        <w:t>自行承担。</w:t>
      </w:r>
    </w:p>
    <w:p>
      <w:pPr>
        <w:spacing w:line="360" w:lineRule="auto"/>
        <w:ind w:firstLine="480" w:firstLineChars="200"/>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3.主要作业内容：乙方负责对石灰浆供应系统备用母管安装（南北各一套）。</w:t>
      </w:r>
    </w:p>
    <w:p>
      <w:pPr>
        <w:spacing w:line="360" w:lineRule="auto"/>
        <w:ind w:firstLine="480" w:firstLineChars="200"/>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1）石灰浆供应系统备用母管安装，总长约660米（单侧约330米），总爬高约37米，弯头50个（单侧25个）；</w:t>
      </w:r>
    </w:p>
    <w:p>
      <w:pPr>
        <w:spacing w:line="360" w:lineRule="auto"/>
        <w:ind w:firstLine="480" w:firstLineChars="200"/>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 xml:space="preserve">2）母管布置时所需的支架、抱箍等安装； </w:t>
      </w:r>
    </w:p>
    <w:p>
      <w:pPr>
        <w:spacing w:line="360" w:lineRule="auto"/>
        <w:ind w:firstLine="480" w:firstLineChars="200"/>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3）母管至雾化器的支管及阀门安装；</w:t>
      </w:r>
    </w:p>
    <w:p>
      <w:pPr>
        <w:pStyle w:val="3"/>
        <w:numPr>
          <w:ilvl w:val="0"/>
          <w:numId w:val="0"/>
        </w:numPr>
        <w:ind w:firstLine="480" w:firstLineChars="200"/>
        <w:rPr>
          <w:rFonts w:hint="eastAsia"/>
          <w:lang w:val="en-US" w:eastAsia="zh-CN"/>
        </w:rPr>
      </w:pPr>
      <w:r>
        <w:rPr>
          <w:rFonts w:hint="eastAsia"/>
          <w:highlight w:val="none"/>
          <w:lang w:val="en-US" w:eastAsia="zh-CN"/>
        </w:rPr>
        <w:t>4）对成品做除锈及油漆防腐处理，</w:t>
      </w:r>
      <w:r>
        <w:rPr>
          <w:rFonts w:hint="eastAsia" w:ascii="宋体" w:hAnsi="宋体" w:eastAsia="宋体" w:cs="宋体"/>
          <w:lang w:val="en-US" w:eastAsia="zh-CN"/>
        </w:rPr>
        <w:t>刷一道底漆，一道防锈面漆，面漆颜色，淡灰B03。</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3"/>
        <w:ind w:firstLine="480" w:firstLineChars="200"/>
        <w:rPr>
          <w:rFonts w:hint="eastAsia"/>
          <w:lang w:val="en-US"/>
        </w:rPr>
      </w:pPr>
      <w:r>
        <w:rPr>
          <w:rFonts w:hint="eastAsia"/>
          <w:lang w:val="en-US"/>
        </w:rPr>
        <w:t>1.</w:t>
      </w:r>
      <w:r>
        <w:rPr>
          <w:rFonts w:hint="eastAsia"/>
          <w:lang w:val="en-US" w:eastAsia="zh-CN"/>
        </w:rPr>
        <w:t>乙方的作业人员必须具备相应的资质要求（焊工证、登高证等）；</w:t>
      </w:r>
    </w:p>
    <w:p>
      <w:pPr>
        <w:pStyle w:val="3"/>
        <w:ind w:firstLine="480" w:firstLineChars="200"/>
        <w:rPr>
          <w:lang w:val="en-US"/>
        </w:rPr>
      </w:pPr>
      <w:r>
        <w:rPr>
          <w:rFonts w:hint="eastAsia"/>
          <w:lang w:val="en-US" w:eastAsia="zh-CN"/>
        </w:rPr>
        <w:t>2.</w:t>
      </w:r>
      <w:r>
        <w:rPr>
          <w:rFonts w:hint="eastAsia"/>
          <w:lang w:val="en-US"/>
        </w:rPr>
        <w:t>根据</w:t>
      </w:r>
      <w:r>
        <w:rPr>
          <w:rFonts w:hint="eastAsia"/>
          <w:lang w:val="en-US" w:eastAsia="zh-CN"/>
        </w:rPr>
        <w:t>甲方</w:t>
      </w:r>
      <w:r>
        <w:rPr>
          <w:rFonts w:hint="eastAsia"/>
          <w:lang w:val="en-US"/>
        </w:rPr>
        <w:t>生产计划，确定</w:t>
      </w:r>
      <w:r>
        <w:rPr>
          <w:rFonts w:hint="eastAsia"/>
          <w:lang w:val="en-US" w:eastAsia="zh-CN"/>
        </w:rPr>
        <w:t>供货及安装要求</w:t>
      </w:r>
      <w:r>
        <w:rPr>
          <w:rFonts w:hint="eastAsia"/>
          <w:lang w:val="en-US"/>
        </w:rPr>
        <w:t>，</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highlight w:val="none"/>
          <w:lang w:val="en-US" w:eastAsia="zh-CN"/>
        </w:rPr>
        <w:t>6</w:t>
      </w:r>
      <w:r>
        <w:rPr>
          <w:rFonts w:hint="eastAsia"/>
          <w:highlight w:val="none"/>
          <w:lang w:val="en-US"/>
        </w:rPr>
        <w:t>个</w:t>
      </w:r>
      <w:r>
        <w:rPr>
          <w:rFonts w:hint="eastAsia"/>
          <w:highlight w:val="none"/>
          <w:lang w:val="en-US" w:eastAsia="zh-CN"/>
        </w:rPr>
        <w:t>月内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3"/>
        <w:ind w:firstLine="480" w:firstLineChars="200"/>
        <w:rPr>
          <w:lang w:val="en-US"/>
        </w:rPr>
      </w:pPr>
      <w:r>
        <w:rPr>
          <w:rFonts w:hint="eastAsia"/>
          <w:lang w:val="en-US" w:eastAsia="zh-CN"/>
        </w:rPr>
        <w:t>3</w:t>
      </w:r>
      <w:r>
        <w:rPr>
          <w:rFonts w:hint="eastAsia"/>
          <w:lang w:val="en-US"/>
        </w:rPr>
        <w:t>.乙方必须满足甲方售后服务要求。如使用过程发生问题，乙方须在接到甲方通知后必须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3"/>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3"/>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2"/>
        <w:rPr>
          <w:rFonts w:hint="default" w:eastAsiaTheme="minorEastAsia"/>
          <w:u w:val="single"/>
          <w:lang w:val="en-US" w:eastAsia="zh-CN"/>
        </w:rPr>
      </w:pPr>
      <w:r>
        <w:rPr>
          <w:rFonts w:hint="eastAsia"/>
          <w:u w:val="single"/>
          <w:lang w:val="en-US" w:eastAsia="zh-CN"/>
        </w:rPr>
        <w:t xml:space="preserve"> 按方案图纸要求验收，甲乙双方现场签字验收单为验收合格依据 。</w:t>
      </w:r>
    </w:p>
    <w:p>
      <w:pPr>
        <w:pStyle w:val="3"/>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12个月</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cs="宋体"/>
          <w:kern w:val="0"/>
          <w:sz w:val="24"/>
          <w:szCs w:val="24"/>
          <w:u w:val="single"/>
          <w:lang w:val="en-US" w:eastAsia="zh-CN" w:bidi="ar-SA"/>
        </w:rPr>
        <w:t>5</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4</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（4）其他付款方式：经甲方验收合格后，甲方收到乙方提供的增值税专用发票后，甲方在本合同约定时间内完成支付</w:t>
      </w:r>
      <w:r>
        <w:rPr>
          <w:rFonts w:hint="eastAsia"/>
          <w:u w:val="single"/>
          <w:lang w:val="en-US" w:eastAsia="zh-CN"/>
        </w:rPr>
        <w:t>95%</w:t>
      </w:r>
      <w:r>
        <w:rPr>
          <w:rFonts w:hint="eastAsia"/>
          <w:u w:val="single"/>
        </w:rPr>
        <w:t xml:space="preserve">货款 </w:t>
      </w:r>
      <w:r>
        <w:rPr>
          <w:rFonts w:hint="eastAsia"/>
          <w:u w:val="single"/>
          <w:lang w:eastAsia="zh-CN"/>
        </w:rPr>
        <w:t>，</w:t>
      </w:r>
      <w:r>
        <w:rPr>
          <w:rFonts w:hint="eastAsia"/>
          <w:u w:val="single"/>
        </w:rPr>
        <w:t>质保期内无任何质量问题，双方无任何遗留问题 ，质保期结束后30天内甲方无息支付</w:t>
      </w:r>
      <w:r>
        <w:rPr>
          <w:rFonts w:hint="eastAsia"/>
          <w:u w:val="single"/>
          <w:lang w:val="en-US" w:eastAsia="zh-CN"/>
        </w:rPr>
        <w:t>5%货款。</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w:t>
      </w:r>
      <w:r>
        <w:rPr>
          <w:rFonts w:hint="eastAsia" w:ascii="宋体" w:hAnsi="宋体" w:cs="宋体"/>
          <w:sz w:val="24"/>
          <w:lang w:val="en-US" w:eastAsia="zh-CN"/>
        </w:rPr>
        <w:t>/</w:t>
      </w:r>
      <w:r>
        <w:rPr>
          <w:rFonts w:hint="eastAsia" w:ascii="宋体" w:hAnsi="宋体" w:cs="宋体"/>
          <w:sz w:val="24"/>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（4）若质保期内出现质量问题，甲方有权从质保金中扣除违约金，同时乙方应免费维修或更换。</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lang w:eastAsia="zh-CN"/>
        </w:rPr>
        <w:t>（</w:t>
      </w:r>
      <w:r>
        <w:rPr>
          <w:rFonts w:hint="eastAsia" w:ascii="宋体" w:hAnsi="宋体" w:cs="宋体"/>
          <w:sz w:val="24"/>
          <w:u w:val="single"/>
          <w:lang w:val="en-US" w:eastAsia="zh-CN"/>
        </w:rPr>
        <w:t>5</w:t>
      </w:r>
      <w:r>
        <w:rPr>
          <w:rFonts w:hint="eastAsia" w:ascii="宋体" w:hAnsi="宋体" w:cs="宋体"/>
          <w:sz w:val="24"/>
          <w:u w:val="single"/>
          <w:lang w:eastAsia="zh-CN"/>
        </w:rPr>
        <w:t>）在使用乙方提供的货物或者服务过程中，因产品质量或乙方其他问题给机械设备造成故障或货物损坏，由乙方承担甲方的一切损失，包括直接和间接损失。</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第三章安全协议及</w:t>
      </w:r>
      <w:r>
        <w:rPr>
          <w:rFonts w:hint="eastAsia" w:ascii="宋体" w:hAnsi="宋体"/>
        </w:rPr>
        <w:t>第</w:t>
      </w:r>
      <w:r>
        <w:rPr>
          <w:rFonts w:hint="eastAsia" w:ascii="宋体" w:hAnsi="宋体"/>
          <w:lang w:val="en-US" w:eastAsia="zh-CN"/>
        </w:rPr>
        <w:t>四</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hint="eastAsia" w:ascii="宋体" w:hAnsi="宋体" w:cs="宋体"/>
          <w:b/>
          <w:szCs w:val="24"/>
          <w:lang w:val="en-US" w:eastAsia="zh-CN"/>
        </w:rPr>
      </w:pPr>
      <w:r>
        <w:rPr>
          <w:rFonts w:hint="eastAsia" w:ascii="宋体" w:hAnsi="宋体" w:cs="宋体"/>
          <w:b/>
          <w:szCs w:val="24"/>
          <w:lang w:val="en-US" w:eastAsia="zh-CN"/>
        </w:rPr>
        <w:t xml:space="preserve"> </w:t>
      </w: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04"/>
      <w:bookmarkStart w:id="409" w:name="_Ref467379094"/>
      <w:bookmarkStart w:id="410" w:name="_Ref467379101"/>
      <w:bookmarkStart w:id="411" w:name="_Toc487900349"/>
      <w:bookmarkStart w:id="412" w:name="_Toc19614"/>
      <w:bookmarkStart w:id="413" w:name="_Ref467378463"/>
      <w:bookmarkStart w:id="414" w:name="_Toc28763"/>
      <w:bookmarkStart w:id="415" w:name="_Ref467379109"/>
      <w:bookmarkStart w:id="416" w:name="_Toc16917"/>
      <w:bookmarkStart w:id="417" w:name="_Toc279701240"/>
      <w:bookmarkStart w:id="418" w:name="_Ref467379214"/>
      <w:bookmarkStart w:id="419" w:name="_Toc259093669"/>
      <w:bookmarkStart w:id="420" w:name="_Ref467379205"/>
      <w:bookmarkStart w:id="421" w:name="_Ref467379225"/>
      <w:bookmarkStart w:id="422" w:name="_Ref467378499"/>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27635"/>
      <w:bookmarkStart w:id="429" w:name="_Toc32504"/>
      <w:bookmarkStart w:id="430" w:name="_Toc13336"/>
      <w:bookmarkStart w:id="431" w:name="_Toc259093670"/>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27853"/>
      <w:bookmarkStart w:id="435" w:name="_Toc259093671"/>
      <w:bookmarkStart w:id="436" w:name="_Toc31634"/>
      <w:bookmarkStart w:id="437" w:name="_Toc487900351"/>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Toc259093676"/>
      <w:bookmarkStart w:id="449" w:name="_Ref467379793"/>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63"/>
      <w:bookmarkStart w:id="453" w:name="_Toc279701248"/>
      <w:bookmarkStart w:id="454" w:name="_Toc259093677"/>
      <w:bookmarkStart w:id="455" w:name="_Ref467379852"/>
      <w:bookmarkStart w:id="456" w:name="_Toc487900358"/>
      <w:bookmarkStart w:id="457" w:name="_Ref46737992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689"/>
      <w:bookmarkStart w:id="483" w:name="_Toc6969"/>
      <w:bookmarkStart w:id="484" w:name="_Toc279701255"/>
      <w:bookmarkStart w:id="485" w:name="_Toc48790036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487900368"/>
      <w:bookmarkStart w:id="489" w:name="_Toc259093687"/>
      <w:bookmarkStart w:id="490" w:name="_Toc16959"/>
      <w:bookmarkStart w:id="491" w:name="_Toc7102"/>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279701262"/>
      <w:bookmarkStart w:id="506" w:name="_Toc30599"/>
      <w:bookmarkStart w:id="507" w:name="_Toc18540"/>
      <w:bookmarkStart w:id="508" w:name="_Toc259093691"/>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18567"/>
      <w:bookmarkStart w:id="512" w:name="_Toc279701263"/>
      <w:bookmarkStart w:id="513" w:name="_Toc10330"/>
      <w:bookmarkStart w:id="514" w:name="_Toc259093692"/>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sz w:val="24"/>
          <w:u w:val="single"/>
          <w:lang w:eastAsia="zh-CN"/>
        </w:rPr>
        <w:t>2024年临江公司石灰浆备用管道及备件采购项目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2024年临江公司石灰浆备用管道及备件采购项目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乙方应落实</w:t>
      </w:r>
      <w:r>
        <w:rPr>
          <w:rFonts w:hint="eastAsia" w:ascii="宋体" w:hAnsi="宋体" w:cs="宋体"/>
          <w:sz w:val="24"/>
        </w:rPr>
        <w:t>安全管理人员</w:t>
      </w:r>
      <w:r>
        <w:rPr>
          <w:rFonts w:hint="eastAsia" w:ascii="宋体" w:hAnsi="宋体" w:cs="宋体"/>
          <w:sz w:val="24"/>
          <w:lang w:val="en-US" w:eastAsia="zh-CN"/>
        </w:rPr>
        <w:t>和安全管理措施</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Times New Roman"/>
          <w:b/>
          <w:szCs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pPr>
        <w:pStyle w:val="8"/>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3"/>
      </w:pPr>
    </w:p>
    <w:p/>
    <w:p>
      <w:pPr>
        <w:pStyle w:val="3"/>
      </w:pPr>
    </w:p>
    <w:p/>
    <w:p>
      <w:pPr>
        <w:pStyle w:val="3"/>
      </w:pPr>
    </w:p>
    <w:p>
      <w:pPr>
        <w:pStyle w:val="2"/>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6"/>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left="2798" w:leftChars="399" w:hanging="1960" w:hangingChars="700"/>
        <w:jc w:val="left"/>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2024年临江公司石灰浆备用管道及备件采购项目</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202408022</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3"/>
      </w:pPr>
    </w:p>
    <w:p>
      <w:pPr>
        <w:pStyle w:val="2"/>
      </w:pPr>
    </w:p>
    <w:p/>
    <w:p/>
    <w:p/>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2024年临江公司石灰浆备用管道及备件采购项目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202408022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3"/>
      </w:pPr>
    </w:p>
    <w:p>
      <w:pPr>
        <w:pStyle w:val="2"/>
      </w:pPr>
    </w:p>
    <w:p/>
    <w:p>
      <w:pPr>
        <w:pStyle w:val="3"/>
      </w:pPr>
    </w:p>
    <w:p>
      <w:pPr>
        <w:pStyle w:val="2"/>
      </w:pPr>
    </w:p>
    <w:p/>
    <w:p>
      <w:pPr>
        <w:pStyle w:val="3"/>
      </w:pPr>
    </w:p>
    <w:p>
      <w:pPr>
        <w:pStyle w:val="2"/>
      </w:pPr>
    </w:p>
    <w:p/>
    <w:p>
      <w:pPr>
        <w:pStyle w:val="1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3"/>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3"/>
      </w:pPr>
    </w:p>
    <w:p>
      <w:pPr>
        <w:pStyle w:val="2"/>
      </w:pPr>
    </w:p>
    <w:p>
      <w:pPr>
        <w:rPr>
          <w:highlight w:val="none"/>
        </w:rPr>
      </w:pPr>
    </w:p>
    <w:p>
      <w:pPr>
        <w:pStyle w:val="3"/>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2"/>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3"/>
      </w:pPr>
    </w:p>
    <w:p>
      <w:pPr>
        <w:pStyle w:val="2"/>
      </w:pPr>
    </w:p>
    <w:p>
      <w:pPr>
        <w:pStyle w:val="3"/>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Pr>
        <w:pStyle w:val="2"/>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2024年临江公司石灰浆备用管道及备件采购项目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3"/>
      </w:pPr>
    </w:p>
    <w:p>
      <w:pPr>
        <w:pStyle w:val="2"/>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2024年临江公司石灰浆备用管道及备件采购项目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3"/>
        <w:rPr>
          <w:rFonts w:cs="仿宋" w:asciiTheme="minorEastAsia" w:hAnsiTheme="minorEastAsia"/>
          <w:b/>
          <w:kern w:val="0"/>
          <w:sz w:val="32"/>
          <w:szCs w:val="32"/>
        </w:rPr>
      </w:pPr>
    </w:p>
    <w:p>
      <w:pPr>
        <w:pStyle w:val="2"/>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3"/>
        <w:rPr>
          <w:rFonts w:cs="仿宋" w:asciiTheme="minorEastAsia" w:hAnsiTheme="minorEastAsia"/>
          <w:b/>
          <w:kern w:val="0"/>
          <w:sz w:val="32"/>
          <w:szCs w:val="32"/>
        </w:rPr>
      </w:pPr>
    </w:p>
    <w:p>
      <w:pPr>
        <w:pStyle w:val="2"/>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3"/>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2024年临江公司石灰浆备用管道及备件采购项目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6"/>
        <w:jc w:val="center"/>
        <w:rPr>
          <w:sz w:val="32"/>
          <w:szCs w:val="32"/>
        </w:rPr>
      </w:pPr>
      <w:r>
        <w:rPr>
          <w:rFonts w:hint="eastAsia"/>
          <w:sz w:val="32"/>
          <w:szCs w:val="32"/>
        </w:rPr>
        <w:t>一 、 报价函</w:t>
      </w:r>
    </w:p>
    <w:p>
      <w:pPr>
        <w:pStyle w:val="3"/>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2024年临江公司石灰浆备用管道及备件采购项目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szCs w:val="24"/>
          <w:lang w:eastAsia="zh-CN"/>
        </w:rPr>
        <w:t>（</w:t>
      </w:r>
      <w:r>
        <w:rPr>
          <w:rFonts w:hint="eastAsia" w:cs="仿宋" w:asciiTheme="minorEastAsia" w:hAnsiTheme="minorEastAsia"/>
          <w:b/>
          <w:bCs/>
          <w:sz w:val="24"/>
          <w:szCs w:val="24"/>
          <w:lang w:val="en-US" w:eastAsia="zh-CN"/>
        </w:rPr>
        <w:t>发票仅接收货物类发票，不接受工程类或服务类发票</w:t>
      </w:r>
      <w:r>
        <w:rPr>
          <w:rFonts w:hint="eastAsia" w:ascii="宋体" w:hAnsi="宋体" w:eastAsia="宋体" w:cs="宋体"/>
          <w:sz w:val="24"/>
          <w:szCs w:val="24"/>
          <w:lang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3"/>
        <w:ind w:firstLine="480" w:firstLineChars="200"/>
        <w:jc w:val="left"/>
        <w:rPr>
          <w:rFonts w:hAnsi="宋体" w:cs="宋体"/>
        </w:rPr>
      </w:pPr>
    </w:p>
    <w:p>
      <w:pPr>
        <w:pStyle w:val="3"/>
        <w:ind w:firstLine="480" w:firstLineChars="200"/>
        <w:jc w:val="left"/>
        <w:rPr>
          <w:rFonts w:hAnsi="宋体" w:cs="宋体"/>
        </w:rPr>
      </w:pPr>
    </w:p>
    <w:p>
      <w:pPr>
        <w:pStyle w:val="3"/>
        <w:jc w:val="left"/>
        <w:rPr>
          <w:rFonts w:hAnsi="宋体" w:cs="宋体"/>
        </w:rPr>
      </w:pPr>
      <w:r>
        <w:rPr>
          <w:rFonts w:hint="eastAsia" w:hAnsi="宋体" w:cs="宋体"/>
        </w:rPr>
        <w:t>供应商名称：（盖单位公章）</w:t>
      </w:r>
    </w:p>
    <w:p>
      <w:pPr>
        <w:pStyle w:val="3"/>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3"/>
        <w:tabs>
          <w:tab w:val="left" w:pos="4101"/>
        </w:tabs>
        <w:jc w:val="left"/>
        <w:rPr>
          <w:rFonts w:hAnsi="宋体" w:cs="宋体"/>
        </w:rPr>
      </w:pPr>
      <w:r>
        <w:rPr>
          <w:rFonts w:hint="eastAsia" w:hAnsi="宋体" w:cs="宋体"/>
        </w:rPr>
        <w:t>地址：</w:t>
      </w:r>
    </w:p>
    <w:p>
      <w:pPr>
        <w:pStyle w:val="3"/>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2024年临江公司石灰浆备用管道及备件采购项目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p>
      <w:pPr>
        <w:pStyle w:val="2"/>
        <w:rPr>
          <w:rFonts w:hint="eastAsia"/>
          <w:lang w:val="zh-CN"/>
        </w:rPr>
      </w:pPr>
    </w:p>
    <w:tbl>
      <w:tblPr>
        <w:tblStyle w:val="15"/>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724"/>
        <w:gridCol w:w="2762"/>
        <w:gridCol w:w="775"/>
        <w:gridCol w:w="1200"/>
        <w:gridCol w:w="1150"/>
        <w:gridCol w:w="1063"/>
        <w:gridCol w:w="4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物资名称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品牌</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型号规格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数量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单价（元）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总计（元）</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无缝钢管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φ89*4.5，材质：20#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660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4174"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材料报价包含改造安装过程中所有的油漆、工具、辅材、人工、脚手架及其他安全措施费。</w:t>
            </w:r>
            <w:r>
              <w:rPr>
                <w:rFonts w:hint="default" w:ascii="宋体" w:hAnsi="宋体" w:eastAsia="宋体" w:cs="宋体"/>
                <w:b/>
                <w:bCs/>
                <w:snapToGrid w:val="0"/>
                <w:szCs w:val="21"/>
                <w:lang w:val="en-US" w:eastAsia="zh-CN"/>
              </w:rPr>
              <w:t>液碱制备间至反应塔底的管道标高为+5米，反应塔底爬升至反应塔顶的标高为+37.156米，反应塔顶管道水平布置，反应塔顶环境温度约50℃</w:t>
            </w:r>
            <w:r>
              <w:rPr>
                <w:rFonts w:hint="eastAsia" w:ascii="宋体" w:hAnsi="宋体" w:eastAsia="宋体" w:cs="宋体"/>
                <w:b/>
                <w:bCs/>
                <w:snapToGrid w:val="0"/>
                <w:szCs w:val="21"/>
                <w:lang w:val="en-US" w:eastAsia="zh-CN"/>
              </w:rPr>
              <w:t>，供应商自行考虑作业条件，或到现场确认作业环境。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90°焊接弯头</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φ89*4.5，R=5D，材质：20#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417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角钢</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50*50*3，材质；Q235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417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U型卡箍双头螺栓</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M8，配φ89管道</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417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无缝钢管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Φ45*3，材质：20#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417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手动球阀</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Q41F-16C,DN40，1.6MPa</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417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cs="仿宋" w:asciiTheme="minorEastAsia" w:hAnsiTheme="minorEastAsia"/>
                <w:b/>
                <w:sz w:val="21"/>
                <w:szCs w:val="21"/>
              </w:rPr>
              <w:t>响应报价合计（小写）</w:t>
            </w:r>
          </w:p>
        </w:tc>
        <w:tc>
          <w:tcPr>
            <w:tcW w:w="75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1"/>
                <w:szCs w:val="21"/>
              </w:rPr>
            </w:pPr>
            <w:r>
              <w:rPr>
                <w:rFonts w:hint="eastAsia" w:cs="仿宋" w:asciiTheme="minorEastAsia" w:hAnsiTheme="minorEastAsia"/>
                <w:b/>
                <w:sz w:val="21"/>
                <w:szCs w:val="21"/>
              </w:rPr>
              <w:t>响应报价合计（大写）</w:t>
            </w:r>
          </w:p>
        </w:tc>
        <w:tc>
          <w:tcPr>
            <w:tcW w:w="75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1"/>
                <w:szCs w:val="21"/>
              </w:rPr>
            </w:pPr>
            <w:r>
              <w:rPr>
                <w:rFonts w:hint="eastAsia" w:cs="仿宋" w:asciiTheme="minorEastAsia" w:hAnsiTheme="minorEastAsia"/>
                <w:b/>
                <w:sz w:val="21"/>
                <w:szCs w:val="21"/>
              </w:rPr>
              <w:t>税率</w:t>
            </w:r>
          </w:p>
        </w:tc>
        <w:tc>
          <w:tcPr>
            <w:tcW w:w="75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r>
              <w:rPr>
                <w:rFonts w:hint="eastAsia" w:cs="仿宋" w:asciiTheme="minorEastAsia" w:hAnsiTheme="minorEastAsia"/>
                <w:b/>
                <w:bCs/>
                <w:sz w:val="21"/>
                <w:szCs w:val="21"/>
                <w:lang w:eastAsia="zh-CN"/>
              </w:rPr>
              <w:t>（</w:t>
            </w:r>
            <w:r>
              <w:rPr>
                <w:rFonts w:hint="eastAsia" w:cs="仿宋" w:asciiTheme="minorEastAsia" w:hAnsiTheme="minorEastAsia"/>
                <w:b/>
                <w:bCs/>
                <w:sz w:val="21"/>
                <w:szCs w:val="21"/>
                <w:lang w:val="en-US" w:eastAsia="zh-CN"/>
              </w:rPr>
              <w:t>发票仅接收货物类发票，不接受工程类或服务类发票</w:t>
            </w:r>
            <w:r>
              <w:rPr>
                <w:rFonts w:hint="eastAsia" w:cs="仿宋" w:asciiTheme="minorEastAsia" w:hAnsiTheme="minorEastAsia"/>
                <w:b/>
                <w:bCs/>
                <w:sz w:val="21"/>
                <w:szCs w:val="21"/>
                <w:lang w:eastAsia="zh-CN"/>
              </w:rPr>
              <w:t>）</w:t>
            </w:r>
          </w:p>
        </w:tc>
      </w:tr>
    </w:tbl>
    <w:p>
      <w:pPr>
        <w:spacing w:line="360" w:lineRule="auto"/>
        <w:jc w:val="center"/>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en-US" w:eastAsia="zh-CN"/>
        </w:rPr>
        <w:t>3</w:t>
      </w:r>
      <w:r>
        <w:rPr>
          <w:rFonts w:hint="eastAsia" w:ascii="宋体" w:hAnsi="宋体" w:cs="宋体"/>
          <w:kern w:val="0"/>
          <w:sz w:val="24"/>
          <w:lang w:val="zh-CN"/>
        </w:rPr>
        <w:t>、特别提示：采购人将对项目名称和项目编号，成交供应商名称、成交金额予以公示。</w:t>
      </w:r>
    </w:p>
    <w:p>
      <w:pPr>
        <w:pStyle w:val="3"/>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2024年临江公司石灰浆备用管道及备件采购项目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2024年临江公司石灰浆备用管道及备件采购项目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202408022</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5"/>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3"/>
      </w:pPr>
    </w:p>
    <w:p>
      <w:pPr>
        <w:pStyle w:val="2"/>
      </w:pPr>
    </w:p>
    <w:p>
      <w:pPr>
        <w:pStyle w:val="13"/>
      </w:pPr>
    </w:p>
    <w:p/>
    <w:p>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2024年临江公司石灰浆备用管道及备件采购项目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3"/>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2024年临江公司石灰浆备用管道及备件采购项目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int="eastAsia" w:hAnsi="宋体" w:cs="宋体"/>
          <w:b/>
          <w:bCs/>
          <w:sz w:val="24"/>
        </w:rPr>
      </w:pPr>
    </w:p>
    <w:p>
      <w:pPr>
        <w:pStyle w:val="9"/>
        <w:rPr>
          <w:rFonts w:hint="eastAsia" w:hAnsi="宋体" w:cs="宋体"/>
          <w:b/>
          <w:bCs/>
          <w:sz w:val="24"/>
        </w:rPr>
      </w:pPr>
    </w:p>
    <w:p>
      <w:pPr>
        <w:pStyle w:val="9"/>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114ABC"/>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A4E3C28"/>
    <w:rsid w:val="0A911B05"/>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394A86"/>
    <w:rsid w:val="11B04EDA"/>
    <w:rsid w:val="11C46A46"/>
    <w:rsid w:val="11D64215"/>
    <w:rsid w:val="11F35B37"/>
    <w:rsid w:val="12D86145"/>
    <w:rsid w:val="12E110C3"/>
    <w:rsid w:val="135A601C"/>
    <w:rsid w:val="13AF5667"/>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5650E5F"/>
    <w:rsid w:val="2569246D"/>
    <w:rsid w:val="25C26B32"/>
    <w:rsid w:val="26010880"/>
    <w:rsid w:val="26C2328E"/>
    <w:rsid w:val="26F15921"/>
    <w:rsid w:val="27725FDB"/>
    <w:rsid w:val="279027DB"/>
    <w:rsid w:val="28261749"/>
    <w:rsid w:val="28D92620"/>
    <w:rsid w:val="294E0F60"/>
    <w:rsid w:val="2987716A"/>
    <w:rsid w:val="29AE18A7"/>
    <w:rsid w:val="2A6366FF"/>
    <w:rsid w:val="2B3D5BF4"/>
    <w:rsid w:val="2C4141D8"/>
    <w:rsid w:val="2C950AFD"/>
    <w:rsid w:val="2D210C4A"/>
    <w:rsid w:val="2D856C21"/>
    <w:rsid w:val="2E7A56DC"/>
    <w:rsid w:val="2E9F315C"/>
    <w:rsid w:val="2E9F5DB1"/>
    <w:rsid w:val="2EBA484A"/>
    <w:rsid w:val="2F4D3609"/>
    <w:rsid w:val="2F5836E9"/>
    <w:rsid w:val="300206D5"/>
    <w:rsid w:val="30062480"/>
    <w:rsid w:val="30556F21"/>
    <w:rsid w:val="308C5F1F"/>
    <w:rsid w:val="30AF5EDA"/>
    <w:rsid w:val="31111553"/>
    <w:rsid w:val="31191AA6"/>
    <w:rsid w:val="314B6E80"/>
    <w:rsid w:val="326E6078"/>
    <w:rsid w:val="32843E96"/>
    <w:rsid w:val="32C410E7"/>
    <w:rsid w:val="32EC2577"/>
    <w:rsid w:val="334341C1"/>
    <w:rsid w:val="34155E66"/>
    <w:rsid w:val="34321955"/>
    <w:rsid w:val="34454474"/>
    <w:rsid w:val="34AF40BC"/>
    <w:rsid w:val="36162BCB"/>
    <w:rsid w:val="364530C9"/>
    <w:rsid w:val="36483084"/>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3828"/>
    <w:rsid w:val="415A5C88"/>
    <w:rsid w:val="41CE08E1"/>
    <w:rsid w:val="42112513"/>
    <w:rsid w:val="433C7ACC"/>
    <w:rsid w:val="435518AD"/>
    <w:rsid w:val="43C04259"/>
    <w:rsid w:val="43C354C4"/>
    <w:rsid w:val="43EB4D91"/>
    <w:rsid w:val="44A040E0"/>
    <w:rsid w:val="44C67F95"/>
    <w:rsid w:val="44F22D84"/>
    <w:rsid w:val="4557347D"/>
    <w:rsid w:val="4559568A"/>
    <w:rsid w:val="45A47533"/>
    <w:rsid w:val="45F97EF6"/>
    <w:rsid w:val="46445615"/>
    <w:rsid w:val="46BC402D"/>
    <w:rsid w:val="472961BF"/>
    <w:rsid w:val="475528CD"/>
    <w:rsid w:val="47B265AF"/>
    <w:rsid w:val="4916491B"/>
    <w:rsid w:val="496717C4"/>
    <w:rsid w:val="4992015A"/>
    <w:rsid w:val="49ED38CE"/>
    <w:rsid w:val="4A063A4F"/>
    <w:rsid w:val="4A875AD1"/>
    <w:rsid w:val="4AE27CAC"/>
    <w:rsid w:val="4B1B2ECF"/>
    <w:rsid w:val="4B2E6F39"/>
    <w:rsid w:val="4B6E282F"/>
    <w:rsid w:val="4BAC48C9"/>
    <w:rsid w:val="4BB27DC6"/>
    <w:rsid w:val="4C192E4D"/>
    <w:rsid w:val="4CD52BD1"/>
    <w:rsid w:val="4CEA2347"/>
    <w:rsid w:val="4D19039B"/>
    <w:rsid w:val="4D243428"/>
    <w:rsid w:val="4D2D7FC0"/>
    <w:rsid w:val="4DA84D66"/>
    <w:rsid w:val="4E1E04FA"/>
    <w:rsid w:val="4E604FB7"/>
    <w:rsid w:val="4EFA25EF"/>
    <w:rsid w:val="4F2C043D"/>
    <w:rsid w:val="4F602E30"/>
    <w:rsid w:val="4F9246A8"/>
    <w:rsid w:val="4FBC621D"/>
    <w:rsid w:val="4FC275AB"/>
    <w:rsid w:val="4FEB08B0"/>
    <w:rsid w:val="50A13664"/>
    <w:rsid w:val="51937E4D"/>
    <w:rsid w:val="52383592"/>
    <w:rsid w:val="523875F5"/>
    <w:rsid w:val="52506204"/>
    <w:rsid w:val="52665BE8"/>
    <w:rsid w:val="52BE22AC"/>
    <w:rsid w:val="534456B9"/>
    <w:rsid w:val="53FA1DF3"/>
    <w:rsid w:val="54AA2A85"/>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EB97875"/>
    <w:rsid w:val="5F0279C4"/>
    <w:rsid w:val="5F944466"/>
    <w:rsid w:val="5FBE7D8F"/>
    <w:rsid w:val="60470EFE"/>
    <w:rsid w:val="60844C26"/>
    <w:rsid w:val="609617DE"/>
    <w:rsid w:val="60A9029A"/>
    <w:rsid w:val="60DA29A7"/>
    <w:rsid w:val="60FA16F8"/>
    <w:rsid w:val="6139287F"/>
    <w:rsid w:val="61CA0C65"/>
    <w:rsid w:val="62C642C8"/>
    <w:rsid w:val="631B2246"/>
    <w:rsid w:val="6320666B"/>
    <w:rsid w:val="63CF15A0"/>
    <w:rsid w:val="64055963"/>
    <w:rsid w:val="6509228E"/>
    <w:rsid w:val="651255BC"/>
    <w:rsid w:val="655D65FD"/>
    <w:rsid w:val="65A92947"/>
    <w:rsid w:val="661A50B7"/>
    <w:rsid w:val="664B13EA"/>
    <w:rsid w:val="66976C44"/>
    <w:rsid w:val="66F30BCE"/>
    <w:rsid w:val="673C0170"/>
    <w:rsid w:val="673E5F91"/>
    <w:rsid w:val="677A6041"/>
    <w:rsid w:val="67BC07C3"/>
    <w:rsid w:val="67D6317A"/>
    <w:rsid w:val="67D649B5"/>
    <w:rsid w:val="68ED6365"/>
    <w:rsid w:val="690F3AB7"/>
    <w:rsid w:val="6A4E3ABD"/>
    <w:rsid w:val="6AE63D7E"/>
    <w:rsid w:val="6B420679"/>
    <w:rsid w:val="6B462C2B"/>
    <w:rsid w:val="6B8359E9"/>
    <w:rsid w:val="6BB076CA"/>
    <w:rsid w:val="6BD277B9"/>
    <w:rsid w:val="6C321620"/>
    <w:rsid w:val="6CE30E35"/>
    <w:rsid w:val="6DA02882"/>
    <w:rsid w:val="6DA12E69"/>
    <w:rsid w:val="6DBB3B60"/>
    <w:rsid w:val="6E2C6F5B"/>
    <w:rsid w:val="6E785E0E"/>
    <w:rsid w:val="6F0B4673"/>
    <w:rsid w:val="6F4831D1"/>
    <w:rsid w:val="70045698"/>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A154A37"/>
    <w:rsid w:val="7BA82ABD"/>
    <w:rsid w:val="7C757EAB"/>
    <w:rsid w:val="7D0A41BC"/>
    <w:rsid w:val="7D0A4B32"/>
    <w:rsid w:val="7D797C2B"/>
    <w:rsid w:val="7D823D52"/>
    <w:rsid w:val="7DAC6A56"/>
    <w:rsid w:val="7E381ACE"/>
    <w:rsid w:val="7EF742CC"/>
    <w:rsid w:val="7F272F7D"/>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ind w:firstLine="420"/>
    </w:pPr>
    <w:rPr>
      <w:rFonts w:hAnsi="Times New Roman" w:cs="Times New Roman"/>
      <w:snapToGrid/>
      <w:szCs w:val="20"/>
    </w:rPr>
  </w:style>
  <w:style w:type="paragraph" w:styleId="3">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4"/>
    <w:autoRedefine/>
    <w:qFormat/>
    <w:uiPriority w:val="0"/>
  </w:style>
  <w:style w:type="character" w:customStyle="1" w:styleId="33">
    <w:name w:val="font31"/>
    <w:basedOn w:val="17"/>
    <w:autoRedefine/>
    <w:qFormat/>
    <w:uiPriority w:val="0"/>
    <w:rPr>
      <w:rFonts w:hint="eastAsia" w:ascii="宋体" w:hAnsi="宋体" w:eastAsia="宋体" w:cs="宋体"/>
      <w:color w:val="000000"/>
      <w:sz w:val="20"/>
      <w:szCs w:val="20"/>
      <w:u w:val="none"/>
    </w:rPr>
  </w:style>
  <w:style w:type="character" w:customStyle="1" w:styleId="34">
    <w:name w:val="font21"/>
    <w:basedOn w:val="17"/>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28158</Words>
  <Characters>29932</Characters>
  <Lines>224</Lines>
  <Paragraphs>63</Paragraphs>
  <TotalTime>22</TotalTime>
  <ScaleCrop>false</ScaleCrop>
  <LinksUpToDate>false</LinksUpToDate>
  <CharactersWithSpaces>33126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2024-08-22T02:28:01Z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FE08141DBDE04979B037C7D423AC3B12_13</vt:lpwstr>
  </property>
</Properties>
</file>