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highlight w:val="none"/>
          <w:u w:val="single"/>
        </w:rPr>
      </w:pPr>
    </w:p>
    <w:p>
      <w:pPr>
        <w:pStyle w:val="10"/>
        <w:shd w:val="clear"/>
        <w:jc w:val="center"/>
        <w:rPr>
          <w:rFonts w:cs="宋体" w:asciiTheme="minorEastAsia" w:hAnsiTheme="minorEastAsia"/>
          <w:sz w:val="48"/>
          <w:szCs w:val="48"/>
          <w:highlight w:val="none"/>
          <w:u w:val="single"/>
        </w:rPr>
      </w:pPr>
    </w:p>
    <w:p>
      <w:pPr>
        <w:pStyle w:val="10"/>
        <w:shd w:val="clear"/>
        <w:jc w:val="center"/>
        <w:rPr>
          <w:rFonts w:cs="宋体" w:asciiTheme="minorEastAsia" w:hAnsiTheme="minorEastAsia"/>
          <w:sz w:val="48"/>
          <w:szCs w:val="48"/>
          <w:highlight w:val="none"/>
          <w:u w:val="single"/>
        </w:rPr>
      </w:pPr>
    </w:p>
    <w:p>
      <w:pPr>
        <w:pStyle w:val="10"/>
        <w:shd w:val="clear"/>
        <w:jc w:val="center"/>
        <w:rPr>
          <w:rFonts w:cs="宋体" w:asciiTheme="minorEastAsia" w:hAnsiTheme="minorEastAsia"/>
          <w:sz w:val="48"/>
          <w:szCs w:val="48"/>
          <w:highlight w:val="none"/>
          <w:u w:val="single"/>
        </w:rPr>
      </w:pPr>
    </w:p>
    <w:p>
      <w:pPr>
        <w:pStyle w:val="10"/>
        <w:shd w:val="clear"/>
        <w:jc w:val="center"/>
        <w:rPr>
          <w:rFonts w:cs="宋体" w:asciiTheme="minorEastAsia" w:hAnsiTheme="minorEastAsia"/>
          <w:sz w:val="48"/>
          <w:szCs w:val="48"/>
          <w:highlight w:val="none"/>
          <w:u w:val="single"/>
        </w:rPr>
      </w:pPr>
    </w:p>
    <w:p>
      <w:pPr>
        <w:shd w:val="clear"/>
        <w:adjustRightInd w:val="0"/>
        <w:snapToGrid w:val="0"/>
        <w:spacing w:line="360" w:lineRule="auto"/>
        <w:jc w:val="center"/>
        <w:rPr>
          <w:rFonts w:hint="eastAsia" w:cs="宋体" w:asciiTheme="minorEastAsia" w:hAnsiTheme="minorEastAsia" w:eastAsiaTheme="minorEastAsia"/>
          <w:sz w:val="48"/>
          <w:szCs w:val="48"/>
          <w:highlight w:val="none"/>
          <w:lang w:eastAsia="zh-CN"/>
        </w:rPr>
      </w:pPr>
      <w:r>
        <w:rPr>
          <w:rFonts w:hint="eastAsia" w:cs="宋体" w:asciiTheme="minorEastAsia" w:hAnsiTheme="minorEastAsia"/>
          <w:sz w:val="48"/>
          <w:szCs w:val="48"/>
          <w:highlight w:val="none"/>
          <w:u w:val="single"/>
          <w:lang w:eastAsia="zh-CN"/>
        </w:rPr>
        <w:t>2024年临江公司通用电气备件采购项目</w:t>
      </w:r>
    </w:p>
    <w:p>
      <w:pPr>
        <w:shd w:val="clea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202408025-1</w:t>
      </w:r>
    </w:p>
    <w:p>
      <w:pPr>
        <w:shd w:val="clear"/>
        <w:spacing w:line="360" w:lineRule="auto"/>
        <w:jc w:val="center"/>
        <w:rPr>
          <w:rFonts w:cs="仿宋" w:asciiTheme="minorEastAsia" w:hAnsiTheme="minorEastAsia"/>
          <w:b/>
          <w:bCs/>
          <w:sz w:val="72"/>
          <w:szCs w:val="72"/>
          <w:highlight w:val="none"/>
        </w:rPr>
      </w:pPr>
    </w:p>
    <w:p>
      <w:pPr>
        <w:pStyle w:val="7"/>
        <w:shd w:val="clear"/>
        <w:rPr>
          <w:rFonts w:asciiTheme="minorEastAsia" w:hAnsiTheme="minorEastAsia"/>
          <w:highlight w:val="none"/>
        </w:rPr>
      </w:pPr>
    </w:p>
    <w:p>
      <w:pPr>
        <w:shd w:val="clear"/>
        <w:spacing w:line="360" w:lineRule="auto"/>
        <w:jc w:val="center"/>
        <w:rPr>
          <w:rFonts w:cs="仿宋" w:asciiTheme="minorEastAsia" w:hAnsiTheme="minorEastAsia"/>
          <w:b/>
          <w:bCs/>
          <w:sz w:val="72"/>
          <w:szCs w:val="72"/>
          <w:highlight w:val="none"/>
        </w:rPr>
      </w:pPr>
    </w:p>
    <w:p>
      <w:pPr>
        <w:pStyle w:val="10"/>
        <w:shd w:val="clear"/>
        <w:rPr>
          <w:highlight w:val="none"/>
        </w:rPr>
      </w:pPr>
    </w:p>
    <w:p>
      <w:pPr>
        <w:shd w:val="clear"/>
        <w:rPr>
          <w:highlight w:val="none"/>
        </w:rPr>
      </w:pPr>
    </w:p>
    <w:p>
      <w:pPr>
        <w:pStyle w:val="10"/>
        <w:shd w:val="clear"/>
        <w:rPr>
          <w:highlight w:val="none"/>
        </w:rPr>
      </w:pPr>
    </w:p>
    <w:p>
      <w:pPr>
        <w:shd w:val="clear"/>
        <w:rPr>
          <w:highlight w:val="none"/>
        </w:rPr>
      </w:pPr>
    </w:p>
    <w:p>
      <w:pPr>
        <w:shd w:val="clear"/>
        <w:spacing w:line="360" w:lineRule="auto"/>
        <w:rPr>
          <w:rFonts w:cs="仿宋" w:asciiTheme="minorEastAsia" w:hAnsiTheme="minorEastAsia"/>
          <w:sz w:val="24"/>
          <w:highlight w:val="none"/>
        </w:rPr>
      </w:pPr>
    </w:p>
    <w:p>
      <w:pPr>
        <w:pStyle w:val="10"/>
        <w:shd w:val="clear"/>
        <w:rPr>
          <w:rFonts w:cs="仿宋" w:asciiTheme="minorEastAsia" w:hAnsiTheme="minorEastAsia"/>
          <w:sz w:val="24"/>
          <w:szCs w:val="24"/>
          <w:highlight w:val="none"/>
        </w:rPr>
      </w:pPr>
    </w:p>
    <w:p>
      <w:pPr>
        <w:pStyle w:val="10"/>
        <w:shd w:val="clear"/>
        <w:jc w:val="center"/>
        <w:rPr>
          <w:rFonts w:cs="仿宋" w:asciiTheme="minorEastAsia" w:hAnsiTheme="minorEastAsia"/>
          <w:sz w:val="24"/>
          <w:szCs w:val="24"/>
          <w:highlight w:val="none"/>
        </w:rPr>
      </w:pPr>
    </w:p>
    <w:p>
      <w:pPr>
        <w:shd w:val="clea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hd w:val="clea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9</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6</w:t>
      </w:r>
      <w:r>
        <w:rPr>
          <w:rFonts w:hint="eastAsia" w:cs="仿宋" w:asciiTheme="minorEastAsia" w:hAnsiTheme="minorEastAsia"/>
          <w:sz w:val="32"/>
          <w:szCs w:val="32"/>
          <w:highlight w:val="none"/>
        </w:rPr>
        <w:t>日</w:t>
      </w:r>
    </w:p>
    <w:p>
      <w:pPr>
        <w:shd w:val="clear"/>
        <w:spacing w:line="360" w:lineRule="auto"/>
        <w:ind w:firstLine="602" w:firstLineChars="200"/>
        <w:jc w:val="center"/>
        <w:rPr>
          <w:rFonts w:cs="仿宋" w:asciiTheme="minorEastAsia" w:hAnsiTheme="minorEastAsia"/>
          <w:b/>
          <w:sz w:val="30"/>
          <w:szCs w:val="30"/>
          <w:highlight w:val="none"/>
        </w:rPr>
      </w:pPr>
    </w:p>
    <w:p>
      <w:pPr>
        <w:shd w:val="clea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hd w:val="clea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hd w:val="clea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hd w:val="clea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hd w:val="clea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hd w:val="clea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hd w:val="clea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hd w:val="clea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highlight w:val="none"/>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highlight w:val="none"/>
        </w:rPr>
        <w:t>项目概况</w:t>
      </w:r>
      <w:r>
        <w:rPr>
          <w:rFonts w:hint="eastAsia" w:cs="仿宋" w:asciiTheme="minorEastAsia" w:hAnsiTheme="minorEastAsia"/>
          <w:b/>
          <w:bCs/>
          <w:sz w:val="24"/>
          <w:highlight w:val="none"/>
          <w:lang w:eastAsia="zh-CN"/>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w:t>
      </w:r>
      <w:r>
        <w:rPr>
          <w:rFonts w:hint="eastAsia" w:cs="仿宋" w:asciiTheme="minorEastAsia" w:hAnsiTheme="minorEastAsia"/>
          <w:sz w:val="24"/>
          <w:highlight w:val="none"/>
          <w:lang w:val="en-US" w:eastAsia="zh-CN"/>
        </w:rPr>
        <w:t>采购</w:t>
      </w:r>
      <w:r>
        <w:rPr>
          <w:rFonts w:hint="eastAsia" w:cs="仿宋" w:asciiTheme="minorEastAsia" w:hAnsiTheme="minorEastAsia"/>
          <w:sz w:val="24"/>
          <w:highlight w:val="none"/>
        </w:rPr>
        <w:t>。本询价公告</w:t>
      </w:r>
      <w:r>
        <w:rPr>
          <w:rFonts w:hint="eastAsia" w:cs="仿宋" w:asciiTheme="minorEastAsia" w:hAnsiTheme="minorEastAsia"/>
          <w:sz w:val="24"/>
          <w:highlight w:val="none"/>
          <w:lang w:val="en-US" w:eastAsia="zh-CN"/>
        </w:rPr>
        <w:t>在</w:t>
      </w:r>
      <w:r>
        <w:rPr>
          <w:rFonts w:hint="eastAsia" w:cs="仿宋" w:asciiTheme="minorEastAsia" w:hAnsiTheme="minorEastAsia"/>
          <w:sz w:val="24"/>
          <w:highlight w:val="none"/>
        </w:rPr>
        <w:t>中国招标投标公共服务平台（http://www.cebpubservice.com/）、浙江政府采购网（http://zfcg.czt.zj.gov.cn/）、杭州市环境集团有限公司</w:t>
      </w:r>
      <w:r>
        <w:rPr>
          <w:rFonts w:hint="eastAsia" w:cs="仿宋" w:asciiTheme="minorEastAsia" w:hAnsiTheme="minorEastAsia"/>
          <w:sz w:val="24"/>
          <w:highlight w:val="none"/>
          <w:lang w:val="en-US" w:eastAsia="zh-CN"/>
        </w:rPr>
        <w:t>网站</w:t>
      </w:r>
      <w:r>
        <w:rPr>
          <w:rFonts w:hint="eastAsia" w:cs="仿宋" w:asciiTheme="minorEastAsia" w:hAnsiTheme="minorEastAsia"/>
          <w:sz w:val="24"/>
          <w:highlight w:val="none"/>
        </w:rPr>
        <w:t>、杭州临江环境能源有限公司</w:t>
      </w:r>
      <w:r>
        <w:rPr>
          <w:rFonts w:hint="eastAsia" w:cs="仿宋" w:asciiTheme="minorEastAsia" w:hAnsiTheme="minorEastAsia"/>
          <w:sz w:val="24"/>
          <w:highlight w:val="none"/>
          <w:lang w:val="en-US" w:eastAsia="zh-CN"/>
        </w:rPr>
        <w:t>网站</w:t>
      </w:r>
      <w:r>
        <w:rPr>
          <w:rFonts w:hint="eastAsia" w:cs="仿宋" w:asciiTheme="minorEastAsia" w:hAnsiTheme="minorEastAsia"/>
          <w:sz w:val="24"/>
          <w:highlight w:val="none"/>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highlight w:val="none"/>
        </w:rPr>
      </w:pPr>
      <w:r>
        <w:rPr>
          <w:rFonts w:hint="eastAsia" w:cs="仿宋" w:asciiTheme="minorEastAsia" w:hAnsiTheme="minorEastAsia"/>
          <w:b/>
          <w:bCs/>
          <w:sz w:val="24"/>
          <w:highlight w:val="none"/>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202408025-1</w:t>
      </w:r>
    </w:p>
    <w:p>
      <w:pPr>
        <w:shd w:val="clea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hint="eastAsia" w:cs="仿宋" w:asciiTheme="minorEastAsia" w:hAnsiTheme="minorEastAsia"/>
          <w:sz w:val="24"/>
          <w:highlight w:val="none"/>
          <w:u w:val="single"/>
          <w:lang w:eastAsia="zh-CN"/>
        </w:rPr>
        <w:t>2024年临江公司通用电气备件采购项目</w:t>
      </w:r>
    </w:p>
    <w:p>
      <w:pPr>
        <w:shd w:val="clea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hd w:val="clea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29.4</w:t>
      </w:r>
      <w:r>
        <w:rPr>
          <w:rFonts w:hint="eastAsia" w:cs="仿宋" w:asciiTheme="minorEastAsia" w:hAnsiTheme="minorEastAsia"/>
          <w:sz w:val="24"/>
          <w:highlight w:val="none"/>
          <w:u w:val="single"/>
        </w:rPr>
        <w:t>万元</w:t>
      </w:r>
    </w:p>
    <w:p>
      <w:pPr>
        <w:shd w:val="clea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hd w:val="clea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cs="仿宋" w:asciiTheme="minorEastAsia" w:hAnsiTheme="minorEastAsia"/>
          <w:sz w:val="24"/>
          <w:highlight w:val="none"/>
          <w:u w:val="single"/>
          <w:lang w:eastAsia="zh-CN"/>
        </w:rPr>
        <w:t>通用电气备件</w:t>
      </w:r>
      <w:r>
        <w:rPr>
          <w:rFonts w:hint="eastAsia" w:hAnsi="宋体" w:cs="宋体"/>
          <w:bCs/>
          <w:sz w:val="24"/>
          <w:highlight w:val="none"/>
        </w:rPr>
        <w:t>一批。</w:t>
      </w:r>
      <w:r>
        <w:rPr>
          <w:rFonts w:hint="eastAsia" w:cs="仿宋" w:asciiTheme="minorEastAsia" w:hAnsiTheme="minorEastAsia"/>
          <w:sz w:val="24"/>
          <w:highlight w:val="none"/>
        </w:rPr>
        <w:t>具体要求以询价通知书第三部分采购需求为准。</w:t>
      </w:r>
    </w:p>
    <w:p>
      <w:pPr>
        <w:shd w:val="clea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lang w:eastAsia="zh-CN"/>
        </w:rPr>
        <w:t xml:space="preserve"> 自合同签订后1年</w:t>
      </w:r>
      <w:r>
        <w:rPr>
          <w:rFonts w:hint="eastAsia" w:cs="仿宋" w:asciiTheme="minorEastAsia" w:hAnsiTheme="minorEastAsia"/>
          <w:sz w:val="24"/>
          <w:highlight w:val="none"/>
          <w:u w:val="single"/>
        </w:rPr>
        <w:t>。</w:t>
      </w:r>
    </w:p>
    <w:p>
      <w:pPr>
        <w:shd w:val="clea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hd w:val="clear"/>
        <w:spacing w:line="360" w:lineRule="auto"/>
        <w:ind w:firstLine="482" w:firstLineChars="200"/>
        <w:rPr>
          <w:rFonts w:cs="仿宋" w:asciiTheme="minorEastAsia" w:hAnsiTheme="minorEastAsia"/>
          <w:b/>
          <w:bCs/>
          <w:sz w:val="24"/>
          <w:highlight w:val="none"/>
        </w:rPr>
      </w:pPr>
      <w:bookmarkStart w:id="6" w:name="_Toc35393791"/>
      <w:bookmarkStart w:id="7" w:name="_Toc28359003"/>
      <w:bookmarkStart w:id="8" w:name="_Toc28359080"/>
      <w:bookmarkStart w:id="9" w:name="_Toc35393622"/>
      <w:r>
        <w:rPr>
          <w:rFonts w:hint="eastAsia" w:cs="仿宋" w:asciiTheme="minorEastAsia" w:hAnsiTheme="minorEastAsia"/>
          <w:b/>
          <w:bCs/>
          <w:sz w:val="24"/>
          <w:highlight w:val="none"/>
        </w:rPr>
        <w:t>二、供应商的资格要求</w:t>
      </w:r>
      <w:bookmarkEnd w:id="6"/>
      <w:bookmarkEnd w:id="7"/>
      <w:bookmarkEnd w:id="8"/>
      <w:bookmarkEnd w:id="9"/>
      <w:bookmarkStart w:id="10" w:name="_Toc35393792"/>
      <w:bookmarkStart w:id="11" w:name="_Toc28359081"/>
      <w:bookmarkStart w:id="12" w:name="_Toc28359004"/>
      <w:bookmarkStart w:id="13" w:name="_Toc35393623"/>
    </w:p>
    <w:p>
      <w:pPr>
        <w:shd w:val="clea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hd w:val="clear"/>
        <w:spacing w:line="360" w:lineRule="auto"/>
        <w:ind w:firstLine="480" w:firstLineChars="200"/>
        <w:rPr>
          <w:rFonts w:hint="eastAsia" w:cs="仿宋" w:asciiTheme="minorEastAsia" w:hAnsiTheme="minorEastAsia"/>
          <w:bCs/>
          <w:sz w:val="24"/>
          <w:highlight w:val="none"/>
          <w:lang w:val="en-US" w:eastAsia="zh-CN"/>
        </w:rPr>
      </w:pPr>
      <w:r>
        <w:rPr>
          <w:rFonts w:hint="eastAsia" w:cs="仿宋" w:asciiTheme="minorEastAsia" w:hAnsiTheme="minorEastAsia"/>
          <w:bCs/>
          <w:sz w:val="24"/>
          <w:highlight w:val="none"/>
        </w:rPr>
        <w:t>3.</w:t>
      </w:r>
      <w:r>
        <w:rPr>
          <w:rFonts w:hint="eastAsia" w:cs="仿宋" w:asciiTheme="minorEastAsia" w:hAnsiTheme="minorEastAsia"/>
          <w:bCs/>
          <w:sz w:val="24"/>
          <w:highlight w:val="none"/>
          <w:lang w:val="en-US" w:eastAsia="zh-CN"/>
        </w:rPr>
        <w:t>业绩要求：无。</w:t>
      </w:r>
    </w:p>
    <w:p>
      <w:pPr>
        <w:shd w:val="clear"/>
        <w:spacing w:line="360" w:lineRule="auto"/>
        <w:ind w:firstLine="480" w:firstLineChars="200"/>
        <w:rPr>
          <w:rFonts w:hint="eastAsia" w:cs="仿宋" w:asciiTheme="minorEastAsia" w:hAnsiTheme="minorEastAsia"/>
          <w:bCs/>
          <w:sz w:val="24"/>
          <w:highlight w:val="none"/>
        </w:rPr>
      </w:pPr>
      <w:r>
        <w:rPr>
          <w:rFonts w:hint="eastAsia" w:cs="仿宋" w:asciiTheme="minorEastAsia" w:hAnsiTheme="minorEastAsia"/>
          <w:bCs/>
          <w:sz w:val="24"/>
          <w:highlight w:val="none"/>
          <w:lang w:val="en-US" w:eastAsia="zh-CN"/>
        </w:rPr>
        <w:t>4.</w:t>
      </w:r>
      <w:r>
        <w:rPr>
          <w:rFonts w:hint="eastAsia" w:cs="仿宋" w:asciiTheme="minorEastAsia" w:hAnsiTheme="minorEastAsia"/>
          <w:bCs/>
          <w:sz w:val="24"/>
          <w:highlight w:val="none"/>
        </w:rPr>
        <w:t>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lang w:val="en-US" w:eastAsia="zh-CN"/>
        </w:rPr>
        <w:t>5</w:t>
      </w:r>
      <w:r>
        <w:rPr>
          <w:rFonts w:hint="eastAsia" w:cs="仿宋" w:asciiTheme="minorEastAsia" w:hAnsiTheme="minorEastAsia"/>
          <w:bCs/>
          <w:sz w:val="24"/>
          <w:highlight w:val="none"/>
        </w:rPr>
        <w:t xml:space="preserve">.供应商负责人为同一人或者存在控股、管理关系的不同单位，不得同时参加本项目。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lang w:val="en-US" w:eastAsia="zh-CN"/>
        </w:rPr>
        <w:t>6</w:t>
      </w:r>
      <w:r>
        <w:rPr>
          <w:rFonts w:hint="eastAsia" w:cs="仿宋" w:asciiTheme="minorEastAsia" w:hAnsiTheme="minorEastAsia"/>
          <w:bCs/>
          <w:sz w:val="24"/>
          <w:highlight w:val="none"/>
        </w:rPr>
        <w:t>.供应商须提供其股东信息及出资比例信息。</w:t>
      </w:r>
    </w:p>
    <w:p>
      <w:pPr>
        <w:shd w:val="clea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lang w:val="en-US" w:eastAsia="zh-CN"/>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pPr>
        <w:shd w:val="clea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highlight w:val="none"/>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四、询价保证金</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pPr>
        <w:shd w:val="clea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9</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13</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pPr>
        <w:shd w:val="clea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9</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13</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bookmarkStart w:id="518" w:name="_GoBack"/>
      <w:bookmarkEnd w:id="518"/>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（1）本次询价</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采用线上和线下同时进行的方式，供应商可参与现场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，或者线上参加“腾讯会议”形式参与线上现场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期间供应商代表通过“腾讯会议”保持全程在线直至</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结束。腾讯会议号在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（3）结果确认：在结果确认阶段，本项目采购人通过“腾讯会议”直播间要求各供应商确认</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结果，各供应商在线回复确认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结果完毕后（供应商因故未能确认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结果的，默认供应商已确认</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结果），采购人打印</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，宣布</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会议结束，并负责保存“腾讯会议”录像。</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（4）见证要求：</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期间供应商因未参与现场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或者未参加线上直播，视为认可全过程和结果，不得提出异议。</w:t>
      </w:r>
    </w:p>
    <w:p>
      <w:pPr>
        <w:shd w:val="clear"/>
        <w:spacing w:line="360" w:lineRule="auto"/>
        <w:ind w:firstLine="480" w:firstLineChars="200"/>
        <w:rPr>
          <w:highlight w:val="none"/>
        </w:rPr>
      </w:pPr>
      <w:r>
        <w:rPr>
          <w:rFonts w:hint="eastAsia" w:cs="仿宋" w:asciiTheme="minorEastAsia" w:hAnsiTheme="minorEastAsia"/>
          <w:sz w:val="24"/>
          <w:highlight w:val="none"/>
        </w:rPr>
        <w:t>（5）异议处理：供应商对</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过程有异议的，应在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七、质疑</w:t>
      </w:r>
    </w:p>
    <w:p>
      <w:pPr>
        <w:shd w:val="clear"/>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LJGS_CG@163.com</w:t>
      </w:r>
      <w:r>
        <w:rPr>
          <w:rFonts w:hint="eastAsia" w:cs="仿宋" w:asciiTheme="minorEastAsia" w:hAnsiTheme="minorEastAsia"/>
          <w:sz w:val="24"/>
          <w:highlight w:val="none"/>
        </w:rPr>
        <w:t>提出质疑，同时联系本项目采购</w:t>
      </w:r>
      <w:r>
        <w:rPr>
          <w:rFonts w:hint="eastAsia" w:cs="仿宋" w:asciiTheme="minorEastAsia" w:hAnsiTheme="minorEastAsia"/>
          <w:snapToGrid w:val="0"/>
          <w:kern w:val="0"/>
          <w:sz w:val="24"/>
          <w:highlight w:val="none"/>
        </w:rPr>
        <w:t>工作人</w:t>
      </w:r>
      <w:r>
        <w:rPr>
          <w:rFonts w:hint="eastAsia" w:cs="仿宋" w:asciiTheme="minorEastAsia" w:hAnsiTheme="minorEastAsia"/>
          <w:sz w:val="24"/>
          <w:highlight w:val="none"/>
        </w:rPr>
        <w:t>员。逾期视作无异议。</w:t>
      </w:r>
    </w:p>
    <w:p>
      <w:pPr>
        <w:shd w:val="clea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华工</w:t>
      </w:r>
      <w:r>
        <w:rPr>
          <w:rFonts w:hint="eastAsia" w:cs="仿宋" w:asciiTheme="minorEastAsia" w:hAnsiTheme="minorEastAsia"/>
          <w:sz w:val="24"/>
          <w:highlight w:val="none"/>
        </w:rPr>
        <w:t xml:space="preserve">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2024年9月6</w:t>
      </w:r>
      <w:r>
        <w:rPr>
          <w:rFonts w:hint="eastAsia" w:cs="仿宋" w:asciiTheme="minorEastAsia" w:hAnsiTheme="minorEastAsia"/>
          <w:color w:val="auto"/>
          <w:sz w:val="24"/>
          <w:highlight w:val="none"/>
        </w:rPr>
        <w:t>日</w:t>
      </w:r>
    </w:p>
    <w:p>
      <w:pPr>
        <w:shd w:val="clear"/>
        <w:spacing w:line="460" w:lineRule="exact"/>
        <w:jc w:val="center"/>
        <w:rPr>
          <w:rFonts w:cs="仿宋" w:asciiTheme="minorEastAsia" w:hAnsiTheme="minorEastAsia"/>
          <w:b/>
          <w:bCs/>
          <w:sz w:val="36"/>
          <w:szCs w:val="36"/>
          <w:highlight w:val="none"/>
        </w:rPr>
      </w:pPr>
    </w:p>
    <w:p>
      <w:pPr>
        <w:shd w:val="clear"/>
        <w:spacing w:line="460" w:lineRule="exact"/>
        <w:jc w:val="center"/>
        <w:rPr>
          <w:rFonts w:cs="仿宋" w:asciiTheme="minorEastAsia" w:hAnsiTheme="minorEastAsia"/>
          <w:b/>
          <w:bCs/>
          <w:sz w:val="36"/>
          <w:szCs w:val="36"/>
          <w:highlight w:val="none"/>
        </w:rPr>
      </w:pPr>
    </w:p>
    <w:p>
      <w:pPr>
        <w:shd w:val="clear"/>
        <w:spacing w:line="460" w:lineRule="exact"/>
        <w:jc w:val="center"/>
        <w:rPr>
          <w:rFonts w:cs="仿宋" w:asciiTheme="minorEastAsia" w:hAnsiTheme="minorEastAsia"/>
          <w:b/>
          <w:bCs/>
          <w:sz w:val="36"/>
          <w:szCs w:val="36"/>
          <w:highlight w:val="none"/>
        </w:rPr>
      </w:pPr>
    </w:p>
    <w:p>
      <w:pPr>
        <w:shd w:val="clear"/>
        <w:rPr>
          <w:rFonts w:hint="eastAsia" w:cs="仿宋" w:asciiTheme="minorEastAsia" w:hAnsiTheme="minorEastAsia"/>
          <w:b/>
          <w:bCs/>
          <w:sz w:val="36"/>
          <w:szCs w:val="36"/>
          <w:highlight w:val="none"/>
        </w:rPr>
      </w:pPr>
      <w:r>
        <w:rPr>
          <w:rFonts w:hint="eastAsia" w:cs="仿宋" w:asciiTheme="minorEastAsia" w:hAnsiTheme="minorEastAsia"/>
          <w:b/>
          <w:bCs/>
          <w:sz w:val="36"/>
          <w:szCs w:val="36"/>
          <w:highlight w:val="none"/>
        </w:rPr>
        <w:br w:type="page"/>
      </w:r>
    </w:p>
    <w:p>
      <w:pPr>
        <w:shd w:val="clea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hd w:val="clea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8"/>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8"/>
              <w:shd w:val="clear"/>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kern w:val="0"/>
                <w:szCs w:val="21"/>
                <w:highlight w:val="none"/>
              </w:rPr>
              <w:t>供应商经采购人同意后可自行前往对项目现场和周围环境进行踏勘和了解。</w:t>
            </w:r>
          </w:p>
          <w:p>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hd w:val="clear"/>
              <w:spacing w:line="360" w:lineRule="auto"/>
              <w:ind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5800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lang w:val="en-US" w:eastAsia="zh-CN"/>
              </w:rPr>
              <w:t>2024年临江公司通用电气备件采购项目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hd w:val="clea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hd w:val="clea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hd w:val="clea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hd w:val="clea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pPr>
                  <w:shd w:val="clea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pPr>
                  <w:shd w:val="clea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hint="eastAsia" w:ascii="宋体" w:hAnsi="宋体" w:cs="宋体"/>
                <w:color w:val="auto"/>
                <w:highlight w:val="none"/>
                <w:lang w:eastAsia="zh-CN"/>
              </w:rPr>
              <w:t>5%；</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0"/>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0"/>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0"/>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0"/>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8"/>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8"/>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8"/>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highlight w:val="none"/>
        </w:rPr>
      </w:pPr>
    </w:p>
    <w:p>
      <w:pPr>
        <w:shd w:val="clear"/>
        <w:spacing w:line="360" w:lineRule="auto"/>
        <w:jc w:val="center"/>
        <w:outlineLvl w:val="0"/>
        <w:rPr>
          <w:rFonts w:cs="仿宋" w:asciiTheme="minorEastAsia" w:hAnsiTheme="minorEastAsia"/>
          <w:b/>
          <w:sz w:val="32"/>
          <w:szCs w:val="20"/>
          <w:highlight w:val="none"/>
        </w:rPr>
      </w:pPr>
    </w:p>
    <w:p>
      <w:pPr>
        <w:shd w:val="clear"/>
        <w:spacing w:line="360" w:lineRule="auto"/>
        <w:jc w:val="center"/>
        <w:outlineLvl w:val="0"/>
        <w:rPr>
          <w:rFonts w:cs="仿宋" w:asciiTheme="minorEastAsia" w:hAnsiTheme="minorEastAsia"/>
          <w:b/>
          <w:sz w:val="32"/>
          <w:szCs w:val="20"/>
          <w:highlight w:val="none"/>
        </w:rPr>
      </w:pPr>
    </w:p>
    <w:p>
      <w:pPr>
        <w:pStyle w:val="7"/>
        <w:shd w:val="clear"/>
        <w:rPr>
          <w:rFonts w:cs="仿宋" w:asciiTheme="minorEastAsia" w:hAnsiTheme="minorEastAsia"/>
          <w:b/>
          <w:sz w:val="32"/>
          <w:szCs w:val="20"/>
          <w:highlight w:val="none"/>
        </w:rPr>
      </w:pPr>
    </w:p>
    <w:p>
      <w:pPr>
        <w:shd w:val="clear"/>
        <w:rPr>
          <w:highlight w:val="none"/>
        </w:rPr>
      </w:pPr>
    </w:p>
    <w:p>
      <w:pPr>
        <w:shd w:val="clear"/>
        <w:rPr>
          <w:rFonts w:hint="eastAsia" w:cs="仿宋" w:asciiTheme="minorEastAsia" w:hAnsiTheme="minorEastAsia"/>
          <w:b/>
          <w:sz w:val="32"/>
          <w:szCs w:val="20"/>
          <w:highlight w:val="none"/>
        </w:rPr>
      </w:pPr>
      <w:r>
        <w:rPr>
          <w:rFonts w:hint="eastAsia" w:cs="仿宋" w:asciiTheme="minorEastAsia" w:hAnsiTheme="minorEastAsia"/>
          <w:b/>
          <w:sz w:val="32"/>
          <w:szCs w:val="20"/>
          <w:highlight w:val="none"/>
        </w:rPr>
        <w:br w:type="page"/>
      </w:r>
    </w:p>
    <w:p>
      <w:pPr>
        <w:shd w:val="clea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hd w:val="clea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hd w:val="clea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lang w:val="en-US" w:eastAsia="zh-CN"/>
        </w:rPr>
        <w:t>成交单位</w:t>
      </w:r>
      <w:r>
        <w:rPr>
          <w:rFonts w:hint="eastAsia" w:cs="仿宋" w:asciiTheme="minorEastAsia" w:hAnsiTheme="minorEastAsia"/>
          <w:sz w:val="24"/>
          <w:highlight w:val="none"/>
        </w:rPr>
        <w:t>。</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 xml:space="preserve">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hd w:val="clea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10"/>
        <w:shd w:val="clear"/>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10"/>
        <w:shd w:val="clear"/>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10"/>
        <w:shd w:val="clear"/>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10"/>
        <w:shd w:val="clear"/>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10"/>
        <w:shd w:val="clear"/>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10"/>
        <w:shd w:val="clear"/>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10"/>
        <w:shd w:val="clear"/>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1"/>
        <w:shd w:val="clear"/>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highlight w:val="none"/>
          <w:lang w:val="en-US"/>
        </w:rPr>
      </w:pPr>
    </w:p>
    <w:p>
      <w:pPr>
        <w:shd w:val="clea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10"/>
        <w:shd w:val="clear"/>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highlight w:val="none"/>
          <w:lang w:val="en-US" w:eastAsia="zh-CN"/>
        </w:rPr>
      </w:pPr>
      <w:r>
        <w:rPr>
          <w:rFonts w:hint="eastAsia" w:cs="仿宋" w:asciiTheme="minorEastAsia" w:hAnsiTheme="minorEastAsia"/>
          <w:snapToGrid w:val="0"/>
          <w:kern w:val="28"/>
          <w:sz w:val="24"/>
          <w:highlight w:val="none"/>
        </w:rPr>
        <w:t>详见采购公告中获取询价采购文件的时间期限、</w:t>
      </w:r>
      <w:r>
        <w:rPr>
          <w:rFonts w:hint="eastAsia" w:cs="仿宋" w:asciiTheme="minorEastAsia" w:hAnsiTheme="minorEastAsia"/>
          <w:snapToGrid w:val="0"/>
          <w:kern w:val="28"/>
          <w:sz w:val="24"/>
          <w:highlight w:val="none"/>
          <w:lang w:val="en-US" w:eastAsia="zh-CN"/>
        </w:rPr>
        <w:t>地点等</w:t>
      </w:r>
    </w:p>
    <w:p>
      <w:pPr>
        <w:pStyle w:val="10"/>
        <w:shd w:val="clear"/>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w:t>
      </w:r>
      <w:r>
        <w:rPr>
          <w:rFonts w:hint="eastAsia" w:cs="仿宋" w:asciiTheme="minorEastAsia" w:hAnsiTheme="minorEastAsia"/>
          <w:b/>
          <w:sz w:val="24"/>
          <w:szCs w:val="24"/>
          <w:highlight w:val="none"/>
          <w:lang w:val="en-US" w:eastAsia="zh-CN"/>
        </w:rPr>
        <w:t>截止</w:t>
      </w:r>
      <w:r>
        <w:rPr>
          <w:rFonts w:hint="eastAsia" w:cs="仿宋" w:asciiTheme="minorEastAsia" w:hAnsiTheme="minorEastAsia"/>
          <w:b/>
          <w:sz w:val="24"/>
          <w:szCs w:val="24"/>
          <w:highlight w:val="none"/>
        </w:rPr>
        <w:t>前答疑会或现场考察</w:t>
      </w:r>
    </w:p>
    <w:p>
      <w:pPr>
        <w:pStyle w:val="10"/>
        <w:shd w:val="clear"/>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10"/>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shd w:val="clea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hd w:val="clea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hd w:val="clea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hd w:val="clea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hd w:val="clea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hd w:val="clea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1"/>
        <w:shd w:val="clear"/>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hd w:val="clea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1"/>
        <w:shd w:val="clear"/>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1"/>
        <w:shd w:val="clear"/>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1"/>
        <w:shd w:val="clear"/>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9"/>
        <w:shd w:val="clear"/>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1"/>
        <w:shd w:val="clear"/>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hd w:val="clea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1"/>
        <w:shd w:val="clear"/>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1"/>
        <w:shd w:val="clear"/>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highlight w:val="none"/>
        </w:rPr>
      </w:pPr>
    </w:p>
    <w:p>
      <w:pPr>
        <w:pStyle w:val="21"/>
        <w:shd w:val="clear"/>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w:t>
      </w:r>
      <w:r>
        <w:rPr>
          <w:rFonts w:hint="eastAsia" w:cs="仿宋" w:asciiTheme="minorEastAsia" w:hAnsiTheme="minorEastAsia" w:eastAsiaTheme="minorEastAsia"/>
          <w:sz w:val="24"/>
          <w:highlight w:val="none"/>
          <w:lang w:eastAsia="zh-CN"/>
        </w:rPr>
        <w:t>开启</w:t>
      </w:r>
      <w:r>
        <w:rPr>
          <w:rFonts w:hint="eastAsia" w:cs="仿宋" w:asciiTheme="minorEastAsia" w:hAnsiTheme="minorEastAsia" w:eastAsiaTheme="minorEastAsia"/>
          <w:sz w:val="24"/>
          <w:highlight w:val="none"/>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1"/>
        <w:shd w:val="clear"/>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1"/>
        <w:shd w:val="clear"/>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1"/>
        <w:shd w:val="clear"/>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1"/>
        <w:shd w:val="clear"/>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1"/>
        <w:shd w:val="clear"/>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t>
      </w:r>
      <w:r>
        <w:rPr>
          <w:rFonts w:hint="eastAsia" w:cs="仿宋" w:asciiTheme="minorEastAsia" w:hAnsiTheme="minorEastAsia"/>
          <w:kern w:val="0"/>
          <w:szCs w:val="24"/>
          <w:highlight w:val="none"/>
          <w:lang w:eastAsia="zh-CN"/>
        </w:rPr>
        <w:t>（</w:t>
      </w:r>
      <w:r>
        <w:rPr>
          <w:rFonts w:hint="eastAsia" w:cs="仿宋" w:asciiTheme="minorEastAsia" w:hAnsiTheme="minorEastAsia"/>
          <w:kern w:val="0"/>
          <w:szCs w:val="24"/>
          <w:highlight w:val="none"/>
        </w:rPr>
        <w:t>www.creditchina.gov.cn)、中国政府采购网《政府采购严重违法失信行为记录名单》(www.ccgp.gov.cn</w:t>
      </w:r>
      <w:r>
        <w:rPr>
          <w:rFonts w:hint="eastAsia" w:cs="仿宋" w:asciiTheme="minorEastAsia" w:hAnsiTheme="minorEastAsia"/>
          <w:kern w:val="0"/>
          <w:szCs w:val="24"/>
          <w:highlight w:val="none"/>
          <w:lang w:eastAsia="zh-CN"/>
        </w:rPr>
        <w:t>）</w:t>
      </w:r>
      <w:r>
        <w:rPr>
          <w:rFonts w:hint="eastAsia" w:cs="仿宋" w:asciiTheme="minorEastAsia" w:hAnsiTheme="minorEastAsia"/>
          <w:kern w:val="0"/>
          <w:szCs w:val="24"/>
          <w:highlight w:val="none"/>
        </w:rPr>
        <w:t>渠道查询供应商响应截止时间当天的信用记录。</w:t>
      </w:r>
    </w:p>
    <w:p>
      <w:pPr>
        <w:pStyle w:val="21"/>
        <w:shd w:val="clear"/>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1"/>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kern w:val="0"/>
          <w:szCs w:val="24"/>
          <w:highlight w:val="none"/>
        </w:rPr>
        <w:t>17.3信用信息的使用规则：</w:t>
      </w:r>
      <w:r>
        <w:rPr>
          <w:rFonts w:hint="eastAsia" w:cs="仿宋" w:asciiTheme="minorEastAsia" w:hAnsiTheme="minorEastAsia"/>
          <w:color w:val="auto"/>
          <w:kern w:val="0"/>
          <w:szCs w:val="24"/>
          <w:highlight w:val="none"/>
        </w:rPr>
        <w:t>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pPr>
        <w:pStyle w:val="21"/>
        <w:shd w:val="clear"/>
        <w:spacing w:before="0"/>
        <w:ind w:firstLine="495" w:firstLineChars="0"/>
        <w:rPr>
          <w:rFonts w:cs="仿宋" w:asciiTheme="minorEastAsia" w:hAnsiTheme="minorEastAsia"/>
          <w:kern w:val="0"/>
          <w:szCs w:val="24"/>
          <w:highlight w:val="none"/>
        </w:rPr>
      </w:pPr>
    </w:p>
    <w:p>
      <w:pPr>
        <w:pStyle w:val="21"/>
        <w:shd w:val="clear"/>
        <w:spacing w:before="0"/>
        <w:ind w:firstLine="480"/>
        <w:rPr>
          <w:rFonts w:cs="仿宋" w:asciiTheme="minorEastAsia" w:hAnsiTheme="minorEastAsia"/>
          <w:kern w:val="0"/>
          <w:szCs w:val="24"/>
          <w:highlight w:val="none"/>
        </w:rPr>
      </w:pPr>
    </w:p>
    <w:p>
      <w:pPr>
        <w:shd w:val="clea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hd w:val="clea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hd w:val="clear"/>
        <w:spacing w:line="360" w:lineRule="auto"/>
        <w:rPr>
          <w:rFonts w:cs="仿宋" w:asciiTheme="minorEastAsia" w:hAnsiTheme="minorEastAsia"/>
          <w:b/>
          <w:sz w:val="24"/>
          <w:highlight w:val="none"/>
        </w:rPr>
      </w:pPr>
    </w:p>
    <w:p>
      <w:pPr>
        <w:shd w:val="clea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1"/>
        <w:shd w:val="clear"/>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1"/>
        <w:shd w:val="clear"/>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1"/>
        <w:shd w:val="clear"/>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highlight w:val="none"/>
        </w:rPr>
      </w:pPr>
    </w:p>
    <w:p>
      <w:pPr>
        <w:shd w:val="clea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9"/>
        <w:shd w:val="clear"/>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w:t>
      </w:r>
      <w:r>
        <w:rPr>
          <w:rFonts w:hint="eastAsia" w:cs="仿宋" w:asciiTheme="minorEastAsia" w:hAnsiTheme="minorEastAsia"/>
          <w:kern w:val="0"/>
          <w:sz w:val="24"/>
          <w:highlight w:val="none"/>
          <w:lang w:val="en-US" w:eastAsia="zh-CN"/>
        </w:rPr>
        <w:t>30</w:t>
      </w:r>
      <w:r>
        <w:rPr>
          <w:rFonts w:hint="eastAsia" w:cs="仿宋" w:asciiTheme="minorEastAsia" w:hAnsiTheme="minorEastAsia"/>
          <w:kern w:val="0"/>
          <w:sz w:val="24"/>
          <w:highlight w:val="none"/>
        </w:rPr>
        <w:t>日内，与成交供应商按照询价采购文件确定的事项签订采购合同。</w:t>
      </w:r>
    </w:p>
    <w:p>
      <w:pPr>
        <w:pStyle w:val="21"/>
        <w:shd w:val="clear"/>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w:t>
      </w:r>
      <w:r>
        <w:rPr>
          <w:rFonts w:hint="eastAsia" w:cs="仿宋" w:asciiTheme="minorEastAsia" w:hAnsiTheme="minorEastAsia"/>
          <w:sz w:val="24"/>
          <w:szCs w:val="20"/>
          <w:highlight w:val="none"/>
          <w:lang w:eastAsia="zh-CN"/>
        </w:rPr>
        <w:t>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7"/>
        <w:shd w:val="clear"/>
        <w:ind w:firstLine="480" w:firstLineChars="200"/>
        <w:rPr>
          <w:highlight w:val="none"/>
        </w:rPr>
      </w:pPr>
      <w:r>
        <w:rPr>
          <w:rFonts w:hint="eastAsia"/>
          <w:highlight w:val="none"/>
        </w:rPr>
        <w:t>本项目无预付款。</w:t>
      </w:r>
    </w:p>
    <w:p>
      <w:pPr>
        <w:shd w:val="clear"/>
        <w:tabs>
          <w:tab w:val="left" w:pos="0"/>
        </w:tabs>
        <w:spacing w:line="360" w:lineRule="auto"/>
        <w:ind w:firstLine="480"/>
        <w:rPr>
          <w:rFonts w:cs="仿宋" w:asciiTheme="minorEastAsia" w:hAnsiTheme="minorEastAsia"/>
          <w:sz w:val="24"/>
          <w:highlight w:val="none"/>
        </w:rPr>
      </w:pPr>
    </w:p>
    <w:p>
      <w:pPr>
        <w:shd w:val="clea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w:t>
      </w:r>
      <w:r>
        <w:rPr>
          <w:rFonts w:hint="eastAsia" w:cs="仿宋" w:asciiTheme="minorEastAsia" w:hAnsiTheme="minorEastAsia"/>
          <w:sz w:val="24"/>
          <w:szCs w:val="20"/>
          <w:highlight w:val="none"/>
          <w:lang w:eastAsia="zh-CN"/>
        </w:rPr>
        <w:t>法律法规</w:t>
      </w:r>
      <w:r>
        <w:rPr>
          <w:rFonts w:hint="eastAsia" w:cs="仿宋" w:asciiTheme="minorEastAsia" w:hAnsiTheme="minorEastAsia"/>
          <w:sz w:val="24"/>
          <w:szCs w:val="20"/>
          <w:highlight w:val="none"/>
        </w:rPr>
        <w:t>规定的其他情形。</w:t>
      </w:r>
    </w:p>
    <w:p>
      <w:pPr>
        <w:shd w:val="clear"/>
        <w:snapToGrid w:val="0"/>
        <w:spacing w:line="360" w:lineRule="auto"/>
        <w:ind w:left="120" w:leftChars="57" w:firstLine="482" w:firstLineChars="150"/>
        <w:jc w:val="center"/>
        <w:rPr>
          <w:rFonts w:cs="仿宋" w:asciiTheme="minorEastAsia" w:hAnsiTheme="minorEastAsia"/>
          <w:b/>
          <w:sz w:val="32"/>
          <w:highlight w:val="none"/>
        </w:rPr>
      </w:pPr>
    </w:p>
    <w:p>
      <w:pPr>
        <w:shd w:val="clea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9"/>
        <w:shd w:val="clear"/>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shd w:val="clea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highlight w:val="none"/>
        </w:rPr>
      </w:pPr>
    </w:p>
    <w:p>
      <w:pPr>
        <w:pStyle w:val="7"/>
        <w:shd w:val="clear"/>
        <w:rPr>
          <w:highlight w:val="none"/>
        </w:rPr>
      </w:pPr>
    </w:p>
    <w:p>
      <w:pPr>
        <w:shd w:val="clea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hd w:val="clea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hd w:val="clea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hd w:val="clea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pStyle w:val="7"/>
        <w:shd w:val="clear"/>
        <w:ind w:firstLine="480" w:firstLineChars="200"/>
        <w:rPr>
          <w:rFonts w:hint="eastAsia" w:cs="仿宋" w:asciiTheme="minorEastAsia" w:hAnsiTheme="minorEastAsia"/>
          <w:kern w:val="0"/>
          <w:highlight w:val="none"/>
        </w:rPr>
      </w:pPr>
      <w:r>
        <w:rPr>
          <w:rFonts w:hint="eastAsia" w:cs="仿宋" w:asciiTheme="minorEastAsia" w:hAnsiTheme="minorEastAsia"/>
          <w:kern w:val="0"/>
          <w:highlight w:val="none"/>
        </w:rPr>
        <w:t>一、采购内容</w:t>
      </w:r>
    </w:p>
    <w:p>
      <w:pPr>
        <w:pStyle w:val="7"/>
        <w:shd w:val="clear"/>
        <w:ind w:firstLine="480" w:firstLineChars="200"/>
        <w:rPr>
          <w:rFonts w:hint="eastAsia" w:ascii="宋体"/>
          <w:highlight w:val="none"/>
          <w:lang w:val="en-US" w:eastAsia="zh-CN"/>
        </w:rPr>
      </w:pPr>
      <w:r>
        <w:rPr>
          <w:rFonts w:hint="eastAsia" w:asciiTheme="minorEastAsia" w:hAnsiTheme="minorEastAsia" w:eastAsiaTheme="minorEastAsia" w:cstheme="minorEastAsia"/>
          <w:sz w:val="24"/>
          <w:szCs w:val="24"/>
          <w:highlight w:val="none"/>
          <w:lang w:val="en-US" w:eastAsia="zh-CN"/>
        </w:rPr>
        <w:t>杭州临江环境能源有限公司因日常生产需要，需采购</w:t>
      </w:r>
      <w:r>
        <w:rPr>
          <w:rFonts w:hint="eastAsia" w:asciiTheme="minorEastAsia" w:hAnsiTheme="minorEastAsia" w:cstheme="minorEastAsia"/>
          <w:sz w:val="24"/>
          <w:szCs w:val="24"/>
          <w:highlight w:val="none"/>
          <w:lang w:val="en-US" w:eastAsia="zh-CN"/>
        </w:rPr>
        <w:t>通用电气备件一批</w:t>
      </w:r>
      <w:r>
        <w:rPr>
          <w:rFonts w:hint="eastAsia" w:ascii="宋体"/>
          <w:highlight w:val="none"/>
          <w:lang w:val="en-US" w:eastAsia="zh-CN"/>
        </w:rPr>
        <w:t>，具体如下：</w:t>
      </w:r>
    </w:p>
    <w:tbl>
      <w:tblPr>
        <w:tblStyle w:val="15"/>
        <w:tblW w:w="89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1252"/>
        <w:gridCol w:w="1093"/>
        <w:gridCol w:w="4039"/>
        <w:gridCol w:w="845"/>
        <w:gridCol w:w="493"/>
        <w:gridCol w:w="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物资名称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品牌</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型号规格</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需求</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PB1系列按钮触头开关元件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PB1-F-C10 1常开</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PB1系列按钮触头开关元件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PB1-F-C01 1常闭</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APT金属二档短柄旋钮开关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PB1S-10X/K 黑色  工作状态:定位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APT金属二档短柄旋钮开关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PB1S-10X/K 黑色 工作状态:左复位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APT金属二档短柄旋钮开关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PB1S-10X/K 黑色 工作状态:右复位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APT金属三档短柄旋钮开关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PB1S-10XS6/K 黑色 工作状态:定位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APT金属三档短柄旋钮开关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PB1S-10XS6/K 黑色 工作状态:左右复位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APT开关控制启动停按钮头部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PB1S-AATD/r 工作状态:不带灯复位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APT开关控制启动停按钮头部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PB1S-AATD/y 工作状态:不带灯复位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AX三极交流接触器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AX40-30-10 36*190V-50HZ/220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CP1复位平钮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CP1-10G-10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CP2复位平钮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CP1-10R-11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SEW电机刹车整流模块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SEW</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BG1.5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型号：N-1K；参数：容量：1000VA/900W，输入：220VAC 50HZ 5A；输出：220VAC 50HZ 4.5A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山特/松下/华为</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型号：CASTLE 1K；参数：容量：1000VA/800W，输入：220VAC，50HZ。输出：220VAC，50HZ</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维谛/艾默生/松下</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型号：GXE3Kva，3kVA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维谛/艾默生/松下</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型号：liebert ITA2 5kVA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RT6230AC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YSP12-11Y</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LA39-B2-11D/r28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LA39-B2-11D/g28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LA39-B2-11D/r</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LA39-B2-11D/y28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XB4BW36M5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XB4BW34M5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型号：ND16-22D,LED,绿灯按钮开关，24V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型号：ND16-22D,LED,红灯按钮开关，24V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型号：ND16-22D,LED,绿灯按钮开关，220V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型号：ND16-22D,LED,红灯按钮开关，220V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触点模块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ZA2EE101 常开触点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触点模块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ZA2EE102 常闭触点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刀闸端子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UT 4-MT RD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刀闸端子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UT 4-MT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导轨式时控开关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KG816B/AC220V 卡槽式安装DZ47S 2P尺寸</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低压电动机保护器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深圳中电</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PMC-550M</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低压熔断器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R054 6.3A 500V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点火变压器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fida/COFI/Danfoss</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型号：COMPACT 10/30CM，2*5kv，230VA，30mA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点火变压器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型号：XT-14，2*7kv，230VA，25mA，带电缆，带固定极耳</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电磁制动器专用整流器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SANKI</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继电器款 MH-20TC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电动卷帘门控制器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型号：XFS41/电压：AC220V/50HZ</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电机启动保护器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NSZ-25 9-14A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电流变送器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BD-AI 精度0.5 辅助电源 AC/DC 85-265V 信号输入 AC0-5A 对应0-5A/DC4-20mA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电流变送器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CE-VZ01-54 75mV/20mA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电流表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PZ72-AI/M</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电流表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6C2-A 15A/75mV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电流表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型号：SD41-DX1-M 电源：85~265V 输入：AC5A  模拟量输出输出：4~20mA对应：0~5A 倍率：25/5A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电流传感器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LA28A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电流互感器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LMK1-0.66 400/5A 0.5级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XEB2202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电位器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MIDORI/bourns/megatron</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HP-18.5K</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电压变送器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CE-VZ01-54 150V/20mA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电压表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PZ72-AV/M</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电压表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6L2-V 10.5KV/105V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电压表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6L2-V AC250V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电压表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6C2-V DC150V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电源单元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6EP1935-5PG01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电源单元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DRP024V240W1BN</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电源单元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DRP024V120W1BN</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明纬</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LRS-150-24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参照或者相当于QS20.241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参照或者相当于YR40.242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6ES7288-0CD10-0AA0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富士/三菱/西门子</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型号：CP30FM2P003 3A，2P，无辅助触点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富士/三菱/西门子</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型号：CP30FM2P005KA 5A，2P，5A，KA辅助触点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富士/三菱/西门子</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型号：CP30FM2P030KA 5A，2P，30A，KA辅助触点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富士/三菱/西门子</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型号：NF32-SVF</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断相与相序保护器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XJ3-D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多功能电度表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PMC-F961A 57.7V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多功能定时继电器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CT-MVS.12S</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多功能数显表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PMC-D726I</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多功能数显表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PMC-D726M</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二档旋钮开关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LA38-10（2挡自锁）</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反射板型光电开关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参照或者相当于ML100-55/103/115 反射型号：REF-H50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防爆接线盒铝合金户外防水分线盒</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80*76*57一进一出4P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防爆接线盒铝合金户外防水分线盒</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80*76*57一进二出4P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防爆接线盒铝合金户外防水分线盒</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80*76*57二进二出4P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防爆行程开关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BZX51-5D 220/380V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防爆行程开关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BZX51-D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防爆型限位开关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重庆川仪调节阀有限公司</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VF04D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防雨单路控制箱</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主要配置：304不锈钢防雨控制箱、智能单光柱测控仪表、静压液位计30米线3米量程</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分流器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15A/75mV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KA2208HA2-2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浮球液位开关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型号：HT-M15-2  浮球控制器配8米线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辅助触头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F1-11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辅助触头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RX-3X/11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干式变压器冷却风机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GFDD470-150/电压：220V/电流：0.45A功率；75W/风量：1000m3/h/频率：50HZ/转速：1400r/min A型</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干式变压器冷却风机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GFDD470-150/电压：220V/电流：0.45A功率；75W/风量：1000m3/h/频率：50HZ/转速：1400r/min B型</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干式变压器温控器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型号：IB-Q201FIL/厂家：福建英诺科技</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隔离配电器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参照或者相当于HK-6044-PPAA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隔离栅</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参照或者相当于NHR-A32-14/14-0/0,4-20mA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隔离栅</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参照或者相当于MTL5516C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红外热像仪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海康微影（HIKMICRO）</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H10S单光（3.2英吋屏192*144）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机械限位开关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LX19-111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机械限位开关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参照或者相当于XCKN2108P20C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急停按钮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XA2ES542 急停按钮Ф40,1NC,红,旋转复位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急停按钮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XALK178G</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交流接触器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CJX2-2510 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交流接触器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施耐德</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LC1F400M7 AC220V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天正电气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TGC1-0910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NC1-18010Z 24VDC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NXC-09</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接近开关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奥托尼克斯</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PR30-15DP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接近开关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参照或者相当于CR30-15DP2，三线制，常闭型，电源10-30VDC，感应距离可调</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金属按钮开关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安装孔12MM  自复位开关  3A/250VAC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金属防水接头黄铜镀镍格兰头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M20*1.5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静电释放器球头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语音声光报警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明纬</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DRP-240-24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明纬</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EDR-120-24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明纬</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EDR-150-24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明纬</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LRS-35-24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明纬</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LRS-50-24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明纬</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S8FS-35024J</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参照或者相当于LRS-200-12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型号：NDR-240-24，220V转24VDC，240W，导轨式电源，材质：外壳304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型号：SE-1000-24，220V转24VDC，1500W，模块电源，螺丝固定</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型号：SE-1500-24，220V转24VDC，70A，1500W，模块电源，螺丝固定</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HDR-60-24,220V转24VDC，60W，导轨式电源,材质：外壳塑料</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型号：NDR-120-24，220V转24VDC，240W，导轨式电源，材质：外壳304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型号：SE-250-24，220V转24VDC，250W，模块电源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型号：SE-120-24，220V转24VDC，120W，模块电源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型号：LM75-23B24R2，220V转24VDC，75W，模块电源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型号：SE-120-12，220V转12VDC，120W，模块电源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开关柜动插件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型号：MGCT6B-3-160A 额定电流：160A 额定电压：1000V 采用标准：GB/T7251.12 JB/T10323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开关柜动插件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型号：MGCT6B-3-250A 额定电流：250A 额定电压：380V/690V 采用标准：GB/T7251.12 JB/T10323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开关柜动插件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MGCT6B-3-630A 额定电流：630A 额定电压：380/690V 采用标准:GB7251.1 JB/T10323 JB/T10263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开关柜静插件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型号：MGCZ6B-3-160A 额定电流：160A 额定电压：1000V 采用标准：GB/T7251.12 JB/T10323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开关柜静插件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型号：MGCZ6B-3-250A 额定电流：250A 额定电压：380V /690V 采用标准：GB/T7251.12 JB/T10323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开关柜静插件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MGCZ6B-3-630A 额定电流：630A 额定电压：380/690V 采用标准:GB7251.1 JB/T10323 JB/T10263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可逆直流接触器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ABB/rotork/施耐德</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型号：VBC6-30-01,直流线圈24VDC可逆控制，三级常开，辅助触点常闭，9A，功率4kw，银触点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C65N/3P 25A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C65N/2P 25A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C65H-DC 6A/2P 带辅助触点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德力西/正泰/人民电气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型号：NXB-63，C2A，2P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德力西/正泰/人民电气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型号：NXB-63，C6A，2P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德力西/正泰/人民电气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型号：NXB-63，C10A，2P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控制变压器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LDZ13500012.00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控制变压器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德力西/正泰/人民电气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NDK-50，50W，上下端子分布，220VAC输入，输出24VAC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控制变压器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德力西/正泰/人民电气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NDK-100，100W，上下端子分布，220VAC输入，输出24VAC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控制变压器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德力西/正泰/人民电气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BK-100，100W，上下端子分布，220V/380VAC输入，输出24V/36VAC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浪涌保护器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雷宇</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ALU3-C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路灯控制器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KG316T220XK AC220V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马达保护器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ARD2-1.6/C LED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马达保护器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ARD2-1.6/JM LED 报警输出,4-20mA输出</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马达保护器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ARD2-1.6/L</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马达保护器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ARD2-25/C LED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马达保护器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ARD2-25/JM LED 报警输出,4-20mA输出</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马达保护器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ARD2-6.3/C LED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马达保护器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ARD2-6.3/JM LED 报警输出,4-20mA输出</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蘑菇头按钮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XB5AS8445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型号：CBB61,两脚带线，1uf，耐压450V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型号：CBB61,两脚带线，1.2uf，耐压450V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型号：CBB61,两脚带线，1.5uf，耐压450V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型号：CBB61,两脚带线，2uf，耐压450V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型号：CBB61,两脚带线，2.5uf，耐压450V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型号：CBB61,两脚带线，3uf，耐压450V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型号：CBB61,两脚带线，3.5uf，耐压450V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型号：CBB61,两脚带线，5uf，耐压450V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型号：CBB61,两脚带线，6uf，耐压450V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型号：CBB61,两脚带线，8uf，耐压450V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起励二极管</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1N5408</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起励接触器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CJX4-2510Z-MD/DC220V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气缸</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SMC</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MDBB100-450JZ</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天正电气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TGR1-18</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NXR-25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JR36-20 1.5-2.4A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JR36-20 2.2-3.5A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JR36-20 3.2- 5A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JR36-20 4.5- 7.2A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JR36-20 6.8-11A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JR36-32 10-16A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JR36-20 14-22A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JR36-63 20-32A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三档旋钮开关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LA38-10（3挡自锁）</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三相多功能相位伏安表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胜利VC4300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DH48S-S</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DH48S-S 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天正电气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HHS13 220V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天正电气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HHS5F(ST3PF)</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天正电气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HHS5F(ST3PF) 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JS14A-/00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JSZ3A-B   AC220V 带底座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3RP15 40 断电延时0.5-10s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JSZ3A-B AC220V 带底座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时控开关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220v全自动微电脑kg316t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试验端子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UT 6-T-HV-P/P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室外防水电源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小耳朵/海康威视/大华</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型号：STD-TM24-12C，IP66，12V2A，dc线450mm，接口：5.5*2.1mm圆孔，ac线450mm，国标2脚插头，两头带线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室外防水电源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小耳朵/海康威视/大华</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型号：HMQ-Z12T-050200C，两头带线，各长0.5m，AC国标2脚插头，DC5.5*2.5mm圆孔</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数显表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天康</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TKXC701U 1AI+1AO,LCD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塑壳断路器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T5S 630PR221DS-LSI R630 3P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塑壳断路器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NM1-63S-3300 3P 63A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通信电源模块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艾默生/海康威视/雅达</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型号：DS460S-3-002，460W，12Vdc，插针抽屉式电源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通信整流模块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中恒</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型号：APR48-3G/ZH/220VDC 输入：200-240VDC 12A 输出：48.5V 35A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TGB1N-63 C3 1P 3A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TGB1N-63 C3 2P 3A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TGB1N-63 D25 3P 25A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DZ47-60 C5 1P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DZ47-60 C5 3P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DZ47-60 D10 3P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NXB-63 C10 2P 10A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NXB-63 D16 3P 16A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限位开关自复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V-156-1C25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限位开关自复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V-154-1C25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限位开关自复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V-151-1C25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限位开关自复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V-153-1C25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限位开关自复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V-152-1C25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限位开关自复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V-155-1C25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相序监控继电器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CM-PVS.41S</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小型圆形按钮开关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 复位开关  250V/2A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信号灯</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ADA22DW DC220V 白色</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信号灯</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ADA22DG DC220V 绿色</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信号灯</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ADA22DR DC220V 红色</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行程开关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ME-8112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行程开关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柱塞式，YBLX-K3/20S/Z</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行程开关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正泰/欧姆龙/德力西</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型号：YBLX-19/111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选择开关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XA2EJ33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选择开关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XA2ED33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选择开关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XA2EJ33+ZA2EE102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选择开关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XB2BD21C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一次进线罩</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型号：160A 与主回路动插件MGCT6B-3-160A 配套</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一次进线罩</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型号：250A 与主回路动插件MGCT6B-3-250A 配套</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一次进线罩</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型号：630A 与主回路动插件MGCT6B-3-630A 配套</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整流变压器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型号：ZLC-5/10.5 容量：5KVA 极性：Yd-11 相数：三相 频率：50HZ 额定电压：高压：10500V/低压：130V 额定电流：高压：0.27A/低压：22.21A 阻抗电压：3.9%</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1.27.4AC2 MKP 30uf ±5% 420V~30000h/class A 470V~10000h/class B</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CR-MX220-2 AC220V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TGJC1-54Z DC24V 四开四闭3A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天正电气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HHC68B-4Z</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JZX-22F/4Z 220VAC 3A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NFX-13FW(D)/2Z 24VDC 10A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NFX-13FW(D)/4ZS 24VDC 3A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RJ2S-CL-D12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MYNJ-D-24VDC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DRM270220LT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DRM570220LT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3TH4244-1XM4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中间继电器底座</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型号：P2RF-05-E；其它：5脚</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中间继电器底座</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型号：P2RF-08-E；其它：8脚</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LW39-16B-6JD-2212X/2P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LW39-16B-6AC-11/1P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LW39-16B-30B-101/1P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LW39-16B-B1-101/1P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Style w:val="35"/>
                <w:highlight w:val="none"/>
                <w:lang w:val="en-US" w:eastAsia="zh-CN" w:bidi="ar"/>
              </w:rPr>
              <w:t>型号：</w:t>
            </w:r>
            <w:r>
              <w:rPr>
                <w:rStyle w:val="36"/>
                <w:rFonts w:eastAsia="宋体"/>
                <w:highlight w:val="none"/>
                <w:lang w:val="en-US" w:eastAsia="zh-CN" w:bidi="ar"/>
              </w:rPr>
              <w:t>LA38-22-11(</w:t>
            </w:r>
            <w:r>
              <w:rPr>
                <w:rStyle w:val="37"/>
                <w:highlight w:val="none"/>
                <w:lang w:val="en-US" w:eastAsia="zh-CN" w:bidi="ar"/>
              </w:rPr>
              <w:t>三挡</w:t>
            </w:r>
            <w:r>
              <w:rPr>
                <w:rStyle w:val="36"/>
                <w:rFonts w:eastAsia="宋体"/>
                <w:highlight w:val="none"/>
                <w:lang w:val="en-US" w:eastAsia="zh-CN" w:bidi="ar"/>
              </w:rPr>
              <w:t>)</w:t>
            </w:r>
            <w:r>
              <w:rPr>
                <w:rStyle w:val="37"/>
                <w:highlight w:val="none"/>
                <w:lang w:val="en-US" w:eastAsia="zh-CN" w:bidi="ar"/>
              </w:rPr>
              <w:t>；参数：一常开一常闭</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bl>
    <w:p>
      <w:pPr>
        <w:pStyle w:val="7"/>
        <w:shd w:val="clear"/>
        <w:ind w:firstLine="480" w:firstLineChars="200"/>
        <w:rPr>
          <w:highlight w:val="none"/>
          <w:lang w:val="en-US"/>
        </w:rPr>
      </w:pPr>
      <w:r>
        <w:rPr>
          <w:rFonts w:hint="eastAsia" w:cs="仿宋" w:asciiTheme="minorEastAsia" w:hAnsiTheme="minorEastAsia"/>
          <w:kern w:val="0"/>
          <w:highlight w:val="none"/>
        </w:rPr>
        <w:t>▲</w:t>
      </w:r>
      <w:r>
        <w:rPr>
          <w:rFonts w:hint="eastAsia"/>
          <w:b/>
          <w:bCs/>
          <w:highlight w:val="none"/>
          <w:lang w:val="en-US"/>
        </w:rPr>
        <w:t>二、合同期限</w:t>
      </w:r>
      <w:r>
        <w:rPr>
          <w:rFonts w:hint="eastAsia"/>
          <w:highlight w:val="none"/>
          <w:lang w:val="en-US"/>
        </w:rPr>
        <w:t>：</w:t>
      </w:r>
      <w:r>
        <w:rPr>
          <w:rFonts w:hint="eastAsia"/>
          <w:highlight w:val="none"/>
          <w:lang w:val="en-US" w:eastAsia="zh-CN"/>
        </w:rPr>
        <w:t xml:space="preserve"> 自合同签订后1年</w:t>
      </w:r>
      <w:r>
        <w:rPr>
          <w:rFonts w:hint="eastAsia"/>
          <w:highlight w:val="none"/>
          <w:lang w:val="en-US"/>
        </w:rPr>
        <w:t>；</w:t>
      </w:r>
    </w:p>
    <w:p>
      <w:pPr>
        <w:pStyle w:val="7"/>
        <w:shd w:val="clear"/>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三、技术、质量要求</w:t>
      </w:r>
    </w:p>
    <w:p>
      <w:pPr>
        <w:pStyle w:val="7"/>
        <w:shd w:val="clear"/>
        <w:ind w:firstLine="480" w:firstLineChars="200"/>
        <w:rPr>
          <w:highlight w:val="none"/>
          <w:lang w:val="en-US"/>
        </w:rPr>
      </w:pPr>
      <w:r>
        <w:rPr>
          <w:rFonts w:hint="eastAsia"/>
          <w:highlight w:val="none"/>
          <w:lang w:val="en-US"/>
        </w:rPr>
        <w:t>1.品牌和型号等技术参数满足采购内容中的规格型号/技术要求；</w:t>
      </w:r>
    </w:p>
    <w:p>
      <w:pPr>
        <w:pStyle w:val="7"/>
        <w:shd w:val="clear"/>
        <w:ind w:firstLine="480" w:firstLineChars="200"/>
        <w:rPr>
          <w:highlight w:val="none"/>
          <w:lang w:val="en-US"/>
        </w:rPr>
      </w:pPr>
      <w:r>
        <w:rPr>
          <w:rFonts w:hint="eastAsia"/>
          <w:highlight w:val="none"/>
          <w:lang w:val="en-US"/>
        </w:rPr>
        <w:t>2.</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货物</w:t>
      </w:r>
      <w:r>
        <w:rPr>
          <w:rFonts w:hint="eastAsia"/>
          <w:highlight w:val="none"/>
          <w:lang w:val="en-US"/>
        </w:rPr>
        <w:t>必须为原厂正品，不得为假冒伪劣产品。</w:t>
      </w:r>
    </w:p>
    <w:p>
      <w:pPr>
        <w:pStyle w:val="7"/>
        <w:shd w:val="clear"/>
        <w:ind w:firstLine="480" w:firstLineChars="200"/>
        <w:rPr>
          <w:rFonts w:hint="default" w:eastAsiaTheme="minor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质保期：验收合格后1年。若质保期内出现质量问题（非质量问题除外），供应商负责免费更换，产生的费用全部由供应商承担。</w:t>
      </w:r>
    </w:p>
    <w:p>
      <w:pPr>
        <w:pStyle w:val="7"/>
        <w:shd w:val="clear"/>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四、验收方式</w:t>
      </w:r>
    </w:p>
    <w:p>
      <w:pPr>
        <w:pStyle w:val="7"/>
        <w:numPr>
          <w:ilvl w:val="0"/>
          <w:numId w:val="1"/>
        </w:numPr>
        <w:shd w:val="clear"/>
        <w:ind w:firstLine="480" w:firstLineChars="200"/>
        <w:rPr>
          <w:rFonts w:hint="eastAsia"/>
          <w:color w:val="auto"/>
          <w:highlight w:val="none"/>
          <w:lang w:val="en-US" w:eastAsia="zh-CN"/>
        </w:rPr>
      </w:pPr>
      <w:r>
        <w:rPr>
          <w:rFonts w:hint="eastAsia"/>
          <w:highlight w:val="none"/>
          <w:lang w:val="en-US" w:eastAsia="zh-CN"/>
        </w:rPr>
        <w:t>供应商</w:t>
      </w:r>
      <w:r>
        <w:rPr>
          <w:rFonts w:hint="eastAsia"/>
          <w:highlight w:val="none"/>
          <w:lang w:val="en-US"/>
        </w:rPr>
        <w:t>须提供该</w:t>
      </w:r>
      <w:r>
        <w:rPr>
          <w:rFonts w:hint="eastAsia"/>
          <w:highlight w:val="none"/>
          <w:lang w:val="en-US" w:eastAsia="zh-CN"/>
        </w:rPr>
        <w:t>批次货物生产厂家的出厂检</w:t>
      </w:r>
      <w:r>
        <w:rPr>
          <w:rFonts w:hint="eastAsia"/>
          <w:color w:val="auto"/>
          <w:highlight w:val="none"/>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7"/>
        <w:shd w:val="clear"/>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7"/>
        <w:shd w:val="clear"/>
        <w:ind w:firstLine="480" w:firstLineChars="200"/>
        <w:rPr>
          <w:highlight w:val="none"/>
          <w:lang w:val="en-US"/>
        </w:rPr>
      </w:pPr>
      <w:r>
        <w:rPr>
          <w:rFonts w:hint="eastAsia"/>
          <w:highlight w:val="none"/>
          <w:lang w:val="en-US"/>
        </w:rPr>
        <w:t>根据采购人生产计划，</w:t>
      </w:r>
      <w:r>
        <w:rPr>
          <w:rFonts w:hint="eastAsia"/>
          <w:highlight w:val="none"/>
          <w:lang w:val="en-US" w:eastAsia="zh-CN"/>
        </w:rPr>
        <w:t>按需供货，</w:t>
      </w:r>
      <w:r>
        <w:rPr>
          <w:rFonts w:hint="eastAsia"/>
          <w:color w:val="auto"/>
          <w:highlight w:val="none"/>
          <w:lang w:val="en-US" w:eastAsia="zh-CN"/>
        </w:rPr>
        <w:t>供应</w:t>
      </w:r>
      <w:r>
        <w:rPr>
          <w:rFonts w:hint="eastAsia"/>
          <w:highlight w:val="none"/>
          <w:lang w:val="en-US" w:eastAsia="zh-CN"/>
        </w:rPr>
        <w:t>商</w:t>
      </w:r>
      <w:r>
        <w:rPr>
          <w:rFonts w:hint="eastAsia"/>
          <w:highlight w:val="none"/>
          <w:lang w:val="en-US"/>
        </w:rPr>
        <w:t>负责在接到采购人电话或书面通知后在</w:t>
      </w:r>
      <w:r>
        <w:rPr>
          <w:rFonts w:hint="eastAsia"/>
          <w:highlight w:val="none"/>
          <w:lang w:val="en-US" w:eastAsia="zh-CN"/>
        </w:rPr>
        <w:t>15个工作日内完成供货</w:t>
      </w:r>
      <w:r>
        <w:rPr>
          <w:rFonts w:hint="eastAsia"/>
          <w:highlight w:val="none"/>
          <w:lang w:val="en-US"/>
        </w:rPr>
        <w:t>。</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pPr>
        <w:pStyle w:val="7"/>
        <w:shd w:val="clear"/>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8"/>
        <w:shd w:val="clear"/>
        <w:ind w:firstLine="480" w:firstLineChars="200"/>
        <w:rPr>
          <w:highlight w:val="none"/>
          <w:lang w:val="en-US"/>
        </w:rPr>
      </w:pPr>
      <w:r>
        <w:rPr>
          <w:rFonts w:hint="eastAsia"/>
          <w:highlight w:val="none"/>
          <w:lang w:val="en-US"/>
        </w:rPr>
        <w:t>以本询价采购文件中的合同条款为准。</w:t>
      </w:r>
    </w:p>
    <w:p>
      <w:pPr>
        <w:pStyle w:val="7"/>
        <w:shd w:val="clear"/>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7"/>
        <w:shd w:val="clear"/>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采购人通知后必须4小时内赶到现场进行处理，12小时内做出书面答复并提供解决方案。若需要派遣技术人员，则应在接到采购人通知后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7"/>
        <w:shd w:val="clear"/>
        <w:ind w:firstLine="480" w:firstLineChars="200"/>
        <w:rPr>
          <w:rFonts w:hint="eastAsia" w:ascii="宋体"/>
          <w:highlight w:val="none"/>
          <w:lang w:val="en-US"/>
        </w:rPr>
      </w:pPr>
      <w:r>
        <w:rPr>
          <w:rFonts w:hint="eastAsia" w:ascii="宋体"/>
          <w:highlight w:val="none"/>
          <w:lang w:val="en-US"/>
        </w:rPr>
        <w:t>2.采购人不再对任何售后服务进行付费。</w:t>
      </w:r>
      <w:r>
        <w:rPr>
          <w:rFonts w:hint="eastAsia" w:ascii="宋体"/>
          <w:highlight w:val="none"/>
          <w:lang w:val="en-US" w:eastAsia="zh-CN"/>
        </w:rPr>
        <w:t>供应商</w:t>
      </w:r>
      <w:r>
        <w:rPr>
          <w:rFonts w:hint="eastAsia" w:ascii="宋体"/>
          <w:highlight w:val="none"/>
          <w:lang w:val="en-US"/>
        </w:rPr>
        <w:t>的派遣人员产生的一切费用由供应商承担。</w:t>
      </w:r>
    </w:p>
    <w:p>
      <w:pPr>
        <w:pStyle w:val="7"/>
        <w:shd w:val="clear"/>
        <w:ind w:firstLine="480" w:firstLineChars="200"/>
        <w:rPr>
          <w:rFonts w:hint="eastAsia" w:ascii="宋体"/>
          <w:highlight w:val="none"/>
          <w:lang w:val="en-US"/>
        </w:rPr>
      </w:pPr>
      <w:r>
        <w:rPr>
          <w:rFonts w:hint="eastAsia" w:ascii="宋体"/>
          <w:highlight w:val="none"/>
          <w:lang w:val="en-US"/>
        </w:rPr>
        <w:t>3.在设备使用过程中，因产品质量问题给他机械设备造成故障或货物损坏，由供应商承担采购人的一切损失，包括直接和间接损失。</w:t>
      </w:r>
    </w:p>
    <w:p>
      <w:pPr>
        <w:pStyle w:val="2"/>
        <w:shd w:val="clear"/>
        <w:rPr>
          <w:highlight w:val="none"/>
        </w:rPr>
      </w:pPr>
    </w:p>
    <w:p>
      <w:pPr>
        <w:shd w:val="clear"/>
        <w:spacing w:line="460" w:lineRule="exact"/>
        <w:jc w:val="center"/>
        <w:rPr>
          <w:rFonts w:cs="仿宋" w:asciiTheme="minorEastAsia" w:hAnsiTheme="minorEastAsia"/>
          <w:b/>
          <w:sz w:val="36"/>
          <w:szCs w:val="36"/>
          <w:highlight w:val="none"/>
        </w:rPr>
      </w:pPr>
    </w:p>
    <w:p>
      <w:pPr>
        <w:shd w:val="clea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10281"/>
      <w:bookmarkEnd w:id="19"/>
      <w:bookmarkStart w:id="20" w:name="_Toc184312116"/>
      <w:bookmarkEnd w:id="20"/>
      <w:bookmarkStart w:id="21" w:name="_Toc184314470"/>
      <w:bookmarkEnd w:id="21"/>
      <w:bookmarkStart w:id="22" w:name="_Toc184314452"/>
      <w:bookmarkEnd w:id="22"/>
      <w:bookmarkStart w:id="23" w:name="_Toc184310316"/>
      <w:bookmarkEnd w:id="23"/>
      <w:bookmarkStart w:id="24" w:name="_Toc184308106"/>
      <w:bookmarkEnd w:id="24"/>
      <w:bookmarkStart w:id="25" w:name="_Toc184313305"/>
      <w:bookmarkEnd w:id="25"/>
      <w:bookmarkStart w:id="26" w:name="_Toc184312109"/>
      <w:bookmarkEnd w:id="26"/>
      <w:bookmarkStart w:id="27" w:name="_Toc184310287"/>
      <w:bookmarkEnd w:id="27"/>
      <w:bookmarkStart w:id="28" w:name="_Toc184308036"/>
      <w:bookmarkEnd w:id="28"/>
      <w:bookmarkStart w:id="29" w:name="_Toc184310304"/>
      <w:bookmarkEnd w:id="29"/>
      <w:bookmarkStart w:id="30" w:name="_Toc184308050"/>
      <w:bookmarkEnd w:id="30"/>
      <w:bookmarkStart w:id="31" w:name="_Toc184312136"/>
      <w:bookmarkEnd w:id="31"/>
      <w:bookmarkStart w:id="32" w:name="_Toc184308062"/>
      <w:bookmarkEnd w:id="32"/>
      <w:bookmarkStart w:id="33" w:name="_Toc184314444"/>
      <w:bookmarkEnd w:id="33"/>
      <w:bookmarkStart w:id="34" w:name="_Toc184308055"/>
      <w:bookmarkEnd w:id="34"/>
      <w:bookmarkStart w:id="35" w:name="_Toc184314476"/>
      <w:bookmarkEnd w:id="35"/>
      <w:bookmarkStart w:id="36" w:name="_Toc184310278"/>
      <w:bookmarkEnd w:id="36"/>
      <w:bookmarkStart w:id="37" w:name="_Toc184313250"/>
      <w:bookmarkEnd w:id="37"/>
      <w:bookmarkStart w:id="38" w:name="_Toc184308065"/>
      <w:bookmarkEnd w:id="38"/>
      <w:bookmarkStart w:id="39" w:name="_Toc184310299"/>
      <w:bookmarkEnd w:id="39"/>
      <w:bookmarkStart w:id="40" w:name="_Toc184312087"/>
      <w:bookmarkEnd w:id="40"/>
      <w:bookmarkStart w:id="41" w:name="_Toc184312093"/>
      <w:bookmarkEnd w:id="41"/>
      <w:bookmarkStart w:id="42" w:name="_Toc184308088"/>
      <w:bookmarkEnd w:id="42"/>
      <w:bookmarkStart w:id="43" w:name="_Toc184312073"/>
      <w:bookmarkEnd w:id="43"/>
      <w:bookmarkStart w:id="44" w:name="_Toc184314478"/>
      <w:bookmarkEnd w:id="44"/>
      <w:bookmarkStart w:id="45" w:name="_Toc184314465"/>
      <w:bookmarkEnd w:id="45"/>
      <w:bookmarkStart w:id="46" w:name="_Toc184312092"/>
      <w:bookmarkEnd w:id="46"/>
      <w:bookmarkStart w:id="47" w:name="_Toc184312111"/>
      <w:bookmarkEnd w:id="47"/>
      <w:bookmarkStart w:id="48" w:name="_Toc184314431"/>
      <w:bookmarkEnd w:id="48"/>
      <w:bookmarkStart w:id="49" w:name="_Toc184313266"/>
      <w:bookmarkEnd w:id="49"/>
      <w:bookmarkStart w:id="50" w:name="_Toc184310332"/>
      <w:bookmarkEnd w:id="50"/>
      <w:bookmarkStart w:id="51" w:name="_Toc184314479"/>
      <w:bookmarkEnd w:id="51"/>
      <w:bookmarkStart w:id="52" w:name="_Toc184312081"/>
      <w:bookmarkEnd w:id="52"/>
      <w:bookmarkStart w:id="53" w:name="_Toc184310286"/>
      <w:bookmarkEnd w:id="53"/>
      <w:bookmarkStart w:id="54" w:name="_Toc184310301"/>
      <w:bookmarkEnd w:id="54"/>
      <w:bookmarkStart w:id="55" w:name="_Toc184312098"/>
      <w:bookmarkEnd w:id="55"/>
      <w:bookmarkStart w:id="56" w:name="_Toc184313281"/>
      <w:bookmarkEnd w:id="56"/>
      <w:bookmarkStart w:id="57" w:name="_Toc184308037"/>
      <w:bookmarkEnd w:id="57"/>
      <w:bookmarkStart w:id="58" w:name="_Toc184312102"/>
      <w:bookmarkEnd w:id="58"/>
      <w:bookmarkStart w:id="59" w:name="_Toc184308056"/>
      <w:bookmarkEnd w:id="59"/>
      <w:bookmarkStart w:id="60" w:name="_Toc184314440"/>
      <w:bookmarkEnd w:id="60"/>
      <w:bookmarkStart w:id="61" w:name="_Toc184312110"/>
      <w:bookmarkEnd w:id="61"/>
      <w:bookmarkStart w:id="62" w:name="_Toc184313248"/>
      <w:bookmarkEnd w:id="62"/>
      <w:bookmarkStart w:id="63" w:name="_Toc184314461"/>
      <w:bookmarkEnd w:id="63"/>
      <w:bookmarkStart w:id="64" w:name="_Toc184313280"/>
      <w:bookmarkEnd w:id="64"/>
      <w:bookmarkStart w:id="65" w:name="_Toc184312090"/>
      <w:bookmarkEnd w:id="65"/>
      <w:bookmarkStart w:id="66" w:name="_Toc184310283"/>
      <w:bookmarkEnd w:id="66"/>
      <w:bookmarkStart w:id="67" w:name="_Toc184312074"/>
      <w:bookmarkEnd w:id="67"/>
      <w:bookmarkStart w:id="68" w:name="_Toc184313265"/>
      <w:bookmarkEnd w:id="68"/>
      <w:bookmarkStart w:id="69" w:name="_Toc184314430"/>
      <w:bookmarkEnd w:id="69"/>
      <w:bookmarkStart w:id="70" w:name="_Toc184312113"/>
      <w:bookmarkEnd w:id="70"/>
      <w:bookmarkStart w:id="71" w:name="_Toc184313275"/>
      <w:bookmarkEnd w:id="71"/>
      <w:bookmarkStart w:id="72" w:name="_Toc184313243"/>
      <w:bookmarkEnd w:id="72"/>
      <w:bookmarkStart w:id="73" w:name="_Toc184308075"/>
      <w:bookmarkEnd w:id="73"/>
      <w:bookmarkStart w:id="74" w:name="_Toc184313304"/>
      <w:bookmarkEnd w:id="74"/>
      <w:bookmarkStart w:id="75" w:name="_Toc184312077"/>
      <w:bookmarkEnd w:id="75"/>
      <w:bookmarkStart w:id="76" w:name="_Toc184308040"/>
      <w:bookmarkEnd w:id="76"/>
      <w:bookmarkStart w:id="77" w:name="_Toc184308108"/>
      <w:bookmarkEnd w:id="77"/>
      <w:bookmarkStart w:id="78" w:name="_Toc184313277"/>
      <w:bookmarkEnd w:id="78"/>
      <w:bookmarkStart w:id="79" w:name="_Toc184314422"/>
      <w:bookmarkEnd w:id="79"/>
      <w:bookmarkStart w:id="80" w:name="_Toc184310327"/>
      <w:bookmarkEnd w:id="80"/>
      <w:bookmarkStart w:id="81" w:name="_Toc184308083"/>
      <w:bookmarkEnd w:id="81"/>
      <w:bookmarkStart w:id="82" w:name="_Toc184308047"/>
      <w:bookmarkEnd w:id="82"/>
      <w:bookmarkStart w:id="83" w:name="_Toc184308104"/>
      <w:bookmarkEnd w:id="83"/>
      <w:bookmarkStart w:id="84" w:name="_Toc184313239"/>
      <w:bookmarkEnd w:id="84"/>
      <w:bookmarkStart w:id="85" w:name="_Toc184314457"/>
      <w:bookmarkEnd w:id="85"/>
      <w:bookmarkStart w:id="86" w:name="_Toc184314411"/>
      <w:bookmarkEnd w:id="86"/>
      <w:bookmarkStart w:id="87" w:name="_Toc184313269"/>
      <w:bookmarkEnd w:id="87"/>
      <w:bookmarkStart w:id="88" w:name="_Toc184308053"/>
      <w:bookmarkEnd w:id="88"/>
      <w:bookmarkStart w:id="89" w:name="_Toc184313262"/>
      <w:bookmarkEnd w:id="89"/>
      <w:bookmarkStart w:id="90" w:name="_Toc184310291"/>
      <w:bookmarkEnd w:id="90"/>
      <w:bookmarkStart w:id="91" w:name="_Toc184314481"/>
      <w:bookmarkEnd w:id="91"/>
      <w:bookmarkStart w:id="92" w:name="_Toc184312067"/>
      <w:bookmarkEnd w:id="92"/>
      <w:bookmarkStart w:id="93" w:name="_Toc184313300"/>
      <w:bookmarkEnd w:id="93"/>
      <w:bookmarkStart w:id="94" w:name="_Toc184310277"/>
      <w:bookmarkEnd w:id="94"/>
      <w:bookmarkStart w:id="95" w:name="_Toc184308060"/>
      <w:bookmarkEnd w:id="95"/>
      <w:bookmarkStart w:id="96" w:name="_Toc184310290"/>
      <w:bookmarkEnd w:id="96"/>
      <w:bookmarkStart w:id="97" w:name="_Toc184313259"/>
      <w:bookmarkEnd w:id="97"/>
      <w:bookmarkStart w:id="98" w:name="_Toc184313278"/>
      <w:bookmarkEnd w:id="98"/>
      <w:bookmarkStart w:id="99" w:name="_Toc184313286"/>
      <w:bookmarkEnd w:id="99"/>
      <w:bookmarkStart w:id="100" w:name="_Toc184314464"/>
      <w:bookmarkEnd w:id="100"/>
      <w:bookmarkStart w:id="101" w:name="_Toc184308071"/>
      <w:bookmarkEnd w:id="101"/>
      <w:bookmarkStart w:id="102" w:name="_Toc184314432"/>
      <w:bookmarkEnd w:id="102"/>
      <w:bookmarkStart w:id="103" w:name="_Toc184310336"/>
      <w:bookmarkEnd w:id="103"/>
      <w:bookmarkStart w:id="104" w:name="_Toc184312123"/>
      <w:bookmarkEnd w:id="104"/>
      <w:bookmarkStart w:id="105" w:name="_Toc184312103"/>
      <w:bookmarkEnd w:id="105"/>
      <w:bookmarkStart w:id="106" w:name="_Toc184308090"/>
      <w:bookmarkEnd w:id="106"/>
      <w:bookmarkStart w:id="107" w:name="_Toc184314426"/>
      <w:bookmarkEnd w:id="107"/>
      <w:bookmarkStart w:id="108" w:name="_Toc184308097"/>
      <w:bookmarkEnd w:id="108"/>
      <w:bookmarkStart w:id="109" w:name="_Toc184313310"/>
      <w:bookmarkEnd w:id="109"/>
      <w:bookmarkStart w:id="110" w:name="_Toc184310298"/>
      <w:bookmarkEnd w:id="110"/>
      <w:bookmarkStart w:id="111" w:name="_Toc184313290"/>
      <w:bookmarkEnd w:id="111"/>
      <w:bookmarkStart w:id="112" w:name="_Toc184308064"/>
      <w:bookmarkEnd w:id="112"/>
      <w:bookmarkStart w:id="113" w:name="_Toc184313295"/>
      <w:bookmarkEnd w:id="113"/>
      <w:bookmarkStart w:id="114" w:name="_Toc184310342"/>
      <w:bookmarkEnd w:id="114"/>
      <w:bookmarkStart w:id="115" w:name="_Toc184313292"/>
      <w:bookmarkEnd w:id="115"/>
      <w:bookmarkStart w:id="116" w:name="_Toc184312133"/>
      <w:bookmarkEnd w:id="116"/>
      <w:bookmarkStart w:id="117" w:name="_Toc184313301"/>
      <w:bookmarkEnd w:id="117"/>
      <w:bookmarkStart w:id="118" w:name="_Toc184313253"/>
      <w:bookmarkEnd w:id="118"/>
      <w:bookmarkStart w:id="119" w:name="_Toc184312117"/>
      <w:bookmarkEnd w:id="119"/>
      <w:bookmarkStart w:id="120" w:name="_Toc184314428"/>
      <w:bookmarkEnd w:id="120"/>
      <w:bookmarkStart w:id="121" w:name="_Toc184312082"/>
      <w:bookmarkEnd w:id="121"/>
      <w:bookmarkStart w:id="122" w:name="_Toc184310279"/>
      <w:bookmarkEnd w:id="122"/>
      <w:bookmarkStart w:id="123" w:name="_Toc184308102"/>
      <w:bookmarkEnd w:id="123"/>
      <w:bookmarkStart w:id="124" w:name="_Toc184310275"/>
      <w:bookmarkEnd w:id="124"/>
      <w:bookmarkStart w:id="125" w:name="_Toc184312127"/>
      <w:bookmarkEnd w:id="125"/>
      <w:bookmarkStart w:id="126" w:name="_Toc184308107"/>
      <w:bookmarkEnd w:id="126"/>
      <w:bookmarkStart w:id="127" w:name="_Toc184314458"/>
      <w:bookmarkEnd w:id="127"/>
      <w:bookmarkStart w:id="128" w:name="_Toc184313291"/>
      <w:bookmarkEnd w:id="128"/>
      <w:bookmarkStart w:id="129" w:name="_Toc184314443"/>
      <w:bookmarkEnd w:id="129"/>
      <w:bookmarkStart w:id="130" w:name="_Toc184312129"/>
      <w:bookmarkEnd w:id="130"/>
      <w:bookmarkStart w:id="131" w:name="_Toc184312095"/>
      <w:bookmarkEnd w:id="131"/>
      <w:bookmarkStart w:id="132" w:name="_Toc184314467"/>
      <w:bookmarkEnd w:id="132"/>
      <w:bookmarkStart w:id="133" w:name="_Toc184312083"/>
      <w:bookmarkEnd w:id="133"/>
      <w:bookmarkStart w:id="134" w:name="_Toc184312085"/>
      <w:bookmarkEnd w:id="134"/>
      <w:bookmarkStart w:id="135" w:name="_Toc184313240"/>
      <w:bookmarkEnd w:id="135"/>
      <w:bookmarkStart w:id="136" w:name="_Toc184312089"/>
      <w:bookmarkEnd w:id="136"/>
      <w:bookmarkStart w:id="137" w:name="_Toc184314450"/>
      <w:bookmarkEnd w:id="137"/>
      <w:bookmarkStart w:id="138" w:name="_Toc184312125"/>
      <w:bookmarkEnd w:id="138"/>
      <w:bookmarkStart w:id="139" w:name="_Toc184313260"/>
      <w:bookmarkEnd w:id="139"/>
      <w:bookmarkStart w:id="140" w:name="_Toc184310319"/>
      <w:bookmarkEnd w:id="140"/>
      <w:bookmarkStart w:id="141" w:name="_Toc184310306"/>
      <w:bookmarkEnd w:id="141"/>
      <w:bookmarkStart w:id="142" w:name="_Toc184314442"/>
      <w:bookmarkEnd w:id="142"/>
      <w:bookmarkStart w:id="143" w:name="_Toc184314473"/>
      <w:bookmarkEnd w:id="143"/>
      <w:bookmarkStart w:id="144" w:name="_Toc184308103"/>
      <w:bookmarkEnd w:id="144"/>
      <w:bookmarkStart w:id="145" w:name="_Toc184314449"/>
      <w:bookmarkEnd w:id="145"/>
      <w:bookmarkStart w:id="146" w:name="_Toc184312120"/>
      <w:bookmarkEnd w:id="146"/>
      <w:bookmarkStart w:id="147" w:name="_Toc184308068"/>
      <w:bookmarkEnd w:id="147"/>
      <w:bookmarkStart w:id="148" w:name="_Toc184312069"/>
      <w:bookmarkEnd w:id="148"/>
      <w:bookmarkStart w:id="149" w:name="_Toc184308080"/>
      <w:bookmarkEnd w:id="149"/>
      <w:bookmarkStart w:id="150" w:name="_Toc184308043"/>
      <w:bookmarkEnd w:id="150"/>
      <w:bookmarkStart w:id="151" w:name="_Toc184314466"/>
      <w:bookmarkEnd w:id="151"/>
      <w:bookmarkStart w:id="152" w:name="_Toc184312079"/>
      <w:bookmarkEnd w:id="152"/>
      <w:bookmarkStart w:id="153" w:name="_Toc184312078"/>
      <w:bookmarkEnd w:id="153"/>
      <w:bookmarkStart w:id="154" w:name="_Toc184310323"/>
      <w:bookmarkEnd w:id="154"/>
      <w:bookmarkStart w:id="155" w:name="_Toc184313306"/>
      <w:bookmarkEnd w:id="155"/>
      <w:bookmarkStart w:id="156" w:name="_Toc184314427"/>
      <w:bookmarkEnd w:id="156"/>
      <w:bookmarkStart w:id="157" w:name="_Toc184313288"/>
      <w:bookmarkEnd w:id="157"/>
      <w:bookmarkStart w:id="158" w:name="_Toc184308094"/>
      <w:bookmarkEnd w:id="158"/>
      <w:bookmarkStart w:id="159" w:name="_Toc184310318"/>
      <w:bookmarkEnd w:id="159"/>
      <w:bookmarkStart w:id="160" w:name="_Toc184313285"/>
      <w:bookmarkEnd w:id="160"/>
      <w:bookmarkStart w:id="161" w:name="_Toc184312070"/>
      <w:bookmarkEnd w:id="161"/>
      <w:bookmarkStart w:id="162" w:name="_Toc184310300"/>
      <w:bookmarkEnd w:id="162"/>
      <w:bookmarkStart w:id="163" w:name="_Toc184308041"/>
      <w:bookmarkEnd w:id="163"/>
      <w:bookmarkStart w:id="164" w:name="_Toc184313238"/>
      <w:bookmarkEnd w:id="164"/>
      <w:bookmarkStart w:id="165" w:name="_Toc184314434"/>
      <w:bookmarkEnd w:id="165"/>
      <w:bookmarkStart w:id="166" w:name="_Toc184308081"/>
      <w:bookmarkEnd w:id="166"/>
      <w:bookmarkStart w:id="167" w:name="_Toc184314435"/>
      <w:bookmarkEnd w:id="167"/>
      <w:bookmarkStart w:id="168" w:name="_Toc184313261"/>
      <w:bookmarkEnd w:id="168"/>
      <w:bookmarkStart w:id="169" w:name="_Toc184308044"/>
      <w:bookmarkEnd w:id="169"/>
      <w:bookmarkStart w:id="170" w:name="_Toc184312084"/>
      <w:bookmarkEnd w:id="170"/>
      <w:bookmarkStart w:id="171" w:name="_Toc184314472"/>
      <w:bookmarkEnd w:id="171"/>
      <w:bookmarkStart w:id="172" w:name="_Toc184308066"/>
      <w:bookmarkEnd w:id="172"/>
      <w:bookmarkStart w:id="173" w:name="_Toc184312114"/>
      <w:bookmarkEnd w:id="173"/>
      <w:bookmarkStart w:id="174" w:name="_Toc184313252"/>
      <w:bookmarkEnd w:id="174"/>
      <w:bookmarkStart w:id="175" w:name="_Toc184313257"/>
      <w:bookmarkEnd w:id="175"/>
      <w:bookmarkStart w:id="176" w:name="_Toc184308093"/>
      <w:bookmarkEnd w:id="176"/>
      <w:bookmarkStart w:id="177" w:name="_Toc184312139"/>
      <w:bookmarkEnd w:id="177"/>
      <w:bookmarkStart w:id="178" w:name="_Toc184314475"/>
      <w:bookmarkEnd w:id="178"/>
      <w:bookmarkStart w:id="179" w:name="_Toc184310295"/>
      <w:bookmarkEnd w:id="179"/>
      <w:bookmarkStart w:id="180" w:name="_Toc184314436"/>
      <w:bookmarkEnd w:id="180"/>
      <w:bookmarkStart w:id="181" w:name="_Toc184313296"/>
      <w:bookmarkEnd w:id="181"/>
      <w:bookmarkStart w:id="182" w:name="_Toc184313264"/>
      <w:bookmarkEnd w:id="182"/>
      <w:bookmarkStart w:id="183" w:name="_Toc184314419"/>
      <w:bookmarkEnd w:id="183"/>
      <w:bookmarkStart w:id="184" w:name="_Toc184310322"/>
      <w:bookmarkEnd w:id="184"/>
      <w:bookmarkStart w:id="185" w:name="_Toc184310321"/>
      <w:bookmarkEnd w:id="185"/>
      <w:bookmarkStart w:id="186" w:name="_Toc184314424"/>
      <w:bookmarkEnd w:id="186"/>
      <w:bookmarkStart w:id="187" w:name="_Toc184314416"/>
      <w:bookmarkEnd w:id="187"/>
      <w:bookmarkStart w:id="188" w:name="_Toc184312118"/>
      <w:bookmarkEnd w:id="188"/>
      <w:bookmarkStart w:id="189" w:name="_Toc184312126"/>
      <w:bookmarkEnd w:id="189"/>
      <w:bookmarkStart w:id="190" w:name="_Toc184310335"/>
      <w:bookmarkEnd w:id="190"/>
      <w:bookmarkStart w:id="191" w:name="_Toc184308096"/>
      <w:bookmarkEnd w:id="191"/>
      <w:bookmarkStart w:id="192" w:name="_Toc184314441"/>
      <w:bookmarkEnd w:id="192"/>
      <w:bookmarkStart w:id="193" w:name="_Toc184310302"/>
      <w:bookmarkEnd w:id="193"/>
      <w:bookmarkStart w:id="194" w:name="_Toc184308100"/>
      <w:bookmarkEnd w:id="194"/>
      <w:bookmarkStart w:id="195" w:name="_Toc184308101"/>
      <w:bookmarkEnd w:id="195"/>
      <w:bookmarkStart w:id="196" w:name="_Toc184310303"/>
      <w:bookmarkEnd w:id="196"/>
      <w:bookmarkStart w:id="197" w:name="_Toc184312075"/>
      <w:bookmarkEnd w:id="197"/>
      <w:bookmarkStart w:id="198" w:name="_Toc184310337"/>
      <w:bookmarkEnd w:id="198"/>
      <w:bookmarkStart w:id="199" w:name="_Toc184308052"/>
      <w:bookmarkEnd w:id="199"/>
      <w:bookmarkStart w:id="200" w:name="_Toc184312108"/>
      <w:bookmarkEnd w:id="200"/>
      <w:bookmarkStart w:id="201" w:name="_Toc184313299"/>
      <w:bookmarkEnd w:id="201"/>
      <w:bookmarkStart w:id="202" w:name="_Toc184313271"/>
      <w:bookmarkEnd w:id="202"/>
      <w:bookmarkStart w:id="203" w:name="_Toc184313272"/>
      <w:bookmarkEnd w:id="203"/>
      <w:bookmarkStart w:id="204" w:name="_Toc184314439"/>
      <w:bookmarkEnd w:id="204"/>
      <w:bookmarkStart w:id="205" w:name="_Toc184308067"/>
      <w:bookmarkEnd w:id="205"/>
      <w:bookmarkStart w:id="206" w:name="_Toc184313302"/>
      <w:bookmarkEnd w:id="206"/>
      <w:bookmarkStart w:id="207" w:name="_Toc184308084"/>
      <w:bookmarkEnd w:id="207"/>
      <w:bookmarkStart w:id="208" w:name="_Toc184313298"/>
      <w:bookmarkEnd w:id="208"/>
      <w:bookmarkStart w:id="209" w:name="_Toc184312121"/>
      <w:bookmarkEnd w:id="209"/>
      <w:bookmarkStart w:id="210" w:name="_Toc184310341"/>
      <w:bookmarkEnd w:id="210"/>
      <w:bookmarkStart w:id="211" w:name="_Toc184310288"/>
      <w:bookmarkEnd w:id="211"/>
      <w:bookmarkStart w:id="212" w:name="_Toc184310312"/>
      <w:bookmarkEnd w:id="212"/>
      <w:bookmarkStart w:id="213" w:name="_Toc184308046"/>
      <w:bookmarkEnd w:id="213"/>
      <w:bookmarkStart w:id="214" w:name="_Toc184314437"/>
      <w:bookmarkEnd w:id="214"/>
      <w:bookmarkStart w:id="215" w:name="_Toc184313276"/>
      <w:bookmarkEnd w:id="215"/>
      <w:bookmarkStart w:id="216" w:name="_Toc184313251"/>
      <w:bookmarkEnd w:id="216"/>
      <w:bookmarkStart w:id="217" w:name="_Toc184313307"/>
      <w:bookmarkEnd w:id="217"/>
      <w:bookmarkStart w:id="218" w:name="_Toc184312128"/>
      <w:bookmarkEnd w:id="218"/>
      <w:bookmarkStart w:id="219" w:name="_Toc184313245"/>
      <w:bookmarkEnd w:id="219"/>
      <w:bookmarkStart w:id="220" w:name="_Toc184313284"/>
      <w:bookmarkEnd w:id="220"/>
      <w:bookmarkStart w:id="221" w:name="_Toc184313283"/>
      <w:bookmarkEnd w:id="221"/>
      <w:bookmarkStart w:id="222" w:name="_Toc184310331"/>
      <w:bookmarkEnd w:id="222"/>
      <w:bookmarkStart w:id="223" w:name="_Toc184313279"/>
      <w:bookmarkEnd w:id="223"/>
      <w:bookmarkStart w:id="224" w:name="_Toc184308070"/>
      <w:bookmarkEnd w:id="224"/>
      <w:bookmarkStart w:id="225" w:name="_Toc184308069"/>
      <w:bookmarkEnd w:id="225"/>
      <w:bookmarkStart w:id="226" w:name="_Toc184310309"/>
      <w:bookmarkEnd w:id="226"/>
      <w:bookmarkStart w:id="227" w:name="_Toc184312131"/>
      <w:bookmarkEnd w:id="227"/>
      <w:bookmarkStart w:id="228" w:name="_Toc184313254"/>
      <w:bookmarkEnd w:id="228"/>
      <w:bookmarkStart w:id="229" w:name="_Toc184314459"/>
      <w:bookmarkEnd w:id="229"/>
      <w:bookmarkStart w:id="230" w:name="_Toc184313297"/>
      <w:bookmarkEnd w:id="230"/>
      <w:bookmarkStart w:id="231" w:name="_Toc184313293"/>
      <w:bookmarkEnd w:id="231"/>
      <w:bookmarkStart w:id="232" w:name="_Toc184314468"/>
      <w:bookmarkEnd w:id="232"/>
      <w:bookmarkStart w:id="233" w:name="_Toc184314446"/>
      <w:bookmarkEnd w:id="233"/>
      <w:bookmarkStart w:id="234" w:name="_Toc184308105"/>
      <w:bookmarkEnd w:id="234"/>
      <w:bookmarkStart w:id="235" w:name="_Toc184314445"/>
      <w:bookmarkEnd w:id="235"/>
      <w:bookmarkStart w:id="236" w:name="_Toc184313270"/>
      <w:bookmarkEnd w:id="236"/>
      <w:bookmarkStart w:id="237" w:name="_Toc184310313"/>
      <w:bookmarkEnd w:id="237"/>
      <w:bookmarkStart w:id="238" w:name="_Toc184310296"/>
      <w:bookmarkEnd w:id="238"/>
      <w:bookmarkStart w:id="239" w:name="_Toc184312094"/>
      <w:bookmarkEnd w:id="239"/>
      <w:bookmarkStart w:id="240" w:name="_Toc184308089"/>
      <w:bookmarkEnd w:id="240"/>
      <w:bookmarkStart w:id="241" w:name="_Toc184310333"/>
      <w:bookmarkEnd w:id="241"/>
      <w:bookmarkStart w:id="242" w:name="_Toc184312080"/>
      <w:bookmarkEnd w:id="242"/>
      <w:bookmarkStart w:id="243" w:name="_Toc184313274"/>
      <w:bookmarkEnd w:id="243"/>
      <w:bookmarkStart w:id="244" w:name="_Toc184310344"/>
      <w:bookmarkEnd w:id="244"/>
      <w:bookmarkStart w:id="245" w:name="_Toc184308038"/>
      <w:bookmarkEnd w:id="245"/>
      <w:bookmarkStart w:id="246" w:name="_Toc184314456"/>
      <w:bookmarkEnd w:id="246"/>
      <w:bookmarkStart w:id="247" w:name="_Toc184308082"/>
      <w:bookmarkEnd w:id="247"/>
      <w:bookmarkStart w:id="248" w:name="_Toc184314414"/>
      <w:bookmarkEnd w:id="248"/>
      <w:bookmarkStart w:id="249" w:name="_Toc184314460"/>
      <w:bookmarkEnd w:id="249"/>
      <w:bookmarkStart w:id="250" w:name="_Toc184308086"/>
      <w:bookmarkEnd w:id="250"/>
      <w:bookmarkStart w:id="251" w:name="_Toc184312105"/>
      <w:bookmarkEnd w:id="251"/>
      <w:bookmarkStart w:id="252" w:name="_Toc184310308"/>
      <w:bookmarkEnd w:id="252"/>
      <w:bookmarkStart w:id="253" w:name="_Toc184314482"/>
      <w:bookmarkEnd w:id="253"/>
      <w:bookmarkStart w:id="254" w:name="_Toc184312122"/>
      <w:bookmarkEnd w:id="254"/>
      <w:bookmarkStart w:id="255" w:name="_Toc184314423"/>
      <w:bookmarkEnd w:id="255"/>
      <w:bookmarkStart w:id="256" w:name="_Toc184308099"/>
      <w:bookmarkEnd w:id="256"/>
      <w:bookmarkStart w:id="257" w:name="_Toc184310293"/>
      <w:bookmarkEnd w:id="257"/>
      <w:bookmarkStart w:id="258" w:name="_Toc184308061"/>
      <w:bookmarkEnd w:id="258"/>
      <w:bookmarkStart w:id="259" w:name="_Toc184312115"/>
      <w:bookmarkEnd w:id="259"/>
      <w:bookmarkStart w:id="260" w:name="_Toc184308087"/>
      <w:bookmarkEnd w:id="260"/>
      <w:bookmarkStart w:id="261" w:name="_Toc184313267"/>
      <w:bookmarkEnd w:id="261"/>
      <w:bookmarkStart w:id="262" w:name="_Toc184314455"/>
      <w:bookmarkEnd w:id="262"/>
      <w:bookmarkStart w:id="263" w:name="_Toc184310330"/>
      <w:bookmarkEnd w:id="263"/>
      <w:bookmarkStart w:id="264" w:name="_Toc184308076"/>
      <w:bookmarkEnd w:id="264"/>
      <w:bookmarkStart w:id="265" w:name="_Toc184310273"/>
      <w:bookmarkEnd w:id="265"/>
      <w:bookmarkStart w:id="266" w:name="_Toc184313255"/>
      <w:bookmarkEnd w:id="266"/>
      <w:bookmarkStart w:id="267" w:name="_Toc184308063"/>
      <w:bookmarkEnd w:id="267"/>
      <w:bookmarkStart w:id="268" w:name="_Toc184308077"/>
      <w:bookmarkEnd w:id="268"/>
      <w:bookmarkStart w:id="269" w:name="_Toc184312135"/>
      <w:bookmarkEnd w:id="269"/>
      <w:bookmarkStart w:id="270" w:name="_Toc184314451"/>
      <w:bookmarkEnd w:id="270"/>
      <w:bookmarkStart w:id="271" w:name="_Toc184310320"/>
      <w:bookmarkEnd w:id="271"/>
      <w:bookmarkStart w:id="272" w:name="_Toc184310305"/>
      <w:bookmarkEnd w:id="272"/>
      <w:bookmarkStart w:id="273" w:name="_Toc184314410"/>
      <w:bookmarkEnd w:id="273"/>
      <w:bookmarkStart w:id="274" w:name="_Toc184313309"/>
      <w:bookmarkEnd w:id="274"/>
      <w:bookmarkStart w:id="275" w:name="_Toc184313242"/>
      <w:bookmarkEnd w:id="275"/>
      <w:bookmarkStart w:id="276" w:name="_Toc184312076"/>
      <w:bookmarkEnd w:id="276"/>
      <w:bookmarkStart w:id="277" w:name="_Toc184313263"/>
      <w:bookmarkEnd w:id="277"/>
      <w:bookmarkStart w:id="278" w:name="_Toc184312101"/>
      <w:bookmarkEnd w:id="278"/>
      <w:bookmarkStart w:id="279" w:name="_Toc184314418"/>
      <w:bookmarkEnd w:id="279"/>
      <w:bookmarkStart w:id="280" w:name="_Toc184313256"/>
      <w:bookmarkEnd w:id="280"/>
      <w:bookmarkStart w:id="281" w:name="_Toc184310276"/>
      <w:bookmarkEnd w:id="281"/>
      <w:bookmarkStart w:id="282" w:name="_Toc184308057"/>
      <w:bookmarkEnd w:id="282"/>
      <w:bookmarkStart w:id="283" w:name="_Toc184313287"/>
      <w:bookmarkEnd w:id="283"/>
      <w:bookmarkStart w:id="284" w:name="_Toc184314448"/>
      <w:bookmarkEnd w:id="284"/>
      <w:bookmarkStart w:id="285" w:name="_Toc184314433"/>
      <w:bookmarkEnd w:id="285"/>
      <w:bookmarkStart w:id="286" w:name="_Toc184310272"/>
      <w:bookmarkEnd w:id="286"/>
      <w:bookmarkStart w:id="287" w:name="_Toc184312071"/>
      <w:bookmarkEnd w:id="287"/>
      <w:bookmarkStart w:id="288" w:name="_Toc184314413"/>
      <w:bookmarkEnd w:id="288"/>
      <w:bookmarkStart w:id="289" w:name="_Toc184310334"/>
      <w:bookmarkEnd w:id="289"/>
      <w:bookmarkStart w:id="290" w:name="_Toc184312130"/>
      <w:bookmarkEnd w:id="290"/>
      <w:bookmarkStart w:id="291" w:name="_Toc184312138"/>
      <w:bookmarkEnd w:id="291"/>
      <w:bookmarkStart w:id="292" w:name="_Toc184310274"/>
      <w:bookmarkEnd w:id="292"/>
      <w:bookmarkStart w:id="293" w:name="_Toc184313308"/>
      <w:bookmarkEnd w:id="293"/>
      <w:bookmarkStart w:id="294" w:name="_Toc184310317"/>
      <w:bookmarkEnd w:id="294"/>
      <w:bookmarkStart w:id="295" w:name="_Toc184310315"/>
      <w:bookmarkEnd w:id="295"/>
      <w:bookmarkStart w:id="296" w:name="_Toc184313247"/>
      <w:bookmarkEnd w:id="296"/>
      <w:bookmarkStart w:id="297" w:name="_Toc184308091"/>
      <w:bookmarkEnd w:id="297"/>
      <w:bookmarkStart w:id="298" w:name="_Toc184312134"/>
      <w:bookmarkEnd w:id="298"/>
      <w:bookmarkStart w:id="299" w:name="_Toc184313244"/>
      <w:bookmarkEnd w:id="299"/>
      <w:bookmarkStart w:id="300" w:name="_Toc184310311"/>
      <w:bookmarkEnd w:id="300"/>
      <w:bookmarkStart w:id="301" w:name="_Toc184312112"/>
      <w:bookmarkEnd w:id="301"/>
      <w:bookmarkStart w:id="302" w:name="_Toc184314429"/>
      <w:bookmarkEnd w:id="302"/>
      <w:bookmarkStart w:id="303" w:name="_Toc184314421"/>
      <w:bookmarkEnd w:id="303"/>
      <w:bookmarkStart w:id="304" w:name="_Toc184313246"/>
      <w:bookmarkEnd w:id="304"/>
      <w:bookmarkStart w:id="305" w:name="_Toc184308048"/>
      <w:bookmarkEnd w:id="305"/>
      <w:bookmarkStart w:id="306" w:name="_Toc184314412"/>
      <w:bookmarkEnd w:id="306"/>
      <w:bookmarkStart w:id="307" w:name="_Toc184312072"/>
      <w:bookmarkEnd w:id="307"/>
      <w:bookmarkStart w:id="308" w:name="_Toc184310329"/>
      <w:bookmarkEnd w:id="308"/>
      <w:bookmarkStart w:id="309" w:name="_Toc184308045"/>
      <w:bookmarkEnd w:id="309"/>
      <w:bookmarkStart w:id="310" w:name="_Toc184308085"/>
      <w:bookmarkEnd w:id="310"/>
      <w:bookmarkStart w:id="311" w:name="_Toc184314447"/>
      <w:bookmarkEnd w:id="311"/>
      <w:bookmarkStart w:id="312" w:name="_Toc184308058"/>
      <w:bookmarkEnd w:id="312"/>
      <w:bookmarkStart w:id="313" w:name="_Toc184312104"/>
      <w:bookmarkEnd w:id="313"/>
      <w:bookmarkStart w:id="314" w:name="_Toc184312137"/>
      <w:bookmarkEnd w:id="314"/>
      <w:bookmarkStart w:id="315" w:name="_Toc184308095"/>
      <w:bookmarkEnd w:id="315"/>
      <w:bookmarkStart w:id="316" w:name="_Toc184310328"/>
      <w:bookmarkEnd w:id="316"/>
      <w:bookmarkStart w:id="317" w:name="_Toc184312086"/>
      <w:bookmarkEnd w:id="317"/>
      <w:bookmarkStart w:id="318" w:name="_Toc184310280"/>
      <w:bookmarkEnd w:id="318"/>
      <w:bookmarkStart w:id="319" w:name="_Toc184312106"/>
      <w:bookmarkEnd w:id="319"/>
      <w:bookmarkStart w:id="320" w:name="_Toc184314480"/>
      <w:bookmarkEnd w:id="320"/>
      <w:bookmarkStart w:id="321" w:name="_Toc184313273"/>
      <w:bookmarkEnd w:id="321"/>
      <w:bookmarkStart w:id="322" w:name="_Toc184310285"/>
      <w:bookmarkEnd w:id="322"/>
      <w:bookmarkStart w:id="323" w:name="_Toc184312068"/>
      <w:bookmarkEnd w:id="323"/>
      <w:bookmarkStart w:id="324" w:name="_Toc184312132"/>
      <w:bookmarkEnd w:id="324"/>
      <w:bookmarkStart w:id="325" w:name="_Toc184312088"/>
      <w:bookmarkEnd w:id="325"/>
      <w:bookmarkStart w:id="326" w:name="_Toc184308092"/>
      <w:bookmarkEnd w:id="326"/>
      <w:bookmarkStart w:id="327" w:name="_Toc184310343"/>
      <w:bookmarkEnd w:id="327"/>
      <w:bookmarkStart w:id="328" w:name="_Toc184312099"/>
      <w:bookmarkEnd w:id="328"/>
      <w:bookmarkStart w:id="329" w:name="_Toc184313303"/>
      <w:bookmarkEnd w:id="329"/>
      <w:bookmarkStart w:id="330" w:name="_Toc184310292"/>
      <w:bookmarkEnd w:id="330"/>
      <w:bookmarkStart w:id="331" w:name="_Toc184308098"/>
      <w:bookmarkEnd w:id="331"/>
      <w:bookmarkStart w:id="332" w:name="_Toc184308074"/>
      <w:bookmarkEnd w:id="332"/>
      <w:bookmarkStart w:id="333" w:name="_Toc184314469"/>
      <w:bookmarkEnd w:id="333"/>
      <w:bookmarkStart w:id="334" w:name="_Toc184314477"/>
      <w:bookmarkEnd w:id="334"/>
      <w:bookmarkStart w:id="335" w:name="_Toc184313249"/>
      <w:bookmarkEnd w:id="335"/>
      <w:bookmarkStart w:id="336" w:name="_Toc184308059"/>
      <w:bookmarkEnd w:id="336"/>
      <w:bookmarkStart w:id="337" w:name="_Toc184312097"/>
      <w:bookmarkEnd w:id="337"/>
      <w:bookmarkStart w:id="338" w:name="_Toc184313258"/>
      <w:bookmarkEnd w:id="338"/>
      <w:bookmarkStart w:id="339" w:name="_Toc184310326"/>
      <w:bookmarkEnd w:id="339"/>
      <w:bookmarkStart w:id="340" w:name="_Toc184314463"/>
      <w:bookmarkEnd w:id="340"/>
      <w:bookmarkStart w:id="341" w:name="_Toc184310282"/>
      <w:bookmarkEnd w:id="341"/>
      <w:bookmarkStart w:id="342" w:name="_Toc184308072"/>
      <w:bookmarkEnd w:id="342"/>
      <w:bookmarkStart w:id="343" w:name="_Toc184314462"/>
      <w:bookmarkEnd w:id="343"/>
      <w:bookmarkStart w:id="344" w:name="_Toc184308073"/>
      <w:bookmarkEnd w:id="344"/>
      <w:bookmarkStart w:id="345" w:name="_Toc184312100"/>
      <w:bookmarkEnd w:id="345"/>
      <w:bookmarkStart w:id="346" w:name="_Toc184314471"/>
      <w:bookmarkEnd w:id="346"/>
      <w:bookmarkStart w:id="347" w:name="_Toc184314417"/>
      <w:bookmarkEnd w:id="347"/>
      <w:bookmarkStart w:id="348" w:name="_Toc184313294"/>
      <w:bookmarkEnd w:id="348"/>
      <w:bookmarkStart w:id="349" w:name="_Toc184313241"/>
      <w:bookmarkEnd w:id="349"/>
      <w:bookmarkStart w:id="350" w:name="_Toc184310338"/>
      <w:bookmarkEnd w:id="350"/>
      <w:bookmarkStart w:id="351" w:name="_Toc184310307"/>
      <w:bookmarkEnd w:id="351"/>
      <w:bookmarkStart w:id="352" w:name="_Toc184314415"/>
      <w:bookmarkEnd w:id="352"/>
      <w:bookmarkStart w:id="353" w:name="_Toc184308079"/>
      <w:bookmarkEnd w:id="353"/>
      <w:bookmarkStart w:id="354" w:name="_Toc184308054"/>
      <w:bookmarkEnd w:id="354"/>
      <w:bookmarkStart w:id="355" w:name="_Toc184314425"/>
      <w:bookmarkEnd w:id="355"/>
      <w:bookmarkStart w:id="356" w:name="_Toc184310324"/>
      <w:bookmarkEnd w:id="356"/>
      <w:bookmarkStart w:id="357" w:name="_Toc184308039"/>
      <w:bookmarkEnd w:id="357"/>
      <w:bookmarkStart w:id="358" w:name="_Toc184308078"/>
      <w:bookmarkEnd w:id="358"/>
      <w:bookmarkStart w:id="359" w:name="_Toc184310310"/>
      <w:bookmarkEnd w:id="359"/>
      <w:bookmarkStart w:id="360" w:name="_Toc184312107"/>
      <w:bookmarkEnd w:id="360"/>
      <w:bookmarkStart w:id="361" w:name="_Toc184308042"/>
      <w:bookmarkEnd w:id="361"/>
      <w:bookmarkStart w:id="362" w:name="_Toc184310294"/>
      <w:bookmarkEnd w:id="362"/>
      <w:bookmarkStart w:id="363" w:name="_Toc184312119"/>
      <w:bookmarkEnd w:id="363"/>
      <w:bookmarkStart w:id="364" w:name="_Toc184310297"/>
      <w:bookmarkEnd w:id="364"/>
      <w:bookmarkStart w:id="365" w:name="_Toc184314454"/>
      <w:bookmarkEnd w:id="365"/>
      <w:bookmarkStart w:id="366" w:name="_Toc184308049"/>
      <w:bookmarkEnd w:id="366"/>
      <w:bookmarkStart w:id="367" w:name="_Toc184312096"/>
      <w:bookmarkEnd w:id="367"/>
      <w:bookmarkStart w:id="368" w:name="_Toc184308051"/>
      <w:bookmarkEnd w:id="368"/>
      <w:bookmarkStart w:id="369" w:name="_Toc184310289"/>
      <w:bookmarkEnd w:id="369"/>
      <w:bookmarkStart w:id="370" w:name="_Toc184313268"/>
      <w:bookmarkEnd w:id="370"/>
      <w:bookmarkStart w:id="371" w:name="_Toc184310284"/>
      <w:bookmarkEnd w:id="371"/>
      <w:bookmarkStart w:id="372" w:name="_Toc184314438"/>
      <w:bookmarkEnd w:id="372"/>
      <w:bookmarkStart w:id="373" w:name="_Toc184310314"/>
      <w:bookmarkEnd w:id="373"/>
      <w:bookmarkStart w:id="374" w:name="_Toc184312091"/>
      <w:bookmarkEnd w:id="374"/>
      <w:bookmarkStart w:id="375" w:name="_Toc184310325"/>
      <w:bookmarkEnd w:id="375"/>
      <w:bookmarkStart w:id="376" w:name="_Toc184310339"/>
      <w:bookmarkEnd w:id="376"/>
      <w:bookmarkStart w:id="377" w:name="_Toc184314420"/>
      <w:bookmarkEnd w:id="377"/>
      <w:bookmarkStart w:id="378" w:name="_Toc184314474"/>
      <w:bookmarkEnd w:id="378"/>
      <w:bookmarkStart w:id="379" w:name="_Toc184314453"/>
      <w:bookmarkEnd w:id="379"/>
      <w:bookmarkStart w:id="380" w:name="_Toc184310340"/>
      <w:bookmarkEnd w:id="380"/>
      <w:bookmarkStart w:id="381" w:name="_Toc184313289"/>
      <w:bookmarkEnd w:id="381"/>
      <w:bookmarkStart w:id="382" w:name="_Toc184312124"/>
      <w:bookmarkEnd w:id="382"/>
      <w:bookmarkStart w:id="383" w:name="_Toc184313282"/>
      <w:bookmarkEnd w:id="383"/>
      <w:r>
        <w:rPr>
          <w:rFonts w:hint="eastAsia" w:cs="仿宋" w:asciiTheme="minorEastAsia" w:hAnsiTheme="minorEastAsia"/>
          <w:b/>
          <w:sz w:val="36"/>
          <w:szCs w:val="36"/>
          <w:highlight w:val="none"/>
        </w:rPr>
        <w:t>评审方法</w:t>
      </w:r>
    </w:p>
    <w:p>
      <w:pPr>
        <w:shd w:val="clear"/>
        <w:adjustRightInd w:val="0"/>
        <w:snapToGrid w:val="0"/>
        <w:spacing w:line="460" w:lineRule="exact"/>
        <w:ind w:firstLine="480" w:firstLineChars="200"/>
        <w:rPr>
          <w:rFonts w:cs="仿宋" w:asciiTheme="minorEastAsia" w:hAnsiTheme="minorEastAsia"/>
          <w:sz w:val="24"/>
          <w:highlight w:val="none"/>
        </w:rPr>
      </w:pP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w:t>
      </w:r>
      <w:r>
        <w:rPr>
          <w:rFonts w:hint="eastAsia" w:ascii="宋体" w:hAnsi="宋体" w:cs="宋体"/>
          <w:kern w:val="0"/>
          <w:sz w:val="24"/>
          <w:highlight w:val="none"/>
          <w:lang w:eastAsia="zh-CN"/>
        </w:rPr>
        <w:t>响应</w:t>
      </w:r>
      <w:r>
        <w:rPr>
          <w:rFonts w:hint="eastAsia" w:ascii="宋体" w:hAnsi="宋体" w:cs="宋体"/>
          <w:kern w:val="0"/>
          <w:sz w:val="24"/>
          <w:highlight w:val="none"/>
        </w:rPr>
        <w:t>有效期的；响应文件出现不是唯一的、有选择性响应报价的</w:t>
      </w:r>
      <w:r>
        <w:rPr>
          <w:rFonts w:hint="eastAsia" w:ascii="宋体" w:hAnsi="宋体" w:cs="宋体"/>
          <w:kern w:val="0"/>
          <w:sz w:val="24"/>
          <w:highlight w:val="none"/>
          <w:lang w:eastAsia="zh-CN"/>
        </w:rPr>
        <w:t>；</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r>
        <w:rPr>
          <w:rFonts w:hint="eastAsia" w:ascii="宋体" w:hAnsi="宋体" w:cs="宋体"/>
          <w:kern w:val="0"/>
          <w:sz w:val="24"/>
          <w:highlight w:val="none"/>
          <w:lang w:eastAsia="zh-CN"/>
        </w:rPr>
        <w:t>；</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w:t>
      </w:r>
      <w:r>
        <w:rPr>
          <w:rFonts w:hint="eastAsia" w:ascii="宋体" w:hAnsi="宋体" w:cs="宋体"/>
          <w:kern w:val="0"/>
          <w:sz w:val="24"/>
          <w:highlight w:val="none"/>
          <w:lang w:val="en-US" w:eastAsia="zh-CN"/>
        </w:rPr>
        <w:t>.</w:t>
      </w:r>
      <w:r>
        <w:rPr>
          <w:rFonts w:hint="eastAsia" w:ascii="宋体" w:hAnsi="宋体" w:cs="宋体"/>
          <w:kern w:val="0"/>
          <w:sz w:val="24"/>
          <w:highlight w:val="none"/>
        </w:rPr>
        <w:t>在采购人规定的截止时间以后送达的响应文件；</w:t>
      </w:r>
    </w:p>
    <w:p>
      <w:pPr>
        <w:shd w:val="clea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M</w:t>
      </w:r>
      <w:r>
        <w:rPr>
          <w:rFonts w:hint="eastAsia" w:ascii="宋体" w:hAnsi="宋体" w:cs="宋体"/>
          <w:kern w:val="0"/>
          <w:sz w:val="24"/>
          <w:highlight w:val="none"/>
          <w:lang w:val="en-US" w:eastAsia="zh-CN"/>
        </w:rPr>
        <w:t>.</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rPr>
        <w:t>。</w:t>
      </w:r>
    </w:p>
    <w:p>
      <w:pPr>
        <w:shd w:val="clea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N.</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w:t>
      </w:r>
      <w:r>
        <w:rPr>
          <w:rFonts w:hint="eastAsia" w:ascii="宋体" w:hAnsi="宋体" w:cs="宋体"/>
          <w:kern w:val="0"/>
          <w:sz w:val="24"/>
          <w:highlight w:val="none"/>
          <w:lang w:val="en-US" w:eastAsia="zh-CN"/>
        </w:rPr>
        <w:t>提供样品</w:t>
      </w:r>
      <w:r>
        <w:rPr>
          <w:rFonts w:hint="eastAsia" w:ascii="宋体" w:hAnsi="宋体" w:cs="宋体"/>
          <w:kern w:val="0"/>
          <w:sz w:val="24"/>
          <w:highlight w:val="none"/>
        </w:rPr>
        <w:t>的</w:t>
      </w:r>
      <w:r>
        <w:rPr>
          <w:rFonts w:hint="eastAsia" w:ascii="宋体" w:hAnsi="宋体" w:cs="宋体"/>
          <w:b/>
          <w:bCs/>
          <w:kern w:val="0"/>
          <w:sz w:val="24"/>
          <w:highlight w:val="none"/>
        </w:rPr>
        <w:t>（若有）</w:t>
      </w:r>
      <w:r>
        <w:rPr>
          <w:rFonts w:hint="eastAsia" w:ascii="宋体" w:hAnsi="宋体" w:cs="宋体"/>
          <w:kern w:val="0"/>
          <w:sz w:val="24"/>
          <w:highlight w:val="none"/>
        </w:rPr>
        <w:t>。</w:t>
      </w:r>
    </w:p>
    <w:p>
      <w:pPr>
        <w:shd w:val="clear"/>
        <w:adjustRightInd w:val="0"/>
        <w:snapToGrid w:val="0"/>
        <w:spacing w:line="46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O</w:t>
      </w:r>
      <w:r>
        <w:rPr>
          <w:rFonts w:hint="eastAsia" w:cs="仿宋" w:asciiTheme="minorEastAsia" w:hAnsiTheme="minorEastAsia"/>
          <w:snapToGrid w:val="0"/>
          <w:kern w:val="0"/>
          <w:sz w:val="24"/>
          <w:highlight w:val="none"/>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7"/>
        <w:shd w:val="clear"/>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shd w:val="clear"/>
        <w:ind w:firstLine="480" w:firstLineChars="200"/>
        <w:rPr>
          <w:highlight w:val="none"/>
        </w:rPr>
      </w:pPr>
      <w:r>
        <w:rPr>
          <w:highlight w:val="none"/>
          <w:lang w:val="en-US"/>
        </w:rPr>
        <w:t>1.2</w:t>
      </w:r>
      <w:r>
        <w:rPr>
          <w:rFonts w:hint="eastAsia"/>
          <w:b/>
          <w:bCs/>
          <w:highlight w:val="none"/>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hd w:val="clear"/>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highlight w:val="none"/>
        </w:rPr>
      </w:pPr>
      <w:r>
        <w:rPr>
          <w:rFonts w:hint="eastAsia" w:cs="仿宋" w:asciiTheme="minorEastAsia" w:hAnsiTheme="minorEastAsia"/>
          <w:sz w:val="24"/>
          <w:highlight w:val="none"/>
        </w:rPr>
        <w:t>4.不再询价</w:t>
      </w:r>
    </w:p>
    <w:p>
      <w:pPr>
        <w:widowControl/>
        <w:shd w:val="clear"/>
        <w:snapToGrid w:val="0"/>
        <w:spacing w:line="460" w:lineRule="exact"/>
        <w:ind w:firstLine="480" w:firstLineChars="200"/>
        <w:rPr>
          <w:rFonts w:hint="eastAsia" w:cs="仿宋" w:asciiTheme="minorEastAsia" w:hAnsiTheme="minorEastAsia"/>
          <w:sz w:val="24"/>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hd w:val="clear"/>
        <w:snapToGrid w:val="0"/>
        <w:spacing w:line="460" w:lineRule="exact"/>
        <w:ind w:firstLine="480" w:firstLineChars="200"/>
        <w:rPr>
          <w:rFonts w:hint="eastAsia"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shd w:val="clear"/>
        <w:rPr>
          <w:rFonts w:hint="eastAsia" w:cs="仿宋" w:asciiTheme="minorEastAsia" w:hAnsiTheme="minorEastAsia"/>
          <w:sz w:val="24"/>
          <w:highlight w:val="none"/>
        </w:rPr>
      </w:pPr>
      <w:r>
        <w:rPr>
          <w:rFonts w:hint="eastAsia" w:cs="仿宋" w:asciiTheme="minorEastAsia" w:hAnsiTheme="minorEastAsia"/>
          <w:sz w:val="24"/>
          <w:highlight w:val="none"/>
        </w:rPr>
        <w:br w:type="page"/>
      </w:r>
    </w:p>
    <w:p>
      <w:pPr>
        <w:widowControl/>
        <w:shd w:val="clear"/>
        <w:snapToGrid w:val="0"/>
        <w:spacing w:line="460" w:lineRule="exact"/>
        <w:ind w:firstLine="480" w:firstLineChars="200"/>
        <w:rPr>
          <w:rFonts w:hint="eastAsia" w:cs="仿宋" w:asciiTheme="minorEastAsia" w:hAnsiTheme="minorEastAsia"/>
          <w:sz w:val="24"/>
          <w:highlight w:val="none"/>
        </w:rPr>
      </w:pPr>
    </w:p>
    <w:p>
      <w:pPr>
        <w:widowControl/>
        <w:shd w:val="clear"/>
        <w:snapToGrid w:val="0"/>
        <w:spacing w:line="460" w:lineRule="exact"/>
        <w:ind w:firstLine="480" w:firstLineChars="200"/>
        <w:rPr>
          <w:rFonts w:hint="eastAsia" w:cs="仿宋" w:asciiTheme="minorEastAsia" w:hAnsiTheme="minorEastAsia"/>
          <w:sz w:val="24"/>
          <w:highlight w:val="none"/>
        </w:rPr>
      </w:pPr>
    </w:p>
    <w:p>
      <w:pPr>
        <w:numPr>
          <w:ilvl w:val="0"/>
          <w:numId w:val="2"/>
        </w:numPr>
        <w:shd w:val="clea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shd w:val="clear"/>
        <w:rPr>
          <w:rFonts w:ascii="宋体" w:hAnsi="宋体" w:cs="宋体"/>
          <w:sz w:val="24"/>
          <w:highlight w:val="none"/>
        </w:rPr>
      </w:pPr>
    </w:p>
    <w:p>
      <w:pPr>
        <w:shd w:val="clea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hd w:val="clear"/>
        <w:spacing w:line="480" w:lineRule="auto"/>
        <w:rPr>
          <w:rFonts w:ascii="宋体" w:hAnsi="宋体" w:cs="宋体"/>
          <w:b/>
          <w:sz w:val="24"/>
          <w:highlight w:val="none"/>
        </w:rPr>
      </w:pPr>
    </w:p>
    <w:p>
      <w:pPr>
        <w:pStyle w:val="4"/>
        <w:shd w:val="clear"/>
        <w:rPr>
          <w:rFonts w:ascii="宋体" w:hAnsi="宋体" w:cs="宋体"/>
          <w:sz w:val="24"/>
          <w:highlight w:val="none"/>
        </w:rPr>
      </w:pPr>
    </w:p>
    <w:p>
      <w:pPr>
        <w:shd w:val="clear"/>
        <w:rPr>
          <w:highlight w:val="none"/>
        </w:rPr>
      </w:pPr>
    </w:p>
    <w:p>
      <w:pPr>
        <w:shd w:val="clea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3"/>
        <w:shd w:val="clear"/>
        <w:rPr>
          <w:rFonts w:ascii="宋体" w:hAnsi="宋体" w:cs="宋体"/>
          <w:szCs w:val="24"/>
          <w:highlight w:val="none"/>
        </w:rPr>
      </w:pPr>
    </w:p>
    <w:p>
      <w:pPr>
        <w:shd w:val="clear"/>
        <w:ind w:firstLine="960" w:firstLineChars="400"/>
        <w:rPr>
          <w:rFonts w:hint="default" w:ascii="宋体" w:hAnsi="宋体" w:cs="宋体" w:eastAsiaTheme="minorEastAsia"/>
          <w:sz w:val="24"/>
          <w:highlight w:val="none"/>
          <w:lang w:val="en-US" w:eastAsia="zh-CN"/>
        </w:rPr>
      </w:pPr>
      <w:r>
        <w:rPr>
          <w:rFonts w:hint="eastAsia" w:ascii="宋体" w:hAnsi="宋体" w:cs="宋体"/>
          <w:sz w:val="24"/>
          <w:highlight w:val="none"/>
        </w:rPr>
        <w:t>项目名称：</w:t>
      </w:r>
      <w:r>
        <w:rPr>
          <w:rFonts w:hint="eastAsia" w:ascii="宋体" w:hAnsi="宋体" w:cs="宋体"/>
          <w:sz w:val="24"/>
          <w:highlight w:val="none"/>
          <w:u w:val="single"/>
          <w:lang w:val="en-US" w:eastAsia="zh-CN"/>
        </w:rPr>
        <w:t xml:space="preserve">          202</w:t>
      </w:r>
      <w:r>
        <w:rPr>
          <w:rFonts w:hint="eastAsia" w:ascii="宋体" w:hAnsi="宋体" w:cs="宋体"/>
          <w:sz w:val="24"/>
          <w:highlight w:val="none"/>
          <w:u w:val="single"/>
          <w:lang w:eastAsia="zh-CN"/>
        </w:rPr>
        <w:t>4年临江公司通用电气备件采购项目</w:t>
      </w:r>
      <w:r>
        <w:rPr>
          <w:rFonts w:hint="eastAsia" w:ascii="宋体" w:hAnsi="宋体" w:cs="宋体"/>
          <w:sz w:val="24"/>
          <w:highlight w:val="none"/>
          <w:u w:val="single"/>
          <w:lang w:val="en-US" w:eastAsia="zh-CN"/>
        </w:rPr>
        <w:t xml:space="preserve">    </w:t>
      </w:r>
    </w:p>
    <w:p>
      <w:pPr>
        <w:shd w:val="clear"/>
        <w:spacing w:before="120" w:line="22" w:lineRule="atLeast"/>
        <w:ind w:left="960"/>
        <w:rPr>
          <w:rFonts w:hint="eastAsia" w:ascii="宋体" w:hAnsi="宋体" w:cs="宋体"/>
          <w:sz w:val="24"/>
          <w:highlight w:val="none"/>
        </w:rPr>
      </w:pPr>
    </w:p>
    <w:p>
      <w:pPr>
        <w:shd w:val="clea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杭州临江环境能源有限公司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hd w:val="clear"/>
        <w:spacing w:before="120" w:line="22" w:lineRule="atLeast"/>
        <w:rPr>
          <w:rFonts w:hint="eastAsia" w:ascii="宋体" w:hAnsi="宋体" w:cs="宋体" w:eastAsiaTheme="minorEastAsia"/>
          <w:sz w:val="24"/>
          <w:highlight w:val="none"/>
          <w:lang w:val="en-US" w:eastAsia="zh-CN"/>
        </w:rPr>
      </w:pPr>
      <w:r>
        <w:rPr>
          <w:rFonts w:hint="eastAsia" w:ascii="宋体" w:hAnsi="宋体" w:cs="宋体"/>
          <w:sz w:val="24"/>
          <w:highlight w:val="none"/>
          <w:lang w:val="en-US" w:eastAsia="zh-CN"/>
        </w:rPr>
        <w:t xml:space="preserve"> </w:t>
      </w:r>
    </w:p>
    <w:p>
      <w:pPr>
        <w:shd w:val="clea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hd w:val="clear"/>
        <w:spacing w:before="120" w:line="22" w:lineRule="atLeast"/>
        <w:rPr>
          <w:rFonts w:hint="eastAsia" w:ascii="宋体" w:hAnsi="宋体" w:cs="宋体" w:eastAsiaTheme="minorEastAsia"/>
          <w:sz w:val="24"/>
          <w:highlight w:val="none"/>
          <w:lang w:val="en-US" w:eastAsia="zh-CN"/>
        </w:rPr>
      </w:pPr>
      <w:r>
        <w:rPr>
          <w:rFonts w:hint="eastAsia" w:ascii="宋体" w:hAnsi="宋体" w:cs="宋体"/>
          <w:sz w:val="24"/>
          <w:highlight w:val="none"/>
          <w:lang w:val="en-US" w:eastAsia="zh-CN"/>
        </w:rPr>
        <w:t xml:space="preserve"> </w:t>
      </w:r>
    </w:p>
    <w:p>
      <w:pPr>
        <w:shd w:val="clea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浙江省杭州市钱塘区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hd w:val="clear"/>
        <w:spacing w:before="120" w:line="22" w:lineRule="atLeast"/>
        <w:rPr>
          <w:rFonts w:ascii="宋体" w:hAnsi="宋体" w:cs="宋体"/>
          <w:sz w:val="24"/>
          <w:highlight w:val="none"/>
        </w:rPr>
      </w:pPr>
    </w:p>
    <w:p>
      <w:pPr>
        <w:shd w:val="clea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23"/>
        <w:shd w:val="clear"/>
        <w:ind w:left="0" w:leftChars="0" w:firstLine="0" w:firstLineChars="0"/>
        <w:rPr>
          <w:rFonts w:ascii="宋体" w:hAnsi="宋体" w:cs="宋体"/>
          <w:b/>
          <w:szCs w:val="24"/>
          <w:highlight w:val="none"/>
        </w:rPr>
      </w:pPr>
    </w:p>
    <w:p>
      <w:pPr>
        <w:pStyle w:val="8"/>
        <w:shd w:val="clear"/>
        <w:jc w:val="center"/>
        <w:rPr>
          <w:rFonts w:eastAsia="宋体"/>
          <w:b/>
          <w:bCs/>
          <w:highlight w:val="none"/>
        </w:rPr>
      </w:pPr>
      <w:r>
        <w:rPr>
          <w:rFonts w:hint="eastAsia"/>
          <w:b/>
          <w:bCs/>
          <w:highlight w:val="none"/>
        </w:rPr>
        <w:t>目录</w:t>
      </w:r>
    </w:p>
    <w:p>
      <w:pPr>
        <w:pStyle w:val="9"/>
        <w:shd w:val="clear"/>
        <w:spacing w:line="360" w:lineRule="auto"/>
        <w:ind w:firstLine="240" w:firstLineChars="100"/>
        <w:rPr>
          <w:highlight w:val="none"/>
        </w:rPr>
      </w:pPr>
      <w:r>
        <w:rPr>
          <w:rFonts w:hint="eastAsia"/>
          <w:highlight w:val="none"/>
        </w:rPr>
        <w:t>第一章 合同书  ……………………………………………………………（页码）</w:t>
      </w:r>
    </w:p>
    <w:p>
      <w:pPr>
        <w:pStyle w:val="9"/>
        <w:shd w:val="clear"/>
        <w:spacing w:line="360" w:lineRule="auto"/>
        <w:ind w:firstLine="240" w:firstLineChars="100"/>
        <w:rPr>
          <w:highlight w:val="none"/>
        </w:rPr>
      </w:pPr>
      <w:r>
        <w:rPr>
          <w:rFonts w:hint="eastAsia"/>
          <w:highlight w:val="none"/>
        </w:rPr>
        <w:t>第二章 合同一般条款………………………………………………………（页码）</w:t>
      </w:r>
    </w:p>
    <w:p>
      <w:pPr>
        <w:pStyle w:val="9"/>
        <w:shd w:val="clear"/>
        <w:spacing w:line="360" w:lineRule="auto"/>
        <w:ind w:firstLine="240" w:firstLineChars="100"/>
        <w:rPr>
          <w:highlight w:val="none"/>
        </w:rPr>
      </w:pPr>
      <w:r>
        <w:rPr>
          <w:rFonts w:hint="eastAsia"/>
          <w:highlight w:val="none"/>
        </w:rPr>
        <w:t>第</w:t>
      </w:r>
      <w:r>
        <w:rPr>
          <w:rFonts w:hint="eastAsia"/>
          <w:highlight w:val="none"/>
          <w:lang w:val="en-US" w:eastAsia="zh-CN"/>
        </w:rPr>
        <w:t>三</w:t>
      </w:r>
      <w:r>
        <w:rPr>
          <w:rFonts w:hint="eastAsia"/>
          <w:highlight w:val="none"/>
        </w:rPr>
        <w:t>章 廉洁协议……………………………………………………………（页码）</w:t>
      </w:r>
    </w:p>
    <w:p>
      <w:pPr>
        <w:pStyle w:val="9"/>
        <w:shd w:val="clear"/>
        <w:spacing w:line="360" w:lineRule="auto"/>
        <w:ind w:firstLine="240" w:firstLineChars="100"/>
        <w:rPr>
          <w:rFonts w:hint="eastAsia"/>
          <w:highlight w:val="none"/>
        </w:rPr>
      </w:pPr>
    </w:p>
    <w:p>
      <w:pPr>
        <w:pStyle w:val="23"/>
        <w:shd w:val="clear"/>
        <w:rPr>
          <w:rFonts w:ascii="宋体" w:hAnsi="宋体" w:cs="宋体"/>
          <w:szCs w:val="24"/>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shd w:val="clear"/>
        <w:rPr>
          <w:rFonts w:hint="eastAsia" w:ascii="宋体" w:hAnsi="宋体" w:cs="宋体"/>
          <w:b/>
          <w:szCs w:val="24"/>
          <w:highlight w:val="none"/>
        </w:rPr>
      </w:pPr>
      <w:r>
        <w:rPr>
          <w:rFonts w:hint="eastAsia" w:ascii="宋体" w:hAnsi="宋体" w:cs="宋体"/>
          <w:b/>
          <w:szCs w:val="24"/>
          <w:highlight w:val="none"/>
        </w:rPr>
        <w:br w:type="page"/>
      </w:r>
    </w:p>
    <w:p>
      <w:pPr>
        <w:pStyle w:val="23"/>
        <w:shd w:val="clear"/>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2024年临江公司通用电气备件采购项目</w:t>
      </w:r>
      <w:r>
        <w:rPr>
          <w:rFonts w:hint="eastAsia" w:ascii="宋体" w:hAnsi="宋体" w:cs="宋体"/>
          <w:sz w:val="24"/>
          <w:highlight w:val="none"/>
          <w:u w:val="single"/>
        </w:rPr>
        <w:t xml:space="preserve">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w:t>
      </w:r>
      <w:r>
        <w:rPr>
          <w:rFonts w:hint="eastAsia" w:ascii="宋体" w:hAnsi="宋体" w:cs="宋体"/>
          <w:sz w:val="24"/>
          <w:highlight w:val="none"/>
          <w:lang w:val="en-US" w:eastAsia="zh-CN"/>
        </w:rPr>
        <w:t>30天</w:t>
      </w:r>
      <w:r>
        <w:rPr>
          <w:rFonts w:hint="eastAsia" w:ascii="宋体" w:hAnsi="宋体" w:cs="宋体"/>
          <w:sz w:val="24"/>
          <w:highlight w:val="none"/>
        </w:rPr>
        <w:t>内，按照采购文件等确定的事项签订本合同。</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u w:val="single"/>
          <w:lang w:eastAsia="zh-CN"/>
        </w:rPr>
        <w:t>（</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u w:val="single"/>
          <w:lang w:eastAsia="zh-CN"/>
        </w:rPr>
        <w:t>（</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hd w:val="clear"/>
        <w:spacing w:line="360" w:lineRule="auto"/>
        <w:ind w:firstLine="482" w:firstLineChars="200"/>
        <w:outlineLvl w:val="0"/>
        <w:rPr>
          <w:rFonts w:ascii="宋体" w:hAnsi="宋体" w:cs="宋体"/>
          <w:b/>
          <w:sz w:val="24"/>
          <w:highlight w:val="none"/>
        </w:rPr>
      </w:pPr>
      <w:bookmarkStart w:id="384" w:name="_Toc2232"/>
      <w:bookmarkStart w:id="385" w:name="_Toc24059"/>
      <w:bookmarkStart w:id="386" w:name="_Toc3029"/>
      <w:r>
        <w:rPr>
          <w:rFonts w:hint="eastAsia" w:ascii="宋体" w:hAnsi="宋体" w:cs="宋体"/>
          <w:b/>
          <w:sz w:val="24"/>
          <w:highlight w:val="none"/>
        </w:rPr>
        <w:t>一、合同组成部分</w:t>
      </w:r>
      <w:bookmarkEnd w:id="384"/>
      <w:bookmarkEnd w:id="385"/>
      <w:bookmarkEnd w:id="386"/>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highlight w:val="none"/>
          <w:lang w:eastAsia="zh-CN"/>
        </w:rPr>
        <w:t>份文件</w:t>
      </w:r>
      <w:r>
        <w:rPr>
          <w:rFonts w:hint="eastAsia" w:ascii="宋体" w:hAnsi="宋体" w:cs="宋体"/>
          <w:sz w:val="24"/>
          <w:highlight w:val="none"/>
        </w:rPr>
        <w:t>的优先适用顺序如下：</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hd w:val="clear"/>
        <w:spacing w:line="360" w:lineRule="auto"/>
        <w:ind w:firstLine="482" w:firstLineChars="200"/>
        <w:outlineLvl w:val="0"/>
        <w:rPr>
          <w:rFonts w:ascii="宋体" w:hAnsi="宋体" w:cs="宋体"/>
          <w:sz w:val="24"/>
          <w:highlight w:val="none"/>
        </w:rPr>
      </w:pPr>
      <w:bookmarkStart w:id="387" w:name="_Toc27126"/>
      <w:bookmarkStart w:id="388" w:name="_Toc24300"/>
      <w:bookmarkStart w:id="389" w:name="_Toc21295"/>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i/>
          <w:iCs/>
          <w:sz w:val="24"/>
          <w:highlight w:val="none"/>
          <w:u w:val="single"/>
        </w:rPr>
        <w:t xml:space="preserve">13/9/6/3/1 </w:t>
      </w:r>
      <w:r>
        <w:rPr>
          <w:rFonts w:hint="eastAsia" w:ascii="宋体" w:hAnsi="宋体"/>
          <w:sz w:val="24"/>
          <w:highlight w:val="none"/>
        </w:rPr>
        <w:t xml:space="preserve"> %</w:t>
      </w:r>
      <w:r>
        <w:rPr>
          <w:rFonts w:hint="eastAsia" w:ascii="宋体" w:hAnsi="宋体"/>
          <w:sz w:val="24"/>
          <w:highlight w:val="none"/>
          <w:lang w:eastAsia="zh-CN"/>
        </w:rPr>
        <w:t>，</w:t>
      </w:r>
      <w:r>
        <w:rPr>
          <w:rFonts w:hint="eastAsia" w:ascii="宋体" w:hAnsi="宋体"/>
          <w:sz w:val="24"/>
          <w:highlight w:val="none"/>
          <w:lang w:val="en-US" w:eastAsia="zh-CN"/>
        </w:rPr>
        <w:t>其中能源事业部</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元</w:t>
      </w:r>
      <w:r>
        <w:rPr>
          <w:rFonts w:hint="eastAsia" w:ascii="宋体" w:hAnsi="宋体"/>
          <w:sz w:val="24"/>
          <w:highlight w:val="none"/>
        </w:rPr>
        <w:t>，</w:t>
      </w:r>
      <w:r>
        <w:rPr>
          <w:rFonts w:hint="eastAsia" w:ascii="宋体" w:hAnsi="宋体" w:cs="宋体"/>
          <w:sz w:val="24"/>
          <w:highlight w:val="none"/>
        </w:rPr>
        <w:t>单价和总价均包括但不限于货款、包装费、运输费及运输保险费（如有）、装卸费、安装调试费（如有）、售后服务费及税费等全部费用</w:t>
      </w:r>
      <w:r>
        <w:rPr>
          <w:rFonts w:hint="eastAsia" w:ascii="宋体" w:hAnsi="宋体" w:cs="宋体"/>
          <w:sz w:val="24"/>
          <w:highlight w:val="none"/>
          <w:lang w:eastAsia="zh-CN"/>
        </w:rPr>
        <w:t>，</w:t>
      </w:r>
      <w:r>
        <w:rPr>
          <w:rFonts w:hint="eastAsia" w:ascii="宋体" w:hAnsi="宋体" w:cs="宋体"/>
          <w:sz w:val="24"/>
          <w:highlight w:val="none"/>
          <w:lang w:val="en-US" w:eastAsia="zh-CN"/>
        </w:rPr>
        <w:t>在合同履行有效期内，合同价格不作调整</w:t>
      </w:r>
      <w:r>
        <w:rPr>
          <w:rFonts w:hint="eastAsia" w:ascii="宋体" w:hAnsi="宋体" w:cs="宋体"/>
          <w:sz w:val="24"/>
          <w:highlight w:val="none"/>
        </w:rPr>
        <w:t>。</w:t>
      </w:r>
    </w:p>
    <w:p>
      <w:pPr>
        <w:pStyle w:val="24"/>
        <w:shd w:val="clear"/>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需要乙方安装。若需要乙方提供安装的，则涉及拆旧（若有）装新的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hd w:val="clea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3.货物名称、品牌、规格型号</w:t>
      </w:r>
      <w:r>
        <w:rPr>
          <w:rFonts w:hint="eastAsia" w:ascii="宋体" w:hAnsi="宋体" w:cs="宋体"/>
          <w:sz w:val="24"/>
          <w:highlight w:val="none"/>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序号</w:t>
            </w:r>
          </w:p>
        </w:tc>
        <w:tc>
          <w:tcPr>
            <w:tcW w:w="1330"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货物名称</w:t>
            </w:r>
          </w:p>
        </w:tc>
        <w:tc>
          <w:tcPr>
            <w:tcW w:w="1560"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规格型号</w:t>
            </w:r>
          </w:p>
        </w:tc>
        <w:tc>
          <w:tcPr>
            <w:tcW w:w="873"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品牌</w:t>
            </w:r>
          </w:p>
        </w:tc>
        <w:tc>
          <w:tcPr>
            <w:tcW w:w="1395"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包装规格</w:t>
            </w:r>
          </w:p>
        </w:tc>
        <w:tc>
          <w:tcPr>
            <w:tcW w:w="585"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单位</w:t>
            </w:r>
          </w:p>
        </w:tc>
        <w:tc>
          <w:tcPr>
            <w:tcW w:w="840"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暂定</w:t>
            </w:r>
            <w:r>
              <w:rPr>
                <w:rFonts w:hint="eastAsia" w:ascii="宋体" w:hAnsi="宋体" w:eastAsia="宋体" w:cs="宋体"/>
                <w:snapToGrid w:val="0"/>
                <w:szCs w:val="21"/>
                <w:highlight w:val="none"/>
              </w:rPr>
              <w:t>数量</w:t>
            </w:r>
          </w:p>
        </w:tc>
        <w:tc>
          <w:tcPr>
            <w:tcW w:w="1092"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单价</w:t>
            </w:r>
          </w:p>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（元）</w:t>
            </w:r>
          </w:p>
        </w:tc>
        <w:tc>
          <w:tcPr>
            <w:tcW w:w="840"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金额（</w:t>
            </w:r>
            <w:r>
              <w:rPr>
                <w:rFonts w:hint="eastAsia" w:ascii="宋体" w:hAnsi="宋体" w:eastAsia="宋体" w:cs="宋体"/>
                <w:color w:val="000000"/>
                <w:kern w:val="0"/>
                <w:szCs w:val="21"/>
                <w:highlight w:val="none"/>
                <w:lang w:bidi="ar"/>
              </w:rPr>
              <w:t>元</w:t>
            </w:r>
            <w:r>
              <w:rPr>
                <w:rFonts w:hint="eastAsia" w:ascii="宋体" w:hAnsi="宋体" w:eastAsia="宋体" w:cs="宋体"/>
                <w:snapToGrid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330"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560"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73"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395"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585"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330"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560"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73"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395"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585"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bl>
    <w:p>
      <w:pPr>
        <w:shd w:val="clea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：按</w:t>
      </w:r>
      <w:r>
        <w:rPr>
          <w:rFonts w:hint="eastAsia" w:ascii="宋体" w:hAnsi="宋体" w:cs="宋体"/>
          <w:sz w:val="24"/>
          <w:highlight w:val="none"/>
          <w:u w:val="single"/>
          <w:lang w:val="en-US" w:eastAsia="zh-CN"/>
        </w:rPr>
        <w:t>需</w:t>
      </w:r>
      <w:r>
        <w:rPr>
          <w:rFonts w:hint="eastAsia" w:ascii="宋体" w:hAnsi="宋体" w:cs="宋体"/>
          <w:sz w:val="24"/>
          <w:highlight w:val="none"/>
          <w:u w:val="single"/>
        </w:rPr>
        <w:t>供货，按</w:t>
      </w:r>
      <w:r>
        <w:rPr>
          <w:rFonts w:hint="eastAsia" w:ascii="宋体" w:hAnsi="宋体" w:cs="宋体"/>
          <w:sz w:val="24"/>
          <w:highlight w:val="none"/>
          <w:u w:val="single"/>
          <w:lang w:val="en-US" w:eastAsia="zh-CN"/>
        </w:rPr>
        <w:t>实</w:t>
      </w:r>
      <w:r>
        <w:rPr>
          <w:rFonts w:hint="eastAsia" w:ascii="宋体" w:hAnsi="宋体" w:cs="宋体"/>
          <w:sz w:val="24"/>
          <w:highlight w:val="none"/>
          <w:u w:val="single"/>
        </w:rPr>
        <w:t>结算；合同清单数量仅为甲方暂定数量，乙方须按照甲方的采购订单数量供货</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实际订单数量可以大于或者小于合同暂定数量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乙方</w:t>
      </w:r>
      <w:r>
        <w:rPr>
          <w:rFonts w:hint="eastAsia" w:ascii="宋体" w:hAnsi="宋体" w:cs="宋体"/>
          <w:sz w:val="24"/>
          <w:highlight w:val="none"/>
          <w:u w:val="single"/>
        </w:rPr>
        <w:t>不得以超过合同暂定数量为由停止供货。</w:t>
      </w:r>
    </w:p>
    <w:p>
      <w:pPr>
        <w:pStyle w:val="24"/>
        <w:shd w:val="clear"/>
        <w:spacing w:before="0" w:beforeAutospacing="0" w:after="0" w:afterAutospacing="0" w:line="360" w:lineRule="auto"/>
        <w:ind w:firstLine="480"/>
        <w:rPr>
          <w:b/>
          <w:highlight w:val="none"/>
        </w:rPr>
      </w:pPr>
      <w:bookmarkStart w:id="390" w:name="_Toc22618"/>
      <w:bookmarkStart w:id="391" w:name="_Toc10340"/>
      <w:bookmarkStart w:id="392" w:name="_Toc1814"/>
      <w:r>
        <w:rPr>
          <w:rFonts w:hint="eastAsia"/>
          <w:b/>
          <w:highlight w:val="none"/>
        </w:rPr>
        <w:t>三、合同期限、货物交付期限、地点和联系方式、交付方式</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lang w:eastAsia="zh-CN"/>
        </w:rPr>
        <w:t>自合同签订后1年</w:t>
      </w:r>
      <w:r>
        <w:rPr>
          <w:rFonts w:hint="eastAsia" w:ascii="宋体" w:hAnsi="宋体" w:cs="宋体"/>
          <w:sz w:val="24"/>
          <w:highlight w:val="none"/>
          <w:u w:val="single"/>
        </w:rPr>
        <w:t>；</w:t>
      </w:r>
    </w:p>
    <w:p>
      <w:pPr>
        <w:shd w:val="clea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 xml:space="preserve">按采购订单要求执行  </w:t>
      </w:r>
      <w:r>
        <w:rPr>
          <w:rFonts w:hint="eastAsia" w:ascii="宋体" w:hAnsi="宋体" w:cs="宋体"/>
          <w:sz w:val="24"/>
          <w:highlight w:val="none"/>
        </w:rPr>
        <w:t>；</w:t>
      </w:r>
    </w:p>
    <w:p>
      <w:pPr>
        <w:shd w:val="clea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hd w:val="clea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hd w:val="clea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hd w:val="clear"/>
        <w:spacing w:line="360" w:lineRule="auto"/>
        <w:ind w:firstLine="480" w:firstLineChars="200"/>
        <w:rPr>
          <w:b/>
          <w:highlight w:val="none"/>
        </w:rPr>
      </w:pPr>
      <w:r>
        <w:rPr>
          <w:rFonts w:hint="eastAsia" w:ascii="宋体" w:hAnsi="宋体" w:cs="宋体"/>
          <w:sz w:val="24"/>
          <w:highlight w:val="none"/>
        </w:rPr>
        <w:t>（3）特殊情况下，双方友好协商解决。</w:t>
      </w:r>
    </w:p>
    <w:bookmarkEnd w:id="390"/>
    <w:bookmarkEnd w:id="391"/>
    <w:bookmarkEnd w:id="392"/>
    <w:p>
      <w:pPr>
        <w:shd w:val="clea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四、技术和质量要求</w:t>
      </w:r>
    </w:p>
    <w:p>
      <w:pPr>
        <w:pStyle w:val="24"/>
        <w:shd w:val="clear"/>
        <w:spacing w:before="0" w:beforeAutospacing="0" w:after="0" w:afterAutospacing="0" w:line="360" w:lineRule="auto"/>
        <w:ind w:firstLine="480" w:firstLineChars="200"/>
        <w:rPr>
          <w:highlight w:val="none"/>
        </w:rPr>
      </w:pPr>
      <w:r>
        <w:rPr>
          <w:rFonts w:hint="eastAsia"/>
          <w:highlight w:val="none"/>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rPr>
          <w:rFonts w:hint="eastAsia"/>
          <w:highlight w:val="none"/>
        </w:rPr>
      </w:pPr>
      <w:r>
        <w:rPr>
          <w:rFonts w:hint="eastAsia"/>
          <w:highlight w:val="none"/>
        </w:rPr>
        <w:t>2.乙方提供的</w:t>
      </w:r>
      <w:r>
        <w:rPr>
          <w:rFonts w:hint="eastAsia"/>
          <w:highlight w:val="none"/>
          <w:lang w:val="en-US" w:eastAsia="zh-CN"/>
        </w:rPr>
        <w:t>备件</w:t>
      </w:r>
      <w:r>
        <w:rPr>
          <w:rFonts w:hint="eastAsia"/>
          <w:highlight w:val="none"/>
        </w:rPr>
        <w:t>必须为原厂正品，不得为假冒伪劣产品。</w:t>
      </w:r>
    </w:p>
    <w:p>
      <w:pPr>
        <w:pStyle w:val="24"/>
        <w:shd w:val="clear"/>
        <w:spacing w:before="0" w:beforeAutospacing="0" w:after="0" w:afterAutospacing="0" w:line="360" w:lineRule="auto"/>
        <w:ind w:firstLine="480" w:firstLineChars="200"/>
        <w:rPr>
          <w:rFonts w:hint="eastAsia"/>
          <w:highlight w:val="none"/>
        </w:rPr>
      </w:pPr>
      <w:r>
        <w:rPr>
          <w:rFonts w:hint="eastAsia"/>
          <w:highlight w:val="none"/>
          <w:lang w:val="en-US" w:eastAsia="zh-CN"/>
        </w:rPr>
        <w:t>3</w:t>
      </w:r>
      <w:r>
        <w:rPr>
          <w:rFonts w:hint="eastAsia"/>
          <w:highlight w:val="none"/>
          <w:lang w:val="en-US"/>
        </w:rPr>
        <w:t>.质保期：</w:t>
      </w:r>
      <w:r>
        <w:rPr>
          <w:rFonts w:hint="eastAsia"/>
          <w:highlight w:val="none"/>
          <w:lang w:val="en-US" w:eastAsia="zh-CN"/>
        </w:rPr>
        <w:t>验收合格后1年。若质保期内出现质量问题（非质量问题除外），乙方负责免费更换，产生的费用全部由乙方承担。</w:t>
      </w:r>
    </w:p>
    <w:p>
      <w:pPr>
        <w:shd w:val="clear"/>
        <w:spacing w:line="360" w:lineRule="auto"/>
        <w:ind w:firstLine="482" w:firstLineChars="200"/>
        <w:rPr>
          <w:rFonts w:ascii="宋体" w:hAnsi="宋体" w:cs="宋体"/>
          <w:b/>
          <w:sz w:val="24"/>
          <w:highlight w:val="none"/>
        </w:rPr>
      </w:pPr>
      <w:bookmarkStart w:id="393" w:name="_Toc1125"/>
      <w:bookmarkStart w:id="394" w:name="_Toc14563"/>
      <w:bookmarkStart w:id="395" w:name="_Toc6596"/>
      <w:r>
        <w:rPr>
          <w:rFonts w:hint="eastAsia" w:ascii="宋体" w:hAnsi="宋体" w:cs="宋体"/>
          <w:b/>
          <w:sz w:val="24"/>
          <w:highlight w:val="none"/>
        </w:rPr>
        <w:t>五、服务要求</w:t>
      </w:r>
    </w:p>
    <w:p>
      <w:pPr>
        <w:pStyle w:val="7"/>
        <w:shd w:val="clear"/>
        <w:ind w:firstLine="480" w:firstLineChars="200"/>
        <w:rPr>
          <w:b/>
          <w:bCs/>
          <w:highlight w:val="none"/>
          <w:lang w:val="en-US"/>
        </w:rPr>
      </w:pPr>
      <w:r>
        <w:rPr>
          <w:rFonts w:hint="eastAsia"/>
          <w:highlight w:val="none"/>
          <w:lang w:val="en-US"/>
        </w:rPr>
        <w:t>1.根据甲方生产计划，</w:t>
      </w:r>
      <w:r>
        <w:rPr>
          <w:rFonts w:hint="eastAsia"/>
          <w:highlight w:val="none"/>
          <w:lang w:val="en-US" w:eastAsia="zh-CN"/>
        </w:rPr>
        <w:t>按需供货，乙方</w:t>
      </w:r>
      <w:r>
        <w:rPr>
          <w:rFonts w:hint="eastAsia"/>
          <w:highlight w:val="none"/>
          <w:lang w:val="en-US"/>
        </w:rPr>
        <w:t>负责在接到</w:t>
      </w:r>
      <w:r>
        <w:rPr>
          <w:rFonts w:hint="eastAsia"/>
          <w:highlight w:val="none"/>
          <w:lang w:val="en-US" w:eastAsia="zh-CN"/>
        </w:rPr>
        <w:t>甲方</w:t>
      </w:r>
      <w:r>
        <w:rPr>
          <w:rFonts w:hint="eastAsia"/>
          <w:highlight w:val="none"/>
          <w:lang w:val="en-US"/>
        </w:rPr>
        <w:t>电话或书面通知后在</w:t>
      </w:r>
      <w:r>
        <w:rPr>
          <w:rFonts w:hint="eastAsia"/>
          <w:highlight w:val="none"/>
          <w:lang w:val="en-US" w:eastAsia="zh-CN"/>
        </w:rPr>
        <w:t>1</w:t>
      </w:r>
      <w:r>
        <w:rPr>
          <w:rFonts w:hint="eastAsia"/>
          <w:highlight w:val="none"/>
          <w:lang w:val="en-US"/>
        </w:rPr>
        <w:t>5个工作日内完成供货。乙方负责卸货，人工费由乙方承担，甲方可免费提供叉车服务。</w:t>
      </w:r>
    </w:p>
    <w:p>
      <w:pPr>
        <w:pStyle w:val="7"/>
        <w:shd w:val="clear"/>
        <w:ind w:firstLine="480" w:firstLineChars="200"/>
        <w:rPr>
          <w:highlight w:val="none"/>
          <w:lang w:val="en-US"/>
        </w:rPr>
      </w:pPr>
      <w:r>
        <w:rPr>
          <w:rFonts w:hint="eastAsia"/>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highlight w:val="none"/>
          <w:lang w:val="en-US" w:eastAsia="zh-CN"/>
        </w:rPr>
        <w:t>，</w:t>
      </w:r>
      <w:r>
        <w:rPr>
          <w:rFonts w:hint="eastAsia"/>
          <w:highlight w:val="none"/>
          <w:lang w:val="en-US"/>
        </w:rPr>
        <w:t>24小时内派人员到达现场进行免费指导解决问题。</w:t>
      </w:r>
    </w:p>
    <w:p>
      <w:pPr>
        <w:pStyle w:val="7"/>
        <w:shd w:val="clear"/>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pStyle w:val="7"/>
        <w:shd w:val="clear"/>
        <w:ind w:firstLine="480" w:firstLineChars="200"/>
        <w:rPr>
          <w:highlight w:val="none"/>
          <w:lang w:val="en-US"/>
        </w:rPr>
      </w:pPr>
      <w:r>
        <w:rPr>
          <w:highlight w:val="none"/>
          <w:lang w:val="en-US"/>
        </w:rPr>
        <w:t>4</w:t>
      </w:r>
      <w:r>
        <w:rPr>
          <w:rFonts w:hint="eastAsia"/>
          <w:highlight w:val="none"/>
          <w:lang w:val="en-US"/>
        </w:rPr>
        <w:t>.在乙方所供的货物使用过程中，经甲方检测不合格的，乙方应在12小时内更换合格货物，如造成甲方机械设备故障或货物损坏，由乙方承担甲方的一切损失，包括直接和间接损失。</w:t>
      </w:r>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p>
    <w:p>
      <w:pPr>
        <w:shd w:val="clea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shd w:val="clea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shd w:val="clear"/>
        <w:tabs>
          <w:tab w:val="left" w:pos="360"/>
          <w:tab w:val="left" w:pos="540"/>
          <w:tab w:val="left" w:pos="1080"/>
        </w:tabs>
        <w:spacing w:line="360" w:lineRule="auto"/>
        <w:ind w:firstLine="480" w:firstLineChars="200"/>
        <w:rPr>
          <w:rFonts w:ascii="宋体" w:hAnsi="宋体" w:cs="宋体"/>
          <w:i/>
          <w:sz w:val="24"/>
          <w:highlight w:val="none"/>
        </w:rPr>
      </w:pPr>
      <w:r>
        <w:rPr>
          <w:rFonts w:hint="eastAsia" w:ascii="宋体" w:hAnsi="宋体" w:cs="宋体"/>
          <w:sz w:val="24"/>
          <w:highlight w:val="none"/>
        </w:rPr>
        <w:t>5.检验和验收标准、程序等具体内容以及前述验收书的效力如下：</w:t>
      </w:r>
    </w:p>
    <w:p>
      <w:pPr>
        <w:shd w:val="clear"/>
        <w:tabs>
          <w:tab w:val="left" w:pos="360"/>
          <w:tab w:val="left" w:pos="540"/>
          <w:tab w:val="left" w:pos="1080"/>
        </w:tabs>
        <w:spacing w:line="360" w:lineRule="auto"/>
        <w:ind w:firstLine="480" w:firstLineChars="200"/>
        <w:rPr>
          <w:rFonts w:ascii="宋体" w:hAnsi="宋体"/>
          <w:b/>
          <w:sz w:val="24"/>
          <w:highlight w:val="none"/>
        </w:rPr>
      </w:pPr>
      <w:r>
        <w:rPr>
          <w:rFonts w:hint="eastAsia" w:ascii="宋体" w:hAnsi="宋体"/>
          <w:sz w:val="24"/>
          <w:highlight w:val="none"/>
          <w:u w:val="single"/>
        </w:rPr>
        <w:t>有合法资质第三方机构验收单或者验收报告效力&gt;甲方的验收单或者验收报告&gt;合格证或出厂检测报告。</w:t>
      </w:r>
      <w:r>
        <w:rPr>
          <w:rFonts w:hint="eastAsia" w:ascii="宋体" w:hAnsi="宋体"/>
          <w:b/>
          <w:sz w:val="24"/>
          <w:highlight w:val="none"/>
        </w:rPr>
        <w:t xml:space="preserve"> </w:t>
      </w:r>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七、验收特别约定条款</w:t>
      </w:r>
    </w:p>
    <w:p>
      <w:pPr>
        <w:shd w:val="clea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无</w:t>
      </w:r>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八、履约保证金</w:t>
      </w:r>
    </w:p>
    <w:p>
      <w:pPr>
        <w:pStyle w:val="24"/>
        <w:shd w:val="clear"/>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pStyle w:val="7"/>
        <w:shd w:val="clear"/>
        <w:ind w:firstLine="480" w:firstLineChars="200"/>
        <w:rPr>
          <w:highlight w:val="none"/>
          <w:lang w:val="en-US"/>
        </w:rPr>
      </w:pPr>
      <w:r>
        <w:rPr>
          <w:rFonts w:hint="eastAsia"/>
          <w:highlight w:val="none"/>
          <w:lang w:val="en-US"/>
        </w:rPr>
        <w:t>1.履约保证金的比例为合同金额的</w:t>
      </w:r>
      <w:r>
        <w:rPr>
          <w:rFonts w:hint="eastAsia"/>
          <w:highlight w:val="none"/>
          <w:u w:val="single"/>
          <w:lang w:val="en-US" w:eastAsia="zh-CN"/>
        </w:rPr>
        <w:t>5</w:t>
      </w:r>
      <w:r>
        <w:rPr>
          <w:rFonts w:hint="eastAsia"/>
          <w:highlight w:val="none"/>
          <w:lang w:val="en-US"/>
        </w:rPr>
        <w:t>%，金额为</w:t>
      </w:r>
      <w:r>
        <w:rPr>
          <w:rFonts w:hint="eastAsia"/>
          <w:highlight w:val="none"/>
          <w:u w:val="single"/>
          <w:lang w:val="en-US"/>
        </w:rPr>
        <w:t xml:space="preserve"> </w:t>
      </w:r>
      <w:r>
        <w:rPr>
          <w:rFonts w:hint="eastAsia"/>
          <w:highlight w:val="none"/>
          <w:u w:val="single"/>
          <w:lang w:val="en-US" w:eastAsia="zh-CN"/>
        </w:rPr>
        <w:t xml:space="preserve">    </w:t>
      </w:r>
      <w:r>
        <w:rPr>
          <w:rFonts w:hint="eastAsia"/>
          <w:highlight w:val="none"/>
          <w:lang w:val="en-US"/>
        </w:rPr>
        <w:t>元；</w:t>
      </w:r>
    </w:p>
    <w:p>
      <w:pPr>
        <w:pStyle w:val="7"/>
        <w:shd w:val="clear"/>
        <w:ind w:firstLine="480" w:firstLineChars="200"/>
        <w:rPr>
          <w:highlight w:val="none"/>
          <w:lang w:val="en-US"/>
        </w:rPr>
      </w:pPr>
      <w:r>
        <w:rPr>
          <w:rFonts w:hint="eastAsia"/>
          <w:highlight w:val="none"/>
          <w:lang w:val="en-US"/>
        </w:rPr>
        <w:t>2.履约保证金支付时间：乙方应于本合同签订前按招标文件和本合同约定的支付履约保证金；</w:t>
      </w:r>
    </w:p>
    <w:p>
      <w:pPr>
        <w:pStyle w:val="7"/>
        <w:shd w:val="clear"/>
        <w:ind w:firstLine="480" w:firstLineChars="200"/>
        <w:rPr>
          <w:highlight w:val="none"/>
          <w:lang w:val="en-US"/>
        </w:rPr>
      </w:pPr>
      <w:r>
        <w:rPr>
          <w:highlight w:val="none"/>
          <w:lang w:val="en-US"/>
        </w:rPr>
        <w:t>3.</w:t>
      </w:r>
      <w:r>
        <w:rPr>
          <w:rFonts w:hint="eastAsia"/>
          <w:highlight w:val="none"/>
          <w:lang w:val="en-US"/>
        </w:rPr>
        <w:t>履约保证金支付方式： 电汇/转账 ；账户信息如下：</w:t>
      </w:r>
    </w:p>
    <w:p>
      <w:pPr>
        <w:pStyle w:val="7"/>
        <w:shd w:val="clear"/>
        <w:ind w:firstLine="480" w:firstLineChars="200"/>
        <w:rPr>
          <w:highlight w:val="none"/>
          <w:lang w:val="en-US"/>
        </w:rPr>
      </w:pPr>
      <w:r>
        <w:rPr>
          <w:rFonts w:hint="eastAsia"/>
          <w:highlight w:val="none"/>
          <w:lang w:val="en-US"/>
        </w:rPr>
        <w:t xml:space="preserve">名称：杭州临江环境能源有限公司   </w:t>
      </w:r>
    </w:p>
    <w:p>
      <w:pPr>
        <w:pStyle w:val="7"/>
        <w:shd w:val="clear"/>
        <w:ind w:firstLine="480" w:firstLineChars="200"/>
        <w:rPr>
          <w:highlight w:val="none"/>
          <w:lang w:val="en-US"/>
        </w:rPr>
      </w:pPr>
      <w:r>
        <w:rPr>
          <w:rFonts w:hint="eastAsia"/>
          <w:highlight w:val="none"/>
          <w:lang w:val="en-US"/>
        </w:rPr>
        <w:t>税号：91330100MA2B02NX2L</w:t>
      </w:r>
    </w:p>
    <w:p>
      <w:pPr>
        <w:pStyle w:val="7"/>
        <w:shd w:val="clear"/>
        <w:ind w:firstLine="480" w:firstLineChars="200"/>
        <w:rPr>
          <w:highlight w:val="none"/>
          <w:lang w:val="en-US"/>
        </w:rPr>
      </w:pPr>
      <w:r>
        <w:rPr>
          <w:rFonts w:hint="eastAsia"/>
          <w:highlight w:val="none"/>
          <w:lang w:val="en-US"/>
        </w:rPr>
        <w:t>地址电话：浙江省杭州市钱塘区临江街道红十五路10388-123号 0571-81997919</w:t>
      </w:r>
    </w:p>
    <w:p>
      <w:pPr>
        <w:pStyle w:val="7"/>
        <w:shd w:val="clear"/>
        <w:ind w:firstLine="480" w:firstLineChars="200"/>
        <w:rPr>
          <w:highlight w:val="none"/>
          <w:lang w:val="en-US"/>
        </w:rPr>
      </w:pPr>
      <w:r>
        <w:rPr>
          <w:rFonts w:hint="eastAsia"/>
          <w:highlight w:val="none"/>
          <w:lang w:val="en-US"/>
        </w:rPr>
        <w:t>开户行及账号：杭州银行大江东支行 3301040160008775754</w:t>
      </w:r>
    </w:p>
    <w:p>
      <w:pPr>
        <w:pStyle w:val="7"/>
        <w:shd w:val="clear"/>
        <w:ind w:firstLine="480" w:firstLineChars="200"/>
        <w:rPr>
          <w:highlight w:val="none"/>
          <w:lang w:val="en-US"/>
        </w:rPr>
      </w:pPr>
      <w:r>
        <w:rPr>
          <w:highlight w:val="none"/>
          <w:lang w:val="en-US"/>
        </w:rPr>
        <w:t>4</w:t>
      </w:r>
      <w:r>
        <w:rPr>
          <w:rFonts w:hint="eastAsia"/>
          <w:highlight w:val="none"/>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shd w:val="clear"/>
        <w:ind w:firstLine="480" w:firstLineChars="200"/>
        <w:rPr>
          <w:highlight w:val="none"/>
          <w:lang w:val="en-US"/>
        </w:rPr>
      </w:pPr>
      <w:r>
        <w:rPr>
          <w:highlight w:val="none"/>
          <w:lang w:val="en-US"/>
        </w:rPr>
        <w:t>5</w:t>
      </w:r>
      <w:r>
        <w:rPr>
          <w:rFonts w:hint="eastAsia"/>
          <w:highlight w:val="none"/>
          <w:lang w:val="en-US"/>
        </w:rPr>
        <w:t>.甲方在项目验收结束后及时退还履约保证金。甲方在项目通过验收之日起   30 个工作日内将履约保证金无息退还乙方。</w:t>
      </w:r>
    </w:p>
    <w:p>
      <w:pPr>
        <w:pStyle w:val="7"/>
        <w:shd w:val="clear"/>
        <w:ind w:firstLine="480" w:firstLineChars="200"/>
        <w:rPr>
          <w:highlight w:val="none"/>
          <w:lang w:val="en-US"/>
        </w:rPr>
      </w:pPr>
      <w:r>
        <w:rPr>
          <w:highlight w:val="none"/>
          <w:lang w:val="en-US"/>
        </w:rPr>
        <w:t>6</w:t>
      </w:r>
      <w:r>
        <w:rPr>
          <w:rFonts w:hint="eastAsia"/>
          <w:highlight w:val="none"/>
          <w:lang w:val="en-US"/>
        </w:rPr>
        <w:t>.乙方提前完成合同约定内容且无任何遗留问题，双方可提前终止合同（按第二章合同一般条款中的合同中止、终止条款执行），甲方应在终止合同之后提前退还乙方履约保证金。</w:t>
      </w:r>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九、预付款</w:t>
      </w:r>
    </w:p>
    <w:p>
      <w:pPr>
        <w:pStyle w:val="24"/>
        <w:shd w:val="clear"/>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4"/>
        <w:shd w:val="clear"/>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4"/>
        <w:shd w:val="clear"/>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十、资金支付</w:t>
      </w:r>
    </w:p>
    <w:p>
      <w:pPr>
        <w:pStyle w:val="24"/>
        <w:shd w:val="clear"/>
        <w:spacing w:before="0" w:beforeAutospacing="0" w:after="0" w:afterAutospacing="0" w:line="360" w:lineRule="auto"/>
        <w:ind w:firstLine="480"/>
        <w:rPr>
          <w:highlight w:val="none"/>
        </w:rPr>
      </w:pPr>
      <w:bookmarkStart w:id="396" w:name="_Toc2846"/>
      <w:bookmarkStart w:id="397" w:name="_Toc32071"/>
      <w:bookmarkStart w:id="398" w:name="_Toc19304"/>
      <w:r>
        <w:rPr>
          <w:rFonts w:hint="eastAsia"/>
          <w:highlight w:val="none"/>
        </w:rPr>
        <w:t>1.甲方应严格履行合同，及时组织验收，验收合格后及时将合同款支付完毕。对于满足合同约定支付条件的，甲方自收到合格发票后</w:t>
      </w:r>
      <w:r>
        <w:rPr>
          <w:rFonts w:hint="eastAsia"/>
          <w:b/>
          <w:bCs/>
          <w:i/>
          <w:iCs/>
          <w:highlight w:val="none"/>
          <w:u w:val="single"/>
        </w:rPr>
        <w:t>30</w:t>
      </w:r>
      <w:r>
        <w:rPr>
          <w:rFonts w:hint="eastAsia"/>
          <w:highlight w:val="none"/>
        </w:rPr>
        <w:t>个工作日内将资金支付到合同约定的乙方账户。</w:t>
      </w:r>
    </w:p>
    <w:p>
      <w:pPr>
        <w:pStyle w:val="24"/>
        <w:shd w:val="clear"/>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4"/>
        <w:shd w:val="clear"/>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  </w:t>
      </w:r>
      <w:r>
        <w:rPr>
          <w:rFonts w:hint="eastAsia"/>
          <w:highlight w:val="none"/>
        </w:rPr>
        <w:t>%；</w:t>
      </w:r>
    </w:p>
    <w:p>
      <w:pPr>
        <w:pStyle w:val="24"/>
        <w:shd w:val="clear"/>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4"/>
        <w:shd w:val="clear"/>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条款规定：</w:t>
      </w:r>
    </w:p>
    <w:p>
      <w:pPr>
        <w:pStyle w:val="24"/>
        <w:shd w:val="clear"/>
        <w:spacing w:before="0" w:beforeAutospacing="0" w:after="0" w:afterAutospacing="0" w:line="360" w:lineRule="auto"/>
        <w:ind w:firstLine="480"/>
        <w:rPr>
          <w:rFonts w:hint="default" w:eastAsiaTheme="minorEastAsia"/>
          <w:color w:val="auto"/>
          <w:highlight w:val="none"/>
          <w:u w:val="single"/>
          <w:lang w:val="en-US" w:eastAsia="zh-CN"/>
        </w:rPr>
      </w:pPr>
      <w:r>
        <w:rPr>
          <w:rFonts w:hint="eastAsia"/>
          <w:highlight w:val="none"/>
          <w:u w:val="single"/>
        </w:rPr>
        <w:t>（1） 按月支</w:t>
      </w:r>
      <w:r>
        <w:rPr>
          <w:rFonts w:hint="eastAsia"/>
          <w:color w:val="auto"/>
          <w:highlight w:val="none"/>
          <w:u w:val="single"/>
        </w:rPr>
        <w:t>付，本月</w:t>
      </w:r>
      <w:r>
        <w:rPr>
          <w:rFonts w:hint="eastAsia"/>
          <w:color w:val="auto"/>
          <w:highlight w:val="none"/>
          <w:u w:val="single"/>
          <w:lang w:val="en-US" w:eastAsia="zh-CN"/>
        </w:rPr>
        <w:t>验收合格的</w:t>
      </w:r>
      <w:r>
        <w:rPr>
          <w:rFonts w:hint="eastAsia"/>
          <w:color w:val="auto"/>
          <w:highlight w:val="none"/>
          <w:u w:val="single"/>
        </w:rPr>
        <w:t>货款次月结算，甲方收到乙方提供的增值税专用发票后，甲方在本合同约定时间内完成支付 ；</w:t>
      </w:r>
      <w:r>
        <w:rPr>
          <w:rFonts w:hint="eastAsia"/>
          <w:color w:val="auto"/>
          <w:highlight w:val="none"/>
          <w:u w:val="single"/>
          <w:lang w:val="en-US" w:eastAsia="zh-CN"/>
        </w:rPr>
        <w:t>未验收合格的，货款不予支付，乙方按本合同约定承担违约责任；</w:t>
      </w:r>
    </w:p>
    <w:p>
      <w:pPr>
        <w:pStyle w:val="24"/>
        <w:shd w:val="clear"/>
        <w:spacing w:before="0" w:beforeAutospacing="0" w:after="0" w:afterAutospacing="0" w:line="360" w:lineRule="auto"/>
        <w:ind w:firstLine="480"/>
        <w:rPr>
          <w:highlight w:val="none"/>
        </w:rPr>
      </w:pPr>
      <w:r>
        <w:rPr>
          <w:rFonts w:hint="eastAsia"/>
          <w:highlight w:val="none"/>
        </w:rPr>
        <w:t>（2）按季度支付，本季度货款次季度结算，甲方收到乙方提供的增值税专用发票后，甲方在本合同约定时间内完成支付 ；</w:t>
      </w:r>
    </w:p>
    <w:p>
      <w:pPr>
        <w:pStyle w:val="24"/>
        <w:shd w:val="clear"/>
        <w:spacing w:before="0" w:beforeAutospacing="0" w:after="0" w:afterAutospacing="0" w:line="360" w:lineRule="auto"/>
        <w:ind w:firstLine="480"/>
        <w:rPr>
          <w:highlight w:val="none"/>
        </w:rPr>
      </w:pPr>
      <w:r>
        <w:rPr>
          <w:rFonts w:hint="eastAsia"/>
          <w:highlight w:val="none"/>
        </w:rPr>
        <w:t xml:space="preserve">（3）一次性付款，经甲方验收合格后，甲方收到乙方提供的增值税专用发票后，甲方在本合同约定时间内完成支付。  </w:t>
      </w:r>
    </w:p>
    <w:p>
      <w:pPr>
        <w:pStyle w:val="24"/>
        <w:shd w:val="clear"/>
        <w:spacing w:before="0" w:beforeAutospacing="0" w:after="0" w:afterAutospacing="0" w:line="360" w:lineRule="auto"/>
        <w:ind w:firstLine="480" w:firstLineChars="200"/>
        <w:rPr>
          <w:b/>
          <w:kern w:val="2"/>
          <w:highlight w:val="none"/>
        </w:rPr>
      </w:pPr>
      <w:r>
        <w:rPr>
          <w:rFonts w:hint="eastAsia"/>
          <w:highlight w:val="none"/>
        </w:rPr>
        <w:t>（4）其他付款方式：</w:t>
      </w:r>
      <w:r>
        <w:rPr>
          <w:rFonts w:hint="eastAsia"/>
          <w:b/>
          <w:kern w:val="2"/>
          <w:highlight w:val="none"/>
          <w:u w:val="single"/>
        </w:rPr>
        <w:t xml:space="preserve">      </w:t>
      </w:r>
      <w:r>
        <w:rPr>
          <w:rFonts w:hint="eastAsia"/>
          <w:b/>
          <w:kern w:val="2"/>
          <w:highlight w:val="none"/>
          <w:u w:val="single"/>
          <w:lang w:val="en-US" w:eastAsia="zh-CN"/>
        </w:rPr>
        <w:t>/</w:t>
      </w:r>
      <w:r>
        <w:rPr>
          <w:rFonts w:hint="eastAsia"/>
          <w:b/>
          <w:kern w:val="2"/>
          <w:highlight w:val="none"/>
          <w:u w:val="single"/>
        </w:rPr>
        <w:t xml:space="preserve">   </w:t>
      </w:r>
      <w:r>
        <w:rPr>
          <w:rFonts w:hint="eastAsia"/>
          <w:b/>
          <w:kern w:val="2"/>
          <w:highlight w:val="none"/>
        </w:rPr>
        <w:t xml:space="preserve"> 。         </w:t>
      </w:r>
    </w:p>
    <w:bookmarkEnd w:id="396"/>
    <w:bookmarkEnd w:id="397"/>
    <w:bookmarkEnd w:id="398"/>
    <w:p>
      <w:pPr>
        <w:shd w:val="clear"/>
        <w:spacing w:line="360" w:lineRule="auto"/>
        <w:ind w:firstLine="482" w:firstLineChars="200"/>
        <w:rPr>
          <w:rFonts w:ascii="宋体" w:hAnsi="宋体" w:cs="宋体"/>
          <w:b/>
          <w:sz w:val="24"/>
          <w:highlight w:val="none"/>
        </w:rPr>
      </w:pPr>
      <w:bookmarkStart w:id="399" w:name="_Toc27250"/>
      <w:bookmarkStart w:id="400" w:name="_Toc19554"/>
      <w:bookmarkStart w:id="401" w:name="_Toc21423"/>
      <w:r>
        <w:rPr>
          <w:rFonts w:hint="eastAsia" w:ascii="宋体" w:hAnsi="宋体" w:cs="宋体"/>
          <w:b/>
          <w:sz w:val="24"/>
          <w:highlight w:val="none"/>
        </w:rPr>
        <w:t>十一、违约责任</w:t>
      </w:r>
      <w:bookmarkEnd w:id="399"/>
      <w:bookmarkEnd w:id="400"/>
      <w:bookmarkEnd w:id="401"/>
    </w:p>
    <w:p>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pPr>
        <w:shd w:val="clea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（1）乙方交付的货物不符合合同约定或验收不合格的，应当及时更换，因此延误交货期限的，按照逾期交货承担违约责任 ；</w:t>
      </w:r>
    </w:p>
    <w:p>
      <w:pPr>
        <w:shd w:val="clea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（2）乙方不履行售后服务义务的，每次应向甲方承担1000元的违约金，且仍应履行售后服务义务；</w:t>
      </w:r>
    </w:p>
    <w:p>
      <w:pPr>
        <w:shd w:val="clea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（3）甲方无故拒收货物，乙方有权要求甲方按照合同原价支付货款  。</w:t>
      </w:r>
    </w:p>
    <w:p>
      <w:pPr>
        <w:shd w:val="clea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（4）若质保期内出现质量问题，甲方有权从质保金中扣除违约金，同时乙方应免费维修或更换。</w:t>
      </w:r>
    </w:p>
    <w:p>
      <w:pPr>
        <w:shd w:val="clear"/>
        <w:spacing w:line="360" w:lineRule="auto"/>
        <w:ind w:right="-420" w:rightChars="-200"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7.在使用乙方提供的货物或者服务过程中，因产品质量或乙方其他问题给机械设备造成故障或货物损坏，由乙方承担甲方的一切损失，包括直接和间接损失。</w:t>
      </w:r>
    </w:p>
    <w:p>
      <w:pPr>
        <w:shd w:val="clear"/>
        <w:spacing w:line="360" w:lineRule="auto"/>
        <w:ind w:firstLine="482" w:firstLineChars="200"/>
        <w:rPr>
          <w:rFonts w:ascii="宋体" w:hAnsi="宋体" w:cs="宋体"/>
          <w:b/>
          <w:sz w:val="24"/>
          <w:highlight w:val="none"/>
        </w:rPr>
      </w:pPr>
      <w:bookmarkStart w:id="402" w:name="_Toc16021"/>
      <w:bookmarkStart w:id="403" w:name="_Toc15583"/>
      <w:bookmarkStart w:id="404" w:name="_Toc28375"/>
      <w:r>
        <w:rPr>
          <w:rFonts w:hint="eastAsia" w:ascii="宋体" w:hAnsi="宋体" w:cs="宋体"/>
          <w:b/>
          <w:sz w:val="24"/>
          <w:highlight w:val="none"/>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2  </w:t>
      </w:r>
      <w:r>
        <w:rPr>
          <w:rFonts w:hint="eastAsia" w:ascii="宋体" w:hAnsi="宋体" w:cs="宋体"/>
          <w:sz w:val="24"/>
          <w:highlight w:val="none"/>
        </w:rPr>
        <w:t>条款规定的方式解决：</w:t>
      </w:r>
    </w:p>
    <w:p>
      <w:pPr>
        <w:shd w:val="clear"/>
        <w:spacing w:line="360" w:lineRule="auto"/>
        <w:ind w:right="-420" w:rightChars="-200" w:firstLine="480" w:firstLineChars="200"/>
        <w:rPr>
          <w:rFonts w:ascii="宋体" w:hAnsi="宋体" w:cs="宋体"/>
          <w:sz w:val="24"/>
          <w:highlight w:val="none"/>
        </w:rPr>
      </w:pPr>
      <w:bookmarkStart w:id="405" w:name="_Toc11173"/>
      <w:bookmarkStart w:id="406" w:name="_Toc7245"/>
      <w:bookmarkStart w:id="407" w:name="_Toc15322"/>
      <w:r>
        <w:rPr>
          <w:rFonts w:hint="eastAsia" w:ascii="宋体" w:hAnsi="宋体" w:cs="宋体"/>
          <w:sz w:val="24"/>
          <w:highlight w:val="none"/>
        </w:rPr>
        <w:t>1. 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hd w:val="clea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十三、合同生效</w:t>
      </w:r>
    </w:p>
    <w:p>
      <w:pPr>
        <w:pStyle w:val="23"/>
        <w:shd w:val="clear"/>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、第三章廉洁协议为本合同不可分割的一部分，</w:t>
      </w:r>
      <w:r>
        <w:rPr>
          <w:rFonts w:ascii="宋体" w:hAnsi="宋体"/>
          <w:highlight w:val="none"/>
        </w:rPr>
        <w:t>均具有同等法律效力</w:t>
      </w:r>
      <w:r>
        <w:rPr>
          <w:rFonts w:hint="eastAsia" w:ascii="宋体" w:hAnsi="宋体"/>
          <w:highlight w:val="none"/>
        </w:rPr>
        <w:t>。</w:t>
      </w:r>
    </w:p>
    <w:p>
      <w:pPr>
        <w:pStyle w:val="23"/>
        <w:shd w:val="clear"/>
        <w:ind w:left="0" w:leftChars="0" w:firstLine="0" w:firstLineChars="0"/>
        <w:jc w:val="center"/>
        <w:outlineLvl w:val="0"/>
        <w:rPr>
          <w:rFonts w:ascii="宋体" w:hAnsi="宋体" w:cs="宋体"/>
          <w:b/>
          <w:szCs w:val="24"/>
          <w:highlight w:val="none"/>
        </w:rPr>
      </w:pPr>
      <w:bookmarkStart w:id="408" w:name="_Toc11152"/>
      <w:r>
        <w:rPr>
          <w:rFonts w:hint="eastAsia" w:ascii="宋体" w:hAnsi="宋体" w:cs="宋体"/>
          <w:b/>
          <w:szCs w:val="24"/>
          <w:highlight w:val="none"/>
        </w:rPr>
        <w:t>第二章 合同一般条款</w:t>
      </w:r>
      <w:bookmarkEnd w:id="408"/>
    </w:p>
    <w:p>
      <w:pPr>
        <w:shd w:val="clear"/>
        <w:spacing w:line="360" w:lineRule="auto"/>
        <w:ind w:firstLine="482" w:firstLineChars="200"/>
        <w:rPr>
          <w:rFonts w:ascii="宋体" w:hAnsi="宋体" w:cs="宋体"/>
          <w:b/>
          <w:sz w:val="24"/>
          <w:highlight w:val="none"/>
        </w:rPr>
      </w:pPr>
      <w:bookmarkStart w:id="409" w:name="_Ref467379094"/>
      <w:bookmarkStart w:id="410" w:name="_Ref467379195"/>
      <w:bookmarkStart w:id="411" w:name="_Toc487900349"/>
      <w:bookmarkStart w:id="412" w:name="_Ref467379109"/>
      <w:bookmarkStart w:id="413" w:name="_Toc19614"/>
      <w:bookmarkStart w:id="414" w:name="_Ref467379214"/>
      <w:bookmarkStart w:id="415" w:name="_Toc259093669"/>
      <w:bookmarkStart w:id="416" w:name="_Ref467379205"/>
      <w:bookmarkStart w:id="417" w:name="_Toc28763"/>
      <w:bookmarkStart w:id="418" w:name="_Ref467379225"/>
      <w:bookmarkStart w:id="419" w:name="_Ref467378404"/>
      <w:bookmarkStart w:id="420" w:name="_Ref467378463"/>
      <w:bookmarkStart w:id="421" w:name="_Ref467379101"/>
      <w:bookmarkStart w:id="422" w:name="_Ref467378499"/>
      <w:bookmarkStart w:id="423" w:name="_Toc16917"/>
      <w:bookmarkStart w:id="424" w:name="_Toc279701240"/>
      <w:r>
        <w:rPr>
          <w:rFonts w:hint="eastAsia" w:ascii="宋体" w:hAnsi="宋体" w:cs="宋体"/>
          <w:b/>
          <w:sz w:val="24"/>
          <w:highlight w:val="none"/>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highlight w:val="none"/>
        </w:rPr>
      </w:pPr>
      <w:bookmarkStart w:id="425" w:name="_Ref467378840"/>
      <w:r>
        <w:rPr>
          <w:rFonts w:hint="eastAsia" w:ascii="宋体" w:hAnsi="宋体" w:cs="宋体"/>
          <w:sz w:val="24"/>
          <w:highlight w:val="none"/>
        </w:rPr>
        <w:t>4.“甲方”系指与中标或成交供应商签署合同的采购人</w:t>
      </w:r>
      <w:bookmarkEnd w:id="425"/>
      <w:r>
        <w:rPr>
          <w:rFonts w:hint="eastAsia" w:ascii="宋体" w:hAnsi="宋体" w:cs="宋体"/>
          <w:sz w:val="24"/>
          <w:highlight w:val="none"/>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highlight w:val="none"/>
        </w:rPr>
      </w:pPr>
      <w:bookmarkStart w:id="426" w:name="_Ref467379400"/>
      <w:r>
        <w:rPr>
          <w:rFonts w:hint="eastAsia" w:ascii="宋体" w:hAnsi="宋体" w:cs="宋体"/>
          <w:sz w:val="24"/>
          <w:highlight w:val="none"/>
        </w:rPr>
        <w:t>5.“乙方”系指根据合同约定交付货物的中标或成交供应商</w:t>
      </w:r>
      <w:bookmarkEnd w:id="426"/>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highlight w:val="none"/>
        </w:rPr>
      </w:pPr>
      <w:bookmarkStart w:id="427" w:name="_Ref467379436"/>
      <w:r>
        <w:rPr>
          <w:rFonts w:hint="eastAsia" w:ascii="宋体" w:hAnsi="宋体" w:cs="宋体"/>
          <w:sz w:val="24"/>
          <w:highlight w:val="none"/>
        </w:rPr>
        <w:t>6.“现场”系指合同约定货物将要运至或者安装的地点。</w:t>
      </w:r>
      <w:bookmarkEnd w:id="427"/>
    </w:p>
    <w:p>
      <w:pPr>
        <w:shd w:val="clear"/>
        <w:spacing w:line="360" w:lineRule="auto"/>
        <w:ind w:firstLine="482" w:firstLineChars="200"/>
        <w:rPr>
          <w:rFonts w:ascii="宋体" w:hAnsi="宋体" w:cs="宋体"/>
          <w:b/>
          <w:sz w:val="24"/>
          <w:highlight w:val="none"/>
        </w:rPr>
      </w:pPr>
      <w:bookmarkStart w:id="428" w:name="_Toc279701241"/>
      <w:bookmarkStart w:id="429" w:name="_Toc27635"/>
      <w:bookmarkStart w:id="430" w:name="_Toc13336"/>
      <w:bookmarkStart w:id="431" w:name="_Toc32504"/>
      <w:bookmarkStart w:id="432" w:name="_Toc259093670"/>
      <w:bookmarkStart w:id="433" w:name="_Toc487900350"/>
      <w:r>
        <w:rPr>
          <w:rFonts w:hint="eastAsia" w:ascii="宋体" w:hAnsi="宋体" w:cs="宋体"/>
          <w:b/>
          <w:sz w:val="24"/>
          <w:highlight w:val="none"/>
        </w:rPr>
        <w:t>二、技术规范</w:t>
      </w:r>
      <w:bookmarkEnd w:id="428"/>
      <w:bookmarkEnd w:id="429"/>
      <w:bookmarkEnd w:id="430"/>
      <w:bookmarkEnd w:id="431"/>
      <w:bookmarkEnd w:id="432"/>
      <w:bookmarkEnd w:id="433"/>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w:t>
      </w:r>
      <w:r>
        <w:rPr>
          <w:rFonts w:hint="eastAsia" w:ascii="宋体" w:hAnsi="宋体" w:cs="宋体"/>
          <w:sz w:val="24"/>
          <w:highlight w:val="none"/>
          <w:lang w:eastAsia="zh-CN"/>
        </w:rPr>
        <w:t>（</w:t>
      </w:r>
      <w:r>
        <w:rPr>
          <w:rFonts w:hint="eastAsia" w:ascii="宋体" w:hAnsi="宋体" w:cs="宋体"/>
          <w:sz w:val="24"/>
          <w:highlight w:val="none"/>
        </w:rPr>
        <w:t>如果有的话</w:t>
      </w:r>
      <w:r>
        <w:rPr>
          <w:rFonts w:hint="eastAsia" w:ascii="宋体" w:hAnsi="宋体" w:cs="宋体"/>
          <w:sz w:val="24"/>
          <w:highlight w:val="none"/>
          <w:lang w:eastAsia="zh-CN"/>
        </w:rPr>
        <w:t>）</w:t>
      </w:r>
      <w:r>
        <w:rPr>
          <w:rFonts w:hint="eastAsia" w:ascii="宋体" w:hAnsi="宋体" w:cs="宋体"/>
          <w:sz w:val="24"/>
          <w:highlight w:val="none"/>
        </w:rPr>
        <w:t>及其技术规范偏差表</w:t>
      </w:r>
      <w:r>
        <w:rPr>
          <w:rFonts w:hint="eastAsia" w:ascii="宋体" w:hAnsi="宋体" w:cs="宋体"/>
          <w:sz w:val="24"/>
          <w:highlight w:val="none"/>
          <w:lang w:eastAsia="zh-CN"/>
        </w:rPr>
        <w:t>（</w:t>
      </w:r>
      <w:r>
        <w:rPr>
          <w:rFonts w:hint="eastAsia" w:ascii="宋体" w:hAnsi="宋体" w:cs="宋体"/>
          <w:sz w:val="24"/>
          <w:highlight w:val="none"/>
        </w:rPr>
        <w:t>如果被甲方接受的话</w:t>
      </w:r>
      <w:r>
        <w:rPr>
          <w:rFonts w:hint="eastAsia" w:ascii="宋体" w:hAnsi="宋体" w:cs="宋体"/>
          <w:sz w:val="24"/>
          <w:highlight w:val="none"/>
          <w:lang w:eastAsia="zh-CN"/>
        </w:rPr>
        <w:t>）</w:t>
      </w:r>
      <w:r>
        <w:rPr>
          <w:rFonts w:hint="eastAsia" w:ascii="宋体" w:hAnsi="宋体" w:cs="宋体"/>
          <w:sz w:val="24"/>
          <w:highlight w:val="none"/>
        </w:rPr>
        <w:t>相一致；如果采购文件中没有技术规范的相应说明，那么应以国家有关部门最新颁布的相应标准和规范为准。</w:t>
      </w:r>
    </w:p>
    <w:p>
      <w:pPr>
        <w:shd w:val="clear"/>
        <w:spacing w:line="360" w:lineRule="auto"/>
        <w:ind w:firstLine="482" w:firstLineChars="200"/>
        <w:rPr>
          <w:rFonts w:ascii="宋体" w:hAnsi="宋体" w:cs="宋体"/>
          <w:b/>
          <w:sz w:val="24"/>
          <w:highlight w:val="none"/>
        </w:rPr>
      </w:pPr>
      <w:bookmarkStart w:id="434" w:name="_Toc9829"/>
      <w:bookmarkStart w:id="435" w:name="_Toc31634"/>
      <w:bookmarkStart w:id="436" w:name="_Toc27853"/>
      <w:bookmarkStart w:id="437" w:name="_Toc487900351"/>
      <w:bookmarkStart w:id="438" w:name="_Toc259093671"/>
      <w:bookmarkStart w:id="439" w:name="_Toc279701242"/>
      <w:r>
        <w:rPr>
          <w:rFonts w:hint="eastAsia" w:ascii="宋体" w:hAnsi="宋体" w:cs="宋体"/>
          <w:b/>
          <w:sz w:val="24"/>
          <w:highlight w:val="none"/>
        </w:rPr>
        <w:t>三、知识产权</w:t>
      </w:r>
      <w:bookmarkEnd w:id="434"/>
      <w:bookmarkEnd w:id="435"/>
      <w:bookmarkEnd w:id="436"/>
      <w:bookmarkEnd w:id="437"/>
      <w:bookmarkEnd w:id="438"/>
      <w:bookmarkEnd w:id="439"/>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hd w:val="clear"/>
        <w:spacing w:line="360" w:lineRule="auto"/>
        <w:ind w:firstLine="482" w:firstLineChars="200"/>
        <w:rPr>
          <w:rFonts w:ascii="宋体" w:hAnsi="宋体" w:eastAsia="宋体" w:cs="宋体"/>
          <w:b/>
          <w:sz w:val="24"/>
          <w:highlight w:val="none"/>
        </w:rPr>
      </w:pPr>
      <w:bookmarkStart w:id="440" w:name="_Toc11932"/>
      <w:bookmarkStart w:id="441" w:name="_Toc4194"/>
      <w:bookmarkStart w:id="442" w:name="_Toc29149"/>
      <w:r>
        <w:rPr>
          <w:rFonts w:hint="eastAsia" w:ascii="宋体" w:hAnsi="宋体" w:cs="宋体"/>
          <w:b/>
          <w:sz w:val="24"/>
          <w:highlight w:val="none"/>
        </w:rPr>
        <w:t>四、装运包装</w:t>
      </w:r>
      <w:bookmarkEnd w:id="440"/>
      <w:bookmarkEnd w:id="441"/>
      <w:bookmarkEnd w:id="442"/>
      <w:r>
        <w:rPr>
          <w:rFonts w:hint="eastAsia" w:ascii="宋体" w:hAnsi="宋体" w:cs="宋体"/>
          <w:b/>
          <w:sz w:val="24"/>
          <w:highlight w:val="none"/>
        </w:rPr>
        <w:t>及交付要求</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w:t>
      </w:r>
      <w:r>
        <w:rPr>
          <w:rFonts w:hint="eastAsia" w:ascii="宋体" w:hAnsi="宋体" w:cs="宋体"/>
          <w:sz w:val="24"/>
          <w:highlight w:val="none"/>
          <w:lang w:eastAsia="zh-CN"/>
        </w:rPr>
        <w:t>，</w:t>
      </w:r>
      <w:r>
        <w:rPr>
          <w:rFonts w:hint="eastAsia" w:ascii="宋体" w:hAnsi="宋体" w:cs="宋体"/>
          <w:sz w:val="24"/>
          <w:highlight w:val="none"/>
        </w:rPr>
        <w:t>乙方交付的全部货物</w:t>
      </w:r>
      <w:r>
        <w:rPr>
          <w:rFonts w:hint="eastAsia" w:ascii="宋体" w:hAnsi="宋体" w:cs="宋体"/>
          <w:sz w:val="24"/>
          <w:highlight w:val="none"/>
          <w:lang w:eastAsia="zh-CN"/>
        </w:rPr>
        <w:t>，</w:t>
      </w:r>
      <w:r>
        <w:rPr>
          <w:rFonts w:hint="eastAsia" w:ascii="宋体" w:hAnsi="宋体" w:cs="宋体"/>
          <w:sz w:val="24"/>
          <w:highlight w:val="none"/>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（1）乙方送货每批物资必须要附甲方采购订单、送货单、合格证或者检测报告，否则甲方有权拒收；</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rPr>
          <w:rFonts w:ascii="宋体" w:hAnsi="宋体" w:cs="宋体"/>
          <w:b/>
          <w:sz w:val="24"/>
          <w:highlight w:val="none"/>
        </w:rPr>
      </w:pPr>
      <w:bookmarkStart w:id="443" w:name="_Toc26182"/>
      <w:bookmarkStart w:id="444" w:name="_Toc19074"/>
      <w:bookmarkStart w:id="445" w:name="_Toc30272"/>
      <w:r>
        <w:rPr>
          <w:rFonts w:hint="eastAsia" w:ascii="宋体" w:hAnsi="宋体" w:cs="宋体"/>
          <w:b/>
          <w:sz w:val="24"/>
          <w:highlight w:val="none"/>
        </w:rPr>
        <w:t>五、 履约检查和问题反馈</w:t>
      </w:r>
      <w:bookmarkEnd w:id="443"/>
      <w:bookmarkEnd w:id="444"/>
      <w:bookmarkEnd w:id="445"/>
    </w:p>
    <w:p>
      <w:pPr>
        <w:shd w:val="clear"/>
        <w:spacing w:line="360" w:lineRule="auto"/>
        <w:ind w:firstLine="480" w:firstLineChars="200"/>
        <w:rPr>
          <w:rFonts w:ascii="宋体" w:hAnsi="宋体" w:cs="宋体"/>
          <w:sz w:val="24"/>
          <w:highlight w:val="none"/>
        </w:rPr>
      </w:pPr>
      <w:bookmarkStart w:id="446" w:name="_Toc186431854"/>
      <w:bookmarkStart w:id="447" w:name="_Ref467379807"/>
      <w:bookmarkStart w:id="448" w:name="_Ref467379793"/>
      <w:bookmarkStart w:id="449" w:name="_Toc259093676"/>
      <w:bookmarkStart w:id="450" w:name="_Toc487900357"/>
      <w:bookmarkStart w:id="451" w:name="_Toc279701247"/>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highlight w:val="none"/>
        </w:rPr>
        <w:t>。</w:t>
      </w:r>
    </w:p>
    <w:bookmarkEnd w:id="447"/>
    <w:bookmarkEnd w:id="448"/>
    <w:bookmarkEnd w:id="449"/>
    <w:bookmarkEnd w:id="450"/>
    <w:bookmarkEnd w:id="451"/>
    <w:bookmarkEnd w:id="452"/>
    <w:p>
      <w:pPr>
        <w:shd w:val="clear"/>
        <w:spacing w:line="360" w:lineRule="auto"/>
        <w:ind w:firstLine="482" w:firstLineChars="200"/>
        <w:rPr>
          <w:rFonts w:ascii="宋体" w:hAnsi="宋体" w:cs="宋体"/>
          <w:b/>
          <w:sz w:val="24"/>
          <w:highlight w:val="none"/>
        </w:rPr>
      </w:pPr>
      <w:bookmarkStart w:id="453" w:name="_Toc259093677"/>
      <w:bookmarkStart w:id="454" w:name="_Ref467379852"/>
      <w:bookmarkStart w:id="455" w:name="_Ref467379923"/>
      <w:bookmarkStart w:id="456" w:name="_Toc487900358"/>
      <w:bookmarkStart w:id="457" w:name="_Ref467379863"/>
      <w:bookmarkStart w:id="458" w:name="_Toc279701248"/>
      <w:bookmarkStart w:id="459" w:name="_Toc16110"/>
      <w:bookmarkStart w:id="460" w:name="_Toc3225"/>
      <w:bookmarkStart w:id="461" w:name="_Toc774"/>
      <w:r>
        <w:rPr>
          <w:rFonts w:hint="eastAsia" w:ascii="宋体" w:hAnsi="宋体" w:cs="宋体"/>
          <w:b/>
          <w:sz w:val="24"/>
          <w:highlight w:val="none"/>
        </w:rPr>
        <w:t>六、技术资料</w:t>
      </w:r>
      <w:bookmarkEnd w:id="453"/>
      <w:bookmarkEnd w:id="454"/>
      <w:bookmarkEnd w:id="455"/>
      <w:bookmarkEnd w:id="456"/>
      <w:bookmarkEnd w:id="457"/>
      <w:bookmarkEnd w:id="458"/>
      <w:r>
        <w:rPr>
          <w:rFonts w:hint="eastAsia" w:ascii="宋体" w:hAnsi="宋体" w:cs="宋体"/>
          <w:b/>
          <w:sz w:val="24"/>
          <w:highlight w:val="none"/>
        </w:rPr>
        <w:t>和保密义务</w:t>
      </w:r>
      <w:bookmarkEnd w:id="459"/>
      <w:bookmarkEnd w:id="460"/>
      <w:bookmarkEnd w:id="461"/>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rPr>
          <w:rFonts w:ascii="宋体" w:hAnsi="宋体" w:cs="宋体"/>
          <w:b/>
          <w:sz w:val="24"/>
          <w:highlight w:val="none"/>
        </w:rPr>
      </w:pPr>
      <w:bookmarkStart w:id="462" w:name="_Toc7860"/>
      <w:r>
        <w:rPr>
          <w:rFonts w:hint="eastAsia" w:ascii="宋体" w:hAnsi="宋体" w:cs="宋体"/>
          <w:b/>
          <w:sz w:val="24"/>
          <w:highlight w:val="none"/>
        </w:rPr>
        <w:t>七、质量保证</w:t>
      </w:r>
      <w:bookmarkEnd w:id="462"/>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hd w:val="clear"/>
        <w:spacing w:line="360" w:lineRule="auto"/>
        <w:ind w:firstLine="482" w:firstLineChars="200"/>
        <w:rPr>
          <w:rFonts w:ascii="宋体" w:hAnsi="宋体" w:cs="宋体"/>
          <w:b/>
          <w:sz w:val="24"/>
          <w:highlight w:val="none"/>
        </w:rPr>
      </w:pPr>
      <w:bookmarkStart w:id="463" w:name="_Toc17244"/>
      <w:bookmarkStart w:id="464" w:name="_Toc259093681"/>
      <w:bookmarkStart w:id="465" w:name="_Toc487900362"/>
      <w:bookmarkStart w:id="466" w:name="_Toc279701252"/>
      <w:r>
        <w:rPr>
          <w:rFonts w:hint="eastAsia" w:ascii="宋体" w:hAnsi="宋体" w:cs="宋体"/>
          <w:b/>
          <w:sz w:val="24"/>
          <w:highlight w:val="none"/>
        </w:rPr>
        <w:t>八、货物的风险负担</w:t>
      </w:r>
      <w:bookmarkEnd w:id="463"/>
    </w:p>
    <w:p>
      <w:pPr>
        <w:shd w:val="clea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hd w:val="clear"/>
        <w:spacing w:line="360" w:lineRule="auto"/>
        <w:ind w:firstLine="482" w:firstLineChars="200"/>
        <w:rPr>
          <w:rFonts w:ascii="宋体" w:hAnsi="宋体" w:cs="宋体"/>
          <w:b/>
          <w:sz w:val="24"/>
          <w:highlight w:val="none"/>
        </w:rPr>
      </w:pPr>
      <w:bookmarkStart w:id="467" w:name="_Toc14055"/>
      <w:r>
        <w:rPr>
          <w:rFonts w:hint="eastAsia" w:ascii="宋体" w:hAnsi="宋体" w:cs="宋体"/>
          <w:b/>
          <w:sz w:val="24"/>
          <w:highlight w:val="none"/>
        </w:rPr>
        <w:t>九、延迟交货</w:t>
      </w:r>
      <w:bookmarkEnd w:id="464"/>
      <w:bookmarkEnd w:id="465"/>
      <w:bookmarkEnd w:id="466"/>
      <w:bookmarkEnd w:id="467"/>
    </w:p>
    <w:p>
      <w:pPr>
        <w:shd w:val="clea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rPr>
          <w:rFonts w:ascii="宋体" w:hAnsi="宋体" w:eastAsia="宋体" w:cs="宋体"/>
          <w:b/>
          <w:sz w:val="24"/>
          <w:highlight w:val="none"/>
        </w:rPr>
      </w:pPr>
      <w:bookmarkStart w:id="468" w:name="_Toc7502"/>
      <w:bookmarkStart w:id="469" w:name="_Toc259093683"/>
      <w:bookmarkStart w:id="470" w:name="_Toc279701254"/>
      <w:bookmarkStart w:id="471" w:name="_Ref467378121"/>
      <w:bookmarkStart w:id="472" w:name="_Toc487900364"/>
      <w:r>
        <w:rPr>
          <w:rFonts w:hint="eastAsia" w:ascii="宋体" w:hAnsi="宋体" w:cs="宋体"/>
          <w:b/>
          <w:sz w:val="24"/>
          <w:highlight w:val="none"/>
        </w:rPr>
        <w:t>十、合同变更</w:t>
      </w:r>
      <w:bookmarkEnd w:id="468"/>
      <w:r>
        <w:rPr>
          <w:rFonts w:hint="eastAsia" w:ascii="宋体" w:hAnsi="宋体" w:cs="宋体"/>
          <w:b/>
          <w:sz w:val="24"/>
          <w:highlight w:val="none"/>
        </w:rPr>
        <w:t>或补充</w:t>
      </w:r>
    </w:p>
    <w:p>
      <w:pPr>
        <w:shd w:val="clear"/>
        <w:spacing w:line="360" w:lineRule="auto"/>
        <w:ind w:firstLine="480" w:firstLineChars="200"/>
        <w:rPr>
          <w:rFonts w:ascii="宋体" w:hAnsi="宋体"/>
          <w:sz w:val="24"/>
          <w:highlight w:val="none"/>
        </w:rPr>
      </w:pPr>
      <w:bookmarkStart w:id="473" w:name="_Toc279701259"/>
      <w:bookmarkStart w:id="474" w:name="_Toc487900369"/>
      <w:bookmarkStart w:id="475" w:name="_Toc259093688"/>
      <w:bookmarkStart w:id="476" w:name="_Toc15237"/>
      <w:bookmarkStart w:id="477" w:name="_Toc22955"/>
      <w:bookmarkStart w:id="478" w:name="_Toc10366"/>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十一、 合同转让</w:t>
      </w:r>
      <w:bookmarkEnd w:id="473"/>
      <w:bookmarkEnd w:id="474"/>
      <w:bookmarkEnd w:id="475"/>
      <w:r>
        <w:rPr>
          <w:rFonts w:hint="eastAsia" w:ascii="宋体" w:hAnsi="宋体" w:cs="宋体"/>
          <w:b/>
          <w:sz w:val="24"/>
          <w:highlight w:val="none"/>
        </w:rPr>
        <w:t>和分包</w:t>
      </w:r>
      <w:bookmarkEnd w:id="476"/>
      <w:bookmarkEnd w:id="477"/>
      <w:bookmarkEnd w:id="478"/>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hd w:val="clear"/>
        <w:spacing w:line="360" w:lineRule="auto"/>
        <w:ind w:firstLine="482" w:firstLineChars="200"/>
        <w:rPr>
          <w:rFonts w:ascii="宋体" w:hAnsi="宋体" w:cs="宋体"/>
          <w:b/>
          <w:sz w:val="24"/>
          <w:highlight w:val="none"/>
        </w:rPr>
      </w:pPr>
      <w:bookmarkStart w:id="479" w:name="_Toc13566"/>
      <w:bookmarkStart w:id="480" w:name="_Toc14066"/>
      <w:bookmarkStart w:id="481" w:name="_Toc16508"/>
      <w:r>
        <w:rPr>
          <w:rFonts w:hint="eastAsia" w:ascii="宋体" w:hAnsi="宋体" w:cs="宋体"/>
          <w:b/>
          <w:sz w:val="24"/>
          <w:highlight w:val="none"/>
        </w:rPr>
        <w:t>十二、不可抗力</w:t>
      </w:r>
      <w:bookmarkEnd w:id="479"/>
      <w:bookmarkEnd w:id="480"/>
      <w:bookmarkEnd w:id="481"/>
    </w:p>
    <w:p>
      <w:pPr>
        <w:shd w:val="clear"/>
        <w:spacing w:line="360" w:lineRule="auto"/>
        <w:ind w:firstLine="480" w:firstLineChars="200"/>
        <w:rPr>
          <w:rFonts w:ascii="宋体" w:hAnsi="宋体"/>
          <w:sz w:val="24"/>
          <w:highlight w:val="none"/>
        </w:rPr>
      </w:pPr>
      <w:bookmarkStart w:id="482" w:name="_Toc30676"/>
      <w:bookmarkStart w:id="483" w:name="_Toc689"/>
      <w:bookmarkStart w:id="484" w:name="_Toc259093684"/>
      <w:bookmarkStart w:id="485" w:name="_Toc279701255"/>
      <w:bookmarkStart w:id="486" w:name="_Toc6969"/>
      <w:bookmarkStart w:id="487" w:name="_Toc487900365"/>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hd w:val="clea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hd w:val="clea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hd w:val="clea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十三、 税费</w:t>
      </w:r>
      <w:bookmarkEnd w:id="482"/>
      <w:bookmarkEnd w:id="483"/>
      <w:bookmarkEnd w:id="484"/>
      <w:bookmarkEnd w:id="485"/>
      <w:bookmarkEnd w:id="486"/>
      <w:bookmarkEnd w:id="487"/>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hd w:val="clear"/>
        <w:spacing w:line="360" w:lineRule="auto"/>
        <w:ind w:firstLine="482" w:firstLineChars="200"/>
        <w:rPr>
          <w:rFonts w:ascii="宋体" w:hAnsi="宋体" w:cs="宋体"/>
          <w:b/>
          <w:sz w:val="24"/>
          <w:highlight w:val="none"/>
        </w:rPr>
      </w:pPr>
      <w:bookmarkStart w:id="488" w:name="_Toc487900368"/>
      <w:bookmarkStart w:id="489" w:name="_Toc8298"/>
      <w:bookmarkStart w:id="490" w:name="_Toc279701258"/>
      <w:bookmarkStart w:id="491" w:name="_Toc7102"/>
      <w:bookmarkStart w:id="492" w:name="_Toc16959"/>
      <w:bookmarkStart w:id="493" w:name="_Toc259093687"/>
      <w:r>
        <w:rPr>
          <w:rFonts w:hint="eastAsia" w:ascii="宋体" w:hAnsi="宋体" w:cs="宋体"/>
          <w:b/>
          <w:sz w:val="24"/>
          <w:highlight w:val="none"/>
        </w:rPr>
        <w:t>十四、乙方破产</w:t>
      </w:r>
      <w:bookmarkEnd w:id="488"/>
      <w:bookmarkEnd w:id="489"/>
      <w:bookmarkEnd w:id="490"/>
      <w:bookmarkEnd w:id="491"/>
      <w:bookmarkEnd w:id="492"/>
      <w:bookmarkEnd w:id="493"/>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rPr>
          <w:rFonts w:ascii="宋体" w:hAnsi="宋体" w:cs="宋体"/>
          <w:b/>
          <w:sz w:val="24"/>
          <w:highlight w:val="none"/>
        </w:rPr>
      </w:pPr>
      <w:bookmarkStart w:id="494" w:name="_Toc15387"/>
      <w:bookmarkStart w:id="495" w:name="_Toc6134"/>
      <w:bookmarkStart w:id="496" w:name="_Toc29333"/>
      <w:r>
        <w:rPr>
          <w:rFonts w:hint="eastAsia" w:ascii="宋体" w:hAnsi="宋体" w:cs="宋体"/>
          <w:b/>
          <w:sz w:val="24"/>
          <w:highlight w:val="none"/>
        </w:rPr>
        <w:t>十五、合同中止、终止</w:t>
      </w:r>
      <w:bookmarkEnd w:id="494"/>
      <w:bookmarkEnd w:id="495"/>
      <w:bookmarkEnd w:id="496"/>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shd w:val="clea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9"/>
    <w:bookmarkEnd w:id="470"/>
    <w:bookmarkEnd w:id="471"/>
    <w:bookmarkEnd w:id="472"/>
    <w:p>
      <w:pPr>
        <w:shd w:val="clear"/>
        <w:spacing w:line="360" w:lineRule="auto"/>
        <w:ind w:firstLine="482" w:firstLineChars="200"/>
        <w:rPr>
          <w:rFonts w:ascii="宋体" w:hAnsi="宋体" w:cs="宋体"/>
          <w:b/>
          <w:sz w:val="24"/>
          <w:highlight w:val="none"/>
        </w:rPr>
      </w:pPr>
      <w:bookmarkStart w:id="497" w:name="_Toc487900371"/>
      <w:bookmarkStart w:id="498" w:name="_Toc279701261"/>
      <w:bookmarkStart w:id="499" w:name="_Toc259093690"/>
      <w:bookmarkStart w:id="500" w:name="_Toc11284"/>
      <w:bookmarkStart w:id="501" w:name="_Toc19604"/>
      <w:bookmarkStart w:id="502" w:name="_Toc25182"/>
      <w:r>
        <w:rPr>
          <w:rFonts w:hint="eastAsia" w:ascii="宋体" w:hAnsi="宋体" w:cs="宋体"/>
          <w:b/>
          <w:sz w:val="24"/>
          <w:highlight w:val="none"/>
        </w:rPr>
        <w:t>十六、 通知</w:t>
      </w:r>
      <w:bookmarkEnd w:id="497"/>
      <w:bookmarkEnd w:id="498"/>
      <w:bookmarkEnd w:id="499"/>
      <w:r>
        <w:rPr>
          <w:rFonts w:hint="eastAsia" w:ascii="宋体" w:hAnsi="宋体" w:cs="宋体"/>
          <w:b/>
          <w:sz w:val="24"/>
          <w:highlight w:val="none"/>
        </w:rPr>
        <w:t>和送达</w:t>
      </w:r>
      <w:bookmarkEnd w:id="500"/>
      <w:bookmarkEnd w:id="501"/>
      <w:bookmarkEnd w:id="502"/>
    </w:p>
    <w:p>
      <w:pPr>
        <w:shd w:val="clear"/>
        <w:spacing w:line="360" w:lineRule="auto"/>
        <w:ind w:firstLine="480" w:firstLineChars="200"/>
        <w:rPr>
          <w:rFonts w:ascii="宋体" w:hAnsi="宋体"/>
          <w:sz w:val="24"/>
          <w:highlight w:val="none"/>
        </w:rPr>
      </w:pPr>
      <w:bookmarkStart w:id="503" w:name="_Toc27674"/>
      <w:bookmarkStart w:id="504" w:name="_Toc18401"/>
      <w:bookmarkStart w:id="505" w:name="_Toc259093691"/>
      <w:bookmarkStart w:id="506" w:name="_Toc30599"/>
      <w:bookmarkStart w:id="507" w:name="_Toc279701262"/>
      <w:bookmarkStart w:id="508" w:name="_Toc4355"/>
      <w:bookmarkStart w:id="509" w:name="_Toc487900372"/>
      <w:bookmarkStart w:id="510" w:name="_Toc18540"/>
      <w:r>
        <w:rPr>
          <w:rFonts w:hint="eastAsia" w:ascii="宋体" w:hAnsi="宋体"/>
          <w:sz w:val="24"/>
          <w:highlight w:val="none"/>
        </w:rPr>
        <w:t>1.任何一方因履行合同而以合同第一章尾部所列明的电子邮件发出的所有通知、文件、材料，均视为已向对方当事人送达；任何一方变更上述送达方式或者地址的，应于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3"/>
      <w:bookmarkEnd w:id="504"/>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十七、 计量单位</w:t>
      </w:r>
      <w:bookmarkEnd w:id="505"/>
      <w:bookmarkEnd w:id="506"/>
      <w:bookmarkEnd w:id="507"/>
      <w:bookmarkEnd w:id="508"/>
      <w:bookmarkEnd w:id="509"/>
      <w:bookmarkEnd w:id="510"/>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w:t>
      </w:r>
      <w:r>
        <w:rPr>
          <w:rFonts w:hint="eastAsia" w:ascii="宋体" w:hAnsi="宋体" w:cs="宋体"/>
          <w:sz w:val="24"/>
          <w:highlight w:val="none"/>
          <w:lang w:eastAsia="zh-CN"/>
        </w:rPr>
        <w:t>，</w:t>
      </w:r>
      <w:r>
        <w:rPr>
          <w:rFonts w:hint="eastAsia" w:ascii="宋体" w:hAnsi="宋体" w:cs="宋体"/>
          <w:sz w:val="24"/>
          <w:highlight w:val="none"/>
        </w:rPr>
        <w:t>合同的计量单位均使用国家法定计量单位。</w:t>
      </w:r>
    </w:p>
    <w:p>
      <w:pPr>
        <w:shd w:val="clear"/>
        <w:spacing w:line="360" w:lineRule="auto"/>
        <w:ind w:firstLine="482" w:firstLineChars="200"/>
        <w:rPr>
          <w:rFonts w:ascii="宋体" w:hAnsi="宋体" w:cs="宋体"/>
          <w:b/>
          <w:sz w:val="24"/>
          <w:highlight w:val="none"/>
        </w:rPr>
      </w:pPr>
      <w:bookmarkStart w:id="511" w:name="_Toc10330"/>
      <w:bookmarkStart w:id="512" w:name="_Toc279701263"/>
      <w:bookmarkStart w:id="513" w:name="_Toc18567"/>
      <w:bookmarkStart w:id="514" w:name="_Toc487900373"/>
      <w:bookmarkStart w:id="515" w:name="_Toc259093692"/>
      <w:bookmarkStart w:id="516" w:name="_Toc12773"/>
      <w:r>
        <w:rPr>
          <w:rFonts w:hint="eastAsia" w:ascii="宋体" w:hAnsi="宋体" w:cs="宋体"/>
          <w:b/>
          <w:sz w:val="24"/>
          <w:highlight w:val="none"/>
        </w:rPr>
        <w:t>十八、合同使用的文字和适用的法律</w:t>
      </w:r>
      <w:bookmarkEnd w:id="511"/>
      <w:bookmarkEnd w:id="512"/>
      <w:bookmarkEnd w:id="513"/>
      <w:bookmarkEnd w:id="514"/>
      <w:bookmarkEnd w:id="515"/>
      <w:bookmarkEnd w:id="516"/>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1.合同使用汉语书</w:t>
      </w:r>
      <w:r>
        <w:rPr>
          <w:rFonts w:hint="eastAsia" w:ascii="宋体" w:hAnsi="宋体" w:cs="宋体"/>
          <w:sz w:val="24"/>
          <w:highlight w:val="none"/>
          <w:lang w:val="en-US" w:eastAsia="zh-CN"/>
        </w:rPr>
        <w:t>写</w:t>
      </w:r>
      <w:r>
        <w:rPr>
          <w:rFonts w:hint="eastAsia" w:ascii="宋体" w:hAnsi="宋体" w:cs="宋体"/>
          <w:sz w:val="24"/>
          <w:highlight w:val="none"/>
        </w:rPr>
        <w:t>、变更和解释；</w:t>
      </w:r>
    </w:p>
    <w:p>
      <w:pPr>
        <w:shd w:val="clea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2.合同适用中华人民共和国法律。</w:t>
      </w:r>
    </w:p>
    <w:p>
      <w:pPr>
        <w:shd w:val="clear"/>
        <w:spacing w:line="360" w:lineRule="auto"/>
        <w:ind w:firstLine="482" w:firstLineChars="200"/>
        <w:rPr>
          <w:rFonts w:ascii="宋体" w:hAnsi="宋体"/>
          <w:b/>
          <w:sz w:val="24"/>
          <w:highlight w:val="none"/>
        </w:rPr>
      </w:pPr>
      <w:r>
        <w:rPr>
          <w:rFonts w:hint="eastAsia" w:ascii="宋体" w:hAnsi="宋体"/>
          <w:b/>
          <w:sz w:val="24"/>
          <w:highlight w:val="none"/>
        </w:rPr>
        <w:t>十九、特别提示</w:t>
      </w:r>
    </w:p>
    <w:p>
      <w:pPr>
        <w:shd w:val="clea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甲乙双方共同确认：本合同系经双方协商后订立，双方已就本合同（包括但不</w:t>
      </w:r>
      <w:r>
        <w:rPr>
          <w:rFonts w:hint="eastAsia" w:ascii="宋体" w:hAnsi="宋体" w:cs="宋体"/>
          <w:sz w:val="24"/>
          <w:highlight w:val="none"/>
          <w:lang w:eastAsia="zh-CN"/>
        </w:rPr>
        <w:t>限</w:t>
      </w:r>
      <w:r>
        <w:rPr>
          <w:rFonts w:hint="eastAsia" w:ascii="宋体" w:hAnsi="宋体" w:cs="宋体"/>
          <w:sz w:val="24"/>
          <w:highlight w:val="non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6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shd w:val="clear"/>
        <w:jc w:val="center"/>
        <w:rPr>
          <w:rFonts w:ascii="宋体" w:hAnsi="宋体" w:eastAsia="宋体" w:cs="Times New Roman"/>
          <w:b/>
          <w:highlight w:val="none"/>
        </w:rPr>
      </w:pPr>
    </w:p>
    <w:p>
      <w:pPr>
        <w:pStyle w:val="23"/>
        <w:shd w:val="clear"/>
        <w:spacing w:line="560" w:lineRule="exact"/>
        <w:ind w:left="0" w:leftChars="0" w:firstLine="0" w:firstLineChars="0"/>
        <w:jc w:val="both"/>
        <w:rPr>
          <w:rFonts w:ascii="宋体" w:hAnsi="宋体" w:cs="Times New Roman"/>
          <w:b/>
          <w:szCs w:val="24"/>
          <w:highlight w:val="none"/>
        </w:rPr>
      </w:pPr>
      <w:r>
        <w:rPr>
          <w:rFonts w:hint="eastAsia" w:ascii="宋体" w:hAnsi="宋体" w:cs="宋体"/>
          <w:kern w:val="0"/>
          <w:highlight w:val="none"/>
        </w:rPr>
        <w:br w:type="page"/>
      </w:r>
    </w:p>
    <w:p>
      <w:pPr>
        <w:pStyle w:val="23"/>
        <w:shd w:val="clear"/>
        <w:spacing w:line="560" w:lineRule="exact"/>
        <w:ind w:left="0" w:leftChars="0" w:firstLine="0" w:firstLineChars="0"/>
        <w:jc w:val="center"/>
        <w:rPr>
          <w:rFonts w:ascii="宋体" w:hAnsi="宋体"/>
          <w:b/>
          <w:szCs w:val="24"/>
          <w:highlight w:val="none"/>
        </w:rPr>
      </w:pPr>
      <w:r>
        <w:rPr>
          <w:rFonts w:hint="eastAsia" w:ascii="宋体" w:hAnsi="宋体"/>
          <w:b/>
          <w:color w:val="auto"/>
          <w:szCs w:val="24"/>
          <w:highlight w:val="none"/>
        </w:rPr>
        <w:t xml:space="preserve">第三章  </w:t>
      </w:r>
      <w:r>
        <w:rPr>
          <w:rFonts w:hint="eastAsia" w:ascii="宋体" w:hAnsi="宋体"/>
          <w:b/>
          <w:szCs w:val="24"/>
          <w:highlight w:val="none"/>
        </w:rPr>
        <w:t>廉洁协议</w:t>
      </w:r>
    </w:p>
    <w:p>
      <w:pPr>
        <w:pStyle w:val="9"/>
        <w:shd w:val="clear"/>
        <w:ind w:firstLine="0" w:firstLineChars="0"/>
        <w:rPr>
          <w:highlight w:val="none"/>
        </w:rPr>
      </w:pPr>
    </w:p>
    <w:p>
      <w:pPr>
        <w:shd w:val="clea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shd w:val="clea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shd w:val="clea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shd w:val="clea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甲、乙双方应共同严格遵守国家和省市以及招标人主管部门关于市场准入、项目招标投标、市场经济活动等有关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甲、乙双方如发现对方人员在业务活动中有违规、违纪、违法行为的，应及时提醒对方并督促其纠正，或直接向对方法人代表、纪检监察部门及检察机关如实反映情况。</w:t>
      </w:r>
    </w:p>
    <w:p>
      <w:pPr>
        <w:shd w:val="clea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shd w:val="clea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shd w:val="clea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shd w:val="clea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shd w:val="clea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highlight w:val="none"/>
        </w:rPr>
      </w:pPr>
    </w:p>
    <w:p>
      <w:pPr>
        <w:shd w:val="clear"/>
        <w:rPr>
          <w:rFonts w:hint="eastAsia" w:eastAsiaTheme="minorEastAsia"/>
          <w:highlight w:val="none"/>
          <w:lang w:eastAsia="zh-CN"/>
        </w:rPr>
      </w:pPr>
      <w:r>
        <w:rPr>
          <w:rFonts w:hint="eastAsia" w:ascii="宋体" w:hAnsi="宋体" w:eastAsia="宋体" w:cs="宋体"/>
          <w:b/>
          <w:bCs/>
          <w:color w:val="000000"/>
          <w:sz w:val="24"/>
          <w:highlight w:val="none"/>
          <w:lang w:val="en-US" w:eastAsia="zh-CN"/>
        </w:rPr>
        <w:t xml:space="preserve"> </w:t>
      </w:r>
    </w:p>
    <w:p>
      <w:pPr>
        <w:shd w:val="clear"/>
        <w:rPr>
          <w:highlight w:val="none"/>
        </w:rPr>
      </w:pPr>
    </w:p>
    <w:p>
      <w:pPr>
        <w:pStyle w:val="14"/>
        <w:shd w:val="clear"/>
        <w:rPr>
          <w:highlight w:val="none"/>
        </w:rPr>
      </w:pPr>
    </w:p>
    <w:p>
      <w:pPr>
        <w:shd w:val="clear"/>
        <w:rPr>
          <w:highlight w:val="none"/>
        </w:rPr>
      </w:pPr>
    </w:p>
    <w:p>
      <w:pPr>
        <w:pStyle w:val="14"/>
        <w:shd w:val="clear"/>
        <w:rPr>
          <w:highlight w:val="none"/>
        </w:rPr>
      </w:pPr>
    </w:p>
    <w:p>
      <w:pPr>
        <w:shd w:val="clear"/>
        <w:rPr>
          <w:highlight w:val="none"/>
        </w:rPr>
      </w:pPr>
    </w:p>
    <w:p>
      <w:pPr>
        <w:pStyle w:val="14"/>
        <w:shd w:val="clear"/>
        <w:rPr>
          <w:highlight w:val="none"/>
        </w:rPr>
      </w:pPr>
    </w:p>
    <w:p>
      <w:pPr>
        <w:shd w:val="clear"/>
        <w:rPr>
          <w:highlight w:val="none"/>
        </w:rPr>
      </w:pPr>
    </w:p>
    <w:p>
      <w:pPr>
        <w:pStyle w:val="7"/>
        <w:shd w:val="clear"/>
        <w:rPr>
          <w:highlight w:val="none"/>
        </w:rPr>
      </w:pPr>
    </w:p>
    <w:p>
      <w:pPr>
        <w:shd w:val="clear"/>
        <w:rPr>
          <w:highlight w:val="none"/>
        </w:rPr>
      </w:pPr>
    </w:p>
    <w:p>
      <w:pPr>
        <w:pStyle w:val="7"/>
        <w:shd w:val="clear"/>
        <w:rPr>
          <w:highlight w:val="none"/>
        </w:rPr>
      </w:pPr>
    </w:p>
    <w:p>
      <w:pPr>
        <w:shd w:val="clear"/>
        <w:rPr>
          <w:highlight w:val="none"/>
        </w:rPr>
      </w:pPr>
    </w:p>
    <w:p>
      <w:pPr>
        <w:pStyle w:val="7"/>
        <w:shd w:val="clear"/>
        <w:rPr>
          <w:highlight w:val="none"/>
        </w:rPr>
      </w:pPr>
    </w:p>
    <w:p>
      <w:pPr>
        <w:pStyle w:val="8"/>
        <w:shd w:val="clear"/>
        <w:ind w:firstLine="0"/>
        <w:rPr>
          <w:highlight w:val="none"/>
        </w:rPr>
      </w:pPr>
    </w:p>
    <w:p>
      <w:pPr>
        <w:shd w:val="clear"/>
        <w:rPr>
          <w:highlight w:val="none"/>
        </w:rPr>
      </w:pPr>
    </w:p>
    <w:p>
      <w:pPr>
        <w:shd w:val="clear"/>
        <w:rPr>
          <w:highlight w:val="none"/>
        </w:rPr>
      </w:pPr>
    </w:p>
    <w:p>
      <w:pPr>
        <w:shd w:val="clear"/>
        <w:rPr>
          <w:highlight w:val="none"/>
        </w:rPr>
      </w:pPr>
    </w:p>
    <w:p>
      <w:pPr>
        <w:shd w:val="clear"/>
        <w:rPr>
          <w:highlight w:val="none"/>
        </w:rPr>
      </w:pPr>
    </w:p>
    <w:p>
      <w:pPr>
        <w:shd w:val="clea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5"/>
        <w:shd w:val="clear"/>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hd w:val="clear"/>
        <w:spacing w:line="360" w:lineRule="auto"/>
        <w:rPr>
          <w:rFonts w:ascii="Times New Roman" w:hAnsi="Times New Roman" w:eastAsia="Cambria Math" w:cs="Times New Roman"/>
          <w:sz w:val="96"/>
          <w:szCs w:val="22"/>
          <w:highlight w:val="none"/>
        </w:rPr>
      </w:pPr>
    </w:p>
    <w:p>
      <w:pPr>
        <w:shd w:val="clea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hd w:val="clea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hd w:val="clear"/>
        <w:spacing w:line="360" w:lineRule="auto"/>
        <w:rPr>
          <w:rFonts w:ascii="宋体" w:hAnsi="宋体" w:eastAsia="宋体" w:cs="宋体"/>
          <w:sz w:val="44"/>
          <w:szCs w:val="44"/>
          <w:highlight w:val="none"/>
        </w:rPr>
      </w:pPr>
    </w:p>
    <w:p>
      <w:pPr>
        <w:shd w:val="clear"/>
        <w:spacing w:line="480" w:lineRule="auto"/>
        <w:rPr>
          <w:rFonts w:hint="eastAsia" w:ascii="宋体" w:hAnsi="宋体" w:eastAsia="宋体" w:cs="宋体"/>
          <w:sz w:val="28"/>
          <w:szCs w:val="22"/>
          <w:highlight w:val="none"/>
          <w:u w:val="single"/>
          <w:lang w:eastAsia="zh-CN"/>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2024年临江公司通用电气备件采购项目</w:t>
      </w:r>
    </w:p>
    <w:p>
      <w:pPr>
        <w:shd w:val="clear"/>
        <w:spacing w:line="480" w:lineRule="auto"/>
        <w:rPr>
          <w:rFonts w:hint="eastAsia" w:ascii="宋体" w:hAnsi="宋体" w:eastAsia="宋体" w:cs="宋体"/>
          <w:sz w:val="28"/>
          <w:szCs w:val="22"/>
          <w:highlight w:val="none"/>
          <w:u w:val="singl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cs="宋体" w:asciiTheme="minorEastAsia" w:hAnsiTheme="minorEastAsia"/>
          <w:sz w:val="30"/>
          <w:szCs w:val="30"/>
          <w:highlight w:val="none"/>
          <w:u w:val="single"/>
          <w:lang w:eastAsia="zh-CN"/>
        </w:rPr>
        <w:t>202408025-1</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hd w:val="clear"/>
        <w:spacing w:line="480" w:lineRule="auto"/>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杭州临江环境能源有限公司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hd w:val="clear"/>
        <w:spacing w:line="48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hd w:val="clear"/>
        <w:spacing w:line="480" w:lineRule="auto"/>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hd w:val="clear"/>
        <w:spacing w:line="480" w:lineRule="auto"/>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hint="eastAsia" w:ascii="Times New Roman" w:hAnsi="Times New Roman" w:eastAsia="宋体" w:cs="Times New Roman"/>
          <w:sz w:val="28"/>
          <w:szCs w:val="22"/>
          <w:highlight w:val="none"/>
          <w:u w:val="single"/>
          <w:lang w:val="en-US" w:eastAsia="zh-CN"/>
        </w:rPr>
        <w:t xml:space="preserve">             </w:t>
      </w:r>
      <w:r>
        <w:rPr>
          <w:rFonts w:hint="eastAsia" w:ascii="Times New Roman" w:hAnsi="Times New Roman" w:eastAsia="宋体" w:cs="Times New Roman"/>
          <w:sz w:val="28"/>
          <w:szCs w:val="22"/>
          <w:highlight w:val="none"/>
          <w:u w:val="single"/>
        </w:rPr>
        <w:t xml:space="preserve">    </w:t>
      </w:r>
      <w:r>
        <w:rPr>
          <w:rFonts w:hint="eastAsia" w:ascii="Times New Roman" w:hAnsi="Times New Roman" w:eastAsia="宋体" w:cs="Times New Roman"/>
          <w:sz w:val="28"/>
          <w:szCs w:val="22"/>
          <w:highlight w:val="none"/>
          <w:u w:val="single"/>
          <w:lang w:val="en-US" w:eastAsia="zh-CN"/>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hd w:val="clear"/>
        <w:spacing w:line="480" w:lineRule="auto"/>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lang w:val="en-US" w:eastAsia="zh-CN"/>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lang w:val="en-US" w:eastAsia="zh-CN"/>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hd w:val="clear"/>
        <w:spacing w:line="360" w:lineRule="auto"/>
        <w:jc w:val="center"/>
        <w:outlineLvl w:val="0"/>
        <w:rPr>
          <w:rFonts w:cs="仿宋" w:asciiTheme="minorEastAsia" w:hAnsiTheme="minorEastAsia"/>
          <w:b/>
          <w:kern w:val="0"/>
          <w:sz w:val="36"/>
          <w:szCs w:val="36"/>
          <w:highlight w:val="none"/>
        </w:rPr>
      </w:pP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hd w:val="clea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shd w:val="clea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hd w:val="clear"/>
        <w:snapToGrid w:val="0"/>
        <w:spacing w:line="360" w:lineRule="auto"/>
        <w:rPr>
          <w:rFonts w:hint="eastAsia" w:cs="仿宋" w:asciiTheme="minorEastAsia" w:hAnsiTheme="minorEastAsia"/>
          <w:sz w:val="24"/>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pStyle w:val="13"/>
        <w:shd w:val="clear"/>
        <w:rPr>
          <w:highlight w:val="none"/>
        </w:rPr>
      </w:pPr>
    </w:p>
    <w:p>
      <w:pPr>
        <w:shd w:val="clear"/>
        <w:rPr>
          <w:highlight w:val="none"/>
        </w:rPr>
      </w:pPr>
    </w:p>
    <w:p>
      <w:pPr>
        <w:pStyle w:val="14"/>
        <w:shd w:val="clear"/>
        <w:rPr>
          <w:color w:val="auto"/>
          <w:highlight w:val="none"/>
        </w:rPr>
      </w:pPr>
    </w:p>
    <w:p>
      <w:pPr>
        <w:shd w:val="clear"/>
        <w:rPr>
          <w:highlight w:val="none"/>
        </w:rPr>
      </w:pPr>
    </w:p>
    <w:p>
      <w:pPr>
        <w:pStyle w:val="7"/>
        <w:shd w:val="clear"/>
        <w:rPr>
          <w:highlight w:val="none"/>
        </w:rPr>
      </w:pPr>
    </w:p>
    <w:p>
      <w:pPr>
        <w:shd w:val="clear"/>
        <w:rPr>
          <w:highlight w:val="none"/>
        </w:rPr>
      </w:pPr>
    </w:p>
    <w:p>
      <w:pPr>
        <w:pStyle w:val="7"/>
        <w:shd w:val="clear"/>
        <w:rPr>
          <w:highlight w:val="none"/>
        </w:rPr>
      </w:pPr>
    </w:p>
    <w:p>
      <w:pPr>
        <w:shd w:val="clea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202408025-1</w:t>
      </w:r>
      <w:r>
        <w:rPr>
          <w:rFonts w:hint="eastAsia" w:cs="仿宋" w:asciiTheme="minorEastAsia" w:hAnsiTheme="minorEastAsia"/>
          <w:sz w:val="24"/>
          <w:highlight w:val="none"/>
        </w:rPr>
        <w:t>】采购活动，郑重承诺：</w:t>
      </w:r>
    </w:p>
    <w:p>
      <w:pPr>
        <w:shd w:val="clea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w:t>
      </w:r>
      <w:r>
        <w:rPr>
          <w:rFonts w:hint="eastAsia" w:cs="仿宋" w:asciiTheme="minorEastAsia" w:hAnsiTheme="minorEastAsia"/>
          <w:color w:val="auto"/>
          <w:sz w:val="24"/>
          <w:highlight w:val="none"/>
        </w:rPr>
        <w:t>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hd w:val="clear"/>
        <w:snapToGrid w:val="0"/>
        <w:spacing w:line="360" w:lineRule="auto"/>
        <w:ind w:firstLine="480" w:firstLineChars="200"/>
        <w:rPr>
          <w:rFonts w:hint="eastAsia"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highlight w:val="none"/>
        </w:rPr>
      </w:pPr>
    </w:p>
    <w:p>
      <w:pPr>
        <w:shd w:val="clear"/>
        <w:snapToGrid w:val="0"/>
        <w:spacing w:line="360" w:lineRule="auto"/>
        <w:ind w:firstLine="480" w:firstLineChars="200"/>
        <w:rPr>
          <w:rFonts w:hint="eastAsia" w:cs="仿宋" w:asciiTheme="minorEastAsia" w:hAnsiTheme="minorEastAsia"/>
          <w:sz w:val="24"/>
          <w:highlight w:val="none"/>
        </w:rPr>
      </w:pPr>
    </w:p>
    <w:p>
      <w:pPr>
        <w:shd w:val="clea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hd w:val="clea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hd w:val="clear"/>
        <w:snapToGrid w:val="0"/>
        <w:spacing w:line="360" w:lineRule="auto"/>
        <w:ind w:right="480"/>
        <w:jc w:val="center"/>
        <w:rPr>
          <w:rFonts w:cs="仿宋" w:asciiTheme="minorEastAsia" w:hAnsiTheme="minorEastAsia"/>
          <w:b/>
          <w:kern w:val="0"/>
          <w:sz w:val="32"/>
          <w:szCs w:val="32"/>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2"/>
        <w:shd w:val="clear"/>
        <w:rPr>
          <w:highlight w:val="none"/>
        </w:rPr>
      </w:pPr>
    </w:p>
    <w:p>
      <w:pPr>
        <w:shd w:val="clea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7"/>
        <w:shd w:val="clear"/>
        <w:rPr>
          <w:highlight w:val="none"/>
          <w:lang w:val="en-US"/>
        </w:rPr>
      </w:pPr>
    </w:p>
    <w:p>
      <w:pPr>
        <w:shd w:val="clear"/>
        <w:spacing w:line="360" w:lineRule="auto"/>
        <w:ind w:firstLine="643" w:firstLineChars="200"/>
        <w:rPr>
          <w:rFonts w:cs="仿宋" w:asciiTheme="minorEastAsia" w:hAnsiTheme="minorEastAsia"/>
          <w:b/>
          <w:kern w:val="0"/>
          <w:sz w:val="32"/>
          <w:szCs w:val="32"/>
          <w:highlight w:val="none"/>
        </w:rPr>
      </w:pPr>
    </w:p>
    <w:p>
      <w:pPr>
        <w:shd w:val="clea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hd w:val="clea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（根据采购公告本项目的特定要求提供相应的材料，如业绩证明材料、特殊行业许可证书等；</w:t>
      </w:r>
      <w:r>
        <w:rPr>
          <w:rFonts w:hint="eastAsia" w:cs="仿宋" w:asciiTheme="minorEastAsia" w:hAnsiTheme="minorEastAsia"/>
          <w:sz w:val="24"/>
          <w:highlight w:val="none"/>
          <w:lang w:eastAsia="zh-CN"/>
        </w:rPr>
        <w:t>未有</w:t>
      </w:r>
      <w:r>
        <w:rPr>
          <w:rFonts w:hint="eastAsia" w:cs="仿宋" w:asciiTheme="minorEastAsia" w:hAnsiTheme="minorEastAsia"/>
          <w:sz w:val="24"/>
          <w:highlight w:val="none"/>
        </w:rPr>
        <w:t>要求的，无需提供）</w:t>
      </w:r>
    </w:p>
    <w:p>
      <w:pPr>
        <w:shd w:val="clear"/>
        <w:rPr>
          <w:highlight w:val="none"/>
        </w:rPr>
      </w:pPr>
    </w:p>
    <w:p>
      <w:pPr>
        <w:pStyle w:val="7"/>
        <w:shd w:val="clear"/>
        <w:rPr>
          <w:highlight w:val="none"/>
        </w:rPr>
      </w:pPr>
    </w:p>
    <w:p>
      <w:pPr>
        <w:pStyle w:val="8"/>
        <w:shd w:val="clear"/>
        <w:rPr>
          <w:highlight w:val="none"/>
        </w:rPr>
      </w:pPr>
    </w:p>
    <w:p>
      <w:pPr>
        <w:shd w:val="clear"/>
        <w:spacing w:line="360" w:lineRule="auto"/>
        <w:ind w:firstLine="643" w:firstLineChars="200"/>
        <w:jc w:val="center"/>
        <w:rPr>
          <w:rFonts w:hint="eastAsia" w:cs="仿宋" w:asciiTheme="minorEastAsia" w:hAnsiTheme="minorEastAsia"/>
          <w:b/>
          <w:kern w:val="0"/>
          <w:sz w:val="32"/>
          <w:szCs w:val="32"/>
          <w:highlight w:val="none"/>
        </w:rPr>
      </w:pPr>
    </w:p>
    <w:p>
      <w:pPr>
        <w:shd w:val="clear"/>
        <w:spacing w:line="360" w:lineRule="auto"/>
        <w:ind w:firstLine="643" w:firstLineChars="200"/>
        <w:jc w:val="center"/>
        <w:rPr>
          <w:rFonts w:hint="eastAsia" w:cs="仿宋" w:asciiTheme="minorEastAsia" w:hAnsiTheme="minorEastAsia"/>
          <w:b/>
          <w:kern w:val="0"/>
          <w:sz w:val="32"/>
          <w:szCs w:val="32"/>
          <w:highlight w:val="none"/>
          <w:lang w:val="en-US" w:eastAsia="zh-CN"/>
        </w:rPr>
      </w:pPr>
      <w:r>
        <w:rPr>
          <w:rFonts w:hint="eastAsia" w:cs="仿宋" w:asciiTheme="minorEastAsia" w:hAnsiTheme="minorEastAsia"/>
          <w:b/>
          <w:kern w:val="0"/>
          <w:sz w:val="32"/>
          <w:szCs w:val="32"/>
          <w:highlight w:val="none"/>
          <w:lang w:val="en-US" w:eastAsia="zh-CN"/>
        </w:rPr>
        <w:t>四、询价保证金银行电子回单</w:t>
      </w:r>
    </w:p>
    <w:p>
      <w:pPr>
        <w:pStyle w:val="8"/>
        <w:shd w:val="clear"/>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7"/>
        <w:shd w:val="clear"/>
        <w:rPr>
          <w:highlight w:val="none"/>
        </w:rPr>
      </w:pPr>
    </w:p>
    <w:p>
      <w:pPr>
        <w:pStyle w:val="8"/>
        <w:shd w:val="clear"/>
        <w:rPr>
          <w:highlight w:val="none"/>
        </w:rPr>
      </w:pPr>
    </w:p>
    <w:p>
      <w:pPr>
        <w:pStyle w:val="7"/>
        <w:shd w:val="clear"/>
        <w:rPr>
          <w:highlight w:val="none"/>
        </w:rPr>
      </w:pPr>
    </w:p>
    <w:p>
      <w:pPr>
        <w:shd w:val="clea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hd w:val="clear"/>
        <w:spacing w:line="360" w:lineRule="auto"/>
        <w:jc w:val="center"/>
        <w:outlineLvl w:val="0"/>
        <w:rPr>
          <w:rFonts w:cs="仿宋" w:asciiTheme="minorEastAsia" w:hAnsiTheme="minorEastAsia"/>
          <w:b/>
          <w:kern w:val="0"/>
          <w:sz w:val="24"/>
          <w:highlight w:val="none"/>
        </w:rPr>
      </w:pPr>
    </w:p>
    <w:p>
      <w:pPr>
        <w:shd w:val="clea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hd w:val="clea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pStyle w:val="8"/>
        <w:shd w:val="clear"/>
        <w:rPr>
          <w:highlight w:val="none"/>
        </w:rPr>
      </w:pPr>
    </w:p>
    <w:p>
      <w:pPr>
        <w:shd w:val="clea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202408025-1</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的有关活动，并对此项目进行响应。为此：</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hd w:val="clea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hd w:val="clea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3"/>
        </w:numPr>
        <w:shd w:val="clea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cs="仿宋" w:asciiTheme="minorEastAsia" w:hAnsiTheme="minorEastAsia"/>
          <w:sz w:val="24"/>
          <w:highlight w:val="none"/>
          <w:lang w:eastAsia="zh-CN"/>
        </w:rPr>
        <w:t>：</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7"/>
        <w:shd w:val="clear"/>
        <w:rPr>
          <w:highlight w:val="none"/>
        </w:rPr>
      </w:pPr>
    </w:p>
    <w:p>
      <w:pPr>
        <w:pStyle w:val="8"/>
        <w:shd w:val="clear"/>
        <w:rPr>
          <w:highlight w:val="none"/>
        </w:rPr>
      </w:pPr>
    </w:p>
    <w:p>
      <w:pPr>
        <w:shd w:val="clea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hd w:val="clear"/>
        <w:spacing w:line="360" w:lineRule="auto"/>
        <w:jc w:val="center"/>
        <w:rPr>
          <w:rFonts w:cs="仿宋" w:asciiTheme="minorEastAsia" w:hAnsiTheme="minorEastAsia"/>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highlight w:val="none"/>
        </w:rPr>
        <w:t xml:space="preserve">     日期：  年   月   日</w:t>
      </w:r>
    </w:p>
    <w:p>
      <w:pPr>
        <w:shd w:val="clea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hd w:val="clear"/>
        <w:snapToGrid w:val="0"/>
        <w:spacing w:line="360" w:lineRule="auto"/>
        <w:rPr>
          <w:rFonts w:cs="仿宋" w:asciiTheme="minorEastAsia" w:hAnsiTheme="minorEastAsia"/>
          <w:kern w:val="0"/>
          <w:sz w:val="24"/>
          <w:highlight w:val="none"/>
        </w:rPr>
      </w:pPr>
    </w:p>
    <w:p>
      <w:pPr>
        <w:shd w:val="clea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hd w:val="clea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响应采购整个过程中的一切事项，其在报价</w:t>
      </w:r>
      <w:r>
        <w:rPr>
          <w:rFonts w:hint="eastAsia" w:cs="仿宋" w:asciiTheme="minorEastAsia" w:hAnsiTheme="minorEastAsia"/>
          <w:kern w:val="0"/>
          <w:sz w:val="24"/>
          <w:highlight w:val="none"/>
          <w:lang w:val="zh-CN"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lang w:val="zh-CN"/>
        </w:rPr>
        <w:t>过程中的</w:t>
      </w:r>
      <w:r>
        <w:rPr>
          <w:rFonts w:hint="eastAsia" w:cs="仿宋" w:asciiTheme="minorEastAsia" w:hAnsiTheme="minorEastAsia"/>
          <w:kern w:val="0"/>
          <w:sz w:val="24"/>
          <w:highlight w:val="none"/>
        </w:rPr>
        <w:t>一切活动本公司均予承认</w:t>
      </w:r>
      <w:r>
        <w:rPr>
          <w:rFonts w:hint="eastAsia" w:cs="仿宋" w:asciiTheme="minorEastAsia" w:hAnsiTheme="minorEastAsia"/>
          <w:kern w:val="0"/>
          <w:sz w:val="24"/>
          <w:highlight w:val="none"/>
          <w:lang w:val="zh-CN"/>
        </w:rPr>
        <w:t>，其法律后果由我方承担。</w:t>
      </w:r>
    </w:p>
    <w:p>
      <w:pPr>
        <w:shd w:val="clear"/>
        <w:snapToGrid w:val="0"/>
        <w:spacing w:line="360" w:lineRule="auto"/>
        <w:rPr>
          <w:rFonts w:cs="仿宋" w:asciiTheme="minorEastAsia" w:hAnsiTheme="minorEastAsia"/>
          <w:kern w:val="0"/>
          <w:sz w:val="24"/>
          <w:highlight w:val="none"/>
          <w:lang w:val="zh-CN"/>
        </w:rPr>
      </w:pPr>
    </w:p>
    <w:p>
      <w:pPr>
        <w:shd w:val="clea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hd w:val="clea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hd w:val="clea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hd w:val="clea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hd w:val="clea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hd w:val="clea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hd w:val="clea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hd w:val="clea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pStyle w:val="7"/>
        <w:shd w:val="clear"/>
        <w:rPr>
          <w:rFonts w:cs="仿宋" w:asciiTheme="minorEastAsia" w:hAnsiTheme="minorEastAsia"/>
          <w:b/>
          <w:kern w:val="0"/>
          <w:sz w:val="32"/>
          <w:szCs w:val="32"/>
          <w:highlight w:val="none"/>
        </w:rPr>
      </w:pPr>
    </w:p>
    <w:p>
      <w:pPr>
        <w:pStyle w:val="8"/>
        <w:shd w:val="clear"/>
        <w:rPr>
          <w:rFonts w:cs="仿宋" w:asciiTheme="minorEastAsia" w:hAnsiTheme="minorEastAsia"/>
          <w:b/>
          <w:kern w:val="0"/>
          <w:sz w:val="32"/>
          <w:szCs w:val="32"/>
          <w:highlight w:val="none"/>
        </w:rPr>
      </w:pPr>
    </w:p>
    <w:p>
      <w:pPr>
        <w:shd w:val="clear"/>
        <w:rPr>
          <w:rFonts w:cs="仿宋" w:asciiTheme="minorEastAsia" w:hAnsiTheme="minorEastAsia"/>
          <w:b/>
          <w:kern w:val="0"/>
          <w:sz w:val="32"/>
          <w:szCs w:val="32"/>
          <w:highlight w:val="none"/>
          <w:lang w:val="zh-CN"/>
        </w:rPr>
      </w:pPr>
    </w:p>
    <w:p>
      <w:pPr>
        <w:pStyle w:val="7"/>
        <w:shd w:val="clear"/>
        <w:rPr>
          <w:rFonts w:cs="仿宋" w:asciiTheme="minorEastAsia" w:hAnsiTheme="minorEastAsia"/>
          <w:b/>
          <w:kern w:val="0"/>
          <w:sz w:val="32"/>
          <w:szCs w:val="32"/>
          <w:highlight w:val="none"/>
        </w:rPr>
      </w:pPr>
    </w:p>
    <w:p>
      <w:pPr>
        <w:pStyle w:val="8"/>
        <w:shd w:val="clear"/>
        <w:rPr>
          <w:highlight w:val="none"/>
        </w:rPr>
      </w:pPr>
    </w:p>
    <w:p>
      <w:pPr>
        <w:shd w:val="clear"/>
        <w:rPr>
          <w:highlight w:val="none"/>
        </w:rPr>
      </w:pPr>
    </w:p>
    <w:p>
      <w:pPr>
        <w:pStyle w:val="26"/>
        <w:shd w:val="clear"/>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6"/>
              <w:shd w:val="clear"/>
              <w:adjustRightInd w:val="0"/>
              <w:spacing w:line="360" w:lineRule="auto"/>
              <w:rPr>
                <w:rFonts w:cs="仿宋" w:asciiTheme="minorEastAsia" w:hAnsiTheme="minorEastAsia" w:eastAsiaTheme="minorEastAsia"/>
                <w:bCs/>
                <w:sz w:val="24"/>
                <w:highlight w:val="none"/>
              </w:rPr>
            </w:pPr>
          </w:p>
        </w:tc>
      </w:tr>
    </w:tbl>
    <w:p>
      <w:pPr>
        <w:shd w:val="clear"/>
        <w:snapToGrid w:val="0"/>
        <w:spacing w:line="360" w:lineRule="auto"/>
        <w:ind w:firstLine="576"/>
        <w:jc w:val="center"/>
        <w:rPr>
          <w:rFonts w:cs="仿宋" w:asciiTheme="minorEastAsia" w:hAnsiTheme="minorEastAsia"/>
          <w:kern w:val="0"/>
          <w:sz w:val="24"/>
          <w:highlight w:val="none"/>
          <w:lang w:val="zh-CN"/>
        </w:rPr>
      </w:pPr>
    </w:p>
    <w:p>
      <w:pPr>
        <w:shd w:val="clear"/>
        <w:snapToGrid w:val="0"/>
        <w:spacing w:line="360" w:lineRule="auto"/>
        <w:ind w:firstLine="576"/>
        <w:jc w:val="center"/>
        <w:rPr>
          <w:rFonts w:cs="仿宋" w:asciiTheme="minorEastAsia" w:hAnsiTheme="minorEastAsia"/>
          <w:kern w:val="0"/>
          <w:sz w:val="24"/>
          <w:highlight w:val="none"/>
          <w:lang w:val="zh-CN"/>
        </w:rPr>
      </w:pPr>
    </w:p>
    <w:p>
      <w:pPr>
        <w:pStyle w:val="26"/>
        <w:shd w:val="clear"/>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6"/>
              <w:shd w:val="clear"/>
              <w:adjustRightInd w:val="0"/>
              <w:spacing w:line="360" w:lineRule="auto"/>
              <w:rPr>
                <w:rFonts w:cs="仿宋" w:asciiTheme="minorEastAsia" w:hAnsiTheme="minorEastAsia" w:eastAsiaTheme="minorEastAsia"/>
                <w:bCs/>
                <w:sz w:val="24"/>
                <w:highlight w:val="none"/>
              </w:rPr>
            </w:pPr>
          </w:p>
        </w:tc>
      </w:tr>
    </w:tbl>
    <w:p>
      <w:pPr>
        <w:shd w:val="clear"/>
        <w:snapToGrid w:val="0"/>
        <w:spacing w:line="360" w:lineRule="auto"/>
        <w:ind w:firstLine="576"/>
        <w:jc w:val="center"/>
        <w:rPr>
          <w:rFonts w:cs="仿宋" w:asciiTheme="minorEastAsia" w:hAnsiTheme="minorEastAsia"/>
          <w:kern w:val="0"/>
          <w:sz w:val="24"/>
          <w:highlight w:val="none"/>
          <w:lang w:val="zh-CN"/>
        </w:rPr>
      </w:pP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hd w:val="clea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hd w:val="clea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hd w:val="clea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hd w:val="clear"/>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shd w:val="clear"/>
        <w:jc w:val="center"/>
        <w:rPr>
          <w:rFonts w:cs="仿宋" w:asciiTheme="minorEastAsia" w:hAnsiTheme="minorEastAsia"/>
          <w:b/>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hd w:val="clea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hd w:val="clea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hd w:val="clea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hd w:val="clea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shd w:val="clea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shd w:val="clear"/>
              <w:jc w:val="center"/>
              <w:rPr>
                <w:rFonts w:cs="仿宋" w:asciiTheme="minorEastAsia" w:hAnsiTheme="minorEastAsia"/>
                <w:sz w:val="24"/>
                <w:highlight w:val="none"/>
              </w:rPr>
            </w:pPr>
          </w:p>
          <w:p>
            <w:pPr>
              <w:shd w:val="clea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shd w:val="clea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hd w:val="clea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shd w:val="clea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hd w:val="clea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响应文件满足询价采购文件的其</w:t>
            </w:r>
            <w:r>
              <w:rPr>
                <w:rFonts w:hint="eastAsia" w:cs="仿宋" w:asciiTheme="minorEastAsia" w:hAnsiTheme="minorEastAsia"/>
                <w:sz w:val="24"/>
                <w:highlight w:val="none"/>
                <w:lang w:val="en-US" w:eastAsia="zh-CN"/>
              </w:rPr>
              <w:t>他</w:t>
            </w:r>
            <w:r>
              <w:rPr>
                <w:rFonts w:hint="eastAsia" w:cs="仿宋" w:asciiTheme="minorEastAsia" w:hAnsiTheme="minorEastAsia"/>
                <w:sz w:val="24"/>
                <w:highlight w:val="none"/>
              </w:rPr>
              <w:t>实质性要求。</w:t>
            </w:r>
          </w:p>
        </w:tc>
        <w:tc>
          <w:tcPr>
            <w:tcW w:w="3395" w:type="dxa"/>
            <w:vAlign w:val="center"/>
          </w:tcPr>
          <w:p>
            <w:pPr>
              <w:shd w:val="clea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lang w:val="en-US" w:eastAsia="zh-CN"/>
        </w:rPr>
        <w:t>五</w:t>
      </w:r>
      <w:r>
        <w:rPr>
          <w:rFonts w:hint="eastAsia" w:cs="仿宋" w:asciiTheme="minorEastAsia" w:hAnsiTheme="minorEastAsia"/>
          <w:b/>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shd w:val="clea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shd w:val="clea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shd w:val="clea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shd w:val="clear"/>
              <w:jc w:val="center"/>
              <w:rPr>
                <w:rFonts w:cs="仿宋" w:asciiTheme="minorEastAsia" w:hAnsiTheme="minorEastAsia"/>
                <w:b/>
                <w:kern w:val="0"/>
                <w:sz w:val="32"/>
                <w:szCs w:val="32"/>
                <w:highlight w:val="none"/>
              </w:rPr>
            </w:pPr>
          </w:p>
        </w:tc>
        <w:tc>
          <w:tcPr>
            <w:tcW w:w="3546" w:type="dxa"/>
          </w:tcPr>
          <w:p>
            <w:pPr>
              <w:shd w:val="clear"/>
              <w:jc w:val="center"/>
              <w:rPr>
                <w:rFonts w:cs="仿宋" w:asciiTheme="minorEastAsia" w:hAnsiTheme="minorEastAsia"/>
                <w:b/>
                <w:kern w:val="0"/>
                <w:sz w:val="32"/>
                <w:szCs w:val="32"/>
                <w:highlight w:val="none"/>
              </w:rPr>
            </w:pPr>
          </w:p>
        </w:tc>
        <w:tc>
          <w:tcPr>
            <w:tcW w:w="1276" w:type="dxa"/>
          </w:tcPr>
          <w:p>
            <w:pPr>
              <w:shd w:val="clea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shd w:val="clear"/>
              <w:jc w:val="center"/>
              <w:rPr>
                <w:rFonts w:cs="仿宋" w:asciiTheme="minorEastAsia" w:hAnsiTheme="minorEastAsia"/>
                <w:b/>
                <w:kern w:val="0"/>
                <w:sz w:val="32"/>
                <w:szCs w:val="32"/>
                <w:highlight w:val="none"/>
              </w:rPr>
            </w:pPr>
          </w:p>
        </w:tc>
        <w:tc>
          <w:tcPr>
            <w:tcW w:w="3546" w:type="dxa"/>
          </w:tcPr>
          <w:p>
            <w:pPr>
              <w:shd w:val="clear"/>
              <w:jc w:val="center"/>
              <w:rPr>
                <w:rFonts w:cs="仿宋" w:asciiTheme="minorEastAsia" w:hAnsiTheme="minorEastAsia"/>
                <w:b/>
                <w:kern w:val="0"/>
                <w:sz w:val="32"/>
                <w:szCs w:val="32"/>
                <w:highlight w:val="none"/>
              </w:rPr>
            </w:pPr>
          </w:p>
        </w:tc>
        <w:tc>
          <w:tcPr>
            <w:tcW w:w="1276" w:type="dxa"/>
          </w:tcPr>
          <w:p>
            <w:pPr>
              <w:shd w:val="clea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shd w:val="clear"/>
              <w:jc w:val="center"/>
              <w:rPr>
                <w:rFonts w:cs="仿宋" w:asciiTheme="minorEastAsia" w:hAnsiTheme="minorEastAsia"/>
                <w:b/>
                <w:kern w:val="0"/>
                <w:sz w:val="32"/>
                <w:szCs w:val="32"/>
                <w:highlight w:val="none"/>
              </w:rPr>
            </w:pPr>
          </w:p>
        </w:tc>
        <w:tc>
          <w:tcPr>
            <w:tcW w:w="3546" w:type="dxa"/>
          </w:tcPr>
          <w:p>
            <w:pPr>
              <w:shd w:val="clear"/>
              <w:jc w:val="center"/>
              <w:rPr>
                <w:rFonts w:cs="仿宋" w:asciiTheme="minorEastAsia" w:hAnsiTheme="minorEastAsia"/>
                <w:b/>
                <w:kern w:val="0"/>
                <w:sz w:val="32"/>
                <w:szCs w:val="32"/>
                <w:highlight w:val="none"/>
              </w:rPr>
            </w:pPr>
          </w:p>
        </w:tc>
        <w:tc>
          <w:tcPr>
            <w:tcW w:w="1276" w:type="dxa"/>
          </w:tcPr>
          <w:p>
            <w:pPr>
              <w:shd w:val="clear"/>
              <w:jc w:val="center"/>
              <w:rPr>
                <w:rFonts w:cs="仿宋" w:asciiTheme="minorEastAsia" w:hAnsiTheme="minorEastAsia"/>
                <w:b/>
                <w:kern w:val="0"/>
                <w:sz w:val="32"/>
                <w:szCs w:val="32"/>
                <w:highlight w:val="none"/>
              </w:rPr>
            </w:pPr>
          </w:p>
        </w:tc>
      </w:tr>
    </w:tbl>
    <w:p>
      <w:pPr>
        <w:shd w:val="clea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lang w:val="en-US" w:eastAsia="zh-CN"/>
        </w:rPr>
        <w:t>六</w:t>
      </w:r>
      <w:r>
        <w:rPr>
          <w:rFonts w:hint="eastAsia" w:cs="仿宋" w:asciiTheme="minorEastAsia" w:hAnsiTheme="minorEastAsia"/>
          <w:b/>
          <w:kern w:val="0"/>
          <w:sz w:val="32"/>
          <w:szCs w:val="32"/>
          <w:highlight w:val="none"/>
        </w:rPr>
        <w:t>、</w:t>
      </w:r>
      <w:r>
        <w:rPr>
          <w:rFonts w:hint="eastAsia" w:cs="仿宋" w:asciiTheme="minorEastAsia" w:hAnsiTheme="minorEastAsia"/>
          <w:b/>
          <w:kern w:val="0"/>
          <w:sz w:val="32"/>
          <w:szCs w:val="32"/>
          <w:highlight w:val="none"/>
          <w:lang w:val="zh-CN"/>
        </w:rPr>
        <w:t>供应商廉洁自律承诺书</w:t>
      </w:r>
    </w:p>
    <w:p>
      <w:pPr>
        <w:shd w:val="clear"/>
        <w:snapToGrid w:val="0"/>
        <w:spacing w:line="360" w:lineRule="auto"/>
        <w:rPr>
          <w:rFonts w:cs="仿宋" w:asciiTheme="minorEastAsia" w:hAnsiTheme="minorEastAsia"/>
          <w:sz w:val="24"/>
          <w:highlight w:val="none"/>
        </w:rPr>
      </w:pPr>
    </w:p>
    <w:p>
      <w:pPr>
        <w:shd w:val="clea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shd w:val="clea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highlight w:val="none"/>
          <w:lang w:val="zh-CN"/>
        </w:rPr>
      </w:pPr>
    </w:p>
    <w:p>
      <w:pPr>
        <w:shd w:val="clear"/>
        <w:autoSpaceDE w:val="0"/>
        <w:autoSpaceDN w:val="0"/>
        <w:spacing w:line="360" w:lineRule="auto"/>
        <w:ind w:left="2"/>
        <w:jc w:val="left"/>
        <w:rPr>
          <w:rFonts w:cs="仿宋" w:asciiTheme="minorEastAsia" w:hAnsiTheme="minorEastAsia"/>
          <w:kern w:val="0"/>
          <w:sz w:val="24"/>
          <w:highlight w:val="none"/>
          <w:lang w:val="zh-CN"/>
        </w:rPr>
      </w:pPr>
    </w:p>
    <w:p>
      <w:pPr>
        <w:shd w:val="clear"/>
        <w:autoSpaceDE w:val="0"/>
        <w:autoSpaceDN w:val="0"/>
        <w:spacing w:line="360" w:lineRule="auto"/>
        <w:ind w:left="2"/>
        <w:jc w:val="left"/>
        <w:rPr>
          <w:rFonts w:cs="仿宋" w:asciiTheme="minorEastAsia" w:hAnsiTheme="minorEastAsia"/>
          <w:kern w:val="0"/>
          <w:sz w:val="24"/>
          <w:highlight w:val="none"/>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hd w:val="clea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hd w:val="clea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7"/>
        <w:shd w:val="clear"/>
        <w:rPr>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en-US" w:eastAsia="zh-CN"/>
        </w:rPr>
        <w:t>七</w:t>
      </w:r>
      <w:r>
        <w:rPr>
          <w:rFonts w:hint="eastAsia" w:cs="仿宋" w:asciiTheme="minorEastAsia" w:hAnsiTheme="minorEastAsia"/>
          <w:b/>
          <w:kern w:val="0"/>
          <w:sz w:val="32"/>
          <w:szCs w:val="32"/>
          <w:highlight w:val="none"/>
          <w:lang w:val="zh-CN"/>
        </w:rPr>
        <w:t>、供应商股东信息及出资比例信息表</w:t>
      </w:r>
    </w:p>
    <w:p>
      <w:pPr>
        <w:pStyle w:val="2"/>
        <w:shd w:val="clear"/>
        <w:rPr>
          <w:highlight w:val="none"/>
          <w:lang w:val="zh-CN"/>
        </w:rPr>
      </w:pPr>
    </w:p>
    <w:p>
      <w:pPr>
        <w:shd w:val="clear"/>
        <w:rPr>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hd w:val="clea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hd w:val="clea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highlight w:val="none"/>
              </w:rPr>
            </w:pPr>
          </w:p>
        </w:tc>
        <w:tc>
          <w:tcPr>
            <w:tcW w:w="2482" w:type="dxa"/>
          </w:tcPr>
          <w:p>
            <w:pPr>
              <w:shd w:val="clear"/>
              <w:spacing w:line="360" w:lineRule="auto"/>
              <w:rPr>
                <w:rFonts w:ascii="宋体" w:hAnsi="宋体" w:eastAsia="宋体" w:cs="宋体"/>
                <w:b/>
                <w:kern w:val="0"/>
                <w:sz w:val="24"/>
                <w:highlight w:val="none"/>
              </w:rPr>
            </w:pPr>
          </w:p>
        </w:tc>
        <w:tc>
          <w:tcPr>
            <w:tcW w:w="2881" w:type="dxa"/>
          </w:tcPr>
          <w:p>
            <w:pPr>
              <w:shd w:val="clea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highlight w:val="none"/>
              </w:rPr>
            </w:pPr>
          </w:p>
        </w:tc>
        <w:tc>
          <w:tcPr>
            <w:tcW w:w="2482" w:type="dxa"/>
          </w:tcPr>
          <w:p>
            <w:pPr>
              <w:shd w:val="clear"/>
              <w:spacing w:line="360" w:lineRule="auto"/>
              <w:rPr>
                <w:rFonts w:ascii="宋体" w:hAnsi="宋体" w:eastAsia="宋体" w:cs="宋体"/>
                <w:b/>
                <w:kern w:val="0"/>
                <w:sz w:val="24"/>
                <w:highlight w:val="none"/>
              </w:rPr>
            </w:pPr>
          </w:p>
        </w:tc>
        <w:tc>
          <w:tcPr>
            <w:tcW w:w="2881" w:type="dxa"/>
          </w:tcPr>
          <w:p>
            <w:pPr>
              <w:shd w:val="clea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hd w:val="clear"/>
              <w:spacing w:line="360" w:lineRule="auto"/>
              <w:rPr>
                <w:rFonts w:ascii="宋体" w:hAnsi="宋体" w:eastAsia="宋体" w:cs="宋体"/>
                <w:b/>
                <w:kern w:val="0"/>
                <w:sz w:val="24"/>
                <w:highlight w:val="none"/>
              </w:rPr>
            </w:pPr>
          </w:p>
        </w:tc>
        <w:tc>
          <w:tcPr>
            <w:tcW w:w="2881" w:type="dxa"/>
          </w:tcPr>
          <w:p>
            <w:pPr>
              <w:shd w:val="clear"/>
              <w:spacing w:line="360" w:lineRule="auto"/>
              <w:rPr>
                <w:rFonts w:ascii="宋体" w:hAnsi="宋体" w:eastAsia="宋体" w:cs="宋体"/>
                <w:b/>
                <w:kern w:val="0"/>
                <w:sz w:val="24"/>
                <w:highlight w:val="none"/>
              </w:rPr>
            </w:pPr>
          </w:p>
        </w:tc>
      </w:tr>
    </w:tbl>
    <w:p>
      <w:pPr>
        <w:shd w:val="clear"/>
        <w:spacing w:line="360" w:lineRule="auto"/>
        <w:rPr>
          <w:rFonts w:ascii="宋体" w:hAnsi="宋体" w:eastAsia="宋体" w:cs="宋体"/>
          <w:kern w:val="0"/>
          <w:sz w:val="24"/>
          <w:highlight w:val="none"/>
        </w:rPr>
      </w:pPr>
    </w:p>
    <w:p>
      <w:pPr>
        <w:shd w:val="clear"/>
        <w:spacing w:line="360" w:lineRule="auto"/>
        <w:rPr>
          <w:rFonts w:ascii="宋体" w:hAnsi="宋体" w:eastAsia="宋体" w:cs="宋体"/>
          <w:kern w:val="0"/>
          <w:sz w:val="24"/>
          <w:highlight w:val="none"/>
        </w:rPr>
      </w:pPr>
    </w:p>
    <w:p>
      <w:pPr>
        <w:shd w:val="clea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hd w:val="clea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hd w:val="clea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hd w:val="clear"/>
        <w:spacing w:line="360" w:lineRule="auto"/>
        <w:rPr>
          <w:rFonts w:ascii="宋体" w:hAnsi="宋体" w:eastAsia="宋体" w:cs="宋体"/>
          <w:b/>
          <w:bCs/>
          <w:sz w:val="24"/>
          <w:highlight w:val="none"/>
        </w:rPr>
      </w:pPr>
    </w:p>
    <w:p>
      <w:pPr>
        <w:shd w:val="clea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2"/>
        <w:shd w:val="clear"/>
        <w:rPr>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hd w:val="clea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w:t>
            </w:r>
            <w:r>
              <w:rPr>
                <w:rFonts w:hint="eastAsia" w:ascii="宋体" w:hAnsi="宋体" w:eastAsia="宋体" w:cs="宋体"/>
                <w:sz w:val="24"/>
                <w:highlight w:val="none"/>
                <w:lang w:val="en-US" w:eastAsia="zh-CN"/>
              </w:rPr>
              <w:t>管理关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highlight w:val="none"/>
              </w:rPr>
            </w:pPr>
          </w:p>
        </w:tc>
        <w:tc>
          <w:tcPr>
            <w:tcW w:w="5387" w:type="dxa"/>
            <w:vAlign w:val="center"/>
          </w:tcPr>
          <w:p>
            <w:pPr>
              <w:shd w:val="clea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highlight w:val="none"/>
              </w:rPr>
            </w:pPr>
          </w:p>
        </w:tc>
        <w:tc>
          <w:tcPr>
            <w:tcW w:w="5387" w:type="dxa"/>
            <w:vAlign w:val="center"/>
          </w:tcPr>
          <w:p>
            <w:pPr>
              <w:shd w:val="clea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hd w:val="clear"/>
              <w:spacing w:line="360" w:lineRule="auto"/>
              <w:rPr>
                <w:rFonts w:ascii="宋体" w:hAnsi="宋体" w:eastAsia="宋体" w:cs="宋体"/>
                <w:b/>
                <w:kern w:val="0"/>
                <w:sz w:val="24"/>
                <w:highlight w:val="none"/>
              </w:rPr>
            </w:pPr>
          </w:p>
        </w:tc>
      </w:tr>
    </w:tbl>
    <w:p>
      <w:pPr>
        <w:shd w:val="clear"/>
        <w:spacing w:line="360" w:lineRule="auto"/>
        <w:rPr>
          <w:rFonts w:ascii="宋体" w:hAnsi="宋体" w:eastAsia="宋体" w:cs="宋体"/>
          <w:kern w:val="0"/>
          <w:sz w:val="24"/>
          <w:highlight w:val="none"/>
        </w:rPr>
      </w:pPr>
    </w:p>
    <w:p>
      <w:pPr>
        <w:shd w:val="clear"/>
        <w:spacing w:line="360" w:lineRule="auto"/>
        <w:rPr>
          <w:rFonts w:ascii="宋体" w:hAnsi="宋体" w:eastAsia="宋体" w:cs="宋体"/>
          <w:kern w:val="0"/>
          <w:sz w:val="24"/>
          <w:highlight w:val="none"/>
        </w:rPr>
      </w:pPr>
    </w:p>
    <w:p>
      <w:pPr>
        <w:shd w:val="clea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hd w:val="clea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hd w:val="clea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hd w:val="clear"/>
        <w:spacing w:line="360" w:lineRule="auto"/>
        <w:rPr>
          <w:rFonts w:ascii="宋体" w:hAnsi="宋体" w:eastAsia="宋体" w:cs="宋体"/>
          <w:b/>
          <w:kern w:val="0"/>
          <w:sz w:val="24"/>
          <w:highlight w:val="none"/>
        </w:rPr>
      </w:pPr>
    </w:p>
    <w:p>
      <w:pPr>
        <w:shd w:val="clear"/>
        <w:spacing w:line="360" w:lineRule="auto"/>
        <w:rPr>
          <w:rFonts w:ascii="宋体" w:hAnsi="宋体" w:eastAsia="宋体" w:cs="宋体"/>
          <w:b/>
          <w:kern w:val="0"/>
          <w:sz w:val="24"/>
          <w:highlight w:val="none"/>
        </w:rPr>
      </w:pPr>
    </w:p>
    <w:p>
      <w:pPr>
        <w:shd w:val="clea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hd w:val="clea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en-US" w:eastAsia="zh-CN"/>
        </w:rPr>
        <w:t>八</w:t>
      </w:r>
      <w:r>
        <w:rPr>
          <w:rFonts w:hint="eastAsia" w:cs="仿宋" w:asciiTheme="minorEastAsia" w:hAnsiTheme="minorEastAsia"/>
          <w:b/>
          <w:kern w:val="0"/>
          <w:sz w:val="32"/>
          <w:szCs w:val="32"/>
          <w:highlight w:val="none"/>
        </w:rPr>
        <w:t>、</w:t>
      </w:r>
      <w:r>
        <w:rPr>
          <w:rFonts w:hint="eastAsia" w:cs="仿宋" w:asciiTheme="minorEastAsia" w:hAnsiTheme="minorEastAsia"/>
          <w:b/>
          <w:kern w:val="0"/>
          <w:sz w:val="32"/>
          <w:szCs w:val="32"/>
          <w:highlight w:val="none"/>
          <w:lang w:val="zh-CN"/>
        </w:rPr>
        <w:t>供应商服务质量保证承诺函</w:t>
      </w:r>
    </w:p>
    <w:p>
      <w:pPr>
        <w:shd w:val="clear"/>
        <w:snapToGrid w:val="0"/>
        <w:spacing w:line="360" w:lineRule="auto"/>
        <w:rPr>
          <w:rFonts w:ascii="宋体" w:hAnsi="宋体" w:eastAsia="宋体" w:cs="宋体"/>
          <w:sz w:val="24"/>
          <w:highlight w:val="none"/>
        </w:rPr>
      </w:pPr>
    </w:p>
    <w:p>
      <w:pPr>
        <w:shd w:val="clea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hd w:val="clea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活动，并作如下承诺：</w:t>
      </w:r>
    </w:p>
    <w:p>
      <w:pPr>
        <w:shd w:val="clea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highlight w:val="none"/>
        </w:rPr>
      </w:pPr>
    </w:p>
    <w:p>
      <w:pPr>
        <w:shd w:val="clear"/>
        <w:snapToGrid w:val="0"/>
        <w:spacing w:line="360" w:lineRule="auto"/>
        <w:rPr>
          <w:rFonts w:ascii="宋体" w:hAnsi="宋体" w:eastAsia="宋体" w:cs="宋体"/>
          <w:sz w:val="24"/>
          <w:highlight w:val="none"/>
        </w:rPr>
      </w:pPr>
    </w:p>
    <w:p>
      <w:pPr>
        <w:shd w:val="clear"/>
        <w:snapToGrid w:val="0"/>
        <w:spacing w:line="360" w:lineRule="auto"/>
        <w:rPr>
          <w:rFonts w:ascii="宋体" w:hAnsi="宋体" w:eastAsia="宋体" w:cs="宋体"/>
          <w:sz w:val="24"/>
          <w:highlight w:val="none"/>
        </w:rPr>
      </w:pPr>
    </w:p>
    <w:p>
      <w:pPr>
        <w:shd w:val="clea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hd w:val="clea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2024年</w:t>
      </w:r>
      <w:r>
        <w:rPr>
          <w:rFonts w:hint="eastAsia" w:ascii="宋体" w:hAnsi="宋体" w:eastAsia="宋体" w:cs="宋体"/>
          <w:sz w:val="24"/>
          <w:highlight w:val="none"/>
        </w:rPr>
        <w:t xml:space="preserve"> 月  日</w:t>
      </w: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5"/>
        <w:shd w:val="clear"/>
        <w:jc w:val="center"/>
        <w:rPr>
          <w:sz w:val="32"/>
          <w:szCs w:val="32"/>
          <w:highlight w:val="none"/>
        </w:rPr>
      </w:pPr>
      <w:r>
        <w:rPr>
          <w:rFonts w:hint="eastAsia"/>
          <w:sz w:val="32"/>
          <w:szCs w:val="32"/>
          <w:highlight w:val="none"/>
        </w:rPr>
        <w:t>一 、 报价函</w:t>
      </w:r>
    </w:p>
    <w:p>
      <w:pPr>
        <w:pStyle w:val="7"/>
        <w:shd w:val="clear"/>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3"/>
          <w:sz w:val="24"/>
          <w:highlight w:val="none"/>
          <w:lang w:eastAsia="zh-CN"/>
        </w:rPr>
        <w:t>，</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w:t>
      </w:r>
      <w:r>
        <w:rPr>
          <w:rFonts w:hint="eastAsia" w:ascii="宋体" w:hAnsi="宋体" w:eastAsia="宋体" w:cs="宋体"/>
          <w:sz w:val="24"/>
          <w:highlight w:val="none"/>
          <w:lang w:eastAsia="zh-CN"/>
        </w:rPr>
        <w:t>，</w:t>
      </w:r>
      <w:r>
        <w:rPr>
          <w:rFonts w:hint="eastAsia" w:ascii="宋体" w:hAnsi="宋体" w:eastAsia="宋体" w:cs="宋体"/>
          <w:sz w:val="24"/>
          <w:highlight w:val="none"/>
        </w:rPr>
        <w:t>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pPr>
        <w:pStyle w:val="28"/>
        <w:shd w:val="clear"/>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w:t>
      </w:r>
      <w:r>
        <w:rPr>
          <w:rFonts w:hint="eastAsia" w:ascii="宋体" w:hAnsi="宋体" w:eastAsia="宋体" w:cs="宋体"/>
          <w:spacing w:val="-4"/>
          <w:sz w:val="24"/>
          <w:highlight w:val="none"/>
          <w:lang w:eastAsia="zh-CN"/>
        </w:rPr>
        <w:t>（</w:t>
      </w:r>
      <w:r>
        <w:rPr>
          <w:rFonts w:hint="eastAsia" w:ascii="宋体" w:hAnsi="宋体" w:eastAsia="宋体" w:cs="宋体"/>
          <w:spacing w:val="-4"/>
          <w:sz w:val="24"/>
          <w:highlight w:val="none"/>
        </w:rPr>
        <w:t>如需要修改</w:t>
      </w:r>
      <w:r>
        <w:rPr>
          <w:rFonts w:hint="eastAsia" w:ascii="宋体" w:hAnsi="宋体" w:eastAsia="宋体" w:cs="宋体"/>
          <w:spacing w:val="-4"/>
          <w:sz w:val="24"/>
          <w:highlight w:val="none"/>
          <w:lang w:eastAsia="zh-CN"/>
        </w:rPr>
        <w:t>）</w:t>
      </w:r>
      <w:r>
        <w:rPr>
          <w:rFonts w:hint="eastAsia" w:ascii="宋体" w:hAnsi="宋体" w:eastAsia="宋体" w:cs="宋体"/>
          <w:spacing w:val="-4"/>
          <w:sz w:val="24"/>
          <w:highlight w:val="none"/>
        </w:rPr>
        <w:t>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7"/>
        <w:shd w:val="clear"/>
        <w:ind w:firstLine="480" w:firstLineChars="200"/>
        <w:jc w:val="left"/>
        <w:rPr>
          <w:rFonts w:hAnsi="宋体" w:cs="宋体"/>
          <w:highlight w:val="none"/>
        </w:rPr>
      </w:pPr>
    </w:p>
    <w:p>
      <w:pPr>
        <w:pStyle w:val="7"/>
        <w:shd w:val="clear"/>
        <w:ind w:firstLine="480" w:firstLineChars="200"/>
        <w:jc w:val="left"/>
        <w:rPr>
          <w:rFonts w:hAnsi="宋体" w:cs="宋体"/>
          <w:highlight w:val="none"/>
        </w:rPr>
      </w:pPr>
    </w:p>
    <w:p>
      <w:pPr>
        <w:pStyle w:val="7"/>
        <w:shd w:val="clear"/>
        <w:jc w:val="left"/>
        <w:rPr>
          <w:rFonts w:hAnsi="宋体" w:cs="宋体"/>
          <w:highlight w:val="none"/>
        </w:rPr>
      </w:pPr>
      <w:r>
        <w:rPr>
          <w:rFonts w:hint="eastAsia" w:hAnsi="宋体" w:cs="宋体"/>
          <w:highlight w:val="none"/>
        </w:rPr>
        <w:t>供应商名称：（盖单位公章）</w:t>
      </w:r>
    </w:p>
    <w:p>
      <w:pPr>
        <w:pStyle w:val="7"/>
        <w:shd w:val="clear"/>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7"/>
        <w:shd w:val="clear"/>
        <w:tabs>
          <w:tab w:val="left" w:pos="4101"/>
        </w:tabs>
        <w:jc w:val="left"/>
        <w:rPr>
          <w:rFonts w:hAnsi="宋体" w:cs="宋体"/>
          <w:highlight w:val="none"/>
        </w:rPr>
      </w:pPr>
      <w:r>
        <w:rPr>
          <w:rFonts w:hint="eastAsia" w:hAnsi="宋体" w:cs="宋体"/>
          <w:highlight w:val="none"/>
        </w:rPr>
        <w:t>地址：</w:t>
      </w:r>
    </w:p>
    <w:p>
      <w:pPr>
        <w:pStyle w:val="7"/>
        <w:shd w:val="clear"/>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shd w:val="clear"/>
        <w:rPr>
          <w:rFonts w:ascii="宋体" w:hAnsi="宋体" w:cs="宋体"/>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highlight w:val="none"/>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hd w:val="clear"/>
        <w:snapToGrid w:val="0"/>
        <w:spacing w:line="360" w:lineRule="auto"/>
        <w:ind w:firstLine="482"/>
        <w:rPr>
          <w:rFonts w:hint="eastAsia"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202408025-1</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hd w:val="clear"/>
        <w:spacing w:line="360" w:lineRule="auto"/>
        <w:jc w:val="center"/>
        <w:rPr>
          <w:rFonts w:hint="eastAsia"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5"/>
        <w:tblW w:w="1478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8"/>
        <w:gridCol w:w="2120"/>
        <w:gridCol w:w="950"/>
        <w:gridCol w:w="950"/>
        <w:gridCol w:w="5014"/>
        <w:gridCol w:w="964"/>
        <w:gridCol w:w="656"/>
        <w:gridCol w:w="694"/>
        <w:gridCol w:w="1038"/>
        <w:gridCol w:w="1038"/>
        <w:gridCol w:w="69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212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物资名称</w:t>
            </w:r>
          </w:p>
        </w:tc>
        <w:tc>
          <w:tcPr>
            <w:tcW w:w="95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报价</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cstheme="minorEastAsia"/>
                <w:b/>
                <w:bCs/>
                <w:i w:val="0"/>
                <w:iCs w:val="0"/>
                <w:color w:val="000000"/>
                <w:kern w:val="0"/>
                <w:sz w:val="24"/>
                <w:szCs w:val="24"/>
                <w:highlight w:val="none"/>
                <w:u w:val="none"/>
                <w:lang w:val="en-US" w:eastAsia="zh-CN" w:bidi="ar"/>
              </w:rPr>
              <w:t>品牌</w:t>
            </w:r>
          </w:p>
        </w:tc>
        <w:tc>
          <w:tcPr>
            <w:tcW w:w="95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cstheme="minorEastAsia"/>
                <w:b/>
                <w:bCs/>
                <w:i w:val="0"/>
                <w:iCs w:val="0"/>
                <w:color w:val="000000"/>
                <w:kern w:val="0"/>
                <w:sz w:val="24"/>
                <w:szCs w:val="24"/>
                <w:highlight w:val="none"/>
                <w:u w:val="none"/>
                <w:lang w:val="en-US" w:eastAsia="zh-CN" w:bidi="ar"/>
              </w:rPr>
              <w:t>推荐</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品牌</w:t>
            </w:r>
          </w:p>
        </w:tc>
        <w:tc>
          <w:tcPr>
            <w:tcW w:w="5014"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型号规格</w:t>
            </w:r>
          </w:p>
        </w:tc>
        <w:tc>
          <w:tcPr>
            <w:tcW w:w="964"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需求部门</w:t>
            </w:r>
          </w:p>
        </w:tc>
        <w:tc>
          <w:tcPr>
            <w:tcW w:w="656"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单位</w:t>
            </w:r>
          </w:p>
        </w:tc>
        <w:tc>
          <w:tcPr>
            <w:tcW w:w="694"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数量</w:t>
            </w:r>
          </w:p>
        </w:tc>
        <w:tc>
          <w:tcPr>
            <w:tcW w:w="103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单价（元）</w:t>
            </w:r>
          </w:p>
        </w:tc>
        <w:tc>
          <w:tcPr>
            <w:tcW w:w="103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 xml:space="preserve">金额（元）   </w:t>
            </w:r>
          </w:p>
        </w:tc>
        <w:tc>
          <w:tcPr>
            <w:tcW w:w="694"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PB1系列按钮触头开关元件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PB1-F-C10 1常开</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PB1系列按钮触头开关元件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PB1-F-C01 1常闭</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APT金属二档短柄旋钮开关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PB1S-10X/K 黑色  工作状态:定位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APT金属二档短柄旋钮开关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PB1S-10X/K 黑色 工作状态:左复位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APT金属二档短柄旋钮开关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PB1S-10X/K 黑色 工作状态:右复位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APT金属三档短柄旋钮开关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PB1S-10XS6/K 黑色 工作状态:定位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APT金属三档短柄旋钮开关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PB1S-10XS6/K 黑色 工作状态:左右复位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APT开关控制启动停按钮头部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PB1S-AATD/r 工作状态:不带灯复位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APT开关控制启动停按钮头部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PB1S-AATD/y 工作状态:不带灯复位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AX三极交流接触器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AX40-30-10 36*190V-50HZ/220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CP1复位平钮</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CP1-10G-10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CP2复位平钮</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CP1-10R-11</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SEW电机刹车整流模块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SEW</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BG1.5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UPS电源</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型号：N-1K；参数：容量：1000VA/900W，输入：220VAC 50HZ 5A；输出：220VAC 50HZ 4.5A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UPS电源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山特/松下/华为</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型号：CASTLE 1K；参数：容量：1000VA/800W，输入：220VAC，50HZ。输出：220VAC，50HZ</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UPS电源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维谛/艾默生/松下</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型号：GXE3Kva，3kVA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UPS电源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维谛/艾默生/松下</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型号：liebert ITA2 5kVA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安全继电器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RT6230AC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YSP12-11Y</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LA39-B2-11D/r28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LA39-B2-11D/g28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LA39-B2-11D/r</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LA39-B2-11D/y28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XB4BW36M5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XB4BW34M5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按钮开关</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型号：ND16-22D,LED,绿灯按钮开关，24V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按钮开关</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型号：ND16-22D,LED,红灯按钮开关，24V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按钮开关</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型号：ND16-22D,LED,绿灯按钮开关，220V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按钮开关</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型号：ND16-22D,LED,红灯按钮开关，220V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触点模块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ZA2EE101 常开触点</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触点模块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ZA2EE102 常闭触点</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刀闸端子</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UT 4-MT RD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刀闸端子</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UT 4-MT</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导轨式时控开关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KG816B/AC220V 卡槽式安装DZ47S 2P尺寸</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低压电动机保护器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深圳中电</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PMC-550M</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低压熔断器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R054 6.3A 500V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点火变压器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fida/COFI/Danfoss</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型号：COMPACT 10/30CM，2*5kv，230VA，30mA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点火变压器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型号：XT-14，2*7kv，230VA，25mA，带电缆，带固定极耳</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电磁制动器专用整流器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SANKI</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继电器款 MH-20TC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电动卷帘门控制器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型号：XFS41/电压：AC220V/50HZ</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电机启动保护器  </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NSZ-25 9-14A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电流变送器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BD-AI 精度0.5 辅助电源 AC/DC 85-265V 信号输入 AC0-5A 对应0-5A/DC4-20mA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电流变送器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CE-VZ01-54 75mV/20mA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电流表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PZ72-AI/M</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电流表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6C2-A 15A/75mV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电流表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型号：SD41-DX1-M 电源：85~265V 输入：AC5A  模拟量输出输出：4~20mA对应：0~5A 倍率：25/5A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电流传感器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LA28A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电流互感器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LMK1-0.66 400/5A 0.5级</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电容</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XEB2202</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电位器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MIDORI/bourns/megatron</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HP-18.5K</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电压变送器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CE-VZ01-54 150V/20mA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电压表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PZ72-AV/M</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电压表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6L2-V 10.5KV/105V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电压表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6L2-V AC250V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电压表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6C2-V DC150V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电源单元</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6EP1935-5PG01</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电源单元</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DRP024V240W1BN</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电源单元</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DRP024V120W1BN</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电源模块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明纬</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LRS-150-24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电源模块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参照或者相当于QS20.241</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电源模块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参照或者相当于YR40.242</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电源模块</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6ES7288-0CD10-0AA0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富士/三菱/西门子</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型号：CP30FM2P003 3A，2P，无辅助触点</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富士/三菱/西门子</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型号：CP30FM2P005KA 5A，2P，5A，KA辅助触点</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富士/三菱/西门子</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型号：CP30FM2P030KA 5A，2P，30A，KA辅助触点</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富士/三菱/西门子</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型号：NF32-SVF</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断相与相序保护器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XJ3-D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多功能电度表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PMC-F961A 57.7V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多功能定时继电器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CT-MVS.12S</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多功能数显表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PMC-D726I</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多功能数显表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PMC-D726M</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二档旋钮开关</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LA38-10（2挡自锁）</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反射板型光电开关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参照或者相当于ML100-55/103/115 反射型号：REF-H50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防爆接线盒铝合金户外防水分线盒</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 80*76*57一进一出4P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防爆接线盒铝合金户外防水分线盒</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80*76*57一进二出4P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防爆接线盒铝合金户外防水分线盒</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80*76*57二进二出4P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防爆行程开关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BZX51-5D 220/380V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防爆行程开关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BZX51-D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防爆型限位开关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重庆川仪调节阀有限公司</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VF04D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防雨单路控制箱</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主要配置：304不锈钢防雨控制箱、智能单光柱测控仪表、静压液位计30米线3米量程</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分流器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15A/75mV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风机</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KA2208HA2-2</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浮球液位开关</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型号：HT-M15-2  浮球控制器配8米线</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辅助触头</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F1-11</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辅助触头</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RX-3X/11</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干式变压器冷却风机</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GFDD470-150/电压：220V/电流：0.45A功率；75W/风量：1000m3/h/频率：50HZ/转速：1400r/min A型</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干式变压器冷却风机</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GFDD470-150/电压：220V/电流：0.45A功率；75W/风量：1000m3/h/频率：50HZ/转速：1400r/min B型</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干式变压器温控器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型号：IB-Q201FIL/厂家：福建英诺科技</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隔离配电器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参照或者相当于HK-6044-PPAA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隔离栅</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参照或者相当于NHR-A32-14/14-0/0,4-20mA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隔离栅</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参照或者相当于MTL5516C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红外热像仪 </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海康微影（HIKMICRO）</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H10S单光（3.2英吋屏192*144）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机械限位开关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LX19-111</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机械限位开关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参照或者相当于XCKN2108P20C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急停按钮</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XA2ES542 急停按钮Ф40,1NC,红,旋转复位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急停按钮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XALK178G</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交流接触器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CJX2-2510 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交流接触器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施耐德</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LC1F400M7 AC220V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天正电气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TGC1-0910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NC1-18010Z 24VDC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NXC-09</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接近开关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奥托尼克斯</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PR30-15DP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接近开关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参照或者相当于CR30-15DP2，三线制，常闭型，电源10-30VDC，感应距离可调</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金属按钮开关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安装孔12MM  自复位开关  3A/250VAC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金属防水接头黄铜镀镍格兰头</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M20*1.5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静电释放器球头</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语音声光报警</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明纬</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DRP-240-24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明纬</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EDR-120-24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明纬</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EDR-150-24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明纬</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LRS-35-24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明纬</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LRS-50-24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明纬</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S8FS-35024J</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参照或者相当于LRS-200-12</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型号：NDR-240-24，220V转24VDC，240W，导轨式电源，材质：外壳304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型号：SE-1000-24，220V转24VDC，1500W，模块电源，螺丝固定</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型号：SE-1500-24，220V转24VDC，70A，1500W，模块电源，螺丝固定</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HDR-60-24,220V转24VDC，60W，导轨式电源,材质：外壳塑料</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型号：NDR-120-24，220V转24VDC，240W，导轨式电源，材质：外壳304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型号：SE-250-24，220V转24VDC，250W，模块电源</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型号：SE-120-24，220V转24VDC，120W，模块电源</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型号：LM75-23B24R2，220V转24VDC，75W，模块电源</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型号：SE-120-12，220V转12VDC，120W，模块电源</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开关柜动插件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型号：MGCT6B-3-160A 额定电流：160A 额定电压：1000V 采用标准：GB/T7251.12 JB/T10323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开关柜动插件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型号：MGCT6B-3-250A 额定电流：250A 额定电压：380V/690V 采用标准：GB/T7251.12 JB/T10323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开关柜动插件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MGCT6B-3-630A 额定电流：630A 额定电压：380/690V 采用标准:GB7251.1 JB/T10323 JB/T10263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开关柜静插件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型号：MGCZ6B-3-160A 额定电流：160A 额定电压：1000V 采用标准：GB/T7251.12 JB/T10323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开关柜静插件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型号：MGCZ6B-3-250A 额定电流：250A 额定电压：380V /690V 采用标准：GB/T7251.12 JB/T10323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开关柜静插件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MGCZ6B-3-630A 额定电流：630A 额定电压：380/690V 采用标准:GB7251.1 JB/T10323 JB/T10263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可逆直流接触器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ABB/rotork/施耐德</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型号：VBC6-30-01,直流线圈24VDC可逆控制，三级常开，辅助触点常闭，9A，功率4kw，银触点</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空气开关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C65N/3P 25A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空气开关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C65N/2P 25A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空气开关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C65H-DC 6A/2P 带辅助触点</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空气开关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德力西/正泰/人民电气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型号：NXB-63，C2A，2P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空气开关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德力西/正泰/人民电气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型号：NXB-63，C6A，2P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空气开关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德力西/正泰/人民电气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型号：NXB-63，C10A，2P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控制变压器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LDZ13500012.00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控制变压器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德力西/正泰/人民电气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NDK-50，50W，上下端子分布，220VAC输入，输出24VAC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控制变压器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德力西/正泰/人民电气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NDK-100，100W，上下端子分布，220VAC输入，输出24VAC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控制变压器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德力西/正泰/人民电气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BK-100，100W，上下端子分布，220V/380VAC输入，输出24V/36VAC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浪涌保护器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雷宇</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ALU3-C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路灯控制器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KG316T220XK AC220V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马达保护器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ARD2-1.6/C LED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马达保护器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ARD2-1.6/JM LED 报警输出,4-20mA输出</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马达保护器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ARD2-1.6/L</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马达保护器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ARD2-25/C LED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马达保护器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ARD2-25/JM LED 报警输出,4-20mA输出</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马达保护器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ARD2-6.3/C LED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马达保护器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ARD2-6.3/JM LED 报警输出,4-20mA输出</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蘑菇头按钮</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XB5AS8445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型号：CBB61,两脚带线，1uf，耐压450V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型号：CBB61,两脚带线，1.2uf，耐压450V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型号：CBB61,两脚带线，1.5uf，耐压450V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型号：CBB61,两脚带线，2uf，耐压450V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型号：CBB61,两脚带线，2.5uf，耐压450V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型号：CBB61,两脚带线，3uf，耐压450V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型号：CBB61,两脚带线，3.5uf，耐压450V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型号：CBB61,两脚带线，5uf，耐压450V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型号：CBB61,两脚带线，6uf，耐压450V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型号：CBB61,两脚带线，8uf，耐压450V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起励二极管</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1N5408</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起励接触器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CJX4-2510Z-MD/DC220V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气缸</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SMC</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MDBB100-450JZ</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天正电气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TGR1-18</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NXR-25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JR36-20 1.5-2.4A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JR36-20 2.2-3.5A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JR36-20 3.2- 5A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JR36-20 4.5- 7.2A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JR36-20 6.8-11A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JR36-32 10-16A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JR36-20 14-22A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JR36-63 20-32A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三档旋钮开关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LA38-10（3挡自锁）</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三相多功能相位伏安表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胜利VC4300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DH48S-S</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DH48S-S 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天正电气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HHS13 220V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天正电气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HHS5F(ST3PF)</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天正电气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HHS5F(ST3PF) 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JS14A-/00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JSZ3A-B   AC220V 带底座</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3RP15 40 断电延时0.5-10s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JSZ3A-B AC220V 带底座</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时控开关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220v全自动微电脑kg316t</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试验端子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UT 6-T-HV-P/P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室外防水电源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小耳朵/海康威视/大华</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型号：STD-TM24-12C，IP66，12V2A，dc线450mm，接口：5.5*2.1mm圆孔，ac线450mm，国标2脚插头，两头带线</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室外防水电源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小耳朵/海康威视/大华</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型号：HMQ-Z12T-050200C，两头带线，各长0.5m，AC国标2脚插头，DC5.5*2.5mm圆孔</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数显表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天康</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TKXC701U 1AI+1AO,LCD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塑壳断路器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T5S 630PR221DS-LSI R630 3P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塑壳断路器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NM1-63S-3300 3P 63A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通信电源模块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艾默生/海康威视/雅达</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型号：DS460S-3-002，460W，12Vdc，插针抽屉式电源</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通信整流模块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中恒</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型号：APR48-3G/ZH/220VDC 输入：200-240VDC 12A 输出：48.5V 35A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TGB1N-63 C3 1P 3A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TGB1N-63 C3 2P 3A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TGB1N-63 D25 3P 25A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DZ47-60 C5 1P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DZ47-60 C5 3P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DZ47-60 D10 3P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NXB-63 C10 2P 10A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NXB-63 D16 3P 16A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限位开关自复</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V-156-1C25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限位开关自复</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V-154-1C25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限位开关自复</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V-151-1C25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限位开关自复</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V-153-1C25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限位开关自复</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V-152-1C25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限位开关自复</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V-155-1C25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相序监控继电器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CM-PVS.41S</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小型圆形按钮开关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12.5 复位开关  250V/2A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信号灯</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ADA22DW DC220V 白色</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信号灯</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ADA22DG DC220V 绿色</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信号灯</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ADA22DR DC220V 红色</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行程开关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ME-8112</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行程开关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柱塞式，YBLX-K3/20S/Z</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行程开关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正泰/欧姆龙/德力西</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型号：YBLX-19/111</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选择开关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XA2EJ33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选择开关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XA2ED33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选择开关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XA2EJ33+ZA2EE102</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选择开关 </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XB2BD21C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一次进线罩</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型号：160A 与主回路动插件MGCT6B-3-160A 配套</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一次进线罩</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型号：250A 与主回路动插件MGCT6B-3-250A 配套</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一次进线罩</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型号：630A 与主回路动插件MGCT6B-3-630A 配套</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整流变压器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型号：ZLC-5/10.5 容量：5KVA 极性：Yd-11 相数：三相 频率：50HZ 额定电压：高压：10500V/低压：130V 额定电流：高压：0.27A/低压：22.21A 阻抗电压：3.9%</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制动电容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1.27.4AC2 MKP 30uf ±5% 420V~30000h/class A 470V~10000h/class B</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CR-MX220-2 AC220V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TGJC1-54Z DC24V 四开四闭3A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天正电气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HHC68B-4Z</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JZX-22F/4Z 220VAC 3A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NFX-13FW(D)/2Z 24VDC 10A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NFX-13FW(D)/4ZS 24VDC 3A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RJ2S-CL-D12</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MYNJ-D-24VDC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DRM270220LT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DRM570220LT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3TH4244-1XM4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中间继电器底座</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型号：P2RF-05-E；其它：5脚</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中间继电器底座</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型号：P2RF-08-E；其它：8脚</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转换开关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LW39-16B-6JD-2212X/2P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转换开关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LW39-16B-6AC-11/1P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转换开关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LW39-16B-30B-101/1P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转换开关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LW39-16B-B1-101/1P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转换开关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型号：LA38-22-11(三挡)；参数：一常开一常闭</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688" w:type="dxa"/>
            <w:gridSpan w:val="4"/>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sz w:val="24"/>
                <w:szCs w:val="24"/>
                <w:highlight w:val="none"/>
              </w:rPr>
              <w:t>响应报价合计（小写）</w:t>
            </w:r>
          </w:p>
        </w:tc>
        <w:tc>
          <w:tcPr>
            <w:tcW w:w="10098" w:type="dxa"/>
            <w:gridSpan w:val="7"/>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688" w:type="dxa"/>
            <w:gridSpan w:val="4"/>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sz w:val="24"/>
                <w:szCs w:val="24"/>
                <w:highlight w:val="none"/>
              </w:rPr>
              <w:t>响应报价合计（大写）</w:t>
            </w:r>
          </w:p>
        </w:tc>
        <w:tc>
          <w:tcPr>
            <w:tcW w:w="10098" w:type="dxa"/>
            <w:gridSpan w:val="7"/>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4688" w:type="dxa"/>
            <w:gridSpan w:val="4"/>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sz w:val="24"/>
                <w:szCs w:val="24"/>
                <w:highlight w:val="none"/>
              </w:rPr>
              <w:t>税率</w:t>
            </w:r>
          </w:p>
        </w:tc>
        <w:tc>
          <w:tcPr>
            <w:tcW w:w="10098" w:type="dxa"/>
            <w:gridSpan w:val="7"/>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tc>
      </w:tr>
    </w:tbl>
    <w:p>
      <w:pPr>
        <w:shd w:val="clear"/>
        <w:rPr>
          <w:rFonts w:hint="eastAsia"/>
          <w:highlight w:val="none"/>
          <w:lang w:val="zh-CN"/>
        </w:rPr>
      </w:pPr>
    </w:p>
    <w:p>
      <w:pPr>
        <w:shd w:val="clear"/>
        <w:snapToGrid w:val="0"/>
        <w:spacing w:line="360" w:lineRule="auto"/>
        <w:ind w:left="480"/>
        <w:rPr>
          <w:rFonts w:hint="eastAsia"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pPr>
        <w:shd w:val="clea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hd w:val="clear"/>
        <w:snapToGrid w:val="0"/>
        <w:spacing w:line="360" w:lineRule="auto"/>
        <w:ind w:firstLine="480" w:firstLineChars="200"/>
        <w:jc w:val="left"/>
        <w:rPr>
          <w:highlight w:val="none"/>
        </w:rPr>
      </w:pPr>
      <w:r>
        <w:rPr>
          <w:rFonts w:hint="eastAsia" w:ascii="宋体" w:hAnsi="宋体" w:cs="宋体"/>
          <w:kern w:val="0"/>
          <w:sz w:val="24"/>
          <w:highlight w:val="none"/>
          <w:lang w:val="zh-CN"/>
        </w:rPr>
        <w:t>3、特别提示：采购人将对项目名称和项目编号，成交供应商名称、成交金额予以公示。</w:t>
      </w:r>
    </w:p>
    <w:p>
      <w:pPr>
        <w:shd w:val="clear"/>
        <w:rPr>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highlight w:val="none"/>
        </w:rPr>
      </w:pPr>
      <w:bookmarkStart w:id="517" w:name="_Toc465665161"/>
      <w:r>
        <w:rPr>
          <w:rFonts w:hint="eastAsia" w:cs="宋体" w:asciiTheme="minorEastAsia" w:hAnsiTheme="minorEastAsia"/>
          <w:b/>
          <w:bCs/>
          <w:kern w:val="44"/>
          <w:sz w:val="44"/>
          <w:szCs w:val="44"/>
          <w:highlight w:val="none"/>
        </w:rPr>
        <w:t>附件</w:t>
      </w:r>
      <w:bookmarkEnd w:id="517"/>
    </w:p>
    <w:p>
      <w:pPr>
        <w:shd w:val="clea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hd w:val="clea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hd w:val="clea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hd w:val="clea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hd w:val="clea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hd w:val="clea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hd w:val="clea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hd w:val="clear"/>
        <w:snapToGrid w:val="0"/>
        <w:spacing w:line="360" w:lineRule="auto"/>
        <w:rPr>
          <w:rFonts w:ascii="宋体" w:hAnsi="宋体" w:cs="宋体"/>
          <w:sz w:val="24"/>
          <w:highlight w:val="none"/>
        </w:rPr>
      </w:pPr>
      <w:r>
        <w:rPr>
          <w:rFonts w:hint="eastAsia" w:ascii="宋体" w:hAnsi="宋体" w:cs="宋体"/>
          <w:sz w:val="24"/>
          <w:highlight w:val="none"/>
        </w:rPr>
        <w:t>……</w:t>
      </w:r>
    </w:p>
    <w:p>
      <w:pPr>
        <w:shd w:val="clea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hd w:val="clear"/>
        <w:spacing w:line="360" w:lineRule="auto"/>
        <w:rPr>
          <w:rFonts w:ascii="宋体" w:hAnsi="宋体" w:cs="宋体"/>
          <w:sz w:val="24"/>
          <w:highlight w:val="none"/>
        </w:rPr>
      </w:pPr>
      <w:r>
        <w:rPr>
          <w:rFonts w:hint="eastAsia" w:ascii="宋体" w:hAnsi="宋体" w:cs="宋体"/>
          <w:sz w:val="24"/>
          <w:highlight w:val="none"/>
        </w:rPr>
        <w:t>签字</w:t>
      </w:r>
      <w:r>
        <w:rPr>
          <w:rFonts w:hint="eastAsia" w:ascii="宋体" w:hAnsi="宋体" w:cs="宋体"/>
          <w:sz w:val="24"/>
          <w:highlight w:val="none"/>
          <w:lang w:eastAsia="zh-CN"/>
        </w:rPr>
        <w:t>（</w:t>
      </w:r>
      <w:r>
        <w:rPr>
          <w:rFonts w:hint="eastAsia" w:ascii="宋体" w:hAnsi="宋体" w:cs="宋体"/>
          <w:sz w:val="24"/>
          <w:highlight w:val="none"/>
        </w:rPr>
        <w:t>签章</w:t>
      </w:r>
      <w:r>
        <w:rPr>
          <w:rFonts w:hint="eastAsia" w:ascii="宋体" w:hAnsi="宋体" w:cs="宋体"/>
          <w:sz w:val="24"/>
          <w:highlight w:val="none"/>
          <w:lang w:eastAsia="zh-CN"/>
        </w:rPr>
        <w:t>）</w:t>
      </w:r>
      <w:r>
        <w:rPr>
          <w:rFonts w:hint="eastAsia" w:ascii="宋体" w:hAnsi="宋体" w:cs="宋体"/>
          <w:sz w:val="24"/>
          <w:highlight w:val="none"/>
        </w:rPr>
        <w:t xml:space="preserve">：                   公章：                      </w:t>
      </w:r>
    </w:p>
    <w:p>
      <w:pPr>
        <w:shd w:val="clear"/>
        <w:spacing w:line="360" w:lineRule="auto"/>
        <w:rPr>
          <w:rFonts w:ascii="宋体" w:hAnsi="宋体" w:cs="宋体"/>
          <w:sz w:val="24"/>
          <w:highlight w:val="none"/>
        </w:rPr>
      </w:pPr>
      <w:r>
        <w:rPr>
          <w:rFonts w:hint="eastAsia" w:ascii="宋体" w:hAnsi="宋体" w:cs="宋体"/>
          <w:sz w:val="24"/>
          <w:highlight w:val="none"/>
        </w:rPr>
        <w:t xml:space="preserve">日期：    </w:t>
      </w:r>
    </w:p>
    <w:p>
      <w:pPr>
        <w:shd w:val="clear"/>
        <w:spacing w:line="360" w:lineRule="auto"/>
        <w:jc w:val="center"/>
        <w:rPr>
          <w:rFonts w:ascii="宋体" w:hAnsi="宋体" w:cs="宋体"/>
          <w:b/>
          <w:bCs/>
          <w:sz w:val="24"/>
          <w:highlight w:val="none"/>
        </w:rPr>
      </w:pPr>
    </w:p>
    <w:p>
      <w:pPr>
        <w:shd w:val="clear"/>
        <w:spacing w:line="360" w:lineRule="auto"/>
        <w:rPr>
          <w:rFonts w:ascii="宋体" w:hAnsi="宋体" w:cs="宋体"/>
          <w:b/>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shd w:val="clear"/>
        <w:rPr>
          <w:highlight w:val="none"/>
        </w:rPr>
      </w:pPr>
    </w:p>
    <w:p>
      <w:pPr>
        <w:shd w:val="clea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hd w:val="clea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hd w:val="clea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hd w:val="clear"/>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shd w:val="clea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hd w:val="clea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供应商全称</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sz w:val="24"/>
          <w:highlight w:val="none"/>
        </w:rPr>
        <w:t>响应活动中</w:t>
      </w:r>
      <w:r>
        <w:rPr>
          <w:rFonts w:hint="eastAsia" w:cs="仿宋" w:asciiTheme="minorEastAsia" w:hAnsiTheme="minorEastAsia"/>
          <w:bCs/>
          <w:sz w:val="24"/>
          <w:highlight w:val="none"/>
          <w:lang w:eastAsia="zh-CN"/>
        </w:rPr>
        <w:t>做如下</w:t>
      </w:r>
      <w:r>
        <w:rPr>
          <w:rFonts w:hint="eastAsia" w:cs="仿宋" w:asciiTheme="minorEastAsia" w:hAnsiTheme="minorEastAsia"/>
          <w:bCs/>
          <w:sz w:val="24"/>
          <w:highlight w:val="none"/>
        </w:rPr>
        <w:t>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hd w:val="clear"/>
        <w:spacing w:line="360" w:lineRule="auto"/>
        <w:ind w:firstLine="494"/>
        <w:rPr>
          <w:rFonts w:cs="仿宋" w:asciiTheme="minorEastAsia" w:hAnsiTheme="minorEastAsia"/>
          <w:sz w:val="24"/>
          <w:highlight w:val="none"/>
        </w:rPr>
      </w:pPr>
    </w:p>
    <w:p>
      <w:pPr>
        <w:shd w:val="clear"/>
        <w:spacing w:line="360" w:lineRule="auto"/>
        <w:ind w:firstLine="494"/>
        <w:rPr>
          <w:rFonts w:cs="仿宋" w:asciiTheme="minorEastAsia" w:hAnsiTheme="minorEastAsia"/>
          <w:sz w:val="24"/>
          <w:highlight w:val="none"/>
        </w:rPr>
      </w:pPr>
    </w:p>
    <w:p>
      <w:pPr>
        <w:shd w:val="clear"/>
        <w:spacing w:line="360" w:lineRule="auto"/>
        <w:ind w:firstLine="494"/>
        <w:rPr>
          <w:rFonts w:cs="仿宋" w:asciiTheme="minorEastAsia" w:hAnsiTheme="minorEastAsia"/>
          <w:sz w:val="24"/>
          <w:highlight w:val="none"/>
        </w:rPr>
      </w:pPr>
    </w:p>
    <w:p>
      <w:pPr>
        <w:shd w:val="clear"/>
        <w:spacing w:line="360" w:lineRule="auto"/>
        <w:ind w:firstLine="494"/>
        <w:rPr>
          <w:rFonts w:cs="仿宋" w:asciiTheme="minorEastAsia" w:hAnsiTheme="minorEastAsia"/>
          <w:sz w:val="24"/>
          <w:highlight w:val="none"/>
        </w:rPr>
      </w:pPr>
    </w:p>
    <w:p>
      <w:pPr>
        <w:shd w:val="clea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shd w:val="clea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shd w:val="clear"/>
        <w:rPr>
          <w:rFonts w:cs="仿宋" w:asciiTheme="minorEastAsia" w:hAnsiTheme="minorEastAsia"/>
          <w:sz w:val="24"/>
          <w:highlight w:val="none"/>
        </w:rPr>
      </w:pPr>
      <w:r>
        <w:rPr>
          <w:rFonts w:hint="eastAsia" w:cs="仿宋" w:asciiTheme="minorEastAsia" w:hAnsiTheme="minorEastAsia"/>
          <w:b/>
          <w:bCs/>
          <w:sz w:val="24"/>
          <w:highlight w:val="none"/>
        </w:rPr>
        <w:t>附：</w:t>
      </w:r>
    </w:p>
    <w:p>
      <w:pPr>
        <w:shd w:val="clea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rPr>
          <w:rFonts w:cs="仿宋" w:asciiTheme="minorEastAsia" w:hAnsiTheme="minorEastAsia"/>
          <w:b/>
          <w:spacing w:val="6"/>
          <w:sz w:val="32"/>
          <w:szCs w:val="32"/>
          <w:highlight w:val="none"/>
        </w:rPr>
      </w:pPr>
    </w:p>
    <w:p>
      <w:pPr>
        <w:shd w:val="clea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附件3：</w:t>
      </w:r>
    </w:p>
    <w:p>
      <w:pPr>
        <w:shd w:val="clea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分包意向协议</w:t>
      </w:r>
    </w:p>
    <w:p>
      <w:pPr>
        <w:widowControl/>
        <w:shd w:val="clear"/>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b/>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若成为</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202408025-1</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lang w:val="zh-CN"/>
        </w:rPr>
        <w:t>的成交供应商，将依法采取分包方式履行合同。</w:t>
      </w: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rPr>
        <w:t>与</w:t>
      </w:r>
      <w:r>
        <w:rPr>
          <w:rFonts w:hint="eastAsia" w:cs="仿宋" w:asciiTheme="minorEastAsia" w:hAnsiTheme="minorEastAsia"/>
          <w:kern w:val="0"/>
          <w:sz w:val="24"/>
          <w:highlight w:val="none"/>
          <w:u w:val="single"/>
        </w:rPr>
        <w:t>（所有分包供应商名称）</w:t>
      </w:r>
      <w:r>
        <w:rPr>
          <w:rFonts w:hint="eastAsia" w:cs="仿宋" w:asciiTheme="minorEastAsia" w:hAnsiTheme="minorEastAsia"/>
          <w:kern w:val="0"/>
          <w:sz w:val="24"/>
          <w:highlight w:val="none"/>
        </w:rPr>
        <w:t>达成分包意向协议</w:t>
      </w:r>
      <w:r>
        <w:rPr>
          <w:rFonts w:hint="eastAsia" w:cs="仿宋" w:asciiTheme="minorEastAsia" w:hAnsiTheme="minorEastAsia"/>
          <w:kern w:val="0"/>
          <w:sz w:val="24"/>
          <w:highlight w:val="none"/>
          <w:lang w:val="zh-CN"/>
        </w:rPr>
        <w:t xml:space="preserve">。 </w:t>
      </w: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一、分包标的及数量</w:t>
      </w: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将</w:t>
      </w:r>
      <w:r>
        <w:rPr>
          <w:rFonts w:hint="eastAsia" w:cs="仿宋" w:asciiTheme="minorEastAsia" w:hAnsiTheme="minorEastAsia"/>
          <w:kern w:val="0"/>
          <w:sz w:val="24"/>
          <w:highlight w:val="none"/>
          <w:u w:val="single"/>
        </w:rPr>
        <w:t xml:space="preserve"> XX工作内容   </w:t>
      </w:r>
      <w:r>
        <w:rPr>
          <w:rFonts w:hint="eastAsia" w:cs="仿宋" w:asciiTheme="minorEastAsia" w:hAnsiTheme="minorEastAsia"/>
          <w:sz w:val="24"/>
          <w:highlight w:val="none"/>
        </w:rPr>
        <w:t>分包给</w:t>
      </w:r>
      <w:r>
        <w:rPr>
          <w:rFonts w:hint="eastAsia" w:cs="仿宋" w:asciiTheme="minorEastAsia" w:hAnsiTheme="minorEastAsia"/>
          <w:kern w:val="0"/>
          <w:sz w:val="24"/>
          <w:highlight w:val="none"/>
          <w:u w:val="single"/>
        </w:rPr>
        <w:t>（分包供应商1名称）</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u w:val="single"/>
        </w:rPr>
        <w:t>（分包供应商2名称），</w:t>
      </w:r>
      <w:r>
        <w:rPr>
          <w:rFonts w:hint="eastAsia" w:cs="仿宋" w:asciiTheme="minorEastAsia" w:hAnsiTheme="minorEastAsia"/>
          <w:kern w:val="0"/>
          <w:sz w:val="24"/>
          <w:highlight w:val="none"/>
          <w:lang w:val="zh-CN"/>
        </w:rPr>
        <w:t>具备承</w:t>
      </w:r>
      <w:r>
        <w:rPr>
          <w:rFonts w:hint="eastAsia" w:cs="仿宋" w:asciiTheme="minorEastAsia" w:hAnsiTheme="minorEastAsia"/>
          <w:kern w:val="0"/>
          <w:sz w:val="24"/>
          <w:highlight w:val="none"/>
        </w:rPr>
        <w:t>担</w:t>
      </w:r>
      <w:r>
        <w:rPr>
          <w:rFonts w:hint="eastAsia" w:cs="仿宋" w:asciiTheme="minorEastAsia" w:hAnsiTheme="minorEastAsia"/>
          <w:kern w:val="0"/>
          <w:sz w:val="24"/>
          <w:highlight w:val="none"/>
          <w:u w:val="single"/>
          <w:lang w:val="zh-CN"/>
        </w:rPr>
        <w:t>XX工作内容</w:t>
      </w:r>
      <w:r>
        <w:rPr>
          <w:rFonts w:hint="eastAsia" w:cs="仿宋" w:asciiTheme="minorEastAsia" w:hAnsiTheme="minorEastAsia"/>
          <w:kern w:val="0"/>
          <w:sz w:val="24"/>
          <w:highlight w:val="none"/>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w:t>
      </w: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二、分包工作履行期限、地点、方式</w:t>
      </w:r>
    </w:p>
    <w:p>
      <w:pPr>
        <w:shd w:val="clea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三、质量</w:t>
      </w:r>
    </w:p>
    <w:p>
      <w:pPr>
        <w:shd w:val="clea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四、价款或者报酬</w:t>
      </w:r>
    </w:p>
    <w:p>
      <w:pPr>
        <w:shd w:val="clea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hd w:val="clear"/>
        <w:snapToGrid w:val="0"/>
        <w:spacing w:line="360" w:lineRule="auto"/>
        <w:ind w:left="573" w:leftChars="273"/>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五、违约责任</w:t>
      </w:r>
    </w:p>
    <w:p>
      <w:pPr>
        <w:shd w:val="clea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六、争议解决的办法</w:t>
      </w:r>
    </w:p>
    <w:p>
      <w:pPr>
        <w:shd w:val="clea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hd w:val="clear"/>
        <w:snapToGrid w:val="0"/>
        <w:spacing w:line="360" w:lineRule="auto"/>
        <w:ind w:left="5758" w:leftChars="342" w:hanging="5040" w:hangingChars="2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分包供应商名称：（</w:t>
      </w:r>
      <w:r>
        <w:rPr>
          <w:rFonts w:hint="eastAsia" w:ascii="宋体" w:hAnsi="宋体" w:cs="宋体"/>
          <w:kern w:val="0"/>
          <w:sz w:val="24"/>
          <w:highlight w:val="none"/>
          <w:lang w:val="zh-CN"/>
        </w:rPr>
        <w:t>签名/公章）：</w:t>
      </w:r>
    </w:p>
    <w:p>
      <w:pPr>
        <w:shd w:val="clear"/>
        <w:snapToGrid w:val="0"/>
        <w:spacing w:line="360" w:lineRule="auto"/>
        <w:ind w:firstLine="5760" w:firstLineChars="2400"/>
        <w:rPr>
          <w:rFonts w:cs="仿宋" w:asciiTheme="minorEastAsia" w:hAnsiTheme="minorEastAsia"/>
          <w:highlight w:val="none"/>
        </w:rPr>
      </w:pPr>
      <w:r>
        <w:rPr>
          <w:rFonts w:hint="eastAsia" w:cs="仿宋" w:asciiTheme="minorEastAsia" w:hAnsiTheme="minorEastAsia"/>
          <w:kern w:val="0"/>
          <w:sz w:val="24"/>
          <w:highlight w:val="none"/>
          <w:lang w:val="zh-CN"/>
        </w:rPr>
        <w:t>……</w:t>
      </w:r>
    </w:p>
    <w:p>
      <w:pPr>
        <w:shd w:val="clear"/>
        <w:autoSpaceDE w:val="0"/>
        <w:autoSpaceDN w:val="0"/>
        <w:jc w:val="center"/>
        <w:rPr>
          <w:rFonts w:cs="仿宋" w:asciiTheme="minorEastAsia" w:hAnsiTheme="minorEastAsia"/>
          <w:b/>
          <w:highlight w:val="none"/>
        </w:rPr>
      </w:pPr>
      <w:r>
        <w:rPr>
          <w:rFonts w:hint="eastAsia" w:cs="仿宋" w:asciiTheme="minorEastAsia" w:hAnsiTheme="minorEastAsia"/>
          <w:kern w:val="0"/>
          <w:sz w:val="24"/>
          <w:highlight w:val="none"/>
          <w:lang w:val="zh-CN"/>
        </w:rPr>
        <w:t xml:space="preserve">                                        日期：  年  月   日</w:t>
      </w:r>
    </w:p>
    <w:p>
      <w:pPr>
        <w:pStyle w:val="7"/>
        <w:shd w:val="clear"/>
        <w:rPr>
          <w:highlight w:val="none"/>
        </w:rPr>
      </w:pPr>
    </w:p>
    <w:p>
      <w:pPr>
        <w:pStyle w:val="8"/>
        <w:shd w:val="clear"/>
        <w:rPr>
          <w:highlight w:val="none"/>
        </w:rPr>
      </w:pPr>
    </w:p>
    <w:p>
      <w:pPr>
        <w:pStyle w:val="13"/>
        <w:shd w:val="clear"/>
        <w:rPr>
          <w:highlight w:val="none"/>
        </w:rPr>
      </w:pPr>
    </w:p>
    <w:p>
      <w:pPr>
        <w:shd w:val="clear"/>
        <w:rPr>
          <w:highlight w:val="none"/>
        </w:rPr>
      </w:pPr>
    </w:p>
    <w:p>
      <w:pPr>
        <w:pStyle w:val="10"/>
        <w:shd w:val="clear"/>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附件4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单独</w:t>
      </w:r>
      <w:r>
        <w:rPr>
          <w:rFonts w:hint="eastAsia" w:hAnsi="宋体" w:cs="宋体"/>
          <w:b/>
          <w:sz w:val="32"/>
          <w:szCs w:val="32"/>
          <w:highlight w:val="none"/>
          <w:lang w:eastAsia="zh-CN"/>
        </w:rPr>
        <w:t>）</w:t>
      </w:r>
    </w:p>
    <w:p>
      <w:pPr>
        <w:shd w:val="clea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pPr>
        <w:shd w:val="clea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717" w:type="dxa"/>
            <w:gridSpan w:val="3"/>
            <w:vAlign w:val="center"/>
          </w:tcPr>
          <w:p>
            <w:pPr>
              <w:shd w:val="clea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highlight w:val="none"/>
              </w:rPr>
            </w:pPr>
          </w:p>
        </w:tc>
        <w:tc>
          <w:tcPr>
            <w:tcW w:w="4084" w:type="dxa"/>
            <w:vAlign w:val="center"/>
          </w:tcPr>
          <w:p>
            <w:pPr>
              <w:shd w:val="clear"/>
              <w:spacing w:line="360" w:lineRule="auto"/>
              <w:rPr>
                <w:rFonts w:ascii="宋体" w:hAnsi="宋体" w:cs="宋体"/>
                <w:sz w:val="24"/>
                <w:highlight w:val="none"/>
              </w:rPr>
            </w:pPr>
            <w:r>
              <w:rPr>
                <w:rFonts w:hint="eastAsia" w:ascii="宋体" w:hAnsi="宋体" w:cs="宋体"/>
                <w:sz w:val="24"/>
                <w:highlight w:val="none"/>
              </w:rPr>
              <w:t>财务联系人：</w:t>
            </w:r>
          </w:p>
        </w:tc>
        <w:tc>
          <w:tcPr>
            <w:tcW w:w="1607" w:type="dxa"/>
            <w:vAlign w:val="center"/>
          </w:tcPr>
          <w:p>
            <w:pPr>
              <w:shd w:val="clear"/>
              <w:spacing w:line="360" w:lineRule="auto"/>
              <w:rPr>
                <w:rFonts w:ascii="宋体" w:hAnsi="宋体" w:cs="宋体"/>
                <w:sz w:val="24"/>
                <w:highlight w:val="none"/>
              </w:rPr>
            </w:pPr>
            <w:r>
              <w:rPr>
                <w:rFonts w:hint="eastAsia" w:ascii="宋体" w:hAnsi="宋体" w:cs="宋体"/>
                <w:sz w:val="24"/>
                <w:highlight w:val="none"/>
              </w:rPr>
              <w:t>联系方式</w:t>
            </w:r>
          </w:p>
        </w:tc>
        <w:tc>
          <w:tcPr>
            <w:tcW w:w="1026" w:type="dxa"/>
            <w:vAlign w:val="center"/>
          </w:tcPr>
          <w:p>
            <w:pPr>
              <w:shd w:val="clea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highlight w:val="none"/>
              </w:rPr>
            </w:pPr>
          </w:p>
        </w:tc>
        <w:tc>
          <w:tcPr>
            <w:tcW w:w="4084" w:type="dxa"/>
            <w:vAlign w:val="center"/>
          </w:tcPr>
          <w:p>
            <w:pPr>
              <w:shd w:val="clear"/>
              <w:spacing w:line="360" w:lineRule="auto"/>
              <w:rPr>
                <w:rFonts w:ascii="宋体" w:hAnsi="宋体" w:cs="宋体"/>
                <w:sz w:val="24"/>
                <w:highlight w:val="none"/>
              </w:rPr>
            </w:pPr>
            <w:r>
              <w:rPr>
                <w:rFonts w:hint="eastAsia" w:ascii="宋体" w:hAnsi="宋体" w:cs="宋体"/>
                <w:sz w:val="24"/>
                <w:highlight w:val="none"/>
              </w:rPr>
              <w:t>项目负责人：</w:t>
            </w:r>
          </w:p>
        </w:tc>
        <w:tc>
          <w:tcPr>
            <w:tcW w:w="1607" w:type="dxa"/>
            <w:vAlign w:val="center"/>
          </w:tcPr>
          <w:p>
            <w:pPr>
              <w:shd w:val="clear"/>
              <w:spacing w:line="360" w:lineRule="auto"/>
              <w:rPr>
                <w:rFonts w:ascii="宋体" w:hAnsi="宋体" w:cs="宋体"/>
                <w:sz w:val="24"/>
                <w:highlight w:val="none"/>
              </w:rPr>
            </w:pPr>
            <w:r>
              <w:rPr>
                <w:rFonts w:hint="eastAsia" w:ascii="宋体" w:hAnsi="宋体" w:cs="宋体"/>
                <w:sz w:val="24"/>
                <w:highlight w:val="none"/>
              </w:rPr>
              <w:t>联系方式</w:t>
            </w:r>
          </w:p>
        </w:tc>
        <w:tc>
          <w:tcPr>
            <w:tcW w:w="1026" w:type="dxa"/>
            <w:vAlign w:val="center"/>
          </w:tcPr>
          <w:p>
            <w:pPr>
              <w:shd w:val="clea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highlight w:val="none"/>
              </w:rPr>
            </w:pPr>
          </w:p>
        </w:tc>
        <w:tc>
          <w:tcPr>
            <w:tcW w:w="6717" w:type="dxa"/>
            <w:gridSpan w:val="3"/>
            <w:vAlign w:val="center"/>
          </w:tcPr>
          <w:p>
            <w:pPr>
              <w:shd w:val="clea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lang w:val="en-US" w:eastAsia="zh-CN"/>
              </w:rPr>
              <w:t>伍仟捌佰元</w:t>
            </w:r>
            <w:r>
              <w:rPr>
                <w:rFonts w:hint="eastAsia" w:ascii="宋体" w:hAnsi="宋体" w:cs="宋体"/>
                <w:sz w:val="24"/>
                <w:highlight w:val="none"/>
              </w:rPr>
              <w:t>人民币</w:t>
            </w:r>
          </w:p>
          <w:p>
            <w:pPr>
              <w:shd w:val="clea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eastAsia="宋体" w:cs="宋体"/>
                <w:color w:val="auto"/>
                <w:szCs w:val="21"/>
                <w:highlight w:val="none"/>
                <w:u w:val="single"/>
                <w:lang w:val="en-US" w:eastAsia="zh-CN"/>
              </w:rPr>
              <w:t>5800元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highlight w:val="none"/>
              </w:rPr>
            </w:pPr>
          </w:p>
        </w:tc>
        <w:tc>
          <w:tcPr>
            <w:tcW w:w="6717" w:type="dxa"/>
            <w:gridSpan w:val="3"/>
            <w:vAlign w:val="center"/>
          </w:tcPr>
          <w:p>
            <w:pPr>
              <w:shd w:val="clea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717" w:type="dxa"/>
            <w:gridSpan w:val="3"/>
            <w:vAlign w:val="center"/>
          </w:tcPr>
          <w:p>
            <w:pPr>
              <w:shd w:val="clea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highlight w:val="none"/>
              </w:rPr>
            </w:pPr>
          </w:p>
        </w:tc>
        <w:tc>
          <w:tcPr>
            <w:tcW w:w="6717" w:type="dxa"/>
            <w:gridSpan w:val="3"/>
            <w:vAlign w:val="center"/>
          </w:tcPr>
          <w:p>
            <w:pPr>
              <w:shd w:val="clear"/>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highlight w:val="none"/>
              </w:rPr>
            </w:pPr>
          </w:p>
        </w:tc>
        <w:tc>
          <w:tcPr>
            <w:tcW w:w="6717" w:type="dxa"/>
            <w:gridSpan w:val="3"/>
            <w:vAlign w:val="center"/>
          </w:tcPr>
          <w:p>
            <w:pPr>
              <w:shd w:val="clear"/>
              <w:spacing w:line="360" w:lineRule="auto"/>
              <w:rPr>
                <w:rFonts w:ascii="宋体" w:hAnsi="宋体" w:cs="宋体"/>
                <w:sz w:val="24"/>
                <w:highlight w:val="none"/>
              </w:rPr>
            </w:pPr>
            <w:r>
              <w:rPr>
                <w:rFonts w:hint="eastAsia" w:ascii="宋体" w:hAnsi="宋体" w:cs="宋体"/>
                <w:sz w:val="24"/>
                <w:highlight w:val="none"/>
              </w:rPr>
              <w:t>银行账号：</w:t>
            </w:r>
          </w:p>
        </w:tc>
      </w:tr>
    </w:tbl>
    <w:p>
      <w:pPr>
        <w:pStyle w:val="7"/>
        <w:shd w:val="clear"/>
        <w:rPr>
          <w:rFonts w:ascii="宋体" w:hAnsi="宋体" w:cs="宋体"/>
          <w:highlight w:val="none"/>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highlight w:val="none"/>
        </w:rPr>
      </w:pPr>
      <w:r>
        <w:rPr>
          <w:rFonts w:hint="eastAsia" w:ascii="宋体" w:hAnsi="宋体" w:cs="宋体"/>
          <w:b/>
          <w:sz w:val="24"/>
          <w:highlight w:val="none"/>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伍仟捌佰元</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lang w:val="en-US" w:eastAsia="zh-CN"/>
        </w:rPr>
        <w:t>5800</w:t>
      </w:r>
      <w:r>
        <w:rPr>
          <w:rFonts w:hint="eastAsia" w:ascii="宋体" w:hAnsi="宋体" w:eastAsia="宋体" w:cs="宋体"/>
          <w:sz w:val="24"/>
          <w:highlight w:val="none"/>
          <w:u w:val="single"/>
          <w:lang w:val="en-US" w:eastAsia="zh-CN"/>
        </w:rPr>
        <w:t>元</w:t>
      </w: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10"/>
        <w:shd w:val="clear"/>
        <w:rPr>
          <w:rFonts w:hint="eastAsia" w:hAnsi="宋体" w:cs="宋体"/>
          <w:b/>
          <w:bCs/>
          <w:sz w:val="24"/>
          <w:highlight w:val="none"/>
        </w:rPr>
      </w:pPr>
    </w:p>
    <w:p>
      <w:pPr>
        <w:pStyle w:val="10"/>
        <w:shd w:val="clear"/>
        <w:rPr>
          <w:rFonts w:hint="eastAsia" w:hAnsi="宋体" w:cs="宋体"/>
          <w:b/>
          <w:bCs/>
          <w:sz w:val="24"/>
          <w:highlight w:val="none"/>
        </w:rPr>
      </w:pPr>
    </w:p>
    <w:p>
      <w:pPr>
        <w:pStyle w:val="10"/>
        <w:shd w:val="clear"/>
        <w:rPr>
          <w:highlight w:val="none"/>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D22C2B91"/>
    <w:multiLevelType w:val="singleLevel"/>
    <w:tmpl w:val="D22C2B91"/>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755F31"/>
    <w:rsid w:val="04E634F4"/>
    <w:rsid w:val="051C6F0E"/>
    <w:rsid w:val="051E4615"/>
    <w:rsid w:val="057311F3"/>
    <w:rsid w:val="05AC3859"/>
    <w:rsid w:val="05B622F4"/>
    <w:rsid w:val="06803F38"/>
    <w:rsid w:val="06897EFF"/>
    <w:rsid w:val="06A1751D"/>
    <w:rsid w:val="07013F3A"/>
    <w:rsid w:val="078B333A"/>
    <w:rsid w:val="07A67451"/>
    <w:rsid w:val="07C24B12"/>
    <w:rsid w:val="07D15ABF"/>
    <w:rsid w:val="087E795F"/>
    <w:rsid w:val="09104908"/>
    <w:rsid w:val="093128BE"/>
    <w:rsid w:val="095D4E48"/>
    <w:rsid w:val="09E83E11"/>
    <w:rsid w:val="09EC7123"/>
    <w:rsid w:val="09ED56C9"/>
    <w:rsid w:val="0B530D41"/>
    <w:rsid w:val="0B8E42D2"/>
    <w:rsid w:val="0BF7590B"/>
    <w:rsid w:val="0BFE313E"/>
    <w:rsid w:val="0C177D5B"/>
    <w:rsid w:val="0C286D18"/>
    <w:rsid w:val="0C2A044F"/>
    <w:rsid w:val="0C492847"/>
    <w:rsid w:val="0CF31D21"/>
    <w:rsid w:val="0D485D48"/>
    <w:rsid w:val="0D89320B"/>
    <w:rsid w:val="0D8B0B2E"/>
    <w:rsid w:val="0F111837"/>
    <w:rsid w:val="0F2324B7"/>
    <w:rsid w:val="0F2F6501"/>
    <w:rsid w:val="0F81598B"/>
    <w:rsid w:val="0FB91E94"/>
    <w:rsid w:val="0FED68AB"/>
    <w:rsid w:val="10C76755"/>
    <w:rsid w:val="119A1F0A"/>
    <w:rsid w:val="11B04EDA"/>
    <w:rsid w:val="11C46A46"/>
    <w:rsid w:val="11F309F4"/>
    <w:rsid w:val="11F35B37"/>
    <w:rsid w:val="12D0166B"/>
    <w:rsid w:val="12E110C3"/>
    <w:rsid w:val="130C7D47"/>
    <w:rsid w:val="135A601C"/>
    <w:rsid w:val="143E2438"/>
    <w:rsid w:val="148828BC"/>
    <w:rsid w:val="14DF7D0B"/>
    <w:rsid w:val="152B7330"/>
    <w:rsid w:val="152C0D1B"/>
    <w:rsid w:val="15CB2DA0"/>
    <w:rsid w:val="16135A37"/>
    <w:rsid w:val="166F3635"/>
    <w:rsid w:val="16806E74"/>
    <w:rsid w:val="17AF353E"/>
    <w:rsid w:val="17E357F1"/>
    <w:rsid w:val="185870FA"/>
    <w:rsid w:val="185A544F"/>
    <w:rsid w:val="18890233"/>
    <w:rsid w:val="18A60DE5"/>
    <w:rsid w:val="18AF4E36"/>
    <w:rsid w:val="190D49C0"/>
    <w:rsid w:val="1937100B"/>
    <w:rsid w:val="198737C7"/>
    <w:rsid w:val="19976A31"/>
    <w:rsid w:val="19DC6BDA"/>
    <w:rsid w:val="19FA4694"/>
    <w:rsid w:val="1A4B1C44"/>
    <w:rsid w:val="1AA56FDE"/>
    <w:rsid w:val="1B1B25BA"/>
    <w:rsid w:val="1B7913A6"/>
    <w:rsid w:val="1CDA1CCB"/>
    <w:rsid w:val="1D086011"/>
    <w:rsid w:val="1D61352C"/>
    <w:rsid w:val="1D882867"/>
    <w:rsid w:val="1D8F1A8D"/>
    <w:rsid w:val="1DCF6B00"/>
    <w:rsid w:val="1DFA0457"/>
    <w:rsid w:val="1E5F5CBE"/>
    <w:rsid w:val="1E8307F5"/>
    <w:rsid w:val="1F457921"/>
    <w:rsid w:val="20185FB4"/>
    <w:rsid w:val="20D12777"/>
    <w:rsid w:val="20DA440D"/>
    <w:rsid w:val="20FB672E"/>
    <w:rsid w:val="213339C4"/>
    <w:rsid w:val="21677697"/>
    <w:rsid w:val="21C81DCC"/>
    <w:rsid w:val="228D26CE"/>
    <w:rsid w:val="22916FA5"/>
    <w:rsid w:val="23C64579"/>
    <w:rsid w:val="24011D4E"/>
    <w:rsid w:val="247C6E9E"/>
    <w:rsid w:val="25650E5F"/>
    <w:rsid w:val="25C26B32"/>
    <w:rsid w:val="26010880"/>
    <w:rsid w:val="26B943F0"/>
    <w:rsid w:val="26F15921"/>
    <w:rsid w:val="27BD0E59"/>
    <w:rsid w:val="286363AA"/>
    <w:rsid w:val="28D92620"/>
    <w:rsid w:val="294E0F60"/>
    <w:rsid w:val="2987716A"/>
    <w:rsid w:val="29AE18A7"/>
    <w:rsid w:val="2A6366FF"/>
    <w:rsid w:val="2B3D5BF4"/>
    <w:rsid w:val="2C194B51"/>
    <w:rsid w:val="2C4141D8"/>
    <w:rsid w:val="2C6D4397"/>
    <w:rsid w:val="2C950AFD"/>
    <w:rsid w:val="2CD446F2"/>
    <w:rsid w:val="2D210C4A"/>
    <w:rsid w:val="2E356E8E"/>
    <w:rsid w:val="2E9F315C"/>
    <w:rsid w:val="2EBA484A"/>
    <w:rsid w:val="2F1A7B4B"/>
    <w:rsid w:val="2F4D3609"/>
    <w:rsid w:val="2F5836E9"/>
    <w:rsid w:val="300206D5"/>
    <w:rsid w:val="30062480"/>
    <w:rsid w:val="30495C56"/>
    <w:rsid w:val="30556F21"/>
    <w:rsid w:val="308C5F1F"/>
    <w:rsid w:val="31111553"/>
    <w:rsid w:val="31191AA6"/>
    <w:rsid w:val="314B6E80"/>
    <w:rsid w:val="32365CB6"/>
    <w:rsid w:val="32843E96"/>
    <w:rsid w:val="32C410E7"/>
    <w:rsid w:val="32EC2577"/>
    <w:rsid w:val="334341C1"/>
    <w:rsid w:val="34454474"/>
    <w:rsid w:val="34945433"/>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B9305A4"/>
    <w:rsid w:val="3C283344"/>
    <w:rsid w:val="3C485F9D"/>
    <w:rsid w:val="3C7C70D7"/>
    <w:rsid w:val="3C940DD1"/>
    <w:rsid w:val="3E0A1919"/>
    <w:rsid w:val="3E0C6463"/>
    <w:rsid w:val="3EE43BF5"/>
    <w:rsid w:val="401F79FA"/>
    <w:rsid w:val="403E57B7"/>
    <w:rsid w:val="411A0F39"/>
    <w:rsid w:val="415A5C88"/>
    <w:rsid w:val="41CE08E1"/>
    <w:rsid w:val="42112513"/>
    <w:rsid w:val="42597A65"/>
    <w:rsid w:val="42EE2B55"/>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1506E7"/>
    <w:rsid w:val="4A4848F1"/>
    <w:rsid w:val="4A875AD1"/>
    <w:rsid w:val="4A903604"/>
    <w:rsid w:val="4AE27CAC"/>
    <w:rsid w:val="4B1B2ECF"/>
    <w:rsid w:val="4B2E6F39"/>
    <w:rsid w:val="4B5271CF"/>
    <w:rsid w:val="4B6E282F"/>
    <w:rsid w:val="4BAC48C9"/>
    <w:rsid w:val="4BB27DC6"/>
    <w:rsid w:val="4BC80E23"/>
    <w:rsid w:val="4C0157E0"/>
    <w:rsid w:val="4CD52BD1"/>
    <w:rsid w:val="4CEA2347"/>
    <w:rsid w:val="4D19039B"/>
    <w:rsid w:val="4D243428"/>
    <w:rsid w:val="4D2B35F0"/>
    <w:rsid w:val="4D2D7FC0"/>
    <w:rsid w:val="4D3418B2"/>
    <w:rsid w:val="4E1E04FA"/>
    <w:rsid w:val="4E604FB7"/>
    <w:rsid w:val="4EFA25EF"/>
    <w:rsid w:val="4F2C043D"/>
    <w:rsid w:val="4F883E54"/>
    <w:rsid w:val="4F9246A8"/>
    <w:rsid w:val="4FBC621D"/>
    <w:rsid w:val="4FC275AB"/>
    <w:rsid w:val="4FEB08B0"/>
    <w:rsid w:val="50A13664"/>
    <w:rsid w:val="51937E4D"/>
    <w:rsid w:val="51DA016E"/>
    <w:rsid w:val="52383592"/>
    <w:rsid w:val="523875F5"/>
    <w:rsid w:val="52506204"/>
    <w:rsid w:val="52BE22AC"/>
    <w:rsid w:val="52DA08BD"/>
    <w:rsid w:val="53D12FCE"/>
    <w:rsid w:val="53D9518B"/>
    <w:rsid w:val="53EA19C7"/>
    <w:rsid w:val="53FA1DF3"/>
    <w:rsid w:val="54AB2D04"/>
    <w:rsid w:val="54CF3A22"/>
    <w:rsid w:val="557B35BC"/>
    <w:rsid w:val="56390090"/>
    <w:rsid w:val="565C1CF5"/>
    <w:rsid w:val="56E235EF"/>
    <w:rsid w:val="571F3A0C"/>
    <w:rsid w:val="57DC32D5"/>
    <w:rsid w:val="57F2034A"/>
    <w:rsid w:val="58207565"/>
    <w:rsid w:val="58235318"/>
    <w:rsid w:val="58F31538"/>
    <w:rsid w:val="59121C77"/>
    <w:rsid w:val="593F6A23"/>
    <w:rsid w:val="59DE0E09"/>
    <w:rsid w:val="59DF6851"/>
    <w:rsid w:val="5A283DD0"/>
    <w:rsid w:val="5ACD76EE"/>
    <w:rsid w:val="5AD36B10"/>
    <w:rsid w:val="5B366E46"/>
    <w:rsid w:val="5B3D7F5F"/>
    <w:rsid w:val="5B460326"/>
    <w:rsid w:val="5C7B276E"/>
    <w:rsid w:val="5C9A592C"/>
    <w:rsid w:val="5E8E347A"/>
    <w:rsid w:val="5EC9591E"/>
    <w:rsid w:val="5F0279C4"/>
    <w:rsid w:val="5F284356"/>
    <w:rsid w:val="5F944466"/>
    <w:rsid w:val="5FBE7D8F"/>
    <w:rsid w:val="60470EFE"/>
    <w:rsid w:val="60844C26"/>
    <w:rsid w:val="60A9029A"/>
    <w:rsid w:val="60DA29A7"/>
    <w:rsid w:val="60FA16F8"/>
    <w:rsid w:val="61332284"/>
    <w:rsid w:val="6139287F"/>
    <w:rsid w:val="619C1A0A"/>
    <w:rsid w:val="61CA0C65"/>
    <w:rsid w:val="62C642C8"/>
    <w:rsid w:val="631B2246"/>
    <w:rsid w:val="6320666B"/>
    <w:rsid w:val="63CF15A0"/>
    <w:rsid w:val="65A92947"/>
    <w:rsid w:val="65F0747D"/>
    <w:rsid w:val="6614173A"/>
    <w:rsid w:val="661A50B7"/>
    <w:rsid w:val="66976C44"/>
    <w:rsid w:val="66F30BCE"/>
    <w:rsid w:val="673C0170"/>
    <w:rsid w:val="673E5F91"/>
    <w:rsid w:val="677A6041"/>
    <w:rsid w:val="67D6317A"/>
    <w:rsid w:val="67D649B5"/>
    <w:rsid w:val="68ED6365"/>
    <w:rsid w:val="6A4E3ABD"/>
    <w:rsid w:val="6AA722F1"/>
    <w:rsid w:val="6AE63D7E"/>
    <w:rsid w:val="6B462C2B"/>
    <w:rsid w:val="6B8359E9"/>
    <w:rsid w:val="6BD277B9"/>
    <w:rsid w:val="6C321620"/>
    <w:rsid w:val="6CDA2461"/>
    <w:rsid w:val="6DA02882"/>
    <w:rsid w:val="6DA12E69"/>
    <w:rsid w:val="6DBB3B60"/>
    <w:rsid w:val="6DF749BB"/>
    <w:rsid w:val="6F0B4673"/>
    <w:rsid w:val="6F4831D1"/>
    <w:rsid w:val="700E4F44"/>
    <w:rsid w:val="70173239"/>
    <w:rsid w:val="7102338E"/>
    <w:rsid w:val="711D3FA5"/>
    <w:rsid w:val="721A5B23"/>
    <w:rsid w:val="722C6DDA"/>
    <w:rsid w:val="72B931C1"/>
    <w:rsid w:val="734A515C"/>
    <w:rsid w:val="738D03F5"/>
    <w:rsid w:val="73E442FB"/>
    <w:rsid w:val="73EF1E6D"/>
    <w:rsid w:val="74173DA2"/>
    <w:rsid w:val="7566780A"/>
    <w:rsid w:val="76471CF3"/>
    <w:rsid w:val="76723FC6"/>
    <w:rsid w:val="767E5B01"/>
    <w:rsid w:val="778F44F9"/>
    <w:rsid w:val="77965192"/>
    <w:rsid w:val="77D55853"/>
    <w:rsid w:val="77F2017E"/>
    <w:rsid w:val="78357E46"/>
    <w:rsid w:val="78CA5523"/>
    <w:rsid w:val="78D36201"/>
    <w:rsid w:val="79017606"/>
    <w:rsid w:val="790772D9"/>
    <w:rsid w:val="79D7762B"/>
    <w:rsid w:val="79EB254B"/>
    <w:rsid w:val="7A066E53"/>
    <w:rsid w:val="7A4A069B"/>
    <w:rsid w:val="7BA202E2"/>
    <w:rsid w:val="7BA82ABD"/>
    <w:rsid w:val="7BF8110A"/>
    <w:rsid w:val="7C492A5C"/>
    <w:rsid w:val="7C757EAB"/>
    <w:rsid w:val="7C7E3338"/>
    <w:rsid w:val="7CDC25FD"/>
    <w:rsid w:val="7D0A41BC"/>
    <w:rsid w:val="7D0A4B32"/>
    <w:rsid w:val="7D797C2B"/>
    <w:rsid w:val="7D823D52"/>
    <w:rsid w:val="7DAC6A56"/>
    <w:rsid w:val="7E310F9A"/>
    <w:rsid w:val="7E381ACE"/>
    <w:rsid w:val="7ED9418D"/>
    <w:rsid w:val="7EF742CC"/>
    <w:rsid w:val="7F994C37"/>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11"/>
    <w:basedOn w:val="17"/>
    <w:autoRedefine/>
    <w:qFormat/>
    <w:uiPriority w:val="0"/>
    <w:rPr>
      <w:rFonts w:hint="eastAsia" w:ascii="仿宋_GB2312" w:eastAsia="仿宋_GB2312" w:cs="仿宋_GB2312"/>
      <w:color w:val="000000"/>
      <w:sz w:val="22"/>
      <w:szCs w:val="22"/>
      <w:u w:val="none"/>
    </w:rPr>
  </w:style>
  <w:style w:type="character" w:customStyle="1" w:styleId="34">
    <w:name w:val="font31"/>
    <w:basedOn w:val="17"/>
    <w:autoRedefine/>
    <w:qFormat/>
    <w:uiPriority w:val="0"/>
    <w:rPr>
      <w:rFonts w:hint="eastAsia" w:ascii="宋体" w:hAnsi="宋体" w:eastAsia="宋体" w:cs="宋体"/>
      <w:color w:val="000000"/>
      <w:sz w:val="24"/>
      <w:szCs w:val="24"/>
      <w:u w:val="none"/>
    </w:rPr>
  </w:style>
  <w:style w:type="character" w:customStyle="1" w:styleId="35">
    <w:name w:val="font21"/>
    <w:basedOn w:val="17"/>
    <w:autoRedefine/>
    <w:qFormat/>
    <w:uiPriority w:val="0"/>
    <w:rPr>
      <w:rFonts w:hint="eastAsia" w:ascii="宋体" w:hAnsi="宋体" w:eastAsia="宋体" w:cs="宋体"/>
      <w:color w:val="000000"/>
      <w:sz w:val="20"/>
      <w:szCs w:val="20"/>
      <w:u w:val="none"/>
    </w:rPr>
  </w:style>
  <w:style w:type="character" w:customStyle="1" w:styleId="36">
    <w:name w:val="font41"/>
    <w:basedOn w:val="17"/>
    <w:autoRedefine/>
    <w:qFormat/>
    <w:uiPriority w:val="0"/>
    <w:rPr>
      <w:rFonts w:ascii="Arial" w:hAnsi="Arial" w:cs="Arial"/>
      <w:color w:val="000000"/>
      <w:sz w:val="20"/>
      <w:szCs w:val="20"/>
      <w:u w:val="none"/>
    </w:rPr>
  </w:style>
  <w:style w:type="character" w:customStyle="1" w:styleId="37">
    <w:name w:val="font51"/>
    <w:basedOn w:val="1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3</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8237476547</cp:lastModifiedBy>
  <dcterms:modified xsi:type="dcterms:W3CDTF">2024-09-06T02:01:57Z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