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2024年临江公司雾化器单轨吊加固及斗提机平台改造备件采购项目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202410002</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10</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16</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79"/>
      <w:bookmarkStart w:id="3" w:name="_Toc35393790"/>
      <w:bookmarkStart w:id="4" w:name="_Toc28359002"/>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2024年临江公司雾化器单轨吊加固及斗提机平台改造备件采购项目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w:t>
      </w:r>
      <w:r>
        <w:rPr>
          <w:rFonts w:hint="eastAsia" w:cs="仿宋" w:asciiTheme="minorEastAsia" w:hAnsiTheme="minorEastAsia"/>
          <w:sz w:val="24"/>
          <w:lang w:val="en-US" w:eastAsia="zh-CN"/>
        </w:rPr>
        <w:t>该</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202410002</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2024年临江公司雾化器单轨吊加固及斗提机平台改造备件采购项目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szCs w:val="24"/>
          <w:highlight w:val="none"/>
          <w:u w:val="single"/>
          <w:lang w:val="en-US" w:eastAsia="zh-CN"/>
        </w:rPr>
        <w:t>29.95</w:t>
      </w:r>
      <w:r>
        <w:rPr>
          <w:rFonts w:hint="eastAsia" w:cs="仿宋" w:asciiTheme="minorEastAsia" w:hAnsiTheme="minorEastAsia"/>
          <w:b/>
          <w:bCs/>
          <w:sz w:val="24"/>
          <w:szCs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雾化器单轨吊加固</w:t>
      </w:r>
      <w:r>
        <w:rPr>
          <w:rFonts w:hint="eastAsia" w:hAnsi="宋体" w:cs="宋体"/>
          <w:bCs/>
          <w:sz w:val="24"/>
          <w:lang w:val="en-US" w:eastAsia="zh-CN"/>
        </w:rPr>
        <w:t>及斗提机平台</w:t>
      </w:r>
      <w:r>
        <w:rPr>
          <w:rFonts w:hint="eastAsia" w:hAnsi="宋体" w:cs="宋体"/>
          <w:bCs/>
          <w:sz w:val="24"/>
          <w:lang w:eastAsia="zh-CN"/>
        </w:rPr>
        <w:t>改造备件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供货</w:t>
      </w:r>
      <w:r>
        <w:rPr>
          <w:rFonts w:hint="eastAsia" w:cs="仿宋" w:asciiTheme="minorEastAsia" w:hAnsiTheme="minorEastAsia"/>
          <w:sz w:val="24"/>
          <w:u w:val="single"/>
          <w:lang w:val="en-US" w:eastAsia="zh-CN"/>
        </w:rPr>
        <w:t>安装验收</w:t>
      </w:r>
      <w:r>
        <w:rPr>
          <w:rFonts w:hint="eastAsia" w:cs="仿宋" w:asciiTheme="minorEastAsia" w:hAnsiTheme="minorEastAsia"/>
          <w:sz w:val="24"/>
          <w:u w:val="single"/>
        </w:rPr>
        <w:t>结束后合同自行终止。</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80"/>
      <w:bookmarkStart w:id="7" w:name="_Toc35393622"/>
      <w:bookmarkStart w:id="8" w:name="_Toc28359003"/>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623"/>
      <w:bookmarkStart w:id="12" w:name="_Toc28359004"/>
      <w:bookmarkStart w:id="13" w:name="_Toc35393792"/>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28359082"/>
      <w:bookmarkStart w:id="16" w:name="_Toc35393793"/>
      <w:bookmarkStart w:id="17" w:name="_Toc35393624"/>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w:t>
      </w:r>
      <w:bookmarkStart w:id="517" w:name="_GoBack"/>
      <w:bookmarkEnd w:id="517"/>
      <w:r>
        <w:rPr>
          <w:rFonts w:hint="eastAsia" w:cs="仿宋" w:asciiTheme="minorEastAsia" w:hAnsiTheme="minorEastAsia" w:eastAsiaTheme="minorEastAsia"/>
          <w:b w:val="0"/>
          <w:sz w:val="24"/>
          <w:szCs w:val="24"/>
        </w:rPr>
        <w:t>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10</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陈</w:t>
      </w:r>
      <w:r>
        <w:rPr>
          <w:rFonts w:hint="eastAsia" w:cs="仿宋" w:asciiTheme="minorEastAsia" w:hAnsiTheme="minorEastAsia"/>
          <w:sz w:val="24"/>
          <w:highlight w:val="none"/>
        </w:rPr>
        <w:t xml:space="preserve">工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10月16</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34"/>
        <w:gridCol w:w="64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7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34"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34"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34"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34"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34"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72"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5990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cs="仿宋" w:asciiTheme="minorEastAsia" w:hAnsiTheme="minorEastAsia"/>
                <w:b/>
                <w:bCs/>
                <w:sz w:val="24"/>
                <w:u w:val="single"/>
                <w:lang w:eastAsia="zh-CN"/>
              </w:rPr>
              <w:t>2024年临江公司雾化器单轨吊加固及斗提机平台改造备件采购项目</w:t>
            </w:r>
            <w:r>
              <w:rPr>
                <w:rFonts w:cs="仿宋" w:asciiTheme="minorEastAsia" w:hAnsiTheme="minorEastAsia"/>
                <w:sz w:val="24"/>
                <w:u w:val="single"/>
              </w:rPr>
              <w:t xml:space="preserve"> </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34"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72"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34"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7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72"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响应文件开启时应携带的资料</w:t>
            </w:r>
          </w:p>
        </w:tc>
        <w:tc>
          <w:tcPr>
            <w:tcW w:w="6472"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1534"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color w:val="auto"/>
                <w:szCs w:val="21"/>
                <w:lang w:val="en-US" w:eastAsia="zh-CN"/>
              </w:rPr>
            </w:pPr>
            <w:r>
              <w:rPr>
                <w:rFonts w:hint="eastAsia" w:ascii="宋体" w:hAnsi="宋体" w:cs="宋体"/>
                <w:b/>
                <w:snapToGrid w:val="0"/>
                <w:color w:val="auto"/>
                <w:kern w:val="0"/>
                <w:szCs w:val="21"/>
                <w:lang w:val="en-US" w:eastAsia="zh-CN"/>
              </w:rPr>
              <w:t>评审小组组建</w:t>
            </w:r>
          </w:p>
        </w:tc>
        <w:tc>
          <w:tcPr>
            <w:tcW w:w="6472"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72"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34"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72"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pStyle w:val="7"/>
        <w:rPr>
          <w:rFonts w:cs="仿宋" w:asciiTheme="minorEastAsia" w:hAnsiTheme="minorEastAsia"/>
          <w:b/>
          <w:sz w:val="32"/>
          <w:szCs w:val="20"/>
        </w:rPr>
      </w:pPr>
    </w:p>
    <w:p>
      <w:pPr>
        <w:pStyle w:val="8"/>
        <w:rPr>
          <w:rFonts w:cs="仿宋" w:asciiTheme="minorEastAsia" w:hAnsiTheme="minorEastAsia"/>
          <w:b/>
          <w:sz w:val="32"/>
          <w:szCs w:val="20"/>
        </w:rPr>
      </w:pPr>
    </w:p>
    <w:p>
      <w:pPr>
        <w:rPr>
          <w:rFonts w:cs="仿宋" w:asciiTheme="minorEastAsia" w:hAnsiTheme="minorEastAsia"/>
          <w:b/>
          <w:sz w:val="32"/>
          <w:szCs w:val="20"/>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1"/>
        <w:spacing w:before="0"/>
        <w:ind w:firstLine="495" w:firstLineChars="0"/>
        <w:rPr>
          <w:rFonts w:cs="仿宋" w:asciiTheme="minorEastAsia" w:hAnsiTheme="minorEastAsia"/>
          <w:kern w:val="0"/>
          <w:szCs w:val="24"/>
        </w:rPr>
      </w:pP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雾化器单轨吊加固及斗提机平台改造备件</w:t>
      </w:r>
      <w:r>
        <w:rPr>
          <w:rFonts w:hint="eastAsia"/>
          <w:lang w:val="en-US"/>
        </w:rPr>
        <w:t>一批，</w:t>
      </w:r>
      <w:r>
        <w:rPr>
          <w:rFonts w:hint="eastAsia"/>
          <w:lang w:val="en-US" w:eastAsia="zh-CN"/>
        </w:rPr>
        <w:t>用于雾化器单轨吊加固及斗提机平台加宽，</w:t>
      </w:r>
      <w:r>
        <w:rPr>
          <w:rFonts w:hint="eastAsia"/>
          <w:lang w:val="en-US"/>
        </w:rPr>
        <w:t>具体如下：</w:t>
      </w:r>
    </w:p>
    <w:tbl>
      <w:tblPr>
        <w:tblStyle w:val="15"/>
        <w:tblW w:w="90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3"/>
        <w:gridCol w:w="1611"/>
        <w:gridCol w:w="1196"/>
        <w:gridCol w:w="2053"/>
        <w:gridCol w:w="901"/>
        <w:gridCol w:w="1300"/>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序号</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物资名称</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品牌</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型号规格</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单位</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数量</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工字钢</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160*88*6mm</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snapToGrid w:val="0"/>
                <w:szCs w:val="21"/>
                <w:highlight w:val="none"/>
                <w:lang w:val="en-US" w:eastAsia="zh-CN"/>
              </w:rPr>
            </w:pPr>
            <w:r>
              <w:rPr>
                <w:rFonts w:hint="eastAsia" w:ascii="宋体" w:hAnsi="宋体" w:eastAsia="宋体" w:cs="宋体"/>
                <w:snapToGrid w:val="0"/>
                <w:szCs w:val="21"/>
                <w:highlight w:val="none"/>
                <w:lang w:val="en-US" w:eastAsia="zh-CN"/>
              </w:rPr>
              <w:t>250</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left" w:pos="542"/>
              </w:tabs>
              <w:jc w:val="left"/>
              <w:rPr>
                <w:rFonts w:hint="default" w:ascii="宋体" w:hAnsi="宋体" w:eastAsia="宋体" w:cs="宋体"/>
                <w:snapToGrid w:val="0"/>
                <w:szCs w:val="21"/>
                <w:lang w:val="en-US" w:eastAsia="zh-CN"/>
              </w:rPr>
            </w:pPr>
            <w:r>
              <w:rPr>
                <w:rFonts w:hint="eastAsia" w:ascii="宋体" w:hAnsi="宋体" w:eastAsia="宋体" w:cs="宋体"/>
                <w:b/>
                <w:bCs/>
                <w:snapToGrid w:val="0"/>
                <w:szCs w:val="21"/>
                <w:lang w:val="en-US" w:eastAsia="zh-CN"/>
              </w:rPr>
              <w:t>材料报价包含改造安装过程中所有的油漆、工具、辅材、人工、脚手架及其他安全措施费，并包括环链电动葫芦安装及照明灯具安装费。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槽钢</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snapToGrid w:val="0"/>
                <w:szCs w:val="21"/>
                <w:highlight w:val="none"/>
                <w:lang w:val="en-US" w:eastAsia="zh-CN"/>
              </w:rPr>
            </w:pPr>
            <w:r>
              <w:rPr>
                <w:rFonts w:hint="eastAsia" w:ascii="宋体" w:hAnsi="宋体" w:eastAsia="宋体" w:cs="宋体"/>
                <w:snapToGrid w:val="0"/>
                <w:szCs w:val="21"/>
                <w:highlight w:val="none"/>
                <w:lang w:val="en-US" w:eastAsia="zh-CN"/>
              </w:rPr>
              <w:t>245</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工字钢(25#B)</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250*116*10mm</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25</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钢板</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钢板</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方刚</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40*60mm</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120</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7</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钢管</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￠32</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200</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H型钢(30#B)</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300*128*11mm</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H型钢(20#A)</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200*100*7mm</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90</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花纹钢板</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δ4（扁豆型）</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14</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bl>
    <w:p>
      <w:pPr>
        <w:pStyle w:val="7"/>
        <w:rPr>
          <w:rFonts w:hint="eastAsia"/>
          <w:lang w:val="en-US"/>
        </w:rPr>
      </w:pPr>
    </w:p>
    <w:p>
      <w:pPr>
        <w:pStyle w:val="6"/>
        <w:numPr>
          <w:ilvl w:val="0"/>
          <w:numId w:val="1"/>
        </w:numPr>
        <w:spacing w:after="0" w:line="360" w:lineRule="auto"/>
        <w:ind w:firstLine="480" w:firstLineChars="200"/>
        <w:rPr>
          <w:rFonts w:hint="eastAsia"/>
          <w:lang w:val="en-US" w:eastAsia="zh-CN"/>
        </w:rPr>
      </w:pPr>
      <w:r>
        <w:rPr>
          <w:rFonts w:hint="eastAsia"/>
          <w:lang w:val="en-US"/>
        </w:rPr>
        <w:t>清单数量为</w:t>
      </w:r>
      <w:r>
        <w:rPr>
          <w:rFonts w:hint="eastAsia"/>
          <w:lang w:val="en-US" w:eastAsia="zh-CN"/>
        </w:rPr>
        <w:t>采购人方案图纸的数量测算</w:t>
      </w:r>
      <w:r>
        <w:rPr>
          <w:rFonts w:hint="eastAsia"/>
          <w:lang w:val="en-US"/>
        </w:rPr>
        <w:t>，</w:t>
      </w:r>
      <w:r>
        <w:rPr>
          <w:rFonts w:hint="eastAsia"/>
          <w:lang w:val="en-US" w:eastAsia="zh-CN"/>
        </w:rPr>
        <w:t>供应商自行按方案图纸测算。方案图纸见采购需求下附图,按实际用量结算。</w:t>
      </w:r>
    </w:p>
    <w:p>
      <w:pPr>
        <w:pStyle w:val="6"/>
        <w:numPr>
          <w:ilvl w:val="0"/>
          <w:numId w:val="1"/>
        </w:numPr>
        <w:spacing w:after="0" w:line="360" w:lineRule="auto"/>
        <w:ind w:firstLine="480" w:firstLineChars="200"/>
        <w:rPr>
          <w:rFonts w:hint="default"/>
          <w:lang w:val="en-US"/>
        </w:rPr>
      </w:pPr>
      <w:r>
        <w:rPr>
          <w:rFonts w:hint="eastAsia"/>
          <w:lang w:val="en-US" w:eastAsia="zh-CN"/>
        </w:rPr>
        <w:t>斗提机平台距地面标高35.23m，雾化器平台距地面标高36.85m，厂房为封闭厂房，不具备吊车施工条件，夏季平台作业温度可达45-50℃，供应商自行考虑作业条件，或到现场确认作业环境。</w:t>
      </w:r>
    </w:p>
    <w:p>
      <w:pPr>
        <w:spacing w:line="360" w:lineRule="auto"/>
        <w:ind w:firstLine="482" w:firstLineChars="200"/>
        <w:rPr>
          <w:rFonts w:ascii="宋体" w:hAnsi="宋体" w:cs="宋体"/>
          <w:sz w:val="24"/>
        </w:rPr>
      </w:pPr>
      <w:r>
        <w:rPr>
          <w:rFonts w:hint="eastAsia" w:cs="仿宋" w:asciiTheme="minorEastAsia" w:hAnsiTheme="minorEastAsia" w:eastAsiaTheme="minorEastAsia"/>
          <w:b/>
          <w:bCs/>
          <w:snapToGrid w:val="0"/>
          <w:kern w:val="0"/>
          <w:sz w:val="24"/>
          <w:szCs w:val="21"/>
          <w:lang w:val="zh-CN" w:eastAsia="zh-CN" w:bidi="ar-SA"/>
        </w:rPr>
        <w:t>▲</w:t>
      </w: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ascii="宋体" w:hAnsi="宋体" w:cs="宋体"/>
          <w:sz w:val="24"/>
          <w:highlight w:val="none"/>
          <w:u w:val="single"/>
          <w:lang w:val="en-US" w:eastAsia="zh-CN"/>
        </w:rPr>
        <w:t>自合同签订后到安装验收完成。</w:t>
      </w:r>
    </w:p>
    <w:p>
      <w:pPr>
        <w:pStyle w:val="6"/>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b w:val="0"/>
          <w:bCs w:val="0"/>
          <w:lang w:val="en-US" w:eastAsia="zh-CN"/>
        </w:rPr>
        <w:t>合同期内</w:t>
      </w:r>
      <w:r>
        <w:rPr>
          <w:rFonts w:hint="eastAsia"/>
          <w:color w:val="auto"/>
          <w:highlight w:val="none"/>
          <w:lang w:val="en-US" w:eastAsia="zh-CN"/>
        </w:rPr>
        <w:t>按合同约定数量分批次完成供货及安装。</w:t>
      </w:r>
    </w:p>
    <w:p>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6"/>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的材料</w:t>
      </w:r>
      <w:r>
        <w:rPr>
          <w:rFonts w:hint="eastAsia" w:ascii="宋体"/>
          <w:color w:val="auto"/>
          <w:highlight w:val="none"/>
          <w:lang w:val="en-US" w:eastAsia="zh-CN"/>
        </w:rPr>
        <w:t>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pPr>
        <w:pStyle w:val="6"/>
        <w:ind w:firstLine="480" w:firstLineChars="200"/>
        <w:rPr>
          <w:rFonts w:hint="eastAsia"/>
          <w:highlight w:val="none"/>
          <w:lang w:val="en-US" w:eastAsia="zh-CN"/>
        </w:rPr>
      </w:pPr>
      <w:r>
        <w:rPr>
          <w:highlight w:val="none"/>
          <w:lang w:val="en-US"/>
        </w:rPr>
        <w:t>3</w:t>
      </w:r>
      <w:r>
        <w:rPr>
          <w:rFonts w:hint="eastAsia"/>
          <w:highlight w:val="none"/>
          <w:lang w:val="en-US"/>
        </w:rPr>
        <w:t>.</w:t>
      </w:r>
      <w:r>
        <w:rPr>
          <w:rFonts w:hint="eastAsia"/>
          <w:highlight w:val="none"/>
          <w:lang w:val="en-US" w:eastAsia="zh-CN"/>
        </w:rPr>
        <w:t>成品质保期限自验收合格后12个月，若质保期内出现质量问题（非质量问题除外），由供应商负责免费维修，产生的费用全部由供应商承担。</w:t>
      </w:r>
    </w:p>
    <w:p>
      <w:pPr>
        <w:pStyle w:val="7"/>
        <w:rPr>
          <w:rFonts w:hint="default"/>
          <w:lang w:val="en-US" w:eastAsia="zh-CN"/>
        </w:rPr>
      </w:pPr>
      <w:r>
        <w:rPr>
          <w:rFonts w:hint="eastAsia"/>
          <w:highlight w:val="none"/>
          <w:lang w:val="en-US" w:eastAsia="zh-CN"/>
        </w:rPr>
        <w:t>4.对钢管、焊缝、支架等成品要做油漆防腐处理。</w:t>
      </w:r>
    </w:p>
    <w:p>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pPr>
        <w:pStyle w:val="6"/>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须提供该批次货物</w:t>
      </w:r>
      <w:r>
        <w:rPr>
          <w:rFonts w:hint="eastAsia"/>
          <w:highlight w:val="none"/>
          <w:lang w:val="en-US" w:eastAsia="zh-CN"/>
        </w:rPr>
        <w:t>生产厂家的</w:t>
      </w:r>
      <w:r>
        <w:rPr>
          <w:rFonts w:hint="eastAsia"/>
          <w:color w:val="auto"/>
          <w:lang w:val="en-US" w:eastAsia="zh-CN"/>
        </w:rPr>
        <w:t>合格证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w:t>
      </w:r>
    </w:p>
    <w:p>
      <w:pPr>
        <w:pStyle w:val="6"/>
        <w:numPr>
          <w:ilvl w:val="0"/>
          <w:numId w:val="0"/>
        </w:numPr>
        <w:ind w:firstLine="480" w:firstLineChars="200"/>
        <w:rPr>
          <w:lang w:val="en-US"/>
        </w:rPr>
      </w:pPr>
      <w:r>
        <w:rPr>
          <w:rFonts w:ascii="宋体" w:hAnsi="Arial" w:cs="Arial" w:eastAsiaTheme="minorEastAsia"/>
          <w:snapToGrid w:val="0"/>
          <w:kern w:val="2"/>
          <w:sz w:val="24"/>
          <w:szCs w:val="21"/>
          <w:lang w:val="en-US" w:eastAsia="zh-CN" w:bidi="ar-SA"/>
        </w:rPr>
        <w:t>2.</w:t>
      </w:r>
      <w:r>
        <w:rPr>
          <w:rFonts w:hint="eastAsia"/>
          <w:color w:val="auto"/>
          <w:lang w:val="en-US" w:eastAsia="zh-CN"/>
        </w:rPr>
        <w:t>双方指定人员现场确认安装质量并由双方签字确认。</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w:t>
      </w:r>
      <w:r>
        <w:rPr>
          <w:rFonts w:hint="eastAsia"/>
          <w:lang w:val="en-US" w:eastAsia="zh-CN"/>
        </w:rPr>
        <w:t>供货及安装要求</w:t>
      </w:r>
      <w:r>
        <w:rPr>
          <w:rFonts w:hint="eastAsia"/>
          <w:lang w:val="en-US"/>
        </w:rPr>
        <w:t>，</w:t>
      </w:r>
      <w:r>
        <w:rPr>
          <w:rFonts w:hint="eastAsia"/>
          <w:lang w:val="en-US" w:eastAsia="zh-CN"/>
        </w:rPr>
        <w:t>供应商</w:t>
      </w:r>
      <w:r>
        <w:rPr>
          <w:rFonts w:hint="eastAsia"/>
          <w:lang w:val="en-US"/>
        </w:rPr>
        <w:t>负责在接到采购人电话或书面通知后在</w:t>
      </w:r>
      <w:r>
        <w:rPr>
          <w:rFonts w:hint="eastAsia"/>
          <w:highlight w:val="none"/>
          <w:lang w:val="en-US" w:eastAsia="zh-CN"/>
        </w:rPr>
        <w:t>6个月</w:t>
      </w:r>
      <w:r>
        <w:rPr>
          <w:rFonts w:hint="eastAsia"/>
          <w:lang w:val="en-US"/>
        </w:rPr>
        <w:t>内</w:t>
      </w:r>
      <w:r>
        <w:rPr>
          <w:rFonts w:hint="eastAsia"/>
          <w:lang w:val="en-US" w:eastAsia="zh-CN"/>
        </w:rPr>
        <w:t>依次完成</w:t>
      </w:r>
      <w:r>
        <w:rPr>
          <w:rFonts w:hint="eastAsia"/>
          <w:lang w:val="en-US"/>
        </w:rPr>
        <w:t>供货</w:t>
      </w:r>
      <w:r>
        <w:rPr>
          <w:rFonts w:hint="eastAsia"/>
          <w:lang w:val="en-US" w:eastAsia="zh-CN"/>
        </w:rPr>
        <w:t>安装</w:t>
      </w:r>
      <w:r>
        <w:rPr>
          <w:rFonts w:hint="eastAsia"/>
          <w:lang w:val="en-US"/>
        </w:rPr>
        <w:t>。</w:t>
      </w:r>
    </w:p>
    <w:p>
      <w:pPr>
        <w:pStyle w:val="6"/>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6"/>
        <w:numPr>
          <w:ilvl w:val="0"/>
          <w:numId w:val="0"/>
        </w:numPr>
        <w:ind w:firstLine="480" w:firstLineChars="200"/>
        <w:rPr>
          <w:rFonts w:hint="eastAsia"/>
          <w:lang w:val="en-US"/>
        </w:rPr>
      </w:pPr>
      <w:r>
        <w:rPr>
          <w:rFonts w:hint="eastAsia"/>
          <w:lang w:val="en-US" w:eastAsia="zh-CN"/>
        </w:rPr>
        <w:t>3.供应商的作业人员必须具备相应的资质要求（焊工证、登高证等）</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rFonts w:hint="eastAsia" w:ascii="宋体"/>
          <w:lang w:val="en-US"/>
        </w:rPr>
      </w:pPr>
      <w:r>
        <w:rPr>
          <w:rFonts w:hint="eastAsia"/>
          <w:lang w:val="en-US" w:eastAsia="zh-CN"/>
        </w:rPr>
        <w:t>1.供应商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w:t>
      </w:r>
      <w:r>
        <w:rPr>
          <w:rFonts w:hint="eastAsia"/>
          <w:lang w:val="en-US" w:eastAsia="zh-CN"/>
        </w:rPr>
        <w:t>，</w:t>
      </w:r>
      <w:r>
        <w:rPr>
          <w:rFonts w:hint="eastAsia" w:ascii="宋体"/>
          <w:lang w:val="en-US"/>
        </w:rPr>
        <w:t>24小时内派人员到达现场进行免费指导解决问题。</w:t>
      </w:r>
    </w:p>
    <w:p>
      <w:pPr>
        <w:pStyle w:val="6"/>
        <w:ind w:firstLine="480" w:firstLineChars="200"/>
        <w:rPr>
          <w:rFonts w:hint="eastAsia" w:ascii="宋体"/>
          <w:lang w:val="en-US"/>
        </w:rPr>
      </w:pPr>
      <w:r>
        <w:rPr>
          <w:rFonts w:hint="eastAsia"/>
          <w:lang w:val="en-US" w:eastAsia="zh-CN"/>
        </w:rPr>
        <w:t>2</w:t>
      </w:r>
      <w:r>
        <w:rPr>
          <w:rFonts w:hint="eastAsia" w:ascii="宋体"/>
          <w:lang w:val="en-US"/>
        </w:rPr>
        <w:t>.采购人不再对任何售后服务进行付费。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6"/>
        <w:ind w:firstLine="480" w:firstLineChars="200"/>
        <w:rPr>
          <w:rFonts w:hint="eastAsia" w:ascii="宋体"/>
          <w:lang w:val="en-US"/>
        </w:rPr>
      </w:pPr>
      <w:r>
        <w:rPr>
          <w:rFonts w:hint="eastAsia"/>
          <w:lang w:val="en-US" w:eastAsia="zh-CN"/>
        </w:rPr>
        <w:t>3</w:t>
      </w:r>
      <w:r>
        <w:rPr>
          <w:rFonts w:hint="eastAsia" w:ascii="宋体"/>
          <w:lang w:val="en-US"/>
        </w:rPr>
        <w:t>.在设备使用过程中，因产品质量问题给他机械设备造成故障或货物损坏，由供应商承担采购人的一切损失，包括直接和间接损失。</w:t>
      </w:r>
    </w:p>
    <w:p>
      <w:pPr>
        <w:pStyle w:val="13"/>
      </w:pPr>
    </w:p>
    <w:p>
      <w:pPr>
        <w:spacing w:line="460" w:lineRule="exact"/>
        <w:jc w:val="left"/>
        <w:rPr>
          <w:rFonts w:hint="eastAsia" w:ascii="宋体" w:hAnsi="Arial" w:cs="Arial" w:eastAsiaTheme="minorEastAsia"/>
          <w:b/>
          <w:bCs/>
          <w:snapToGrid w:val="0"/>
          <w:kern w:val="2"/>
          <w:sz w:val="24"/>
          <w:szCs w:val="21"/>
          <w:lang w:val="en-US" w:eastAsia="zh-CN" w:bidi="ar-SA"/>
        </w:rPr>
      </w:pPr>
    </w:p>
    <w:p>
      <w:pPr>
        <w:spacing w:line="460" w:lineRule="exact"/>
        <w:jc w:val="left"/>
        <w:rPr>
          <w:rFonts w:hint="eastAsia" w:ascii="宋体" w:hAnsi="Arial" w:cs="Arial" w:eastAsiaTheme="minorEastAsia"/>
          <w:b/>
          <w:bCs/>
          <w:snapToGrid w:val="0"/>
          <w:kern w:val="2"/>
          <w:sz w:val="24"/>
          <w:szCs w:val="21"/>
          <w:lang w:val="en-US" w:eastAsia="zh-CN" w:bidi="ar-SA"/>
        </w:rPr>
      </w:pPr>
    </w:p>
    <w:p>
      <w:pPr>
        <w:spacing w:line="460" w:lineRule="exact"/>
        <w:jc w:val="left"/>
        <w:rPr>
          <w:rFonts w:hint="eastAsia" w:ascii="宋体" w:hAnsi="Arial" w:cs="Arial" w:eastAsiaTheme="minorEastAsia"/>
          <w:b/>
          <w:bCs/>
          <w:snapToGrid w:val="0"/>
          <w:kern w:val="2"/>
          <w:sz w:val="24"/>
          <w:szCs w:val="21"/>
          <w:lang w:val="en-US" w:eastAsia="zh-CN" w:bidi="ar-SA"/>
        </w:rPr>
      </w:pPr>
    </w:p>
    <w:p>
      <w:pPr>
        <w:spacing w:line="460" w:lineRule="exact"/>
        <w:jc w:val="left"/>
        <w:rPr>
          <w:rFonts w:hint="eastAsia" w:ascii="宋体" w:hAnsi="Arial" w:cs="Arial" w:eastAsiaTheme="minorEastAsia"/>
          <w:b/>
          <w:bCs/>
          <w:snapToGrid w:val="0"/>
          <w:kern w:val="2"/>
          <w:sz w:val="24"/>
          <w:szCs w:val="21"/>
          <w:lang w:val="en-US" w:eastAsia="zh-CN" w:bidi="ar-SA"/>
        </w:rPr>
      </w:pPr>
    </w:p>
    <w:p>
      <w:pPr>
        <w:spacing w:line="460" w:lineRule="exact"/>
        <w:jc w:val="left"/>
        <w:rPr>
          <w:rFonts w:hint="eastAsia" w:ascii="宋体" w:hAnsi="Arial" w:cs="Arial" w:eastAsiaTheme="minorEastAsia"/>
          <w:b/>
          <w:bCs/>
          <w:snapToGrid w:val="0"/>
          <w:kern w:val="2"/>
          <w:sz w:val="24"/>
          <w:szCs w:val="21"/>
          <w:lang w:val="en-US" w:eastAsia="zh-CN" w:bidi="ar-SA"/>
        </w:rPr>
      </w:pPr>
    </w:p>
    <w:p>
      <w:pPr>
        <w:spacing w:line="460" w:lineRule="exact"/>
        <w:jc w:val="left"/>
        <w:rPr>
          <w:rFonts w:hint="eastAsia" w:ascii="宋体" w:hAnsi="Arial" w:cs="Arial" w:eastAsiaTheme="minorEastAsia"/>
          <w:b/>
          <w:bCs/>
          <w:snapToGrid w:val="0"/>
          <w:kern w:val="2"/>
          <w:sz w:val="24"/>
          <w:szCs w:val="21"/>
          <w:lang w:val="en-US" w:eastAsia="zh-CN" w:bidi="ar-SA"/>
        </w:rPr>
      </w:pPr>
    </w:p>
    <w:p>
      <w:pPr>
        <w:spacing w:line="460" w:lineRule="exact"/>
        <w:jc w:val="left"/>
        <w:rPr>
          <w:rFonts w:hint="eastAsia" w:ascii="宋体" w:hAnsi="Arial" w:cs="Arial" w:eastAsiaTheme="minorEastAsia"/>
          <w:b/>
          <w:bCs/>
          <w:snapToGrid w:val="0"/>
          <w:kern w:val="2"/>
          <w:sz w:val="24"/>
          <w:szCs w:val="21"/>
          <w:lang w:val="en-US" w:eastAsia="zh-CN" w:bidi="ar-SA"/>
        </w:rPr>
      </w:pPr>
    </w:p>
    <w:p>
      <w:pPr>
        <w:spacing w:line="460" w:lineRule="exact"/>
        <w:jc w:val="left"/>
        <w:rPr>
          <w:rFonts w:hint="eastAsia" w:ascii="宋体" w:hAnsi="Arial" w:cs="Arial" w:eastAsiaTheme="minorEastAsia"/>
          <w:b/>
          <w:bCs/>
          <w:snapToGrid w:val="0"/>
          <w:kern w:val="2"/>
          <w:sz w:val="24"/>
          <w:szCs w:val="21"/>
          <w:lang w:val="en-US" w:eastAsia="zh-CN" w:bidi="ar-SA"/>
        </w:rPr>
      </w:pPr>
      <w:r>
        <w:rPr>
          <w:rFonts w:hint="eastAsia" w:ascii="宋体" w:hAnsi="Arial" w:cs="Arial"/>
          <w:b/>
          <w:bCs/>
          <w:snapToGrid w:val="0"/>
          <w:kern w:val="2"/>
          <w:sz w:val="24"/>
          <w:szCs w:val="21"/>
          <w:lang w:val="en-US" w:eastAsia="zh-CN" w:bidi="ar-SA"/>
        </w:rPr>
        <w:t>附图：</w:t>
      </w:r>
      <w:r>
        <w:rPr>
          <w:rFonts w:hint="eastAsia" w:ascii="宋体" w:hAnsi="Arial" w:cs="Arial"/>
          <w:b w:val="0"/>
          <w:bCs w:val="0"/>
          <w:snapToGrid w:val="0"/>
          <w:kern w:val="2"/>
          <w:sz w:val="24"/>
          <w:szCs w:val="21"/>
          <w:lang w:val="en-US" w:eastAsia="zh-CN" w:bidi="ar-SA"/>
        </w:rPr>
        <w:t>斗提机平台标距地面高35.23m，雾化器平台距地面高36.85m。</w:t>
      </w:r>
    </w:p>
    <w:p>
      <w:pPr>
        <w:spacing w:line="460" w:lineRule="exact"/>
        <w:jc w:val="left"/>
        <w:rPr>
          <w:rFonts w:hint="eastAsia" w:ascii="宋体" w:hAnsi="Arial" w:cs="Arial" w:eastAsiaTheme="minorEastAsia"/>
          <w:b/>
          <w:bCs/>
          <w:snapToGrid w:val="0"/>
          <w:kern w:val="2"/>
          <w:sz w:val="24"/>
          <w:szCs w:val="21"/>
          <w:lang w:val="en-US" w:eastAsia="zh-CN" w:bidi="ar-SA"/>
        </w:rPr>
      </w:pPr>
    </w:p>
    <w:p>
      <w:pPr>
        <w:spacing w:line="460" w:lineRule="exact"/>
        <w:jc w:val="left"/>
        <w:rPr>
          <w:rFonts w:hint="eastAsia" w:ascii="宋体" w:hAnsi="Arial" w:cs="Arial" w:eastAsiaTheme="minorEastAsia"/>
          <w:b/>
          <w:bCs/>
          <w:snapToGrid w:val="0"/>
          <w:kern w:val="2"/>
          <w:sz w:val="24"/>
          <w:szCs w:val="21"/>
          <w:lang w:val="en-US" w:eastAsia="zh-CN" w:bidi="ar-SA"/>
        </w:rPr>
      </w:pPr>
    </w:p>
    <w:p>
      <w:pPr>
        <w:spacing w:line="240" w:lineRule="auto"/>
        <w:jc w:val="left"/>
      </w:pPr>
      <w:r>
        <w:drawing>
          <wp:inline distT="0" distB="0" distL="114300" distR="114300">
            <wp:extent cx="5646420" cy="7919720"/>
            <wp:effectExtent l="0" t="0" r="7620" b="5080"/>
            <wp:docPr id="17" name="图片 17"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11"/>
                    <pic:cNvPicPr>
                      <a:picLocks noChangeAspect="1"/>
                    </pic:cNvPicPr>
                  </pic:nvPicPr>
                  <pic:blipFill>
                    <a:blip r:embed="rId23"/>
                    <a:stretch>
                      <a:fillRect/>
                    </a:stretch>
                  </pic:blipFill>
                  <pic:spPr>
                    <a:xfrm>
                      <a:off x="0" y="0"/>
                      <a:ext cx="5646420" cy="7919720"/>
                    </a:xfrm>
                    <a:prstGeom prst="rect">
                      <a:avLst/>
                    </a:prstGeom>
                  </pic:spPr>
                </pic:pic>
              </a:graphicData>
            </a:graphic>
          </wp:inline>
        </w:drawing>
      </w:r>
    </w:p>
    <w:p>
      <w:pPr>
        <w:spacing w:line="240" w:lineRule="auto"/>
        <w:jc w:val="left"/>
      </w:pPr>
    </w:p>
    <w:p>
      <w:pPr>
        <w:spacing w:line="240" w:lineRule="auto"/>
        <w:jc w:val="left"/>
        <w:rPr>
          <w:rFonts w:hint="default"/>
          <w:lang w:val="en-US" w:eastAsia="zh-CN"/>
        </w:rPr>
      </w:pPr>
    </w:p>
    <w:p>
      <w:pPr>
        <w:rPr>
          <w:rFonts w:cs="仿宋" w:asciiTheme="minorEastAsia" w:hAnsiTheme="minorEastAsia"/>
          <w:b/>
          <w:sz w:val="36"/>
          <w:szCs w:val="36"/>
        </w:rPr>
      </w:pPr>
      <w:r>
        <w:drawing>
          <wp:inline distT="0" distB="0" distL="114300" distR="114300">
            <wp:extent cx="5600700" cy="8442960"/>
            <wp:effectExtent l="0" t="0" r="7620" b="0"/>
            <wp:docPr id="19" name="图片 19" descr="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222"/>
                    <pic:cNvPicPr>
                      <a:picLocks noChangeAspect="1"/>
                    </pic:cNvPicPr>
                  </pic:nvPicPr>
                  <pic:blipFill>
                    <a:blip r:embed="rId24"/>
                    <a:stretch>
                      <a:fillRect/>
                    </a:stretch>
                  </pic:blipFill>
                  <pic:spPr>
                    <a:xfrm>
                      <a:off x="0" y="0"/>
                      <a:ext cx="5600700" cy="8442960"/>
                    </a:xfrm>
                    <a:prstGeom prst="rect">
                      <a:avLst/>
                    </a:prstGeom>
                  </pic:spPr>
                </pic:pic>
              </a:graphicData>
            </a:graphic>
          </wp:inline>
        </w:drawing>
      </w:r>
    </w:p>
    <w:p>
      <w:pPr>
        <w:rPr>
          <w:rFonts w:cs="仿宋" w:asciiTheme="minorEastAsia" w:hAnsiTheme="minorEastAsia"/>
          <w:b/>
          <w:sz w:val="36"/>
          <w:szCs w:val="36"/>
        </w:rPr>
      </w:pPr>
      <w:r>
        <w:rPr>
          <w:rFonts w:cs="仿宋" w:asciiTheme="minorEastAsia" w:hAnsiTheme="minorEastAsia"/>
          <w:b/>
          <w:sz w:val="36"/>
          <w:szCs w:val="36"/>
        </w:rPr>
        <w:br w:type="page"/>
      </w: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336"/>
      <w:bookmarkEnd w:id="19"/>
      <w:bookmarkStart w:id="20" w:name="_Toc184313244"/>
      <w:bookmarkEnd w:id="20"/>
      <w:bookmarkStart w:id="21" w:name="_Toc184312093"/>
      <w:bookmarkEnd w:id="21"/>
      <w:bookmarkStart w:id="22" w:name="_Toc184312134"/>
      <w:bookmarkEnd w:id="22"/>
      <w:bookmarkStart w:id="23" w:name="_Toc184312108"/>
      <w:bookmarkEnd w:id="23"/>
      <w:bookmarkStart w:id="24" w:name="_Toc184314456"/>
      <w:bookmarkEnd w:id="24"/>
      <w:bookmarkStart w:id="25" w:name="_Toc184313262"/>
      <w:bookmarkEnd w:id="25"/>
      <w:bookmarkStart w:id="26" w:name="_Toc184314473"/>
      <w:bookmarkEnd w:id="26"/>
      <w:bookmarkStart w:id="27" w:name="_Toc184310312"/>
      <w:bookmarkEnd w:id="27"/>
      <w:bookmarkStart w:id="28" w:name="_Toc184310340"/>
      <w:bookmarkEnd w:id="28"/>
      <w:bookmarkStart w:id="29" w:name="_Toc184310339"/>
      <w:bookmarkEnd w:id="29"/>
      <w:bookmarkStart w:id="30" w:name="_Toc184314418"/>
      <w:bookmarkEnd w:id="30"/>
      <w:bookmarkStart w:id="31" w:name="_Toc184314414"/>
      <w:bookmarkEnd w:id="31"/>
      <w:bookmarkStart w:id="32" w:name="_Toc184312115"/>
      <w:bookmarkEnd w:id="32"/>
      <w:bookmarkStart w:id="33" w:name="_Toc184314429"/>
      <w:bookmarkEnd w:id="33"/>
      <w:bookmarkStart w:id="34" w:name="_Toc184308106"/>
      <w:bookmarkEnd w:id="34"/>
      <w:bookmarkStart w:id="35" w:name="_Toc184308050"/>
      <w:bookmarkEnd w:id="35"/>
      <w:bookmarkStart w:id="36" w:name="_Toc184314462"/>
      <w:bookmarkEnd w:id="36"/>
      <w:bookmarkStart w:id="37" w:name="_Toc184313291"/>
      <w:bookmarkEnd w:id="37"/>
      <w:bookmarkStart w:id="38" w:name="_Toc184310296"/>
      <w:bookmarkEnd w:id="38"/>
      <w:bookmarkStart w:id="39" w:name="_Toc184313290"/>
      <w:bookmarkEnd w:id="39"/>
      <w:bookmarkStart w:id="40" w:name="_Toc184312121"/>
      <w:bookmarkEnd w:id="40"/>
      <w:bookmarkStart w:id="41" w:name="_Toc184310321"/>
      <w:bookmarkEnd w:id="41"/>
      <w:bookmarkStart w:id="42" w:name="_Toc184314431"/>
      <w:bookmarkEnd w:id="42"/>
      <w:bookmarkStart w:id="43" w:name="_Toc184310338"/>
      <w:bookmarkEnd w:id="43"/>
      <w:bookmarkStart w:id="44" w:name="_Toc184308095"/>
      <w:bookmarkEnd w:id="44"/>
      <w:bookmarkStart w:id="45" w:name="_Toc184313273"/>
      <w:bookmarkEnd w:id="45"/>
      <w:bookmarkStart w:id="46" w:name="_Toc184308057"/>
      <w:bookmarkEnd w:id="46"/>
      <w:bookmarkStart w:id="47" w:name="_Toc184314453"/>
      <w:bookmarkEnd w:id="47"/>
      <w:bookmarkStart w:id="48" w:name="_Toc184312122"/>
      <w:bookmarkEnd w:id="48"/>
      <w:bookmarkStart w:id="49" w:name="_Toc184314434"/>
      <w:bookmarkEnd w:id="49"/>
      <w:bookmarkStart w:id="50" w:name="_Toc184313294"/>
      <w:bookmarkEnd w:id="50"/>
      <w:bookmarkStart w:id="51" w:name="_Toc184314476"/>
      <w:bookmarkEnd w:id="51"/>
      <w:bookmarkStart w:id="52" w:name="_Toc184310302"/>
      <w:bookmarkEnd w:id="52"/>
      <w:bookmarkStart w:id="53" w:name="_Toc184312131"/>
      <w:bookmarkEnd w:id="53"/>
      <w:bookmarkStart w:id="54" w:name="_Toc184308084"/>
      <w:bookmarkEnd w:id="54"/>
      <w:bookmarkStart w:id="55" w:name="_Toc184313303"/>
      <w:bookmarkEnd w:id="55"/>
      <w:bookmarkStart w:id="56" w:name="_Toc184312128"/>
      <w:bookmarkEnd w:id="56"/>
      <w:bookmarkStart w:id="57" w:name="_Toc184308061"/>
      <w:bookmarkEnd w:id="57"/>
      <w:bookmarkStart w:id="58" w:name="_Toc184314450"/>
      <w:bookmarkEnd w:id="58"/>
      <w:bookmarkStart w:id="59" w:name="_Toc184308078"/>
      <w:bookmarkEnd w:id="59"/>
      <w:bookmarkStart w:id="60" w:name="_Toc184314436"/>
      <w:bookmarkEnd w:id="60"/>
      <w:bookmarkStart w:id="61" w:name="_Toc184310279"/>
      <w:bookmarkEnd w:id="61"/>
      <w:bookmarkStart w:id="62" w:name="_Toc184310328"/>
      <w:bookmarkEnd w:id="62"/>
      <w:bookmarkStart w:id="63" w:name="_Toc184313239"/>
      <w:bookmarkEnd w:id="63"/>
      <w:bookmarkStart w:id="64" w:name="_Toc184314412"/>
      <w:bookmarkEnd w:id="64"/>
      <w:bookmarkStart w:id="65" w:name="_Toc184308086"/>
      <w:bookmarkEnd w:id="65"/>
      <w:bookmarkStart w:id="66" w:name="_Toc184313261"/>
      <w:bookmarkEnd w:id="66"/>
      <w:bookmarkStart w:id="67" w:name="_Toc184312114"/>
      <w:bookmarkEnd w:id="67"/>
      <w:bookmarkStart w:id="68" w:name="_Toc184312107"/>
      <w:bookmarkEnd w:id="68"/>
      <w:bookmarkStart w:id="69" w:name="_Toc184312077"/>
      <w:bookmarkEnd w:id="69"/>
      <w:bookmarkStart w:id="70" w:name="_Toc184312091"/>
      <w:bookmarkEnd w:id="70"/>
      <w:bookmarkStart w:id="71" w:name="_Toc184310304"/>
      <w:bookmarkEnd w:id="71"/>
      <w:bookmarkStart w:id="72" w:name="_Toc184313296"/>
      <w:bookmarkEnd w:id="72"/>
      <w:bookmarkStart w:id="73" w:name="_Toc184308087"/>
      <w:bookmarkEnd w:id="73"/>
      <w:bookmarkStart w:id="74" w:name="_Toc184310300"/>
      <w:bookmarkEnd w:id="74"/>
      <w:bookmarkStart w:id="75" w:name="_Toc184314458"/>
      <w:bookmarkEnd w:id="75"/>
      <w:bookmarkStart w:id="76" w:name="_Toc184312076"/>
      <w:bookmarkEnd w:id="76"/>
      <w:bookmarkStart w:id="77" w:name="_Toc184308058"/>
      <w:bookmarkEnd w:id="77"/>
      <w:bookmarkStart w:id="78" w:name="_Toc184310285"/>
      <w:bookmarkEnd w:id="78"/>
      <w:bookmarkStart w:id="79" w:name="_Toc184310311"/>
      <w:bookmarkEnd w:id="79"/>
      <w:bookmarkStart w:id="80" w:name="_Toc184313298"/>
      <w:bookmarkEnd w:id="80"/>
      <w:bookmarkStart w:id="81" w:name="_Toc184313310"/>
      <w:bookmarkEnd w:id="81"/>
      <w:bookmarkStart w:id="82" w:name="_Toc184310315"/>
      <w:bookmarkEnd w:id="82"/>
      <w:bookmarkStart w:id="83" w:name="_Toc184312072"/>
      <w:bookmarkEnd w:id="83"/>
      <w:bookmarkStart w:id="84" w:name="_Toc184308072"/>
      <w:bookmarkEnd w:id="84"/>
      <w:bookmarkStart w:id="85" w:name="_Toc184314477"/>
      <w:bookmarkEnd w:id="85"/>
      <w:bookmarkStart w:id="86" w:name="_Toc184313278"/>
      <w:bookmarkEnd w:id="86"/>
      <w:bookmarkStart w:id="87" w:name="_Toc184312120"/>
      <w:bookmarkEnd w:id="87"/>
      <w:bookmarkStart w:id="88" w:name="_Toc184308070"/>
      <w:bookmarkEnd w:id="88"/>
      <w:bookmarkStart w:id="89" w:name="_Toc184314413"/>
      <w:bookmarkEnd w:id="89"/>
      <w:bookmarkStart w:id="90" w:name="_Toc184308085"/>
      <w:bookmarkEnd w:id="90"/>
      <w:bookmarkStart w:id="91" w:name="_Toc184308099"/>
      <w:bookmarkEnd w:id="91"/>
      <w:bookmarkStart w:id="92" w:name="_Toc184310343"/>
      <w:bookmarkEnd w:id="92"/>
      <w:bookmarkStart w:id="93" w:name="_Toc184308054"/>
      <w:bookmarkEnd w:id="93"/>
      <w:bookmarkStart w:id="94" w:name="_Toc184310283"/>
      <w:bookmarkEnd w:id="94"/>
      <w:bookmarkStart w:id="95" w:name="_Toc184313306"/>
      <w:bookmarkEnd w:id="95"/>
      <w:bookmarkStart w:id="96" w:name="_Toc184308093"/>
      <w:bookmarkEnd w:id="96"/>
      <w:bookmarkStart w:id="97" w:name="_Toc184313304"/>
      <w:bookmarkEnd w:id="97"/>
      <w:bookmarkStart w:id="98" w:name="_Toc184310284"/>
      <w:bookmarkEnd w:id="98"/>
      <w:bookmarkStart w:id="99" w:name="_Toc184314430"/>
      <w:bookmarkEnd w:id="99"/>
      <w:bookmarkStart w:id="100" w:name="_Toc184313300"/>
      <w:bookmarkEnd w:id="100"/>
      <w:bookmarkStart w:id="101" w:name="_Toc184308038"/>
      <w:bookmarkEnd w:id="101"/>
      <w:bookmarkStart w:id="102" w:name="_Toc184312068"/>
      <w:bookmarkEnd w:id="102"/>
      <w:bookmarkStart w:id="103" w:name="_Toc184308053"/>
      <w:bookmarkEnd w:id="103"/>
      <w:bookmarkStart w:id="104" w:name="_Toc184310305"/>
      <w:bookmarkEnd w:id="104"/>
      <w:bookmarkStart w:id="105" w:name="_Toc184314469"/>
      <w:bookmarkEnd w:id="105"/>
      <w:bookmarkStart w:id="106" w:name="_Toc184313259"/>
      <w:bookmarkEnd w:id="106"/>
      <w:bookmarkStart w:id="107" w:name="_Toc184308068"/>
      <w:bookmarkEnd w:id="107"/>
      <w:bookmarkStart w:id="108" w:name="_Toc184310307"/>
      <w:bookmarkEnd w:id="108"/>
      <w:bookmarkStart w:id="109" w:name="_Toc184314475"/>
      <w:bookmarkEnd w:id="109"/>
      <w:bookmarkStart w:id="110" w:name="_Toc184313305"/>
      <w:bookmarkEnd w:id="110"/>
      <w:bookmarkStart w:id="111" w:name="_Toc184314480"/>
      <w:bookmarkEnd w:id="111"/>
      <w:bookmarkStart w:id="112" w:name="_Toc184314442"/>
      <w:bookmarkEnd w:id="112"/>
      <w:bookmarkStart w:id="113" w:name="_Toc184314415"/>
      <w:bookmarkEnd w:id="113"/>
      <w:bookmarkStart w:id="114" w:name="_Toc184313255"/>
      <w:bookmarkEnd w:id="114"/>
      <w:bookmarkStart w:id="115" w:name="_Toc184314420"/>
      <w:bookmarkEnd w:id="115"/>
      <w:bookmarkStart w:id="116" w:name="_Toc184314428"/>
      <w:bookmarkEnd w:id="116"/>
      <w:bookmarkStart w:id="117" w:name="_Toc184312069"/>
      <w:bookmarkEnd w:id="117"/>
      <w:bookmarkStart w:id="118" w:name="_Toc184310334"/>
      <w:bookmarkEnd w:id="118"/>
      <w:bookmarkStart w:id="119" w:name="_Toc184308082"/>
      <w:bookmarkEnd w:id="119"/>
      <w:bookmarkStart w:id="120" w:name="_Toc184308049"/>
      <w:bookmarkEnd w:id="120"/>
      <w:bookmarkStart w:id="121" w:name="_Toc184312118"/>
      <w:bookmarkEnd w:id="121"/>
      <w:bookmarkStart w:id="122" w:name="_Toc184313251"/>
      <w:bookmarkEnd w:id="122"/>
      <w:bookmarkStart w:id="123" w:name="_Toc184308046"/>
      <w:bookmarkEnd w:id="123"/>
      <w:bookmarkStart w:id="124" w:name="_Toc184313293"/>
      <w:bookmarkEnd w:id="124"/>
      <w:bookmarkStart w:id="125" w:name="_Toc184310341"/>
      <w:bookmarkEnd w:id="125"/>
      <w:bookmarkStart w:id="126" w:name="_Toc184314452"/>
      <w:bookmarkEnd w:id="126"/>
      <w:bookmarkStart w:id="127" w:name="_Toc184312103"/>
      <w:bookmarkEnd w:id="127"/>
      <w:bookmarkStart w:id="128" w:name="_Toc184314471"/>
      <w:bookmarkEnd w:id="128"/>
      <w:bookmarkStart w:id="129" w:name="_Toc184314445"/>
      <w:bookmarkEnd w:id="129"/>
      <w:bookmarkStart w:id="130" w:name="_Toc184308036"/>
      <w:bookmarkEnd w:id="130"/>
      <w:bookmarkStart w:id="131" w:name="_Toc184310322"/>
      <w:bookmarkEnd w:id="131"/>
      <w:bookmarkStart w:id="132" w:name="_Toc184310324"/>
      <w:bookmarkEnd w:id="132"/>
      <w:bookmarkStart w:id="133" w:name="_Toc184312079"/>
      <w:bookmarkEnd w:id="133"/>
      <w:bookmarkStart w:id="134" w:name="_Toc184310308"/>
      <w:bookmarkEnd w:id="134"/>
      <w:bookmarkStart w:id="135" w:name="_Toc184310325"/>
      <w:bookmarkEnd w:id="135"/>
      <w:bookmarkStart w:id="136" w:name="_Toc184310297"/>
      <w:bookmarkEnd w:id="136"/>
      <w:bookmarkStart w:id="137" w:name="_Toc184313280"/>
      <w:bookmarkEnd w:id="137"/>
      <w:bookmarkStart w:id="138" w:name="_Toc184312081"/>
      <w:bookmarkEnd w:id="138"/>
      <w:bookmarkStart w:id="139" w:name="_Toc184312132"/>
      <w:bookmarkEnd w:id="139"/>
      <w:bookmarkStart w:id="140" w:name="_Toc184314466"/>
      <w:bookmarkEnd w:id="140"/>
      <w:bookmarkStart w:id="141" w:name="_Toc184314460"/>
      <w:bookmarkEnd w:id="141"/>
      <w:bookmarkStart w:id="142" w:name="_Toc184313263"/>
      <w:bookmarkEnd w:id="142"/>
      <w:bookmarkStart w:id="143" w:name="_Toc184314465"/>
      <w:bookmarkEnd w:id="143"/>
      <w:bookmarkStart w:id="144" w:name="_Toc184313266"/>
      <w:bookmarkEnd w:id="144"/>
      <w:bookmarkStart w:id="145" w:name="_Toc184313272"/>
      <w:bookmarkEnd w:id="145"/>
      <w:bookmarkStart w:id="146" w:name="_Toc184310299"/>
      <w:bookmarkEnd w:id="146"/>
      <w:bookmarkStart w:id="147" w:name="_Toc184308056"/>
      <w:bookmarkEnd w:id="147"/>
      <w:bookmarkStart w:id="148" w:name="_Toc184313271"/>
      <w:bookmarkEnd w:id="148"/>
      <w:bookmarkStart w:id="149" w:name="_Toc184308108"/>
      <w:bookmarkEnd w:id="149"/>
      <w:bookmarkStart w:id="150" w:name="_Toc184308101"/>
      <w:bookmarkEnd w:id="150"/>
      <w:bookmarkStart w:id="151" w:name="_Toc184314438"/>
      <w:bookmarkEnd w:id="151"/>
      <w:bookmarkStart w:id="152" w:name="_Toc184312138"/>
      <w:bookmarkEnd w:id="152"/>
      <w:bookmarkStart w:id="153" w:name="_Toc184308088"/>
      <w:bookmarkEnd w:id="153"/>
      <w:bookmarkStart w:id="154" w:name="_Toc184308067"/>
      <w:bookmarkEnd w:id="154"/>
      <w:bookmarkStart w:id="155" w:name="_Toc184314443"/>
      <w:bookmarkEnd w:id="155"/>
      <w:bookmarkStart w:id="156" w:name="_Toc184313252"/>
      <w:bookmarkEnd w:id="156"/>
      <w:bookmarkStart w:id="157" w:name="_Toc184313269"/>
      <w:bookmarkEnd w:id="157"/>
      <w:bookmarkStart w:id="158" w:name="_Toc184313282"/>
      <w:bookmarkEnd w:id="158"/>
      <w:bookmarkStart w:id="159" w:name="_Toc184310286"/>
      <w:bookmarkEnd w:id="159"/>
      <w:bookmarkStart w:id="160" w:name="_Toc184314423"/>
      <w:bookmarkEnd w:id="160"/>
      <w:bookmarkStart w:id="161" w:name="_Toc184308062"/>
      <w:bookmarkEnd w:id="161"/>
      <w:bookmarkStart w:id="162" w:name="_Toc184312125"/>
      <w:bookmarkEnd w:id="162"/>
      <w:bookmarkStart w:id="163" w:name="_Toc184310301"/>
      <w:bookmarkEnd w:id="163"/>
      <w:bookmarkStart w:id="164" w:name="_Toc184310330"/>
      <w:bookmarkEnd w:id="164"/>
      <w:bookmarkStart w:id="165" w:name="_Toc184310335"/>
      <w:bookmarkEnd w:id="165"/>
      <w:bookmarkStart w:id="166" w:name="_Toc184312084"/>
      <w:bookmarkEnd w:id="166"/>
      <w:bookmarkStart w:id="167" w:name="_Toc184313297"/>
      <w:bookmarkEnd w:id="167"/>
      <w:bookmarkStart w:id="168" w:name="_Toc184313268"/>
      <w:bookmarkEnd w:id="168"/>
      <w:bookmarkStart w:id="169" w:name="_Toc184313285"/>
      <w:bookmarkEnd w:id="169"/>
      <w:bookmarkStart w:id="170" w:name="_Toc184312087"/>
      <w:bookmarkEnd w:id="170"/>
      <w:bookmarkStart w:id="171" w:name="_Toc184313299"/>
      <w:bookmarkEnd w:id="171"/>
      <w:bookmarkStart w:id="172" w:name="_Toc184310342"/>
      <w:bookmarkEnd w:id="172"/>
      <w:bookmarkStart w:id="173" w:name="_Toc184310309"/>
      <w:bookmarkEnd w:id="173"/>
      <w:bookmarkStart w:id="174" w:name="_Toc184310306"/>
      <w:bookmarkEnd w:id="174"/>
      <w:bookmarkStart w:id="175" w:name="_Toc184308047"/>
      <w:bookmarkEnd w:id="175"/>
      <w:bookmarkStart w:id="176" w:name="_Toc184310329"/>
      <w:bookmarkEnd w:id="176"/>
      <w:bookmarkStart w:id="177" w:name="_Toc184313307"/>
      <w:bookmarkEnd w:id="177"/>
      <w:bookmarkStart w:id="178" w:name="_Toc184313308"/>
      <w:bookmarkEnd w:id="178"/>
      <w:bookmarkStart w:id="179" w:name="_Toc184312129"/>
      <w:bookmarkEnd w:id="179"/>
      <w:bookmarkStart w:id="180" w:name="_Toc184312137"/>
      <w:bookmarkEnd w:id="180"/>
      <w:bookmarkStart w:id="181" w:name="_Toc184308089"/>
      <w:bookmarkEnd w:id="181"/>
      <w:bookmarkStart w:id="182" w:name="_Toc184310313"/>
      <w:bookmarkEnd w:id="182"/>
      <w:bookmarkStart w:id="183" w:name="_Toc184308090"/>
      <w:bookmarkEnd w:id="183"/>
      <w:bookmarkStart w:id="184" w:name="_Toc184312106"/>
      <w:bookmarkEnd w:id="184"/>
      <w:bookmarkStart w:id="185" w:name="_Toc184313242"/>
      <w:bookmarkEnd w:id="185"/>
      <w:bookmarkStart w:id="186" w:name="_Toc184313289"/>
      <w:bookmarkEnd w:id="186"/>
      <w:bookmarkStart w:id="187" w:name="_Toc184313295"/>
      <w:bookmarkEnd w:id="187"/>
      <w:bookmarkStart w:id="188" w:name="_Toc184313276"/>
      <w:bookmarkEnd w:id="188"/>
      <w:bookmarkStart w:id="189" w:name="_Toc184312109"/>
      <w:bookmarkEnd w:id="189"/>
      <w:bookmarkStart w:id="190" w:name="_Toc184314463"/>
      <w:bookmarkEnd w:id="190"/>
      <w:bookmarkStart w:id="191" w:name="_Toc184312124"/>
      <w:bookmarkEnd w:id="191"/>
      <w:bookmarkStart w:id="192" w:name="_Toc184314457"/>
      <w:bookmarkEnd w:id="192"/>
      <w:bookmarkStart w:id="193" w:name="_Toc184314459"/>
      <w:bookmarkEnd w:id="193"/>
      <w:bookmarkStart w:id="194" w:name="_Toc184310298"/>
      <w:bookmarkEnd w:id="194"/>
      <w:bookmarkStart w:id="195" w:name="_Toc184308055"/>
      <w:bookmarkEnd w:id="195"/>
      <w:bookmarkStart w:id="196" w:name="_Toc184314424"/>
      <w:bookmarkEnd w:id="196"/>
      <w:bookmarkStart w:id="197" w:name="_Toc184312130"/>
      <w:bookmarkEnd w:id="197"/>
      <w:bookmarkStart w:id="198" w:name="_Toc184313267"/>
      <w:bookmarkEnd w:id="198"/>
      <w:bookmarkStart w:id="199" w:name="_Toc184314419"/>
      <w:bookmarkEnd w:id="199"/>
      <w:bookmarkStart w:id="200" w:name="_Toc184313257"/>
      <w:bookmarkEnd w:id="200"/>
      <w:bookmarkStart w:id="201" w:name="_Toc184313254"/>
      <w:bookmarkEnd w:id="201"/>
      <w:bookmarkStart w:id="202" w:name="_Toc184313240"/>
      <w:bookmarkEnd w:id="202"/>
      <w:bookmarkStart w:id="203" w:name="_Toc184314468"/>
      <w:bookmarkEnd w:id="203"/>
      <w:bookmarkStart w:id="204" w:name="_Toc184314416"/>
      <w:bookmarkEnd w:id="204"/>
      <w:bookmarkStart w:id="205" w:name="_Toc184308041"/>
      <w:bookmarkEnd w:id="205"/>
      <w:bookmarkStart w:id="206" w:name="_Toc184314461"/>
      <w:bookmarkEnd w:id="206"/>
      <w:bookmarkStart w:id="207" w:name="_Toc184313248"/>
      <w:bookmarkEnd w:id="207"/>
      <w:bookmarkStart w:id="208" w:name="_Toc184310295"/>
      <w:bookmarkEnd w:id="208"/>
      <w:bookmarkStart w:id="209" w:name="_Toc184314482"/>
      <w:bookmarkEnd w:id="209"/>
      <w:bookmarkStart w:id="210" w:name="_Toc184314411"/>
      <w:bookmarkEnd w:id="210"/>
      <w:bookmarkStart w:id="211" w:name="_Toc184312112"/>
      <w:bookmarkEnd w:id="211"/>
      <w:bookmarkStart w:id="212" w:name="_Toc184310290"/>
      <w:bookmarkEnd w:id="212"/>
      <w:bookmarkStart w:id="213" w:name="_Toc184313243"/>
      <w:bookmarkEnd w:id="213"/>
      <w:bookmarkStart w:id="214" w:name="_Toc184308096"/>
      <w:bookmarkEnd w:id="214"/>
      <w:bookmarkStart w:id="215" w:name="_Toc184308107"/>
      <w:bookmarkEnd w:id="215"/>
      <w:bookmarkStart w:id="216" w:name="_Toc184313264"/>
      <w:bookmarkEnd w:id="216"/>
      <w:bookmarkStart w:id="217" w:name="_Toc184314478"/>
      <w:bookmarkEnd w:id="217"/>
      <w:bookmarkStart w:id="218" w:name="_Toc184308039"/>
      <w:bookmarkEnd w:id="218"/>
      <w:bookmarkStart w:id="219" w:name="_Toc184310331"/>
      <w:bookmarkEnd w:id="219"/>
      <w:bookmarkStart w:id="220" w:name="_Toc184312082"/>
      <w:bookmarkEnd w:id="220"/>
      <w:bookmarkStart w:id="221" w:name="_Toc184308059"/>
      <w:bookmarkEnd w:id="221"/>
      <w:bookmarkStart w:id="222" w:name="_Toc184313275"/>
      <w:bookmarkEnd w:id="222"/>
      <w:bookmarkStart w:id="223" w:name="_Toc184314427"/>
      <w:bookmarkEnd w:id="223"/>
      <w:bookmarkStart w:id="224" w:name="_Toc184313288"/>
      <w:bookmarkEnd w:id="224"/>
      <w:bookmarkStart w:id="225" w:name="_Toc184308073"/>
      <w:bookmarkEnd w:id="225"/>
      <w:bookmarkStart w:id="226" w:name="_Toc184313253"/>
      <w:bookmarkEnd w:id="226"/>
      <w:bookmarkStart w:id="227" w:name="_Toc184308064"/>
      <w:bookmarkEnd w:id="227"/>
      <w:bookmarkStart w:id="228" w:name="_Toc184310274"/>
      <w:bookmarkEnd w:id="228"/>
      <w:bookmarkStart w:id="229" w:name="_Toc184308052"/>
      <w:bookmarkEnd w:id="229"/>
      <w:bookmarkStart w:id="230" w:name="_Toc184313287"/>
      <w:bookmarkEnd w:id="230"/>
      <w:bookmarkStart w:id="231" w:name="_Toc184310275"/>
      <w:bookmarkEnd w:id="231"/>
      <w:bookmarkStart w:id="232" w:name="_Toc184314467"/>
      <w:bookmarkEnd w:id="232"/>
      <w:bookmarkStart w:id="233" w:name="_Toc184313247"/>
      <w:bookmarkEnd w:id="233"/>
      <w:bookmarkStart w:id="234" w:name="_Toc184312073"/>
      <w:bookmarkEnd w:id="234"/>
      <w:bookmarkStart w:id="235" w:name="_Toc184313279"/>
      <w:bookmarkEnd w:id="235"/>
      <w:bookmarkStart w:id="236" w:name="_Toc184313250"/>
      <w:bookmarkEnd w:id="236"/>
      <w:bookmarkStart w:id="237" w:name="_Toc184308048"/>
      <w:bookmarkEnd w:id="237"/>
      <w:bookmarkStart w:id="238" w:name="_Toc184312096"/>
      <w:bookmarkEnd w:id="238"/>
      <w:bookmarkStart w:id="239" w:name="_Toc184314464"/>
      <w:bookmarkEnd w:id="239"/>
      <w:bookmarkStart w:id="240" w:name="_Toc184310320"/>
      <w:bookmarkEnd w:id="240"/>
      <w:bookmarkStart w:id="241" w:name="_Toc184312070"/>
      <w:bookmarkEnd w:id="241"/>
      <w:bookmarkStart w:id="242" w:name="_Toc184314439"/>
      <w:bookmarkEnd w:id="242"/>
      <w:bookmarkStart w:id="243" w:name="_Toc184308083"/>
      <w:bookmarkEnd w:id="243"/>
      <w:bookmarkStart w:id="244" w:name="_Toc184314417"/>
      <w:bookmarkEnd w:id="244"/>
      <w:bookmarkStart w:id="245" w:name="_Toc184310287"/>
      <w:bookmarkEnd w:id="245"/>
      <w:bookmarkStart w:id="246" w:name="_Toc184310337"/>
      <w:bookmarkEnd w:id="246"/>
      <w:bookmarkStart w:id="247" w:name="_Toc184310277"/>
      <w:bookmarkEnd w:id="247"/>
      <w:bookmarkStart w:id="248" w:name="_Toc184312075"/>
      <w:bookmarkEnd w:id="248"/>
      <w:bookmarkStart w:id="249" w:name="_Toc184314435"/>
      <w:bookmarkEnd w:id="249"/>
      <w:bookmarkStart w:id="250" w:name="_Toc184312135"/>
      <w:bookmarkEnd w:id="250"/>
      <w:bookmarkStart w:id="251" w:name="_Toc184310326"/>
      <w:bookmarkEnd w:id="251"/>
      <w:bookmarkStart w:id="252" w:name="_Toc184310310"/>
      <w:bookmarkEnd w:id="252"/>
      <w:bookmarkStart w:id="253" w:name="_Toc184310276"/>
      <w:bookmarkEnd w:id="253"/>
      <w:bookmarkStart w:id="254" w:name="_Toc184312139"/>
      <w:bookmarkEnd w:id="254"/>
      <w:bookmarkStart w:id="255" w:name="_Toc184310289"/>
      <w:bookmarkEnd w:id="255"/>
      <w:bookmarkStart w:id="256" w:name="_Toc184308066"/>
      <w:bookmarkEnd w:id="256"/>
      <w:bookmarkStart w:id="257" w:name="_Toc184313260"/>
      <w:bookmarkEnd w:id="257"/>
      <w:bookmarkStart w:id="258" w:name="_Toc184308042"/>
      <w:bookmarkEnd w:id="258"/>
      <w:bookmarkStart w:id="259" w:name="_Toc184314437"/>
      <w:bookmarkEnd w:id="259"/>
      <w:bookmarkStart w:id="260" w:name="_Toc184310282"/>
      <w:bookmarkEnd w:id="260"/>
      <w:bookmarkStart w:id="261" w:name="_Toc184313292"/>
      <w:bookmarkEnd w:id="261"/>
      <w:bookmarkStart w:id="262" w:name="_Toc184312067"/>
      <w:bookmarkEnd w:id="262"/>
      <w:bookmarkStart w:id="263" w:name="_Toc184312090"/>
      <w:bookmarkEnd w:id="263"/>
      <w:bookmarkStart w:id="264" w:name="_Toc184312095"/>
      <w:bookmarkEnd w:id="264"/>
      <w:bookmarkStart w:id="265" w:name="_Toc184314421"/>
      <w:bookmarkEnd w:id="265"/>
      <w:bookmarkStart w:id="266" w:name="_Toc184313309"/>
      <w:bookmarkEnd w:id="266"/>
      <w:bookmarkStart w:id="267" w:name="_Toc184313241"/>
      <w:bookmarkEnd w:id="267"/>
      <w:bookmarkStart w:id="268" w:name="_Toc184314472"/>
      <w:bookmarkEnd w:id="268"/>
      <w:bookmarkStart w:id="269" w:name="_Toc184314432"/>
      <w:bookmarkEnd w:id="269"/>
      <w:bookmarkStart w:id="270" w:name="_Toc184312080"/>
      <w:bookmarkEnd w:id="270"/>
      <w:bookmarkStart w:id="271" w:name="_Toc184308040"/>
      <w:bookmarkEnd w:id="271"/>
      <w:bookmarkStart w:id="272" w:name="_Toc184308103"/>
      <w:bookmarkEnd w:id="272"/>
      <w:bookmarkStart w:id="273" w:name="_Toc184310272"/>
      <w:bookmarkEnd w:id="273"/>
      <w:bookmarkStart w:id="274" w:name="_Toc184314451"/>
      <w:bookmarkEnd w:id="274"/>
      <w:bookmarkStart w:id="275" w:name="_Toc184312083"/>
      <w:bookmarkEnd w:id="275"/>
      <w:bookmarkStart w:id="276" w:name="_Toc184313277"/>
      <w:bookmarkEnd w:id="276"/>
      <w:bookmarkStart w:id="277" w:name="_Toc184310281"/>
      <w:bookmarkEnd w:id="277"/>
      <w:bookmarkStart w:id="278" w:name="_Toc184312097"/>
      <w:bookmarkEnd w:id="278"/>
      <w:bookmarkStart w:id="279" w:name="_Toc184310273"/>
      <w:bookmarkEnd w:id="279"/>
      <w:bookmarkStart w:id="280" w:name="_Toc184310291"/>
      <w:bookmarkEnd w:id="280"/>
      <w:bookmarkStart w:id="281" w:name="_Toc184313281"/>
      <w:bookmarkEnd w:id="281"/>
      <w:bookmarkStart w:id="282" w:name="_Toc184312119"/>
      <w:bookmarkEnd w:id="282"/>
      <w:bookmarkStart w:id="283" w:name="_Toc184314440"/>
      <w:bookmarkEnd w:id="283"/>
      <w:bookmarkStart w:id="284" w:name="_Toc184308065"/>
      <w:bookmarkEnd w:id="284"/>
      <w:bookmarkStart w:id="285" w:name="_Toc184313284"/>
      <w:bookmarkEnd w:id="285"/>
      <w:bookmarkStart w:id="286" w:name="_Toc184312126"/>
      <w:bookmarkEnd w:id="286"/>
      <w:bookmarkStart w:id="287" w:name="_Toc184314426"/>
      <w:bookmarkEnd w:id="287"/>
      <w:bookmarkStart w:id="288" w:name="_Toc184308102"/>
      <w:bookmarkEnd w:id="288"/>
      <w:bookmarkStart w:id="289" w:name="_Toc184314410"/>
      <w:bookmarkEnd w:id="289"/>
      <w:bookmarkStart w:id="290" w:name="_Toc184310303"/>
      <w:bookmarkEnd w:id="290"/>
      <w:bookmarkStart w:id="291" w:name="_Toc184313286"/>
      <w:bookmarkEnd w:id="291"/>
      <w:bookmarkStart w:id="292" w:name="_Toc184308071"/>
      <w:bookmarkEnd w:id="292"/>
      <w:bookmarkStart w:id="293" w:name="_Toc184312133"/>
      <w:bookmarkEnd w:id="293"/>
      <w:bookmarkStart w:id="294" w:name="_Toc184312104"/>
      <w:bookmarkEnd w:id="294"/>
      <w:bookmarkStart w:id="295" w:name="_Toc184310344"/>
      <w:bookmarkEnd w:id="295"/>
      <w:bookmarkStart w:id="296" w:name="_Toc184308069"/>
      <w:bookmarkEnd w:id="296"/>
      <w:bookmarkStart w:id="297" w:name="_Toc184308097"/>
      <w:bookmarkEnd w:id="297"/>
      <w:bookmarkStart w:id="298" w:name="_Toc184312071"/>
      <w:bookmarkEnd w:id="298"/>
      <w:bookmarkStart w:id="299" w:name="_Toc184314448"/>
      <w:bookmarkEnd w:id="299"/>
      <w:bookmarkStart w:id="300" w:name="_Toc184310316"/>
      <w:bookmarkEnd w:id="300"/>
      <w:bookmarkStart w:id="301" w:name="_Toc184310323"/>
      <w:bookmarkEnd w:id="301"/>
      <w:bookmarkStart w:id="302" w:name="_Toc184312102"/>
      <w:bookmarkEnd w:id="302"/>
      <w:bookmarkStart w:id="303" w:name="_Toc184314479"/>
      <w:bookmarkEnd w:id="303"/>
      <w:bookmarkStart w:id="304" w:name="_Toc184313283"/>
      <w:bookmarkEnd w:id="304"/>
      <w:bookmarkStart w:id="305" w:name="_Toc184308104"/>
      <w:bookmarkEnd w:id="305"/>
      <w:bookmarkStart w:id="306" w:name="_Toc184314441"/>
      <w:bookmarkEnd w:id="306"/>
      <w:bookmarkStart w:id="307" w:name="_Toc184312110"/>
      <w:bookmarkEnd w:id="307"/>
      <w:bookmarkStart w:id="308" w:name="_Toc184314433"/>
      <w:bookmarkEnd w:id="308"/>
      <w:bookmarkStart w:id="309" w:name="_Toc184314454"/>
      <w:bookmarkEnd w:id="309"/>
      <w:bookmarkStart w:id="310" w:name="_Toc184312094"/>
      <w:bookmarkEnd w:id="310"/>
      <w:bookmarkStart w:id="311" w:name="_Toc184313270"/>
      <w:bookmarkEnd w:id="311"/>
      <w:bookmarkStart w:id="312" w:name="_Toc184308051"/>
      <w:bookmarkEnd w:id="312"/>
      <w:bookmarkStart w:id="313" w:name="_Toc184312116"/>
      <w:bookmarkEnd w:id="313"/>
      <w:bookmarkStart w:id="314" w:name="_Toc184314422"/>
      <w:bookmarkEnd w:id="314"/>
      <w:bookmarkStart w:id="315" w:name="_Toc184308076"/>
      <w:bookmarkEnd w:id="315"/>
      <w:bookmarkStart w:id="316" w:name="_Toc184308094"/>
      <w:bookmarkEnd w:id="316"/>
      <w:bookmarkStart w:id="317" w:name="_Toc184313301"/>
      <w:bookmarkEnd w:id="317"/>
      <w:bookmarkStart w:id="318" w:name="_Toc184308092"/>
      <w:bookmarkEnd w:id="318"/>
      <w:bookmarkStart w:id="319" w:name="_Toc184310327"/>
      <w:bookmarkEnd w:id="319"/>
      <w:bookmarkStart w:id="320" w:name="_Toc184310314"/>
      <w:bookmarkEnd w:id="320"/>
      <w:bookmarkStart w:id="321" w:name="_Toc184314470"/>
      <w:bookmarkEnd w:id="321"/>
      <w:bookmarkStart w:id="322" w:name="_Toc184314449"/>
      <w:bookmarkEnd w:id="322"/>
      <w:bookmarkStart w:id="323" w:name="_Toc184308075"/>
      <w:bookmarkEnd w:id="323"/>
      <w:bookmarkStart w:id="324" w:name="_Toc184310333"/>
      <w:bookmarkEnd w:id="324"/>
      <w:bookmarkStart w:id="325" w:name="_Toc184310288"/>
      <w:bookmarkEnd w:id="325"/>
      <w:bookmarkStart w:id="326" w:name="_Toc184310278"/>
      <w:bookmarkEnd w:id="326"/>
      <w:bookmarkStart w:id="327" w:name="_Toc184308074"/>
      <w:bookmarkEnd w:id="327"/>
      <w:bookmarkStart w:id="328" w:name="_Toc184310319"/>
      <w:bookmarkEnd w:id="328"/>
      <w:bookmarkStart w:id="329" w:name="_Toc184313274"/>
      <w:bookmarkEnd w:id="329"/>
      <w:bookmarkStart w:id="330" w:name="_Toc184310332"/>
      <w:bookmarkEnd w:id="330"/>
      <w:bookmarkStart w:id="331" w:name="_Toc184308079"/>
      <w:bookmarkEnd w:id="331"/>
      <w:bookmarkStart w:id="332" w:name="_Toc184308077"/>
      <w:bookmarkEnd w:id="332"/>
      <w:bookmarkStart w:id="333" w:name="_Toc184308037"/>
      <w:bookmarkEnd w:id="333"/>
      <w:bookmarkStart w:id="334" w:name="_Toc184313246"/>
      <w:bookmarkEnd w:id="334"/>
      <w:bookmarkStart w:id="335" w:name="_Toc184312089"/>
      <w:bookmarkEnd w:id="335"/>
      <w:bookmarkStart w:id="336" w:name="_Toc184308080"/>
      <w:bookmarkEnd w:id="336"/>
      <w:bookmarkStart w:id="337" w:name="_Toc184312127"/>
      <w:bookmarkEnd w:id="337"/>
      <w:bookmarkStart w:id="338" w:name="_Toc184313238"/>
      <w:bookmarkEnd w:id="338"/>
      <w:bookmarkStart w:id="339" w:name="_Toc184312074"/>
      <w:bookmarkEnd w:id="339"/>
      <w:bookmarkStart w:id="340" w:name="_Toc184314444"/>
      <w:bookmarkEnd w:id="340"/>
      <w:bookmarkStart w:id="341" w:name="_Toc184313245"/>
      <w:bookmarkEnd w:id="341"/>
      <w:bookmarkStart w:id="342" w:name="_Toc184312113"/>
      <w:bookmarkEnd w:id="342"/>
      <w:bookmarkStart w:id="343" w:name="_Toc184312078"/>
      <w:bookmarkEnd w:id="343"/>
      <w:bookmarkStart w:id="344" w:name="_Toc184314455"/>
      <w:bookmarkEnd w:id="344"/>
      <w:bookmarkStart w:id="345" w:name="_Toc184312117"/>
      <w:bookmarkEnd w:id="345"/>
      <w:bookmarkStart w:id="346" w:name="_Toc184308060"/>
      <w:bookmarkEnd w:id="346"/>
      <w:bookmarkStart w:id="347" w:name="_Toc184313249"/>
      <w:bookmarkEnd w:id="347"/>
      <w:bookmarkStart w:id="348" w:name="_Toc184314481"/>
      <w:bookmarkEnd w:id="348"/>
      <w:bookmarkStart w:id="349" w:name="_Toc184313302"/>
      <w:bookmarkEnd w:id="349"/>
      <w:bookmarkStart w:id="350" w:name="_Toc184310317"/>
      <w:bookmarkEnd w:id="350"/>
      <w:bookmarkStart w:id="351" w:name="_Toc184314425"/>
      <w:bookmarkEnd w:id="351"/>
      <w:bookmarkStart w:id="352" w:name="_Toc184312099"/>
      <w:bookmarkEnd w:id="352"/>
      <w:bookmarkStart w:id="353" w:name="_Toc184312086"/>
      <w:bookmarkEnd w:id="353"/>
      <w:bookmarkStart w:id="354" w:name="_Toc184308045"/>
      <w:bookmarkEnd w:id="354"/>
      <w:bookmarkStart w:id="355" w:name="_Toc184310293"/>
      <w:bookmarkEnd w:id="355"/>
      <w:bookmarkStart w:id="356" w:name="_Toc184313265"/>
      <w:bookmarkEnd w:id="356"/>
      <w:bookmarkStart w:id="357" w:name="_Toc184308091"/>
      <w:bookmarkEnd w:id="357"/>
      <w:bookmarkStart w:id="358" w:name="_Toc184308100"/>
      <w:bookmarkEnd w:id="358"/>
      <w:bookmarkStart w:id="359" w:name="_Toc184308063"/>
      <w:bookmarkEnd w:id="359"/>
      <w:bookmarkStart w:id="360" w:name="_Toc184308105"/>
      <w:bookmarkEnd w:id="360"/>
      <w:bookmarkStart w:id="361" w:name="_Toc184312123"/>
      <w:bookmarkEnd w:id="361"/>
      <w:bookmarkStart w:id="362" w:name="_Toc184312098"/>
      <w:bookmarkEnd w:id="362"/>
      <w:bookmarkStart w:id="363" w:name="_Toc184308081"/>
      <w:bookmarkEnd w:id="363"/>
      <w:bookmarkStart w:id="364" w:name="_Toc184314446"/>
      <w:bookmarkEnd w:id="364"/>
      <w:bookmarkStart w:id="365" w:name="_Toc184310292"/>
      <w:bookmarkEnd w:id="365"/>
      <w:bookmarkStart w:id="366" w:name="_Toc184312100"/>
      <w:bookmarkEnd w:id="366"/>
      <w:bookmarkStart w:id="367" w:name="_Toc184312085"/>
      <w:bookmarkEnd w:id="367"/>
      <w:bookmarkStart w:id="368" w:name="_Toc184313258"/>
      <w:bookmarkEnd w:id="368"/>
      <w:bookmarkStart w:id="369" w:name="_Toc184314447"/>
      <w:bookmarkEnd w:id="369"/>
      <w:bookmarkStart w:id="370" w:name="_Toc184310294"/>
      <w:bookmarkEnd w:id="370"/>
      <w:bookmarkStart w:id="371" w:name="_Toc184312105"/>
      <w:bookmarkEnd w:id="371"/>
      <w:bookmarkStart w:id="372" w:name="_Toc184310280"/>
      <w:bookmarkEnd w:id="372"/>
      <w:bookmarkStart w:id="373" w:name="_Toc184312136"/>
      <w:bookmarkEnd w:id="373"/>
      <w:bookmarkStart w:id="374" w:name="_Toc184312088"/>
      <w:bookmarkEnd w:id="374"/>
      <w:bookmarkStart w:id="375" w:name="_Toc184312092"/>
      <w:bookmarkEnd w:id="375"/>
      <w:bookmarkStart w:id="376" w:name="_Toc184308044"/>
      <w:bookmarkEnd w:id="376"/>
      <w:bookmarkStart w:id="377" w:name="_Toc184313256"/>
      <w:bookmarkEnd w:id="377"/>
      <w:bookmarkStart w:id="378" w:name="_Toc184312101"/>
      <w:bookmarkEnd w:id="378"/>
      <w:bookmarkStart w:id="379" w:name="_Toc184308043"/>
      <w:bookmarkEnd w:id="379"/>
      <w:bookmarkStart w:id="380" w:name="_Toc184314474"/>
      <w:bookmarkEnd w:id="380"/>
      <w:bookmarkStart w:id="381" w:name="_Toc184312111"/>
      <w:bookmarkEnd w:id="381"/>
      <w:bookmarkStart w:id="382" w:name="_Toc184308098"/>
      <w:bookmarkEnd w:id="382"/>
      <w:bookmarkStart w:id="383" w:name="_Toc184310318"/>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widowControl/>
        <w:snapToGrid w:val="0"/>
        <w:spacing w:line="460" w:lineRule="exact"/>
        <w:ind w:firstLine="480" w:firstLineChars="200"/>
      </w:pPr>
      <w:r>
        <w:rPr>
          <w:rFonts w:hint="eastAsia" w:cs="仿宋" w:asciiTheme="minorEastAsia" w:hAnsiTheme="minorEastAsia"/>
          <w:color w:val="auto"/>
          <w:sz w:val="24"/>
          <w:lang w:val="en-US"/>
        </w:rPr>
        <w:t>1.2.若出现相同总金额最低报价情况时，则由评审小组按少数服从多数的原则通过投票表决决定。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2"/>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ind w:firstLine="960" w:firstLineChars="400"/>
        <w:rPr>
          <w:rFonts w:hint="eastAsia" w:ascii="宋体" w:hAnsi="宋体" w:cs="宋体"/>
          <w:sz w:val="24"/>
          <w:u w:val="single"/>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2024年临江公司雾化器单轨吊加固及斗提机</w:t>
      </w:r>
    </w:p>
    <w:p>
      <w:pPr>
        <w:ind w:firstLine="960" w:firstLineChars="400"/>
        <w:rPr>
          <w:rFonts w:hint="eastAsia" w:ascii="宋体" w:hAnsi="宋体" w:cs="宋体"/>
          <w:sz w:val="24"/>
          <w:u w:val="single"/>
          <w:lang w:eastAsia="zh-CN"/>
        </w:rPr>
      </w:pPr>
    </w:p>
    <w:p>
      <w:pPr>
        <w:ind w:firstLine="2160" w:firstLineChars="900"/>
        <w:rPr>
          <w:rFonts w:hint="eastAsia" w:ascii="宋体" w:hAnsi="宋体" w:cs="宋体" w:eastAsiaTheme="minorEastAsia"/>
          <w:sz w:val="24"/>
          <w:lang w:eastAsia="zh-CN"/>
        </w:rPr>
      </w:pPr>
      <w:r>
        <w:rPr>
          <w:rFonts w:hint="eastAsia" w:ascii="宋体" w:hAnsi="宋体" w:cs="宋体"/>
          <w:sz w:val="24"/>
          <w:u w:val="single"/>
          <w:lang w:eastAsia="zh-CN"/>
        </w:rPr>
        <w:t>平台改造备件采购项目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3"/>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w:t>
      </w:r>
      <w:r>
        <w:rPr>
          <w:rFonts w:hint="eastAsia"/>
          <w:lang w:val="en-US" w:eastAsia="zh-CN"/>
        </w:rPr>
        <w:t>三</w:t>
      </w:r>
      <w:r>
        <w:rPr>
          <w:rFonts w:hint="eastAsia"/>
        </w:rPr>
        <w:t xml:space="preserve">章 </w:t>
      </w:r>
      <w:r>
        <w:rPr>
          <w:rFonts w:hint="eastAsia"/>
          <w:lang w:val="en-US" w:eastAsia="zh-CN"/>
        </w:rPr>
        <w:t>安全</w:t>
      </w:r>
      <w:r>
        <w:rPr>
          <w:rFonts w:hint="eastAsia"/>
        </w:rPr>
        <w:t>协议……………………………………………………………（页码）</w:t>
      </w:r>
    </w:p>
    <w:p>
      <w:pPr>
        <w:pStyle w:val="9"/>
        <w:spacing w:line="360" w:lineRule="auto"/>
        <w:ind w:firstLine="240" w:firstLineChars="100"/>
      </w:pPr>
      <w:r>
        <w:rPr>
          <w:rFonts w:hint="eastAsia"/>
        </w:rPr>
        <w:t>第</w:t>
      </w:r>
      <w:r>
        <w:rPr>
          <w:rFonts w:hint="eastAsia"/>
          <w:lang w:val="en-US" w:eastAsia="zh-CN"/>
        </w:rPr>
        <w:t>四</w:t>
      </w:r>
      <w:r>
        <w:rPr>
          <w:rFonts w:hint="eastAsia"/>
        </w:rPr>
        <w:t xml:space="preserve">章 </w:t>
      </w:r>
      <w:r>
        <w:rPr>
          <w:rFonts w:hint="eastAsia"/>
          <w:lang w:val="en-US" w:eastAsia="zh-CN"/>
        </w:rPr>
        <w:t>廉洁</w:t>
      </w:r>
      <w:r>
        <w:rPr>
          <w:rFonts w:hint="eastAsia"/>
        </w:rPr>
        <w:t>协议……………………………………………………………（页码）</w:t>
      </w:r>
    </w:p>
    <w:p>
      <w:pPr>
        <w:pStyle w:val="9"/>
        <w:spacing w:line="360" w:lineRule="auto"/>
        <w:ind w:firstLine="240" w:firstLineChars="100"/>
        <w:rPr>
          <w:rFonts w:hint="eastAsia"/>
        </w:rPr>
      </w:pPr>
    </w:p>
    <w:p>
      <w:pPr>
        <w:pStyle w:val="9"/>
        <w:spacing w:line="360" w:lineRule="auto"/>
        <w:ind w:firstLine="240" w:firstLineChars="100"/>
        <w:rPr>
          <w:rFonts w:hint="eastAsia"/>
        </w:rPr>
      </w:pPr>
    </w:p>
    <w:p>
      <w:pPr>
        <w:pStyle w:val="23"/>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jc w:val="both"/>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2024年临江公司雾化器单轨吊加固及斗提机平台改造备件采购项目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4300"/>
      <w:bookmarkStart w:id="388" w:name="_Toc21295"/>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5"/>
        <w:tblW w:w="97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3"/>
        <w:gridCol w:w="1397"/>
        <w:gridCol w:w="550"/>
        <w:gridCol w:w="1884"/>
        <w:gridCol w:w="716"/>
        <w:gridCol w:w="834"/>
        <w:gridCol w:w="966"/>
        <w:gridCol w:w="966"/>
        <w:gridCol w:w="1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序号</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物资名称</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品牌</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型号规格</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单位</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数量</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单价（元）</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总计（元）</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工字钢</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160*88*6mm</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snapToGrid w:val="0"/>
                <w:szCs w:val="21"/>
                <w:highlight w:val="none"/>
                <w:lang w:val="en-US" w:eastAsia="zh-CN"/>
              </w:rPr>
            </w:pPr>
            <w:r>
              <w:rPr>
                <w:rFonts w:hint="eastAsia" w:ascii="宋体" w:hAnsi="宋体" w:eastAsia="宋体" w:cs="宋体"/>
                <w:snapToGrid w:val="0"/>
                <w:szCs w:val="21"/>
                <w:highlight w:val="none"/>
                <w:lang w:val="en-US" w:eastAsia="zh-CN"/>
              </w:rPr>
              <w:t>250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900" w:type="dxa"/>
            <w:vMerge w:val="restart"/>
            <w:tcBorders>
              <w:top w:val="single" w:color="000000" w:sz="4" w:space="0"/>
              <w:left w:val="single" w:color="000000" w:sz="4" w:space="0"/>
              <w:right w:val="single" w:color="000000" w:sz="4" w:space="0"/>
            </w:tcBorders>
            <w:shd w:val="clear" w:color="auto" w:fill="auto"/>
            <w:noWrap/>
            <w:vAlign w:val="center"/>
          </w:tcPr>
          <w:p>
            <w:pPr>
              <w:tabs>
                <w:tab w:val="left" w:pos="542"/>
              </w:tabs>
              <w:jc w:val="left"/>
              <w:rPr>
                <w:rFonts w:hint="eastAsia" w:ascii="宋体" w:hAnsi="宋体" w:eastAsia="宋体" w:cs="宋体"/>
                <w:snapToGrid w:val="0"/>
                <w:szCs w:val="21"/>
                <w:lang w:val="en-US" w:eastAsia="zh-CN"/>
              </w:rPr>
            </w:pPr>
            <w:r>
              <w:rPr>
                <w:rFonts w:hint="eastAsia" w:ascii="宋体" w:hAnsi="宋体" w:eastAsia="宋体" w:cs="宋体"/>
                <w:b/>
                <w:bCs/>
                <w:snapToGrid w:val="0"/>
                <w:szCs w:val="21"/>
                <w:lang w:val="en-US" w:eastAsia="zh-CN"/>
              </w:rPr>
              <w:t>材料报价包含改造安装过程中所有的人工、工具、辅材、脚手架及其他安全措施费（包括环链电动葫芦安装及照明灯具安装）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槽钢</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snapToGrid w:val="0"/>
                <w:szCs w:val="21"/>
                <w:highlight w:val="none"/>
                <w:lang w:val="en-US" w:eastAsia="zh-CN"/>
              </w:rPr>
            </w:pPr>
            <w:r>
              <w:rPr>
                <w:rFonts w:hint="eastAsia" w:ascii="宋体" w:hAnsi="宋体" w:eastAsia="宋体" w:cs="宋体"/>
                <w:snapToGrid w:val="0"/>
                <w:szCs w:val="21"/>
                <w:highlight w:val="none"/>
                <w:lang w:val="en-US" w:eastAsia="zh-CN"/>
              </w:rPr>
              <w:t>245</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9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工字钢(25#B)</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250*116*10mm</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25</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9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钢板</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9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钢板</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9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方刚</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40*60mm</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9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7</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钢管</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￠32</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9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H型钢(30#B)</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300*128*11mm</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9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H型钢(20#A)</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200*100*7mm</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9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花纹钢板</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δ4（扁豆型）</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14</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90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5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合计</w:t>
            </w:r>
          </w:p>
        </w:tc>
        <w:tc>
          <w:tcPr>
            <w:tcW w:w="466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bl>
    <w:p>
      <w:pPr>
        <w:spacing w:line="360" w:lineRule="auto"/>
        <w:ind w:firstLine="480" w:firstLineChars="200"/>
        <w:rPr>
          <w:rFonts w:hint="eastAsia" w:ascii="宋体" w:hAnsi="宋体" w:cs="宋体"/>
          <w:sz w:val="24"/>
          <w:lang w:val="en-US" w:eastAsia="zh-CN"/>
        </w:rPr>
      </w:pP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按货物实际使用数量结算。</w:t>
      </w:r>
    </w:p>
    <w:p>
      <w:pPr>
        <w:pStyle w:val="24"/>
        <w:spacing w:before="0" w:beforeAutospacing="0" w:after="0" w:afterAutospacing="0" w:line="360" w:lineRule="auto"/>
        <w:ind w:firstLine="480"/>
        <w:rPr>
          <w:b/>
        </w:rPr>
      </w:pPr>
      <w:bookmarkStart w:id="390" w:name="_Toc1814"/>
      <w:bookmarkStart w:id="391" w:name="_Toc10340"/>
      <w:bookmarkStart w:id="392" w:name="_Toc22618"/>
      <w:r>
        <w:rPr>
          <w:rFonts w:hint="eastAsia"/>
          <w:b/>
        </w:rPr>
        <w:t>三、合同期限、货物交付期限、地点和联系方式、交付方式</w:t>
      </w:r>
    </w:p>
    <w:p>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1.合同期限：</w:t>
      </w:r>
      <w:r>
        <w:rPr>
          <w:rFonts w:hint="eastAsia" w:ascii="宋体" w:hAnsi="宋体" w:cs="宋体"/>
          <w:sz w:val="24"/>
          <w:highlight w:val="none"/>
          <w:u w:val="single"/>
          <w:lang w:val="en-US" w:eastAsia="zh-CN"/>
        </w:rPr>
        <w:t>自合同签订后至验收合格后自动终止；</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自合同签订后6个月完成供货及安装</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6"/>
        <w:ind w:firstLine="480" w:firstLineChars="200"/>
        <w:rPr>
          <w:rFonts w:hint="eastAsia" w:ascii="宋体"/>
          <w:color w:val="auto"/>
          <w:highlight w:val="none"/>
          <w:lang w:val="en-US" w:eastAsia="zh-CN"/>
        </w:rPr>
      </w:pPr>
      <w:bookmarkStart w:id="393" w:name="_Toc1125"/>
      <w:bookmarkStart w:id="394" w:name="_Toc14563"/>
      <w:bookmarkStart w:id="395" w:name="_Toc6596"/>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2.乙方所供</w:t>
      </w:r>
      <w:r>
        <w:rPr>
          <w:rFonts w:hint="eastAsia"/>
          <w:color w:val="auto"/>
          <w:highlight w:val="none"/>
          <w:lang w:val="en-US" w:eastAsia="zh-CN"/>
        </w:rPr>
        <w:t>材料</w:t>
      </w:r>
      <w:r>
        <w:rPr>
          <w:rFonts w:hint="eastAsia" w:ascii="宋体"/>
          <w:color w:val="auto"/>
          <w:highlight w:val="none"/>
          <w:lang w:val="en-US" w:eastAsia="zh-CN"/>
        </w:rPr>
        <w:t>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pPr>
        <w:pStyle w:val="6"/>
        <w:numPr>
          <w:ilvl w:val="0"/>
          <w:numId w:val="0"/>
        </w:numPr>
        <w:ind w:firstLine="480" w:firstLineChars="200"/>
        <w:rPr>
          <w:rFonts w:hint="eastAsia"/>
          <w:highlight w:val="none"/>
          <w:lang w:val="en-US" w:eastAsia="zh-CN"/>
        </w:rPr>
      </w:pPr>
      <w:r>
        <w:rPr>
          <w:highlight w:val="none"/>
          <w:lang w:val="en-US"/>
        </w:rPr>
        <w:t>3</w:t>
      </w:r>
      <w:r>
        <w:rPr>
          <w:rFonts w:hint="eastAsia"/>
          <w:highlight w:val="none"/>
          <w:lang w:val="en-US"/>
        </w:rPr>
        <w:t>.</w:t>
      </w:r>
      <w:r>
        <w:rPr>
          <w:rFonts w:hint="eastAsia"/>
          <w:highlight w:val="none"/>
          <w:lang w:val="en-US" w:eastAsia="zh-CN"/>
        </w:rPr>
        <w:t>成品质保期限自验收合格后12个月，若质保期内出现质量问题（非质量问题除外），由乙方负责免费维修，产生的费用全部由乙方承担。</w:t>
      </w:r>
    </w:p>
    <w:p>
      <w:pPr>
        <w:pStyle w:val="7"/>
        <w:rPr>
          <w:rFonts w:hint="default"/>
          <w:lang w:val="en-US" w:eastAsia="zh-CN"/>
        </w:rPr>
      </w:pPr>
      <w:r>
        <w:rPr>
          <w:rFonts w:hint="eastAsia"/>
          <w:highlight w:val="none"/>
          <w:lang w:val="en-US" w:eastAsia="zh-CN"/>
        </w:rPr>
        <w:t>4.乙方负责对钢管、焊缝、支架等成品要做油漆防腐处理。</w:t>
      </w:r>
    </w:p>
    <w:p>
      <w:pPr>
        <w:pStyle w:val="7"/>
        <w:rPr>
          <w:rFonts w:hint="eastAsia"/>
          <w:lang w:val="en-US" w:eastAsia="zh-CN"/>
        </w:rPr>
      </w:pP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rFonts w:hint="eastAsia"/>
          <w:lang w:val="en-US"/>
        </w:rPr>
      </w:pPr>
      <w:r>
        <w:rPr>
          <w:rFonts w:hint="eastAsia"/>
          <w:lang w:val="en-US"/>
        </w:rPr>
        <w:t>1.</w:t>
      </w:r>
      <w:r>
        <w:rPr>
          <w:rFonts w:hint="eastAsia"/>
          <w:lang w:val="en-US" w:eastAsia="zh-CN"/>
        </w:rPr>
        <w:t>乙方的作业人员必须具备相应的资质要求（焊工证、登高证等）；</w:t>
      </w:r>
    </w:p>
    <w:p>
      <w:pPr>
        <w:pStyle w:val="6"/>
        <w:ind w:firstLine="480" w:firstLineChars="200"/>
        <w:rPr>
          <w:lang w:val="en-US"/>
        </w:rPr>
      </w:pPr>
      <w:r>
        <w:rPr>
          <w:rFonts w:hint="eastAsia"/>
          <w:lang w:val="en-US" w:eastAsia="zh-CN"/>
        </w:rPr>
        <w:t>2.</w:t>
      </w:r>
      <w:r>
        <w:rPr>
          <w:rFonts w:hint="eastAsia"/>
          <w:lang w:val="en-US"/>
        </w:rPr>
        <w:t>根据采购人生产计划，确定</w:t>
      </w:r>
      <w:r>
        <w:rPr>
          <w:rFonts w:hint="eastAsia"/>
          <w:lang w:val="en-US" w:eastAsia="zh-CN"/>
        </w:rPr>
        <w:t>供货及安装要求</w:t>
      </w:r>
      <w:r>
        <w:rPr>
          <w:rFonts w:hint="eastAsia"/>
          <w:lang w:val="en-US"/>
        </w:rPr>
        <w:t>，</w:t>
      </w:r>
      <w:r>
        <w:rPr>
          <w:rFonts w:hint="eastAsia"/>
          <w:lang w:val="en-US" w:eastAsia="zh-CN"/>
        </w:rPr>
        <w:t>供应商</w:t>
      </w:r>
      <w:r>
        <w:rPr>
          <w:rFonts w:hint="eastAsia"/>
          <w:lang w:val="en-US"/>
        </w:rPr>
        <w:t>负责在接到采购人电话或书面通知后在</w:t>
      </w:r>
      <w:r>
        <w:rPr>
          <w:rFonts w:hint="eastAsia"/>
          <w:highlight w:val="none"/>
          <w:lang w:val="en-US" w:eastAsia="zh-CN"/>
        </w:rPr>
        <w:t>6</w:t>
      </w:r>
      <w:r>
        <w:rPr>
          <w:rFonts w:hint="eastAsia"/>
          <w:highlight w:val="none"/>
          <w:lang w:val="en-US"/>
        </w:rPr>
        <w:t>个</w:t>
      </w:r>
      <w:r>
        <w:rPr>
          <w:rFonts w:hint="eastAsia"/>
          <w:highlight w:val="none"/>
          <w:lang w:val="en-US" w:eastAsia="zh-CN"/>
        </w:rPr>
        <w:t>月内</w:t>
      </w:r>
      <w:r>
        <w:rPr>
          <w:rFonts w:hint="eastAsia"/>
          <w:lang w:val="en-US" w:eastAsia="zh-CN"/>
        </w:rPr>
        <w:t>依次完成</w:t>
      </w:r>
      <w:r>
        <w:rPr>
          <w:rFonts w:hint="eastAsia"/>
          <w:lang w:val="en-US"/>
        </w:rPr>
        <w:t>供货</w:t>
      </w:r>
      <w:r>
        <w:rPr>
          <w:rFonts w:hint="eastAsia"/>
          <w:lang w:val="en-US" w:eastAsia="zh-CN"/>
        </w:rPr>
        <w:t>安装</w:t>
      </w:r>
      <w:r>
        <w:rPr>
          <w:rFonts w:hint="eastAsia"/>
          <w:lang w:val="en-US"/>
        </w:rPr>
        <w:t>。</w:t>
      </w:r>
    </w:p>
    <w:p>
      <w:pPr>
        <w:pStyle w:val="6"/>
        <w:ind w:firstLine="480" w:firstLineChars="200"/>
        <w:rPr>
          <w:lang w:val="en-US"/>
        </w:rPr>
      </w:pPr>
      <w:r>
        <w:rPr>
          <w:rFonts w:hint="eastAsia"/>
          <w:lang w:val="en-US" w:eastAsia="zh-CN"/>
        </w:rPr>
        <w:t>3</w:t>
      </w:r>
      <w:r>
        <w:rPr>
          <w:rFonts w:hint="eastAsia"/>
          <w:lang w:val="en-US"/>
        </w:rPr>
        <w:t>.乙方必须满足甲方售后服务要求。如使用过程发生问题，乙方须在接到甲方通知后必须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6"/>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6"/>
        <w:ind w:firstLine="482" w:firstLineChars="200"/>
        <w:rPr>
          <w:rFonts w:hint="eastAsia" w:hAnsi="宋体"/>
          <w:b/>
          <w:lang w:val="en-US"/>
        </w:rPr>
      </w:pPr>
      <w:r>
        <w:rPr>
          <w:rFonts w:hint="eastAsia" w:hAnsi="宋体" w:eastAsia="宋体"/>
          <w:b/>
          <w:lang w:val="en-US"/>
        </w:rPr>
        <w:t>七、</w:t>
      </w:r>
      <w:r>
        <w:rPr>
          <w:rFonts w:hint="eastAsia" w:hAnsi="宋体"/>
          <w:b/>
          <w:lang w:val="en-US"/>
        </w:rPr>
        <w:t>验收特别约定条款</w:t>
      </w:r>
    </w:p>
    <w:p>
      <w:pPr>
        <w:pStyle w:val="7"/>
        <w:rPr>
          <w:rFonts w:hint="default" w:eastAsiaTheme="minorEastAsia"/>
          <w:u w:val="single"/>
          <w:lang w:val="en-US" w:eastAsia="zh-CN"/>
        </w:rPr>
      </w:pPr>
      <w:r>
        <w:rPr>
          <w:rFonts w:hint="eastAsia"/>
          <w:u w:val="single"/>
          <w:lang w:val="en-US" w:eastAsia="zh-CN"/>
        </w:rPr>
        <w:t xml:space="preserve"> 按方案图纸要求验收，甲乙双方现场签字验收单为验收合格依据 。</w:t>
      </w:r>
    </w:p>
    <w:p>
      <w:pPr>
        <w:pStyle w:val="6"/>
        <w:ind w:firstLine="482" w:firstLineChars="200"/>
        <w:rPr>
          <w:rFonts w:eastAsia="宋体"/>
          <w:b/>
        </w:rPr>
      </w:pPr>
      <w:r>
        <w:rPr>
          <w:rFonts w:hint="eastAsia" w:hAnsi="宋体"/>
          <w:b/>
          <w:lang w:val="en-US"/>
        </w:rPr>
        <w:t>八、</w:t>
      </w:r>
      <w:r>
        <w:rPr>
          <w:rFonts w:hint="eastAsia"/>
          <w:b/>
        </w:rPr>
        <w:t>履约保证金</w:t>
      </w:r>
    </w:p>
    <w:bookmarkEnd w:id="390"/>
    <w:bookmarkEnd w:id="391"/>
    <w:bookmarkEnd w:id="392"/>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.甲方在验收结束后</w:t>
      </w:r>
      <w:r>
        <w:rPr>
          <w:rFonts w:hint="eastAsia" w:ascii="宋体" w:hAnsi="宋体" w:cs="宋体"/>
          <w:kern w:val="0"/>
          <w:sz w:val="24"/>
          <w:highlight w:val="none"/>
          <w:lang w:val="en-US" w:eastAsia="zh-CN"/>
        </w:rPr>
        <w:t>双方无遗留问题</w:t>
      </w:r>
      <w:r>
        <w:rPr>
          <w:rFonts w:hint="eastAsia" w:ascii="宋体" w:hAnsi="宋体" w:cs="宋体"/>
          <w:kern w:val="0"/>
          <w:sz w:val="24"/>
        </w:rPr>
        <w:t xml:space="preserve">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pPr>
        <w:spacing w:line="360" w:lineRule="auto"/>
        <w:ind w:firstLine="480" w:firstLineChars="200"/>
        <w:outlineLvl w:val="0"/>
        <w:rPr>
          <w:rFonts w:hint="eastAsia" w:ascii="宋体" w:hAnsi="宋体" w:cs="宋体"/>
          <w:kern w:val="0"/>
          <w:sz w:val="24"/>
        </w:rPr>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lang w:val="en-US" w:eastAsia="zh-CN"/>
        </w:rPr>
        <w:t>7.</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自验收合格后12个月</w:t>
      </w:r>
      <w:r>
        <w:rPr>
          <w:rFonts w:hint="eastAsia" w:ascii="宋体" w:hAnsi="宋体" w:cs="宋体"/>
          <w:kern w:val="0"/>
          <w:sz w:val="24"/>
          <w:u w:val="single"/>
        </w:rPr>
        <w:t xml:space="preserve">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cs="宋体"/>
          <w:kern w:val="0"/>
          <w:sz w:val="24"/>
          <w:szCs w:val="24"/>
          <w:u w:val="single"/>
          <w:lang w:val="en-US" w:eastAsia="zh-CN" w:bidi="ar-SA"/>
        </w:rPr>
        <w:t>5</w:t>
      </w:r>
      <w:r>
        <w:rPr>
          <w:rFonts w:hint="eastAsia" w:ascii="宋体" w:hAnsi="宋体" w:cs="宋体" w:eastAsiaTheme="minorEastAsia"/>
          <w:kern w:val="0"/>
          <w:sz w:val="24"/>
          <w:szCs w:val="24"/>
          <w:u w:val="single"/>
          <w:lang w:val="en-US" w:eastAsia="zh-CN" w:bidi="ar-SA"/>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w:t>
      </w:r>
      <w:r>
        <w:rPr>
          <w:rFonts w:hint="eastAsia"/>
          <w:u w:val="single"/>
          <w:lang w:val="en-US" w:eastAsia="zh-CN"/>
        </w:rPr>
        <w:t>4</w:t>
      </w:r>
      <w:r>
        <w:rPr>
          <w:rFonts w:hint="eastAsia"/>
          <w:u w:val="single"/>
          <w:lang w:eastAsia="zh-CN"/>
        </w:rPr>
        <w:t>）</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27250"/>
      <w:bookmarkStart w:id="400" w:name="_Toc21423"/>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w:t>
      </w:r>
      <w:r>
        <w:rPr>
          <w:rFonts w:hint="eastAsia"/>
          <w:u w:val="single"/>
          <w:lang w:val="en-US" w:eastAsia="zh-CN"/>
        </w:rPr>
        <w:t>全部</w:t>
      </w:r>
      <w:r>
        <w:rPr>
          <w:rFonts w:hint="eastAsia"/>
          <w:u w:val="single"/>
        </w:rPr>
        <w:t xml:space="preserve">货款。  </w:t>
      </w:r>
    </w:p>
    <w:p>
      <w:pPr>
        <w:pStyle w:val="24"/>
        <w:spacing w:before="0" w:beforeAutospacing="0" w:after="0" w:afterAutospacing="0" w:line="360" w:lineRule="auto"/>
        <w:ind w:firstLine="480"/>
        <w:rPr>
          <w:rFonts w:hint="eastAsia"/>
        </w:rPr>
      </w:pPr>
      <w:r>
        <w:rPr>
          <w:rFonts w:hint="eastAsia"/>
          <w:u w:val="single"/>
        </w:rPr>
        <w:t>（4）其他付款方式：经甲方验收合格后，甲方收到乙方提供的增值税专用发票后，甲方在本合同约定时间内完成支付</w:t>
      </w:r>
      <w:r>
        <w:rPr>
          <w:rFonts w:hint="eastAsia"/>
          <w:u w:val="single"/>
          <w:lang w:val="en-US" w:eastAsia="zh-CN"/>
        </w:rPr>
        <w:t>95%</w:t>
      </w:r>
      <w:r>
        <w:rPr>
          <w:rFonts w:hint="eastAsia"/>
          <w:u w:val="single"/>
        </w:rPr>
        <w:t xml:space="preserve">货款 </w:t>
      </w:r>
      <w:r>
        <w:rPr>
          <w:rFonts w:hint="eastAsia"/>
          <w:u w:val="single"/>
          <w:lang w:eastAsia="zh-CN"/>
        </w:rPr>
        <w:t>，</w:t>
      </w:r>
      <w:r>
        <w:rPr>
          <w:rFonts w:hint="eastAsia"/>
          <w:u w:val="single"/>
        </w:rPr>
        <w:t>质保期内无任何质量问题，双方无任何遗留问题 ，质保期结束后30天内甲方无息支付</w:t>
      </w:r>
      <w:r>
        <w:rPr>
          <w:rFonts w:hint="eastAsia"/>
          <w:u w:val="single"/>
          <w:lang w:val="en-US" w:eastAsia="zh-CN"/>
        </w:rPr>
        <w:t>5%货款。</w:t>
      </w:r>
      <w:r>
        <w:rPr>
          <w:rFonts w:hint="eastAsia"/>
          <w:u w:val="single"/>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sz w:val="24"/>
          <w:highlight w:val="none"/>
        </w:rPr>
      </w:pPr>
      <w:bookmarkStart w:id="402" w:name="_Toc15583"/>
      <w:bookmarkStart w:id="403" w:name="_Toc16021"/>
      <w:bookmarkStart w:id="404" w:name="_Toc28375"/>
      <w:r>
        <w:rPr>
          <w:rFonts w:hint="eastAsia" w:ascii="宋体" w:hAnsi="宋体" w:cs="宋体"/>
          <w:sz w:val="24"/>
          <w:highlight w:val="none"/>
        </w:rPr>
        <w:t>1.对于验收不合格的货物，双方按照以下方式处理：</w:t>
      </w: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甲方尚未使用的，乙方应当</w:t>
      </w:r>
      <w:r>
        <w:rPr>
          <w:rFonts w:hint="eastAsia" w:ascii="宋体" w:hAnsi="宋体" w:cs="宋体"/>
          <w:sz w:val="24"/>
          <w:highlight w:val="none"/>
          <w:u w:val="single"/>
          <w:lang w:val="en-US" w:eastAsia="zh-CN"/>
        </w:rPr>
        <w:t>在5个工作日</w:t>
      </w:r>
      <w:r>
        <w:rPr>
          <w:rFonts w:hint="eastAsia" w:ascii="宋体" w:hAnsi="宋体" w:cs="宋体"/>
          <w:sz w:val="24"/>
          <w:highlight w:val="none"/>
        </w:rPr>
        <w:t>自费运回，</w:t>
      </w:r>
      <w:r>
        <w:rPr>
          <w:rFonts w:hint="eastAsia" w:ascii="宋体" w:hAnsi="宋体" w:cs="宋体"/>
          <w:sz w:val="24"/>
          <w:highlight w:val="none"/>
          <w:lang w:val="en-US" w:eastAsia="zh-CN"/>
        </w:rPr>
        <w:t>否则</w:t>
      </w:r>
      <w:r>
        <w:rPr>
          <w:rFonts w:hint="eastAsia" w:ascii="宋体" w:hAnsi="宋体" w:cs="宋体"/>
          <w:sz w:val="24"/>
          <w:highlight w:val="none"/>
        </w:rPr>
        <w:t>视为遗弃</w:t>
      </w:r>
      <w:r>
        <w:rPr>
          <w:rFonts w:hint="eastAsia" w:ascii="宋体" w:hAnsi="宋体" w:cs="宋体"/>
          <w:sz w:val="24"/>
          <w:highlight w:val="none"/>
          <w:lang w:eastAsia="zh-CN"/>
        </w:rPr>
        <w:t>；</w:t>
      </w:r>
      <w:r>
        <w:rPr>
          <w:rFonts w:hint="eastAsia" w:ascii="宋体" w:hAnsi="宋体" w:cs="宋体"/>
          <w:sz w:val="24"/>
          <w:highlight w:val="none"/>
          <w:lang w:val="en-US" w:eastAsia="zh-CN"/>
        </w:rPr>
        <w:t>若乙方超过5个工作日未取回，甲方有权在履约保证金或者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按200元/天收取仓储费</w:t>
      </w:r>
      <w:r>
        <w:rPr>
          <w:rFonts w:hint="eastAsia" w:ascii="宋体" w:hAnsi="宋体" w:cs="宋体"/>
          <w:sz w:val="24"/>
          <w:highlight w:val="none"/>
        </w:rPr>
        <w:t>。另</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sz w:val="24"/>
          <w:highlight w:val="none"/>
          <w:lang w:val="en-US" w:eastAsia="zh-CN"/>
        </w:rPr>
        <w:t>在乙方更换后的货物验收合格前，相应货款暂不予支付。</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lang w:eastAsia="zh-CN"/>
        </w:rPr>
        <w:t>）</w:t>
      </w:r>
      <w:r>
        <w:rPr>
          <w:rFonts w:hint="eastAsia" w:ascii="宋体" w:hAnsi="宋体" w:cs="宋体"/>
          <w:sz w:val="24"/>
          <w:highlight w:val="none"/>
        </w:rPr>
        <w:t>甲方已经使用的，</w:t>
      </w:r>
      <w:r>
        <w:rPr>
          <w:rFonts w:hint="eastAsia" w:ascii="宋体" w:hAnsi="宋体" w:cs="宋体"/>
          <w:sz w:val="24"/>
          <w:highlight w:val="none"/>
          <w:lang w:val="en-US" w:eastAsia="zh-CN"/>
        </w:rPr>
        <w:t>若第三方</w:t>
      </w:r>
      <w:r>
        <w:rPr>
          <w:rFonts w:hint="eastAsia" w:ascii="宋体" w:hAnsi="宋体" w:cs="宋体"/>
          <w:sz w:val="24"/>
          <w:highlight w:val="none"/>
        </w:rPr>
        <w:t>检测出交付产品中</w:t>
      </w:r>
      <w:r>
        <w:rPr>
          <w:rFonts w:hint="eastAsia" w:ascii="宋体" w:hAnsi="宋体" w:cs="宋体"/>
          <w:sz w:val="24"/>
          <w:highlight w:val="none"/>
          <w:lang w:val="en-US" w:eastAsia="zh-CN"/>
        </w:rPr>
        <w:t>不符合本合同规定的参数要求</w:t>
      </w:r>
      <w:r>
        <w:rPr>
          <w:rFonts w:hint="eastAsia" w:ascii="宋体" w:hAnsi="宋体" w:cs="宋体"/>
          <w:sz w:val="24"/>
          <w:highlight w:val="none"/>
        </w:rPr>
        <w:t>（以具备相应资质的第三方认定为准）</w:t>
      </w:r>
      <w:r>
        <w:rPr>
          <w:rFonts w:hint="eastAsia" w:ascii="宋体" w:hAnsi="宋体" w:cs="宋体"/>
          <w:sz w:val="24"/>
          <w:highlight w:val="none"/>
          <w:lang w:val="en-US" w:eastAsia="zh-CN"/>
        </w:rPr>
        <w:t>的</w:t>
      </w:r>
      <w:r>
        <w:rPr>
          <w:rFonts w:hint="eastAsia" w:ascii="宋体" w:hAnsi="宋体" w:cs="宋体"/>
          <w:sz w:val="24"/>
          <w:highlight w:val="none"/>
        </w:rPr>
        <w:t>，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lang w:val="en-US" w:eastAsia="zh-CN"/>
        </w:rPr>
        <w:t xml:space="preserve">为免争议，乙方确认其已明确知晓本合同下货物系用于 </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.除不可抗力外，如果甲方</w:t>
      </w:r>
      <w:r>
        <w:rPr>
          <w:rFonts w:hint="eastAsia" w:ascii="宋体" w:hAnsi="宋体" w:cs="宋体"/>
          <w:sz w:val="24"/>
          <w:highlight w:val="none"/>
          <w:lang w:val="en-US" w:eastAsia="zh-CN"/>
        </w:rPr>
        <w:t>无故</w:t>
      </w:r>
      <w:r>
        <w:rPr>
          <w:rFonts w:hint="eastAsia" w:ascii="宋体" w:hAnsi="宋体" w:cs="宋体"/>
          <w:sz w:val="24"/>
          <w:highlight w:val="none"/>
        </w:rPr>
        <w:t>没有按照本合同约定的付款方式付款，那么乙方可要求甲方支付违约金，违约金按每迟延付款一日的应付而未付款的</w:t>
      </w:r>
      <w:r>
        <w:rPr>
          <w:rFonts w:hint="eastAsia" w:ascii="宋体" w:hAnsi="宋体" w:cs="宋体"/>
          <w:b/>
          <w:bCs/>
          <w:sz w:val="24"/>
          <w:highlight w:val="none"/>
          <w:u w:val="single"/>
        </w:rPr>
        <w:t xml:space="preserve"> 0.05</w:t>
      </w:r>
      <w:r>
        <w:rPr>
          <w:rFonts w:hint="eastAsia" w:ascii="宋体" w:hAnsi="宋体" w:cs="宋体"/>
          <w:sz w:val="24"/>
          <w:highlight w:val="none"/>
          <w:u w:val="single"/>
        </w:rPr>
        <w:t xml:space="preserve">  </w:t>
      </w:r>
      <w:r>
        <w:rPr>
          <w:rFonts w:hint="eastAsia" w:ascii="宋体" w:hAnsi="宋体" w:cs="宋体"/>
          <w:sz w:val="24"/>
          <w:highlight w:val="none"/>
        </w:rPr>
        <w:t xml:space="preserve">%计算，迟延付款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30 </w:t>
      </w:r>
      <w:r>
        <w:rPr>
          <w:rFonts w:hint="eastAsia" w:ascii="宋体" w:hAnsi="宋体" w:cs="宋体"/>
          <w:sz w:val="24"/>
          <w:highlight w:val="none"/>
        </w:rPr>
        <w:t>天的，乙方有权在要求甲方支付违约金的同时，书面通知甲方解除本合同；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.违约责任另有约定具体如下：</w:t>
      </w:r>
    </w:p>
    <w:p>
      <w:pPr>
        <w:spacing w:line="360" w:lineRule="auto"/>
        <w:ind w:right="-420" w:rightChars="-200" w:firstLine="480" w:firstLineChars="200"/>
        <w:rPr>
          <w:rFonts w:hint="default" w:ascii="宋体" w:hAnsi="宋体" w:cs="宋体" w:eastAsiaTheme="minorEastAsia"/>
          <w:sz w:val="24"/>
          <w:highlight w:val="none"/>
          <w:u w:val="single"/>
          <w:lang w:val="en-US" w:eastAsia="zh-CN"/>
        </w:rPr>
      </w:pPr>
      <w:r>
        <w:rPr>
          <w:rFonts w:hint="eastAsia" w:ascii="宋体" w:hAnsi="宋体" w:cs="宋体"/>
          <w:sz w:val="24"/>
          <w:highlight w:val="none"/>
          <w:u w:val="single"/>
        </w:rPr>
        <w:t>（1）乙方交付的货物不符合合同约定或验收不合格的，应当及时更换，因此延误交货期限的，按照逾期交货承担违约责任 ；</w:t>
      </w:r>
      <w:r>
        <w:rPr>
          <w:rFonts w:hint="eastAsia" w:ascii="宋体" w:hAnsi="宋体" w:cs="宋体"/>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pPr>
        <w:spacing w:line="360" w:lineRule="auto"/>
        <w:ind w:right="-420" w:rightChars="-200" w:firstLine="480" w:firstLineChars="200"/>
        <w:rPr>
          <w:rFonts w:hint="eastAsia" w:ascii="宋体" w:hAnsi="宋体" w:cs="宋体" w:eastAsiaTheme="minorEastAsia"/>
          <w:sz w:val="24"/>
          <w:highlight w:val="none"/>
          <w:u w:val="single"/>
          <w:lang w:eastAsia="zh-CN"/>
        </w:rPr>
      </w:pPr>
      <w:r>
        <w:rPr>
          <w:rFonts w:hint="eastAsia" w:ascii="宋体" w:hAnsi="宋体" w:cs="宋体"/>
          <w:sz w:val="24"/>
          <w:highlight w:val="none"/>
          <w:u w:val="single"/>
        </w:rPr>
        <w:t>（3）甲方无故拒收货物，乙方有权要求甲方按照合同原价支付货款</w:t>
      </w:r>
      <w:r>
        <w:rPr>
          <w:rFonts w:hint="eastAsia" w:ascii="宋体" w:hAnsi="宋体" w:cs="宋体"/>
          <w:sz w:val="24"/>
          <w:highlight w:val="none"/>
          <w:u w:val="single"/>
          <w:lang w:eastAsia="zh-CN"/>
        </w:rPr>
        <w:t>；</w:t>
      </w:r>
    </w:p>
    <w:p>
      <w:pPr>
        <w:spacing w:line="360" w:lineRule="auto"/>
        <w:ind w:right="-420" w:rightChars="-200" w:firstLine="480" w:firstLineChars="200"/>
        <w:rPr>
          <w:highlight w:val="none"/>
        </w:rPr>
      </w:pPr>
      <w:r>
        <w:rPr>
          <w:rFonts w:hint="eastAsia" w:ascii="宋体" w:hAnsi="宋体" w:cs="宋体"/>
          <w:sz w:val="24"/>
          <w:highlight w:val="none"/>
          <w:u w:val="single"/>
        </w:rPr>
        <w:t>（4）若质保期内出现质量问题，甲方有权从质保金中扣除违约金，同时乙方应免费维修或更换。</w:t>
      </w:r>
    </w:p>
    <w:p>
      <w:pPr>
        <w:pStyle w:val="6"/>
        <w:ind w:firstLine="480" w:firstLineChars="200"/>
        <w:rPr>
          <w:rFonts w:hint="eastAsia" w:ascii="宋体" w:hAnsi="宋体" w:cs="宋体"/>
          <w:b/>
          <w:sz w:val="24"/>
        </w:rPr>
      </w:pPr>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7245"/>
      <w:bookmarkStart w:id="406" w:name="_Toc11173"/>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、第三章安全协议（若有）、第四章廉洁协议为本合同不可分割的一部分，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rPr>
          <w:rFonts w:hint="eastAsia" w:ascii="宋体" w:hAnsi="宋体" w:cs="宋体"/>
          <w:b/>
          <w:szCs w:val="24"/>
          <w:lang w:val="en-US" w:eastAsia="zh-CN"/>
        </w:rPr>
      </w:pPr>
      <w:r>
        <w:rPr>
          <w:rFonts w:hint="eastAsia" w:ascii="宋体" w:hAnsi="宋体" w:cs="宋体"/>
          <w:b/>
          <w:szCs w:val="24"/>
          <w:lang w:val="en-US" w:eastAsia="zh-CN"/>
        </w:rPr>
        <w:t xml:space="preserve"> </w:t>
      </w: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23"/>
        <w:ind w:left="0" w:leftChars="0" w:firstLine="0" w:firstLineChars="0"/>
        <w:jc w:val="both"/>
        <w:rPr>
          <w:rFonts w:hint="eastAsia"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28763"/>
      <w:bookmarkStart w:id="409" w:name="_Toc487900349"/>
      <w:bookmarkStart w:id="410" w:name="_Toc279701240"/>
      <w:bookmarkStart w:id="411" w:name="_Ref467378404"/>
      <w:bookmarkStart w:id="412" w:name="_Ref467379195"/>
      <w:bookmarkStart w:id="413" w:name="_Ref467379205"/>
      <w:bookmarkStart w:id="414" w:name="_Toc19614"/>
      <w:bookmarkStart w:id="415" w:name="_Ref467379101"/>
      <w:bookmarkStart w:id="416" w:name="_Toc259093669"/>
      <w:bookmarkStart w:id="417" w:name="_Ref467378499"/>
      <w:bookmarkStart w:id="418" w:name="_Ref467379094"/>
      <w:bookmarkStart w:id="419" w:name="_Toc16917"/>
      <w:bookmarkStart w:id="420" w:name="_Ref467379109"/>
      <w:bookmarkStart w:id="421" w:name="_Ref467379225"/>
      <w:bookmarkStart w:id="422" w:name="_Ref467379214"/>
      <w:bookmarkStart w:id="423" w:name="_Ref467378463"/>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59093670"/>
      <w:bookmarkStart w:id="428" w:name="_Toc13336"/>
      <w:bookmarkStart w:id="429" w:name="_Toc279701241"/>
      <w:bookmarkStart w:id="430" w:name="_Toc27635"/>
      <w:bookmarkStart w:id="431" w:name="_Toc32504"/>
      <w:bookmarkStart w:id="432" w:name="_Toc48790035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9701242"/>
      <w:bookmarkStart w:id="434" w:name="_Toc259093671"/>
      <w:bookmarkStart w:id="435" w:name="_Toc31634"/>
      <w:bookmarkStart w:id="436" w:name="_Toc487900351"/>
      <w:bookmarkStart w:id="437" w:name="_Toc27853"/>
      <w:bookmarkStart w:id="438" w:name="_Toc9829"/>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30272"/>
      <w:bookmarkStart w:id="443" w:name="_Toc26182"/>
      <w:bookmarkStart w:id="444" w:name="_Toc19074"/>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807"/>
      <w:bookmarkStart w:id="447" w:name="_Toc259093676"/>
      <w:bookmarkStart w:id="448" w:name="_Toc487900357"/>
      <w:bookmarkStart w:id="449" w:name="_Toc279701247"/>
      <w:bookmarkStart w:id="450"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487900358"/>
      <w:bookmarkStart w:id="453" w:name="_Toc279701248"/>
      <w:bookmarkStart w:id="454" w:name="_Ref467379923"/>
      <w:bookmarkStart w:id="455" w:name="_Toc259093677"/>
      <w:bookmarkStart w:id="456" w:name="_Ref467379863"/>
      <w:bookmarkStart w:id="457" w:name="_Ref467379852"/>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487900364"/>
      <w:bookmarkStart w:id="470" w:name="_Ref467378121"/>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487900369"/>
      <w:bookmarkStart w:id="473" w:name="_Toc259093688"/>
      <w:bookmarkStart w:id="474" w:name="_Toc279701259"/>
      <w:bookmarkStart w:id="475" w:name="_Toc10366"/>
      <w:bookmarkStart w:id="476" w:name="_Toc22955"/>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969"/>
      <w:bookmarkStart w:id="482" w:name="_Toc487900365"/>
      <w:bookmarkStart w:id="483" w:name="_Toc30676"/>
      <w:bookmarkStart w:id="484" w:name="_Toc279701255"/>
      <w:bookmarkStart w:id="485" w:name="_Toc259093684"/>
      <w:bookmarkStart w:id="486"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16959"/>
      <w:bookmarkStart w:id="488" w:name="_Toc279701258"/>
      <w:bookmarkStart w:id="489" w:name="_Toc259093687"/>
      <w:bookmarkStart w:id="490" w:name="_Toc8298"/>
      <w:bookmarkStart w:id="491" w:name="_Toc7102"/>
      <w:bookmarkStart w:id="492" w:name="_Toc48790036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29333"/>
      <w:bookmarkStart w:id="494" w:name="_Toc6134"/>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487900372"/>
      <w:bookmarkStart w:id="505" w:name="_Toc30599"/>
      <w:bookmarkStart w:id="506" w:name="_Toc279701262"/>
      <w:bookmarkStart w:id="507" w:name="_Toc259093691"/>
      <w:bookmarkStart w:id="508" w:name="_Toc18540"/>
      <w:bookmarkStart w:id="509" w:name="_Toc4355"/>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259093692"/>
      <w:bookmarkStart w:id="511" w:name="_Toc10330"/>
      <w:bookmarkStart w:id="512" w:name="_Toc279701263"/>
      <w:bookmarkStart w:id="513" w:name="_Toc18567"/>
      <w:bookmarkStart w:id="514" w:name="_Toc12773"/>
      <w:bookmarkStart w:id="515" w:name="_Toc4879003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Arial" w:hAnsi="Arial" w:cs="Arial"/>
          <w:sz w:val="32"/>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hAnsi="宋体" w:cs="宋体"/>
          <w:color w:val="auto"/>
          <w:sz w:val="24"/>
        </w:rPr>
      </w:pPr>
      <w:r>
        <w:rPr>
          <w:rFonts w:hint="eastAsia" w:ascii="宋体" w:hAnsi="宋体" w:cs="宋体"/>
          <w:kern w:val="0"/>
        </w:rPr>
        <w:br w:type="page"/>
      </w: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u w:val="single"/>
          <w:lang w:val="en-US"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eastAsia="zh-CN" w:bidi="ar"/>
        </w:rPr>
        <w:t>2024年临江公司雾化器单轨吊加固及斗提机平台改造备件采购项目</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eastAsia="zh-CN" w:bidi="ar"/>
        </w:rPr>
        <w:t>2024年临江公司雾化器单轨吊加固及斗提机平台改造备件采购项目</w:t>
      </w:r>
      <w:r>
        <w:rPr>
          <w:rFonts w:hint="eastAsia" w:ascii="宋体" w:hAnsi="宋体" w:cs="宋体"/>
          <w:kern w:val="0"/>
          <w:sz w:val="24"/>
          <w:u w:val="single"/>
          <w:lang w:bidi="ar"/>
        </w:rPr>
        <w:t xml:space="preserve">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rPr>
      </w:pPr>
      <w:r>
        <w:rPr>
          <w:rFonts w:hint="eastAsia" w:ascii="宋体" w:hAnsi="宋体" w:cs="宋体"/>
          <w:b/>
          <w:sz w:val="24"/>
        </w:rPr>
        <w:t>二、甲方职责</w:t>
      </w:r>
    </w:p>
    <w:p>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pPr>
        <w:spacing w:line="360" w:lineRule="auto"/>
        <w:ind w:firstLine="482" w:firstLineChars="200"/>
        <w:rPr>
          <w:rFonts w:hint="eastAsia" w:ascii="宋体" w:hAnsi="宋体" w:cs="宋体"/>
          <w:b/>
          <w:sz w:val="24"/>
        </w:rPr>
      </w:pPr>
      <w:r>
        <w:rPr>
          <w:rFonts w:hint="eastAsia" w:ascii="宋体" w:hAnsi="宋体" w:cs="宋体"/>
          <w:b/>
          <w:sz w:val="24"/>
        </w:rPr>
        <w:t>三、乙方职责</w:t>
      </w:r>
    </w:p>
    <w:p>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乙方应落实</w:t>
      </w:r>
      <w:r>
        <w:rPr>
          <w:rFonts w:hint="eastAsia" w:ascii="宋体" w:hAnsi="宋体" w:cs="宋体"/>
          <w:sz w:val="24"/>
        </w:rPr>
        <w:t>安全管理人员</w:t>
      </w:r>
      <w:r>
        <w:rPr>
          <w:rFonts w:hint="eastAsia" w:ascii="宋体" w:hAnsi="宋体" w:cs="宋体"/>
          <w:sz w:val="24"/>
          <w:lang w:val="en-US" w:eastAsia="zh-CN"/>
        </w:rPr>
        <w:t>和安全管理措施</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pPr>
        <w:spacing w:line="360" w:lineRule="auto"/>
        <w:ind w:firstLine="482" w:firstLineChars="200"/>
        <w:rPr>
          <w:rFonts w:hint="eastAsia" w:ascii="宋体" w:hAnsi="宋体" w:cs="宋体"/>
          <w:sz w:val="24"/>
        </w:rPr>
      </w:pPr>
      <w:r>
        <w:rPr>
          <w:rFonts w:hint="eastAsia" w:ascii="宋体" w:hAnsi="宋体" w:cs="宋体"/>
          <w:b/>
          <w:sz w:val="24"/>
        </w:rPr>
        <w:t>四、违约责任</w:t>
      </w:r>
    </w:p>
    <w:p>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rPr>
      </w:pPr>
      <w:r>
        <w:rPr>
          <w:rFonts w:hint="eastAsia" w:ascii="宋体" w:hAnsi="宋体" w:cs="宋体"/>
          <w:b/>
          <w:sz w:val="24"/>
        </w:rPr>
        <w:t>五、其他</w:t>
      </w:r>
    </w:p>
    <w:p>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pPr>
        <w:pStyle w:val="23"/>
        <w:spacing w:line="560" w:lineRule="exact"/>
        <w:ind w:left="0" w:leftChars="0" w:firstLine="0" w:firstLineChars="0"/>
        <w:jc w:val="center"/>
        <w:rPr>
          <w:rFonts w:hint="eastAsia" w:ascii="宋体" w:hAnsi="宋体" w:cs="Times New Roman"/>
          <w:b/>
          <w:szCs w:val="24"/>
        </w:rPr>
      </w:pP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四</w:t>
      </w:r>
      <w:r>
        <w:rPr>
          <w:rFonts w:hint="eastAsia" w:ascii="宋体" w:hAnsi="宋体" w:cs="Times New Roman"/>
          <w:b/>
          <w:szCs w:val="24"/>
        </w:rPr>
        <w:t xml:space="preserve">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hint="eastAsia"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jc w:val="center"/>
        <w:rPr>
          <w:rFonts w:hint="eastAsia" w:ascii="小标宋" w:hAnsi="小标宋" w:eastAsia="小标宋" w:cs="小标宋"/>
          <w:i w:val="0"/>
          <w:iCs w:val="0"/>
          <w:color w:val="000000"/>
          <w:kern w:val="0"/>
          <w:sz w:val="44"/>
          <w:szCs w:val="44"/>
          <w:highlight w:val="none"/>
          <w:u w:val="none"/>
          <w:lang w:val="en-US" w:eastAsia="zh-CN" w:bidi="ar"/>
        </w:rPr>
      </w:pPr>
      <w:r>
        <w:rPr>
          <w:rFonts w:hint="eastAsia" w:ascii="小标宋" w:hAnsi="小标宋" w:eastAsia="小标宋" w:cs="小标宋"/>
          <w:i w:val="0"/>
          <w:iCs w:val="0"/>
          <w:color w:val="000000"/>
          <w:kern w:val="0"/>
          <w:sz w:val="44"/>
          <w:szCs w:val="44"/>
          <w:highlight w:val="none"/>
          <w:u w:val="none"/>
          <w:lang w:val="en-US" w:eastAsia="zh-CN" w:bidi="ar"/>
        </w:rPr>
        <w:t>送货清单</w:t>
      </w:r>
    </w:p>
    <w:p>
      <w:pPr>
        <w:jc w:val="both"/>
        <w:rPr>
          <w:rFonts w:hint="eastAsia" w:ascii="仿宋_GB2312" w:hAnsi="宋体" w:eastAsia="仿宋_GB2312" w:cs="仿宋_GB2312"/>
          <w:i w:val="0"/>
          <w:iCs w:val="0"/>
          <w:color w:val="000000"/>
          <w:kern w:val="0"/>
          <w:sz w:val="20"/>
          <w:szCs w:val="20"/>
          <w:highlight w:val="none"/>
          <w:u w:val="single"/>
          <w:lang w:val="en-US" w:eastAsia="zh-CN" w:bidi="ar"/>
        </w:rPr>
      </w:pPr>
      <w:r>
        <w:rPr>
          <w:rFonts w:hint="eastAsia" w:ascii="仿宋_GB2312" w:hAnsi="宋体" w:eastAsia="仿宋_GB2312" w:cs="仿宋_GB2312"/>
          <w:i w:val="0"/>
          <w:iCs w:val="0"/>
          <w:color w:val="000000"/>
          <w:kern w:val="0"/>
          <w:sz w:val="20"/>
          <w:szCs w:val="20"/>
          <w:highlight w:val="none"/>
          <w:u w:val="none"/>
          <w:lang w:val="en-US" w:eastAsia="zh-CN" w:bidi="ar"/>
        </w:rPr>
        <w:t>到货时间：                                清单编号:</w:t>
      </w:r>
      <w:r>
        <w:rPr>
          <w:rFonts w:hint="eastAsia" w:ascii="仿宋_GB2312" w:hAnsi="宋体" w:eastAsia="仿宋_GB2312" w:cs="仿宋_GB2312"/>
          <w:i w:val="0"/>
          <w:iCs w:val="0"/>
          <w:color w:val="000000"/>
          <w:kern w:val="0"/>
          <w:sz w:val="20"/>
          <w:szCs w:val="20"/>
          <w:highlight w:val="none"/>
          <w:u w:val="single"/>
          <w:lang w:val="en-US" w:eastAsia="zh-CN" w:bidi="ar"/>
        </w:rPr>
        <w:t xml:space="preserve">N0 :               </w:t>
      </w:r>
    </w:p>
    <w:p>
      <w:pPr>
        <w:jc w:val="both"/>
        <w:rPr>
          <w:rFonts w:hint="default" w:ascii="仿宋_GB2312" w:hAnsi="宋体" w:eastAsia="仿宋_GB2312" w:cs="仿宋_GB2312"/>
          <w:i w:val="0"/>
          <w:iCs w:val="0"/>
          <w:color w:val="000000"/>
          <w:kern w:val="0"/>
          <w:sz w:val="20"/>
          <w:szCs w:val="20"/>
          <w:highlight w:val="none"/>
          <w:u w:val="single"/>
          <w:lang w:val="en-US" w:eastAsia="zh-CN" w:bidi="ar"/>
        </w:rPr>
      </w:pPr>
    </w:p>
    <w:tbl>
      <w:tblPr>
        <w:tblStyle w:val="15"/>
        <w:tblW w:w="9394" w:type="dxa"/>
        <w:tblInd w:w="-2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6"/>
        <w:gridCol w:w="1332"/>
        <w:gridCol w:w="948"/>
        <w:gridCol w:w="896"/>
        <w:gridCol w:w="798"/>
        <w:gridCol w:w="1018"/>
        <w:gridCol w:w="1056"/>
        <w:gridCol w:w="924"/>
        <w:gridCol w:w="1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收货单位：杭州临江环境能源有限公司                                                                 </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收货人及联系方式：</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供货单位及联系方式：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550" w:type="dxa"/>
            <w:gridSpan w:val="5"/>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收货地址：杭州市钱塘区临江街道红十五线与观十五线交叉口杭州临江环境能源有限公司</w:t>
            </w:r>
          </w:p>
        </w:tc>
        <w:tc>
          <w:tcPr>
            <w:tcW w:w="4844" w:type="dxa"/>
            <w:gridSpan w:val="4"/>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1908" w:type="dxa"/>
            <w:gridSpan w:val="2"/>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甲方采购订单号</w:t>
            </w:r>
          </w:p>
        </w:tc>
        <w:tc>
          <w:tcPr>
            <w:tcW w:w="7486" w:type="dxa"/>
            <w:gridSpan w:val="7"/>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合同名称</w:t>
            </w:r>
          </w:p>
        </w:tc>
        <w:tc>
          <w:tcPr>
            <w:tcW w:w="3660"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2024年临江公司**采购项目</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合同编号</w:t>
            </w:r>
          </w:p>
        </w:tc>
        <w:tc>
          <w:tcPr>
            <w:tcW w:w="277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合同金额(元)</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本次送货金额(元)</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累计金额（含本次）</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highlight w:val="none"/>
                <w:u w:val="none"/>
              </w:rPr>
            </w:pPr>
          </w:p>
        </w:tc>
        <w:tc>
          <w:tcPr>
            <w:tcW w:w="92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合同执行率</w:t>
            </w:r>
          </w:p>
        </w:tc>
        <w:tc>
          <w:tcPr>
            <w:tcW w:w="184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序号</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物资名称</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规格型号</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品牌</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单位</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订单数量</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送货数量</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实收数量</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 xml:space="preserve"> 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w:t>
            </w:r>
          </w:p>
        </w:tc>
        <w:tc>
          <w:tcPr>
            <w:tcW w:w="8818"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6"/>
                <w:szCs w:val="16"/>
                <w:highlight w:val="none"/>
                <w:u w:val="none"/>
                <w:lang w:val="en-US" w:eastAsia="zh-CN"/>
              </w:rPr>
            </w:pPr>
            <w:r>
              <w:rPr>
                <w:rFonts w:hint="eastAsia" w:ascii="宋体" w:hAnsi="宋体" w:cs="宋体"/>
                <w:i w:val="0"/>
                <w:iCs w:val="0"/>
                <w:color w:val="000000"/>
                <w:sz w:val="16"/>
                <w:szCs w:val="16"/>
                <w:highlight w:val="yellow"/>
                <w:u w:val="none"/>
                <w:lang w:val="en-US" w:eastAsia="zh-CN"/>
              </w:rPr>
              <w:t>以上为成交供应商发货前填写，以下为到货验收的时候填写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验收情况</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验收材料</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□合格证  □检验报告  □报关单  □质量证明  □质量承诺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管理类别</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□重点管理货物 □化学药药剂 □一般管理货物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问题描述</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处理情况</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验收意见</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□合格 </w:t>
            </w:r>
            <w:r>
              <w:rPr>
                <w:rStyle w:val="34"/>
                <w:rFonts w:hAnsi="宋体"/>
                <w:highlight w:val="none"/>
                <w:lang w:val="en-US" w:eastAsia="zh-CN" w:bidi="ar"/>
              </w:rPr>
              <w:t xml:space="preserve">               □不合格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甲方验收成员</w:t>
            </w: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需求部门</w:t>
            </w: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仓库人员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乙方确认</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394"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注：本单一式两份，甲方一份，乙方一份</w:t>
            </w:r>
          </w:p>
        </w:tc>
      </w:tr>
    </w:tbl>
    <w:p>
      <w:pPr>
        <w:rPr>
          <w:rFonts w:hint="default" w:ascii="仿宋_GB2312" w:hAnsi="仿宋_GB2312" w:eastAsia="仿宋_GB2312" w:cs="仿宋_GB2312"/>
          <w:sz w:val="32"/>
          <w:szCs w:val="32"/>
          <w:highlight w:val="none"/>
          <w:lang w:val="en-US" w:eastAsia="zh-CN"/>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附件2：</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5"/>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p>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bl>
    <w:p>
      <w:pPr>
        <w:adjustRightInd w:val="0"/>
        <w:spacing w:line="360" w:lineRule="auto"/>
        <w:ind w:firstLine="489" w:firstLineChars="204"/>
        <w:rPr>
          <w:rFonts w:hint="eastAsia" w:ascii="宋体" w:hAnsi="宋体" w:eastAsia="宋体" w:cs="宋体"/>
          <w:color w:val="000000"/>
          <w:sz w:val="24"/>
        </w:rPr>
      </w:pP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14"/>
      </w:pPr>
    </w:p>
    <w:p/>
    <w:p>
      <w:pPr>
        <w:pStyle w:val="6"/>
      </w:pPr>
    </w:p>
    <w:p/>
    <w:p>
      <w:pPr>
        <w:pStyle w:val="6"/>
      </w:pPr>
    </w:p>
    <w:p/>
    <w:p/>
    <w:p/>
    <w:p/>
    <w:p/>
    <w:p/>
    <w:p>
      <w:pPr>
        <w:pStyle w:val="6"/>
      </w:pPr>
    </w:p>
    <w:p>
      <w:pPr>
        <w:pStyle w:val="7"/>
        <w:ind w:firstLine="0"/>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default" w:ascii="宋体" w:hAnsi="宋体" w:eastAsia="宋体" w:cs="宋体"/>
          <w:sz w:val="28"/>
          <w:szCs w:val="22"/>
          <w:u w:val="single"/>
          <w:lang w:val="en-US" w:eastAsia="zh-CN"/>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2024年临江公司雾化器单轨吊加固及</w:t>
      </w:r>
      <w:r>
        <w:rPr>
          <w:rFonts w:hint="eastAsia" w:ascii="宋体" w:hAnsi="宋体" w:eastAsia="宋体" w:cs="宋体"/>
          <w:sz w:val="28"/>
          <w:szCs w:val="22"/>
          <w:u w:val="single"/>
          <w:lang w:val="en-US" w:eastAsia="zh-CN"/>
        </w:rPr>
        <w:t xml:space="preserve">         </w:t>
      </w:r>
    </w:p>
    <w:p>
      <w:pPr>
        <w:spacing w:line="480" w:lineRule="auto"/>
        <w:ind w:firstLine="2240" w:firstLineChars="800"/>
        <w:rPr>
          <w:rFonts w:hint="default" w:ascii="宋体" w:hAnsi="宋体" w:eastAsia="宋体" w:cs="宋体"/>
          <w:sz w:val="28"/>
          <w:szCs w:val="22"/>
          <w:u w:val="single"/>
          <w:lang w:val="en-US" w:eastAsia="zh-CN"/>
        </w:rPr>
      </w:pPr>
      <w:r>
        <w:rPr>
          <w:rFonts w:hint="eastAsia" w:ascii="宋体" w:hAnsi="宋体" w:eastAsia="宋体" w:cs="宋体"/>
          <w:sz w:val="28"/>
          <w:szCs w:val="22"/>
          <w:u w:val="single"/>
          <w:lang w:eastAsia="zh-CN"/>
        </w:rPr>
        <w:t>斗提机平台改造备件采购项目</w:t>
      </w:r>
      <w:r>
        <w:rPr>
          <w:rFonts w:hint="eastAsia" w:ascii="宋体" w:hAnsi="宋体" w:eastAsia="宋体" w:cs="宋体"/>
          <w:sz w:val="28"/>
          <w:szCs w:val="22"/>
          <w:u w:val="single"/>
          <w:lang w:val="en-US" w:eastAsia="zh-CN"/>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202410002</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14"/>
        <w:rPr>
          <w:color w:val="auto"/>
        </w:rPr>
      </w:pPr>
    </w:p>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2024年临江公司雾化器单轨吊加固及斗提机平台改造备件采购项目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202410002</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6"/>
      </w:pPr>
    </w:p>
    <w:p>
      <w:pPr>
        <w:pStyle w:val="7"/>
      </w:pPr>
    </w:p>
    <w:p>
      <w:pPr>
        <w:rPr>
          <w:highlight w:val="none"/>
        </w:rPr>
      </w:pPr>
    </w:p>
    <w:p>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7"/>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2024年临江公司雾化器单轨吊加固及斗提机平台改造备件采购项目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202410002</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3"/>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2024年临江公司雾化器单轨吊加固及斗提机平台改造备件采购项目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2024年临江公司雾化器单轨吊加固及斗提机平台改造备件采购项目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2024年临江公司雾化器单轨吊加固及斗提机平台改造备件采购项目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lang w:eastAsia="zh-CN"/>
        </w:rPr>
        <w:t>（</w:t>
      </w:r>
      <w:r>
        <w:rPr>
          <w:rFonts w:hint="eastAsia" w:cs="仿宋" w:asciiTheme="minorEastAsia" w:hAnsiTheme="minorEastAsia"/>
          <w:b/>
          <w:bCs/>
          <w:sz w:val="24"/>
          <w:lang w:val="en-US" w:eastAsia="zh-CN"/>
        </w:rPr>
        <w:t>发票仅接收货物类发票，不接受工程类或服务类发票</w:t>
      </w:r>
      <w:r>
        <w:rPr>
          <w:rFonts w:hint="eastAsia" w:ascii="宋体" w:hAnsi="宋体" w:eastAsia="宋体" w:cs="宋体"/>
          <w:sz w:val="24"/>
          <w:lang w:eastAsia="zh-CN"/>
        </w:rPr>
        <w:t>）</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2024年临江公司雾化器单轨吊加固及斗提机平台改造备件采购项目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202410002</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91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8"/>
        <w:gridCol w:w="1833"/>
        <w:gridCol w:w="733"/>
        <w:gridCol w:w="3150"/>
        <w:gridCol w:w="814"/>
        <w:gridCol w:w="1120"/>
        <w:gridCol w:w="1130"/>
        <w:gridCol w:w="1077"/>
        <w:gridCol w:w="32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序号</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物资名称</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品牌</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型号规格</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单位</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数量</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单价（元）</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总计（元）</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工字钢</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160*88*6mm</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250</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3276" w:type="dxa"/>
            <w:vMerge w:val="restart"/>
            <w:tcBorders>
              <w:top w:val="single" w:color="000000" w:sz="4" w:space="0"/>
              <w:left w:val="single" w:color="000000" w:sz="4" w:space="0"/>
              <w:right w:val="single" w:color="000000" w:sz="4" w:space="0"/>
            </w:tcBorders>
            <w:shd w:val="clear" w:color="auto" w:fill="auto"/>
            <w:noWrap/>
            <w:vAlign w:val="center"/>
          </w:tcPr>
          <w:p>
            <w:pPr>
              <w:pStyle w:val="6"/>
              <w:spacing w:after="0" w:line="240" w:lineRule="auto"/>
              <w:ind w:firstLine="442" w:firstLineChars="200"/>
              <w:rPr>
                <w:rFonts w:hint="eastAsia" w:ascii="宋体" w:hAnsi="宋体" w:eastAsia="宋体" w:cs="宋体"/>
                <w:b/>
                <w:bCs/>
                <w:snapToGrid w:val="0"/>
                <w:sz w:val="22"/>
                <w:szCs w:val="20"/>
                <w:lang w:val="en-US" w:eastAsia="zh-CN"/>
              </w:rPr>
            </w:pPr>
            <w:r>
              <w:rPr>
                <w:rFonts w:hint="eastAsia" w:ascii="宋体" w:hAnsi="宋体" w:eastAsia="宋体" w:cs="宋体"/>
                <w:b/>
                <w:bCs/>
                <w:snapToGrid w:val="0"/>
                <w:sz w:val="22"/>
                <w:szCs w:val="20"/>
                <w:lang w:val="en-US" w:eastAsia="zh-CN"/>
              </w:rPr>
              <w:t>材料报价包含改造安装过程中所有的油漆、工具、辅材、人工、脚手架及其他安全措施费，并包括环链电动葫芦安装及照明灯具安装费。</w:t>
            </w:r>
          </w:p>
          <w:p>
            <w:pPr>
              <w:pStyle w:val="6"/>
              <w:spacing w:after="0" w:line="240" w:lineRule="auto"/>
              <w:ind w:firstLine="442" w:firstLineChars="200"/>
              <w:rPr>
                <w:rFonts w:hint="eastAsia" w:ascii="宋体" w:hAnsi="宋体" w:eastAsia="宋体" w:cs="宋体"/>
                <w:b/>
                <w:bCs/>
                <w:snapToGrid w:val="0"/>
                <w:sz w:val="22"/>
                <w:szCs w:val="20"/>
                <w:lang w:val="en-US" w:eastAsia="zh-CN"/>
              </w:rPr>
            </w:pPr>
            <w:r>
              <w:rPr>
                <w:rFonts w:hint="eastAsia" w:ascii="宋体" w:hAnsi="宋体" w:eastAsia="宋体" w:cs="宋体"/>
                <w:b/>
                <w:bCs/>
                <w:snapToGrid w:val="0"/>
                <w:sz w:val="22"/>
                <w:szCs w:val="20"/>
                <w:lang w:val="en-US" w:eastAsia="zh-CN"/>
              </w:rPr>
              <w:t>本清单数量为采购人方案图纸的数量测算，供应商自行按方案图纸测算。方案图纸见采购需求下附图。其中斗提机平台标高+35.23m，雾化器平台+36.85m，厂房为封闭厂房，不具备吊车施工条件，夏季平台作业温度可达45-50℃，供应商自行考虑作业条件，或到现场确认作业环境。</w:t>
            </w:r>
          </w:p>
          <w:p>
            <w:pPr>
              <w:pStyle w:val="7"/>
              <w:rPr>
                <w:rFonts w:hint="default"/>
                <w:lang w:val="en-US" w:eastAsia="zh-CN"/>
              </w:rPr>
            </w:pPr>
            <w:r>
              <w:rPr>
                <w:rFonts w:hint="eastAsia" w:ascii="宋体" w:hAnsi="宋体" w:eastAsia="宋体" w:cs="宋体"/>
                <w:b/>
                <w:bCs/>
                <w:snapToGrid w:val="0"/>
                <w:kern w:val="2"/>
                <w:sz w:val="22"/>
                <w:szCs w:val="20"/>
                <w:lang w:val="en-US" w:eastAsia="zh-CN" w:bidi="ar-SA"/>
              </w:rPr>
              <w:t>材料结算按实际使用量结算。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槽钢</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245</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327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工字钢(25#B)</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250*116*10mm</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25</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327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钢板</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327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钢板</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327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方刚</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40*60mm</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120</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327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7</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钢管</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￠32</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200</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327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H型钢(30#B)</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300*128*11mm</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327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H型钢(20#A)</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200*100*7mm</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90</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327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花纹钢板</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δ4（扁豆型）</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14</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327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30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cs="仿宋" w:asciiTheme="minorEastAsia" w:hAnsiTheme="minorEastAsia"/>
                <w:b/>
                <w:sz w:val="24"/>
              </w:rPr>
              <w:t>响应报价合计（小写）</w:t>
            </w:r>
          </w:p>
        </w:tc>
        <w:tc>
          <w:tcPr>
            <w:tcW w:w="66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30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cs="仿宋" w:asciiTheme="minorEastAsia" w:hAnsiTheme="minorEastAsia"/>
                <w:b/>
                <w:sz w:val="24"/>
              </w:rPr>
              <w:t>响应报价合计（大写）</w:t>
            </w:r>
          </w:p>
        </w:tc>
        <w:tc>
          <w:tcPr>
            <w:tcW w:w="66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30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cs="仿宋" w:asciiTheme="minorEastAsia" w:hAnsiTheme="minorEastAsia"/>
                <w:b/>
                <w:sz w:val="24"/>
              </w:rPr>
              <w:t>税率</w:t>
            </w:r>
          </w:p>
        </w:tc>
        <w:tc>
          <w:tcPr>
            <w:tcW w:w="66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eastAsiaTheme="minorEastAsia"/>
                <w:snapToGrid w:val="0"/>
                <w:kern w:val="2"/>
                <w:sz w:val="21"/>
                <w:szCs w:val="21"/>
                <w:lang w:val="en-US" w:eastAsia="zh-CN" w:bidi="ar-SA"/>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r>
              <w:rPr>
                <w:rFonts w:hint="eastAsia" w:cs="仿宋" w:asciiTheme="minorEastAsia" w:hAnsiTheme="minorEastAsia"/>
                <w:b/>
                <w:bCs/>
                <w:sz w:val="24"/>
                <w:lang w:eastAsia="zh-CN"/>
              </w:rPr>
              <w:t>（</w:t>
            </w:r>
            <w:r>
              <w:rPr>
                <w:rFonts w:hint="eastAsia" w:cs="仿宋" w:asciiTheme="minorEastAsia" w:hAnsiTheme="minorEastAsia"/>
                <w:b/>
                <w:bCs/>
                <w:sz w:val="24"/>
                <w:lang w:val="en-US" w:eastAsia="zh-CN"/>
              </w:rPr>
              <w:t>发票仅接收货物类发票，不接受工程类或服务类发票</w:t>
            </w:r>
            <w:r>
              <w:rPr>
                <w:rFonts w:hint="eastAsia" w:cs="仿宋" w:asciiTheme="minorEastAsia" w:hAnsiTheme="minorEastAsia"/>
                <w:b/>
                <w:bCs/>
                <w:sz w:val="24"/>
                <w:lang w:eastAsia="zh-CN"/>
              </w:rPr>
              <w:t>）</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6"/>
      </w:pPr>
    </w:p>
    <w:p>
      <w:pPr>
        <w:pStyle w:val="7"/>
      </w:pPr>
    </w:p>
    <w:p/>
    <w:p>
      <w:pPr>
        <w:pStyle w:val="6"/>
      </w:pP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2024年临江公司雾化器单轨吊加固及斗提机平台改造备件采购项目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2024年临江公司雾化器单轨吊加固及斗提机平台改造备件采购项目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202410002</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p>
      <w:pPr>
        <w:pStyle w:val="7"/>
      </w:pPr>
    </w:p>
    <w:p>
      <w:pPr>
        <w:pStyle w:val="8"/>
      </w:pPr>
    </w:p>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2024年临江公司雾化器单轨吊加固及斗提机平台改造备件采购项目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6"/>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2024年临江公司雾化器单轨吊加固及斗提机平台改造备件采购项目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202410002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int="eastAsia" w:hAnsi="宋体" w:cs="宋体"/>
          <w:b/>
          <w:bCs/>
          <w:sz w:val="24"/>
        </w:rPr>
      </w:pPr>
    </w:p>
    <w:p>
      <w:pPr>
        <w:pStyle w:val="10"/>
        <w:rPr>
          <w:rFonts w:hint="eastAsia" w:hAnsi="宋体" w:cs="宋体"/>
          <w:b/>
          <w:bCs/>
          <w:sz w:val="24"/>
        </w:rPr>
      </w:pPr>
    </w:p>
    <w:p>
      <w:pPr>
        <w:pStyle w:val="10"/>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abstractNum w:abstractNumId="2">
    <w:nsid w:val="2291AD0F"/>
    <w:multiLevelType w:val="singleLevel"/>
    <w:tmpl w:val="2291AD0F"/>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935EC2"/>
    <w:rsid w:val="00C3645A"/>
    <w:rsid w:val="00D00625"/>
    <w:rsid w:val="00DF3633"/>
    <w:rsid w:val="00E81C9E"/>
    <w:rsid w:val="013853AC"/>
    <w:rsid w:val="01603505"/>
    <w:rsid w:val="023E1286"/>
    <w:rsid w:val="029C7664"/>
    <w:rsid w:val="030669ED"/>
    <w:rsid w:val="032B7E17"/>
    <w:rsid w:val="034B5FC8"/>
    <w:rsid w:val="038B49F4"/>
    <w:rsid w:val="03CA5C6D"/>
    <w:rsid w:val="04E634F4"/>
    <w:rsid w:val="057311F3"/>
    <w:rsid w:val="05A4392C"/>
    <w:rsid w:val="05B622F4"/>
    <w:rsid w:val="05EE7890"/>
    <w:rsid w:val="06803F38"/>
    <w:rsid w:val="06897EFF"/>
    <w:rsid w:val="07013F3A"/>
    <w:rsid w:val="078B333A"/>
    <w:rsid w:val="07A67451"/>
    <w:rsid w:val="07C24B12"/>
    <w:rsid w:val="07D15ABF"/>
    <w:rsid w:val="087E795F"/>
    <w:rsid w:val="09104908"/>
    <w:rsid w:val="09EC7123"/>
    <w:rsid w:val="09ED56C9"/>
    <w:rsid w:val="0A911B05"/>
    <w:rsid w:val="0B530D41"/>
    <w:rsid w:val="0BF7590B"/>
    <w:rsid w:val="0BFE313E"/>
    <w:rsid w:val="0C177D5B"/>
    <w:rsid w:val="0C2A044F"/>
    <w:rsid w:val="0C492847"/>
    <w:rsid w:val="0CF31D21"/>
    <w:rsid w:val="0D89320B"/>
    <w:rsid w:val="0D8B0B2E"/>
    <w:rsid w:val="0EC870E3"/>
    <w:rsid w:val="0F111837"/>
    <w:rsid w:val="0F2F6501"/>
    <w:rsid w:val="0F81598B"/>
    <w:rsid w:val="0FB91E94"/>
    <w:rsid w:val="10C76755"/>
    <w:rsid w:val="11B04EDA"/>
    <w:rsid w:val="11C46A46"/>
    <w:rsid w:val="11D64215"/>
    <w:rsid w:val="11F35B37"/>
    <w:rsid w:val="12D86145"/>
    <w:rsid w:val="12E110C3"/>
    <w:rsid w:val="135A601C"/>
    <w:rsid w:val="143E2438"/>
    <w:rsid w:val="14DF7D0B"/>
    <w:rsid w:val="152B7330"/>
    <w:rsid w:val="152C0D1B"/>
    <w:rsid w:val="15CA44A7"/>
    <w:rsid w:val="15CB2DA0"/>
    <w:rsid w:val="16135A37"/>
    <w:rsid w:val="166F3635"/>
    <w:rsid w:val="16806E74"/>
    <w:rsid w:val="17AF353E"/>
    <w:rsid w:val="185870FA"/>
    <w:rsid w:val="185A544F"/>
    <w:rsid w:val="18890233"/>
    <w:rsid w:val="18A60DE5"/>
    <w:rsid w:val="190D49C0"/>
    <w:rsid w:val="198737C7"/>
    <w:rsid w:val="19976A31"/>
    <w:rsid w:val="19DC6BDA"/>
    <w:rsid w:val="1A4B1C44"/>
    <w:rsid w:val="1AA56FDE"/>
    <w:rsid w:val="1B1B25BA"/>
    <w:rsid w:val="1B7913A6"/>
    <w:rsid w:val="1D61352C"/>
    <w:rsid w:val="1D8202F5"/>
    <w:rsid w:val="1D882867"/>
    <w:rsid w:val="1DCF6B00"/>
    <w:rsid w:val="1DFA0457"/>
    <w:rsid w:val="1E5F5CBE"/>
    <w:rsid w:val="1E8307F5"/>
    <w:rsid w:val="1F457921"/>
    <w:rsid w:val="20457135"/>
    <w:rsid w:val="20D12777"/>
    <w:rsid w:val="20FB672E"/>
    <w:rsid w:val="213339C4"/>
    <w:rsid w:val="21677697"/>
    <w:rsid w:val="21C81DCC"/>
    <w:rsid w:val="228D26CE"/>
    <w:rsid w:val="22916FA5"/>
    <w:rsid w:val="230E1A60"/>
    <w:rsid w:val="23922209"/>
    <w:rsid w:val="23C64579"/>
    <w:rsid w:val="247C6E9E"/>
    <w:rsid w:val="25650E5F"/>
    <w:rsid w:val="2569246D"/>
    <w:rsid w:val="25C26B32"/>
    <w:rsid w:val="26010880"/>
    <w:rsid w:val="26C2328E"/>
    <w:rsid w:val="26F15921"/>
    <w:rsid w:val="27725FDB"/>
    <w:rsid w:val="28261749"/>
    <w:rsid w:val="28D92620"/>
    <w:rsid w:val="294E0F60"/>
    <w:rsid w:val="2987716A"/>
    <w:rsid w:val="29AE18A7"/>
    <w:rsid w:val="2A6366FF"/>
    <w:rsid w:val="2B3D5BF4"/>
    <w:rsid w:val="2C4141D8"/>
    <w:rsid w:val="2C950AFD"/>
    <w:rsid w:val="2D210C4A"/>
    <w:rsid w:val="2E7A56DC"/>
    <w:rsid w:val="2E9F315C"/>
    <w:rsid w:val="2EBA484A"/>
    <w:rsid w:val="2F4D3609"/>
    <w:rsid w:val="2F5836E9"/>
    <w:rsid w:val="300206D5"/>
    <w:rsid w:val="30062480"/>
    <w:rsid w:val="30556F21"/>
    <w:rsid w:val="308C5F1F"/>
    <w:rsid w:val="31111553"/>
    <w:rsid w:val="31191AA6"/>
    <w:rsid w:val="314B6E80"/>
    <w:rsid w:val="326E6078"/>
    <w:rsid w:val="32843E96"/>
    <w:rsid w:val="32C410E7"/>
    <w:rsid w:val="32EC2577"/>
    <w:rsid w:val="334341C1"/>
    <w:rsid w:val="34155E66"/>
    <w:rsid w:val="34454474"/>
    <w:rsid w:val="34AF40BC"/>
    <w:rsid w:val="36162BCB"/>
    <w:rsid w:val="364530C9"/>
    <w:rsid w:val="36A71B58"/>
    <w:rsid w:val="37103BA1"/>
    <w:rsid w:val="37514AF4"/>
    <w:rsid w:val="377C0298"/>
    <w:rsid w:val="37B04D36"/>
    <w:rsid w:val="37C65D75"/>
    <w:rsid w:val="37D2523E"/>
    <w:rsid w:val="39C31C6C"/>
    <w:rsid w:val="3A6303AE"/>
    <w:rsid w:val="3A993EAE"/>
    <w:rsid w:val="3AB61186"/>
    <w:rsid w:val="3C1953E7"/>
    <w:rsid w:val="3C283344"/>
    <w:rsid w:val="3C485F9D"/>
    <w:rsid w:val="3C7C70D7"/>
    <w:rsid w:val="3C940DD1"/>
    <w:rsid w:val="3E0C6463"/>
    <w:rsid w:val="3EE43BF5"/>
    <w:rsid w:val="403E57B7"/>
    <w:rsid w:val="411A0F39"/>
    <w:rsid w:val="415A3828"/>
    <w:rsid w:val="415A5C88"/>
    <w:rsid w:val="41CE08E1"/>
    <w:rsid w:val="42112513"/>
    <w:rsid w:val="433C7ACC"/>
    <w:rsid w:val="435518AD"/>
    <w:rsid w:val="43C04259"/>
    <w:rsid w:val="43C354C4"/>
    <w:rsid w:val="44A040E0"/>
    <w:rsid w:val="44C67F95"/>
    <w:rsid w:val="44F22D84"/>
    <w:rsid w:val="4557347D"/>
    <w:rsid w:val="4559568A"/>
    <w:rsid w:val="45A47533"/>
    <w:rsid w:val="45F97EF6"/>
    <w:rsid w:val="46BC402D"/>
    <w:rsid w:val="472961BF"/>
    <w:rsid w:val="475528CD"/>
    <w:rsid w:val="47B265AF"/>
    <w:rsid w:val="4916491B"/>
    <w:rsid w:val="496717C4"/>
    <w:rsid w:val="4992015A"/>
    <w:rsid w:val="4A063A4F"/>
    <w:rsid w:val="4A875AD1"/>
    <w:rsid w:val="4AE27CAC"/>
    <w:rsid w:val="4B1B2ECF"/>
    <w:rsid w:val="4B2E6F39"/>
    <w:rsid w:val="4B6E282F"/>
    <w:rsid w:val="4BAC48C9"/>
    <w:rsid w:val="4BB27DC6"/>
    <w:rsid w:val="4C192E4D"/>
    <w:rsid w:val="4CD52BD1"/>
    <w:rsid w:val="4CEA2347"/>
    <w:rsid w:val="4D19039B"/>
    <w:rsid w:val="4D243428"/>
    <w:rsid w:val="4D2D7FC0"/>
    <w:rsid w:val="4DA84D66"/>
    <w:rsid w:val="4DC67027"/>
    <w:rsid w:val="4E1E04FA"/>
    <w:rsid w:val="4E604FB7"/>
    <w:rsid w:val="4EFA25EF"/>
    <w:rsid w:val="4F2C043D"/>
    <w:rsid w:val="4F602E30"/>
    <w:rsid w:val="4F9246A8"/>
    <w:rsid w:val="4FBC621D"/>
    <w:rsid w:val="4FC275AB"/>
    <w:rsid w:val="4FEB08B0"/>
    <w:rsid w:val="50A13664"/>
    <w:rsid w:val="51937E4D"/>
    <w:rsid w:val="52383592"/>
    <w:rsid w:val="523875F5"/>
    <w:rsid w:val="52506204"/>
    <w:rsid w:val="52665BE8"/>
    <w:rsid w:val="52BE22AC"/>
    <w:rsid w:val="534456B9"/>
    <w:rsid w:val="53FA1DF3"/>
    <w:rsid w:val="54AA2A85"/>
    <w:rsid w:val="54AB2D04"/>
    <w:rsid w:val="551B668B"/>
    <w:rsid w:val="557B35BC"/>
    <w:rsid w:val="565C1CF5"/>
    <w:rsid w:val="56E235EF"/>
    <w:rsid w:val="571F3A0C"/>
    <w:rsid w:val="57DC32D5"/>
    <w:rsid w:val="57F2034A"/>
    <w:rsid w:val="58207565"/>
    <w:rsid w:val="58235318"/>
    <w:rsid w:val="59121C77"/>
    <w:rsid w:val="598F6DF8"/>
    <w:rsid w:val="59DE0E09"/>
    <w:rsid w:val="59DF6851"/>
    <w:rsid w:val="5A283DD0"/>
    <w:rsid w:val="5ACD76EE"/>
    <w:rsid w:val="5AD36B10"/>
    <w:rsid w:val="5B366E46"/>
    <w:rsid w:val="5B3D7F5F"/>
    <w:rsid w:val="5B460326"/>
    <w:rsid w:val="5C7B276E"/>
    <w:rsid w:val="5C9A592C"/>
    <w:rsid w:val="5DF85390"/>
    <w:rsid w:val="5E8E347A"/>
    <w:rsid w:val="5ED6097D"/>
    <w:rsid w:val="5F0279C4"/>
    <w:rsid w:val="5F944466"/>
    <w:rsid w:val="5FBE7D8F"/>
    <w:rsid w:val="60470EFE"/>
    <w:rsid w:val="60844C26"/>
    <w:rsid w:val="60A9029A"/>
    <w:rsid w:val="60DA29A7"/>
    <w:rsid w:val="60FA16F8"/>
    <w:rsid w:val="6139287F"/>
    <w:rsid w:val="61C75810"/>
    <w:rsid w:val="61CA0C65"/>
    <w:rsid w:val="62C642C8"/>
    <w:rsid w:val="631B2246"/>
    <w:rsid w:val="6320666B"/>
    <w:rsid w:val="63CF15A0"/>
    <w:rsid w:val="64055963"/>
    <w:rsid w:val="6509228E"/>
    <w:rsid w:val="65A92947"/>
    <w:rsid w:val="661A50B7"/>
    <w:rsid w:val="664B13EA"/>
    <w:rsid w:val="66976C44"/>
    <w:rsid w:val="66F30BCE"/>
    <w:rsid w:val="673C0170"/>
    <w:rsid w:val="673E5F91"/>
    <w:rsid w:val="677A6041"/>
    <w:rsid w:val="67BC07C3"/>
    <w:rsid w:val="67D6317A"/>
    <w:rsid w:val="67D649B5"/>
    <w:rsid w:val="68ED6365"/>
    <w:rsid w:val="690F3AB7"/>
    <w:rsid w:val="6A4E3ABD"/>
    <w:rsid w:val="6AE63D7E"/>
    <w:rsid w:val="6B462C2B"/>
    <w:rsid w:val="6B8359E9"/>
    <w:rsid w:val="6BD277B9"/>
    <w:rsid w:val="6C321620"/>
    <w:rsid w:val="6CE30E35"/>
    <w:rsid w:val="6DA02882"/>
    <w:rsid w:val="6DA12E69"/>
    <w:rsid w:val="6DBB3B60"/>
    <w:rsid w:val="6E2C6F5B"/>
    <w:rsid w:val="6E785E0E"/>
    <w:rsid w:val="6F0B4673"/>
    <w:rsid w:val="6F4831D1"/>
    <w:rsid w:val="70045698"/>
    <w:rsid w:val="700E4F44"/>
    <w:rsid w:val="70124E0E"/>
    <w:rsid w:val="70173239"/>
    <w:rsid w:val="711D3FA5"/>
    <w:rsid w:val="721A5B23"/>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731EEF"/>
    <w:rsid w:val="78A551F0"/>
    <w:rsid w:val="78D36201"/>
    <w:rsid w:val="79017606"/>
    <w:rsid w:val="79D7762B"/>
    <w:rsid w:val="79EB254B"/>
    <w:rsid w:val="7A154A37"/>
    <w:rsid w:val="7BA82ABD"/>
    <w:rsid w:val="7C757EAB"/>
    <w:rsid w:val="7D0A41BC"/>
    <w:rsid w:val="7D0A4B32"/>
    <w:rsid w:val="7D797C2B"/>
    <w:rsid w:val="7D823D52"/>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2"/>
    <w:autoRedefine/>
    <w:qFormat/>
    <w:uiPriority w:val="0"/>
  </w:style>
  <w:style w:type="character" w:customStyle="1" w:styleId="33">
    <w:name w:val="font31"/>
    <w:basedOn w:val="17"/>
    <w:autoRedefine/>
    <w:qFormat/>
    <w:uiPriority w:val="0"/>
    <w:rPr>
      <w:rFonts w:hint="eastAsia" w:ascii="宋体" w:hAnsi="宋体" w:eastAsia="宋体" w:cs="宋体"/>
      <w:color w:val="000000"/>
      <w:sz w:val="20"/>
      <w:szCs w:val="20"/>
      <w:u w:val="none"/>
    </w:rPr>
  </w:style>
  <w:style w:type="character" w:customStyle="1" w:styleId="34">
    <w:name w:val="font21"/>
    <w:basedOn w:val="17"/>
    <w:autoRedefine/>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2.pn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27831</Words>
  <Characters>29373</Characters>
  <Lines>224</Lines>
  <Paragraphs>63</Paragraphs>
  <TotalTime>12</TotalTime>
  <ScaleCrop>false</ScaleCrop>
  <LinksUpToDate>false</LinksUpToDate>
  <CharactersWithSpaces>32555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2024-10-16T06:21:00Z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98086E996C9B4B67BD56B19E35B6E855_13</vt:lpwstr>
  </property>
</Properties>
</file>