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1"/>
        <w:jc w:val="center"/>
        <w:rPr>
          <w:rFonts w:hint="eastAsia" w:cs="宋体" w:asciiTheme="minorEastAsia" w:hAnsiTheme="minorEastAsia"/>
          <w:color w:val="auto"/>
          <w:sz w:val="48"/>
          <w:szCs w:val="48"/>
          <w:u w:val="single"/>
        </w:rPr>
      </w:pPr>
    </w:p>
    <w:p w14:paraId="779CA489">
      <w:pPr>
        <w:pStyle w:val="11"/>
        <w:jc w:val="center"/>
        <w:rPr>
          <w:rFonts w:hint="eastAsia" w:cs="宋体" w:asciiTheme="minorEastAsia" w:hAnsiTheme="minorEastAsia"/>
          <w:color w:val="auto"/>
          <w:sz w:val="48"/>
          <w:szCs w:val="48"/>
          <w:u w:val="single"/>
        </w:rPr>
      </w:pPr>
    </w:p>
    <w:p w14:paraId="5EB9923E">
      <w:pPr>
        <w:pStyle w:val="11"/>
        <w:jc w:val="center"/>
        <w:rPr>
          <w:rFonts w:hint="eastAsia" w:cs="宋体" w:asciiTheme="minorEastAsia" w:hAnsiTheme="minorEastAsia"/>
          <w:color w:val="auto"/>
          <w:sz w:val="48"/>
          <w:szCs w:val="48"/>
          <w:u w:val="single"/>
        </w:rPr>
      </w:pPr>
    </w:p>
    <w:p w14:paraId="0776E5DA">
      <w:pPr>
        <w:pStyle w:val="11"/>
        <w:jc w:val="center"/>
        <w:rPr>
          <w:rFonts w:hint="eastAsia" w:cs="宋体" w:asciiTheme="minorEastAsia" w:hAnsiTheme="minorEastAsia"/>
          <w:color w:val="auto"/>
          <w:sz w:val="48"/>
          <w:szCs w:val="48"/>
          <w:u w:val="single"/>
        </w:rPr>
      </w:pPr>
    </w:p>
    <w:p w14:paraId="36BB2EEC">
      <w:pPr>
        <w:pStyle w:val="11"/>
        <w:jc w:val="center"/>
        <w:rPr>
          <w:rFonts w:hint="eastAsia" w:cs="宋体" w:asciiTheme="minorEastAsia" w:hAnsiTheme="minorEastAsia"/>
          <w:color w:val="auto"/>
          <w:sz w:val="48"/>
          <w:szCs w:val="48"/>
          <w:u w:val="single"/>
        </w:rPr>
      </w:pPr>
    </w:p>
    <w:p w14:paraId="7D38BC5C">
      <w:pPr>
        <w:pStyle w:val="11"/>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2025-2026年职业病体检服务采购项目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202504015</w:t>
      </w:r>
    </w:p>
    <w:p w14:paraId="2358ED6D">
      <w:pPr>
        <w:spacing w:line="360" w:lineRule="auto"/>
        <w:jc w:val="center"/>
        <w:rPr>
          <w:rFonts w:cs="仿宋" w:asciiTheme="minorEastAsia" w:hAnsiTheme="minorEastAsia"/>
          <w:b/>
          <w:bCs/>
          <w:color w:val="auto"/>
          <w:sz w:val="72"/>
          <w:szCs w:val="72"/>
        </w:rPr>
      </w:pPr>
    </w:p>
    <w:p w14:paraId="442F4773">
      <w:pPr>
        <w:pStyle w:val="7"/>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11"/>
        <w:rPr>
          <w:color w:val="auto"/>
        </w:rPr>
      </w:pPr>
    </w:p>
    <w:p w14:paraId="743DEDE1">
      <w:pPr>
        <w:rPr>
          <w:color w:val="auto"/>
        </w:rPr>
      </w:pPr>
    </w:p>
    <w:p w14:paraId="735F61A0">
      <w:pPr>
        <w:pStyle w:val="11"/>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11"/>
        <w:rPr>
          <w:rFonts w:cs="仿宋" w:asciiTheme="minorEastAsia" w:hAnsiTheme="minorEastAsia"/>
          <w:color w:val="auto"/>
          <w:sz w:val="24"/>
          <w:szCs w:val="24"/>
        </w:rPr>
      </w:pPr>
    </w:p>
    <w:p w14:paraId="079F01E4">
      <w:pPr>
        <w:pStyle w:val="11"/>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10</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2025-2026年职业病体检服务采购项目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202504015</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2025-2026年职业病体检服务采购项目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b/>
          <w:bCs/>
          <w:color w:val="auto"/>
          <w:sz w:val="24"/>
          <w:u w:val="single"/>
          <w:lang w:val="en-US" w:eastAsia="zh-CN"/>
        </w:rPr>
        <w:t>5.3</w:t>
      </w:r>
      <w:r>
        <w:rPr>
          <w:rFonts w:hint="eastAsia" w:cs="仿宋" w:asciiTheme="minorEastAsia" w:hAnsiTheme="minorEastAsia"/>
          <w:color w:val="auto"/>
          <w:sz w:val="24"/>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lang w:val="en-US"/>
        </w:rPr>
        <w:t>杭州临江环境能源有限公司</w:t>
      </w:r>
      <w:r>
        <w:rPr>
          <w:rFonts w:hint="eastAsia" w:cs="仿宋" w:asciiTheme="minorEastAsia" w:hAnsiTheme="minorEastAsia"/>
          <w:color w:val="auto"/>
          <w:sz w:val="24"/>
        </w:rPr>
        <w:t>需要在</w:t>
      </w:r>
      <w:r>
        <w:rPr>
          <w:rFonts w:hint="eastAsia" w:cs="仿宋" w:asciiTheme="minorEastAsia" w:hAnsiTheme="minorEastAsia"/>
          <w:color w:val="auto"/>
          <w:sz w:val="24"/>
          <w:lang w:eastAsia="zh-CN"/>
        </w:rPr>
        <w:t>2025</w:t>
      </w:r>
      <w:r>
        <w:rPr>
          <w:rFonts w:hint="eastAsia" w:cs="仿宋" w:asciiTheme="minorEastAsia" w:hAnsiTheme="minorEastAsia"/>
          <w:color w:val="auto"/>
          <w:sz w:val="24"/>
          <w:lang w:val="en-US" w:eastAsia="zh-CN"/>
        </w:rPr>
        <w:t>-2026</w:t>
      </w:r>
      <w:r>
        <w:rPr>
          <w:rFonts w:hint="eastAsia" w:cs="仿宋" w:asciiTheme="minorEastAsia" w:hAnsiTheme="minorEastAsia"/>
          <w:color w:val="auto"/>
          <w:sz w:val="24"/>
        </w:rPr>
        <w:t>年对职业病接害岗位的员工进行岗前、在岗、离岗的职业病体检</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b w:val="0"/>
          <w:bCs w:val="0"/>
          <w:color w:val="auto"/>
          <w:sz w:val="24"/>
          <w:u w:val="single"/>
          <w:lang w:val="en-US" w:eastAsia="zh-CN"/>
        </w:rPr>
        <w:t>自合同签订之日起12个月。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28359080"/>
      <w:bookmarkStart w:id="8" w:name="_Toc35393622"/>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35393623"/>
      <w:bookmarkStart w:id="12" w:name="_Toc35393792"/>
      <w:bookmarkStart w:id="13" w:name="_Toc28359004"/>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lang w:eastAsia="zh-CN"/>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B12543">
      <w:pPr>
        <w:spacing w:line="360" w:lineRule="auto"/>
        <w:ind w:firstLine="480" w:firstLineChars="200"/>
        <w:rPr>
          <w:color w:val="auto"/>
        </w:rPr>
      </w:pPr>
      <w:r>
        <w:rPr>
          <w:rFonts w:hint="eastAsia" w:cs="仿宋" w:asciiTheme="minorEastAsia" w:hAnsiTheme="minorEastAsia"/>
          <w:bCs/>
          <w:color w:val="auto"/>
          <w:sz w:val="24"/>
        </w:rPr>
        <w:t>3.</w:t>
      </w:r>
      <w:r>
        <w:rPr>
          <w:rFonts w:hint="eastAsia" w:cs="仿宋" w:asciiTheme="minorEastAsia" w:hAnsiTheme="minorEastAsia"/>
          <w:bCs/>
          <w:color w:val="auto"/>
          <w:sz w:val="24"/>
          <w:lang w:val="en-US" w:eastAsia="zh-CN"/>
        </w:rPr>
        <w:t>供应商必须在杭州市卫健委2025年4月份发布《</w:t>
      </w:r>
      <w:r>
        <w:rPr>
          <w:rFonts w:hint="eastAsia" w:cs="仿宋" w:asciiTheme="minorEastAsia" w:hAnsiTheme="minorEastAsia"/>
          <w:bCs/>
          <w:color w:val="auto"/>
          <w:sz w:val="24"/>
        </w:rPr>
        <w:t>杭州市职业健康检查机构名单</w:t>
      </w:r>
      <w:r>
        <w:rPr>
          <w:rFonts w:hint="eastAsia" w:cs="仿宋" w:asciiTheme="minorEastAsia" w:hAnsiTheme="minorEastAsia"/>
          <w:bCs/>
          <w:color w:val="auto"/>
          <w:sz w:val="24"/>
          <w:lang w:val="en-US" w:eastAsia="zh-CN"/>
        </w:rPr>
        <w:t>》内，且职业病健康检查类别包括接触化学因素类，接触粉尘类，接触物理因素类、其他类（特殊作业等）</w:t>
      </w:r>
      <w:r>
        <w:rPr>
          <w:rFonts w:hint="eastAsia" w:cs="仿宋" w:asciiTheme="minorEastAsia" w:hAnsiTheme="minorEastAsia"/>
          <w:bCs/>
          <w:color w:val="auto"/>
          <w:sz w:val="24"/>
        </w:rPr>
        <w:t>（</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val="en-US" w:eastAsia="zh-CN"/>
        </w:rPr>
        <w:t>。</w:t>
      </w:r>
    </w:p>
    <w:p w14:paraId="1C9138C4">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lang w:val="en-US" w:eastAsia="zh-CN"/>
        </w:rPr>
        <w:t>4</w:t>
      </w:r>
      <w:r>
        <w:rPr>
          <w:rFonts w:hint="eastAsia" w:cs="仿宋" w:asciiTheme="minorEastAsia" w:hAnsiTheme="minorEastAsia"/>
          <w:bCs/>
          <w:sz w:val="24"/>
        </w:rPr>
        <w:t>.业绩要求：</w:t>
      </w:r>
      <w:r>
        <w:rPr>
          <w:rFonts w:hint="eastAsia" w:cs="仿宋" w:asciiTheme="minorEastAsia" w:hAnsiTheme="minorEastAsia"/>
          <w:bCs/>
          <w:sz w:val="24"/>
          <w:u w:val="single"/>
          <w:lang w:val="en-US" w:eastAsia="zh-CN"/>
        </w:rPr>
        <w:t xml:space="preserve"> /。</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顾工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513BB035">
      <w:pPr>
        <w:pStyle w:val="2"/>
        <w:rPr>
          <w:rFonts w:hint="default"/>
          <w:lang w:val="en-US" w:eastAsia="zh-CN"/>
        </w:rPr>
      </w:pPr>
    </w:p>
    <w:p w14:paraId="07650B0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524938EC">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4DEB762E">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4月10</w:t>
      </w:r>
      <w:r>
        <w:rPr>
          <w:rFonts w:hint="eastAsia" w:cs="仿宋" w:asciiTheme="minorEastAsia" w:hAnsiTheme="minorEastAsia"/>
          <w:color w:val="auto"/>
          <w:sz w:val="24"/>
        </w:rPr>
        <w:t>日</w:t>
      </w:r>
    </w:p>
    <w:p w14:paraId="0EDE9D10">
      <w:pPr>
        <w:pStyle w:val="2"/>
        <w:rPr>
          <w:rFonts w:hint="eastAsia" w:cs="仿宋" w:asciiTheme="minorEastAsia" w:hAnsiTheme="minorEastAsia"/>
          <w:color w:val="auto"/>
          <w:sz w:val="24"/>
        </w:rPr>
      </w:pPr>
    </w:p>
    <w:p w14:paraId="4F867453">
      <w:pPr>
        <w:rPr>
          <w:rFonts w:hint="eastAsia" w:cs="仿宋" w:asciiTheme="minorEastAsia" w:hAnsiTheme="minorEastAsia"/>
          <w:color w:val="auto"/>
          <w:sz w:val="24"/>
        </w:rPr>
      </w:pPr>
      <w:bookmarkStart w:id="491" w:name="_GoBack"/>
      <w:bookmarkEnd w:id="491"/>
    </w:p>
    <w:p w14:paraId="4B0B642B">
      <w:pPr>
        <w:pStyle w:val="2"/>
        <w:rPr>
          <w:rFonts w:hint="eastAsia" w:cs="仿宋" w:asciiTheme="minorEastAsia" w:hAnsiTheme="minorEastAsia"/>
          <w:color w:val="auto"/>
          <w:sz w:val="24"/>
        </w:rPr>
      </w:pPr>
    </w:p>
    <w:p w14:paraId="311D1E9A">
      <w:pPr>
        <w:rPr>
          <w:rFonts w:hint="eastAsia" w:cs="仿宋" w:asciiTheme="minorEastAsia" w:hAnsiTheme="minorEastAsia"/>
          <w:color w:val="auto"/>
          <w:sz w:val="24"/>
        </w:rPr>
      </w:pPr>
    </w:p>
    <w:p w14:paraId="48CC85EA">
      <w:pPr>
        <w:pStyle w:val="2"/>
        <w:rPr>
          <w:rFonts w:hint="eastAsia" w:cs="仿宋" w:asciiTheme="minorEastAsia" w:hAnsiTheme="minorEastAsia"/>
          <w:color w:val="auto"/>
          <w:sz w:val="24"/>
        </w:rPr>
      </w:pPr>
    </w:p>
    <w:p w14:paraId="63644832">
      <w:pPr>
        <w:rPr>
          <w:rFonts w:hint="eastAsia" w:cs="仿宋" w:asciiTheme="minorEastAsia" w:hAnsiTheme="minorEastAsia"/>
          <w:color w:val="auto"/>
          <w:sz w:val="24"/>
        </w:rPr>
      </w:pPr>
    </w:p>
    <w:p w14:paraId="386E61BE">
      <w:pPr>
        <w:pStyle w:val="2"/>
        <w:rPr>
          <w:rFonts w:hint="eastAsia" w:cs="仿宋" w:asciiTheme="minorEastAsia" w:hAnsiTheme="minorEastAsia"/>
          <w:color w:val="auto"/>
          <w:sz w:val="24"/>
        </w:rPr>
      </w:pPr>
    </w:p>
    <w:p w14:paraId="0F324503">
      <w:pPr>
        <w:rPr>
          <w:rFonts w:hint="eastAsia" w:cs="仿宋" w:asciiTheme="minorEastAsia" w:hAnsiTheme="minorEastAsia"/>
          <w:color w:val="auto"/>
          <w:sz w:val="24"/>
        </w:rPr>
      </w:pPr>
    </w:p>
    <w:p w14:paraId="271F2724">
      <w:pPr>
        <w:pStyle w:val="2"/>
        <w:rPr>
          <w:rFonts w:hint="eastAsia" w:cs="仿宋" w:asciiTheme="minorEastAsia" w:hAnsiTheme="minorEastAsia"/>
          <w:color w:val="auto"/>
          <w:sz w:val="24"/>
        </w:rPr>
      </w:pPr>
    </w:p>
    <w:p w14:paraId="18E966B4">
      <w:pPr>
        <w:rPr>
          <w:rFonts w:hint="eastAsia" w:cs="仿宋" w:asciiTheme="minorEastAsia" w:hAnsiTheme="minorEastAsia"/>
          <w:color w:val="auto"/>
          <w:sz w:val="24"/>
        </w:rPr>
      </w:pPr>
    </w:p>
    <w:p w14:paraId="582C4392">
      <w:pPr>
        <w:pStyle w:val="2"/>
        <w:rPr>
          <w:rFonts w:hint="eastAsia" w:cs="仿宋" w:asciiTheme="minorEastAsia" w:hAnsiTheme="minorEastAsia"/>
          <w:color w:val="auto"/>
          <w:sz w:val="24"/>
        </w:rPr>
      </w:pPr>
    </w:p>
    <w:p w14:paraId="7EFC78EB">
      <w:pPr>
        <w:rPr>
          <w:rFonts w:hint="eastAsia" w:cs="仿宋" w:asciiTheme="minorEastAsia" w:hAnsiTheme="minorEastAsia"/>
          <w:color w:val="auto"/>
          <w:sz w:val="24"/>
        </w:rPr>
      </w:pPr>
    </w:p>
    <w:p w14:paraId="5F1228A8">
      <w:pPr>
        <w:pStyle w:val="2"/>
        <w:rPr>
          <w:rFonts w:hint="eastAsia" w:cs="仿宋" w:asciiTheme="minorEastAsia" w:hAnsiTheme="minorEastAsia"/>
          <w:color w:val="auto"/>
          <w:sz w:val="24"/>
        </w:rPr>
      </w:pPr>
    </w:p>
    <w:p w14:paraId="10CD58E2">
      <w:pPr>
        <w:rPr>
          <w:rFonts w:hint="eastAsia" w:cs="仿宋" w:asciiTheme="minorEastAsia" w:hAnsiTheme="minorEastAsia"/>
          <w:color w:val="auto"/>
          <w:sz w:val="24"/>
        </w:rPr>
      </w:pPr>
    </w:p>
    <w:p w14:paraId="4BD64C24">
      <w:pPr>
        <w:pStyle w:val="2"/>
        <w:rPr>
          <w:rFonts w:hint="eastAsia" w:cs="仿宋" w:asciiTheme="minorEastAsia" w:hAnsiTheme="minorEastAsia"/>
          <w:color w:val="auto"/>
          <w:sz w:val="24"/>
        </w:rPr>
      </w:pPr>
    </w:p>
    <w:p w14:paraId="7229BF79">
      <w:pPr>
        <w:rPr>
          <w:rFonts w:hint="eastAsia" w:cs="仿宋" w:asciiTheme="minorEastAsia" w:hAnsiTheme="minorEastAsia"/>
          <w:color w:val="auto"/>
          <w:sz w:val="24"/>
        </w:rPr>
      </w:pPr>
    </w:p>
    <w:p w14:paraId="3520C70C">
      <w:pPr>
        <w:pStyle w:val="2"/>
        <w:rPr>
          <w:rFonts w:hint="eastAsia" w:cs="仿宋" w:asciiTheme="minorEastAsia" w:hAnsiTheme="minorEastAsia"/>
          <w:color w:val="auto"/>
          <w:sz w:val="24"/>
        </w:rPr>
      </w:pPr>
    </w:p>
    <w:p w14:paraId="3FB14E7F">
      <w:pPr>
        <w:rPr>
          <w:rFonts w:hint="eastAsia" w:cs="仿宋" w:asciiTheme="minorEastAsia" w:hAnsiTheme="minorEastAsia"/>
          <w:color w:val="auto"/>
          <w:sz w:val="24"/>
        </w:rPr>
      </w:pPr>
    </w:p>
    <w:p w14:paraId="3851C522">
      <w:pPr>
        <w:pStyle w:val="2"/>
        <w:rPr>
          <w:rFonts w:hint="eastAsia" w:cs="仿宋" w:asciiTheme="minorEastAsia" w:hAnsiTheme="minorEastAsia"/>
          <w:color w:val="auto"/>
          <w:sz w:val="24"/>
        </w:rPr>
      </w:pPr>
    </w:p>
    <w:p w14:paraId="63FB4F52">
      <w:pPr>
        <w:rPr>
          <w:rFonts w:hint="eastAsia" w:cs="仿宋" w:asciiTheme="minorEastAsia" w:hAnsiTheme="minorEastAsia"/>
          <w:color w:val="auto"/>
          <w:sz w:val="24"/>
        </w:rPr>
      </w:pPr>
    </w:p>
    <w:p w14:paraId="2423956C">
      <w:pPr>
        <w:pStyle w:val="2"/>
        <w:rPr>
          <w:rFonts w:hint="eastAsia" w:cs="仿宋" w:asciiTheme="minorEastAsia" w:hAnsiTheme="minorEastAsia"/>
          <w:color w:val="auto"/>
          <w:sz w:val="24"/>
        </w:rPr>
      </w:pPr>
    </w:p>
    <w:p w14:paraId="72F17142">
      <w:pPr>
        <w:rPr>
          <w:rFonts w:hint="eastAsia" w:cs="仿宋" w:asciiTheme="minorEastAsia" w:hAnsiTheme="minorEastAsia"/>
          <w:color w:val="auto"/>
          <w:sz w:val="24"/>
        </w:rPr>
      </w:pPr>
    </w:p>
    <w:p w14:paraId="0A90776D">
      <w:pPr>
        <w:pStyle w:val="2"/>
        <w:rPr>
          <w:rFonts w:hint="eastAsia" w:cs="仿宋" w:asciiTheme="minorEastAsia" w:hAnsiTheme="minorEastAsia"/>
          <w:color w:val="auto"/>
          <w:sz w:val="24"/>
        </w:rPr>
      </w:pPr>
    </w:p>
    <w:p w14:paraId="605D120E">
      <w:pPr>
        <w:rPr>
          <w:rFonts w:hint="eastAsia" w:cs="仿宋" w:asciiTheme="minorEastAsia" w:hAnsiTheme="minorEastAsia"/>
          <w:color w:val="auto"/>
          <w:sz w:val="24"/>
        </w:rPr>
      </w:pPr>
    </w:p>
    <w:p w14:paraId="1CBDC23C">
      <w:pPr>
        <w:pStyle w:val="2"/>
        <w:rPr>
          <w:rFonts w:hint="eastAsia" w:cs="仿宋" w:asciiTheme="minorEastAsia" w:hAnsiTheme="minorEastAsia"/>
          <w:color w:val="auto"/>
          <w:sz w:val="24"/>
        </w:rPr>
      </w:pPr>
    </w:p>
    <w:p w14:paraId="3A1CC488">
      <w:pPr>
        <w:rPr>
          <w:rFonts w:hint="eastAsia" w:cs="仿宋" w:asciiTheme="minorEastAsia" w:hAnsiTheme="minorEastAsia"/>
          <w:color w:val="auto"/>
          <w:sz w:val="24"/>
        </w:rPr>
      </w:pPr>
    </w:p>
    <w:p w14:paraId="0AE4640B">
      <w:pPr>
        <w:pStyle w:val="2"/>
        <w:rPr>
          <w:rFonts w:hint="eastAsia" w:cs="仿宋" w:asciiTheme="minorEastAsia" w:hAnsiTheme="minorEastAsia"/>
          <w:color w:val="auto"/>
          <w:sz w:val="24"/>
        </w:rPr>
      </w:pPr>
    </w:p>
    <w:p w14:paraId="0CEFF507">
      <w:pPr>
        <w:rPr>
          <w:rFonts w:hint="eastAsia" w:cs="仿宋" w:asciiTheme="minorEastAsia" w:hAnsiTheme="minorEastAsia"/>
          <w:color w:val="auto"/>
          <w:sz w:val="24"/>
        </w:rPr>
      </w:pPr>
    </w:p>
    <w:p w14:paraId="3AE66114">
      <w:pPr>
        <w:pStyle w:val="2"/>
        <w:rPr>
          <w:rFonts w:hint="eastAsia" w:cs="仿宋" w:asciiTheme="minorEastAsia" w:hAnsiTheme="minorEastAsia"/>
          <w:color w:val="auto"/>
          <w:sz w:val="24"/>
        </w:rPr>
      </w:pPr>
    </w:p>
    <w:p w14:paraId="33A64462">
      <w:pPr>
        <w:rPr>
          <w:rFonts w:hint="eastAsia" w:cs="仿宋" w:asciiTheme="minorEastAsia" w:hAnsiTheme="minorEastAsia"/>
          <w:color w:val="auto"/>
          <w:sz w:val="24"/>
        </w:rPr>
      </w:pPr>
    </w:p>
    <w:p w14:paraId="656DE1E3">
      <w:pPr>
        <w:pStyle w:val="2"/>
        <w:rPr>
          <w:rFonts w:hint="eastAsia" w:cs="仿宋" w:asciiTheme="minorEastAsia" w:hAnsiTheme="minorEastAsia"/>
          <w:color w:val="auto"/>
          <w:sz w:val="24"/>
        </w:rPr>
      </w:pPr>
    </w:p>
    <w:p w14:paraId="2377FCDF">
      <w:pPr>
        <w:rPr>
          <w:rFonts w:hint="eastAsia" w:cs="仿宋" w:asciiTheme="minorEastAsia" w:hAnsiTheme="minorEastAsia"/>
          <w:color w:val="auto"/>
          <w:sz w:val="24"/>
        </w:rPr>
      </w:pPr>
    </w:p>
    <w:p w14:paraId="5BBD1C94">
      <w:pPr>
        <w:pStyle w:val="2"/>
        <w:rPr>
          <w:rFonts w:hint="eastAsia" w:cs="仿宋" w:asciiTheme="minorEastAsia" w:hAnsiTheme="minorEastAsia"/>
          <w:color w:val="auto"/>
          <w:sz w:val="24"/>
        </w:rPr>
      </w:pPr>
    </w:p>
    <w:p w14:paraId="027CE52B">
      <w:pPr>
        <w:rPr>
          <w:rFonts w:hint="eastAsia" w:cs="仿宋" w:asciiTheme="minorEastAsia" w:hAnsiTheme="minorEastAsia"/>
          <w:color w:val="auto"/>
          <w:sz w:val="24"/>
        </w:rPr>
      </w:pPr>
    </w:p>
    <w:p w14:paraId="576DBD36">
      <w:pPr>
        <w:pStyle w:val="2"/>
        <w:rPr>
          <w:rFonts w:hint="eastAsia" w:cs="仿宋" w:asciiTheme="minorEastAsia" w:hAnsiTheme="minorEastAsia"/>
          <w:color w:val="auto"/>
          <w:sz w:val="24"/>
        </w:rPr>
      </w:pPr>
    </w:p>
    <w:p w14:paraId="7570E4CB">
      <w:pPr>
        <w:pStyle w:val="2"/>
        <w:rPr>
          <w:rFonts w:hint="eastAsia" w:cs="仿宋" w:asciiTheme="minorEastAsia" w:hAnsiTheme="minorEastAsia"/>
          <w:color w:val="auto"/>
          <w:sz w:val="24"/>
        </w:rPr>
      </w:pPr>
    </w:p>
    <w:p w14:paraId="4CB0D094">
      <w:pPr>
        <w:pStyle w:val="2"/>
        <w:rPr>
          <w:rFonts w:hint="eastAsia"/>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8"/>
        <w:ind w:left="0" w:leftChars="0" w:firstLine="0" w:firstLineChars="0"/>
        <w:rPr>
          <w:rFonts w:hint="eastAsia" w:cs="仿宋" w:asciiTheme="minorEastAsia" w:hAnsiTheme="minorEastAsia"/>
          <w:b/>
          <w:color w:val="auto"/>
          <w:sz w:val="32"/>
          <w:szCs w:val="20"/>
        </w:rPr>
      </w:pPr>
    </w:p>
    <w:p w14:paraId="08A39AFF">
      <w:pPr>
        <w:pStyle w:val="9"/>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7"/>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1"/>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10"/>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7"/>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10"/>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1"/>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7"/>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EC9E7AC">
      <w:pPr>
        <w:pStyle w:val="7"/>
        <w:ind w:firstLine="480" w:firstLineChars="200"/>
        <w:rPr>
          <w:rFonts w:hint="eastAsia"/>
          <w:color w:val="auto"/>
          <w:lang w:val="en-US" w:eastAsia="zh-CN"/>
        </w:rPr>
      </w:pPr>
      <w:r>
        <w:rPr>
          <w:rFonts w:hint="eastAsia"/>
          <w:lang w:val="en-US"/>
        </w:rPr>
        <w:t>杭州临江环境能源有限公司</w:t>
      </w:r>
      <w:r>
        <w:rPr>
          <w:rFonts w:hint="eastAsia"/>
          <w:lang w:val="en-US" w:eastAsia="zh-CN"/>
        </w:rPr>
        <w:t>需采购</w:t>
      </w:r>
      <w:r>
        <w:rPr>
          <w:rFonts w:hint="eastAsia"/>
          <w:color w:val="auto"/>
          <w:lang w:val="en-US" w:eastAsia="zh-CN"/>
        </w:rPr>
        <w:t>接害员工的在岗、岗前和离岗职业病体检服务</w:t>
      </w:r>
      <w:r>
        <w:rPr>
          <w:rFonts w:hint="eastAsia"/>
          <w:lang w:val="en-US"/>
        </w:rPr>
        <w:t>，</w:t>
      </w:r>
      <w:r>
        <w:rPr>
          <w:rFonts w:hint="eastAsia"/>
          <w:lang w:val="en-US" w:eastAsia="zh-CN"/>
        </w:rPr>
        <w:t>具体</w:t>
      </w:r>
      <w:r>
        <w:rPr>
          <w:rFonts w:hint="eastAsia"/>
          <w:color w:val="auto"/>
          <w:lang w:val="en-US" w:eastAsia="zh-CN"/>
        </w:rPr>
        <w:t>服务清单如下：</w:t>
      </w:r>
    </w:p>
    <w:p w14:paraId="6FE193D0">
      <w:pPr>
        <w:pStyle w:val="8"/>
        <w:rPr>
          <w:rFonts w:hint="default"/>
          <w:b/>
          <w:bCs/>
          <w:lang w:val="en-US" w:eastAsia="zh-CN"/>
        </w:rPr>
      </w:pPr>
      <w:r>
        <w:rPr>
          <w:rFonts w:hint="eastAsia"/>
          <w:b/>
          <w:bCs/>
          <w:color w:val="auto"/>
          <w:lang w:val="en-US" w:eastAsia="zh-CN"/>
        </w:rPr>
        <w:t>1.</w:t>
      </w:r>
      <w:r>
        <w:rPr>
          <w:rFonts w:hint="eastAsia" w:ascii="宋体" w:hAnsi="宋体" w:cs="宋体"/>
          <w:b/>
          <w:bCs/>
          <w:sz w:val="24"/>
          <w:lang w:val="en-US" w:eastAsia="zh-CN"/>
        </w:rPr>
        <w:t>在岗及离职人员体检清单</w:t>
      </w:r>
    </w:p>
    <w:tbl>
      <w:tblPr>
        <w:tblStyle w:val="15"/>
        <w:tblW w:w="880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383"/>
        <w:gridCol w:w="836"/>
        <w:gridCol w:w="5088"/>
        <w:gridCol w:w="884"/>
      </w:tblGrid>
      <w:tr w14:paraId="0A711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F823">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序号</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74F6">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接害工种</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0BD5">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部门</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B0F0">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接触的职业病危害因素</w:t>
            </w:r>
          </w:p>
        </w:tc>
        <w:tc>
          <w:tcPr>
            <w:tcW w:w="8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FB1466">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暂定接害人数(人)</w:t>
            </w:r>
          </w:p>
        </w:tc>
      </w:tr>
      <w:tr w14:paraId="1182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A8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DD4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机务专工、仪控专工、水处理专工</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82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D5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5F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r>
      <w:tr w14:paraId="6305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54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0BF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电气专工、烟气专工</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3A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F8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F5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4959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CB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45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（运行、技术）</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547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41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噪声、高温、氢氧化钠、盐酸、活性炭、工频电场、氢氧化钙、细菌、病毒、寄生虫</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4B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ECE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3B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67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值长、主控、副控、巡检</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977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61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BD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51</w:t>
            </w:r>
          </w:p>
        </w:tc>
      </w:tr>
      <w:tr w14:paraId="47F6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EB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72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水处理工、化验员</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9DE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0F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氨、硫化氢、盐酸、硫酸、氢氧化钠、飞灰、炉渣、消石灰、噪声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B4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r>
      <w:tr w14:paraId="6021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3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A5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垃圾吊操作员</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EE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B0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硫化氢、氨、噪声、硫醇类、硫醚类、吲哚类、胺类、 甲基硫、细菌、病毒、寄生虫</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20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r>
      <w:tr w14:paraId="20A0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789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048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安全员</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44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CA9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F3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59ED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7CB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ED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预处理主管及技术员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6F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F1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其他粉尘、苯、甲苯、二甲苯、乙酸乙酯、乙酸丁酯、丙酮、丁酮、甲醇、三氯甲烷、硫化氢、氢氧化钠、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3C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7BF2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00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4FE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仓管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51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9AB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苯、甲苯、二甲苯、乙酸乙酯、乙酸丁酯、丙酮、丁酮、甲醇、三氯甲烷、硫化氢、氟化氢、氯化氢及盐酸、氢氧化钠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61C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0D44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1E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46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医废主管及医废工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09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573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致病微生物</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0E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2528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CE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D0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危（医）废押运员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35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B57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其他粉尘、苯、甲苯、二甲苯、乙酸乙酯、乙酸丁酯、丙酮、丁酮、甲醇、三氯甲烷、硫化氢、氢氧化钠、致病微生物</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39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5C8DB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8D0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62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危（医）废司机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D3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346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其他粉尘、苯、甲苯、二甲苯、乙酸乙酯、乙酸丁酯、丙酮、丁酮、甲醇、三氯甲烷、硫化氢、氢氧化钠、致病微生物、职业机动车驾驶作业（大）</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B4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27BA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4A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60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焚烧总值长</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07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721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二氧化硫,一氧化碳,硫化氢,飞灰粉尘,高温,氯化氢及盐酸,二氧化氮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B0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CB45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53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F92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焚烧值长</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63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A93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飞灰粉尘,苯,甲苯,二甲苯,乙酸乙酯,乙酸丁酯,丙酮,丁酮,甲醇,三氯甲烷,硫化氢,氯化氢及盐酸,一氧化碳,二氧化氮,二氧化硫,氟化氢,氨,噪声,高温,工频电场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38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0493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99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1E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焚烧行车</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7EC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650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苯,甲醇,硫化氢,飞灰粉尘,丁酮,乙酸乙酯,乙酸丁酯,三氯甲烷,甲苯,二甲苯,丙酮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67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14AA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F2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37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焚烧巡检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861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325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飞灰粉尘,苯,甲苯,二甲苯,乙酸乙酯,乙酸丁酯,丙酮,丁酮,甲醇,三氯甲烷,硫化氢,氯化氢及盐酸,一氧化碳,二氧化氮,二氧化硫,氟化氢,氨,噪声,高温,工频电场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BC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r>
      <w:tr w14:paraId="73D0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17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FE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焚烧中控、焚烧汽机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04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D76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二氧化硫,一氧化碳,硫化氢,飞灰粉尘,高温,氯化氢及盐酸,二氧化氮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54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r>
      <w:tr w14:paraId="1400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1B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C4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水处理主管、水处理技术员、水处理工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39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26E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硫化氢,三氧化硫,硫酸,氯化氢及盐酸,氢氧化钠,噪声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05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292A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1C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9D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填埋主管、填埋技术员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AF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571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368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5717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33A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3A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挖机司机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C3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E4F6">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飞灰粉尘、噪声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67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61DD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01A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F9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分析技术员、实验分析</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DB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7D4C">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苯,甲苯,二甲苯,乙酸乙酯,乙酸丁酯,丙酮,丁酮,甲醇,三氯甲烷,硫化氢,氯化氢及盐酸,氢氧化钠</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24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23D3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54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7B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取样分析、工艺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CE7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227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苯,甲苯,二甲苯,乙酸乙酯,乙酸丁酯,丙酮,丁酮,甲醇,三氯甲烷,硫化氢,氯化氢及盐酸,氢氧化钠,飞灰粉尘</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C32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r>
      <w:tr w14:paraId="11DB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5E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804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仪控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2E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BED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二氧化硫,一氧化碳,硫化氢,飞灰粉尘,噪声,高温,电焊烟尘,氯化氢及盐酸,二氧化氮</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C59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r>
      <w:tr w14:paraId="5DDA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F0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C8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电工</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BA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924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二氧化硫,一氧化碳,硫化氢,飞灰粉尘,噪声,高温,氯化氢及盐酸,二氧化氮,工频电场,电工作业</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19D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2003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65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DB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03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41B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二氧化硫,一氧化碳,硫化氢,飞灰粉尘,噪声,高温,电焊烟尘,氯化氢及盐酸,二氧化氮,电焊弧光</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14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r>
      <w:tr w14:paraId="1918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C2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0536">
            <w:pPr>
              <w:jc w:val="center"/>
              <w:rPr>
                <w:rFonts w:hint="eastAsia" w:ascii="宋体" w:hAnsi="宋体" w:eastAsia="宋体" w:cs="宋体"/>
                <w:i w:val="0"/>
                <w:iCs w:val="0"/>
                <w:color w:val="000000"/>
                <w:sz w:val="15"/>
                <w:szCs w:val="15"/>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9C32">
            <w:pPr>
              <w:jc w:val="center"/>
              <w:rPr>
                <w:rFonts w:hint="eastAsia" w:ascii="宋体" w:hAnsi="宋体" w:eastAsia="宋体" w:cs="宋体"/>
                <w:i w:val="0"/>
                <w:iCs w:val="0"/>
                <w:color w:val="000000"/>
                <w:sz w:val="15"/>
                <w:szCs w:val="15"/>
                <w:u w:val="none"/>
              </w:rPr>
            </w:pPr>
          </w:p>
        </w:tc>
        <w:tc>
          <w:tcPr>
            <w:tcW w:w="5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6194">
            <w:pPr>
              <w:jc w:val="center"/>
              <w:rPr>
                <w:rFonts w:hint="eastAsia" w:ascii="宋体" w:hAnsi="宋体" w:eastAsia="宋体" w:cs="宋体"/>
                <w:i w:val="0"/>
                <w:iCs w:val="0"/>
                <w:color w:val="000000"/>
                <w:sz w:val="15"/>
                <w:szCs w:val="15"/>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C1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192</w:t>
            </w:r>
          </w:p>
        </w:tc>
      </w:tr>
    </w:tbl>
    <w:p w14:paraId="5C3EAF2A">
      <w:pPr>
        <w:spacing w:line="360" w:lineRule="auto"/>
        <w:ind w:firstLine="482" w:firstLineChars="200"/>
        <w:jc w:val="both"/>
        <w:outlineLvl w:val="0"/>
        <w:rPr>
          <w:rFonts w:hint="eastAsia" w:ascii="宋体" w:hAnsi="宋体" w:eastAsia="宋体" w:cs="宋体"/>
          <w:b/>
          <w:bCs/>
          <w:sz w:val="24"/>
        </w:rPr>
      </w:pPr>
      <w:r>
        <w:rPr>
          <w:rFonts w:hint="eastAsia" w:ascii="宋体" w:hAnsi="宋体" w:eastAsia="宋体" w:cs="宋体"/>
          <w:b/>
          <w:bCs/>
          <w:sz w:val="24"/>
          <w:lang w:val="en-US" w:eastAsia="zh-CN"/>
        </w:rPr>
        <w:t>2.岗前人员体检清单</w:t>
      </w:r>
    </w:p>
    <w:tbl>
      <w:tblPr>
        <w:tblStyle w:val="15"/>
        <w:tblW w:w="88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370"/>
        <w:gridCol w:w="847"/>
        <w:gridCol w:w="5103"/>
        <w:gridCol w:w="871"/>
      </w:tblGrid>
      <w:tr w14:paraId="17AE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920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C1A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接害工种</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1F1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部门</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D37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接触的职业病危害因素</w:t>
            </w:r>
          </w:p>
        </w:tc>
        <w:tc>
          <w:tcPr>
            <w:tcW w:w="87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75E46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暂定接害人数(人)</w:t>
            </w:r>
          </w:p>
        </w:tc>
      </w:tr>
      <w:tr w14:paraId="766D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AC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28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机务专工、仪控专工、水处理专工</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95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2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8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337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35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14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电气专工、烟气专工</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7F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C6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93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E9D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6B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0B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（运行、技术）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8DC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93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噪声、高温、氢氧化钠、盐酸、活性炭、工频电场、氢氧化钙、细菌、病毒、寄生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8F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EF1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C7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42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值长、主控、副控、巡检</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91F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45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1F5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r>
      <w:tr w14:paraId="6B44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A1C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2A6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水处理工、化验员</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75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7C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氨、硫化氢、盐酸、硫酸、氢氧化钠、飞灰、炉渣、消石灰、噪声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0B8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321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21F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690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垃圾吊操作员</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726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7D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硫化氢、氨、噪声、硫醇类、硫醚类、吲哚类、胺类、 甲基硫、细菌、病毒、寄生虫</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A06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214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09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32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安全员</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93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19E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AD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50C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B8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06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预处理主管及技术员</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53D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6BC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其他粉尘、苯、甲苯、二甲苯、乙酸乙酯、乙酸丁酯、丙酮、丁酮、甲醇、三氯甲烷、硫化氢、氢氧化钠、</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50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9F4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AB3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A87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仓管</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A9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447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苯、甲苯、二甲苯、乙酸乙酯、乙酸丁酯、丙酮、丁酮、甲醇、三氯甲烷、硫化氢、氟化氢、氯化氢及盐酸、氢氧化钠</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FE2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F20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4A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0D8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仓储叉车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1F0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86F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苯、甲苯、二甲苯、乙酸乙酯、乙酸丁酯、丙酮、丁酮、甲醇、三氯甲烷、硫化氢、氟化氢、氯化氢及盐酸、氢氧化钠、噪声、职业机动车驾驶作业（小）</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AC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550B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4C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8E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医废主管及医废工</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E5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596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致病微生物</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7C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727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67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DA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医废押运员</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F1E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46C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其他粉尘、苯、甲苯、二甲苯、乙酸乙酯、乙酸丁酯、丙酮、丁酮、甲醇、三氯甲烷、硫化氢、氢氧化钠、致病微生物</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03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279C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501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3D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医废车司机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E0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767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其他粉尘、苯、甲苯、二甲苯、乙酸乙酯、乙酸丁酯、丙酮、丁酮、甲醇、三氯甲烷、硫化氢、氢氧化钠、致病微生物、职业机动车驾驶作业（大）</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4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801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ED7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C1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焚烧总值长</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DD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468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二氧化硫,一氧化碳,硫化氢,飞灰粉尘,高温,氯化氢及盐酸,二氧化氮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F2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6025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6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29E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焚烧值长</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DCB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0C0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飞灰粉尘,苯,甲苯,二甲苯,乙酸乙酯,乙酸丁酯,丙酮,丁酮,甲醇,三氯甲烷,硫化氢,氯化氢及盐酸,一氧化碳,二氧化氮,二氧化硫,氟化氢,氨,噪声,高温,工频电场</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4F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C95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26E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1F4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焚烧行车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DE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841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苯,甲醇,硫化氢,飞灰粉尘,丁酮,乙酸乙酯,乙酸丁酯,三氯甲烷,甲苯,二甲苯,丙酮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50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18E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F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2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焚烧巡检</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85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C03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飞灰粉尘,苯,甲苯,二甲苯,乙酸乙酯,乙酸丁酯,丙酮,丁酮,甲醇,三氯甲烷,硫化氢,氯化氢及盐酸,一氧化碳,二氧化氮,二氧化硫,氟化氢,氨,噪声,高温,工频电场</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59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3BBE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BE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B3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焚烧中控、焚烧汽机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8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46C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二氧化硫,一氧化碳,硫化氢,飞灰粉尘,高温,氯化氢及盐酸,二氧化氮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1D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r>
      <w:tr w14:paraId="230E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4A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5E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水处理主管、水处理技术员、水处理工</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84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A1CD">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硫化氢,三氧化硫,硫酸,氯化氢及盐酸,氢氧化钠,噪声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0CE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64B6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44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8D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填埋主管、填埋技术员</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10F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568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A15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1BA3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C2B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DB1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挖机司机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74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9CF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飞灰粉尘、噪声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6D5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E02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B9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EF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填埋叉车</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CD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AB5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其他粉尘、噪声、职业机动车驾驶作业（小）</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95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016B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86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A7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飞灰车及装卸车司机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16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36A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其他粉尘、噪声、职业机动车驾驶作业（大）</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E7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AD9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9C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3E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分析技术员、实验分析</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CD5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9B5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苯,甲苯,二甲苯,乙酸乙酯,乙酸丁酯,丙酮,丁酮,甲醇,三氯甲烷,硫化氢,氯化氢及盐酸,氢氧化钠</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83A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C74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3A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61A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取样分析、工艺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1B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9AC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苯,甲苯,二甲苯,乙酸乙酯,乙酸丁酯,丙酮,丁酮,甲醇,三氯甲烷,硫化氢,氯化氢及盐酸,氢氧化钠,飞灰粉尘</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B0D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7A7B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D83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36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仪控</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4C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9BE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二氧化硫,一氧化碳,硫化氢,飞灰粉尘,噪声,高温,电焊烟尘,氯化氢及盐酸,二氧化氮</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6C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A2F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1A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07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电工</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6A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C5F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二氧化硫,一氧化碳,硫化氢,飞灰粉尘,噪声,高温,氯化氢及盐酸,二氧化氮,工频电场,电工作业</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D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4BD6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F5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1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071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机修</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72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三固运行中心</w:t>
            </w:r>
          </w:p>
        </w:tc>
        <w:tc>
          <w:tcPr>
            <w:tcW w:w="5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B59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二氧化硫,一氧化碳,硫化氢,飞灰粉尘,噪声,高温,电焊烟尘,氯化氢及盐酸,二氧化氮,电焊弧光</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DE9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r>
      <w:tr w14:paraId="3BFA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765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8A9B">
            <w:pPr>
              <w:jc w:val="center"/>
              <w:rPr>
                <w:rFonts w:hint="eastAsia" w:ascii="宋体" w:hAnsi="宋体" w:eastAsia="宋体" w:cs="宋体"/>
                <w:i w:val="0"/>
                <w:iCs w:val="0"/>
                <w:color w:val="000000"/>
                <w:sz w:val="15"/>
                <w:szCs w:val="15"/>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371C">
            <w:pPr>
              <w:jc w:val="center"/>
              <w:rPr>
                <w:rFonts w:hint="eastAsia" w:ascii="宋体" w:hAnsi="宋体" w:eastAsia="宋体" w:cs="宋体"/>
                <w:i w:val="0"/>
                <w:iCs w:val="0"/>
                <w:color w:val="000000"/>
                <w:sz w:val="15"/>
                <w:szCs w:val="15"/>
                <w:u w:val="none"/>
              </w:rPr>
            </w:pPr>
          </w:p>
        </w:tc>
        <w:tc>
          <w:tcPr>
            <w:tcW w:w="5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828C">
            <w:pPr>
              <w:jc w:val="center"/>
              <w:rPr>
                <w:rFonts w:hint="eastAsia" w:ascii="宋体" w:hAnsi="宋体" w:eastAsia="宋体" w:cs="宋体"/>
                <w:i w:val="0"/>
                <w:iCs w:val="0"/>
                <w:color w:val="000000"/>
                <w:sz w:val="15"/>
                <w:szCs w:val="15"/>
                <w:u w:val="none"/>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9C4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r>
    </w:tbl>
    <w:p w14:paraId="7746DFE3">
      <w:pPr>
        <w:pStyle w:val="7"/>
        <w:numPr>
          <w:ilvl w:val="0"/>
          <w:numId w:val="0"/>
        </w:numPr>
        <w:ind w:firstLine="482" w:firstLineChars="200"/>
        <w:rPr>
          <w:rFonts w:hint="eastAsia"/>
          <w:b/>
          <w:bCs/>
          <w:color w:val="auto"/>
          <w:lang w:val="en-US" w:eastAsia="zh-CN"/>
        </w:rPr>
      </w:pPr>
    </w:p>
    <w:p w14:paraId="259F5895">
      <w:pPr>
        <w:pStyle w:val="7"/>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olor w:val="auto"/>
          <w:highlight w:val="none"/>
          <w:u w:val="single"/>
          <w:lang w:val="en-US" w:eastAsia="zh-CN"/>
        </w:rPr>
        <w:t>自合同签订后12个月；</w:t>
      </w:r>
    </w:p>
    <w:p w14:paraId="570A46CB">
      <w:pPr>
        <w:pStyle w:val="7"/>
        <w:numPr>
          <w:ilvl w:val="0"/>
          <w:numId w:val="0"/>
        </w:numPr>
        <w:ind w:firstLine="482" w:firstLineChars="200"/>
        <w:rPr>
          <w:rFonts w:hint="default" w:cs="仿宋" w:asciiTheme="minorEastAsia" w:hAnsiTheme="minorEastAsia"/>
          <w:b/>
          <w:bCs/>
          <w:kern w:val="0"/>
          <w:lang w:val="en-US" w:eastAsia="zh-CN"/>
        </w:rPr>
      </w:pPr>
      <w:r>
        <w:rPr>
          <w:rFonts w:hint="eastAsia" w:cs="仿宋" w:asciiTheme="minorEastAsia" w:hAnsiTheme="minorEastAsia"/>
          <w:b/>
          <w:bCs/>
          <w:kern w:val="0"/>
          <w:lang w:val="en-US" w:eastAsia="zh-CN"/>
        </w:rPr>
        <w:t>▲三、技术要求</w:t>
      </w:r>
    </w:p>
    <w:p w14:paraId="6839506A">
      <w:pPr>
        <w:pStyle w:val="7"/>
        <w:numPr>
          <w:ilvl w:val="0"/>
          <w:numId w:val="0"/>
        </w:numPr>
        <w:ind w:firstLine="480" w:firstLineChars="200"/>
        <w:rPr>
          <w:rFonts w:hint="eastAsia" w:cs="仿宋" w:asciiTheme="minorEastAsia" w:hAnsiTheme="minorEastAsia"/>
          <w:b/>
          <w:bCs/>
          <w:kern w:val="0"/>
          <w:lang w:val="en-US" w:eastAsia="zh-CN"/>
        </w:rPr>
      </w:pPr>
      <w:r>
        <w:rPr>
          <w:rFonts w:hint="eastAsia" w:ascii="宋体"/>
          <w:color w:val="auto"/>
          <w:lang w:val="en-US" w:eastAsia="zh-CN"/>
        </w:rPr>
        <w:t>供应商应按国家规定的有关技术标准、规范进行职业健康检查，向采购人交付《职业健康检查个体结论报告》和《职业健康检查总结报告》，并对职业健康检查结果及其报告的质量负责。</w:t>
      </w:r>
    </w:p>
    <w:p w14:paraId="23137706">
      <w:pPr>
        <w:pStyle w:val="7"/>
        <w:numPr>
          <w:ilvl w:val="0"/>
          <w:numId w:val="0"/>
        </w:numPr>
        <w:ind w:firstLine="482" w:firstLineChars="200"/>
        <w:rPr>
          <w:rFonts w:hint="eastAsia" w:cs="仿宋" w:asciiTheme="minorEastAsia" w:hAnsiTheme="minorEastAsia"/>
          <w:b/>
          <w:bCs/>
          <w:kern w:val="0"/>
          <w:lang w:val="en-US" w:eastAsia="zh-CN"/>
        </w:rPr>
      </w:pPr>
      <w:r>
        <w:rPr>
          <w:rFonts w:hint="eastAsia" w:cs="仿宋" w:asciiTheme="minorEastAsia" w:hAnsiTheme="minorEastAsia"/>
          <w:b/>
          <w:bCs/>
          <w:kern w:val="0"/>
          <w:lang w:val="en-US" w:eastAsia="zh-CN"/>
        </w:rPr>
        <w:t>▲四、服务要求</w:t>
      </w:r>
    </w:p>
    <w:p w14:paraId="34EDD598">
      <w:pPr>
        <w:pStyle w:val="7"/>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1.供应商</w:t>
      </w:r>
      <w:r>
        <w:rPr>
          <w:rFonts w:hint="eastAsia" w:ascii="宋体" w:hAnsi="Times New Roman" w:cs="Times New Roman" w:eastAsiaTheme="minorEastAsia"/>
          <w:snapToGrid/>
          <w:color w:val="auto"/>
          <w:kern w:val="2"/>
          <w:sz w:val="24"/>
          <w:szCs w:val="20"/>
          <w:lang w:val="en-US" w:eastAsia="zh-CN" w:bidi="ar-SA"/>
        </w:rPr>
        <w:t>应在</w:t>
      </w:r>
      <w:r>
        <w:rPr>
          <w:rFonts w:hint="eastAsia" w:ascii="宋体" w:hAnsi="Times New Roman"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检查人员完成检查之日起30个工作日内向</w:t>
      </w:r>
      <w:r>
        <w:rPr>
          <w:rFonts w:hint="eastAsia" w:hAnsi="Times New Roman"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交付《职业健康检查个体结论报告》和《职业健康检查总结报告》；</w:t>
      </w:r>
    </w:p>
    <w:p w14:paraId="0704F7CA">
      <w:pPr>
        <w:pStyle w:val="8"/>
        <w:numPr>
          <w:ilvl w:val="0"/>
          <w:numId w:val="0"/>
        </w:numPr>
        <w:ind w:firstLine="480" w:firstLineChars="200"/>
        <w:rPr>
          <w:rFonts w:hint="eastAsia" w:ascii="宋体" w:hAnsi="Times New Roman" w:cs="Times New Roman" w:eastAsiaTheme="minorEastAsia"/>
          <w:b/>
          <w:bCs/>
          <w:snapToGrid/>
          <w:color w:val="auto"/>
          <w:kern w:val="2"/>
          <w:sz w:val="24"/>
          <w:szCs w:val="20"/>
          <w:lang w:val="en-US" w:eastAsia="zh-CN" w:bidi="ar-SA"/>
        </w:rPr>
      </w:pPr>
      <w:r>
        <w:rPr>
          <w:rFonts w:hint="eastAsia" w:cs="Times New Roman"/>
          <w:snapToGrid/>
          <w:color w:val="auto"/>
          <w:kern w:val="2"/>
          <w:sz w:val="24"/>
          <w:szCs w:val="20"/>
          <w:lang w:val="en-US" w:eastAsia="zh-CN" w:bidi="ar-SA"/>
        </w:rPr>
        <w:t>2.</w:t>
      </w:r>
      <w:r>
        <w:rPr>
          <w:rFonts w:hint="eastAsia" w:ascii="宋体" w:hAnsi="Times New Roman" w:cs="Times New Roman" w:eastAsiaTheme="minorEastAsia"/>
          <w:snapToGrid/>
          <w:color w:val="auto"/>
          <w:kern w:val="2"/>
          <w:sz w:val="24"/>
          <w:szCs w:val="20"/>
          <w:lang w:val="en-US" w:eastAsia="zh-CN" w:bidi="ar-SA"/>
        </w:rPr>
        <w:t>岗前和离岗的人员在</w:t>
      </w:r>
      <w:r>
        <w:rPr>
          <w:rFonts w:hint="eastAsia"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指定地点检查，在岗的人员</w:t>
      </w:r>
      <w:r>
        <w:rPr>
          <w:rFonts w:hint="eastAsia" w:cs="Times New Roman"/>
          <w:snapToGrid/>
          <w:color w:val="auto"/>
          <w:kern w:val="2"/>
          <w:sz w:val="24"/>
          <w:szCs w:val="20"/>
          <w:lang w:val="en-US" w:eastAsia="zh-CN" w:bidi="ar-SA"/>
        </w:rPr>
        <w:t>应</w:t>
      </w:r>
      <w:r>
        <w:rPr>
          <w:rFonts w:hint="eastAsia" w:ascii="宋体" w:hAnsi="Times New Roman" w:cs="Times New Roman" w:eastAsiaTheme="minorEastAsia"/>
          <w:snapToGrid/>
          <w:color w:val="auto"/>
          <w:kern w:val="2"/>
          <w:sz w:val="24"/>
          <w:szCs w:val="20"/>
          <w:lang w:val="en-US" w:eastAsia="zh-CN" w:bidi="ar-SA"/>
        </w:rPr>
        <w:t>在</w:t>
      </w:r>
      <w:r>
        <w:rPr>
          <w:rFonts w:hint="eastAsia" w:cs="Times New Roman"/>
          <w:snapToGrid/>
          <w:color w:val="auto"/>
          <w:kern w:val="2"/>
          <w:sz w:val="24"/>
          <w:szCs w:val="20"/>
          <w:lang w:val="en-US" w:eastAsia="zh-CN" w:bidi="ar-SA"/>
        </w:rPr>
        <w:t>采</w:t>
      </w:r>
      <w:r>
        <w:rPr>
          <w:rFonts w:hint="eastAsia" w:cs="Times New Roman"/>
          <w:b/>
          <w:bCs/>
          <w:snapToGrid/>
          <w:color w:val="auto"/>
          <w:kern w:val="2"/>
          <w:sz w:val="24"/>
          <w:szCs w:val="20"/>
          <w:lang w:val="en-US" w:eastAsia="zh-CN" w:bidi="ar-SA"/>
        </w:rPr>
        <w:t>购人</w:t>
      </w:r>
      <w:r>
        <w:rPr>
          <w:rFonts w:hint="eastAsia" w:ascii="宋体" w:hAnsi="Times New Roman" w:cs="Times New Roman" w:eastAsiaTheme="minorEastAsia"/>
          <w:b/>
          <w:bCs/>
          <w:snapToGrid/>
          <w:color w:val="auto"/>
          <w:kern w:val="2"/>
          <w:sz w:val="24"/>
          <w:szCs w:val="20"/>
          <w:lang w:val="en-US" w:eastAsia="zh-CN" w:bidi="ar-SA"/>
        </w:rPr>
        <w:t>公司所在地检查</w:t>
      </w:r>
      <w:r>
        <w:rPr>
          <w:rFonts w:hint="eastAsia" w:cs="Times New Roman"/>
          <w:b/>
          <w:bCs/>
          <w:snapToGrid/>
          <w:color w:val="auto"/>
          <w:kern w:val="2"/>
          <w:sz w:val="24"/>
          <w:szCs w:val="20"/>
          <w:lang w:val="en-US" w:eastAsia="zh-CN" w:bidi="ar-SA"/>
        </w:rPr>
        <w:t>（杭州市钱塘区临江街道红十五线与观十五线交叉口）；</w:t>
      </w:r>
    </w:p>
    <w:p w14:paraId="42C0E5A6">
      <w:pPr>
        <w:pStyle w:val="7"/>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cs="Times New Roman"/>
          <w:snapToGrid/>
          <w:color w:val="auto"/>
          <w:kern w:val="2"/>
          <w:sz w:val="24"/>
          <w:szCs w:val="20"/>
          <w:lang w:val="en-US" w:eastAsia="zh-CN" w:bidi="ar-SA"/>
        </w:rPr>
        <w:t>3.</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应遵守职业健康监护的伦理道德规范，保护受检者隐私，</w:t>
      </w:r>
      <w:r>
        <w:rPr>
          <w:rFonts w:hint="eastAsia" w:ascii="宋体"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向</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提供的所有资料以及</w:t>
      </w:r>
      <w:r>
        <w:rPr>
          <w:rFonts w:hint="eastAsia" w:ascii="宋体"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人员职业健康检查结果，除受检者本人和</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依法向</w:t>
      </w:r>
      <w:r>
        <w:rPr>
          <w:rFonts w:hint="eastAsia" w:ascii="宋体" w:cs="Times New Roman"/>
          <w:snapToGrid/>
          <w:color w:val="auto"/>
          <w:kern w:val="2"/>
          <w:sz w:val="24"/>
          <w:szCs w:val="20"/>
          <w:lang w:val="en-US" w:eastAsia="zh-CN" w:bidi="ar-SA"/>
        </w:rPr>
        <w:t>采购人</w:t>
      </w:r>
      <w:r>
        <w:rPr>
          <w:rFonts w:hint="eastAsia" w:ascii="宋体" w:hAnsi="Times New Roman" w:cs="Times New Roman" w:eastAsiaTheme="minorEastAsia"/>
          <w:snapToGrid/>
          <w:color w:val="auto"/>
          <w:kern w:val="2"/>
          <w:sz w:val="24"/>
          <w:szCs w:val="20"/>
          <w:lang w:val="en-US" w:eastAsia="zh-CN" w:bidi="ar-SA"/>
        </w:rPr>
        <w:t>告知外，</w:t>
      </w:r>
      <w:r>
        <w:rPr>
          <w:rFonts w:hint="eastAsia" w:ascii="宋体" w:cs="Times New Roman"/>
          <w:snapToGrid/>
          <w:color w:val="auto"/>
          <w:kern w:val="2"/>
          <w:sz w:val="24"/>
          <w:szCs w:val="20"/>
          <w:lang w:val="en-US" w:eastAsia="zh-CN" w:bidi="ar-SA"/>
        </w:rPr>
        <w:t>供应商</w:t>
      </w:r>
      <w:r>
        <w:rPr>
          <w:rFonts w:hint="eastAsia" w:ascii="宋体" w:hAnsi="Times New Roman" w:cs="Times New Roman" w:eastAsiaTheme="minorEastAsia"/>
          <w:snapToGrid/>
          <w:color w:val="auto"/>
          <w:kern w:val="2"/>
          <w:sz w:val="24"/>
          <w:szCs w:val="20"/>
          <w:lang w:val="en-US" w:eastAsia="zh-CN" w:bidi="ar-SA"/>
        </w:rPr>
        <w:t>不得向任何第三方泄露。</w:t>
      </w:r>
    </w:p>
    <w:p w14:paraId="6CBB2579">
      <w:pPr>
        <w:pStyle w:val="7"/>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仿宋" w:asciiTheme="minorEastAsia" w:hAnsiTheme="minorEastAsia"/>
          <w:b/>
          <w:bCs/>
          <w:kern w:val="0"/>
          <w:lang w:val="en-US" w:eastAsia="zh-CN"/>
        </w:rPr>
        <w:t>五</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1330719D">
      <w:pPr>
        <w:pStyle w:val="7"/>
        <w:numPr>
          <w:ilvl w:val="0"/>
          <w:numId w:val="0"/>
        </w:numPr>
        <w:ind w:firstLine="480" w:firstLineChars="200"/>
        <w:rPr>
          <w:rFonts w:hint="default" w:cs="仿宋" w:asciiTheme="minorEastAsia" w:hAnsiTheme="minorEastAsia"/>
          <w:kern w:val="0"/>
          <w:lang w:val="en-US" w:eastAsia="zh-CN"/>
        </w:rPr>
      </w:pPr>
      <w:r>
        <w:rPr>
          <w:rFonts w:hint="eastAsia" w:ascii="宋体"/>
          <w:color w:val="auto"/>
          <w:lang w:val="en-US" w:eastAsia="zh-CN"/>
        </w:rPr>
        <w:t>供应商按采购人受检人员人数提供每位受检人员一份《职业健康检查个体结论报告》和一份《职业健康检查总结报告》</w:t>
      </w:r>
      <w:r>
        <w:rPr>
          <w:rFonts w:hint="eastAsia" w:cs="仿宋" w:asciiTheme="minorEastAsia" w:hAnsiTheme="minorEastAsia"/>
          <w:kern w:val="0"/>
          <w:lang w:val="en-US" w:eastAsia="zh-CN"/>
        </w:rPr>
        <w:t>，视为验收通过。</w:t>
      </w:r>
    </w:p>
    <w:p w14:paraId="1672E0A7">
      <w:pPr>
        <w:pStyle w:val="7"/>
        <w:numPr>
          <w:ilvl w:val="0"/>
          <w:numId w:val="0"/>
        </w:numPr>
        <w:ind w:firstLine="482" w:firstLineChars="200"/>
        <w:rPr>
          <w:rFonts w:hint="eastAsia" w:ascii="宋体"/>
          <w:b/>
          <w:bCs/>
          <w:color w:val="auto"/>
          <w:lang w:val="en-US" w:eastAsia="zh-CN"/>
        </w:rPr>
      </w:pPr>
      <w:r>
        <w:rPr>
          <w:rFonts w:hint="eastAsia" w:ascii="宋体"/>
          <w:b/>
          <w:bCs/>
          <w:color w:val="auto"/>
          <w:lang w:val="en-US" w:eastAsia="zh-CN"/>
        </w:rPr>
        <w:t>▲</w:t>
      </w:r>
      <w:r>
        <w:rPr>
          <w:rFonts w:hint="eastAsia"/>
          <w:b/>
          <w:bCs/>
          <w:color w:val="auto"/>
          <w:lang w:val="en-US" w:eastAsia="zh-CN"/>
        </w:rPr>
        <w:t>六</w:t>
      </w:r>
      <w:r>
        <w:rPr>
          <w:rFonts w:hint="eastAsia" w:ascii="宋体"/>
          <w:b/>
          <w:bCs/>
          <w:color w:val="auto"/>
          <w:lang w:val="en-US" w:eastAsia="zh-CN"/>
        </w:rPr>
        <w:t>、结算方式</w:t>
      </w:r>
    </w:p>
    <w:p w14:paraId="1ADD314A">
      <w:pPr>
        <w:pStyle w:val="8"/>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7"/>
        <w:numPr>
          <w:ilvl w:val="0"/>
          <w:numId w:val="0"/>
        </w:numPr>
        <w:ind w:firstLine="482" w:firstLineChars="200"/>
        <w:rPr>
          <w:rFonts w:hint="eastAsia"/>
          <w:b/>
          <w:bCs/>
          <w:color w:val="auto"/>
          <w:lang w:val="en-US" w:eastAsia="zh-CN"/>
        </w:rPr>
      </w:pPr>
      <w:r>
        <w:rPr>
          <w:rFonts w:hint="eastAsia" w:cs="仿宋" w:asciiTheme="minorEastAsia" w:hAnsiTheme="minorEastAsia"/>
          <w:b/>
          <w:bCs/>
          <w:kern w:val="0"/>
          <w:lang w:val="en-US" w:eastAsia="zh-CN"/>
        </w:rPr>
        <w:t>七</w:t>
      </w:r>
      <w:r>
        <w:rPr>
          <w:rFonts w:hint="eastAsia"/>
          <w:b/>
          <w:bCs/>
          <w:color w:val="auto"/>
          <w:lang w:val="en-US" w:eastAsia="zh-CN"/>
        </w:rPr>
        <w:t>、售后要求</w:t>
      </w:r>
    </w:p>
    <w:p w14:paraId="7172BA2A">
      <w:pPr>
        <w:pStyle w:val="7"/>
        <w:numPr>
          <w:ilvl w:val="0"/>
          <w:numId w:val="0"/>
        </w:numPr>
        <w:ind w:firstLine="480" w:firstLineChars="200"/>
        <w:rPr>
          <w:rFonts w:hint="eastAsia"/>
          <w:color w:val="auto"/>
          <w:lang w:val="en-US" w:eastAsia="zh-CN"/>
        </w:rPr>
      </w:pPr>
      <w:r>
        <w:rPr>
          <w:rFonts w:hint="eastAsia"/>
          <w:color w:val="auto"/>
          <w:lang w:val="en-US" w:eastAsia="zh-CN"/>
        </w:rPr>
        <w:t>1.供应商</w:t>
      </w:r>
      <w:r>
        <w:rPr>
          <w:rFonts w:hint="eastAsia" w:ascii="宋体"/>
          <w:color w:val="auto"/>
          <w:lang w:val="en-US" w:eastAsia="zh-CN"/>
        </w:rPr>
        <w:t>按照清单要求进行职业病健康检查，并出具及时提供检查报告。对于出现意外情况导致检查服务无法一次性完成，供应商应配合采购人完成剩余检查项目；</w:t>
      </w:r>
    </w:p>
    <w:p w14:paraId="24DFD8ED">
      <w:pPr>
        <w:pStyle w:val="7"/>
        <w:numPr>
          <w:ilvl w:val="0"/>
          <w:numId w:val="0"/>
        </w:numPr>
        <w:ind w:firstLine="480" w:firstLineChars="200"/>
        <w:rPr>
          <w:rFonts w:hint="eastAsia"/>
          <w:b/>
          <w:bCs/>
          <w:color w:val="auto"/>
          <w:lang w:val="en-US" w:eastAsia="zh-CN"/>
        </w:rPr>
      </w:pPr>
      <w:r>
        <w:rPr>
          <w:rFonts w:hint="eastAsia"/>
          <w:color w:val="auto"/>
          <w:lang w:val="en-US" w:eastAsia="zh-CN"/>
        </w:rPr>
        <w:t>2.供应商</w:t>
      </w:r>
      <w:r>
        <w:rPr>
          <w:rFonts w:hint="eastAsia" w:ascii="宋体"/>
          <w:color w:val="auto"/>
          <w:lang w:val="en-US" w:eastAsia="zh-CN"/>
        </w:rPr>
        <w:t>承诺在合同有效期内，单价不变，按实结算服务费用。</w:t>
      </w:r>
    </w:p>
    <w:p w14:paraId="512E4CE6">
      <w:pPr>
        <w:pStyle w:val="7"/>
        <w:numPr>
          <w:ilvl w:val="0"/>
          <w:numId w:val="0"/>
        </w:numPr>
        <w:ind w:firstLine="482" w:firstLineChars="200"/>
        <w:rPr>
          <w:rFonts w:hint="eastAsia"/>
          <w:b/>
          <w:bCs/>
          <w:color w:val="auto"/>
          <w:lang w:val="en-US" w:eastAsia="zh-CN"/>
        </w:rPr>
      </w:pPr>
    </w:p>
    <w:p w14:paraId="7CA1B4B7">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DB689D0">
      <w:pPr>
        <w:rPr>
          <w:rFonts w:hint="eastAsia"/>
          <w:color w:val="auto"/>
          <w:lang w:eastAsia="zh-CN"/>
        </w:rPr>
      </w:pPr>
      <w:r>
        <w:rPr>
          <w:rFonts w:hint="eastAsia" w:cs="仿宋" w:asciiTheme="minorEastAsia" w:hAnsiTheme="minorEastAsia"/>
          <w:b/>
          <w:color w:val="auto"/>
          <w:sz w:val="36"/>
          <w:szCs w:val="36"/>
          <w:highlight w:val="none"/>
        </w:rPr>
        <w:br w:type="page"/>
      </w: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308"/>
      <w:bookmarkEnd w:id="19"/>
      <w:bookmarkStart w:id="20" w:name="_Toc184310286"/>
      <w:bookmarkEnd w:id="20"/>
      <w:bookmarkStart w:id="21" w:name="_Toc184308062"/>
      <w:bookmarkEnd w:id="21"/>
      <w:bookmarkStart w:id="22" w:name="_Toc184313252"/>
      <w:bookmarkEnd w:id="22"/>
      <w:bookmarkStart w:id="23" w:name="_Toc184308097"/>
      <w:bookmarkEnd w:id="23"/>
      <w:bookmarkStart w:id="24" w:name="_Toc184313287"/>
      <w:bookmarkEnd w:id="24"/>
      <w:bookmarkStart w:id="25" w:name="_Toc184312117"/>
      <w:bookmarkEnd w:id="25"/>
      <w:bookmarkStart w:id="26" w:name="_Toc184312126"/>
      <w:bookmarkEnd w:id="26"/>
      <w:bookmarkStart w:id="27" w:name="_Toc184312077"/>
      <w:bookmarkEnd w:id="27"/>
      <w:bookmarkStart w:id="28" w:name="_Toc184310341"/>
      <w:bookmarkEnd w:id="28"/>
      <w:bookmarkStart w:id="29" w:name="_Toc184308098"/>
      <w:bookmarkEnd w:id="29"/>
      <w:bookmarkStart w:id="30" w:name="_Toc184314448"/>
      <w:bookmarkEnd w:id="30"/>
      <w:bookmarkStart w:id="31" w:name="_Toc184310276"/>
      <w:bookmarkEnd w:id="31"/>
      <w:bookmarkStart w:id="32" w:name="_Toc184313262"/>
      <w:bookmarkEnd w:id="32"/>
      <w:bookmarkStart w:id="33" w:name="_Toc184310323"/>
      <w:bookmarkEnd w:id="33"/>
      <w:bookmarkStart w:id="34" w:name="_Toc184314415"/>
      <w:bookmarkEnd w:id="34"/>
      <w:bookmarkStart w:id="35" w:name="_Toc184312080"/>
      <w:bookmarkEnd w:id="35"/>
      <w:bookmarkStart w:id="36" w:name="_Toc184312104"/>
      <w:bookmarkEnd w:id="36"/>
      <w:bookmarkStart w:id="37" w:name="_Toc184313296"/>
      <w:bookmarkEnd w:id="37"/>
      <w:bookmarkStart w:id="38" w:name="_Toc184312095"/>
      <w:bookmarkEnd w:id="38"/>
      <w:bookmarkStart w:id="39" w:name="_Toc184313299"/>
      <w:bookmarkEnd w:id="39"/>
      <w:bookmarkStart w:id="40" w:name="_Toc184312107"/>
      <w:bookmarkEnd w:id="40"/>
      <w:bookmarkStart w:id="41" w:name="_Toc184313240"/>
      <w:bookmarkEnd w:id="41"/>
      <w:bookmarkStart w:id="42" w:name="_Toc184314422"/>
      <w:bookmarkEnd w:id="42"/>
      <w:bookmarkStart w:id="43" w:name="_Toc184310328"/>
      <w:bookmarkEnd w:id="43"/>
      <w:bookmarkStart w:id="44" w:name="_Toc184313297"/>
      <w:bookmarkEnd w:id="44"/>
      <w:bookmarkStart w:id="45" w:name="_Toc184308087"/>
      <w:bookmarkEnd w:id="45"/>
      <w:bookmarkStart w:id="46" w:name="_Toc184310331"/>
      <w:bookmarkEnd w:id="46"/>
      <w:bookmarkStart w:id="47" w:name="_Toc184313238"/>
      <w:bookmarkEnd w:id="47"/>
      <w:bookmarkStart w:id="48" w:name="_Toc184313291"/>
      <w:bookmarkEnd w:id="48"/>
      <w:bookmarkStart w:id="49" w:name="_Toc184308107"/>
      <w:bookmarkEnd w:id="49"/>
      <w:bookmarkStart w:id="50" w:name="_Toc184312076"/>
      <w:bookmarkEnd w:id="50"/>
      <w:bookmarkStart w:id="51" w:name="_Toc184312084"/>
      <w:bookmarkEnd w:id="51"/>
      <w:bookmarkStart w:id="52" w:name="_Toc184308070"/>
      <w:bookmarkEnd w:id="52"/>
      <w:bookmarkStart w:id="53" w:name="_Toc184310312"/>
      <w:bookmarkEnd w:id="53"/>
      <w:bookmarkStart w:id="54" w:name="_Toc184314472"/>
      <w:bookmarkEnd w:id="54"/>
      <w:bookmarkStart w:id="55" w:name="_Toc184308061"/>
      <w:bookmarkEnd w:id="55"/>
      <w:bookmarkStart w:id="56" w:name="_Toc184314447"/>
      <w:bookmarkEnd w:id="56"/>
      <w:bookmarkStart w:id="57" w:name="_Toc184313278"/>
      <w:bookmarkEnd w:id="57"/>
      <w:bookmarkStart w:id="58" w:name="_Toc184308066"/>
      <w:bookmarkEnd w:id="58"/>
      <w:bookmarkStart w:id="59" w:name="_Toc184310299"/>
      <w:bookmarkEnd w:id="59"/>
      <w:bookmarkStart w:id="60" w:name="_Toc184313294"/>
      <w:bookmarkEnd w:id="60"/>
      <w:bookmarkStart w:id="61" w:name="_Toc184310288"/>
      <w:bookmarkEnd w:id="61"/>
      <w:bookmarkStart w:id="62" w:name="_Toc184312110"/>
      <w:bookmarkEnd w:id="62"/>
      <w:bookmarkStart w:id="63" w:name="_Toc184310329"/>
      <w:bookmarkEnd w:id="63"/>
      <w:bookmarkStart w:id="64" w:name="_Toc184314426"/>
      <w:bookmarkEnd w:id="64"/>
      <w:bookmarkStart w:id="65" w:name="_Toc184310324"/>
      <w:bookmarkEnd w:id="65"/>
      <w:bookmarkStart w:id="66" w:name="_Toc184313283"/>
      <w:bookmarkEnd w:id="66"/>
      <w:bookmarkStart w:id="67" w:name="_Toc184308086"/>
      <w:bookmarkEnd w:id="67"/>
      <w:bookmarkStart w:id="68" w:name="_Toc184312136"/>
      <w:bookmarkEnd w:id="68"/>
      <w:bookmarkStart w:id="69" w:name="_Toc184313289"/>
      <w:bookmarkEnd w:id="69"/>
      <w:bookmarkStart w:id="70" w:name="_Toc184310325"/>
      <w:bookmarkEnd w:id="70"/>
      <w:bookmarkStart w:id="71" w:name="_Toc184314459"/>
      <w:bookmarkEnd w:id="71"/>
      <w:bookmarkStart w:id="72" w:name="_Toc184312100"/>
      <w:bookmarkEnd w:id="72"/>
      <w:bookmarkStart w:id="73" w:name="_Toc184308046"/>
      <w:bookmarkEnd w:id="73"/>
      <w:bookmarkStart w:id="74" w:name="_Toc184312133"/>
      <w:bookmarkEnd w:id="74"/>
      <w:bookmarkStart w:id="75" w:name="_Toc184310283"/>
      <w:bookmarkEnd w:id="75"/>
      <w:bookmarkStart w:id="76" w:name="_Toc184314475"/>
      <w:bookmarkEnd w:id="76"/>
      <w:bookmarkStart w:id="77" w:name="_Toc184314411"/>
      <w:bookmarkEnd w:id="77"/>
      <w:bookmarkStart w:id="78" w:name="_Toc184312105"/>
      <w:bookmarkEnd w:id="78"/>
      <w:bookmarkStart w:id="79" w:name="_Toc184313258"/>
      <w:bookmarkEnd w:id="79"/>
      <w:bookmarkStart w:id="80" w:name="_Toc184313300"/>
      <w:bookmarkEnd w:id="80"/>
      <w:bookmarkStart w:id="81" w:name="_Toc184313305"/>
      <w:bookmarkEnd w:id="81"/>
      <w:bookmarkStart w:id="82" w:name="_Toc184312088"/>
      <w:bookmarkEnd w:id="82"/>
      <w:bookmarkStart w:id="83" w:name="_Toc184314480"/>
      <w:bookmarkEnd w:id="83"/>
      <w:bookmarkStart w:id="84" w:name="_Toc184312123"/>
      <w:bookmarkEnd w:id="84"/>
      <w:bookmarkStart w:id="85" w:name="_Toc184312073"/>
      <w:bookmarkEnd w:id="85"/>
      <w:bookmarkStart w:id="86" w:name="_Toc184314424"/>
      <w:bookmarkEnd w:id="86"/>
      <w:bookmarkStart w:id="87" w:name="_Toc184312092"/>
      <w:bookmarkEnd w:id="87"/>
      <w:bookmarkStart w:id="88" w:name="_Toc184313269"/>
      <w:bookmarkEnd w:id="88"/>
      <w:bookmarkStart w:id="89" w:name="_Toc184314435"/>
      <w:bookmarkEnd w:id="89"/>
      <w:bookmarkStart w:id="90" w:name="_Toc184312083"/>
      <w:bookmarkEnd w:id="90"/>
      <w:bookmarkStart w:id="91" w:name="_Toc184314427"/>
      <w:bookmarkEnd w:id="91"/>
      <w:bookmarkStart w:id="92" w:name="_Toc184310313"/>
      <w:bookmarkEnd w:id="92"/>
      <w:bookmarkStart w:id="93" w:name="_Toc184312130"/>
      <w:bookmarkEnd w:id="93"/>
      <w:bookmarkStart w:id="94" w:name="_Toc184312106"/>
      <w:bookmarkEnd w:id="94"/>
      <w:bookmarkStart w:id="95" w:name="_Toc184310343"/>
      <w:bookmarkEnd w:id="95"/>
      <w:bookmarkStart w:id="96" w:name="_Toc184308090"/>
      <w:bookmarkEnd w:id="96"/>
      <w:bookmarkStart w:id="97" w:name="_Toc184313266"/>
      <w:bookmarkEnd w:id="97"/>
      <w:bookmarkStart w:id="98" w:name="_Toc184313271"/>
      <w:bookmarkEnd w:id="98"/>
      <w:bookmarkStart w:id="99" w:name="_Toc184310272"/>
      <w:bookmarkEnd w:id="99"/>
      <w:bookmarkStart w:id="100" w:name="_Toc184314413"/>
      <w:bookmarkEnd w:id="100"/>
      <w:bookmarkStart w:id="101" w:name="_Toc184308080"/>
      <w:bookmarkEnd w:id="101"/>
      <w:bookmarkStart w:id="102" w:name="_Toc184310296"/>
      <w:bookmarkEnd w:id="102"/>
      <w:bookmarkStart w:id="103" w:name="_Toc184314466"/>
      <w:bookmarkEnd w:id="103"/>
      <w:bookmarkStart w:id="104" w:name="_Toc184312070"/>
      <w:bookmarkEnd w:id="104"/>
      <w:bookmarkStart w:id="105" w:name="_Toc184312097"/>
      <w:bookmarkEnd w:id="105"/>
      <w:bookmarkStart w:id="106" w:name="_Toc184312125"/>
      <w:bookmarkEnd w:id="106"/>
      <w:bookmarkStart w:id="107" w:name="_Toc184314421"/>
      <w:bookmarkEnd w:id="107"/>
      <w:bookmarkStart w:id="108" w:name="_Toc184308093"/>
      <w:bookmarkEnd w:id="108"/>
      <w:bookmarkStart w:id="109" w:name="_Toc184308040"/>
      <w:bookmarkEnd w:id="109"/>
      <w:bookmarkStart w:id="110" w:name="_Toc184314431"/>
      <w:bookmarkEnd w:id="110"/>
      <w:bookmarkStart w:id="111" w:name="_Toc184308036"/>
      <w:bookmarkEnd w:id="111"/>
      <w:bookmarkStart w:id="112" w:name="_Toc184308071"/>
      <w:bookmarkEnd w:id="112"/>
      <w:bookmarkStart w:id="113" w:name="_Toc184312098"/>
      <w:bookmarkEnd w:id="113"/>
      <w:bookmarkStart w:id="114" w:name="_Toc184314476"/>
      <w:bookmarkEnd w:id="114"/>
      <w:bookmarkStart w:id="115" w:name="_Toc184312075"/>
      <w:bookmarkEnd w:id="115"/>
      <w:bookmarkStart w:id="116" w:name="_Toc184312118"/>
      <w:bookmarkEnd w:id="116"/>
      <w:bookmarkStart w:id="117" w:name="_Toc184310314"/>
      <w:bookmarkEnd w:id="117"/>
      <w:bookmarkStart w:id="118" w:name="_Toc184314428"/>
      <w:bookmarkEnd w:id="118"/>
      <w:bookmarkStart w:id="119" w:name="_Toc184314481"/>
      <w:bookmarkEnd w:id="119"/>
      <w:bookmarkStart w:id="120" w:name="_Toc184313267"/>
      <w:bookmarkEnd w:id="120"/>
      <w:bookmarkStart w:id="121" w:name="_Toc184308050"/>
      <w:bookmarkEnd w:id="121"/>
      <w:bookmarkStart w:id="122" w:name="_Toc184313263"/>
      <w:bookmarkEnd w:id="122"/>
      <w:bookmarkStart w:id="123" w:name="_Toc184314410"/>
      <w:bookmarkEnd w:id="123"/>
      <w:bookmarkStart w:id="124" w:name="_Toc184313288"/>
      <w:bookmarkEnd w:id="124"/>
      <w:bookmarkStart w:id="125" w:name="_Toc184313268"/>
      <w:bookmarkEnd w:id="125"/>
      <w:bookmarkStart w:id="126" w:name="_Toc184313302"/>
      <w:bookmarkEnd w:id="126"/>
      <w:bookmarkStart w:id="127" w:name="_Toc184314461"/>
      <w:bookmarkEnd w:id="127"/>
      <w:bookmarkStart w:id="128" w:name="_Toc184314456"/>
      <w:bookmarkEnd w:id="128"/>
      <w:bookmarkStart w:id="129" w:name="_Toc184310301"/>
      <w:bookmarkEnd w:id="129"/>
      <w:bookmarkStart w:id="130" w:name="_Toc184312096"/>
      <w:bookmarkEnd w:id="130"/>
      <w:bookmarkStart w:id="131" w:name="_Toc184313265"/>
      <w:bookmarkEnd w:id="131"/>
      <w:bookmarkStart w:id="132" w:name="_Toc184314477"/>
      <w:bookmarkEnd w:id="132"/>
      <w:bookmarkStart w:id="133" w:name="_Toc184314468"/>
      <w:bookmarkEnd w:id="133"/>
      <w:bookmarkStart w:id="134" w:name="_Toc184310305"/>
      <w:bookmarkEnd w:id="134"/>
      <w:bookmarkStart w:id="135" w:name="_Toc184313264"/>
      <w:bookmarkEnd w:id="135"/>
      <w:bookmarkStart w:id="136" w:name="_Toc184310287"/>
      <w:bookmarkEnd w:id="136"/>
      <w:bookmarkStart w:id="137" w:name="_Toc184314443"/>
      <w:bookmarkEnd w:id="137"/>
      <w:bookmarkStart w:id="138" w:name="_Toc184308042"/>
      <w:bookmarkEnd w:id="138"/>
      <w:bookmarkStart w:id="139" w:name="_Toc184312127"/>
      <w:bookmarkEnd w:id="139"/>
      <w:bookmarkStart w:id="140" w:name="_Toc184313253"/>
      <w:bookmarkEnd w:id="140"/>
      <w:bookmarkStart w:id="141" w:name="_Toc184310332"/>
      <w:bookmarkEnd w:id="141"/>
      <w:bookmarkStart w:id="142" w:name="_Toc184310292"/>
      <w:bookmarkEnd w:id="142"/>
      <w:bookmarkStart w:id="143" w:name="_Toc184312116"/>
      <w:bookmarkEnd w:id="143"/>
      <w:bookmarkStart w:id="144" w:name="_Toc184310275"/>
      <w:bookmarkEnd w:id="144"/>
      <w:bookmarkStart w:id="145" w:name="_Toc184312078"/>
      <w:bookmarkEnd w:id="145"/>
      <w:bookmarkStart w:id="146" w:name="_Toc184310317"/>
      <w:bookmarkEnd w:id="146"/>
      <w:bookmarkStart w:id="147" w:name="_Toc184308078"/>
      <w:bookmarkEnd w:id="147"/>
      <w:bookmarkStart w:id="148" w:name="_Toc184308051"/>
      <w:bookmarkEnd w:id="148"/>
      <w:bookmarkStart w:id="149" w:name="_Toc184310281"/>
      <w:bookmarkEnd w:id="149"/>
      <w:bookmarkStart w:id="150" w:name="_Toc184313239"/>
      <w:bookmarkEnd w:id="150"/>
      <w:bookmarkStart w:id="151" w:name="_Toc184313295"/>
      <w:bookmarkEnd w:id="151"/>
      <w:bookmarkStart w:id="152" w:name="_Toc184314423"/>
      <w:bookmarkEnd w:id="152"/>
      <w:bookmarkStart w:id="153" w:name="_Toc184313276"/>
      <w:bookmarkEnd w:id="153"/>
      <w:bookmarkStart w:id="154" w:name="_Toc184313279"/>
      <w:bookmarkEnd w:id="154"/>
      <w:bookmarkStart w:id="155" w:name="_Toc184313274"/>
      <w:bookmarkEnd w:id="155"/>
      <w:bookmarkStart w:id="156" w:name="_Toc184308069"/>
      <w:bookmarkEnd w:id="156"/>
      <w:bookmarkStart w:id="157" w:name="_Toc184314418"/>
      <w:bookmarkEnd w:id="157"/>
      <w:bookmarkStart w:id="158" w:name="_Toc184313260"/>
      <w:bookmarkEnd w:id="158"/>
      <w:bookmarkStart w:id="159" w:name="_Toc184313247"/>
      <w:bookmarkEnd w:id="159"/>
      <w:bookmarkStart w:id="160" w:name="_Toc184308081"/>
      <w:bookmarkEnd w:id="160"/>
      <w:bookmarkStart w:id="161" w:name="_Toc184310291"/>
      <w:bookmarkEnd w:id="161"/>
      <w:bookmarkStart w:id="162" w:name="_Toc184314432"/>
      <w:bookmarkEnd w:id="162"/>
      <w:bookmarkStart w:id="163" w:name="_Toc184310309"/>
      <w:bookmarkEnd w:id="163"/>
      <w:bookmarkStart w:id="164" w:name="_Toc184308099"/>
      <w:bookmarkEnd w:id="164"/>
      <w:bookmarkStart w:id="165" w:name="_Toc184308095"/>
      <w:bookmarkEnd w:id="165"/>
      <w:bookmarkStart w:id="166" w:name="_Toc184308082"/>
      <w:bookmarkEnd w:id="166"/>
      <w:bookmarkStart w:id="167" w:name="_Toc184308056"/>
      <w:bookmarkEnd w:id="167"/>
      <w:bookmarkStart w:id="168" w:name="_Toc184308103"/>
      <w:bookmarkEnd w:id="168"/>
      <w:bookmarkStart w:id="169" w:name="_Toc184310316"/>
      <w:bookmarkEnd w:id="169"/>
      <w:bookmarkStart w:id="170" w:name="_Toc184314467"/>
      <w:bookmarkEnd w:id="170"/>
      <w:bookmarkStart w:id="171" w:name="_Toc184310304"/>
      <w:bookmarkEnd w:id="171"/>
      <w:bookmarkStart w:id="172" w:name="_Toc184312108"/>
      <w:bookmarkEnd w:id="172"/>
      <w:bookmarkStart w:id="173" w:name="_Toc184314453"/>
      <w:bookmarkEnd w:id="173"/>
      <w:bookmarkStart w:id="174" w:name="_Toc184313307"/>
      <w:bookmarkEnd w:id="174"/>
      <w:bookmarkStart w:id="175" w:name="_Toc184313286"/>
      <w:bookmarkEnd w:id="175"/>
      <w:bookmarkStart w:id="176" w:name="_Toc184313248"/>
      <w:bookmarkEnd w:id="176"/>
      <w:bookmarkStart w:id="177" w:name="_Toc184313243"/>
      <w:bookmarkEnd w:id="177"/>
      <w:bookmarkStart w:id="178" w:name="_Toc184314473"/>
      <w:bookmarkEnd w:id="178"/>
      <w:bookmarkStart w:id="179" w:name="_Toc184313292"/>
      <w:bookmarkEnd w:id="179"/>
      <w:bookmarkStart w:id="180" w:name="_Toc184314474"/>
      <w:bookmarkEnd w:id="180"/>
      <w:bookmarkStart w:id="181" w:name="_Toc184314425"/>
      <w:bookmarkEnd w:id="181"/>
      <w:bookmarkStart w:id="182" w:name="_Toc184314445"/>
      <w:bookmarkEnd w:id="182"/>
      <w:bookmarkStart w:id="183" w:name="_Toc184313277"/>
      <w:bookmarkEnd w:id="183"/>
      <w:bookmarkStart w:id="184" w:name="_Toc184313242"/>
      <w:bookmarkEnd w:id="184"/>
      <w:bookmarkStart w:id="185" w:name="_Toc184312109"/>
      <w:bookmarkEnd w:id="185"/>
      <w:bookmarkStart w:id="186" w:name="_Toc184314450"/>
      <w:bookmarkEnd w:id="186"/>
      <w:bookmarkStart w:id="187" w:name="_Toc184310273"/>
      <w:bookmarkEnd w:id="187"/>
      <w:bookmarkStart w:id="188" w:name="_Toc184310319"/>
      <w:bookmarkEnd w:id="188"/>
      <w:bookmarkStart w:id="189" w:name="_Toc184312129"/>
      <w:bookmarkEnd w:id="189"/>
      <w:bookmarkStart w:id="190" w:name="_Toc184312085"/>
      <w:bookmarkEnd w:id="190"/>
      <w:bookmarkStart w:id="191" w:name="_Toc184310322"/>
      <w:bookmarkEnd w:id="191"/>
      <w:bookmarkStart w:id="192" w:name="_Toc184308044"/>
      <w:bookmarkEnd w:id="192"/>
      <w:bookmarkStart w:id="193" w:name="_Toc184313304"/>
      <w:bookmarkEnd w:id="193"/>
      <w:bookmarkStart w:id="194" w:name="_Toc184308108"/>
      <w:bookmarkEnd w:id="194"/>
      <w:bookmarkStart w:id="195" w:name="_Toc184312114"/>
      <w:bookmarkEnd w:id="195"/>
      <w:bookmarkStart w:id="196" w:name="_Toc184312099"/>
      <w:bookmarkEnd w:id="196"/>
      <w:bookmarkStart w:id="197" w:name="_Toc184310280"/>
      <w:bookmarkEnd w:id="197"/>
      <w:bookmarkStart w:id="198" w:name="_Toc184313270"/>
      <w:bookmarkEnd w:id="198"/>
      <w:bookmarkStart w:id="199" w:name="_Toc184313284"/>
      <w:bookmarkEnd w:id="199"/>
      <w:bookmarkStart w:id="200" w:name="_Toc184314436"/>
      <w:bookmarkEnd w:id="200"/>
      <w:bookmarkStart w:id="201" w:name="_Toc184310310"/>
      <w:bookmarkEnd w:id="201"/>
      <w:bookmarkStart w:id="202" w:name="_Toc184314434"/>
      <w:bookmarkEnd w:id="202"/>
      <w:bookmarkStart w:id="203" w:name="_Toc184308039"/>
      <w:bookmarkEnd w:id="203"/>
      <w:bookmarkStart w:id="204" w:name="_Toc184310326"/>
      <w:bookmarkEnd w:id="204"/>
      <w:bookmarkStart w:id="205" w:name="_Toc184312135"/>
      <w:bookmarkEnd w:id="205"/>
      <w:bookmarkStart w:id="206" w:name="_Toc184312103"/>
      <w:bookmarkEnd w:id="206"/>
      <w:bookmarkStart w:id="207" w:name="_Toc184308079"/>
      <w:bookmarkEnd w:id="207"/>
      <w:bookmarkStart w:id="208" w:name="_Toc184310315"/>
      <w:bookmarkEnd w:id="208"/>
      <w:bookmarkStart w:id="209" w:name="_Toc184313250"/>
      <w:bookmarkEnd w:id="209"/>
      <w:bookmarkStart w:id="210" w:name="_Toc184313298"/>
      <w:bookmarkEnd w:id="210"/>
      <w:bookmarkStart w:id="211" w:name="_Toc184308043"/>
      <w:bookmarkEnd w:id="211"/>
      <w:bookmarkStart w:id="212" w:name="_Toc184310298"/>
      <w:bookmarkEnd w:id="212"/>
      <w:bookmarkStart w:id="213" w:name="_Toc184308094"/>
      <w:bookmarkEnd w:id="213"/>
      <w:bookmarkStart w:id="214" w:name="_Toc184313256"/>
      <w:bookmarkEnd w:id="214"/>
      <w:bookmarkStart w:id="215" w:name="_Toc184312074"/>
      <w:bookmarkEnd w:id="215"/>
      <w:bookmarkStart w:id="216" w:name="_Toc184314412"/>
      <w:bookmarkEnd w:id="216"/>
      <w:bookmarkStart w:id="217" w:name="_Toc184308077"/>
      <w:bookmarkEnd w:id="217"/>
      <w:bookmarkStart w:id="218" w:name="_Toc184314454"/>
      <w:bookmarkEnd w:id="218"/>
      <w:bookmarkStart w:id="219" w:name="_Toc184308068"/>
      <w:bookmarkEnd w:id="219"/>
      <w:bookmarkStart w:id="220" w:name="_Toc184312069"/>
      <w:bookmarkEnd w:id="220"/>
      <w:bookmarkStart w:id="221" w:name="_Toc184310344"/>
      <w:bookmarkEnd w:id="221"/>
      <w:bookmarkStart w:id="222" w:name="_Toc184314469"/>
      <w:bookmarkEnd w:id="222"/>
      <w:bookmarkStart w:id="223" w:name="_Toc184310307"/>
      <w:bookmarkEnd w:id="223"/>
      <w:bookmarkStart w:id="224" w:name="_Toc184308063"/>
      <w:bookmarkEnd w:id="224"/>
      <w:bookmarkStart w:id="225" w:name="_Toc184314449"/>
      <w:bookmarkEnd w:id="225"/>
      <w:bookmarkStart w:id="226" w:name="_Toc184314482"/>
      <w:bookmarkEnd w:id="226"/>
      <w:bookmarkStart w:id="227" w:name="_Toc184308083"/>
      <w:bookmarkEnd w:id="227"/>
      <w:bookmarkStart w:id="228" w:name="_Toc184308065"/>
      <w:bookmarkEnd w:id="228"/>
      <w:bookmarkStart w:id="229" w:name="_Toc184313293"/>
      <w:bookmarkEnd w:id="229"/>
      <w:bookmarkStart w:id="230" w:name="_Toc184314464"/>
      <w:bookmarkEnd w:id="230"/>
      <w:bookmarkStart w:id="231" w:name="_Toc184308045"/>
      <w:bookmarkEnd w:id="231"/>
      <w:bookmarkStart w:id="232" w:name="_Toc184308037"/>
      <w:bookmarkEnd w:id="232"/>
      <w:bookmarkStart w:id="233" w:name="_Toc184310303"/>
      <w:bookmarkEnd w:id="233"/>
      <w:bookmarkStart w:id="234" w:name="_Toc184308096"/>
      <w:bookmarkEnd w:id="234"/>
      <w:bookmarkStart w:id="235" w:name="_Toc184314442"/>
      <w:bookmarkEnd w:id="235"/>
      <w:bookmarkStart w:id="236" w:name="_Toc184308106"/>
      <w:bookmarkEnd w:id="236"/>
      <w:bookmarkStart w:id="237" w:name="_Toc184312121"/>
      <w:bookmarkEnd w:id="237"/>
      <w:bookmarkStart w:id="238" w:name="_Toc184312131"/>
      <w:bookmarkEnd w:id="238"/>
      <w:bookmarkStart w:id="239" w:name="_Toc184308092"/>
      <w:bookmarkEnd w:id="239"/>
      <w:bookmarkStart w:id="240" w:name="_Toc184314451"/>
      <w:bookmarkEnd w:id="240"/>
      <w:bookmarkStart w:id="241" w:name="_Toc184310274"/>
      <w:bookmarkEnd w:id="241"/>
      <w:bookmarkStart w:id="242" w:name="_Toc184314441"/>
      <w:bookmarkEnd w:id="242"/>
      <w:bookmarkStart w:id="243" w:name="_Toc184314444"/>
      <w:bookmarkEnd w:id="243"/>
      <w:bookmarkStart w:id="244" w:name="_Toc184310340"/>
      <w:bookmarkEnd w:id="244"/>
      <w:bookmarkStart w:id="245" w:name="_Toc184308038"/>
      <w:bookmarkEnd w:id="245"/>
      <w:bookmarkStart w:id="246" w:name="_Toc184310334"/>
      <w:bookmarkEnd w:id="246"/>
      <w:bookmarkStart w:id="247" w:name="_Toc184310327"/>
      <w:bookmarkEnd w:id="247"/>
      <w:bookmarkStart w:id="248" w:name="_Toc184308057"/>
      <w:bookmarkEnd w:id="248"/>
      <w:bookmarkStart w:id="249" w:name="_Toc184310321"/>
      <w:bookmarkEnd w:id="249"/>
      <w:bookmarkStart w:id="250" w:name="_Toc184313282"/>
      <w:bookmarkEnd w:id="250"/>
      <w:bookmarkStart w:id="251" w:name="_Toc184312071"/>
      <w:bookmarkEnd w:id="251"/>
      <w:bookmarkStart w:id="252" w:name="_Toc184314417"/>
      <w:bookmarkEnd w:id="252"/>
      <w:bookmarkStart w:id="253" w:name="_Toc184312089"/>
      <w:bookmarkEnd w:id="253"/>
      <w:bookmarkStart w:id="254" w:name="_Toc184313303"/>
      <w:bookmarkEnd w:id="254"/>
      <w:bookmarkStart w:id="255" w:name="_Toc184314478"/>
      <w:bookmarkEnd w:id="255"/>
      <w:bookmarkStart w:id="256" w:name="_Toc184310333"/>
      <w:bookmarkEnd w:id="256"/>
      <w:bookmarkStart w:id="257" w:name="_Toc184314440"/>
      <w:bookmarkEnd w:id="257"/>
      <w:bookmarkStart w:id="258" w:name="_Toc184312102"/>
      <w:bookmarkEnd w:id="258"/>
      <w:bookmarkStart w:id="259" w:name="_Toc184308047"/>
      <w:bookmarkEnd w:id="259"/>
      <w:bookmarkStart w:id="260" w:name="_Toc184310297"/>
      <w:bookmarkEnd w:id="260"/>
      <w:bookmarkStart w:id="261" w:name="_Toc184310279"/>
      <w:bookmarkEnd w:id="261"/>
      <w:bookmarkStart w:id="262" w:name="_Toc184313285"/>
      <w:bookmarkEnd w:id="262"/>
      <w:bookmarkStart w:id="263" w:name="_Toc184314465"/>
      <w:bookmarkEnd w:id="263"/>
      <w:bookmarkStart w:id="264" w:name="_Toc184314429"/>
      <w:bookmarkEnd w:id="264"/>
      <w:bookmarkStart w:id="265" w:name="_Toc184308100"/>
      <w:bookmarkEnd w:id="265"/>
      <w:bookmarkStart w:id="266" w:name="_Toc184314414"/>
      <w:bookmarkEnd w:id="266"/>
      <w:bookmarkStart w:id="267" w:name="_Toc184312128"/>
      <w:bookmarkEnd w:id="267"/>
      <w:bookmarkStart w:id="268" w:name="_Toc184310300"/>
      <w:bookmarkEnd w:id="268"/>
      <w:bookmarkStart w:id="269" w:name="_Toc184310295"/>
      <w:bookmarkEnd w:id="269"/>
      <w:bookmarkStart w:id="270" w:name="_Toc184308041"/>
      <w:bookmarkEnd w:id="270"/>
      <w:bookmarkStart w:id="271" w:name="_Toc184308055"/>
      <w:bookmarkEnd w:id="271"/>
      <w:bookmarkStart w:id="272" w:name="_Toc184312134"/>
      <w:bookmarkEnd w:id="272"/>
      <w:bookmarkStart w:id="273" w:name="_Toc184314457"/>
      <w:bookmarkEnd w:id="273"/>
      <w:bookmarkStart w:id="274" w:name="_Toc184313245"/>
      <w:bookmarkEnd w:id="274"/>
      <w:bookmarkStart w:id="275" w:name="_Toc184314420"/>
      <w:bookmarkEnd w:id="275"/>
      <w:bookmarkStart w:id="276" w:name="_Toc184310320"/>
      <w:bookmarkEnd w:id="276"/>
      <w:bookmarkStart w:id="277" w:name="_Toc184308067"/>
      <w:bookmarkEnd w:id="277"/>
      <w:bookmarkStart w:id="278" w:name="_Toc184314458"/>
      <w:bookmarkEnd w:id="278"/>
      <w:bookmarkStart w:id="279" w:name="_Toc184312072"/>
      <w:bookmarkEnd w:id="279"/>
      <w:bookmarkStart w:id="280" w:name="_Toc184308105"/>
      <w:bookmarkEnd w:id="280"/>
      <w:bookmarkStart w:id="281" w:name="_Toc184314430"/>
      <w:bookmarkEnd w:id="281"/>
      <w:bookmarkStart w:id="282" w:name="_Toc184310289"/>
      <w:bookmarkEnd w:id="282"/>
      <w:bookmarkStart w:id="283" w:name="_Toc184313309"/>
      <w:bookmarkEnd w:id="283"/>
      <w:bookmarkStart w:id="284" w:name="_Toc184312091"/>
      <w:bookmarkEnd w:id="284"/>
      <w:bookmarkStart w:id="285" w:name="_Toc184314452"/>
      <w:bookmarkEnd w:id="285"/>
      <w:bookmarkStart w:id="286" w:name="_Toc184312111"/>
      <w:bookmarkEnd w:id="286"/>
      <w:bookmarkStart w:id="287" w:name="_Toc184310335"/>
      <w:bookmarkEnd w:id="287"/>
      <w:bookmarkStart w:id="288" w:name="_Toc184312067"/>
      <w:bookmarkEnd w:id="288"/>
      <w:bookmarkStart w:id="289" w:name="_Toc184312115"/>
      <w:bookmarkEnd w:id="289"/>
      <w:bookmarkStart w:id="290" w:name="_Toc184314438"/>
      <w:bookmarkEnd w:id="290"/>
      <w:bookmarkStart w:id="291" w:name="_Toc184308084"/>
      <w:bookmarkEnd w:id="291"/>
      <w:bookmarkStart w:id="292" w:name="_Toc184312132"/>
      <w:bookmarkEnd w:id="292"/>
      <w:bookmarkStart w:id="293" w:name="_Toc184308072"/>
      <w:bookmarkEnd w:id="293"/>
      <w:bookmarkStart w:id="294" w:name="_Toc184308073"/>
      <w:bookmarkEnd w:id="294"/>
      <w:bookmarkStart w:id="295" w:name="_Toc184314433"/>
      <w:bookmarkEnd w:id="295"/>
      <w:bookmarkStart w:id="296" w:name="_Toc184308102"/>
      <w:bookmarkEnd w:id="296"/>
      <w:bookmarkStart w:id="297" w:name="_Toc184310311"/>
      <w:bookmarkEnd w:id="297"/>
      <w:bookmarkStart w:id="298" w:name="_Toc184312082"/>
      <w:bookmarkEnd w:id="298"/>
      <w:bookmarkStart w:id="299" w:name="_Toc184310293"/>
      <w:bookmarkEnd w:id="299"/>
      <w:bookmarkStart w:id="300" w:name="_Toc184308074"/>
      <w:bookmarkEnd w:id="300"/>
      <w:bookmarkStart w:id="301" w:name="_Toc184314439"/>
      <w:bookmarkEnd w:id="301"/>
      <w:bookmarkStart w:id="302" w:name="_Toc184313280"/>
      <w:bookmarkEnd w:id="302"/>
      <w:bookmarkStart w:id="303" w:name="_Toc184308104"/>
      <w:bookmarkEnd w:id="303"/>
      <w:bookmarkStart w:id="304" w:name="_Toc184312119"/>
      <w:bookmarkEnd w:id="304"/>
      <w:bookmarkStart w:id="305" w:name="_Toc184313255"/>
      <w:bookmarkEnd w:id="305"/>
      <w:bookmarkStart w:id="306" w:name="_Toc184308048"/>
      <w:bookmarkEnd w:id="306"/>
      <w:bookmarkStart w:id="307" w:name="_Toc184314479"/>
      <w:bookmarkEnd w:id="307"/>
      <w:bookmarkStart w:id="308" w:name="_Toc184310308"/>
      <w:bookmarkEnd w:id="308"/>
      <w:bookmarkStart w:id="309" w:name="_Toc184310330"/>
      <w:bookmarkEnd w:id="309"/>
      <w:bookmarkStart w:id="310" w:name="_Toc184314437"/>
      <w:bookmarkEnd w:id="310"/>
      <w:bookmarkStart w:id="311" w:name="_Toc184313249"/>
      <w:bookmarkEnd w:id="311"/>
      <w:bookmarkStart w:id="312" w:name="_Toc184310294"/>
      <w:bookmarkEnd w:id="312"/>
      <w:bookmarkStart w:id="313" w:name="_Toc184308054"/>
      <w:bookmarkEnd w:id="313"/>
      <w:bookmarkStart w:id="314" w:name="_Toc184308052"/>
      <w:bookmarkEnd w:id="314"/>
      <w:bookmarkStart w:id="315" w:name="_Toc184314460"/>
      <w:bookmarkEnd w:id="315"/>
      <w:bookmarkStart w:id="316" w:name="_Toc184310339"/>
      <w:bookmarkEnd w:id="316"/>
      <w:bookmarkStart w:id="317" w:name="_Toc184308053"/>
      <w:bookmarkEnd w:id="317"/>
      <w:bookmarkStart w:id="318" w:name="_Toc184312120"/>
      <w:bookmarkEnd w:id="318"/>
      <w:bookmarkStart w:id="319" w:name="_Toc184310278"/>
      <w:bookmarkEnd w:id="319"/>
      <w:bookmarkStart w:id="320" w:name="_Toc184312124"/>
      <w:bookmarkEnd w:id="320"/>
      <w:bookmarkStart w:id="321" w:name="_Toc184310302"/>
      <w:bookmarkEnd w:id="321"/>
      <w:bookmarkStart w:id="322" w:name="_Toc184314416"/>
      <w:bookmarkEnd w:id="322"/>
      <w:bookmarkStart w:id="323" w:name="_Toc184313261"/>
      <w:bookmarkEnd w:id="323"/>
      <w:bookmarkStart w:id="324" w:name="_Toc184310306"/>
      <w:bookmarkEnd w:id="324"/>
      <w:bookmarkStart w:id="325" w:name="_Toc184310282"/>
      <w:bookmarkEnd w:id="325"/>
      <w:bookmarkStart w:id="326" w:name="_Toc184310336"/>
      <w:bookmarkEnd w:id="326"/>
      <w:bookmarkStart w:id="327" w:name="_Toc184314455"/>
      <w:bookmarkEnd w:id="327"/>
      <w:bookmarkStart w:id="328" w:name="_Toc184312079"/>
      <w:bookmarkEnd w:id="328"/>
      <w:bookmarkStart w:id="329" w:name="_Toc184312113"/>
      <w:bookmarkEnd w:id="329"/>
      <w:bookmarkStart w:id="330" w:name="_Toc184308060"/>
      <w:bookmarkEnd w:id="330"/>
      <w:bookmarkStart w:id="331" w:name="_Toc184310318"/>
      <w:bookmarkEnd w:id="331"/>
      <w:bookmarkStart w:id="332" w:name="_Toc184308076"/>
      <w:bookmarkEnd w:id="332"/>
      <w:bookmarkStart w:id="333" w:name="_Toc184308049"/>
      <w:bookmarkEnd w:id="333"/>
      <w:bookmarkStart w:id="334" w:name="_Toc184314446"/>
      <w:bookmarkEnd w:id="334"/>
      <w:bookmarkStart w:id="335" w:name="_Toc184310338"/>
      <w:bookmarkEnd w:id="335"/>
      <w:bookmarkStart w:id="336" w:name="_Toc184313246"/>
      <w:bookmarkEnd w:id="336"/>
      <w:bookmarkStart w:id="337" w:name="_Toc184310284"/>
      <w:bookmarkEnd w:id="337"/>
      <w:bookmarkStart w:id="338" w:name="_Toc184312087"/>
      <w:bookmarkEnd w:id="338"/>
      <w:bookmarkStart w:id="339" w:name="_Toc184312122"/>
      <w:bookmarkEnd w:id="339"/>
      <w:bookmarkStart w:id="340" w:name="_Toc184314471"/>
      <w:bookmarkEnd w:id="340"/>
      <w:bookmarkStart w:id="341" w:name="_Toc184312137"/>
      <w:bookmarkEnd w:id="341"/>
      <w:bookmarkStart w:id="342" w:name="_Toc184310342"/>
      <w:bookmarkEnd w:id="342"/>
      <w:bookmarkStart w:id="343" w:name="_Toc184312090"/>
      <w:bookmarkEnd w:id="343"/>
      <w:bookmarkStart w:id="344" w:name="_Toc184310285"/>
      <w:bookmarkEnd w:id="344"/>
      <w:bookmarkStart w:id="345" w:name="_Toc184308101"/>
      <w:bookmarkEnd w:id="345"/>
      <w:bookmarkStart w:id="346" w:name="_Toc184314463"/>
      <w:bookmarkEnd w:id="346"/>
      <w:bookmarkStart w:id="347" w:name="_Toc184313281"/>
      <w:bookmarkEnd w:id="347"/>
      <w:bookmarkStart w:id="348" w:name="_Toc184308091"/>
      <w:bookmarkEnd w:id="348"/>
      <w:bookmarkStart w:id="349" w:name="_Toc184313310"/>
      <w:bookmarkEnd w:id="349"/>
      <w:bookmarkStart w:id="350" w:name="_Toc184308064"/>
      <w:bookmarkEnd w:id="350"/>
      <w:bookmarkStart w:id="351" w:name="_Toc184312138"/>
      <w:bookmarkEnd w:id="351"/>
      <w:bookmarkStart w:id="352" w:name="_Toc184313257"/>
      <w:bookmarkEnd w:id="352"/>
      <w:bookmarkStart w:id="353" w:name="_Toc184314470"/>
      <w:bookmarkEnd w:id="353"/>
      <w:bookmarkStart w:id="354" w:name="_Toc184312112"/>
      <w:bookmarkEnd w:id="354"/>
      <w:bookmarkStart w:id="355" w:name="_Toc184310277"/>
      <w:bookmarkEnd w:id="355"/>
      <w:bookmarkStart w:id="356" w:name="_Toc184313306"/>
      <w:bookmarkEnd w:id="356"/>
      <w:bookmarkStart w:id="357" w:name="_Toc184314419"/>
      <w:bookmarkEnd w:id="357"/>
      <w:bookmarkStart w:id="358" w:name="_Toc184313273"/>
      <w:bookmarkEnd w:id="358"/>
      <w:bookmarkStart w:id="359" w:name="_Toc184310337"/>
      <w:bookmarkEnd w:id="359"/>
      <w:bookmarkStart w:id="360" w:name="_Toc184313244"/>
      <w:bookmarkEnd w:id="360"/>
      <w:bookmarkStart w:id="361" w:name="_Toc184313254"/>
      <w:bookmarkEnd w:id="361"/>
      <w:bookmarkStart w:id="362" w:name="_Toc184312093"/>
      <w:bookmarkEnd w:id="362"/>
      <w:bookmarkStart w:id="363" w:name="_Toc184312081"/>
      <w:bookmarkEnd w:id="363"/>
      <w:bookmarkStart w:id="364" w:name="_Toc184313241"/>
      <w:bookmarkEnd w:id="364"/>
      <w:bookmarkStart w:id="365" w:name="_Toc184313251"/>
      <w:bookmarkEnd w:id="365"/>
      <w:bookmarkStart w:id="366" w:name="_Toc184308075"/>
      <w:bookmarkEnd w:id="366"/>
      <w:bookmarkStart w:id="367" w:name="_Toc184310290"/>
      <w:bookmarkEnd w:id="367"/>
      <w:bookmarkStart w:id="368" w:name="_Toc184312101"/>
      <w:bookmarkEnd w:id="368"/>
      <w:bookmarkStart w:id="369" w:name="_Toc184312139"/>
      <w:bookmarkEnd w:id="369"/>
      <w:bookmarkStart w:id="370" w:name="_Toc184313272"/>
      <w:bookmarkEnd w:id="370"/>
      <w:bookmarkStart w:id="371" w:name="_Toc184308088"/>
      <w:bookmarkEnd w:id="371"/>
      <w:bookmarkStart w:id="372" w:name="_Toc184314462"/>
      <w:bookmarkEnd w:id="372"/>
      <w:bookmarkStart w:id="373" w:name="_Toc184313290"/>
      <w:bookmarkEnd w:id="373"/>
      <w:bookmarkStart w:id="374" w:name="_Toc184312068"/>
      <w:bookmarkEnd w:id="374"/>
      <w:bookmarkStart w:id="375" w:name="_Toc184308058"/>
      <w:bookmarkEnd w:id="375"/>
      <w:bookmarkStart w:id="376" w:name="_Toc184308059"/>
      <w:bookmarkEnd w:id="376"/>
      <w:bookmarkStart w:id="377" w:name="_Toc184313275"/>
      <w:bookmarkEnd w:id="377"/>
      <w:bookmarkStart w:id="378" w:name="_Toc184312094"/>
      <w:bookmarkEnd w:id="378"/>
      <w:bookmarkStart w:id="379" w:name="_Toc184312086"/>
      <w:bookmarkEnd w:id="379"/>
      <w:bookmarkStart w:id="380" w:name="_Toc184313259"/>
      <w:bookmarkEnd w:id="380"/>
      <w:bookmarkStart w:id="381" w:name="_Toc184308089"/>
      <w:bookmarkEnd w:id="381"/>
      <w:bookmarkStart w:id="382" w:name="_Toc184313301"/>
      <w:bookmarkEnd w:id="382"/>
      <w:bookmarkStart w:id="383" w:name="_Toc184308085"/>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14:paraId="425E7D55">
      <w:pPr>
        <w:pStyle w:val="7"/>
        <w:ind w:firstLine="480" w:firstLineChars="200"/>
        <w:rPr>
          <w:rFonts w:hint="eastAsia"/>
          <w:color w:val="auto"/>
          <w:highlight w:val="none"/>
        </w:rPr>
      </w:pPr>
      <w:r>
        <w:rPr>
          <w:rFonts w:hint="default"/>
          <w:color w:val="auto"/>
          <w:lang w:val="en-US"/>
        </w:rPr>
        <w:t>1.1</w:t>
      </w:r>
      <w:r>
        <w:rPr>
          <w:rFonts w:hint="eastAsia"/>
          <w:color w:val="auto"/>
        </w:rPr>
        <w:t>若出</w:t>
      </w:r>
      <w:r>
        <w:rPr>
          <w:rFonts w:hint="eastAsia"/>
          <w:color w:val="auto"/>
          <w:highlight w:val="none"/>
        </w:rPr>
        <w:t>现税率不一致的情况，以除税总金额相对比。</w:t>
      </w:r>
    </w:p>
    <w:p w14:paraId="4B1C3878">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w:t>
      </w:r>
      <w:r>
        <w:rPr>
          <w:rFonts w:hint="eastAsia"/>
          <w:color w:val="auto"/>
        </w:rPr>
        <w:t>最低报价情况时，</w:t>
      </w:r>
      <w:r>
        <w:rPr>
          <w:rFonts w:hint="eastAsia"/>
          <w:b/>
          <w:bCs/>
          <w:color w:val="auto"/>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w:t>
      </w:r>
      <w:r>
        <w:rPr>
          <w:rFonts w:hint="eastAsia" w:cs="仿宋" w:asciiTheme="minorEastAsia" w:hAnsiTheme="minorEastAsia"/>
          <w:color w:val="auto"/>
          <w:sz w:val="24"/>
          <w:highlight w:val="none"/>
        </w:rPr>
        <w:t>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9"/>
        <w:rPr>
          <w:rFonts w:cs="仿宋" w:asciiTheme="minorEastAsia" w:hAnsiTheme="minorEastAsia"/>
          <w:color w:val="auto"/>
        </w:rPr>
      </w:pPr>
    </w:p>
    <w:p w14:paraId="7BB011B4">
      <w:pPr>
        <w:jc w:val="center"/>
        <w:rPr>
          <w:rFonts w:hint="eastAsia"/>
          <w:b/>
          <w:bCs/>
          <w:color w:val="0000FF"/>
          <w:sz w:val="48"/>
          <w:szCs w:val="48"/>
          <w:lang w:val="en-US" w:eastAsia="zh-CN"/>
        </w:rPr>
      </w:pPr>
    </w:p>
    <w:p w14:paraId="3612BB4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E6B33AB">
      <w:pPr>
        <w:spacing w:line="480" w:lineRule="auto"/>
        <w:jc w:val="center"/>
        <w:rPr>
          <w:rFonts w:ascii="宋体" w:hAnsi="宋体" w:cs="宋体"/>
          <w:b/>
          <w:sz w:val="28"/>
          <w:szCs w:val="28"/>
        </w:rPr>
      </w:pPr>
    </w:p>
    <w:p w14:paraId="5080DB0F">
      <w:pPr>
        <w:spacing w:line="480" w:lineRule="auto"/>
        <w:jc w:val="center"/>
        <w:rPr>
          <w:rFonts w:ascii="宋体" w:hAnsi="宋体" w:cs="宋体"/>
          <w:b/>
          <w:sz w:val="24"/>
        </w:rPr>
      </w:pPr>
    </w:p>
    <w:p w14:paraId="77DABF63">
      <w:pPr>
        <w:spacing w:line="480" w:lineRule="auto"/>
        <w:jc w:val="center"/>
        <w:rPr>
          <w:rFonts w:ascii="宋体" w:hAnsi="宋体" w:cs="宋体"/>
          <w:b/>
          <w:sz w:val="24"/>
        </w:rPr>
      </w:pPr>
    </w:p>
    <w:p w14:paraId="134BD23F">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D743F05">
      <w:pPr>
        <w:spacing w:before="120" w:line="22" w:lineRule="atLeast"/>
        <w:rPr>
          <w:rFonts w:ascii="宋体" w:hAnsi="宋体" w:cs="宋体"/>
          <w:sz w:val="24"/>
        </w:rPr>
      </w:pPr>
    </w:p>
    <w:p w14:paraId="5AFB0C67">
      <w:pPr>
        <w:pStyle w:val="4"/>
        <w:tabs>
          <w:tab w:val="left" w:pos="432"/>
        </w:tabs>
        <w:rPr>
          <w:rFonts w:hint="default" w:eastAsia="黑体"/>
          <w:lang w:val="en-US" w:eastAsia="zh-CN"/>
        </w:rPr>
      </w:pPr>
      <w:r>
        <w:rPr>
          <w:rFonts w:hint="eastAsia"/>
          <w:lang w:val="en-US" w:eastAsia="zh-CN"/>
        </w:rPr>
        <w:t xml:space="preserve">              </w:t>
      </w:r>
    </w:p>
    <w:p w14:paraId="129BEFFF">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2025-2026年职业病体检服务采购项目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7ABAA598">
      <w:pPr>
        <w:rPr>
          <w:rFonts w:ascii="宋体" w:hAnsi="宋体" w:cs="宋体"/>
          <w:sz w:val="24"/>
        </w:rPr>
      </w:pPr>
    </w:p>
    <w:p w14:paraId="011C56EA">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0F823BB0">
      <w:pPr>
        <w:spacing w:before="120" w:line="22" w:lineRule="atLeast"/>
        <w:rPr>
          <w:rFonts w:ascii="宋体" w:hAnsi="宋体" w:cs="宋体"/>
          <w:sz w:val="24"/>
        </w:rPr>
      </w:pPr>
    </w:p>
    <w:p w14:paraId="5CD7DAC9">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8AC16C2">
      <w:pPr>
        <w:spacing w:before="120" w:line="22" w:lineRule="atLeast"/>
        <w:rPr>
          <w:rFonts w:ascii="宋体" w:hAnsi="宋体" w:cs="宋体"/>
          <w:sz w:val="24"/>
        </w:rPr>
      </w:pPr>
    </w:p>
    <w:p w14:paraId="3D68306A">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2F76F740">
      <w:pPr>
        <w:spacing w:before="120" w:line="22" w:lineRule="atLeast"/>
        <w:rPr>
          <w:rFonts w:ascii="宋体" w:hAnsi="宋体" w:cs="宋体"/>
          <w:sz w:val="24"/>
        </w:rPr>
      </w:pPr>
    </w:p>
    <w:p w14:paraId="71243695">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AF5E6FC">
      <w:pPr>
        <w:pStyle w:val="8"/>
        <w:ind w:firstLine="214"/>
        <w:jc w:val="center"/>
        <w:rPr>
          <w:rFonts w:hint="eastAsia"/>
          <w:b/>
          <w:bCs/>
        </w:rPr>
      </w:pPr>
      <w:r>
        <w:rPr>
          <w:rFonts w:hint="eastAsia"/>
          <w:b/>
          <w:bCs/>
        </w:rPr>
        <w:t>目录</w:t>
      </w:r>
    </w:p>
    <w:p w14:paraId="6F7C07B4">
      <w:pPr>
        <w:pStyle w:val="10"/>
        <w:spacing w:line="360" w:lineRule="auto"/>
        <w:ind w:firstLine="240" w:firstLineChars="100"/>
      </w:pPr>
      <w:r>
        <w:rPr>
          <w:rFonts w:hint="eastAsia"/>
        </w:rPr>
        <w:t>第一章 合同书  …………………………………………………………（页码）</w:t>
      </w:r>
    </w:p>
    <w:p w14:paraId="0BB1A180">
      <w:pPr>
        <w:pStyle w:val="10"/>
        <w:spacing w:line="360" w:lineRule="auto"/>
        <w:ind w:firstLine="240" w:firstLineChars="100"/>
        <w:rPr>
          <w:rFonts w:hint="eastAsia"/>
        </w:rPr>
      </w:pPr>
      <w:r>
        <w:rPr>
          <w:rFonts w:hint="eastAsia"/>
        </w:rPr>
        <w:t>第二章 合同一般条款……………………………………………………（页码）</w:t>
      </w:r>
    </w:p>
    <w:p w14:paraId="1EBD0FC4">
      <w:pPr>
        <w:pStyle w:val="10"/>
        <w:spacing w:line="360" w:lineRule="auto"/>
        <w:ind w:firstLine="240" w:firstLineChars="100"/>
        <w:rPr>
          <w:rFonts w:hint="eastAsia"/>
        </w:rPr>
      </w:pPr>
      <w:r>
        <w:rPr>
          <w:rFonts w:hint="eastAsia"/>
        </w:rPr>
        <w:t>第三章 安全协议…………………………………………………………（页码）</w:t>
      </w:r>
    </w:p>
    <w:p w14:paraId="1A422EFC">
      <w:pPr>
        <w:pStyle w:val="10"/>
        <w:spacing w:line="360" w:lineRule="auto"/>
        <w:ind w:firstLine="240" w:firstLineChars="100"/>
      </w:pPr>
      <w:r>
        <w:rPr>
          <w:rFonts w:hint="eastAsia"/>
        </w:rPr>
        <w:t>第四章 廉洁协议…………………………………………………………（页码）</w:t>
      </w:r>
    </w:p>
    <w:p w14:paraId="6ABE11E2">
      <w:pPr>
        <w:spacing w:line="360" w:lineRule="auto"/>
        <w:ind w:firstLine="480" w:firstLineChars="200"/>
        <w:rPr>
          <w:rFonts w:ascii="宋体" w:hAnsi="宋体"/>
          <w:sz w:val="24"/>
          <w:u w:val="single"/>
          <w:lang w:val="zh-CN"/>
        </w:rPr>
      </w:pPr>
    </w:p>
    <w:p w14:paraId="2DCE08F5">
      <w:pPr>
        <w:spacing w:line="360" w:lineRule="auto"/>
        <w:ind w:firstLine="480" w:firstLineChars="200"/>
        <w:rPr>
          <w:rFonts w:ascii="宋体" w:hAnsi="宋体"/>
          <w:sz w:val="24"/>
          <w:u w:val="single"/>
          <w:lang w:val="zh-CN"/>
        </w:rPr>
      </w:pPr>
    </w:p>
    <w:p w14:paraId="2D3B7767">
      <w:pPr>
        <w:spacing w:line="360" w:lineRule="auto"/>
        <w:ind w:firstLine="480" w:firstLineChars="200"/>
        <w:rPr>
          <w:rFonts w:ascii="宋体" w:hAnsi="宋体"/>
          <w:sz w:val="24"/>
          <w:u w:val="single"/>
          <w:lang w:val="zh-CN"/>
        </w:rPr>
      </w:pPr>
    </w:p>
    <w:p w14:paraId="7A03BA91">
      <w:pPr>
        <w:spacing w:line="360" w:lineRule="auto"/>
        <w:ind w:firstLine="480" w:firstLineChars="200"/>
        <w:rPr>
          <w:rFonts w:ascii="宋体" w:hAnsi="宋体"/>
          <w:sz w:val="24"/>
          <w:u w:val="single"/>
          <w:lang w:val="zh-CN"/>
        </w:rPr>
      </w:pPr>
    </w:p>
    <w:p w14:paraId="1F620B69">
      <w:pPr>
        <w:spacing w:line="360" w:lineRule="auto"/>
        <w:ind w:firstLine="480" w:firstLineChars="200"/>
        <w:rPr>
          <w:rFonts w:ascii="宋体" w:hAnsi="宋体"/>
          <w:sz w:val="24"/>
          <w:u w:val="single"/>
          <w:lang w:val="zh-CN"/>
        </w:rPr>
      </w:pPr>
    </w:p>
    <w:p w14:paraId="7D14B23C">
      <w:pPr>
        <w:spacing w:line="360" w:lineRule="auto"/>
        <w:ind w:firstLine="480" w:firstLineChars="200"/>
        <w:rPr>
          <w:rFonts w:ascii="宋体" w:hAnsi="宋体"/>
          <w:sz w:val="24"/>
          <w:u w:val="single"/>
          <w:lang w:val="zh-CN"/>
        </w:rPr>
      </w:pPr>
    </w:p>
    <w:p w14:paraId="100B92A3">
      <w:pPr>
        <w:spacing w:line="360" w:lineRule="auto"/>
        <w:ind w:firstLine="480" w:firstLineChars="200"/>
        <w:rPr>
          <w:rFonts w:ascii="宋体" w:hAnsi="宋体"/>
          <w:sz w:val="24"/>
          <w:u w:val="single"/>
          <w:lang w:val="zh-CN"/>
        </w:rPr>
      </w:pPr>
    </w:p>
    <w:p w14:paraId="2262B385">
      <w:pPr>
        <w:spacing w:line="360" w:lineRule="auto"/>
        <w:ind w:firstLine="480" w:firstLineChars="200"/>
        <w:rPr>
          <w:rFonts w:ascii="宋体" w:hAnsi="宋体"/>
          <w:sz w:val="24"/>
          <w:u w:val="single"/>
          <w:lang w:val="zh-CN"/>
        </w:rPr>
      </w:pPr>
    </w:p>
    <w:p w14:paraId="5F2F7F3A">
      <w:pPr>
        <w:spacing w:line="360" w:lineRule="auto"/>
        <w:ind w:firstLine="480" w:firstLineChars="200"/>
        <w:rPr>
          <w:rFonts w:ascii="宋体" w:hAnsi="宋体"/>
          <w:sz w:val="24"/>
          <w:u w:val="single"/>
          <w:lang w:val="zh-CN"/>
        </w:rPr>
      </w:pPr>
    </w:p>
    <w:p w14:paraId="1F2BF61A">
      <w:pPr>
        <w:spacing w:line="360" w:lineRule="auto"/>
        <w:ind w:firstLine="480" w:firstLineChars="200"/>
        <w:rPr>
          <w:rFonts w:ascii="宋体" w:hAnsi="宋体"/>
          <w:sz w:val="24"/>
          <w:u w:val="single"/>
          <w:lang w:val="zh-CN"/>
        </w:rPr>
      </w:pPr>
    </w:p>
    <w:p w14:paraId="54606AB7">
      <w:pPr>
        <w:spacing w:line="360" w:lineRule="auto"/>
        <w:ind w:firstLine="480" w:firstLineChars="200"/>
        <w:rPr>
          <w:rFonts w:ascii="宋体" w:hAnsi="宋体"/>
          <w:sz w:val="24"/>
          <w:u w:val="single"/>
          <w:lang w:val="zh-CN"/>
        </w:rPr>
      </w:pPr>
    </w:p>
    <w:p w14:paraId="3E410E42">
      <w:pPr>
        <w:spacing w:line="360" w:lineRule="auto"/>
        <w:ind w:firstLine="480" w:firstLineChars="200"/>
        <w:rPr>
          <w:rFonts w:ascii="宋体" w:hAnsi="宋体"/>
          <w:sz w:val="24"/>
          <w:u w:val="single"/>
          <w:lang w:val="zh-CN"/>
        </w:rPr>
      </w:pPr>
    </w:p>
    <w:p w14:paraId="667A0C95">
      <w:pPr>
        <w:spacing w:line="360" w:lineRule="auto"/>
        <w:ind w:firstLine="480" w:firstLineChars="200"/>
        <w:rPr>
          <w:rFonts w:ascii="宋体" w:hAnsi="宋体"/>
          <w:sz w:val="24"/>
          <w:u w:val="single"/>
          <w:lang w:val="zh-CN"/>
        </w:rPr>
      </w:pPr>
    </w:p>
    <w:p w14:paraId="6A83C059">
      <w:pPr>
        <w:spacing w:line="360" w:lineRule="auto"/>
        <w:ind w:firstLine="480" w:firstLineChars="200"/>
        <w:rPr>
          <w:rFonts w:ascii="宋体" w:hAnsi="宋体"/>
          <w:sz w:val="24"/>
          <w:u w:val="single"/>
          <w:lang w:val="zh-CN"/>
        </w:rPr>
      </w:pPr>
    </w:p>
    <w:p w14:paraId="64224904">
      <w:pPr>
        <w:spacing w:line="360" w:lineRule="auto"/>
        <w:ind w:firstLine="480" w:firstLineChars="200"/>
        <w:rPr>
          <w:rFonts w:ascii="宋体" w:hAnsi="宋体"/>
          <w:sz w:val="24"/>
          <w:u w:val="single"/>
          <w:lang w:val="zh-CN"/>
        </w:rPr>
      </w:pPr>
    </w:p>
    <w:p w14:paraId="2C29AE9F">
      <w:pPr>
        <w:spacing w:line="360" w:lineRule="auto"/>
        <w:ind w:firstLine="480" w:firstLineChars="200"/>
        <w:rPr>
          <w:rFonts w:ascii="宋体" w:hAnsi="宋体"/>
          <w:sz w:val="24"/>
          <w:u w:val="single"/>
          <w:lang w:val="zh-CN"/>
        </w:rPr>
      </w:pPr>
    </w:p>
    <w:p w14:paraId="13393326">
      <w:pPr>
        <w:spacing w:line="360" w:lineRule="auto"/>
        <w:ind w:firstLine="480" w:firstLineChars="200"/>
        <w:rPr>
          <w:rFonts w:ascii="宋体" w:hAnsi="宋体"/>
          <w:sz w:val="24"/>
          <w:u w:val="single"/>
          <w:lang w:val="zh-CN"/>
        </w:rPr>
      </w:pPr>
    </w:p>
    <w:p w14:paraId="03912485">
      <w:pPr>
        <w:spacing w:line="360" w:lineRule="auto"/>
        <w:ind w:firstLine="480" w:firstLineChars="200"/>
        <w:rPr>
          <w:rFonts w:ascii="宋体" w:hAnsi="宋体"/>
          <w:sz w:val="24"/>
          <w:u w:val="single"/>
          <w:lang w:val="zh-CN"/>
        </w:rPr>
      </w:pPr>
    </w:p>
    <w:p w14:paraId="42F079ED">
      <w:pPr>
        <w:spacing w:line="360" w:lineRule="auto"/>
        <w:ind w:firstLine="480" w:firstLineChars="200"/>
        <w:rPr>
          <w:rFonts w:ascii="宋体" w:hAnsi="宋体"/>
          <w:sz w:val="24"/>
          <w:u w:val="single"/>
          <w:lang w:val="zh-CN"/>
        </w:rPr>
      </w:pPr>
    </w:p>
    <w:p w14:paraId="3173C446">
      <w:pPr>
        <w:spacing w:line="360" w:lineRule="auto"/>
        <w:ind w:firstLine="480" w:firstLineChars="200"/>
        <w:rPr>
          <w:rFonts w:ascii="宋体" w:hAnsi="宋体"/>
          <w:sz w:val="24"/>
          <w:u w:val="single"/>
          <w:lang w:val="zh-CN"/>
        </w:rPr>
      </w:pPr>
    </w:p>
    <w:p w14:paraId="189BADCC">
      <w:pPr>
        <w:spacing w:line="360" w:lineRule="auto"/>
        <w:ind w:firstLine="480" w:firstLineChars="200"/>
        <w:rPr>
          <w:rFonts w:ascii="宋体" w:hAnsi="宋体"/>
          <w:sz w:val="24"/>
          <w:u w:val="single"/>
          <w:lang w:val="zh-CN"/>
        </w:rPr>
      </w:pPr>
    </w:p>
    <w:p w14:paraId="4E3A0C70">
      <w:pPr>
        <w:spacing w:line="360" w:lineRule="auto"/>
        <w:ind w:firstLine="480" w:firstLineChars="200"/>
        <w:rPr>
          <w:rFonts w:ascii="宋体" w:hAnsi="宋体"/>
          <w:sz w:val="24"/>
          <w:u w:val="single"/>
          <w:lang w:val="zh-CN"/>
        </w:rPr>
      </w:pPr>
    </w:p>
    <w:p w14:paraId="12CB3E2D">
      <w:pPr>
        <w:pStyle w:val="7"/>
        <w:rPr>
          <w:lang w:val="zh-CN"/>
        </w:rPr>
      </w:pPr>
    </w:p>
    <w:p w14:paraId="42A1234D">
      <w:pPr>
        <w:spacing w:line="360" w:lineRule="auto"/>
        <w:ind w:firstLine="480" w:firstLineChars="200"/>
        <w:rPr>
          <w:rFonts w:ascii="宋体" w:hAnsi="宋体"/>
          <w:sz w:val="24"/>
          <w:u w:val="single"/>
          <w:lang w:val="zh-CN"/>
        </w:rPr>
      </w:pPr>
    </w:p>
    <w:p w14:paraId="511F002E">
      <w:pPr>
        <w:spacing w:line="360" w:lineRule="auto"/>
        <w:ind w:firstLine="480" w:firstLineChars="200"/>
        <w:rPr>
          <w:rFonts w:ascii="宋体" w:hAnsi="宋体"/>
          <w:sz w:val="24"/>
          <w:u w:val="single"/>
          <w:lang w:val="zh-CN"/>
        </w:rPr>
      </w:pPr>
    </w:p>
    <w:p w14:paraId="51743BAA">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35187D3">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2025-2026年职业病体检服务采购项目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12BAC2B1">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0AE4EA40">
      <w:pPr>
        <w:spacing w:line="360" w:lineRule="auto"/>
        <w:ind w:firstLine="482" w:firstLineChars="200"/>
        <w:outlineLvl w:val="0"/>
        <w:rPr>
          <w:rFonts w:ascii="宋体" w:hAnsi="宋体"/>
          <w:sz w:val="24"/>
        </w:rPr>
      </w:pPr>
      <w:bookmarkStart w:id="384" w:name="_Toc19273"/>
      <w:bookmarkStart w:id="385" w:name="_Toc20421"/>
      <w:bookmarkStart w:id="386" w:name="_Toc22967"/>
      <w:bookmarkStart w:id="387" w:name="_Toc15367"/>
      <w:bookmarkStart w:id="388"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119B420C">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6413301">
      <w:pPr>
        <w:spacing w:line="360" w:lineRule="auto"/>
        <w:ind w:firstLine="480" w:firstLineChars="200"/>
        <w:rPr>
          <w:rFonts w:ascii="宋体" w:hAnsi="宋体"/>
          <w:sz w:val="24"/>
        </w:rPr>
      </w:pPr>
      <w:r>
        <w:rPr>
          <w:rFonts w:hint="eastAsia" w:ascii="宋体" w:hAnsi="宋体"/>
          <w:sz w:val="24"/>
        </w:rPr>
        <w:t>1.本合同及其补充合同、变更协议；</w:t>
      </w:r>
    </w:p>
    <w:p w14:paraId="6DBCDFC3">
      <w:pPr>
        <w:spacing w:line="360" w:lineRule="auto"/>
        <w:ind w:firstLine="480" w:firstLineChars="200"/>
        <w:rPr>
          <w:rFonts w:ascii="宋体" w:hAnsi="宋体"/>
          <w:sz w:val="24"/>
        </w:rPr>
      </w:pPr>
      <w:r>
        <w:rPr>
          <w:rFonts w:hint="eastAsia" w:ascii="宋体" w:hAnsi="宋体"/>
          <w:sz w:val="24"/>
        </w:rPr>
        <w:t>2.中标或者成交通知书；</w:t>
      </w:r>
    </w:p>
    <w:p w14:paraId="0E483A76">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15BE3852">
      <w:pPr>
        <w:spacing w:line="360" w:lineRule="auto"/>
        <w:ind w:firstLine="480" w:firstLineChars="200"/>
        <w:rPr>
          <w:rFonts w:ascii="宋体" w:hAnsi="宋体"/>
          <w:sz w:val="24"/>
        </w:rPr>
      </w:pPr>
      <w:r>
        <w:rPr>
          <w:rFonts w:hint="eastAsia" w:ascii="宋体" w:hAnsi="宋体"/>
          <w:sz w:val="24"/>
        </w:rPr>
        <w:t>4.采购文件（含澄清或者修改文件）；</w:t>
      </w:r>
    </w:p>
    <w:p w14:paraId="0FD29B37">
      <w:pPr>
        <w:spacing w:line="360" w:lineRule="auto"/>
        <w:ind w:firstLine="480" w:firstLineChars="200"/>
        <w:rPr>
          <w:rFonts w:ascii="宋体" w:hAnsi="宋体"/>
          <w:sz w:val="24"/>
        </w:rPr>
      </w:pPr>
      <w:r>
        <w:rPr>
          <w:rFonts w:hint="eastAsia" w:ascii="宋体" w:hAnsi="宋体"/>
          <w:sz w:val="24"/>
        </w:rPr>
        <w:t>5.其他相关采购文件。</w:t>
      </w:r>
    </w:p>
    <w:p w14:paraId="63EA4EF3">
      <w:pPr>
        <w:spacing w:line="360" w:lineRule="auto"/>
        <w:ind w:firstLine="482" w:firstLineChars="200"/>
        <w:outlineLvl w:val="0"/>
        <w:rPr>
          <w:rFonts w:hint="eastAsia" w:ascii="宋体" w:hAnsi="宋体"/>
          <w:b/>
          <w:sz w:val="24"/>
        </w:rPr>
      </w:pPr>
      <w:bookmarkStart w:id="389" w:name="_Toc22185"/>
      <w:bookmarkStart w:id="390" w:name="_Toc18585"/>
      <w:bookmarkStart w:id="391" w:name="_Toc6773"/>
      <w:bookmarkStart w:id="392" w:name="_Toc2918"/>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4A1C619A">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529668A9">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rPr>
        <w:t>条款规定的计价方式计价。</w:t>
      </w:r>
    </w:p>
    <w:p w14:paraId="08E7B5BB">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77A5ABD">
      <w:pPr>
        <w:spacing w:line="360" w:lineRule="auto"/>
        <w:ind w:firstLine="480" w:firstLineChars="200"/>
        <w:rPr>
          <w:rFonts w:hint="eastAsia" w:ascii="宋体" w:hAnsi="宋体" w:cs="宋体"/>
          <w:sz w:val="24"/>
        </w:rPr>
      </w:pPr>
      <w:r>
        <w:rPr>
          <w:rFonts w:hint="eastAsia" w:ascii="宋体" w:hAnsi="宋体"/>
          <w:bCs/>
          <w:sz w:val="24"/>
        </w:rPr>
        <w:t>（2）</w:t>
      </w:r>
      <w:r>
        <w:rPr>
          <w:rFonts w:hint="eastAsia" w:ascii="宋体" w:hAnsi="宋体" w:cs="宋体"/>
          <w:sz w:val="24"/>
        </w:rPr>
        <w:t>单价合同，</w:t>
      </w:r>
      <w:r>
        <w:rPr>
          <w:rFonts w:hint="eastAsia" w:ascii="宋体" w:hAnsi="宋体" w:cs="宋体"/>
          <w:sz w:val="24"/>
          <w:u w:val="single"/>
        </w:rPr>
        <w:t>按需更换、按实结算，总额控制</w:t>
      </w:r>
      <w:r>
        <w:rPr>
          <w:rFonts w:hint="eastAsia" w:ascii="宋体" w:hAnsi="宋体" w:cs="宋体"/>
          <w:sz w:val="24"/>
        </w:rPr>
        <w:t>。合同价格为综合价格，含货款、税金、</w:t>
      </w:r>
      <w:r>
        <w:rPr>
          <w:rFonts w:hint="eastAsia" w:ascii="宋体" w:hAnsi="宋体" w:cs="宋体"/>
          <w:sz w:val="24"/>
          <w:lang w:val="en-US" w:eastAsia="zh-CN"/>
        </w:rPr>
        <w:t>检测</w:t>
      </w:r>
      <w:r>
        <w:rPr>
          <w:rFonts w:hint="eastAsia" w:ascii="宋体" w:hAnsi="宋体" w:cs="宋体"/>
          <w:sz w:val="24"/>
        </w:rPr>
        <w:t>费、</w:t>
      </w:r>
      <w:r>
        <w:rPr>
          <w:rFonts w:hint="eastAsia" w:ascii="宋体" w:hAnsi="宋体" w:cs="宋体"/>
          <w:sz w:val="24"/>
          <w:lang w:val="en-US" w:eastAsia="zh-CN"/>
        </w:rPr>
        <w:t>人工</w:t>
      </w:r>
      <w:r>
        <w:rPr>
          <w:rFonts w:hint="eastAsia" w:ascii="宋体" w:hAnsi="宋体" w:cs="宋体"/>
          <w:sz w:val="24"/>
        </w:rPr>
        <w:t>费、工具费等所有费用</w:t>
      </w:r>
      <w:r>
        <w:rPr>
          <w:rFonts w:hint="eastAsia" w:ascii="宋体" w:hAnsi="宋体" w:cs="宋体"/>
          <w:sz w:val="24"/>
          <w:lang w:eastAsia="zh-CN"/>
        </w:rPr>
        <w:t>，</w:t>
      </w:r>
      <w:r>
        <w:rPr>
          <w:rFonts w:hint="eastAsia" w:ascii="宋体" w:hAnsi="宋体" w:cs="宋体"/>
          <w:sz w:val="24"/>
        </w:rPr>
        <w:t>合同清单数量仅为甲方暂定数量，</w:t>
      </w:r>
      <w:r>
        <w:rPr>
          <w:rFonts w:ascii="宋体" w:hAnsi="宋体"/>
          <w:sz w:val="24"/>
        </w:rPr>
        <w:t>分项价格</w:t>
      </w:r>
      <w:r>
        <w:rPr>
          <w:rFonts w:hint="eastAsia" w:ascii="宋体" w:hAnsi="宋体" w:cs="宋体"/>
          <w:sz w:val="24"/>
        </w:rPr>
        <w:t>如下：</w:t>
      </w:r>
    </w:p>
    <w:p w14:paraId="0AD6513B">
      <w:pPr>
        <w:pStyle w:val="2"/>
        <w:rPr>
          <w:rFonts w:hint="eastAsia"/>
        </w:rPr>
      </w:pPr>
    </w:p>
    <w:p w14:paraId="1A42D1BC">
      <w:pPr>
        <w:pStyle w:val="2"/>
        <w:jc w:val="center"/>
        <w:rPr>
          <w:rFonts w:hint="default" w:eastAsiaTheme="minorEastAsia"/>
          <w:lang w:val="en-US" w:eastAsia="zh-CN"/>
        </w:rPr>
      </w:pPr>
      <w:r>
        <w:rPr>
          <w:rFonts w:hint="eastAsia" w:ascii="宋体" w:hAnsi="宋体" w:cs="宋体"/>
          <w:sz w:val="24"/>
          <w:lang w:val="en-US" w:eastAsia="zh-CN"/>
        </w:rPr>
        <w:t>在岗及离职人员体检清单</w:t>
      </w:r>
    </w:p>
    <w:tbl>
      <w:tblPr>
        <w:tblStyle w:val="15"/>
        <w:tblW w:w="101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957"/>
        <w:gridCol w:w="1093"/>
        <w:gridCol w:w="3924"/>
        <w:gridCol w:w="1020"/>
        <w:gridCol w:w="1278"/>
        <w:gridCol w:w="1278"/>
      </w:tblGrid>
      <w:tr w14:paraId="2BA3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08D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bookmarkStart w:id="394" w:name="_Toc10340"/>
            <w:bookmarkStart w:id="395" w:name="_Toc22618"/>
            <w:bookmarkStart w:id="396" w:name="_Toc1814"/>
            <w:bookmarkStart w:id="397" w:name="_Toc11108"/>
            <w:bookmarkStart w:id="398" w:name="_Toc8772"/>
            <w:bookmarkStart w:id="399" w:name="_Toc4760"/>
            <w:bookmarkStart w:id="400" w:name="_Toc31421"/>
            <w:bookmarkStart w:id="401" w:name="_Toc3625"/>
            <w:r>
              <w:rPr>
                <w:rFonts w:hint="eastAsia" w:ascii="宋体" w:hAnsi="宋体" w:eastAsia="宋体" w:cs="宋体"/>
                <w:b/>
                <w:bCs/>
                <w:i w:val="0"/>
                <w:iCs w:val="0"/>
                <w:color w:val="000000"/>
                <w:kern w:val="0"/>
                <w:sz w:val="18"/>
                <w:szCs w:val="18"/>
                <w:u w:val="none"/>
                <w:lang w:val="en-US" w:eastAsia="zh-CN" w:bidi="ar"/>
              </w:rPr>
              <w:t>序号</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3A2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接害工种</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CB2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部门</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73E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接触的职业病危害因素</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9578B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暂定接</w:t>
            </w:r>
            <w:r>
              <w:rPr>
                <w:rFonts w:hint="eastAsia" w:ascii="宋体" w:hAnsi="宋体" w:eastAsia="宋体" w:cs="宋体"/>
                <w:b/>
                <w:bCs/>
                <w:i w:val="0"/>
                <w:iCs w:val="0"/>
                <w:color w:val="000000"/>
                <w:kern w:val="0"/>
                <w:sz w:val="18"/>
                <w:szCs w:val="18"/>
                <w:u w:val="none"/>
                <w:lang w:val="en-US" w:eastAsia="zh-CN" w:bidi="ar"/>
              </w:rPr>
              <w:t>害人数(人)</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18E79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6A438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06981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4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6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机务专工、仪控专工、水处理专工</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A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F2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5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5B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74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56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2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电气专工、烟气专工</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D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BD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3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93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59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4B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6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A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（运行、技术）</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F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63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噪声、高温、氢氧化钠、盐酸、活性炭、工频电场、氢氧化钙、细菌、病毒、寄生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6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D4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E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3C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A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1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值长、主控、副控、巡检</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D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B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6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13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FA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748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A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0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水处理工、化验员</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C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B8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氨、硫化氢、盐酸、硫酸、氢氧化钠、飞灰、炉渣、消石灰、噪声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0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F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F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D2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4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A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垃圾吊操作员</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B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28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硫化氢、氨、噪声、硫醇类、硫醚类、吲哚类、胺类、 甲基硫、细菌、病毒、寄生虫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F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C7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EC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D9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1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4A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安全员</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7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C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5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A0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1D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74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B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预处理主管及技术员</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B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41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其他粉尘、苯、甲苯、二甲苯、乙酸乙酯、乙酸丁酯、丙酮、丁酮、甲醇、三氯甲烷、硫化氢、氢氧化钠、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0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47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0D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32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D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F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仓管</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4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4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苯、甲苯、二甲苯、乙酸乙酯、乙酸丁酯、丙酮、丁酮、甲醇、三氯甲烷、硫化氢、氟化氢、氯化氢及盐酸、氢氧化钠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F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4A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4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78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F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D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医废主管及医废工</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E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AB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致病微生物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D5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7A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DE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649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6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2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危（医）废押运员</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1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2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其他粉尘、苯、甲苯、二甲苯、乙酸乙酯、乙酸丁酯、丙酮、丁酮、甲醇、三氯甲烷、硫化氢、氢氧化钠、致病微生物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C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C5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3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A4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F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危（医）废司机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0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C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其他粉尘、苯、甲苯、二甲苯、乙酸乙酯、乙酸丁酯、丙酮、丁酮、甲醇、三氯甲烷、硫化氢、氢氧化钠、致病微生物、职业机动车驾驶作业（大）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4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4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2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64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D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2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焚烧总值长</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D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二氧化硫,一氧化碳,硫化氢,飞灰粉尘,高温,氯化氢及盐酸,二氧化氮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A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EA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2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78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6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8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焚烧值长</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1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7B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9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1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2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E4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B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E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焚烧行车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D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苯,甲醇,硫化氢,飞灰粉尘,丁酮,乙酸乙酯,乙酸丁酯,三氯甲烷,甲苯,二甲苯,丙酮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6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F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CC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07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6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8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焚烧巡检</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1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D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0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0E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046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3B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9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B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焚烧中控、焚烧汽机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2C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二氧化硫,一氧化碳,硫化氢,飞灰粉尘,高温,氯化氢及盐酸,二氧化氮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7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65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8A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9B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7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4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水处理主管、水处理技术员、水处理工</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F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2A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硫化氢,三氧化硫,硫酸,氯化氢及盐酸,氢氧化钠,噪声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6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4A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824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1C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B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1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填埋主管、填埋技术员</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5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C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9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29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71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41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8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挖机司机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B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66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飞灰粉尘、噪声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3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5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2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9D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0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C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分析技术员、实验分析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E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1A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苯,甲苯,二甲苯,乙酸乙酯,乙酸丁酯,丙酮,丁酮,甲醇,三氯甲烷,硫化氢,氯化氢及盐酸,氢氧化钠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9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67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23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56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E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C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取样分析、工艺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C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8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苯,甲苯,二甲苯,乙酸乙酯,乙酸丁酯,丙酮,丁酮,甲醇,三氯甲烷,硫化氢,氯化氢及盐酸,氢氧化钠,飞灰粉尘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8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1C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59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CA5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D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6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仪控</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5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7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二氧化硫,一氧化碳,硫化氢,飞灰粉尘,噪声,高温,电焊烟尘,氯化氢及盐酸,二氧化氮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2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A7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66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F5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9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7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二氧化硫,一氧化碳,硫化氢,飞灰粉尘,噪声,高温,氯化氢及盐酸,二氧化氮,工频电场,电工作业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3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A7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73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0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3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机修</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4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9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二氧化硫,一氧化碳,硫化氢,飞灰粉尘,噪声,高温,电焊烟尘,氯化氢及盐酸,二氧化氮,电焊弧光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1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B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9B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F5D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D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B0B6">
            <w:pPr>
              <w:jc w:val="center"/>
              <w:rPr>
                <w:rFonts w:hint="eastAsia" w:ascii="宋体" w:hAnsi="宋体" w:eastAsia="宋体" w:cs="宋体"/>
                <w:i w:val="0"/>
                <w:iCs w:val="0"/>
                <w:color w:val="000000"/>
                <w:sz w:val="18"/>
                <w:szCs w:val="1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4046">
            <w:pPr>
              <w:jc w:val="center"/>
              <w:rPr>
                <w:rFonts w:hint="eastAsia" w:ascii="宋体" w:hAnsi="宋体" w:eastAsia="宋体" w:cs="宋体"/>
                <w:i w:val="0"/>
                <w:iCs w:val="0"/>
                <w:color w:val="000000"/>
                <w:sz w:val="18"/>
                <w:szCs w:val="18"/>
                <w:u w:val="none"/>
              </w:rPr>
            </w:pPr>
          </w:p>
        </w:tc>
        <w:tc>
          <w:tcPr>
            <w:tcW w:w="3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BFEF">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0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94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2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14C63C98">
      <w:pPr>
        <w:spacing w:line="360" w:lineRule="auto"/>
        <w:jc w:val="both"/>
        <w:outlineLvl w:val="0"/>
        <w:rPr>
          <w:rFonts w:hint="eastAsia" w:ascii="宋体" w:hAnsi="宋体" w:cs="宋体"/>
          <w:b/>
          <w:bCs/>
          <w:sz w:val="24"/>
          <w:lang w:val="en-US" w:eastAsia="zh-CN"/>
        </w:rPr>
      </w:pPr>
    </w:p>
    <w:p w14:paraId="530214D7">
      <w:pPr>
        <w:spacing w:line="360" w:lineRule="auto"/>
        <w:ind w:firstLine="482" w:firstLineChars="200"/>
        <w:jc w:val="center"/>
        <w:outlineLvl w:val="0"/>
        <w:rPr>
          <w:rFonts w:hint="eastAsia" w:ascii="宋体" w:hAnsi="宋体"/>
          <w:b/>
          <w:sz w:val="24"/>
        </w:rPr>
      </w:pPr>
      <w:r>
        <w:rPr>
          <w:rFonts w:hint="eastAsia" w:ascii="宋体" w:hAnsi="宋体" w:cs="宋体"/>
          <w:b/>
          <w:bCs/>
          <w:sz w:val="24"/>
          <w:lang w:val="en-US" w:eastAsia="zh-CN"/>
        </w:rPr>
        <w:t>岗前人员体检清单</w:t>
      </w:r>
    </w:p>
    <w:tbl>
      <w:tblPr>
        <w:tblStyle w:val="15"/>
        <w:tblW w:w="99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086"/>
        <w:gridCol w:w="972"/>
        <w:gridCol w:w="3613"/>
        <w:gridCol w:w="1129"/>
        <w:gridCol w:w="1278"/>
        <w:gridCol w:w="1278"/>
      </w:tblGrid>
      <w:tr w14:paraId="6E7C7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77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65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接害工种</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87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DE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接触的职业病危害因素</w:t>
            </w:r>
          </w:p>
        </w:tc>
        <w:tc>
          <w:tcPr>
            <w:tcW w:w="112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51BB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70C0"/>
                <w:kern w:val="0"/>
                <w:sz w:val="18"/>
                <w:szCs w:val="18"/>
                <w:u w:val="none"/>
                <w:lang w:val="en-US" w:eastAsia="zh-CN" w:bidi="ar"/>
              </w:rPr>
              <w:t>暂定</w:t>
            </w:r>
            <w:r>
              <w:rPr>
                <w:rFonts w:hint="eastAsia" w:ascii="宋体" w:hAnsi="宋体" w:eastAsia="宋体" w:cs="宋体"/>
                <w:b/>
                <w:bCs/>
                <w:i w:val="0"/>
                <w:iCs w:val="0"/>
                <w:color w:val="000000"/>
                <w:kern w:val="0"/>
                <w:sz w:val="18"/>
                <w:szCs w:val="18"/>
                <w:u w:val="none"/>
                <w:lang w:val="en-US" w:eastAsia="zh-CN" w:bidi="ar"/>
              </w:rPr>
              <w:t>接害人数(人)</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625F8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127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C029D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63E1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0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机务专工、仪控专工、水处理专工</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3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4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7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3E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C8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2A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E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0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电气专工、烟气专工</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0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B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5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7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4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89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5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F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（运行、技术）</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5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15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噪声、高温、氢氧化钠、盐酸、活性炭、工频电场、氢氧化钙、细菌、病毒、寄生虫</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A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A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71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AE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8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6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值长、主控、副控、巡检</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A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9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F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E6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43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DA3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A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3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水处理工、化验员</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C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F7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氨、硫化氢、盐酸、硫酸、氢氧化钠、飞灰、炉渣、消石灰、噪声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8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EA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A4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7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1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垃圾吊操作员</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5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5F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硫化氢、氨、噪声、硫醇类、硫醚类、吲哚类、胺类、 甲基硫、细菌、病毒、寄生虫</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A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30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E4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934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F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D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安全员</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8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E2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7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B9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AB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28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3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B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预处理主管及技术员</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F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0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其他粉尘、苯、甲苯、二甲苯、乙酸乙酯、乙酸丁酯、丙酮、丁酮、甲醇、三氯甲烷、硫化氢、氢氧化钠、</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3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5A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2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8A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5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9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1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A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苯、甲苯、二甲苯、乙酸乙酯、乙酸丁酯、丙酮、丁酮、甲醇、三氯甲烷、硫化氢、氟化氢、氯化氢及盐酸、氢氧化钠</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8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F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99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5C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F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F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仓储叉车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0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7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苯、甲苯、二甲苯、乙酸乙酯、乙酸丁酯、丙酮、丁酮、甲醇、三氯甲烷、硫化氢、氟化氢、氯化氢及盐酸、氢氧化钠、噪声、职业机动车驾驶作业（小）</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4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18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0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6E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9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E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医废主管及医废工</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1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D8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致病微生物</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2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85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F8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FF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1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F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医废押运员</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C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1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其他粉尘、苯、甲苯、二甲苯、乙酸乙酯、乙酸丁酯、丙酮、丁酮、甲醇、三氯甲烷、硫化氢、氢氧化钠、致病微生物</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8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B7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82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415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3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3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医废车司机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4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8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其他粉尘、苯、甲苯、二甲苯、乙酸乙酯、乙酸丁酯、丙酮、丁酮、甲醇、三氯甲烷、硫化氢、氢氧化钠、致病微生物、职业机动车驾驶作业（大）</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F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89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3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33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2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7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焚烧总值长</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F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12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二氧化硫,一氧化碳,硫化氢,飞灰粉尘,高温,氯化氢及盐酸,二氧化氮</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A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2F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C3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C2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F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6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焚烧值长</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34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E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A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8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35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3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69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焚烧行车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C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0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苯,甲醇,硫化氢,飞灰粉尘,丁酮,乙酸乙酯,乙酸丁酯,三氯甲烷,甲苯,二甲苯,丙酮</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3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53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8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C9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B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D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焚烧巡检</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5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F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4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8C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90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DD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E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1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焚烧中控、焚烧汽机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2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E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二氧化硫,一氧化碳,硫化氢,飞灰粉尘,高温,氯化氢及盐酸,二氧化氮</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A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00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05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DE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2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B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水处理主管、水处理技术员、水处理工</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5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2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硫化氢,三氧化硫,硫酸,氯化氢及盐酸,氢氧化钠,噪声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0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B9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D1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F2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3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5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填埋主管、填埋技术员</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4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A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C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F5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C0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AB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E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挖机司机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C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1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飞灰粉尘、噪声</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B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B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C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3C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F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D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填埋叉车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2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8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其他粉尘、噪声、职业机动车驾驶作业（小）</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1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2A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31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C1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1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D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飞灰车及装卸车司机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0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1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其他粉尘、噪声、职业机动车驾驶作业（大）</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4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71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2C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55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1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E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分析技术员、实验分析</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D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50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苯,甲苯,二甲苯,乙酸乙酯,乙酸丁酯,丙酮,丁酮,甲醇,三氯甲烷,硫化氢,氯化氢及盐酸,氢氧化钠</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F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39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A1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9A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8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3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取样分析、工艺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7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8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苯,甲苯,二甲苯,乙酸乙酯,乙酸丁酯,丙酮,丁酮,甲醇,三氯甲烷,硫化氢,氯化氢及盐酸,氢氧化钠,飞灰粉尘</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0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86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3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F8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7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B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仪控</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二氧化硫,一氧化碳,硫化氢,飞灰粉尘,噪声,高温,电焊烟尘,氯化氢及盐酸,二氧化氮</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5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9F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95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7B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0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8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F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CC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二氧化硫,一氧化碳,硫化氢,飞灰粉尘,噪声,高温,氯化氢及盐酸,二氧化氮,工频电场,电工作业</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B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76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E4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7A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7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B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机修</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9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三固运行中心</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7D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二氧化硫,一氧化碳,硫化氢,飞灰粉尘,噪声,高温,电焊烟尘,氯化氢及盐酸,二氧化氮,电焊弧光</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7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FB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3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64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2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F059">
            <w:pPr>
              <w:jc w:val="center"/>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F5BA">
            <w:pPr>
              <w:jc w:val="center"/>
              <w:rPr>
                <w:rFonts w:hint="eastAsia" w:ascii="宋体" w:hAnsi="宋体" w:eastAsia="宋体" w:cs="宋体"/>
                <w:i w:val="0"/>
                <w:iCs w:val="0"/>
                <w:color w:val="000000"/>
                <w:sz w:val="18"/>
                <w:szCs w:val="18"/>
                <w:u w:val="none"/>
              </w:rPr>
            </w:pPr>
          </w:p>
        </w:tc>
        <w:tc>
          <w:tcPr>
            <w:tcW w:w="3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C71A">
            <w:pPr>
              <w:jc w:val="center"/>
              <w:rPr>
                <w:rFonts w:hint="eastAsia" w:ascii="宋体" w:hAnsi="宋体" w:eastAsia="宋体" w:cs="宋体"/>
                <w:i w:val="0"/>
                <w:iCs w:val="0"/>
                <w:color w:val="000000"/>
                <w:sz w:val="18"/>
                <w:szCs w:val="18"/>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E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556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5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5FF5D887">
      <w:pPr>
        <w:pStyle w:val="2"/>
        <w:rPr>
          <w:rFonts w:hint="eastAsia"/>
        </w:rPr>
      </w:pPr>
    </w:p>
    <w:p w14:paraId="7836C008">
      <w:pPr>
        <w:spacing w:line="360" w:lineRule="auto"/>
        <w:ind w:firstLine="482" w:firstLineChars="200"/>
        <w:outlineLvl w:val="0"/>
        <w:rPr>
          <w:rFonts w:ascii="宋体" w:hAnsi="宋体"/>
          <w:b/>
          <w:sz w:val="24"/>
        </w:rPr>
      </w:pPr>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0324104A">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u w:val="single"/>
        </w:rPr>
        <w:t>；</w:t>
      </w:r>
    </w:p>
    <w:p w14:paraId="535489EA">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none"/>
        </w:rPr>
        <w:t>浙江省杭州市钱塘区临江街道红十五路10388-123号，杭州临江环境能源有限公司厂区内</w:t>
      </w:r>
      <w:r>
        <w:rPr>
          <w:rFonts w:hint="eastAsia" w:ascii="宋体" w:hAnsi="宋体"/>
          <w:iCs/>
          <w:sz w:val="24"/>
          <w:u w:val="none"/>
        </w:rPr>
        <w:t>；</w:t>
      </w:r>
    </w:p>
    <w:p w14:paraId="1418F4EA">
      <w:pPr>
        <w:spacing w:line="360" w:lineRule="auto"/>
        <w:ind w:firstLine="480" w:firstLineChars="200"/>
        <w:rPr>
          <w:rFonts w:hint="eastAsia" w:ascii="宋体" w:hAnsi="宋体"/>
          <w:b/>
          <w:bCs/>
          <w:sz w:val="24"/>
          <w:u w:val="single"/>
        </w:rPr>
      </w:pPr>
      <w:r>
        <w:rPr>
          <w:rFonts w:hint="eastAsia" w:ascii="宋体" w:hAnsi="宋体"/>
          <w:sz w:val="24"/>
        </w:rPr>
        <w:t>3.服务交付（实施）的方式：</w:t>
      </w:r>
      <w:r>
        <w:rPr>
          <w:rFonts w:hint="eastAsia" w:ascii="宋体" w:hAnsi="宋体"/>
          <w:b/>
          <w:bCs/>
          <w:sz w:val="24"/>
          <w:u w:val="single"/>
        </w:rPr>
        <w:t>《职业健康检查个体结论报告》和《职业健康检查总结报告》应在甲方</w:t>
      </w:r>
      <w:r>
        <w:rPr>
          <w:rFonts w:hint="eastAsia" w:ascii="宋体" w:hAnsi="宋体"/>
          <w:b/>
          <w:bCs/>
          <w:sz w:val="24"/>
          <w:u w:val="single"/>
          <w:lang w:eastAsia="zh-CN"/>
        </w:rPr>
        <w:t>检查</w:t>
      </w:r>
      <w:r>
        <w:rPr>
          <w:rFonts w:hint="eastAsia" w:ascii="宋体" w:hAnsi="宋体"/>
          <w:b/>
          <w:bCs/>
          <w:sz w:val="24"/>
          <w:u w:val="single"/>
        </w:rPr>
        <w:t>人员完成</w:t>
      </w:r>
      <w:r>
        <w:rPr>
          <w:rFonts w:hint="eastAsia" w:ascii="宋体" w:hAnsi="宋体"/>
          <w:b/>
          <w:bCs/>
          <w:sz w:val="24"/>
          <w:u w:val="single"/>
          <w:lang w:eastAsia="zh-CN"/>
        </w:rPr>
        <w:t>检查</w:t>
      </w:r>
      <w:r>
        <w:rPr>
          <w:rFonts w:hint="eastAsia" w:ascii="宋体" w:hAnsi="宋体"/>
          <w:b/>
          <w:bCs/>
          <w:sz w:val="24"/>
          <w:u w:val="single"/>
        </w:rPr>
        <w:t>之日起30个工作日</w:t>
      </w:r>
      <w:r>
        <w:rPr>
          <w:rFonts w:hint="eastAsia" w:ascii="宋体" w:hAnsi="宋体"/>
          <w:b/>
          <w:bCs/>
          <w:color w:val="auto"/>
          <w:sz w:val="24"/>
          <w:u w:val="single"/>
        </w:rPr>
        <w:t>内向甲方交付</w:t>
      </w:r>
      <w:r>
        <w:rPr>
          <w:rFonts w:hint="eastAsia" w:ascii="宋体" w:hAnsi="宋体"/>
          <w:b/>
          <w:bCs/>
          <w:sz w:val="24"/>
          <w:u w:val="single"/>
          <w:lang w:eastAsia="zh-CN"/>
        </w:rPr>
        <w:t>，</w:t>
      </w:r>
      <w:r>
        <w:rPr>
          <w:rFonts w:hint="eastAsia" w:ascii="宋体" w:hAnsi="宋体"/>
          <w:b/>
          <w:bCs/>
          <w:sz w:val="24"/>
          <w:u w:val="single"/>
          <w:lang w:val="en-US" w:eastAsia="zh-CN"/>
        </w:rPr>
        <w:t>人数以甲方提供的实际职业健康体检人数为准</w:t>
      </w:r>
      <w:r>
        <w:rPr>
          <w:rFonts w:hint="eastAsia" w:ascii="宋体" w:hAnsi="宋体"/>
          <w:b/>
          <w:bCs/>
          <w:sz w:val="24"/>
          <w:u w:val="single"/>
        </w:rPr>
        <w:t>。</w:t>
      </w:r>
    </w:p>
    <w:p w14:paraId="33A15E6D">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91E1E3C">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4DB42D91">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70BFBF6A">
      <w:pPr>
        <w:spacing w:line="360" w:lineRule="auto"/>
        <w:ind w:firstLine="480" w:firstLineChars="200"/>
        <w:outlineLvl w:val="0"/>
        <w:rPr>
          <w:rFonts w:hint="eastAsia" w:ascii="宋体" w:hAnsi="宋体" w:cs="宋体" w:eastAsiaTheme="minorEastAsia"/>
          <w:sz w:val="24"/>
          <w:lang w:eastAsia="zh-CN"/>
        </w:rPr>
      </w:pPr>
      <w:bookmarkStart w:id="402" w:name="_Toc6596"/>
      <w:bookmarkStart w:id="403" w:name="_Toc1125"/>
      <w:bookmarkStart w:id="404" w:name="_Toc14563"/>
      <w:r>
        <w:rPr>
          <w:rFonts w:hint="eastAsia" w:ascii="宋体" w:hAnsi="宋体" w:cs="宋体"/>
          <w:sz w:val="24"/>
        </w:rPr>
        <w:t>1.根据甲方要求按时、按质、按量完成服务，履行合同义务</w:t>
      </w:r>
      <w:r>
        <w:rPr>
          <w:rFonts w:hint="eastAsia" w:ascii="宋体" w:hAnsi="宋体" w:cs="宋体"/>
          <w:sz w:val="24"/>
          <w:lang w:eastAsia="zh-CN"/>
        </w:rPr>
        <w:t>；</w:t>
      </w:r>
    </w:p>
    <w:p w14:paraId="70E39C2A">
      <w:pPr>
        <w:spacing w:line="360" w:lineRule="auto"/>
        <w:ind w:firstLine="480" w:firstLineChars="200"/>
        <w:outlineLvl w:val="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乙方</w:t>
      </w:r>
      <w:r>
        <w:rPr>
          <w:rFonts w:hint="eastAsia" w:ascii="宋体" w:hAnsi="宋体" w:cs="宋体"/>
          <w:sz w:val="24"/>
        </w:rPr>
        <w:t>按照清单要求进行职业病健康检查，并出具及时提供</w:t>
      </w:r>
      <w:r>
        <w:rPr>
          <w:rFonts w:hint="eastAsia" w:ascii="宋体" w:hAnsi="宋体" w:cs="宋体"/>
          <w:sz w:val="24"/>
          <w:lang w:eastAsia="zh-CN"/>
        </w:rPr>
        <w:t>检查</w:t>
      </w:r>
      <w:r>
        <w:rPr>
          <w:rFonts w:hint="eastAsia" w:ascii="宋体" w:hAnsi="宋体" w:cs="宋体"/>
          <w:sz w:val="24"/>
        </w:rPr>
        <w:t>报告。对于出现意外情况导致</w:t>
      </w:r>
      <w:r>
        <w:rPr>
          <w:rFonts w:hint="eastAsia" w:ascii="宋体" w:hAnsi="宋体" w:cs="宋体"/>
          <w:sz w:val="24"/>
          <w:lang w:eastAsia="zh-CN"/>
        </w:rPr>
        <w:t>检查</w:t>
      </w:r>
      <w:r>
        <w:rPr>
          <w:rFonts w:hint="eastAsia" w:ascii="宋体" w:hAnsi="宋体" w:cs="宋体"/>
          <w:sz w:val="24"/>
        </w:rPr>
        <w:t>服务无法一次性完成，</w:t>
      </w:r>
      <w:r>
        <w:rPr>
          <w:rFonts w:hint="eastAsia" w:ascii="宋体" w:hAnsi="宋体" w:cs="宋体"/>
          <w:sz w:val="24"/>
          <w:lang w:eastAsia="zh-CN"/>
        </w:rPr>
        <w:t>乙方</w:t>
      </w:r>
      <w:r>
        <w:rPr>
          <w:rFonts w:hint="eastAsia" w:ascii="宋体" w:hAnsi="宋体" w:cs="宋体"/>
          <w:sz w:val="24"/>
        </w:rPr>
        <w:t>应配合</w:t>
      </w:r>
      <w:r>
        <w:rPr>
          <w:rFonts w:hint="eastAsia" w:ascii="宋体" w:hAnsi="宋体" w:cs="宋体"/>
          <w:sz w:val="24"/>
          <w:lang w:eastAsia="zh-CN"/>
        </w:rPr>
        <w:t>甲方</w:t>
      </w:r>
      <w:r>
        <w:rPr>
          <w:rFonts w:hint="eastAsia" w:ascii="宋体" w:hAnsi="宋体" w:cs="宋体"/>
          <w:sz w:val="24"/>
        </w:rPr>
        <w:t>完成剩余</w:t>
      </w:r>
      <w:r>
        <w:rPr>
          <w:rFonts w:hint="eastAsia" w:ascii="宋体" w:hAnsi="宋体" w:cs="宋体"/>
          <w:sz w:val="24"/>
          <w:lang w:eastAsia="zh-CN"/>
        </w:rPr>
        <w:t>检查</w:t>
      </w:r>
      <w:r>
        <w:rPr>
          <w:rFonts w:hint="eastAsia" w:ascii="宋体" w:hAnsi="宋体" w:cs="宋体"/>
          <w:sz w:val="24"/>
        </w:rPr>
        <w:t>项目；</w:t>
      </w:r>
    </w:p>
    <w:p w14:paraId="1B558993">
      <w:pPr>
        <w:spacing w:line="360" w:lineRule="auto"/>
        <w:ind w:firstLine="480" w:firstLineChars="200"/>
        <w:outlineLvl w:val="0"/>
        <w:rPr>
          <w:rFonts w:hint="eastAsia" w:ascii="仿宋" w:hAnsi="仿宋" w:cs="仿宋" w:eastAsiaTheme="minorEastAsia"/>
          <w:sz w:val="24"/>
          <w:szCs w:val="24"/>
          <w:lang w:eastAsia="zh-CN"/>
        </w:rPr>
      </w:pPr>
      <w:r>
        <w:rPr>
          <w:rFonts w:hint="eastAsia" w:ascii="宋体" w:hAnsi="宋体" w:cs="宋体"/>
          <w:sz w:val="24"/>
        </w:rPr>
        <w:t>3.乙方应按国家规定的有关技术标准、规范进行职业健康检查，按本合同约定的时间、地点及份数完成检查并向甲方交付《职业健康检查个体结论报告》和《职业健康检查总结报告》，并对职业健康检查结果及其报告的质量负责</w:t>
      </w:r>
      <w:r>
        <w:rPr>
          <w:rFonts w:hint="eastAsia" w:ascii="宋体" w:hAnsi="宋体" w:cs="宋体"/>
          <w:sz w:val="24"/>
          <w:lang w:eastAsia="zh-CN"/>
        </w:rPr>
        <w:t>；</w:t>
      </w:r>
    </w:p>
    <w:p w14:paraId="106F6AEE">
      <w:pPr>
        <w:pStyle w:val="8"/>
        <w:numPr>
          <w:ilvl w:val="0"/>
          <w:numId w:val="0"/>
        </w:numPr>
        <w:ind w:firstLine="480" w:firstLineChars="200"/>
        <w:rPr>
          <w:rFonts w:hint="eastAsia" w:ascii="宋体" w:hAnsi="宋体" w:cs="宋体"/>
          <w:color w:val="auto"/>
          <w:sz w:val="24"/>
        </w:rPr>
      </w:pPr>
      <w:r>
        <w:rPr>
          <w:rFonts w:hint="eastAsia" w:cs="Times New Roman"/>
          <w:snapToGrid/>
          <w:color w:val="auto"/>
          <w:kern w:val="2"/>
          <w:sz w:val="24"/>
          <w:szCs w:val="20"/>
          <w:lang w:val="en-US" w:eastAsia="zh-CN" w:bidi="ar-SA"/>
        </w:rPr>
        <w:t>4.</w:t>
      </w:r>
      <w:r>
        <w:rPr>
          <w:rFonts w:hint="eastAsia" w:ascii="宋体" w:hAnsi="Times New Roman" w:cs="Times New Roman" w:eastAsiaTheme="minorEastAsia"/>
          <w:snapToGrid/>
          <w:color w:val="auto"/>
          <w:kern w:val="2"/>
          <w:sz w:val="24"/>
          <w:szCs w:val="20"/>
          <w:lang w:val="en-US" w:eastAsia="zh-CN" w:bidi="ar-SA"/>
        </w:rPr>
        <w:t>岗前和离岗的人员在</w:t>
      </w:r>
      <w:r>
        <w:rPr>
          <w:rFonts w:hint="eastAsia" w:cs="Times New Roman"/>
          <w:snapToGrid/>
          <w:color w:val="auto"/>
          <w:kern w:val="2"/>
          <w:sz w:val="24"/>
          <w:szCs w:val="20"/>
          <w:lang w:val="en-US" w:eastAsia="zh-CN" w:bidi="ar-SA"/>
        </w:rPr>
        <w:t>乙方</w:t>
      </w:r>
      <w:r>
        <w:rPr>
          <w:rFonts w:hint="eastAsia" w:ascii="宋体" w:hAnsi="Times New Roman" w:cs="Times New Roman" w:eastAsiaTheme="minorEastAsia"/>
          <w:snapToGrid/>
          <w:color w:val="auto"/>
          <w:kern w:val="2"/>
          <w:sz w:val="24"/>
          <w:szCs w:val="20"/>
          <w:lang w:val="en-US" w:eastAsia="zh-CN" w:bidi="ar-SA"/>
        </w:rPr>
        <w:t>指定地点检查，在岗的人员</w:t>
      </w:r>
      <w:r>
        <w:rPr>
          <w:rFonts w:hint="eastAsia" w:cs="Times New Roman"/>
          <w:snapToGrid/>
          <w:color w:val="auto"/>
          <w:kern w:val="2"/>
          <w:sz w:val="24"/>
          <w:szCs w:val="20"/>
          <w:lang w:val="en-US" w:eastAsia="zh-CN" w:bidi="ar-SA"/>
        </w:rPr>
        <w:t>应</w:t>
      </w:r>
      <w:r>
        <w:rPr>
          <w:rFonts w:hint="eastAsia" w:ascii="宋体" w:hAnsi="Times New Roman" w:cs="Times New Roman" w:eastAsiaTheme="minorEastAsia"/>
          <w:snapToGrid/>
          <w:color w:val="auto"/>
          <w:kern w:val="2"/>
          <w:sz w:val="24"/>
          <w:szCs w:val="20"/>
          <w:lang w:val="en-US" w:eastAsia="zh-CN" w:bidi="ar-SA"/>
        </w:rPr>
        <w:t>在</w:t>
      </w:r>
      <w:r>
        <w:rPr>
          <w:rFonts w:hint="eastAsia" w:cs="Times New Roman"/>
          <w:snapToGrid/>
          <w:color w:val="auto"/>
          <w:kern w:val="2"/>
          <w:sz w:val="24"/>
          <w:szCs w:val="20"/>
          <w:lang w:val="en-US" w:eastAsia="zh-CN" w:bidi="ar-SA"/>
        </w:rPr>
        <w:t>甲方</w:t>
      </w:r>
      <w:r>
        <w:rPr>
          <w:rFonts w:hint="eastAsia" w:ascii="宋体" w:hAnsi="Times New Roman" w:cs="Times New Roman" w:eastAsiaTheme="minorEastAsia"/>
          <w:b/>
          <w:bCs/>
          <w:snapToGrid/>
          <w:color w:val="auto"/>
          <w:kern w:val="2"/>
          <w:sz w:val="24"/>
          <w:szCs w:val="20"/>
          <w:lang w:val="en-US" w:eastAsia="zh-CN" w:bidi="ar-SA"/>
        </w:rPr>
        <w:t>所在地检查</w:t>
      </w:r>
      <w:r>
        <w:rPr>
          <w:rFonts w:hint="eastAsia" w:cs="Times New Roman"/>
          <w:b/>
          <w:bCs/>
          <w:snapToGrid/>
          <w:color w:val="auto"/>
          <w:kern w:val="2"/>
          <w:sz w:val="24"/>
          <w:szCs w:val="20"/>
          <w:lang w:val="en-US" w:eastAsia="zh-CN" w:bidi="ar-SA"/>
        </w:rPr>
        <w:t>（杭州市钱塘区临江街道红十五线与观十五线交叉口）；</w:t>
      </w:r>
    </w:p>
    <w:p w14:paraId="0656B514">
      <w:pPr>
        <w:spacing w:line="360" w:lineRule="auto"/>
        <w:ind w:firstLine="480" w:firstLineChars="200"/>
        <w:outlineLvl w:val="0"/>
        <w:rPr>
          <w:rFonts w:hint="eastAsia"/>
        </w:rPr>
      </w:pPr>
      <w:r>
        <w:rPr>
          <w:rFonts w:hint="eastAsia" w:ascii="宋体" w:hAnsi="宋体" w:cs="宋体"/>
          <w:sz w:val="24"/>
          <w:lang w:val="en-US" w:eastAsia="zh-CN"/>
        </w:rPr>
        <w:t>5</w:t>
      </w:r>
      <w:r>
        <w:rPr>
          <w:rFonts w:hint="eastAsia" w:ascii="宋体" w:hAnsi="宋体" w:cs="宋体"/>
          <w:sz w:val="24"/>
        </w:rPr>
        <w:t>.乙方应遵守职业健康监护的伦理道德规范，保护受检者隐私，甲方向乙方提供的所有资料以及甲方人员职业健康检查结果，除受检者本人和乙方依法向甲方告知外，乙方不得向任何第三方泄露。</w:t>
      </w:r>
    </w:p>
    <w:p w14:paraId="076CD221">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2"/>
      <w:bookmarkEnd w:id="403"/>
      <w:bookmarkEnd w:id="404"/>
    </w:p>
    <w:p w14:paraId="27148AB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6484676B">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521E5EDF">
      <w:pPr>
        <w:pStyle w:val="7"/>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572DC2AB">
      <w:pPr>
        <w:pStyle w:val="24"/>
        <w:spacing w:before="0" w:beforeAutospacing="0" w:after="0" w:afterAutospacing="0" w:line="360" w:lineRule="auto"/>
        <w:ind w:firstLine="480"/>
        <w:rPr>
          <w:rFonts w:hint="eastAsia" w:eastAsiaTheme="minorEastAsia"/>
          <w:b/>
          <w:u w:val="single"/>
          <w:lang w:val="en-US" w:eastAsia="zh-CN"/>
        </w:rPr>
      </w:pPr>
      <w:r>
        <w:rPr>
          <w:rFonts w:hint="eastAsia"/>
          <w:b/>
          <w:u w:val="single"/>
          <w:lang w:val="en-US" w:eastAsia="zh-CN"/>
        </w:rPr>
        <w:t>无。</w:t>
      </w:r>
    </w:p>
    <w:p w14:paraId="3ABF6BCE">
      <w:pPr>
        <w:pStyle w:val="24"/>
        <w:spacing w:before="0" w:beforeAutospacing="0" w:after="0" w:afterAutospacing="0" w:line="360" w:lineRule="auto"/>
        <w:ind w:firstLine="480"/>
        <w:rPr>
          <w:b/>
        </w:rPr>
      </w:pPr>
      <w:r>
        <w:rPr>
          <w:rFonts w:hint="eastAsia"/>
          <w:b/>
        </w:rPr>
        <w:t>七、履约保证金</w:t>
      </w:r>
    </w:p>
    <w:p w14:paraId="2171B862">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6BCF724D">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lang w:val="en-US" w:eastAsia="zh-CN"/>
        </w:rPr>
        <w:t>5</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7941D3E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D2C7E5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596AA0F7">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27A26B81">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18F70ED">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4EADFF7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527DA693">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27C1C4CB">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w:t>
      </w:r>
      <w:r>
        <w:rPr>
          <w:rFonts w:hint="eastAsia" w:ascii="宋体" w:hAnsi="宋体"/>
          <w:color w:val="auto"/>
          <w:sz w:val="24"/>
          <w:lang w:val="en-US" w:eastAsia="zh-CN"/>
        </w:rPr>
        <w:t>在</w:t>
      </w:r>
      <w:r>
        <w:rPr>
          <w:rFonts w:hint="eastAsia" w:ascii="宋体" w:hAnsi="宋体" w:cs="宋体"/>
          <w:color w:val="auto"/>
          <w:kern w:val="0"/>
          <w:sz w:val="24"/>
          <w:highlight w:val="none"/>
          <w:u w:val="single"/>
          <w:lang w:val="en-US" w:eastAsia="zh-CN"/>
        </w:rPr>
        <w:t>合同结束后</w:t>
      </w:r>
      <w:r>
        <w:rPr>
          <w:rFonts w:hint="eastAsia" w:ascii="宋体" w:hAnsi="宋体" w:cs="宋体"/>
          <w:color w:val="auto"/>
          <w:kern w:val="0"/>
          <w:sz w:val="24"/>
          <w:highlight w:val="none"/>
          <w:u w:val="none"/>
          <w:lang w:val="en-US" w:eastAsia="zh-CN"/>
        </w:rPr>
        <w:t>并收</w:t>
      </w:r>
      <w:r>
        <w:rPr>
          <w:rFonts w:hint="eastAsia" w:ascii="宋体" w:hAnsi="宋体" w:cs="宋体"/>
          <w:kern w:val="0"/>
          <w:sz w:val="24"/>
          <w:highlight w:val="none"/>
          <w:u w:val="none"/>
          <w:lang w:val="en-US" w:eastAsia="zh-CN"/>
        </w:rPr>
        <w:t>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5C6755F4">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4"/>
    <w:bookmarkEnd w:id="395"/>
    <w:bookmarkEnd w:id="396"/>
    <w:p w14:paraId="5768A678">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ECDEDE4">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4DCB57B">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7AE217EA">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56E4858">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5BC633D3">
      <w:pPr>
        <w:pStyle w:val="24"/>
        <w:spacing w:before="0" w:beforeAutospacing="0" w:after="0" w:afterAutospacing="0" w:line="360" w:lineRule="auto"/>
        <w:ind w:firstLine="480"/>
        <w:rPr>
          <w:b/>
          <w:bCs/>
        </w:rPr>
      </w:pPr>
      <w:r>
        <w:rPr>
          <w:rFonts w:hint="eastAsia"/>
          <w:b/>
          <w:bCs/>
        </w:rPr>
        <w:t>九、资金支付</w:t>
      </w:r>
    </w:p>
    <w:p w14:paraId="5C1002A2">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1BC90D">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无</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D0E3750">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0B44B759">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5985D0E9">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w:t>
      </w:r>
      <w:r>
        <w:rPr>
          <w:rFonts w:hint="eastAsia"/>
          <w:u w:val="single"/>
          <w:lang w:val="en-US" w:eastAsia="zh-CN"/>
        </w:rPr>
        <w:t>2</w:t>
      </w:r>
      <w:r>
        <w:rPr>
          <w:rFonts w:hint="eastAsia"/>
          <w:u w:val="single"/>
        </w:rPr>
        <w:t>）</w:t>
      </w:r>
      <w:r>
        <w:rPr>
          <w:rFonts w:hint="eastAsia"/>
        </w:rPr>
        <w:t>条款规定：</w:t>
      </w:r>
    </w:p>
    <w:p w14:paraId="54F9DDA0">
      <w:pPr>
        <w:pStyle w:val="24"/>
        <w:spacing w:before="0" w:beforeAutospacing="0" w:after="0" w:afterAutospacing="0" w:line="360" w:lineRule="auto"/>
        <w:ind w:firstLine="480"/>
        <w:rPr>
          <w:rFonts w:hint="eastAsia"/>
          <w:u w:val="single"/>
        </w:rPr>
      </w:pPr>
      <w:r>
        <w:rPr>
          <w:rFonts w:hint="eastAsia"/>
          <w:u w:val="single"/>
        </w:rPr>
        <w:t>（1）按月支付，甲方每月对乙方上月服务质量进行考核，经考核合格的，甲方收到乙方提供的增值税专用发票后，甲方在本合同约定时间内完成支付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4AAA2B20">
      <w:pPr>
        <w:pStyle w:val="24"/>
        <w:spacing w:before="0" w:beforeAutospacing="0" w:after="0" w:afterAutospacing="0" w:line="360" w:lineRule="auto"/>
        <w:ind w:firstLine="480"/>
        <w:rPr>
          <w:rFonts w:hint="eastAsia"/>
          <w:u w:val="single"/>
        </w:rPr>
      </w:pPr>
      <w:r>
        <w:rPr>
          <w:rFonts w:hint="eastAsia"/>
          <w:u w:val="single"/>
        </w:rPr>
        <w:t>（2）按季度支付，</w:t>
      </w:r>
      <w:r>
        <w:rPr>
          <w:rFonts w:hint="eastAsia"/>
          <w:u w:val="single"/>
          <w:lang w:val="en-US" w:eastAsia="zh-CN"/>
        </w:rPr>
        <w:t>双方对清单核对无误后，</w:t>
      </w:r>
      <w:r>
        <w:rPr>
          <w:rFonts w:hint="eastAsia"/>
          <w:u w:val="single"/>
        </w:rPr>
        <w:t>甲方对乙方上季度服务质量进行考核，经考核合格的，甲方收到乙方提供的</w:t>
      </w:r>
      <w:r>
        <w:rPr>
          <w:rFonts w:hint="eastAsia"/>
          <w:u w:val="single"/>
          <w:lang w:val="en-US" w:eastAsia="zh-CN"/>
        </w:rPr>
        <w:t>准确清单以及医疗服务机构正式发票</w:t>
      </w:r>
      <w:r>
        <w:rPr>
          <w:rFonts w:hint="eastAsia"/>
          <w:u w:val="single"/>
        </w:rPr>
        <w:t>后，甲方</w:t>
      </w:r>
      <w:r>
        <w:rPr>
          <w:rFonts w:hint="eastAsia"/>
          <w:u w:val="single"/>
          <w:lang w:val="en-US" w:eastAsia="zh-CN"/>
        </w:rPr>
        <w:t>在本合同约定时间内</w:t>
      </w:r>
      <w:r>
        <w:rPr>
          <w:rFonts w:hint="eastAsia"/>
          <w:u w:val="single"/>
        </w:rPr>
        <w:t>完成支付 ；经考核不合格的，按本合同约定的考核标准扣除相应费用；考核要求、标准按验收特别约定条款、甲方制度规定（以要求较高者为准）执行；</w:t>
      </w:r>
    </w:p>
    <w:p w14:paraId="424C8CC4">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6B93950C">
      <w:pPr>
        <w:pStyle w:val="24"/>
        <w:spacing w:before="0" w:beforeAutospacing="0" w:after="0" w:afterAutospacing="0" w:line="360" w:lineRule="auto"/>
        <w:ind w:firstLine="480" w:firstLineChars="200"/>
        <w:rPr>
          <w:highlight w:val="none"/>
        </w:rPr>
      </w:pPr>
      <w:r>
        <w:rPr>
          <w:rFonts w:hint="eastAsia"/>
        </w:rPr>
        <w:t>（4）</w:t>
      </w:r>
      <w:r>
        <w:rPr>
          <w:rFonts w:hint="eastAsia"/>
          <w:u w:val="single"/>
        </w:rPr>
        <w:t>其他付款方式：</w:t>
      </w:r>
      <w:r>
        <w:rPr>
          <w:rFonts w:hint="eastAsia"/>
          <w:highlight w:val="none"/>
          <w:u w:val="single"/>
        </w:rPr>
        <w:t>按次支付费用，验收合格后，乙方提供准确清单以及合格的增值税发票后，甲方于30日内完成该次费用支付</w:t>
      </w:r>
      <w:r>
        <w:rPr>
          <w:rFonts w:hint="eastAsia"/>
          <w:highlight w:val="none"/>
        </w:rPr>
        <w:t>。</w:t>
      </w:r>
    </w:p>
    <w:p w14:paraId="6772B2C0">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8586"/>
      <w:bookmarkStart w:id="406" w:name="_Toc5698"/>
      <w:bookmarkStart w:id="407" w:name="_Toc24662"/>
      <w:bookmarkStart w:id="408" w:name="_Toc2375"/>
      <w:bookmarkStart w:id="409" w:name="_Toc3079"/>
      <w:r>
        <w:rPr>
          <w:rFonts w:hint="eastAsia" w:ascii="宋体" w:hAnsi="宋体"/>
          <w:b/>
          <w:sz w:val="24"/>
        </w:rPr>
        <w:t>违约责任</w:t>
      </w:r>
      <w:bookmarkEnd w:id="405"/>
      <w:bookmarkEnd w:id="406"/>
      <w:bookmarkEnd w:id="407"/>
      <w:bookmarkEnd w:id="408"/>
      <w:bookmarkEnd w:id="409"/>
    </w:p>
    <w:p w14:paraId="50BD2184">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0CF6CC5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8F3C0E2">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304625D">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E2239B4">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2</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7D4DB9BD">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B79FEB7">
      <w:pPr>
        <w:spacing w:line="360" w:lineRule="auto"/>
        <w:ind w:firstLine="480" w:firstLineChars="200"/>
        <w:rPr>
          <w:rFonts w:ascii="宋体" w:hAnsi="宋体" w:cs="宋体"/>
          <w:sz w:val="24"/>
        </w:rPr>
      </w:pPr>
      <w:bookmarkStart w:id="410" w:name="_Toc18683"/>
      <w:bookmarkStart w:id="411" w:name="_Toc32454"/>
      <w:bookmarkStart w:id="412" w:name="_Toc30329"/>
      <w:bookmarkStart w:id="413" w:name="_Toc9497"/>
      <w:bookmarkStart w:id="414" w:name="_Toc26807"/>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44D30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306A95">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07E3B93">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.违约责任另有约定的，从其约定，具体如下：</w:t>
      </w:r>
    </w:p>
    <w:p w14:paraId="4AFBEACA">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2CAD6559">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1F957B5E">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bookmarkEnd w:id="410"/>
    <w:bookmarkEnd w:id="411"/>
    <w:bookmarkEnd w:id="412"/>
    <w:bookmarkEnd w:id="413"/>
    <w:bookmarkEnd w:id="414"/>
    <w:p w14:paraId="4C24F2C2">
      <w:pPr>
        <w:spacing w:line="360" w:lineRule="auto"/>
        <w:ind w:firstLine="482" w:firstLineChars="200"/>
        <w:outlineLvl w:val="0"/>
        <w:rPr>
          <w:rFonts w:ascii="宋体" w:hAnsi="宋体" w:cs="宋体"/>
          <w:b/>
          <w:sz w:val="24"/>
        </w:rPr>
      </w:pPr>
      <w:bookmarkStart w:id="415" w:name="_Toc28375"/>
      <w:bookmarkStart w:id="416" w:name="_Toc16021"/>
      <w:bookmarkStart w:id="417" w:name="_Toc15583"/>
      <w:r>
        <w:rPr>
          <w:rFonts w:hint="eastAsia" w:ascii="宋体" w:hAnsi="宋体" w:cs="宋体"/>
          <w:b/>
          <w:sz w:val="24"/>
        </w:rPr>
        <w:t>十一、合同争议的解决</w:t>
      </w:r>
      <w:bookmarkEnd w:id="415"/>
      <w:bookmarkEnd w:id="416"/>
      <w:bookmarkEnd w:id="417"/>
    </w:p>
    <w:p w14:paraId="0A2D2EDC">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55737149">
      <w:pPr>
        <w:spacing w:line="360" w:lineRule="auto"/>
        <w:ind w:firstLine="482" w:firstLineChars="200"/>
        <w:outlineLvl w:val="0"/>
        <w:rPr>
          <w:rFonts w:ascii="宋体" w:hAnsi="宋体" w:cs="宋体"/>
          <w:b/>
          <w:sz w:val="24"/>
        </w:rPr>
      </w:pPr>
      <w:bookmarkStart w:id="418" w:name="_Toc7245"/>
      <w:bookmarkStart w:id="419" w:name="_Toc15322"/>
      <w:bookmarkStart w:id="420" w:name="_Toc11173"/>
      <w:r>
        <w:rPr>
          <w:rFonts w:hint="eastAsia" w:ascii="宋体" w:hAnsi="宋体" w:cs="宋体"/>
          <w:b/>
          <w:sz w:val="24"/>
        </w:rPr>
        <w:t>十二、合同生效</w:t>
      </w:r>
      <w:bookmarkEnd w:id="418"/>
      <w:bookmarkEnd w:id="419"/>
      <w:bookmarkEnd w:id="420"/>
    </w:p>
    <w:p w14:paraId="37EC45C6">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0FC5826B">
      <w:pPr>
        <w:spacing w:line="360" w:lineRule="auto"/>
        <w:ind w:firstLine="480" w:firstLineChars="200"/>
        <w:rPr>
          <w:rFonts w:hint="eastAsia" w:ascii="宋体" w:hAnsi="宋体" w:cs="宋体"/>
          <w:sz w:val="24"/>
        </w:rPr>
      </w:pPr>
    </w:p>
    <w:p w14:paraId="25FEAD49">
      <w:pPr>
        <w:pStyle w:val="23"/>
        <w:ind w:left="0" w:leftChars="0" w:firstLine="0" w:firstLineChars="0"/>
        <w:jc w:val="center"/>
        <w:rPr>
          <w:rFonts w:hint="eastAsia" w:ascii="宋体" w:hAnsi="宋体"/>
          <w:b/>
          <w:szCs w:val="24"/>
        </w:rPr>
      </w:pPr>
    </w:p>
    <w:p w14:paraId="77E50A92">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2CBB3B3">
      <w:pPr>
        <w:spacing w:line="360" w:lineRule="auto"/>
        <w:ind w:firstLine="482" w:firstLineChars="200"/>
        <w:outlineLvl w:val="0"/>
        <w:rPr>
          <w:rFonts w:ascii="宋体" w:hAnsi="宋体"/>
          <w:b/>
          <w:sz w:val="24"/>
        </w:rPr>
      </w:pPr>
      <w:bookmarkStart w:id="421" w:name="_Toc19680"/>
      <w:bookmarkStart w:id="422" w:name="_Toc5228"/>
      <w:bookmarkStart w:id="423" w:name="_Toc14021"/>
      <w:bookmarkStart w:id="424" w:name="_Toc31297"/>
      <w:bookmarkStart w:id="425" w:name="_Toc25079"/>
      <w:r>
        <w:rPr>
          <w:rFonts w:hint="eastAsia" w:ascii="宋体" w:hAnsi="宋体"/>
          <w:b/>
          <w:sz w:val="24"/>
        </w:rPr>
        <w:t>一、</w:t>
      </w:r>
      <w:r>
        <w:rPr>
          <w:rFonts w:ascii="宋体" w:hAnsi="宋体"/>
          <w:b/>
          <w:sz w:val="24"/>
        </w:rPr>
        <w:t>定义</w:t>
      </w:r>
      <w:bookmarkEnd w:id="421"/>
      <w:bookmarkEnd w:id="422"/>
      <w:bookmarkEnd w:id="423"/>
      <w:bookmarkEnd w:id="424"/>
      <w:bookmarkEnd w:id="425"/>
    </w:p>
    <w:p w14:paraId="5923956B">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5A81BCE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F20256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5F5B874B">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0D539F6">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2E686E52">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18F0D5B">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2D82CCA0">
      <w:pPr>
        <w:spacing w:line="360" w:lineRule="auto"/>
        <w:ind w:firstLine="480" w:firstLineChars="200"/>
        <w:rPr>
          <w:rFonts w:hint="default" w:ascii="宋体" w:hAnsi="宋体" w:eastAsia="宋体" w:cs="宋体"/>
          <w:sz w:val="24"/>
          <w:lang w:val="en-US" w:eastAsia="zh-CN"/>
        </w:rPr>
      </w:pPr>
      <w:bookmarkStart w:id="426" w:name="_Toc31402"/>
      <w:bookmarkStart w:id="427" w:name="_Toc3769"/>
      <w:bookmarkStart w:id="428" w:name="_Toc19539"/>
      <w:bookmarkStart w:id="429" w:name="_Toc23289"/>
      <w:bookmarkStart w:id="430" w:name="_Toc16752"/>
      <w:r>
        <w:rPr>
          <w:rFonts w:hint="eastAsia" w:ascii="宋体" w:hAnsi="宋体" w:cs="宋体"/>
          <w:sz w:val="24"/>
          <w:lang w:val="en-US" w:eastAsia="zh-CN"/>
        </w:rPr>
        <w:t>7. 除特别约定为工作日之外，本合同所有提及的“天”“日”均为日历天。</w:t>
      </w:r>
    </w:p>
    <w:p w14:paraId="05E0E254">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14:paraId="7CC1F617">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507C90F">
      <w:pPr>
        <w:spacing w:line="360" w:lineRule="auto"/>
        <w:ind w:firstLine="482" w:firstLineChars="200"/>
        <w:outlineLvl w:val="0"/>
        <w:rPr>
          <w:rFonts w:ascii="宋体" w:hAnsi="宋体"/>
          <w:b/>
          <w:sz w:val="24"/>
        </w:rPr>
      </w:pPr>
      <w:bookmarkStart w:id="431" w:name="_Toc12412"/>
      <w:bookmarkStart w:id="432" w:name="_Toc4133"/>
      <w:bookmarkStart w:id="433" w:name="_Toc9161"/>
      <w:bookmarkStart w:id="434" w:name="_Toc27945"/>
      <w:bookmarkStart w:id="435" w:name="_Toc1367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14:paraId="627A5286">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733405F7">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4757E71A">
      <w:pPr>
        <w:spacing w:line="360" w:lineRule="auto"/>
        <w:ind w:firstLine="482" w:firstLineChars="200"/>
        <w:rPr>
          <w:rFonts w:ascii="宋体" w:hAnsi="宋体"/>
          <w:b/>
          <w:sz w:val="24"/>
        </w:rPr>
      </w:pPr>
      <w:r>
        <w:rPr>
          <w:rFonts w:hint="eastAsia" w:ascii="宋体" w:hAnsi="宋体"/>
          <w:b/>
          <w:sz w:val="24"/>
        </w:rPr>
        <w:t>四、履约检查和问题反馈</w:t>
      </w:r>
    </w:p>
    <w:p w14:paraId="0AB574BE">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4589991">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21DD95BD">
      <w:pPr>
        <w:spacing w:line="360" w:lineRule="auto"/>
        <w:ind w:firstLine="482" w:firstLineChars="200"/>
        <w:outlineLvl w:val="0"/>
        <w:rPr>
          <w:rFonts w:ascii="宋体" w:hAnsi="宋体"/>
          <w:b/>
          <w:sz w:val="24"/>
        </w:rPr>
      </w:pPr>
      <w:bookmarkStart w:id="436" w:name="_Toc22011"/>
      <w:bookmarkStart w:id="437" w:name="_Toc32670"/>
      <w:bookmarkStart w:id="438" w:name="_Toc31233"/>
      <w:bookmarkStart w:id="439" w:name="_Toc15447"/>
      <w:bookmarkStart w:id="440" w:name="_Toc26555"/>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14:paraId="59F1A086">
      <w:pPr>
        <w:spacing w:line="360" w:lineRule="auto"/>
        <w:ind w:firstLine="480" w:firstLineChars="200"/>
        <w:outlineLvl w:val="0"/>
        <w:rPr>
          <w:rFonts w:hint="eastAsia" w:ascii="宋体" w:hAnsi="宋体"/>
          <w:bCs/>
          <w:sz w:val="24"/>
        </w:rPr>
      </w:pPr>
      <w:bookmarkStart w:id="441" w:name="_Toc13154"/>
      <w:bookmarkStart w:id="442" w:name="_Toc13467"/>
      <w:bookmarkStart w:id="443" w:name="_Toc30507"/>
      <w:bookmarkStart w:id="444" w:name="_Toc16163"/>
      <w:bookmarkStart w:id="445" w:name="_Toc18990"/>
      <w:r>
        <w:rPr>
          <w:rFonts w:hint="eastAsia" w:ascii="宋体" w:hAnsi="宋体"/>
          <w:bCs/>
          <w:sz w:val="24"/>
        </w:rPr>
        <w:t>1.结算方式为转账或者电汇 ，若甲方采用银行承兑支付，双方另行协商；</w:t>
      </w:r>
    </w:p>
    <w:p w14:paraId="37DC1075">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69713B94">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14:paraId="1F5884AA">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2DEEB761">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67581E83">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5D882E1">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14:paraId="5721827A">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2877C72B">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14:paraId="2221CAB9">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3C3CA88C">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14:paraId="7BECCF70">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3BE3EF37">
      <w:pPr>
        <w:spacing w:line="360" w:lineRule="auto"/>
        <w:ind w:firstLine="480" w:firstLineChars="200"/>
        <w:rPr>
          <w:rFonts w:hint="eastAsia" w:ascii="宋体" w:hAnsi="宋体"/>
          <w:sz w:val="24"/>
        </w:rPr>
      </w:pPr>
      <w:bookmarkStart w:id="449" w:name="_Toc21830"/>
      <w:bookmarkStart w:id="450" w:name="_Toc42"/>
      <w:bookmarkStart w:id="451" w:name="_Toc10663"/>
      <w:bookmarkStart w:id="452" w:name="_Toc23368"/>
      <w:bookmarkStart w:id="453"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B1EF72F">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829BFE0">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49"/>
      <w:bookmarkEnd w:id="450"/>
      <w:bookmarkEnd w:id="451"/>
      <w:bookmarkEnd w:id="452"/>
      <w:bookmarkEnd w:id="453"/>
    </w:p>
    <w:p w14:paraId="1DD3B239">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lang w:eastAsia="zh-CN"/>
        </w:rPr>
        <w:t>，</w:t>
      </w:r>
      <w:r>
        <w:rPr>
          <w:rFonts w:hint="eastAsia" w:ascii="宋体" w:hAnsi="宋体"/>
          <w:sz w:val="24"/>
          <w:lang w:val="en-US" w:eastAsia="zh-CN"/>
        </w:rPr>
        <w:t>特殊情况双方另行协商</w:t>
      </w:r>
      <w:r>
        <w:rPr>
          <w:rFonts w:hint="eastAsia" w:ascii="宋体" w:hAnsi="宋体"/>
          <w:sz w:val="24"/>
        </w:rPr>
        <w:t>。</w:t>
      </w:r>
    </w:p>
    <w:p w14:paraId="2FEF00F7">
      <w:pPr>
        <w:spacing w:line="360" w:lineRule="auto"/>
        <w:ind w:firstLine="482" w:firstLineChars="200"/>
        <w:outlineLvl w:val="0"/>
        <w:rPr>
          <w:rFonts w:ascii="宋体" w:hAnsi="宋体"/>
          <w:b/>
          <w:sz w:val="24"/>
        </w:rPr>
      </w:pPr>
      <w:bookmarkStart w:id="454" w:name="_Toc25571"/>
      <w:bookmarkStart w:id="455" w:name="_Toc14371"/>
      <w:bookmarkStart w:id="456" w:name="_Toc26633"/>
      <w:bookmarkStart w:id="457" w:name="_Toc32494"/>
      <w:bookmarkStart w:id="458" w:name="_Toc4720"/>
      <w:r>
        <w:rPr>
          <w:rFonts w:hint="eastAsia" w:ascii="宋体" w:hAnsi="宋体"/>
          <w:b/>
          <w:sz w:val="24"/>
        </w:rPr>
        <w:t>十一、</w:t>
      </w:r>
      <w:r>
        <w:rPr>
          <w:rFonts w:ascii="宋体" w:hAnsi="宋体"/>
          <w:b/>
          <w:sz w:val="24"/>
        </w:rPr>
        <w:t>不可抗力</w:t>
      </w:r>
      <w:bookmarkEnd w:id="454"/>
      <w:bookmarkEnd w:id="455"/>
      <w:bookmarkEnd w:id="456"/>
      <w:bookmarkEnd w:id="457"/>
      <w:bookmarkEnd w:id="458"/>
    </w:p>
    <w:p w14:paraId="7DCD2F4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0BEF0F2">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842257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687BDDD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5E03E990">
      <w:pPr>
        <w:spacing w:line="360" w:lineRule="auto"/>
        <w:ind w:firstLine="482" w:firstLineChars="200"/>
        <w:outlineLvl w:val="0"/>
        <w:rPr>
          <w:rFonts w:ascii="宋体" w:hAnsi="宋体"/>
          <w:b/>
          <w:sz w:val="24"/>
        </w:rPr>
      </w:pPr>
      <w:bookmarkStart w:id="459" w:name="_Toc14115"/>
      <w:bookmarkStart w:id="460" w:name="_Toc23854"/>
      <w:bookmarkStart w:id="461" w:name="_Toc25783"/>
      <w:bookmarkStart w:id="462" w:name="_Toc3638"/>
      <w:bookmarkStart w:id="463" w:name="_Toc24465"/>
      <w:r>
        <w:rPr>
          <w:rFonts w:hint="eastAsia" w:ascii="宋体" w:hAnsi="宋体"/>
          <w:b/>
          <w:sz w:val="24"/>
        </w:rPr>
        <w:t>十二、</w:t>
      </w:r>
      <w:r>
        <w:rPr>
          <w:rFonts w:ascii="宋体" w:hAnsi="宋体"/>
          <w:b/>
          <w:sz w:val="24"/>
        </w:rPr>
        <w:t>税费</w:t>
      </w:r>
      <w:bookmarkEnd w:id="459"/>
      <w:bookmarkEnd w:id="460"/>
      <w:bookmarkEnd w:id="461"/>
      <w:bookmarkEnd w:id="462"/>
      <w:bookmarkEnd w:id="463"/>
    </w:p>
    <w:p w14:paraId="17630551">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476A500">
      <w:pPr>
        <w:spacing w:line="360" w:lineRule="auto"/>
        <w:ind w:firstLine="482" w:firstLineChars="200"/>
        <w:outlineLvl w:val="0"/>
        <w:rPr>
          <w:rFonts w:ascii="宋体" w:hAnsi="宋体"/>
          <w:b/>
          <w:sz w:val="24"/>
        </w:rPr>
      </w:pPr>
      <w:bookmarkStart w:id="464" w:name="_Toc25525"/>
      <w:bookmarkStart w:id="465" w:name="_Toc26883"/>
      <w:bookmarkStart w:id="466" w:name="_Toc7315"/>
      <w:bookmarkStart w:id="467" w:name="_Toc14814"/>
      <w:bookmarkStart w:id="468" w:name="_Toc30105"/>
      <w:r>
        <w:rPr>
          <w:rFonts w:hint="eastAsia" w:ascii="宋体" w:hAnsi="宋体"/>
          <w:b/>
          <w:sz w:val="24"/>
        </w:rPr>
        <w:t>十三、</w:t>
      </w:r>
      <w:r>
        <w:rPr>
          <w:rFonts w:ascii="宋体" w:hAnsi="宋体"/>
          <w:b/>
          <w:sz w:val="24"/>
        </w:rPr>
        <w:t>乙方破产</w:t>
      </w:r>
      <w:bookmarkEnd w:id="464"/>
      <w:bookmarkEnd w:id="465"/>
      <w:bookmarkEnd w:id="466"/>
      <w:bookmarkEnd w:id="467"/>
      <w:bookmarkEnd w:id="468"/>
    </w:p>
    <w:p w14:paraId="052FB4F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5EB89020">
      <w:pPr>
        <w:spacing w:line="360" w:lineRule="auto"/>
        <w:ind w:firstLine="482" w:firstLineChars="200"/>
        <w:outlineLvl w:val="0"/>
        <w:rPr>
          <w:rFonts w:ascii="宋体" w:hAnsi="宋体"/>
          <w:b/>
          <w:sz w:val="24"/>
        </w:rPr>
      </w:pPr>
      <w:bookmarkStart w:id="469" w:name="_Toc1123"/>
      <w:bookmarkStart w:id="470" w:name="_Toc2016"/>
      <w:bookmarkStart w:id="471" w:name="_Toc23323"/>
      <w:r>
        <w:rPr>
          <w:rFonts w:hint="eastAsia" w:ascii="宋体" w:hAnsi="宋体"/>
          <w:b/>
          <w:sz w:val="24"/>
        </w:rPr>
        <w:t>十四、</w:t>
      </w:r>
      <w:r>
        <w:rPr>
          <w:rFonts w:ascii="宋体" w:hAnsi="宋体"/>
          <w:b/>
          <w:sz w:val="24"/>
        </w:rPr>
        <w:t>合同中止、终止</w:t>
      </w:r>
      <w:bookmarkEnd w:id="469"/>
      <w:bookmarkEnd w:id="470"/>
      <w:bookmarkEnd w:id="471"/>
    </w:p>
    <w:p w14:paraId="7E2EE970">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216613DE">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51EFF03D">
      <w:pPr>
        <w:spacing w:line="360" w:lineRule="auto"/>
        <w:ind w:firstLine="480" w:firstLineChars="200"/>
        <w:rPr>
          <w:rFonts w:ascii="宋体" w:hAnsi="宋体" w:cs="宋体"/>
          <w:sz w:val="24"/>
        </w:rPr>
      </w:pPr>
      <w:bookmarkStart w:id="472" w:name="_Toc1969"/>
      <w:bookmarkStart w:id="473" w:name="_Toc17363"/>
      <w:bookmarkStart w:id="474"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F76120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3348CEB0">
      <w:pPr>
        <w:spacing w:line="360" w:lineRule="auto"/>
        <w:ind w:firstLine="482" w:firstLineChars="200"/>
        <w:outlineLvl w:val="0"/>
        <w:rPr>
          <w:rFonts w:ascii="宋体" w:hAnsi="宋体"/>
          <w:b/>
          <w:sz w:val="24"/>
        </w:rPr>
      </w:pPr>
      <w:r>
        <w:rPr>
          <w:rFonts w:hint="eastAsia" w:ascii="宋体" w:hAnsi="宋体"/>
          <w:b/>
          <w:sz w:val="24"/>
        </w:rPr>
        <w:t>十五</w:t>
      </w:r>
      <w:bookmarkEnd w:id="472"/>
      <w:bookmarkEnd w:id="473"/>
      <w:bookmarkEnd w:id="474"/>
      <w:bookmarkStart w:id="475" w:name="_Toc2308"/>
      <w:bookmarkStart w:id="476" w:name="_Toc12666"/>
      <w:bookmarkStart w:id="477" w:name="_Toc31892"/>
      <w:bookmarkStart w:id="478" w:name="_Toc25198"/>
      <w:bookmarkStart w:id="479" w:name="_Toc9808"/>
      <w:r>
        <w:rPr>
          <w:rFonts w:hint="eastAsia" w:ascii="宋体" w:hAnsi="宋体"/>
          <w:b/>
          <w:sz w:val="24"/>
        </w:rPr>
        <w:t>、</w:t>
      </w:r>
      <w:r>
        <w:rPr>
          <w:rFonts w:ascii="宋体" w:hAnsi="宋体"/>
          <w:b/>
          <w:sz w:val="24"/>
        </w:rPr>
        <w:t>通知和送达</w:t>
      </w:r>
      <w:bookmarkEnd w:id="475"/>
      <w:bookmarkEnd w:id="476"/>
      <w:bookmarkEnd w:id="477"/>
      <w:bookmarkEnd w:id="478"/>
      <w:bookmarkEnd w:id="479"/>
    </w:p>
    <w:p w14:paraId="5DFF6EAD">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05E84ABC">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14:paraId="7B8EB4A6">
      <w:pPr>
        <w:spacing w:line="360" w:lineRule="auto"/>
        <w:ind w:firstLine="482" w:firstLineChars="200"/>
        <w:outlineLvl w:val="0"/>
        <w:rPr>
          <w:rFonts w:ascii="宋体" w:hAnsi="宋体" w:cs="宋体"/>
          <w:b/>
          <w:sz w:val="24"/>
        </w:rPr>
      </w:pPr>
      <w:bookmarkStart w:id="482" w:name="_Toc30599"/>
      <w:bookmarkStart w:id="483" w:name="_Toc18540"/>
      <w:bookmarkStart w:id="484" w:name="_Toc4355"/>
      <w:bookmarkStart w:id="485" w:name="_Toc5063"/>
      <w:bookmarkStart w:id="486" w:name="_Toc12254"/>
      <w:bookmarkStart w:id="487" w:name="_Toc28906"/>
      <w:bookmarkStart w:id="488" w:name="_Toc27644"/>
      <w:bookmarkStart w:id="489" w:name="_Toc20808"/>
      <w:r>
        <w:rPr>
          <w:rFonts w:hint="eastAsia" w:ascii="宋体" w:hAnsi="宋体" w:cs="宋体"/>
          <w:b/>
          <w:sz w:val="24"/>
        </w:rPr>
        <w:t>十六、计量单位</w:t>
      </w:r>
      <w:bookmarkEnd w:id="482"/>
      <w:bookmarkEnd w:id="483"/>
      <w:bookmarkEnd w:id="484"/>
    </w:p>
    <w:p w14:paraId="690F95A2">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0BF48830">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14:paraId="6C679AA4">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0C1CF986">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A85C821">
      <w:pPr>
        <w:spacing w:line="360" w:lineRule="auto"/>
        <w:ind w:firstLine="482" w:firstLineChars="200"/>
        <w:outlineLvl w:val="0"/>
        <w:rPr>
          <w:rFonts w:ascii="宋体" w:hAnsi="宋体"/>
          <w:b/>
          <w:sz w:val="24"/>
        </w:rPr>
      </w:pPr>
      <w:r>
        <w:rPr>
          <w:rFonts w:hint="eastAsia" w:ascii="宋体" w:hAnsi="宋体"/>
          <w:b/>
          <w:sz w:val="24"/>
        </w:rPr>
        <w:t>十八、特别提示</w:t>
      </w:r>
    </w:p>
    <w:p w14:paraId="3E70B8F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84D4982"/>
    <w:p w14:paraId="5F34CC1A">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4A990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46EC9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A18A60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402B58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7FDEC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C43E78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6B86A3F4">
            <w:pPr>
              <w:spacing w:line="360" w:lineRule="auto"/>
              <w:rPr>
                <w:rFonts w:hint="eastAsia" w:ascii="宋体" w:hAnsi="宋体" w:eastAsia="宋体" w:cs="Times New Roman"/>
                <w:sz w:val="24"/>
                <w:lang w:val="zh-CN"/>
              </w:rPr>
            </w:pPr>
          </w:p>
        </w:tc>
      </w:tr>
      <w:tr w14:paraId="3970327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D8C301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899783C">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B77F8F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367DE2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C5CA03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49F407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2E581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BC5431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6F73DE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E50843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B3594F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C1EB1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EEE80F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9C3E17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717C983C">
      <w:pPr>
        <w:pStyle w:val="23"/>
        <w:spacing w:line="560" w:lineRule="exact"/>
        <w:ind w:left="0" w:leftChars="0" w:firstLine="0" w:firstLineChars="0"/>
        <w:jc w:val="center"/>
        <w:rPr>
          <w:rFonts w:hint="eastAsia" w:ascii="宋体" w:hAnsi="宋体"/>
          <w:b/>
          <w:szCs w:val="24"/>
        </w:rPr>
      </w:pPr>
    </w:p>
    <w:p w14:paraId="569CE7A8">
      <w:pPr>
        <w:rPr>
          <w:rFonts w:hint="eastAsia"/>
        </w:rPr>
      </w:pPr>
    </w:p>
    <w:p w14:paraId="3D9C69FB">
      <w:pPr>
        <w:rPr>
          <w:rFonts w:hint="eastAsia"/>
        </w:rPr>
      </w:pPr>
    </w:p>
    <w:p w14:paraId="07B9759D">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5FC0CAE8">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4887BDBC">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7F1F791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2025-2026年职业病体检服务采购项目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63596362">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4BFEA77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2025-2026年职业病体检服务采购项目 </w:t>
      </w:r>
      <w:r>
        <w:rPr>
          <w:rFonts w:hint="eastAsia" w:ascii="宋体" w:hAnsi="宋体" w:cs="宋体"/>
          <w:kern w:val="0"/>
          <w:sz w:val="24"/>
          <w:u w:val="single"/>
          <w:lang w:bidi="ar"/>
        </w:rPr>
        <w:t xml:space="preserve">              </w:t>
      </w:r>
    </w:p>
    <w:p w14:paraId="2D7F9010">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682BB154">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44944895">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BB07FF2">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3FA4D47A">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7D24879">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20FCA468">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776BA7FF">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A1855B1">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00F83513">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2601D24">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BCBD009">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0479063C">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3C443FA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2339BDAB">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5243031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728B1E3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D70660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5133375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4F602D1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F49F047">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0657440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5BF35E9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4158BB9">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0E3051D1">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8299158">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E517E16">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6F75941A">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3C5BDD73">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5529F5A4">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EA777AA">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0DCF1661">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6FA4506B">
      <w:pPr>
        <w:pStyle w:val="10"/>
        <w:ind w:firstLine="0" w:firstLineChars="0"/>
        <w:rPr>
          <w:rFonts w:hint="eastAsia"/>
        </w:rPr>
      </w:pPr>
    </w:p>
    <w:p w14:paraId="0E6BDAA3">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1E3D54BB">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65E3F204">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C4BD3D4">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DE69B80">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48DA9E39">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3A5280B">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A21E150">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E127BBA">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28B4F11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73AD1B9D">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5481556E">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ED32A47">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054B512">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7FEC100">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0FF1BC3E">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6A40D88E">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32C1A7F7">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78D574EE">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24858A69">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0E9FD03C">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D8B5A7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3.不得接受甲方介绍或指定单位和物资供应商；不得接受甲方推销或指定使用的物资设备。</w:t>
      </w:r>
    </w:p>
    <w:p w14:paraId="3804EEB4">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0F3F8C4D">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30B867DD">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F0CB37E">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03AE8C80">
      <w:pPr>
        <w:spacing w:line="360" w:lineRule="auto"/>
        <w:ind w:right="90" w:firstLine="480" w:firstLineChars="200"/>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0FC8038">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41F09D63">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6C264B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7E69CB2">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787498F">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47090400">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510D2E6">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3E738E8C">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4C0C60E">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2B4609A9">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1B74E3E6">
      <w:pPr>
        <w:spacing w:line="360" w:lineRule="auto"/>
        <w:ind w:firstLine="32"/>
        <w:rPr>
          <w:rFonts w:hint="eastAsia" w:ascii="宋体" w:hAnsi="宋体" w:cs="宋体"/>
          <w:sz w:val="24"/>
        </w:rPr>
      </w:pPr>
    </w:p>
    <w:p w14:paraId="4D6C9179">
      <w:pPr>
        <w:jc w:val="center"/>
        <w:rPr>
          <w:rFonts w:hint="eastAsia"/>
          <w:b/>
          <w:bCs/>
          <w:color w:val="0000FF"/>
          <w:sz w:val="48"/>
          <w:szCs w:val="48"/>
          <w:lang w:val="en-US" w:eastAsia="zh-CN"/>
        </w:rPr>
      </w:pPr>
    </w:p>
    <w:p w14:paraId="6FC60528">
      <w:pPr>
        <w:jc w:val="center"/>
        <w:rPr>
          <w:rFonts w:hint="default" w:eastAsiaTheme="minorEastAsia"/>
          <w:b/>
          <w:bCs/>
          <w:color w:val="0000FF"/>
          <w:sz w:val="48"/>
          <w:szCs w:val="48"/>
          <w:lang w:val="en-US" w:eastAsia="zh-CN"/>
        </w:rPr>
      </w:pPr>
    </w:p>
    <w:p w14:paraId="10548381">
      <w:pPr>
        <w:pStyle w:val="14"/>
      </w:pPr>
    </w:p>
    <w:p w14:paraId="5F4E7760">
      <w:pPr>
        <w:pStyle w:val="8"/>
        <w:rPr>
          <w:color w:val="auto"/>
        </w:rPr>
      </w:pPr>
    </w:p>
    <w:p w14:paraId="3B048014">
      <w:pPr>
        <w:pStyle w:val="9"/>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6A5FA62D">
      <w:pPr>
        <w:pStyle w:val="14"/>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5"/>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8480"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8480;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jc w:val="both"/>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2025-2026年职业病体检服务采购项目</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202504015</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7"/>
        <w:rPr>
          <w:color w:val="auto"/>
        </w:rPr>
      </w:pPr>
    </w:p>
    <w:p w14:paraId="05748400">
      <w:pPr>
        <w:pStyle w:val="8"/>
        <w:rPr>
          <w:color w:val="auto"/>
        </w:rPr>
      </w:pPr>
    </w:p>
    <w:p w14:paraId="5BD807E8">
      <w:pPr>
        <w:rPr>
          <w:color w:val="auto"/>
        </w:rPr>
      </w:pPr>
    </w:p>
    <w:p w14:paraId="631F1A0B">
      <w:pPr>
        <w:pStyle w:val="7"/>
      </w:pPr>
    </w:p>
    <w:p w14:paraId="568FE681">
      <w:pPr>
        <w:pStyle w:val="7"/>
        <w:rPr>
          <w:color w:val="auto"/>
        </w:rPr>
      </w:pPr>
    </w:p>
    <w:p w14:paraId="37160157">
      <w:pPr>
        <w:pStyle w:val="8"/>
        <w:rPr>
          <w:color w:val="auto"/>
        </w:rPr>
      </w:pPr>
    </w:p>
    <w:p w14:paraId="18510655">
      <w:pPr>
        <w:rPr>
          <w:color w:val="auto"/>
        </w:rPr>
      </w:pPr>
    </w:p>
    <w:p w14:paraId="03CD803D">
      <w:pPr>
        <w:pStyle w:val="7"/>
        <w:rPr>
          <w:color w:val="auto"/>
        </w:rPr>
      </w:pPr>
    </w:p>
    <w:p w14:paraId="7C6A2F1D">
      <w:pPr>
        <w:pStyle w:val="8"/>
        <w:rPr>
          <w:color w:val="auto"/>
        </w:rPr>
      </w:pPr>
    </w:p>
    <w:p w14:paraId="2A1EAFA4">
      <w:pPr>
        <w:rPr>
          <w:color w:val="auto"/>
        </w:rPr>
      </w:pPr>
    </w:p>
    <w:p w14:paraId="2300D32D">
      <w:pPr>
        <w:pStyle w:val="7"/>
        <w:rPr>
          <w:color w:val="auto"/>
        </w:rPr>
      </w:pPr>
    </w:p>
    <w:p w14:paraId="4CBC95AE">
      <w:pPr>
        <w:pStyle w:val="8"/>
        <w:rPr>
          <w:color w:val="auto"/>
        </w:rPr>
      </w:pPr>
    </w:p>
    <w:p w14:paraId="798392CC">
      <w:pPr>
        <w:rPr>
          <w:color w:val="auto"/>
        </w:rPr>
      </w:pPr>
    </w:p>
    <w:p w14:paraId="673A965D">
      <w:pPr>
        <w:pStyle w:val="7"/>
        <w:rPr>
          <w:color w:val="auto"/>
        </w:rPr>
      </w:pPr>
    </w:p>
    <w:p w14:paraId="7AF1798F">
      <w:pPr>
        <w:pStyle w:val="8"/>
        <w:rPr>
          <w:color w:val="auto"/>
        </w:rPr>
      </w:pPr>
    </w:p>
    <w:p w14:paraId="42CD4FD3">
      <w:pPr>
        <w:pStyle w:val="9"/>
        <w:rPr>
          <w:color w:val="auto"/>
        </w:rPr>
      </w:pPr>
    </w:p>
    <w:p w14:paraId="1E6E4C39">
      <w:pPr>
        <w:rPr>
          <w:color w:val="auto"/>
        </w:rPr>
      </w:pPr>
    </w:p>
    <w:p w14:paraId="5BDEE8B8">
      <w:pPr>
        <w:pStyle w:val="7"/>
        <w:rPr>
          <w:color w:val="auto"/>
        </w:rPr>
      </w:pPr>
    </w:p>
    <w:p w14:paraId="74C5F04D">
      <w:pPr>
        <w:pStyle w:val="8"/>
        <w:rPr>
          <w:color w:val="auto"/>
        </w:rPr>
      </w:pPr>
    </w:p>
    <w:p w14:paraId="5CDA44AF">
      <w:pPr>
        <w:pStyle w:val="9"/>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val="en-US" w:eastAsia="zh-CN"/>
        </w:rPr>
        <w:t>2025-2026年职业病体检服务采购项目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202504015</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7"/>
        <w:rPr>
          <w:color w:val="auto"/>
        </w:rPr>
      </w:pPr>
    </w:p>
    <w:p w14:paraId="705692CB">
      <w:pPr>
        <w:pStyle w:val="8"/>
        <w:rPr>
          <w:color w:val="auto"/>
        </w:rPr>
      </w:pPr>
    </w:p>
    <w:p w14:paraId="437E8B68">
      <w:pPr>
        <w:rPr>
          <w:color w:val="auto"/>
        </w:rPr>
      </w:pPr>
    </w:p>
    <w:p w14:paraId="33A065AF">
      <w:pPr>
        <w:pStyle w:val="7"/>
        <w:rPr>
          <w:color w:val="auto"/>
        </w:rPr>
      </w:pPr>
    </w:p>
    <w:p w14:paraId="390524D3">
      <w:pPr>
        <w:pStyle w:val="8"/>
      </w:pPr>
    </w:p>
    <w:p w14:paraId="35CD09A5">
      <w:pPr>
        <w:pStyle w:val="8"/>
        <w:rPr>
          <w:color w:val="auto"/>
        </w:rPr>
      </w:pPr>
    </w:p>
    <w:p w14:paraId="11A2CB2E">
      <w:pPr>
        <w:rPr>
          <w:color w:val="auto"/>
        </w:rPr>
      </w:pPr>
    </w:p>
    <w:p w14:paraId="7E67FC26">
      <w:pPr>
        <w:pStyle w:val="7"/>
        <w:rPr>
          <w:color w:val="auto"/>
        </w:rPr>
      </w:pPr>
    </w:p>
    <w:p w14:paraId="488F3B7B">
      <w:pPr>
        <w:pStyle w:val="8"/>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7"/>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7"/>
        <w:rPr>
          <w:color w:val="auto"/>
        </w:rPr>
      </w:pPr>
    </w:p>
    <w:p w14:paraId="7051BD90">
      <w:pPr>
        <w:pStyle w:val="8"/>
        <w:rPr>
          <w:color w:val="auto"/>
        </w:rPr>
      </w:pPr>
    </w:p>
    <w:p w14:paraId="15ED29BF">
      <w:pPr>
        <w:rPr>
          <w:color w:val="auto"/>
        </w:rPr>
      </w:pPr>
    </w:p>
    <w:p w14:paraId="73BFB571">
      <w:pPr>
        <w:pStyle w:val="7"/>
        <w:rPr>
          <w:color w:val="auto"/>
        </w:rPr>
      </w:pPr>
    </w:p>
    <w:p w14:paraId="3E85806A">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8"/>
        <w:rPr>
          <w:color w:val="auto"/>
        </w:rPr>
      </w:pPr>
    </w:p>
    <w:p w14:paraId="50ED184E">
      <w:pPr>
        <w:rPr>
          <w:color w:val="auto"/>
        </w:rPr>
      </w:pPr>
    </w:p>
    <w:p w14:paraId="1A6F3E74">
      <w:pPr>
        <w:pStyle w:val="7"/>
        <w:rPr>
          <w:color w:val="auto"/>
        </w:rPr>
      </w:pPr>
    </w:p>
    <w:p w14:paraId="464D47F2">
      <w:pPr>
        <w:pStyle w:val="8"/>
        <w:rPr>
          <w:color w:val="auto"/>
        </w:rPr>
      </w:pPr>
    </w:p>
    <w:p w14:paraId="6B511750">
      <w:pPr>
        <w:rPr>
          <w:color w:val="auto"/>
        </w:rPr>
      </w:pPr>
    </w:p>
    <w:p w14:paraId="05A7B796">
      <w:pPr>
        <w:pStyle w:val="7"/>
        <w:rPr>
          <w:color w:val="auto"/>
        </w:rPr>
      </w:pPr>
    </w:p>
    <w:p w14:paraId="4D799C87">
      <w:pPr>
        <w:pStyle w:val="8"/>
        <w:rPr>
          <w:color w:val="auto"/>
        </w:rPr>
      </w:pPr>
    </w:p>
    <w:p w14:paraId="13457C2E">
      <w:pPr>
        <w:rPr>
          <w:color w:val="auto"/>
        </w:rPr>
      </w:pPr>
    </w:p>
    <w:p w14:paraId="3140BC0F">
      <w:pPr>
        <w:pStyle w:val="7"/>
        <w:rPr>
          <w:color w:val="auto"/>
        </w:rPr>
      </w:pPr>
    </w:p>
    <w:p w14:paraId="4ADA0366">
      <w:pPr>
        <w:pStyle w:val="8"/>
        <w:rPr>
          <w:color w:val="auto"/>
        </w:rPr>
      </w:pPr>
    </w:p>
    <w:p w14:paraId="4147016F">
      <w:pPr>
        <w:rPr>
          <w:color w:val="auto"/>
        </w:rPr>
      </w:pPr>
    </w:p>
    <w:p w14:paraId="4B08B63D">
      <w:pPr>
        <w:pStyle w:val="7"/>
        <w:rPr>
          <w:color w:val="auto"/>
        </w:rPr>
      </w:pPr>
    </w:p>
    <w:p w14:paraId="162E241D">
      <w:pPr>
        <w:pStyle w:val="8"/>
        <w:rPr>
          <w:color w:val="auto"/>
        </w:rPr>
      </w:pPr>
    </w:p>
    <w:p w14:paraId="210946A5">
      <w:pPr>
        <w:rPr>
          <w:color w:val="auto"/>
        </w:rPr>
      </w:pPr>
    </w:p>
    <w:p w14:paraId="7A188721">
      <w:pPr>
        <w:pStyle w:val="7"/>
        <w:rPr>
          <w:color w:val="auto"/>
        </w:rPr>
      </w:pPr>
    </w:p>
    <w:p w14:paraId="2E857C92">
      <w:pPr>
        <w:pStyle w:val="8"/>
        <w:rPr>
          <w:color w:val="auto"/>
        </w:rPr>
      </w:pPr>
    </w:p>
    <w:p w14:paraId="3352A739">
      <w:pPr>
        <w:rPr>
          <w:color w:val="auto"/>
        </w:rPr>
      </w:pPr>
    </w:p>
    <w:p w14:paraId="56EA1A6F">
      <w:pPr>
        <w:pStyle w:val="7"/>
        <w:rPr>
          <w:color w:val="auto"/>
        </w:rPr>
      </w:pPr>
    </w:p>
    <w:p w14:paraId="0CC1C1AF">
      <w:pPr>
        <w:pStyle w:val="7"/>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8"/>
        <w:rPr>
          <w:color w:val="auto"/>
        </w:rPr>
      </w:pPr>
    </w:p>
    <w:p w14:paraId="1AF3AAEA">
      <w:pPr>
        <w:rPr>
          <w:color w:val="auto"/>
        </w:rPr>
      </w:pPr>
    </w:p>
    <w:p w14:paraId="3DAA4E90">
      <w:pPr>
        <w:pStyle w:val="7"/>
        <w:rPr>
          <w:color w:val="auto"/>
        </w:rPr>
      </w:pPr>
    </w:p>
    <w:p w14:paraId="150574DA">
      <w:pPr>
        <w:pStyle w:val="8"/>
        <w:rPr>
          <w:color w:val="auto"/>
        </w:rPr>
      </w:pPr>
    </w:p>
    <w:p w14:paraId="0FCCF493">
      <w:pPr>
        <w:rPr>
          <w:color w:val="auto"/>
        </w:rPr>
      </w:pPr>
    </w:p>
    <w:p w14:paraId="51228414">
      <w:pPr>
        <w:pStyle w:val="7"/>
        <w:rPr>
          <w:color w:val="auto"/>
        </w:rPr>
      </w:pPr>
    </w:p>
    <w:p w14:paraId="13BDD14E">
      <w:pPr>
        <w:pStyle w:val="8"/>
        <w:rPr>
          <w:color w:val="auto"/>
        </w:rPr>
      </w:pPr>
    </w:p>
    <w:p w14:paraId="10ADC365">
      <w:pPr>
        <w:rPr>
          <w:color w:val="auto"/>
        </w:rPr>
      </w:pPr>
    </w:p>
    <w:p w14:paraId="52796060">
      <w:pPr>
        <w:pStyle w:val="7"/>
        <w:rPr>
          <w:color w:val="auto"/>
        </w:rPr>
      </w:pPr>
    </w:p>
    <w:p w14:paraId="167C8E6F">
      <w:pPr>
        <w:pStyle w:val="8"/>
        <w:rPr>
          <w:color w:val="auto"/>
        </w:rPr>
      </w:pPr>
    </w:p>
    <w:p w14:paraId="48F033E4">
      <w:pPr>
        <w:rPr>
          <w:color w:val="auto"/>
        </w:rPr>
      </w:pPr>
    </w:p>
    <w:p w14:paraId="0979F993">
      <w:pPr>
        <w:pStyle w:val="7"/>
        <w:rPr>
          <w:color w:val="auto"/>
        </w:rPr>
      </w:pPr>
    </w:p>
    <w:p w14:paraId="74966C05">
      <w:pPr>
        <w:pStyle w:val="8"/>
        <w:rPr>
          <w:color w:val="auto"/>
        </w:rPr>
      </w:pPr>
    </w:p>
    <w:p w14:paraId="70007663">
      <w:pPr>
        <w:rPr>
          <w:color w:val="auto"/>
        </w:rPr>
      </w:pPr>
    </w:p>
    <w:p w14:paraId="039A3000">
      <w:pPr>
        <w:rPr>
          <w:color w:val="auto"/>
        </w:rPr>
      </w:pPr>
    </w:p>
    <w:p w14:paraId="0D2A900D">
      <w:pPr>
        <w:rPr>
          <w:color w:val="auto"/>
        </w:rPr>
      </w:pPr>
    </w:p>
    <w:p w14:paraId="3A3DDA09">
      <w:pPr>
        <w:rPr>
          <w:color w:val="auto"/>
        </w:rPr>
      </w:pPr>
    </w:p>
    <w:p w14:paraId="04DB2132">
      <w:pPr>
        <w:rPr>
          <w:color w:val="auto"/>
        </w:rPr>
      </w:pPr>
    </w:p>
    <w:p w14:paraId="7674EBD7">
      <w:pPr>
        <w:pStyle w:val="8"/>
        <w:ind w:left="0" w:leftChars="0" w:firstLine="0" w:firstLineChars="0"/>
      </w:pPr>
    </w:p>
    <w:p w14:paraId="6385A43C">
      <w:pPr>
        <w:pStyle w:val="8"/>
        <w:rPr>
          <w:color w:val="auto"/>
        </w:rPr>
      </w:pPr>
    </w:p>
    <w:p w14:paraId="3A266F2B">
      <w:pPr>
        <w:pStyle w:val="9"/>
        <w:rPr>
          <w:color w:val="auto"/>
        </w:rPr>
      </w:pPr>
    </w:p>
    <w:p w14:paraId="7C9D956E">
      <w:pPr>
        <w:rPr>
          <w:color w:val="auto"/>
        </w:rPr>
      </w:pPr>
    </w:p>
    <w:p w14:paraId="0F8E3422">
      <w:pPr>
        <w:pStyle w:val="2"/>
        <w:rPr>
          <w:color w:val="auto"/>
        </w:rPr>
      </w:pPr>
    </w:p>
    <w:p w14:paraId="4EF5EFD8">
      <w:pPr>
        <w:rPr>
          <w:color w:val="auto"/>
        </w:rPr>
      </w:pPr>
    </w:p>
    <w:p w14:paraId="7CAD46F7">
      <w:pPr>
        <w:pStyle w:val="2"/>
        <w:rPr>
          <w:color w:val="auto"/>
        </w:rPr>
      </w:pPr>
    </w:p>
    <w:p w14:paraId="11B54A95"/>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2025-2026年职业病体检服务采购项目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6225769F">
      <w:pPr>
        <w:numPr>
          <w:ilvl w:val="0"/>
          <w:numId w:val="0"/>
        </w:numPr>
        <w:snapToGrid w:val="0"/>
        <w:spacing w:line="360" w:lineRule="auto"/>
        <w:ind w:left="210" w:leftChars="100" w:firstLine="480" w:firstLineChars="200"/>
        <w:rPr>
          <w:color w:val="auto"/>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2025-2026年职业病体检服务采购项目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7"/>
        <w:rPr>
          <w:rFonts w:hint="eastAsia" w:cs="仿宋" w:asciiTheme="minorEastAsia" w:hAnsiTheme="minorEastAsia"/>
          <w:b/>
          <w:color w:val="auto"/>
          <w:kern w:val="0"/>
          <w:sz w:val="32"/>
          <w:szCs w:val="32"/>
          <w:lang w:val="zh-CN"/>
        </w:rPr>
      </w:pPr>
    </w:p>
    <w:p w14:paraId="188AB74D">
      <w:pPr>
        <w:pStyle w:val="8"/>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7"/>
        <w:rPr>
          <w:rFonts w:hint="eastAsia" w:cs="仿宋" w:asciiTheme="minorEastAsia" w:hAnsiTheme="minorEastAsia"/>
          <w:b/>
          <w:color w:val="auto"/>
          <w:kern w:val="0"/>
          <w:sz w:val="32"/>
          <w:szCs w:val="32"/>
          <w:lang w:val="zh-CN"/>
        </w:rPr>
      </w:pPr>
    </w:p>
    <w:p w14:paraId="3485162C">
      <w:pPr>
        <w:pStyle w:val="8"/>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7"/>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2025-2026年职业病体检服务采购项目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both"/>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2025-2026年职业病体检服务采购项目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7"/>
        <w:adjustRightInd w:val="0"/>
        <w:spacing w:after="0" w:line="360" w:lineRule="auto"/>
        <w:ind w:firstLine="480" w:firstLineChars="200"/>
        <w:jc w:val="left"/>
        <w:rPr>
          <w:rFonts w:hint="eastAsia" w:ascii="宋体" w:hAnsi="宋体" w:cs="宋体"/>
          <w:color w:val="auto"/>
          <w:szCs w:val="21"/>
        </w:rPr>
      </w:pPr>
    </w:p>
    <w:p w14:paraId="5E728812">
      <w:pPr>
        <w:pStyle w:val="7"/>
        <w:adjustRightInd w:val="0"/>
        <w:spacing w:after="0" w:line="360" w:lineRule="auto"/>
        <w:ind w:firstLine="480" w:firstLineChars="200"/>
        <w:jc w:val="left"/>
        <w:rPr>
          <w:rFonts w:hint="eastAsia" w:ascii="宋体" w:hAnsi="宋体" w:cs="宋体"/>
          <w:color w:val="auto"/>
          <w:szCs w:val="21"/>
        </w:rPr>
      </w:pPr>
    </w:p>
    <w:p w14:paraId="1D5052E0">
      <w:pPr>
        <w:pStyle w:val="7"/>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7"/>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7"/>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2025-2026年职业病体检服务采购项目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14:paraId="394BD97C">
      <w:pPr>
        <w:pStyle w:val="2"/>
        <w:jc w:val="center"/>
        <w:rPr>
          <w:rFonts w:hint="default" w:eastAsiaTheme="minorEastAsia"/>
          <w:lang w:val="en-US" w:eastAsia="zh-CN"/>
        </w:rPr>
      </w:pPr>
      <w:r>
        <w:rPr>
          <w:rFonts w:hint="eastAsia" w:ascii="宋体" w:hAnsi="宋体" w:cs="宋体"/>
          <w:sz w:val="24"/>
          <w:lang w:val="en-US" w:eastAsia="zh-CN"/>
        </w:rPr>
        <w:t>在岗及离职人员体检清单</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9"/>
        <w:gridCol w:w="1723"/>
        <w:gridCol w:w="1360"/>
        <w:gridCol w:w="6710"/>
        <w:gridCol w:w="1408"/>
        <w:gridCol w:w="1159"/>
        <w:gridCol w:w="1194"/>
      </w:tblGrid>
      <w:tr w14:paraId="5A9A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2132">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序号</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D1F13">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接害工种</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DE9F">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部门</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BE6F">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接触的职业病危害因素</w:t>
            </w:r>
          </w:p>
        </w:tc>
        <w:tc>
          <w:tcPr>
            <w:tcW w:w="49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BCCFD1">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暂定接害人数(人</w:t>
            </w:r>
            <w:r>
              <w:rPr>
                <w:rFonts w:hint="eastAsia" w:ascii="仿宋" w:hAnsi="仿宋" w:eastAsia="仿宋" w:cs="仿宋"/>
                <w:b/>
                <w:bCs/>
                <w:i w:val="0"/>
                <w:iCs w:val="0"/>
                <w:color w:val="000000"/>
                <w:kern w:val="0"/>
                <w:sz w:val="18"/>
                <w:szCs w:val="18"/>
                <w:u w:val="none"/>
                <w:lang w:val="en-US" w:eastAsia="zh-CN" w:bidi="ar"/>
              </w:rPr>
              <w:t>)</w:t>
            </w:r>
          </w:p>
        </w:tc>
        <w:tc>
          <w:tcPr>
            <w:tcW w:w="409"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D5D4B6">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421"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BE196C">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0218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D09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63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机务专工、仪控专工、水处理专工</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45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75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12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80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F6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CE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F00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C22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电气专工、烟气专工</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D9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41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B10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F8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2B9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135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FD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2D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（运行、技术）</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CF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3C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噪声、高温、氢氧化钠、盐酸、活性炭、工频电场、氢氧化钙、细菌、病毒、寄生虫</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7F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EB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0CB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03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B3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D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值长、主控、副控、巡检</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B8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C3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23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FE7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25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4D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6E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8A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水处理工、化验员</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3C7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FD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氨、硫化氢、盐酸、硫酸、氢氧化钠、飞灰、炉渣、消石灰、噪声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422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6DF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53C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20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6"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4F4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7C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垃圾吊操作员</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1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84A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硫化氢、氨、噪声、硫醇类、硫醚类、吲哚类、胺类、 甲基硫、细菌、病毒、寄生虫</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15B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5FD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91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50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93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F81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安全员</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00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B1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FE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44C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566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20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CF8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C3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预处理主管及技术员</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B9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E80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其他粉尘、苯、甲苯、二甲苯、乙酸乙酯、乙酸丁酯、丙酮、丁酮、甲醇、三氯甲烷、硫化氢、氢氧化钠、</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2A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E925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B1A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F38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CB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51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仓管</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9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49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苯、甲苯、二甲苯、乙酸乙酯、乙酸丁酯、丙酮、丁酮、甲醇、三氯甲烷、硫化氢、氟化氢、氯化氢及盐酸、氢氧化钠</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64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09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80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E50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D6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C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医废主管及医废工</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99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27D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致病微生物</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9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2C4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183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D1A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8E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1E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危（医）废押运员</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39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6D7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其他粉尘、苯、甲苯、二甲苯、乙酸乙酯、乙酸丁酯、丙酮、丁酮、甲醇、三氯甲烷、硫化氢、氢氧化钠、致病微生物</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61D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360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406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E3A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F7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91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危（医）废司机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041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30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其他粉尘、苯、甲苯、二甲苯、乙酸乙酯、乙酸丁酯、丙酮、丁酮、甲醇、三氯甲烷、硫化氢、氢氧化钠、致病微生物、职业机动车驾驶作业（大）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35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60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0C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FBD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6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D7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焚烧总值长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DF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023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二氧化硫,一氧化碳,硫化氢,飞灰粉尘,高温,氯化氢及盐酸,二氧化氮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64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90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A6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D3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153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F6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焚烧值长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FC2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A14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3EA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BD7C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DED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41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5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C5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焚烧行车</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07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72C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苯,甲醇,硫化氢,飞灰粉尘,丁酮,乙酸乙酯,乙酸丁酯,三氯甲烷,甲苯,二甲苯,丙酮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23C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D3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CD7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CB7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266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F7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焚烧巡检</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22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925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1C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D6B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A52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9BF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AC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CF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焚烧中控、焚烧汽机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EB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45A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二氧化硫,一氧化碳,硫化氢,飞灰粉尘,高温,氯化氢及盐酸,二氧化氮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6C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062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75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1A5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CB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70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水处理主管、水处理技术员、水处理工</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D8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09D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硫化氢,三氧化硫,硫酸,氯化氢及盐酸,氢氧化钠,噪声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D6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859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C4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7876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1E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CA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填埋主管、填埋技术员</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FD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2B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512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BF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AD2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E4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3832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1A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挖机司机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54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47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飞灰粉尘、噪声</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9CF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A2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0A2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4EC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D89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C48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分析技术员、实验分析</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D2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BB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苯,甲苯,二甲苯,乙酸乙酯,乙酸丁酯,丙酮,丁酮,甲醇,三氯甲烷,硫化氢,氯化氢及盐酸,氢氧化钠</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8F63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23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A1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569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9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4CD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取样分析、工艺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D8E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11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苯,甲苯,二甲苯,乙酸乙酯,乙酸丁酯,丙酮,丁酮,甲醇,三氯甲烷,硫化氢,氯化氢及盐酸,氢氧化钠,飞灰粉尘</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74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F3B9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190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670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91A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032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仪控</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CA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E2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二氧化硫,一氧化碳,硫化氢,飞灰粉尘,噪声,高温,电焊烟尘,氯化氢及盐酸,二氧化氮</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96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8E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D0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9D5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00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55E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606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9A0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二氧化硫,一氧化碳,硫化氢,飞灰粉尘,噪声,高温,氯化氢及盐酸,二氧化氮,工频电场,电工作业</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9F7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BA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4E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0D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15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30C4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机修</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63E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8FA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二氧化硫,一氧化碳,硫化氢,飞灰粉尘,噪声,高温,电焊烟尘,氯化氢及盐酸,二氧化氮,电焊弧光</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88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371F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CD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2AD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2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BA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97D5">
            <w:pPr>
              <w:jc w:val="center"/>
              <w:rPr>
                <w:rFonts w:hint="eastAsia" w:ascii="仿宋" w:hAnsi="仿宋" w:eastAsia="仿宋" w:cs="仿宋"/>
                <w:i w:val="0"/>
                <w:iCs w:val="0"/>
                <w:color w:val="000000"/>
                <w:sz w:val="18"/>
                <w:szCs w:val="18"/>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37C3">
            <w:pPr>
              <w:jc w:val="center"/>
              <w:rPr>
                <w:rFonts w:hint="eastAsia" w:ascii="仿宋" w:hAnsi="仿宋" w:eastAsia="仿宋" w:cs="仿宋"/>
                <w:i w:val="0"/>
                <w:iCs w:val="0"/>
                <w:color w:val="000000"/>
                <w:sz w:val="18"/>
                <w:szCs w:val="18"/>
                <w:u w:val="none"/>
              </w:rPr>
            </w:pPr>
          </w:p>
        </w:tc>
        <w:tc>
          <w:tcPr>
            <w:tcW w:w="2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E44D">
            <w:pPr>
              <w:jc w:val="center"/>
              <w:rPr>
                <w:rFonts w:hint="eastAsia" w:ascii="仿宋" w:hAnsi="仿宋" w:eastAsia="仿宋" w:cs="仿宋"/>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A57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D7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383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28058FD0">
      <w:pPr>
        <w:snapToGrid w:val="0"/>
        <w:spacing w:line="360" w:lineRule="auto"/>
        <w:ind w:left="480"/>
        <w:rPr>
          <w:rFonts w:hint="eastAsia" w:cs="仿宋" w:asciiTheme="minorEastAsia" w:hAnsiTheme="minorEastAsia"/>
          <w:b/>
          <w:color w:val="auto"/>
          <w:kern w:val="0"/>
          <w:sz w:val="24"/>
          <w:lang w:val="zh-CN"/>
        </w:rPr>
      </w:pPr>
    </w:p>
    <w:p w14:paraId="0E030BBE">
      <w:pPr>
        <w:spacing w:line="360" w:lineRule="auto"/>
        <w:ind w:firstLine="482" w:firstLineChars="200"/>
        <w:jc w:val="center"/>
        <w:outlineLvl w:val="0"/>
        <w:rPr>
          <w:rFonts w:hint="eastAsia" w:ascii="宋体" w:hAnsi="宋体"/>
          <w:b/>
          <w:sz w:val="24"/>
        </w:rPr>
      </w:pPr>
      <w:r>
        <w:rPr>
          <w:rFonts w:hint="eastAsia" w:ascii="宋体" w:hAnsi="宋体" w:cs="宋体"/>
          <w:b/>
          <w:bCs/>
          <w:sz w:val="24"/>
          <w:lang w:val="en-US" w:eastAsia="zh-CN"/>
        </w:rPr>
        <w:t>岗前人员体检清单</w:t>
      </w:r>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706"/>
        <w:gridCol w:w="1355"/>
        <w:gridCol w:w="6723"/>
        <w:gridCol w:w="1406"/>
        <w:gridCol w:w="1156"/>
        <w:gridCol w:w="1199"/>
      </w:tblGrid>
      <w:tr w14:paraId="72A3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010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148C">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接害工种</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229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部门</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6EB8">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接触的职业病危害因素</w:t>
            </w:r>
          </w:p>
        </w:tc>
        <w:tc>
          <w:tcPr>
            <w:tcW w:w="496"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F6EFBD">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auto"/>
                <w:kern w:val="0"/>
                <w:sz w:val="18"/>
                <w:szCs w:val="18"/>
                <w:u w:val="none"/>
                <w:lang w:val="en-US" w:eastAsia="zh-CN" w:bidi="ar"/>
              </w:rPr>
              <w:t>暂定接害</w:t>
            </w:r>
            <w:r>
              <w:rPr>
                <w:rFonts w:hint="eastAsia" w:ascii="仿宋" w:hAnsi="仿宋" w:eastAsia="仿宋" w:cs="仿宋"/>
                <w:b/>
                <w:bCs/>
                <w:i w:val="0"/>
                <w:iCs w:val="0"/>
                <w:color w:val="000000"/>
                <w:kern w:val="0"/>
                <w:sz w:val="18"/>
                <w:szCs w:val="18"/>
                <w:u w:val="none"/>
                <w:lang w:val="en-US" w:eastAsia="zh-CN" w:bidi="ar"/>
              </w:rPr>
              <w:t>人数(人)</w:t>
            </w:r>
          </w:p>
        </w:tc>
        <w:tc>
          <w:tcPr>
            <w:tcW w:w="408"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4B854D">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单价（元）</w:t>
            </w:r>
          </w:p>
        </w:tc>
        <w:tc>
          <w:tcPr>
            <w:tcW w:w="423"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ABB164">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金额（元）</w:t>
            </w:r>
          </w:p>
        </w:tc>
      </w:tr>
      <w:tr w14:paraId="3D48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F5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31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机务专工、仪控专工、水处理专工</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5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5C6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874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1FB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CD0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368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5A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265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电气专工、烟气专工</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32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333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411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44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52F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3CD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63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277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主管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（运行、技术）</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CF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C80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噪声、高温、氢氧化钠、盐酸、活性炭、工频电场、氢氧化钙、细菌、病毒、寄生虫</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078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49D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1E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BF2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213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88A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值长、主控、副控、巡检</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9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BFF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3A5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BA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E81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ED8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8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939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水处理工、化验员</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754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69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氨、硫化氢、盐酸、硫酸、氢氧化钠、飞灰、炉渣、消石灰、噪声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D7D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37D6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C71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CFE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A0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C1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垃圾吊操作员</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C0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87E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硫化氢、氨、噪声、硫醇类、硫醚类、吲哚类、胺类、 甲基硫、细菌、病毒、寄生虫</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7AA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9DBB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1DA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9FE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8AC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9C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安全员</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2D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能源运行中心</w:t>
            </w:r>
          </w:p>
        </w:tc>
        <w:tc>
          <w:tcPr>
            <w:tcW w:w="6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51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一氧化碳、氮氧化物、二氧化硫、氯化氢、氟化氢、飞灰、炉渣、消石灰、硫化氢、氨、二噁英、锰、汞-金属汞（蒸汽）、镉及其化合物、游离二氧化硅、氢氧化钙、活性炭、氢氧化钠、噪声、高温、细菌、病毒、寄生虫、工频电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A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EB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441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4B5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0D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27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预处理主管及技术员</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7B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151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其他粉尘、苯、甲苯、二甲苯、乙酸乙酯、乙酸丁酯、丙酮、丁酮、甲醇、三氯甲烷、硫化氢、氢氧化钠、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EEF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CC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C21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8FE4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AB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AF7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仓管</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75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BA18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苯、甲苯、二甲苯、乙酸乙酯、乙酸丁酯、丙酮、丁酮、甲醇、三氯甲烷、硫化氢、氟化氢、氯化氢及盐酸、氢氧化钠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F19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F8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84A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D61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27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1F4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仓储叉车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C6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BD3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苯、甲苯、二甲苯、乙酸乙酯、乙酸丁酯、丙酮、丁酮、甲醇、三氯甲烷、硫化氢、氟化氢、氯化氢及盐酸、氢氧化钠、噪声、职业机动车驾驶作业（小）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1D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15E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9C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A29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83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B0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医废主管及医废工</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FF7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9B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致病微生物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2EB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EB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9D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596C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CE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996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医废押运员</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B9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BE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其他粉尘、苯、甲苯、二甲苯、乙酸乙酯、乙酸丁酯、丙酮、丁酮、甲醇、三氯甲烷、硫化氢、氢氧化钠、致病微生物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C2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447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AA8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0F9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2B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E0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医废车司机</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0E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033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其他粉尘、苯、甲苯、二甲苯、乙酸乙酯、乙酸丁酯、丙酮、丁酮、甲醇、三氯甲烷、硫化氢、氢氧化钠、致病微生物、职业机动车驾驶作业（大）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A2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0AE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B4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3C1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84FA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42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焚烧总值长</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98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325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二氧化硫,一氧化碳,硫化氢,飞灰粉尘,高温,氯化氢及盐酸,二氧化氮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1D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E2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93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268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20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F97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焚烧值长</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8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740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F33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F3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C393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602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7A6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CB2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焚烧行车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10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B1C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苯,甲醇,硫化氢,飞灰粉尘,丁酮,乙酸乙酯,乙酸丁酯,三氯甲烷,甲苯,二甲苯,丙酮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C2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6BE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171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887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AEC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F5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焚烧巡检</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74D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D9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飞灰粉尘,苯,甲苯,二甲苯,乙酸乙酯,乙酸丁酯,丙酮,丁酮,甲醇,三氯甲烷,硫化氢,氯化氢及盐酸,一氧化碳,二氧化氮,二氧化硫,氟化氢,氨,噪声,高温,工频电场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F58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B1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42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87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64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0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焚烧中控、焚烧汽机</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B8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99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二氧化硫,一氧化碳,硫化氢,飞灰粉尘,高温,氯化氢及盐酸,二氧化氮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3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49A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B44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F14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687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1E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水处理主管、水处理技术员、水处理工</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D0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05D0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硫化氢,三氧化硫,硫酸,氯化氢及盐酸,氢氧化钠,噪声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0F1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190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416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0F0A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97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A4E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填埋主管、填埋技术员</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D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48C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9F83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57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A1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41E3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1D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3EB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挖机司机</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D9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FD9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飞灰粉尘、噪声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D2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C331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48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05C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ABC7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59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填埋叉车</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29B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F0C9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其他粉尘、噪声、职业机动车驾驶作业（小）</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210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6B8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38F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0AB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2122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E6D1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飞灰车及装卸车司机</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16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777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其他粉尘、噪声、职业机动车驾驶作业（大）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09C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6B9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41A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38F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3F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729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分析技术员、实验分析</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C8E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9A9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苯,甲苯,二甲苯,乙酸乙酯,乙酸丁酯,丙酮,丁酮,甲醇,三氯甲烷,硫化氢,氯化氢及盐酸,氢氧化钠</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E1F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4F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1C3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1F7B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24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37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取样分析、工艺</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00D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49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苯,甲苯,二甲苯,乙酸乙酯,乙酸丁酯,丙酮,丁酮,甲醇,三氯甲烷,硫化氢,氯化氢及盐酸,氢氧化钠,飞灰粉尘</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C5C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B53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51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3A14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DC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F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仪控</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08B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2F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二氧化硫,一氧化碳,硫化氢,飞灰粉尘,噪声,高温,电焊烟尘,氯化氢及盐酸,二氧化氮</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69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12C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0E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689B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46F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F1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电工</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A01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CF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二氧化硫,一氧化碳,硫化氢,飞灰粉尘,噪声,高温,氯化氢及盐酸,二氧化氮,工频电场,电工作业</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C6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097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0D4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788A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D5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0C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机修</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1AD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三固运行中心</w:t>
            </w:r>
          </w:p>
        </w:tc>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3EA5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二氧化硫,一氧化碳,硫化氢,飞灰粉尘,噪声,高温,电焊烟尘,氯化氢及盐酸,二氧化氮,电焊弧光</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3C50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027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101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14:paraId="23CC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E6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合计</w:t>
            </w:r>
          </w:p>
        </w:tc>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43658">
            <w:pPr>
              <w:jc w:val="center"/>
              <w:rPr>
                <w:rFonts w:hint="eastAsia" w:ascii="仿宋" w:hAnsi="仿宋" w:eastAsia="仿宋" w:cs="仿宋"/>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3197">
            <w:pPr>
              <w:jc w:val="center"/>
              <w:rPr>
                <w:rFonts w:hint="eastAsia" w:ascii="仿宋" w:hAnsi="仿宋" w:eastAsia="仿宋" w:cs="仿宋"/>
                <w:i w:val="0"/>
                <w:iCs w:val="0"/>
                <w:color w:val="000000"/>
                <w:sz w:val="18"/>
                <w:szCs w:val="18"/>
                <w:u w:val="none"/>
              </w:rPr>
            </w:pPr>
          </w:p>
        </w:tc>
        <w:tc>
          <w:tcPr>
            <w:tcW w:w="2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2523">
            <w:pPr>
              <w:jc w:val="center"/>
              <w:rPr>
                <w:rFonts w:hint="eastAsia" w:ascii="仿宋" w:hAnsi="仿宋" w:eastAsia="仿宋" w:cs="仿宋"/>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FC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A15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659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bl>
    <w:p w14:paraId="15B6A17C">
      <w:pPr>
        <w:pStyle w:val="2"/>
        <w:rPr>
          <w:rFonts w:hint="eastAsia" w:cs="仿宋" w:asciiTheme="minorEastAsia" w:hAnsiTheme="minorEastAsia"/>
          <w:b/>
          <w:color w:val="auto"/>
          <w:kern w:val="0"/>
          <w:sz w:val="24"/>
          <w:lang w:val="zh-CN"/>
        </w:rPr>
      </w:pPr>
    </w:p>
    <w:p w14:paraId="01FA9EBF">
      <w:pPr>
        <w:rPr>
          <w:rFonts w:hint="eastAsia"/>
          <w:lang w:val="zh-CN"/>
        </w:rPr>
      </w:pP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27572C0">
      <w:pPr>
        <w:pStyle w:val="7"/>
        <w:rPr>
          <w:color w:val="auto"/>
        </w:rPr>
      </w:pPr>
    </w:p>
    <w:p w14:paraId="7548D6A0">
      <w:pPr>
        <w:pStyle w:val="8"/>
        <w:rPr>
          <w:color w:val="auto"/>
        </w:rPr>
      </w:pPr>
    </w:p>
    <w:p w14:paraId="5E06680C">
      <w:pPr>
        <w:rPr>
          <w:color w:val="auto"/>
        </w:rPr>
      </w:pPr>
    </w:p>
    <w:p w14:paraId="10998650">
      <w:pPr>
        <w:pStyle w:val="7"/>
        <w:rPr>
          <w:color w:val="auto"/>
        </w:rPr>
      </w:pPr>
    </w:p>
    <w:p w14:paraId="6C378D68">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3A62EA43">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14:paraId="66C2277D">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2025-2026年职业病体检服务采购项目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7"/>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2025-2026年职业病体检服务采购项目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11"/>
        <w:rPr>
          <w:rFonts w:hint="eastAsia" w:hAnsi="宋体" w:cs="宋体"/>
          <w:b/>
          <w:bCs/>
          <w:sz w:val="24"/>
        </w:rPr>
      </w:pPr>
    </w:p>
    <w:p w14:paraId="5BC930A5">
      <w:pPr>
        <w:pStyle w:val="11"/>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78D9EC">
      <w:pPr>
        <w:pStyle w:val="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06D5B38C">
      <w:pPr>
        <w:autoSpaceDE w:val="0"/>
        <w:autoSpaceDN w:val="0"/>
        <w:jc w:val="both"/>
        <w:rPr>
          <w:rFonts w:hint="eastAsia"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2025-2026年职业病体检服务采购项目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202504015</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241D59FF">
      <w:pPr>
        <w:rPr>
          <w:color w:val="auto"/>
        </w:rPr>
      </w:pPr>
    </w:p>
    <w:p w14:paraId="77DAE76B">
      <w:pPr>
        <w:pStyle w:val="7"/>
        <w:rPr>
          <w:color w:val="auto"/>
        </w:rPr>
      </w:pPr>
    </w:p>
    <w:p w14:paraId="1F039C58">
      <w:pPr>
        <w:pStyle w:val="7"/>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3"/>
      <w:jc w:val="right"/>
      <w:rPr>
        <w:rFonts w:ascii="仿宋" w:hAnsi="仿宋" w:eastAsia="仿宋" w:cs="仿宋"/>
        <w:i/>
        <w:iCs/>
      </w:rPr>
    </w:pPr>
  </w:p>
  <w:p w14:paraId="793F1943">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3"/>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5A06B">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3CB56C4"/>
    <w:rsid w:val="046A1781"/>
    <w:rsid w:val="04E634F4"/>
    <w:rsid w:val="05150472"/>
    <w:rsid w:val="05171224"/>
    <w:rsid w:val="051B17AF"/>
    <w:rsid w:val="0805754C"/>
    <w:rsid w:val="08322A8C"/>
    <w:rsid w:val="085F0B17"/>
    <w:rsid w:val="08670640"/>
    <w:rsid w:val="08E37A2F"/>
    <w:rsid w:val="09545F70"/>
    <w:rsid w:val="09946F9F"/>
    <w:rsid w:val="09D74B85"/>
    <w:rsid w:val="09EC7123"/>
    <w:rsid w:val="09ED56C9"/>
    <w:rsid w:val="0A1D0FFF"/>
    <w:rsid w:val="0A7C1006"/>
    <w:rsid w:val="0AD025A1"/>
    <w:rsid w:val="0B4E0B4D"/>
    <w:rsid w:val="0BD07B44"/>
    <w:rsid w:val="0C492847"/>
    <w:rsid w:val="0C554576"/>
    <w:rsid w:val="0F095788"/>
    <w:rsid w:val="0F5E496A"/>
    <w:rsid w:val="0F81598B"/>
    <w:rsid w:val="10947BCD"/>
    <w:rsid w:val="10BE08E9"/>
    <w:rsid w:val="1157552B"/>
    <w:rsid w:val="13064D3F"/>
    <w:rsid w:val="1399374C"/>
    <w:rsid w:val="13FF5068"/>
    <w:rsid w:val="14521AA0"/>
    <w:rsid w:val="146C41CB"/>
    <w:rsid w:val="15BE749A"/>
    <w:rsid w:val="15E02F18"/>
    <w:rsid w:val="166F3635"/>
    <w:rsid w:val="16EE6E87"/>
    <w:rsid w:val="185A544F"/>
    <w:rsid w:val="18890233"/>
    <w:rsid w:val="18BA1001"/>
    <w:rsid w:val="198737C7"/>
    <w:rsid w:val="19DC6BDA"/>
    <w:rsid w:val="1AA56FDE"/>
    <w:rsid w:val="1B4879BF"/>
    <w:rsid w:val="1B7913A6"/>
    <w:rsid w:val="1C742A28"/>
    <w:rsid w:val="1CAA3340"/>
    <w:rsid w:val="1CD34128"/>
    <w:rsid w:val="1CDE6781"/>
    <w:rsid w:val="1D987ACC"/>
    <w:rsid w:val="1DEB283E"/>
    <w:rsid w:val="1F457921"/>
    <w:rsid w:val="21677697"/>
    <w:rsid w:val="229536BA"/>
    <w:rsid w:val="22A06165"/>
    <w:rsid w:val="22A244DC"/>
    <w:rsid w:val="2378337E"/>
    <w:rsid w:val="23AE001C"/>
    <w:rsid w:val="251A0B90"/>
    <w:rsid w:val="25251AF7"/>
    <w:rsid w:val="25C26B32"/>
    <w:rsid w:val="272E083D"/>
    <w:rsid w:val="27C76E2B"/>
    <w:rsid w:val="284A39BF"/>
    <w:rsid w:val="28A354BE"/>
    <w:rsid w:val="298D0BC4"/>
    <w:rsid w:val="2A1060BE"/>
    <w:rsid w:val="2A6366FF"/>
    <w:rsid w:val="2A6807FA"/>
    <w:rsid w:val="2B32649C"/>
    <w:rsid w:val="2B5471B8"/>
    <w:rsid w:val="2B9B5E5B"/>
    <w:rsid w:val="2BDA5141"/>
    <w:rsid w:val="2C270527"/>
    <w:rsid w:val="2C4141D8"/>
    <w:rsid w:val="2EA152A3"/>
    <w:rsid w:val="2F1F33A8"/>
    <w:rsid w:val="2F5836E9"/>
    <w:rsid w:val="2F7610B9"/>
    <w:rsid w:val="30123142"/>
    <w:rsid w:val="302169BE"/>
    <w:rsid w:val="304A7E50"/>
    <w:rsid w:val="314B6E80"/>
    <w:rsid w:val="31BF0628"/>
    <w:rsid w:val="32843E96"/>
    <w:rsid w:val="32D33460"/>
    <w:rsid w:val="33791178"/>
    <w:rsid w:val="346671FA"/>
    <w:rsid w:val="351F7AFD"/>
    <w:rsid w:val="352F03C1"/>
    <w:rsid w:val="36162BCB"/>
    <w:rsid w:val="363646DC"/>
    <w:rsid w:val="36412810"/>
    <w:rsid w:val="36BD312A"/>
    <w:rsid w:val="37514AF4"/>
    <w:rsid w:val="377C0298"/>
    <w:rsid w:val="37F61CA1"/>
    <w:rsid w:val="39C31C6C"/>
    <w:rsid w:val="3A20381F"/>
    <w:rsid w:val="3C283344"/>
    <w:rsid w:val="3C3420E0"/>
    <w:rsid w:val="3C485F9D"/>
    <w:rsid w:val="3C4E2A76"/>
    <w:rsid w:val="3C7C70D7"/>
    <w:rsid w:val="3CB84BBF"/>
    <w:rsid w:val="3D3879AE"/>
    <w:rsid w:val="3D404023"/>
    <w:rsid w:val="3E0C6463"/>
    <w:rsid w:val="3E564C85"/>
    <w:rsid w:val="3E85290A"/>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75A46"/>
    <w:rsid w:val="44873A1C"/>
    <w:rsid w:val="4491515E"/>
    <w:rsid w:val="470471FE"/>
    <w:rsid w:val="472961BF"/>
    <w:rsid w:val="49105C83"/>
    <w:rsid w:val="4992263D"/>
    <w:rsid w:val="499917D4"/>
    <w:rsid w:val="49A53D97"/>
    <w:rsid w:val="4A0615A3"/>
    <w:rsid w:val="4AE27CAC"/>
    <w:rsid w:val="4BAC48C9"/>
    <w:rsid w:val="4DC70F03"/>
    <w:rsid w:val="4E191EC4"/>
    <w:rsid w:val="4EA9254B"/>
    <w:rsid w:val="4F251D5C"/>
    <w:rsid w:val="4FD65994"/>
    <w:rsid w:val="4FEB08B0"/>
    <w:rsid w:val="50772E11"/>
    <w:rsid w:val="50886E1D"/>
    <w:rsid w:val="508A7E31"/>
    <w:rsid w:val="513B5867"/>
    <w:rsid w:val="51454B8D"/>
    <w:rsid w:val="514563A8"/>
    <w:rsid w:val="523875F5"/>
    <w:rsid w:val="52506204"/>
    <w:rsid w:val="52B35FD7"/>
    <w:rsid w:val="533B163F"/>
    <w:rsid w:val="53FA1DF3"/>
    <w:rsid w:val="54204352"/>
    <w:rsid w:val="54AB2D04"/>
    <w:rsid w:val="56F563A5"/>
    <w:rsid w:val="571F3A0C"/>
    <w:rsid w:val="57F2034A"/>
    <w:rsid w:val="58235318"/>
    <w:rsid w:val="58354DBE"/>
    <w:rsid w:val="586E6522"/>
    <w:rsid w:val="58BE2D14"/>
    <w:rsid w:val="59121C77"/>
    <w:rsid w:val="59DD570D"/>
    <w:rsid w:val="59DE0E09"/>
    <w:rsid w:val="5A283DD0"/>
    <w:rsid w:val="5A2E5F69"/>
    <w:rsid w:val="5ACD76EE"/>
    <w:rsid w:val="5B021A05"/>
    <w:rsid w:val="5B3D7F5F"/>
    <w:rsid w:val="5D017BD2"/>
    <w:rsid w:val="5EA617F0"/>
    <w:rsid w:val="5EFD2476"/>
    <w:rsid w:val="5F0279C4"/>
    <w:rsid w:val="5F944466"/>
    <w:rsid w:val="6139287F"/>
    <w:rsid w:val="61F56B7E"/>
    <w:rsid w:val="62121B84"/>
    <w:rsid w:val="62D87E8B"/>
    <w:rsid w:val="63C6446B"/>
    <w:rsid w:val="63CF15A0"/>
    <w:rsid w:val="646F1815"/>
    <w:rsid w:val="64CD2ABF"/>
    <w:rsid w:val="657B7ADB"/>
    <w:rsid w:val="660E4A3F"/>
    <w:rsid w:val="673E5F91"/>
    <w:rsid w:val="678A686C"/>
    <w:rsid w:val="679754A0"/>
    <w:rsid w:val="67D649B5"/>
    <w:rsid w:val="689618A9"/>
    <w:rsid w:val="68C66552"/>
    <w:rsid w:val="69345B52"/>
    <w:rsid w:val="69822E5B"/>
    <w:rsid w:val="6A4E3ABD"/>
    <w:rsid w:val="6A5F2E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6253B8"/>
    <w:rsid w:val="77910CC6"/>
    <w:rsid w:val="779944AF"/>
    <w:rsid w:val="78160310"/>
    <w:rsid w:val="785A54C0"/>
    <w:rsid w:val="78D32916"/>
    <w:rsid w:val="78FD6DDA"/>
    <w:rsid w:val="79DF4732"/>
    <w:rsid w:val="79EB254B"/>
    <w:rsid w:val="7AF4716D"/>
    <w:rsid w:val="7B2031F9"/>
    <w:rsid w:val="7BA82ABD"/>
    <w:rsid w:val="7C1141B7"/>
    <w:rsid w:val="7C662D96"/>
    <w:rsid w:val="7CBB6CC9"/>
    <w:rsid w:val="7CFD5C38"/>
    <w:rsid w:val="7D797C2B"/>
    <w:rsid w:val="7D810EAC"/>
    <w:rsid w:val="7D955BFE"/>
    <w:rsid w:val="7DAC6A56"/>
    <w:rsid w:val="7E0230E5"/>
    <w:rsid w:val="7E064B72"/>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 w:type="paragraph" w:customStyle="1" w:styleId="31">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2037</Words>
  <Characters>2319</Characters>
  <Lines>0</Lines>
  <Paragraphs>0</Paragraphs>
  <TotalTime>3</TotalTime>
  <ScaleCrop>false</ScaleCrop>
  <LinksUpToDate>false</LinksUpToDate>
  <CharactersWithSpaces>2406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2025-04-10T01:13:46Z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A1ED29D5195F42DC88B15D6E555041E6</vt:lpwstr>
  </property>
  <property fmtid="{D5CDD505-2E9C-101B-9397-08002B2CF9AE}" pid="4" name="KSOTemplateDocerSaveRecord">
    <vt:lpwstr>eyJoZGlkIjoiZGE2M2JmYTQ1MzI4YmQxZTA3NWQwODQ1YjYyN2ZmYzQiLCJ1c2VySWQiOiIxNDUxNTgxMDE3In0=</vt:lpwstr>
  </property>
</Properties>
</file>