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jc w:val="center"/>
        <w:rPr>
          <w:rFonts w:cs="宋体" w:asciiTheme="minorEastAsia" w:hAnsiTheme="minorEastAsia"/>
          <w:sz w:val="48"/>
          <w:szCs w:val="48"/>
          <w:u w:val="single"/>
        </w:rPr>
      </w:pPr>
    </w:p>
    <w:p w14:paraId="43C7B751">
      <w:pPr>
        <w:pStyle w:val="11"/>
        <w:jc w:val="center"/>
        <w:rPr>
          <w:rFonts w:cs="宋体" w:asciiTheme="minorEastAsia" w:hAnsiTheme="minorEastAsia"/>
          <w:sz w:val="48"/>
          <w:szCs w:val="48"/>
          <w:u w:val="single"/>
        </w:rPr>
      </w:pPr>
    </w:p>
    <w:p w14:paraId="4E1F8D14">
      <w:pPr>
        <w:pStyle w:val="11"/>
        <w:jc w:val="center"/>
        <w:rPr>
          <w:rFonts w:cs="宋体" w:asciiTheme="minorEastAsia" w:hAnsiTheme="minorEastAsia"/>
          <w:sz w:val="48"/>
          <w:szCs w:val="48"/>
          <w:u w:val="single"/>
        </w:rPr>
      </w:pPr>
    </w:p>
    <w:p w14:paraId="3AE63300">
      <w:pPr>
        <w:pStyle w:val="11"/>
        <w:jc w:val="center"/>
        <w:rPr>
          <w:rFonts w:cs="宋体" w:asciiTheme="minorEastAsia" w:hAnsiTheme="minorEastAsia"/>
          <w:sz w:val="48"/>
          <w:szCs w:val="48"/>
          <w:u w:val="single"/>
        </w:rPr>
      </w:pPr>
    </w:p>
    <w:p w14:paraId="71570A98">
      <w:pPr>
        <w:pStyle w:val="11"/>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2025年-2026年溴化锂溶液采购项目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202504019</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1"/>
      </w:pPr>
    </w:p>
    <w:p w14:paraId="78F3ED30"/>
    <w:p w14:paraId="7C05648C">
      <w:pPr>
        <w:pStyle w:val="11"/>
      </w:pPr>
    </w:p>
    <w:p w14:paraId="69D04CCD"/>
    <w:p w14:paraId="66B4F936">
      <w:pPr>
        <w:spacing w:line="360" w:lineRule="auto"/>
        <w:rPr>
          <w:rFonts w:cs="仿宋" w:asciiTheme="minorEastAsia" w:hAnsiTheme="minorEastAsia"/>
          <w:sz w:val="24"/>
        </w:rPr>
      </w:pPr>
    </w:p>
    <w:p w14:paraId="0FB43D82">
      <w:pPr>
        <w:pStyle w:val="11"/>
        <w:rPr>
          <w:rFonts w:cs="仿宋" w:asciiTheme="minorEastAsia" w:hAnsiTheme="minorEastAsia"/>
          <w:sz w:val="24"/>
          <w:szCs w:val="24"/>
        </w:rPr>
      </w:pPr>
    </w:p>
    <w:p w14:paraId="6B3A0643">
      <w:pPr>
        <w:pStyle w:val="11"/>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10</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35393790"/>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202504019</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2025年-2026年溴化锂溶液采购项目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rPr>
        <w:t>：</w:t>
      </w:r>
      <w:r>
        <w:rPr>
          <w:rFonts w:hint="eastAsia" w:cs="仿宋" w:asciiTheme="minorEastAsia" w:hAnsiTheme="minorEastAsia"/>
          <w:sz w:val="24"/>
          <w:highlight w:val="none"/>
          <w:u w:val="single"/>
          <w:lang w:val="en-US" w:eastAsia="zh-CN"/>
        </w:rPr>
        <w:t>5.2</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溴化锂溶液</w:t>
      </w:r>
      <w:r>
        <w:rPr>
          <w:rFonts w:hint="eastAsia" w:hAnsi="宋体" w:cs="宋体"/>
          <w:bCs/>
          <w:color w:val="auto"/>
          <w:sz w:val="24"/>
          <w:lang w:val="en-US" w:eastAsia="zh-CN"/>
        </w:rPr>
        <w:t>1100kg</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ascii="宋体" w:hAnsi="宋体" w:cs="宋体"/>
          <w:sz w:val="24"/>
          <w:highlight w:val="none"/>
          <w:u w:val="single"/>
          <w:lang w:val="en-US" w:eastAsia="zh-CN"/>
        </w:rPr>
        <w:t>自合同签订后12个月。</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540ED02D">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2</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溴化锂溶液销售</w:t>
      </w:r>
      <w:r>
        <w:rPr>
          <w:rFonts w:hint="eastAsia" w:cs="仿宋" w:asciiTheme="minorEastAsia" w:hAnsiTheme="minorEastAsia"/>
          <w:bCs/>
          <w:sz w:val="24"/>
          <w:u w:val="single"/>
        </w:rPr>
        <w:t>业绩（同时提供合同复印件作为业绩证明材料）。</w:t>
      </w:r>
    </w:p>
    <w:p w14:paraId="28DE49D5">
      <w:pPr>
        <w:spacing w:line="360" w:lineRule="auto"/>
        <w:ind w:firstLine="480" w:firstLineChars="200"/>
        <w:rPr>
          <w:rFonts w:cs="仿宋" w:asciiTheme="minorEastAsia" w:hAnsiTheme="minorEastAsia"/>
          <w:bCs/>
          <w:color w:val="0000FF"/>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w:t>
      </w:r>
      <w:r>
        <w:rPr>
          <w:rFonts w:hint="eastAsia" w:cs="仿宋" w:asciiTheme="minorEastAsia" w:hAnsiTheme="minorEastAsia"/>
          <w:bCs/>
          <w:color w:val="auto"/>
          <w:sz w:val="24"/>
        </w:rPr>
        <w:t>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45BE3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E402562">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6CB39D2">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4D2AB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477E00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FDC5EE7">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14:paraId="16A15E1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019FF79">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D4868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4月10</w:t>
      </w:r>
      <w:r>
        <w:rPr>
          <w:rFonts w:hint="eastAsia" w:cs="仿宋" w:asciiTheme="minorEastAsia" w:hAnsiTheme="minorEastAsia"/>
          <w:color w:val="auto"/>
          <w:sz w:val="24"/>
        </w:rPr>
        <w:t>日</w:t>
      </w:r>
    </w:p>
    <w:p w14:paraId="42E6DA95">
      <w:pPr>
        <w:spacing w:line="460" w:lineRule="exact"/>
        <w:jc w:val="both"/>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7983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532746A">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0BB6FC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5620912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128D8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F410FC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6DA580C">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BDD9A">
            <w:pPr>
              <w:pStyle w:val="19"/>
              <w:snapToGrid w:val="0"/>
              <w:spacing w:line="400" w:lineRule="exact"/>
              <w:ind w:right="42" w:rightChars="20"/>
              <w:rPr>
                <w:color w:val="auto"/>
                <w:szCs w:val="21"/>
              </w:rPr>
            </w:pPr>
            <w:r>
              <w:rPr>
                <w:rFonts w:hint="eastAsia"/>
                <w:snapToGrid w:val="0"/>
                <w:color w:val="auto"/>
                <w:szCs w:val="21"/>
              </w:rPr>
              <w:t>详见采购公告</w:t>
            </w:r>
          </w:p>
        </w:tc>
      </w:tr>
      <w:tr w14:paraId="240BD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808FAE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5B176DE3">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524BD8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54661D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C113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74F8D8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383A4D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9554E1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8D81CDD">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1FCB3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B922F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9770A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3A52A641">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7BAECE9">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A509EAF">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2211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ABF61A7">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0242984">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BE10D1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7876C748">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D589101">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 xml:space="preserve">/ </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51B8A7E4">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68960D4D">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C98C17F">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889E3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4EC889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27BD9B85">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58A952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58480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BD8152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1ACA3B57">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EB4824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6C31703">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30FE6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D6154F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4491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57BC353">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40F936">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5BDC94ED">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5CE6D10B">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0A4C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E447671">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DCE209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3A59D4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EC0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12CE05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A1909D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en-US" w:eastAsia="zh-CN"/>
              </w:rPr>
            </w:pPr>
            <w:r>
              <w:rPr>
                <w:rFonts w:hint="eastAsia" w:ascii="宋体" w:hAnsi="宋体" w:eastAsia="宋体" w:cs="宋体"/>
                <w:b/>
                <w:bCs/>
                <w:color w:val="auto"/>
                <w:kern w:val="0"/>
                <w:szCs w:val="21"/>
                <w:lang w:val="en-US" w:eastAsia="zh-CN"/>
              </w:rPr>
              <w:t>评审小组</w:t>
            </w:r>
            <w:r>
              <w:rPr>
                <w:rFonts w:hint="eastAsia" w:ascii="宋体" w:hAnsi="宋体" w:eastAsia="宋体" w:cs="宋体"/>
                <w:b/>
                <w:bCs/>
                <w:color w:val="auto"/>
                <w:kern w:val="0"/>
                <w:szCs w:val="21"/>
                <w:lang w:val="zh-CN"/>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0083F60B">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0109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4552CD4">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8C3C8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F18A44C">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44195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0405D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A75BF1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E705BA9">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1D8A02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DF62B06">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06763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36B99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F0DF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2F298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4C353B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DC02295">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74FE0A0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720401F">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7B1B305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6993F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03AA56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4449D3C">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AB13DDE">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1A8B3C6D">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8"/>
        <w:rPr>
          <w:rFonts w:cs="仿宋" w:asciiTheme="minorEastAsia" w:hAnsiTheme="minorEastAsia"/>
          <w:b/>
          <w:sz w:val="32"/>
          <w:szCs w:val="20"/>
        </w:rPr>
      </w:pPr>
    </w:p>
    <w:p w14:paraId="09BCF4F8">
      <w:pPr>
        <w:pStyle w:val="9"/>
        <w:rPr>
          <w:rFonts w:cs="仿宋" w:asciiTheme="minorEastAsia" w:hAnsiTheme="minorEastAsia"/>
          <w:b/>
          <w:sz w:val="32"/>
          <w:szCs w:val="20"/>
        </w:rPr>
      </w:pPr>
    </w:p>
    <w:p w14:paraId="6274D4B6"/>
    <w:p w14:paraId="6822F385">
      <w:pPr>
        <w:pStyle w:val="9"/>
        <w:rPr>
          <w:rFonts w:cs="仿宋" w:asciiTheme="minorEastAsia" w:hAnsiTheme="minorEastAsia"/>
          <w:b/>
          <w:sz w:val="32"/>
          <w:szCs w:val="20"/>
        </w:rPr>
      </w:pPr>
    </w:p>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2"/>
        <w:spacing w:before="0"/>
        <w:ind w:firstLine="0" w:firstLineChars="0"/>
        <w:jc w:val="center"/>
        <w:rPr>
          <w:rFonts w:cs="仿宋" w:asciiTheme="minorEastAsia" w:hAnsiTheme="minorEastAsia"/>
          <w:b/>
          <w:sz w:val="32"/>
        </w:rPr>
      </w:pPr>
    </w:p>
    <w:p w14:paraId="36E6A26A">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697388C8">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2"/>
        <w:spacing w:before="0"/>
        <w:ind w:firstLine="495" w:firstLineChars="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cs="仿宋" w:asciiTheme="minorEastAsia" w:hAnsiTheme="minorEastAsia" w:eastAsiaTheme="minorEastAsia"/>
          <w:sz w:val="24"/>
          <w:szCs w:val="20"/>
          <w:highlight w:val="yellow"/>
          <w:lang w:eastAsia="zh-CN"/>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r>
        <w:rPr>
          <w:rFonts w:hint="eastAsia" w:cs="仿宋" w:asciiTheme="minorEastAsia" w:hAnsiTheme="minorEastAsia"/>
          <w:sz w:val="24"/>
          <w:szCs w:val="20"/>
          <w:highlight w:val="none"/>
          <w:lang w:eastAsia="zh-CN"/>
        </w:rPr>
        <w:t>。</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lang w:val="en-US"/>
        </w:rPr>
      </w:pPr>
      <w:r>
        <w:rPr>
          <w:rFonts w:hint="eastAsia"/>
          <w:lang w:val="en-US"/>
        </w:rPr>
        <w:t>杭州临江环境能源有限公司因日常生产需要，需采购</w:t>
      </w:r>
      <w:r>
        <w:rPr>
          <w:rFonts w:hint="eastAsia"/>
          <w:lang w:val="en-US" w:eastAsia="zh-CN"/>
        </w:rPr>
        <w:t>溴化锂溶液</w:t>
      </w:r>
      <w:r>
        <w:rPr>
          <w:rFonts w:hint="eastAsia"/>
          <w:lang w:val="en-US"/>
        </w:rPr>
        <w:t>一批，具体如下：</w:t>
      </w:r>
    </w:p>
    <w:tbl>
      <w:tblPr>
        <w:tblStyle w:val="1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21"/>
        <w:gridCol w:w="2644"/>
        <w:gridCol w:w="711"/>
        <w:gridCol w:w="1550"/>
        <w:gridCol w:w="800"/>
        <w:gridCol w:w="988"/>
        <w:gridCol w:w="988"/>
      </w:tblGrid>
      <w:tr w14:paraId="464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915F3F8">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21" w:type="dxa"/>
            <w:vAlign w:val="center"/>
          </w:tcPr>
          <w:p w14:paraId="42B9DD26">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644" w:type="dxa"/>
            <w:vAlign w:val="center"/>
          </w:tcPr>
          <w:p w14:paraId="1CDB5350">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711" w:type="dxa"/>
            <w:vAlign w:val="center"/>
          </w:tcPr>
          <w:p w14:paraId="35AD88E2">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550" w:type="dxa"/>
            <w:vAlign w:val="center"/>
          </w:tcPr>
          <w:p w14:paraId="2078122C">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800" w:type="dxa"/>
            <w:vAlign w:val="center"/>
          </w:tcPr>
          <w:p w14:paraId="3CB32B90">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988" w:type="dxa"/>
            <w:vAlign w:val="center"/>
          </w:tcPr>
          <w:p w14:paraId="5970BD07">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988" w:type="dxa"/>
            <w:vAlign w:val="center"/>
          </w:tcPr>
          <w:p w14:paraId="1B0865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备注</w:t>
            </w:r>
          </w:p>
        </w:tc>
      </w:tr>
      <w:tr w14:paraId="2E09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Align w:val="center"/>
          </w:tcPr>
          <w:p w14:paraId="239AA34E">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121" w:type="dxa"/>
            <w:vAlign w:val="center"/>
          </w:tcPr>
          <w:p w14:paraId="081DE450">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溴化锂溶液</w:t>
            </w:r>
          </w:p>
        </w:tc>
        <w:tc>
          <w:tcPr>
            <w:tcW w:w="2644" w:type="dxa"/>
            <w:vAlign w:val="center"/>
          </w:tcPr>
          <w:p w14:paraId="23AFB354">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符合GB/T18431—2014的钼系列；溴化锂 LiBr纯度55%；无色透明</w:t>
            </w:r>
          </w:p>
        </w:tc>
        <w:tc>
          <w:tcPr>
            <w:tcW w:w="711" w:type="dxa"/>
            <w:vAlign w:val="center"/>
          </w:tcPr>
          <w:p w14:paraId="0220B57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550" w:type="dxa"/>
            <w:vAlign w:val="center"/>
          </w:tcPr>
          <w:p w14:paraId="4AE5D856">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snapToGrid w:val="0"/>
                <w:szCs w:val="21"/>
                <w:lang w:val="en-US" w:eastAsia="zh-CN"/>
              </w:rPr>
              <w:t xml:space="preserve">桶装，100KG一桶 </w:t>
            </w:r>
          </w:p>
        </w:tc>
        <w:tc>
          <w:tcPr>
            <w:tcW w:w="800" w:type="dxa"/>
            <w:vAlign w:val="center"/>
          </w:tcPr>
          <w:p w14:paraId="6096EA87">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千克</w:t>
            </w:r>
          </w:p>
        </w:tc>
        <w:tc>
          <w:tcPr>
            <w:tcW w:w="988" w:type="dxa"/>
            <w:vAlign w:val="center"/>
          </w:tcPr>
          <w:p w14:paraId="6D54B124">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1100</w:t>
            </w:r>
          </w:p>
        </w:tc>
        <w:tc>
          <w:tcPr>
            <w:tcW w:w="988" w:type="dxa"/>
            <w:vAlign w:val="center"/>
          </w:tcPr>
          <w:p w14:paraId="681A78E9">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LG溴化锂机组</w:t>
            </w:r>
          </w:p>
        </w:tc>
      </w:tr>
    </w:tbl>
    <w:p w14:paraId="5C073101">
      <w:pPr>
        <w:spacing w:line="360" w:lineRule="auto"/>
        <w:ind w:firstLine="422" w:firstLineChars="200"/>
        <w:rPr>
          <w:rFonts w:ascii="宋体" w:hAnsi="宋体" w:cs="宋体"/>
          <w:sz w:val="24"/>
        </w:rPr>
      </w:pPr>
      <w:r>
        <w:rPr>
          <w:rFonts w:hint="eastAsia"/>
          <w:b/>
          <w:bCs/>
          <w:lang w:val="en-US"/>
        </w:rPr>
        <w:t>二、</w:t>
      </w:r>
      <w:r>
        <w:rPr>
          <w:rFonts w:hint="eastAsia"/>
          <w:b/>
          <w:bCs/>
          <w:highlight w:val="none"/>
          <w:lang w:val="en-US"/>
        </w:rPr>
        <w:t>合同期限</w:t>
      </w:r>
      <w:r>
        <w:rPr>
          <w:rFonts w:hint="eastAsia"/>
          <w:highlight w:val="none"/>
          <w:lang w:val="en-US"/>
        </w:rPr>
        <w:t>：</w:t>
      </w:r>
      <w:r>
        <w:rPr>
          <w:rFonts w:hint="eastAsia" w:ascii="宋体" w:hAnsi="宋体" w:cs="宋体"/>
          <w:sz w:val="24"/>
          <w:highlight w:val="none"/>
          <w:u w:val="single"/>
          <w:lang w:val="en-US" w:eastAsia="zh-CN"/>
        </w:rPr>
        <w:t>自合同签订后12个月；</w:t>
      </w:r>
    </w:p>
    <w:p w14:paraId="31B2271A">
      <w:pPr>
        <w:pStyle w:val="7"/>
        <w:ind w:firstLine="482" w:firstLineChars="200"/>
        <w:rPr>
          <w:rFonts w:hint="default" w:cs="仿宋" w:asciiTheme="minorEastAsia" w:hAnsiTheme="minorEastAsia" w:eastAsiaTheme="minorEastAsia"/>
          <w:kern w:val="0"/>
          <w:lang w:val="en-US" w:eastAsia="zh-CN"/>
        </w:rPr>
      </w:pP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15A0175A">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F973AA2">
      <w:pPr>
        <w:pStyle w:val="7"/>
        <w:ind w:firstLine="480" w:firstLineChars="200"/>
        <w:rPr>
          <w:rFonts w:hint="eastAsia"/>
          <w:strike w:val="0"/>
          <w:dstrike w:val="0"/>
          <w:color w:val="auto"/>
          <w:highlight w:val="none"/>
          <w:u w:val="single"/>
          <w:lang w:val="en-US" w:eastAsia="zh-CN"/>
          <w14:textFill>
            <w14:gradFill>
              <w14:gsLst>
                <w14:gs w14:pos="50000">
                  <w14:schemeClr w14:val="accent1"/>
                </w14:gs>
                <w14:gs w14:pos="0">
                  <w14:schemeClr w14:val="accent1">
                    <w14:lumMod w14:val="25000"/>
                    <w14:lumOff w14:val="75000"/>
                  </w14:schemeClr>
                </w14:gs>
                <w14:gs w14:pos="100000">
                  <w14:schemeClr w14:val="accent1">
                    <w14:lumMod w14:val="85000"/>
                  </w14:schemeClr>
                </w14:gs>
              </w14:gsLst>
              <w14:lin w14:ang="5400000" w14:scaled="1"/>
            </w14:gradFill>
          </w14:textFill>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w:t>
      </w:r>
      <w:r>
        <w:rPr>
          <w:rFonts w:hint="eastAsia"/>
          <w:strike w:val="0"/>
          <w:dstrike w:val="0"/>
          <w:color w:val="auto"/>
          <w:highlight w:val="none"/>
          <w:u w:val="single"/>
          <w:lang w:val="en-US" w:eastAsia="zh-CN"/>
        </w:rPr>
        <w:t>到货时，</w:t>
      </w:r>
      <w:r>
        <w:rPr>
          <w:rFonts w:hint="eastAsia" w:ascii="宋体" w:hAnsi="宋体" w:eastAsia="宋体" w:cs="宋体"/>
          <w:snapToGrid w:val="0"/>
          <w:color w:val="auto"/>
          <w:szCs w:val="21"/>
          <w:u w:val="single"/>
          <w:lang w:val="en-US" w:eastAsia="zh-CN"/>
        </w:rPr>
        <w:t>溴化锂溶液</w:t>
      </w:r>
      <w:r>
        <w:rPr>
          <w:rFonts w:hint="eastAsia"/>
          <w:strike w:val="0"/>
          <w:dstrike w:val="0"/>
          <w:color w:val="auto"/>
          <w:highlight w:val="none"/>
          <w:u w:val="single"/>
          <w:lang w:val="en-US" w:eastAsia="zh-CN"/>
        </w:rPr>
        <w:t>保质期应不少于12个月。</w:t>
      </w:r>
    </w:p>
    <w:p w14:paraId="598EF633">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3D83480B">
      <w:pPr>
        <w:pStyle w:val="7"/>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w:t>
      </w:r>
      <w:r>
        <w:rPr>
          <w:rFonts w:hint="eastAsia" w:ascii="宋体" w:hAnsi="宋体" w:cs="宋体"/>
          <w:sz w:val="24"/>
          <w:highlight w:val="none"/>
        </w:rPr>
        <w:t>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w:t>
      </w:r>
      <w:r>
        <w:rPr>
          <w:rFonts w:hint="eastAsia" w:ascii="宋体" w:hAnsi="宋体" w:cs="宋体"/>
          <w:sz w:val="24"/>
          <w:highlight w:val="none"/>
        </w:rPr>
        <w:t>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14:paraId="2EEF8759">
      <w:pPr>
        <w:pStyle w:val="8"/>
        <w:ind w:left="0" w:leftChars="0" w:firstLine="480" w:firstLineChars="200"/>
        <w:rPr>
          <w:rFonts w:hint="eastAsia" w:ascii="宋体" w:hAnsi="宋体" w:cs="宋体"/>
          <w:sz w:val="24"/>
          <w:highlight w:val="none"/>
        </w:rPr>
      </w:pPr>
      <w:r>
        <w:rPr>
          <w:rFonts w:hint="eastAsia"/>
          <w:highlight w:val="none"/>
          <w:lang w:val="en-US" w:eastAsia="zh-CN"/>
        </w:rPr>
        <w:t>3.原则上供应商不得由第三方单位直接发货至采购人仓库（特殊情况除外），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4CAED596">
      <w:pPr>
        <w:pStyle w:val="8"/>
        <w:ind w:left="0" w:leftChars="0" w:firstLine="480" w:firstLineChars="200"/>
        <w:rPr>
          <w:rFonts w:hint="eastAsia" w:ascii="宋体" w:hAnsi="Arial" w:cs="Arial" w:eastAsiaTheme="minorEastAsia"/>
          <w:snapToGrid w:val="0"/>
          <w:color w:val="auto"/>
          <w:kern w:val="2"/>
          <w:sz w:val="24"/>
          <w:szCs w:val="21"/>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送货的验收数量以扣除包装物重量后的净重为准。采购人随机抽取称重，若称重后净重少于标识重量，按实际称重结算。将货物运达采购人指定交货地点后及时通知采购人。</w:t>
      </w:r>
    </w:p>
    <w:p w14:paraId="5F1DBA30">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7"/>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w:t>
      </w:r>
      <w:r>
        <w:rPr>
          <w:rFonts w:hint="eastAsia"/>
          <w:highlight w:val="none"/>
          <w:lang w:val="en-US"/>
        </w:rPr>
        <w:t>划，确定送货数量要求，</w:t>
      </w:r>
      <w:r>
        <w:rPr>
          <w:rFonts w:hint="eastAsia"/>
          <w:highlight w:val="none"/>
          <w:lang w:val="en-US" w:eastAsia="zh-CN"/>
        </w:rPr>
        <w:t>分批次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5</w:t>
      </w:r>
      <w:r>
        <w:rPr>
          <w:rFonts w:hint="eastAsia"/>
          <w:highlight w:val="none"/>
          <w:lang w:val="en-US"/>
        </w:rPr>
        <w:t>个工作日内完</w:t>
      </w:r>
      <w:r>
        <w:rPr>
          <w:rFonts w:hint="eastAsia"/>
          <w:lang w:val="en-US"/>
        </w:rPr>
        <w:t>成供货。</w:t>
      </w:r>
    </w:p>
    <w:p w14:paraId="5EE7A48B">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7"/>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8"/>
        <w:ind w:firstLine="480" w:firstLineChars="200"/>
        <w:rPr>
          <w:lang w:val="en-US"/>
        </w:rPr>
      </w:pPr>
      <w:r>
        <w:rPr>
          <w:rFonts w:hint="eastAsia"/>
          <w:lang w:val="en-US"/>
        </w:rPr>
        <w:t>以本询价采购文件中的合同条款为准。</w:t>
      </w:r>
    </w:p>
    <w:p w14:paraId="31E1F810">
      <w:pPr>
        <w:pStyle w:val="7"/>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7816DB3D">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w:t>
      </w:r>
      <w:r>
        <w:rPr>
          <w:rFonts w:hint="eastAsia"/>
          <w:lang w:val="en-US"/>
        </w:rPr>
        <w:t>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3.在使用过程中，因产品质量问题给他机械设备造成故障或货物损坏，由供应商承担采购人的一切损失，包括直接和间接损失。</w:t>
      </w: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66"/>
      <w:bookmarkEnd w:id="19"/>
      <w:bookmarkStart w:id="20" w:name="_Toc184310279"/>
      <w:bookmarkEnd w:id="20"/>
      <w:bookmarkStart w:id="21" w:name="_Toc184314457"/>
      <w:bookmarkEnd w:id="21"/>
      <w:bookmarkStart w:id="22" w:name="_Toc184314436"/>
      <w:bookmarkEnd w:id="22"/>
      <w:bookmarkStart w:id="23" w:name="_Toc184308057"/>
      <w:bookmarkEnd w:id="23"/>
      <w:bookmarkStart w:id="24" w:name="_Toc184313272"/>
      <w:bookmarkEnd w:id="24"/>
      <w:bookmarkStart w:id="25" w:name="_Toc184313299"/>
      <w:bookmarkEnd w:id="25"/>
      <w:bookmarkStart w:id="26" w:name="_Toc184310303"/>
      <w:bookmarkEnd w:id="26"/>
      <w:bookmarkStart w:id="27" w:name="_Toc184313301"/>
      <w:bookmarkEnd w:id="27"/>
      <w:bookmarkStart w:id="28" w:name="_Toc184310315"/>
      <w:bookmarkEnd w:id="28"/>
      <w:bookmarkStart w:id="29" w:name="_Toc184313271"/>
      <w:bookmarkEnd w:id="29"/>
      <w:bookmarkStart w:id="30" w:name="_Toc184312112"/>
      <w:bookmarkEnd w:id="30"/>
      <w:bookmarkStart w:id="31" w:name="_Toc184310337"/>
      <w:bookmarkEnd w:id="31"/>
      <w:bookmarkStart w:id="32" w:name="_Toc184313280"/>
      <w:bookmarkEnd w:id="32"/>
      <w:bookmarkStart w:id="33" w:name="_Toc184310280"/>
      <w:bookmarkEnd w:id="33"/>
      <w:bookmarkStart w:id="34" w:name="_Toc184314419"/>
      <w:bookmarkEnd w:id="34"/>
      <w:bookmarkStart w:id="35" w:name="_Toc184310318"/>
      <w:bookmarkEnd w:id="35"/>
      <w:bookmarkStart w:id="36" w:name="_Toc184310281"/>
      <w:bookmarkEnd w:id="36"/>
      <w:bookmarkStart w:id="37" w:name="_Toc184314422"/>
      <w:bookmarkEnd w:id="37"/>
      <w:bookmarkStart w:id="38" w:name="_Toc184310317"/>
      <w:bookmarkEnd w:id="38"/>
      <w:bookmarkStart w:id="39" w:name="_Toc184312095"/>
      <w:bookmarkEnd w:id="39"/>
      <w:bookmarkStart w:id="40" w:name="_Toc184310305"/>
      <w:bookmarkEnd w:id="40"/>
      <w:bookmarkStart w:id="41" w:name="_Toc184308105"/>
      <w:bookmarkEnd w:id="41"/>
      <w:bookmarkStart w:id="42" w:name="_Toc184312118"/>
      <w:bookmarkEnd w:id="42"/>
      <w:bookmarkStart w:id="43" w:name="_Toc184308098"/>
      <w:bookmarkEnd w:id="43"/>
      <w:bookmarkStart w:id="44" w:name="_Toc184313282"/>
      <w:bookmarkEnd w:id="44"/>
      <w:bookmarkStart w:id="45" w:name="_Toc184312131"/>
      <w:bookmarkEnd w:id="45"/>
      <w:bookmarkStart w:id="46" w:name="_Toc184310285"/>
      <w:bookmarkEnd w:id="46"/>
      <w:bookmarkStart w:id="47" w:name="_Toc184308072"/>
      <w:bookmarkEnd w:id="47"/>
      <w:bookmarkStart w:id="48" w:name="_Toc184312115"/>
      <w:bookmarkEnd w:id="48"/>
      <w:bookmarkStart w:id="49" w:name="_Toc184314480"/>
      <w:bookmarkEnd w:id="49"/>
      <w:bookmarkStart w:id="50" w:name="_Toc184308069"/>
      <w:bookmarkEnd w:id="50"/>
      <w:bookmarkStart w:id="51" w:name="_Toc184310297"/>
      <w:bookmarkEnd w:id="51"/>
      <w:bookmarkStart w:id="52" w:name="_Toc184313269"/>
      <w:bookmarkEnd w:id="52"/>
      <w:bookmarkStart w:id="53" w:name="_Toc184310298"/>
      <w:bookmarkEnd w:id="53"/>
      <w:bookmarkStart w:id="54" w:name="_Toc184312105"/>
      <w:bookmarkEnd w:id="54"/>
      <w:bookmarkStart w:id="55" w:name="_Toc184308095"/>
      <w:bookmarkEnd w:id="55"/>
      <w:bookmarkStart w:id="56" w:name="_Toc184313259"/>
      <w:bookmarkEnd w:id="56"/>
      <w:bookmarkStart w:id="57" w:name="_Toc184312135"/>
      <w:bookmarkEnd w:id="57"/>
      <w:bookmarkStart w:id="58" w:name="_Toc184312106"/>
      <w:bookmarkEnd w:id="58"/>
      <w:bookmarkStart w:id="59" w:name="_Toc184308089"/>
      <w:bookmarkEnd w:id="59"/>
      <w:bookmarkStart w:id="60" w:name="_Toc184312111"/>
      <w:bookmarkEnd w:id="60"/>
      <w:bookmarkStart w:id="61" w:name="_Toc184312109"/>
      <w:bookmarkEnd w:id="61"/>
      <w:bookmarkStart w:id="62" w:name="_Toc184312124"/>
      <w:bookmarkEnd w:id="62"/>
      <w:bookmarkStart w:id="63" w:name="_Toc184310302"/>
      <w:bookmarkEnd w:id="63"/>
      <w:bookmarkStart w:id="64" w:name="_Toc184313288"/>
      <w:bookmarkEnd w:id="64"/>
      <w:bookmarkStart w:id="65" w:name="_Toc184310342"/>
      <w:bookmarkEnd w:id="65"/>
      <w:bookmarkStart w:id="66" w:name="_Toc184308104"/>
      <w:bookmarkEnd w:id="66"/>
      <w:bookmarkStart w:id="67" w:name="_Toc184314418"/>
      <w:bookmarkEnd w:id="67"/>
      <w:bookmarkStart w:id="68" w:name="_Toc184310282"/>
      <w:bookmarkEnd w:id="68"/>
      <w:bookmarkStart w:id="69" w:name="_Toc184310307"/>
      <w:bookmarkEnd w:id="69"/>
      <w:bookmarkStart w:id="70" w:name="_Toc184312102"/>
      <w:bookmarkEnd w:id="70"/>
      <w:bookmarkStart w:id="71" w:name="_Toc184308097"/>
      <w:bookmarkEnd w:id="71"/>
      <w:bookmarkStart w:id="72" w:name="_Toc184308046"/>
      <w:bookmarkEnd w:id="72"/>
      <w:bookmarkStart w:id="73" w:name="_Toc184310341"/>
      <w:bookmarkEnd w:id="73"/>
      <w:bookmarkStart w:id="74" w:name="_Toc184308070"/>
      <w:bookmarkEnd w:id="74"/>
      <w:bookmarkStart w:id="75" w:name="_Toc184310306"/>
      <w:bookmarkEnd w:id="75"/>
      <w:bookmarkStart w:id="76" w:name="_Toc184310272"/>
      <w:bookmarkEnd w:id="76"/>
      <w:bookmarkStart w:id="77" w:name="_Toc184308048"/>
      <w:bookmarkEnd w:id="77"/>
      <w:bookmarkStart w:id="78" w:name="_Toc184313258"/>
      <w:bookmarkEnd w:id="78"/>
      <w:bookmarkStart w:id="79" w:name="_Toc184313290"/>
      <w:bookmarkEnd w:id="79"/>
      <w:bookmarkStart w:id="80" w:name="_Toc184312098"/>
      <w:bookmarkEnd w:id="80"/>
      <w:bookmarkStart w:id="81" w:name="_Toc184313310"/>
      <w:bookmarkEnd w:id="81"/>
      <w:bookmarkStart w:id="82" w:name="_Toc184308064"/>
      <w:bookmarkEnd w:id="82"/>
      <w:bookmarkStart w:id="83" w:name="_Toc184314453"/>
      <w:bookmarkEnd w:id="83"/>
      <w:bookmarkStart w:id="84" w:name="_Toc184314417"/>
      <w:bookmarkEnd w:id="84"/>
      <w:bookmarkStart w:id="85" w:name="_Toc184308063"/>
      <w:bookmarkEnd w:id="85"/>
      <w:bookmarkStart w:id="86" w:name="_Toc184308094"/>
      <w:bookmarkEnd w:id="86"/>
      <w:bookmarkStart w:id="87" w:name="_Toc184312088"/>
      <w:bookmarkEnd w:id="87"/>
      <w:bookmarkStart w:id="88" w:name="_Toc184308101"/>
      <w:bookmarkEnd w:id="88"/>
      <w:bookmarkStart w:id="89" w:name="_Toc184312113"/>
      <w:bookmarkEnd w:id="89"/>
      <w:bookmarkStart w:id="90" w:name="_Toc184314448"/>
      <w:bookmarkEnd w:id="90"/>
      <w:bookmarkStart w:id="91" w:name="_Toc184314430"/>
      <w:bookmarkEnd w:id="91"/>
      <w:bookmarkStart w:id="92" w:name="_Toc184308052"/>
      <w:bookmarkEnd w:id="92"/>
      <w:bookmarkStart w:id="93" w:name="_Toc184312087"/>
      <w:bookmarkEnd w:id="93"/>
      <w:bookmarkStart w:id="94" w:name="_Toc184312083"/>
      <w:bookmarkEnd w:id="94"/>
      <w:bookmarkStart w:id="95" w:name="_Toc184314475"/>
      <w:bookmarkEnd w:id="95"/>
      <w:bookmarkStart w:id="96" w:name="_Toc184313285"/>
      <w:bookmarkEnd w:id="96"/>
      <w:bookmarkStart w:id="97" w:name="_Toc184314416"/>
      <w:bookmarkEnd w:id="97"/>
      <w:bookmarkStart w:id="98" w:name="_Toc184308083"/>
      <w:bookmarkEnd w:id="98"/>
      <w:bookmarkStart w:id="99" w:name="_Toc184314438"/>
      <w:bookmarkEnd w:id="99"/>
      <w:bookmarkStart w:id="100" w:name="_Toc184313240"/>
      <w:bookmarkEnd w:id="100"/>
      <w:bookmarkStart w:id="101" w:name="_Toc184312089"/>
      <w:bookmarkEnd w:id="101"/>
      <w:bookmarkStart w:id="102" w:name="_Toc184308073"/>
      <w:bookmarkEnd w:id="102"/>
      <w:bookmarkStart w:id="103" w:name="_Toc184308058"/>
      <w:bookmarkEnd w:id="103"/>
      <w:bookmarkStart w:id="104" w:name="_Toc184308081"/>
      <w:bookmarkEnd w:id="104"/>
      <w:bookmarkStart w:id="105" w:name="_Toc184310304"/>
      <w:bookmarkEnd w:id="105"/>
      <w:bookmarkStart w:id="106" w:name="_Toc184312099"/>
      <w:bookmarkEnd w:id="106"/>
      <w:bookmarkStart w:id="107" w:name="_Toc184312127"/>
      <w:bookmarkEnd w:id="107"/>
      <w:bookmarkStart w:id="108" w:name="_Toc184310332"/>
      <w:bookmarkEnd w:id="108"/>
      <w:bookmarkStart w:id="109" w:name="_Toc184312072"/>
      <w:bookmarkEnd w:id="109"/>
      <w:bookmarkStart w:id="110" w:name="_Toc184313238"/>
      <w:bookmarkEnd w:id="110"/>
      <w:bookmarkStart w:id="111" w:name="_Toc184312100"/>
      <w:bookmarkEnd w:id="111"/>
      <w:bookmarkStart w:id="112" w:name="_Toc184313277"/>
      <w:bookmarkEnd w:id="112"/>
      <w:bookmarkStart w:id="113" w:name="_Toc184313252"/>
      <w:bookmarkEnd w:id="113"/>
      <w:bookmarkStart w:id="114" w:name="_Toc184308040"/>
      <w:bookmarkEnd w:id="114"/>
      <w:bookmarkStart w:id="115" w:name="_Toc184312110"/>
      <w:bookmarkEnd w:id="115"/>
      <w:bookmarkStart w:id="116" w:name="_Toc184314434"/>
      <w:bookmarkEnd w:id="116"/>
      <w:bookmarkStart w:id="117" w:name="_Toc184308096"/>
      <w:bookmarkEnd w:id="117"/>
      <w:bookmarkStart w:id="118" w:name="_Toc184308087"/>
      <w:bookmarkEnd w:id="118"/>
      <w:bookmarkStart w:id="119" w:name="_Toc184312132"/>
      <w:bookmarkEnd w:id="119"/>
      <w:bookmarkStart w:id="120" w:name="_Toc184313291"/>
      <w:bookmarkEnd w:id="120"/>
      <w:bookmarkStart w:id="121" w:name="_Toc184314424"/>
      <w:bookmarkEnd w:id="121"/>
      <w:bookmarkStart w:id="122" w:name="_Toc184312119"/>
      <w:bookmarkEnd w:id="122"/>
      <w:bookmarkStart w:id="123" w:name="_Toc184310308"/>
      <w:bookmarkEnd w:id="123"/>
      <w:bookmarkStart w:id="124" w:name="_Toc184312085"/>
      <w:bookmarkEnd w:id="124"/>
      <w:bookmarkStart w:id="125" w:name="_Toc184310322"/>
      <w:bookmarkEnd w:id="125"/>
      <w:bookmarkStart w:id="126" w:name="_Toc184308071"/>
      <w:bookmarkEnd w:id="126"/>
      <w:bookmarkStart w:id="127" w:name="_Toc184314423"/>
      <w:bookmarkEnd w:id="127"/>
      <w:bookmarkStart w:id="128" w:name="_Toc184314454"/>
      <w:bookmarkEnd w:id="128"/>
      <w:bookmarkStart w:id="129" w:name="_Toc184308092"/>
      <w:bookmarkEnd w:id="129"/>
      <w:bookmarkStart w:id="130" w:name="_Toc184308065"/>
      <w:bookmarkEnd w:id="130"/>
      <w:bookmarkStart w:id="131" w:name="_Toc184310289"/>
      <w:bookmarkEnd w:id="131"/>
      <w:bookmarkStart w:id="132" w:name="_Toc184314469"/>
      <w:bookmarkEnd w:id="132"/>
      <w:bookmarkStart w:id="133" w:name="_Toc184314439"/>
      <w:bookmarkEnd w:id="133"/>
      <w:bookmarkStart w:id="134" w:name="_Toc184314446"/>
      <w:bookmarkEnd w:id="134"/>
      <w:bookmarkStart w:id="135" w:name="_Toc184312076"/>
      <w:bookmarkEnd w:id="135"/>
      <w:bookmarkStart w:id="136" w:name="_Toc184314471"/>
      <w:bookmarkEnd w:id="136"/>
      <w:bookmarkStart w:id="137" w:name="_Toc184308054"/>
      <w:bookmarkEnd w:id="137"/>
      <w:bookmarkStart w:id="138" w:name="_Toc184310275"/>
      <w:bookmarkEnd w:id="138"/>
      <w:bookmarkStart w:id="139" w:name="_Toc184314482"/>
      <w:bookmarkEnd w:id="139"/>
      <w:bookmarkStart w:id="140" w:name="_Toc184310284"/>
      <w:bookmarkEnd w:id="140"/>
      <w:bookmarkStart w:id="141" w:name="_Toc184308047"/>
      <w:bookmarkEnd w:id="141"/>
      <w:bookmarkStart w:id="142" w:name="_Toc184310340"/>
      <w:bookmarkEnd w:id="142"/>
      <w:bookmarkStart w:id="143" w:name="_Toc184310277"/>
      <w:bookmarkEnd w:id="143"/>
      <w:bookmarkStart w:id="144" w:name="_Toc184313307"/>
      <w:bookmarkEnd w:id="144"/>
      <w:bookmarkStart w:id="145" w:name="_Toc184308076"/>
      <w:bookmarkEnd w:id="145"/>
      <w:bookmarkStart w:id="146" w:name="_Toc184312123"/>
      <w:bookmarkEnd w:id="146"/>
      <w:bookmarkStart w:id="147" w:name="_Toc184308055"/>
      <w:bookmarkEnd w:id="147"/>
      <w:bookmarkStart w:id="148" w:name="_Toc184314462"/>
      <w:bookmarkEnd w:id="148"/>
      <w:bookmarkStart w:id="149" w:name="_Toc184310288"/>
      <w:bookmarkEnd w:id="149"/>
      <w:bookmarkStart w:id="150" w:name="_Toc184308037"/>
      <w:bookmarkEnd w:id="150"/>
      <w:bookmarkStart w:id="151" w:name="_Toc184310309"/>
      <w:bookmarkEnd w:id="151"/>
      <w:bookmarkStart w:id="152" w:name="_Toc184314441"/>
      <w:bookmarkEnd w:id="152"/>
      <w:bookmarkStart w:id="153" w:name="_Toc184313279"/>
      <w:bookmarkEnd w:id="153"/>
      <w:bookmarkStart w:id="154" w:name="_Toc184312081"/>
      <w:bookmarkEnd w:id="154"/>
      <w:bookmarkStart w:id="155" w:name="_Toc184308067"/>
      <w:bookmarkEnd w:id="155"/>
      <w:bookmarkStart w:id="156" w:name="_Toc184310336"/>
      <w:bookmarkEnd w:id="156"/>
      <w:bookmarkStart w:id="157" w:name="_Toc184313260"/>
      <w:bookmarkEnd w:id="157"/>
      <w:bookmarkStart w:id="158" w:name="_Toc184310343"/>
      <w:bookmarkEnd w:id="158"/>
      <w:bookmarkStart w:id="159" w:name="_Toc184312093"/>
      <w:bookmarkEnd w:id="159"/>
      <w:bookmarkStart w:id="160" w:name="_Toc184310331"/>
      <w:bookmarkEnd w:id="160"/>
      <w:bookmarkStart w:id="161" w:name="_Toc184313247"/>
      <w:bookmarkEnd w:id="161"/>
      <w:bookmarkStart w:id="162" w:name="_Toc184314463"/>
      <w:bookmarkEnd w:id="162"/>
      <w:bookmarkStart w:id="163" w:name="_Toc184308053"/>
      <w:bookmarkEnd w:id="163"/>
      <w:bookmarkStart w:id="164" w:name="_Toc184308036"/>
      <w:bookmarkEnd w:id="164"/>
      <w:bookmarkStart w:id="165" w:name="_Toc184313255"/>
      <w:bookmarkEnd w:id="165"/>
      <w:bookmarkStart w:id="166" w:name="_Toc184313295"/>
      <w:bookmarkEnd w:id="166"/>
      <w:bookmarkStart w:id="167" w:name="_Toc184310310"/>
      <w:bookmarkEnd w:id="167"/>
      <w:bookmarkStart w:id="168" w:name="_Toc184310339"/>
      <w:bookmarkEnd w:id="168"/>
      <w:bookmarkStart w:id="169" w:name="_Toc184313293"/>
      <w:bookmarkEnd w:id="169"/>
      <w:bookmarkStart w:id="170" w:name="_Toc184308086"/>
      <w:bookmarkEnd w:id="170"/>
      <w:bookmarkStart w:id="171" w:name="_Toc184314428"/>
      <w:bookmarkEnd w:id="171"/>
      <w:bookmarkStart w:id="172" w:name="_Toc184312138"/>
      <w:bookmarkEnd w:id="172"/>
      <w:bookmarkStart w:id="173" w:name="_Toc184313253"/>
      <w:bookmarkEnd w:id="173"/>
      <w:bookmarkStart w:id="174" w:name="_Toc184308079"/>
      <w:bookmarkEnd w:id="174"/>
      <w:bookmarkStart w:id="175" w:name="_Toc184312108"/>
      <w:bookmarkEnd w:id="175"/>
      <w:bookmarkStart w:id="176" w:name="_Toc184310338"/>
      <w:bookmarkEnd w:id="176"/>
      <w:bookmarkStart w:id="177" w:name="_Toc184313264"/>
      <w:bookmarkEnd w:id="177"/>
      <w:bookmarkStart w:id="178" w:name="_Toc184314459"/>
      <w:bookmarkEnd w:id="178"/>
      <w:bookmarkStart w:id="179" w:name="_Toc184308041"/>
      <w:bookmarkEnd w:id="179"/>
      <w:bookmarkStart w:id="180" w:name="_Toc184314425"/>
      <w:bookmarkEnd w:id="180"/>
      <w:bookmarkStart w:id="181" w:name="_Toc184314440"/>
      <w:bookmarkEnd w:id="181"/>
      <w:bookmarkStart w:id="182" w:name="_Toc184312117"/>
      <w:bookmarkEnd w:id="182"/>
      <w:bookmarkStart w:id="183" w:name="_Toc184312114"/>
      <w:bookmarkEnd w:id="183"/>
      <w:bookmarkStart w:id="184" w:name="_Toc184308075"/>
      <w:bookmarkEnd w:id="184"/>
      <w:bookmarkStart w:id="185" w:name="_Toc184312077"/>
      <w:bookmarkEnd w:id="185"/>
      <w:bookmarkStart w:id="186" w:name="_Toc184313263"/>
      <w:bookmarkEnd w:id="186"/>
      <w:bookmarkStart w:id="187" w:name="_Toc184314447"/>
      <w:bookmarkEnd w:id="187"/>
      <w:bookmarkStart w:id="188" w:name="_Toc184313284"/>
      <w:bookmarkEnd w:id="188"/>
      <w:bookmarkStart w:id="189" w:name="_Toc184314477"/>
      <w:bookmarkEnd w:id="189"/>
      <w:bookmarkStart w:id="190" w:name="_Toc184314420"/>
      <w:bookmarkEnd w:id="190"/>
      <w:bookmarkStart w:id="191" w:name="_Toc184310344"/>
      <w:bookmarkEnd w:id="191"/>
      <w:bookmarkStart w:id="192" w:name="_Toc184310319"/>
      <w:bookmarkEnd w:id="192"/>
      <w:bookmarkStart w:id="193" w:name="_Toc184314470"/>
      <w:bookmarkEnd w:id="193"/>
      <w:bookmarkStart w:id="194" w:name="_Toc184313239"/>
      <w:bookmarkEnd w:id="194"/>
      <w:bookmarkStart w:id="195" w:name="_Toc184314442"/>
      <w:bookmarkEnd w:id="195"/>
      <w:bookmarkStart w:id="196" w:name="_Toc184313296"/>
      <w:bookmarkEnd w:id="196"/>
      <w:bookmarkStart w:id="197" w:name="_Toc184308108"/>
      <w:bookmarkEnd w:id="197"/>
      <w:bookmarkStart w:id="198" w:name="_Toc184308039"/>
      <w:bookmarkEnd w:id="198"/>
      <w:bookmarkStart w:id="199" w:name="_Toc184312125"/>
      <w:bookmarkEnd w:id="199"/>
      <w:bookmarkStart w:id="200" w:name="_Toc184313303"/>
      <w:bookmarkEnd w:id="200"/>
      <w:bookmarkStart w:id="201" w:name="_Toc184310314"/>
      <w:bookmarkEnd w:id="201"/>
      <w:bookmarkStart w:id="202" w:name="_Toc184314421"/>
      <w:bookmarkEnd w:id="202"/>
      <w:bookmarkStart w:id="203" w:name="_Toc184312122"/>
      <w:bookmarkEnd w:id="203"/>
      <w:bookmarkStart w:id="204" w:name="_Toc184308106"/>
      <w:bookmarkEnd w:id="204"/>
      <w:bookmarkStart w:id="205" w:name="_Toc184312133"/>
      <w:bookmarkEnd w:id="205"/>
      <w:bookmarkStart w:id="206" w:name="_Toc184312130"/>
      <w:bookmarkEnd w:id="206"/>
      <w:bookmarkStart w:id="207" w:name="_Toc184313292"/>
      <w:bookmarkEnd w:id="207"/>
      <w:bookmarkStart w:id="208" w:name="_Toc184312121"/>
      <w:bookmarkEnd w:id="208"/>
      <w:bookmarkStart w:id="209" w:name="_Toc184310291"/>
      <w:bookmarkEnd w:id="209"/>
      <w:bookmarkStart w:id="210" w:name="_Toc184312129"/>
      <w:bookmarkEnd w:id="210"/>
      <w:bookmarkStart w:id="211" w:name="_Toc184312128"/>
      <w:bookmarkEnd w:id="211"/>
      <w:bookmarkStart w:id="212" w:name="_Toc184312096"/>
      <w:bookmarkEnd w:id="212"/>
      <w:bookmarkStart w:id="213" w:name="_Toc184314450"/>
      <w:bookmarkEnd w:id="213"/>
      <w:bookmarkStart w:id="214" w:name="_Toc184314479"/>
      <w:bookmarkEnd w:id="214"/>
      <w:bookmarkStart w:id="215" w:name="_Toc184312068"/>
      <w:bookmarkEnd w:id="215"/>
      <w:bookmarkStart w:id="216" w:name="_Toc184308060"/>
      <w:bookmarkEnd w:id="216"/>
      <w:bookmarkStart w:id="217" w:name="_Toc184310327"/>
      <w:bookmarkEnd w:id="217"/>
      <w:bookmarkStart w:id="218" w:name="_Toc184312103"/>
      <w:bookmarkEnd w:id="218"/>
      <w:bookmarkStart w:id="219" w:name="_Toc184308102"/>
      <w:bookmarkEnd w:id="219"/>
      <w:bookmarkStart w:id="220" w:name="_Toc184308059"/>
      <w:bookmarkEnd w:id="220"/>
      <w:bookmarkStart w:id="221" w:name="_Toc184312107"/>
      <w:bookmarkEnd w:id="221"/>
      <w:bookmarkStart w:id="222" w:name="_Toc184313241"/>
      <w:bookmarkEnd w:id="222"/>
      <w:bookmarkStart w:id="223" w:name="_Toc184313251"/>
      <w:bookmarkEnd w:id="223"/>
      <w:bookmarkStart w:id="224" w:name="_Toc184312067"/>
      <w:bookmarkEnd w:id="224"/>
      <w:bookmarkStart w:id="225" w:name="_Toc184313257"/>
      <w:bookmarkEnd w:id="225"/>
      <w:bookmarkStart w:id="226" w:name="_Toc184308050"/>
      <w:bookmarkEnd w:id="226"/>
      <w:bookmarkStart w:id="227" w:name="_Toc184314414"/>
      <w:bookmarkEnd w:id="227"/>
      <w:bookmarkStart w:id="228" w:name="_Toc184310273"/>
      <w:bookmarkEnd w:id="228"/>
      <w:bookmarkStart w:id="229" w:name="_Toc184310287"/>
      <w:bookmarkEnd w:id="229"/>
      <w:bookmarkStart w:id="230" w:name="_Toc184308044"/>
      <w:bookmarkEnd w:id="230"/>
      <w:bookmarkStart w:id="231" w:name="_Toc184308061"/>
      <w:bookmarkEnd w:id="231"/>
      <w:bookmarkStart w:id="232" w:name="_Toc184314481"/>
      <w:bookmarkEnd w:id="232"/>
      <w:bookmarkStart w:id="233" w:name="_Toc184308068"/>
      <w:bookmarkEnd w:id="233"/>
      <w:bookmarkStart w:id="234" w:name="_Toc184308049"/>
      <w:bookmarkEnd w:id="234"/>
      <w:bookmarkStart w:id="235" w:name="_Toc184313245"/>
      <w:bookmarkEnd w:id="235"/>
      <w:bookmarkStart w:id="236" w:name="_Toc184313244"/>
      <w:bookmarkEnd w:id="236"/>
      <w:bookmarkStart w:id="237" w:name="_Toc184313276"/>
      <w:bookmarkEnd w:id="237"/>
      <w:bookmarkStart w:id="238" w:name="_Toc184313286"/>
      <w:bookmarkEnd w:id="238"/>
      <w:bookmarkStart w:id="239" w:name="_Toc184313262"/>
      <w:bookmarkEnd w:id="239"/>
      <w:bookmarkStart w:id="240" w:name="_Toc184313304"/>
      <w:bookmarkEnd w:id="240"/>
      <w:bookmarkStart w:id="241" w:name="_Toc184308043"/>
      <w:bookmarkEnd w:id="241"/>
      <w:bookmarkStart w:id="242" w:name="_Toc184313306"/>
      <w:bookmarkEnd w:id="242"/>
      <w:bookmarkStart w:id="243" w:name="_Toc184308091"/>
      <w:bookmarkEnd w:id="243"/>
      <w:bookmarkStart w:id="244" w:name="_Toc184313309"/>
      <w:bookmarkEnd w:id="244"/>
      <w:bookmarkStart w:id="245" w:name="_Toc184313274"/>
      <w:bookmarkEnd w:id="245"/>
      <w:bookmarkStart w:id="246" w:name="_Toc184312126"/>
      <w:bookmarkEnd w:id="246"/>
      <w:bookmarkStart w:id="247" w:name="_Toc184310325"/>
      <w:bookmarkEnd w:id="247"/>
      <w:bookmarkStart w:id="248" w:name="_Toc184310301"/>
      <w:bookmarkEnd w:id="248"/>
      <w:bookmarkStart w:id="249" w:name="_Toc184314426"/>
      <w:bookmarkEnd w:id="249"/>
      <w:bookmarkStart w:id="250" w:name="_Toc184313302"/>
      <w:bookmarkEnd w:id="250"/>
      <w:bookmarkStart w:id="251" w:name="_Toc184313300"/>
      <w:bookmarkEnd w:id="251"/>
      <w:bookmarkStart w:id="252" w:name="_Toc184308066"/>
      <w:bookmarkEnd w:id="252"/>
      <w:bookmarkStart w:id="253" w:name="_Toc184310334"/>
      <w:bookmarkEnd w:id="253"/>
      <w:bookmarkStart w:id="254" w:name="_Toc184312073"/>
      <w:bookmarkEnd w:id="254"/>
      <w:bookmarkStart w:id="255" w:name="_Toc184314429"/>
      <w:bookmarkEnd w:id="255"/>
      <w:bookmarkStart w:id="256" w:name="_Toc184308074"/>
      <w:bookmarkEnd w:id="256"/>
      <w:bookmarkStart w:id="257" w:name="_Toc184310323"/>
      <w:bookmarkEnd w:id="257"/>
      <w:bookmarkStart w:id="258" w:name="_Toc184312139"/>
      <w:bookmarkEnd w:id="258"/>
      <w:bookmarkStart w:id="259" w:name="_Toc184312091"/>
      <w:bookmarkEnd w:id="259"/>
      <w:bookmarkStart w:id="260" w:name="_Toc184308045"/>
      <w:bookmarkEnd w:id="260"/>
      <w:bookmarkStart w:id="261" w:name="_Toc184313298"/>
      <w:bookmarkEnd w:id="261"/>
      <w:bookmarkStart w:id="262" w:name="_Toc184312070"/>
      <w:bookmarkEnd w:id="262"/>
      <w:bookmarkStart w:id="263" w:name="_Toc184313294"/>
      <w:bookmarkEnd w:id="263"/>
      <w:bookmarkStart w:id="264" w:name="_Toc184314478"/>
      <w:bookmarkEnd w:id="264"/>
      <w:bookmarkStart w:id="265" w:name="_Toc184312090"/>
      <w:bookmarkEnd w:id="265"/>
      <w:bookmarkStart w:id="266" w:name="_Toc184312074"/>
      <w:bookmarkEnd w:id="266"/>
      <w:bookmarkStart w:id="267" w:name="_Toc184313275"/>
      <w:bookmarkEnd w:id="267"/>
      <w:bookmarkStart w:id="268" w:name="_Toc184314452"/>
      <w:bookmarkEnd w:id="268"/>
      <w:bookmarkStart w:id="269" w:name="_Toc184313305"/>
      <w:bookmarkEnd w:id="269"/>
      <w:bookmarkStart w:id="270" w:name="_Toc184310312"/>
      <w:bookmarkEnd w:id="270"/>
      <w:bookmarkStart w:id="271" w:name="_Toc184308078"/>
      <w:bookmarkEnd w:id="271"/>
      <w:bookmarkStart w:id="272" w:name="_Toc184310278"/>
      <w:bookmarkEnd w:id="272"/>
      <w:bookmarkStart w:id="273" w:name="_Toc184313265"/>
      <w:bookmarkEnd w:id="273"/>
      <w:bookmarkStart w:id="274" w:name="_Toc184314415"/>
      <w:bookmarkEnd w:id="274"/>
      <w:bookmarkStart w:id="275" w:name="_Toc184313250"/>
      <w:bookmarkEnd w:id="275"/>
      <w:bookmarkStart w:id="276" w:name="_Toc184314412"/>
      <w:bookmarkEnd w:id="276"/>
      <w:bookmarkStart w:id="277" w:name="_Toc184312069"/>
      <w:bookmarkEnd w:id="277"/>
      <w:bookmarkStart w:id="278" w:name="_Toc184313256"/>
      <w:bookmarkEnd w:id="278"/>
      <w:bookmarkStart w:id="279" w:name="_Toc184313270"/>
      <w:bookmarkEnd w:id="279"/>
      <w:bookmarkStart w:id="280" w:name="_Toc184312075"/>
      <w:bookmarkEnd w:id="280"/>
      <w:bookmarkStart w:id="281" w:name="_Toc184314472"/>
      <w:bookmarkEnd w:id="281"/>
      <w:bookmarkStart w:id="282" w:name="_Toc184310324"/>
      <w:bookmarkEnd w:id="282"/>
      <w:bookmarkStart w:id="283" w:name="_Toc184313261"/>
      <w:bookmarkEnd w:id="283"/>
      <w:bookmarkStart w:id="284" w:name="_Toc184314467"/>
      <w:bookmarkEnd w:id="284"/>
      <w:bookmarkStart w:id="285" w:name="_Toc184310329"/>
      <w:bookmarkEnd w:id="285"/>
      <w:bookmarkStart w:id="286" w:name="_Toc184314411"/>
      <w:bookmarkEnd w:id="286"/>
      <w:bookmarkStart w:id="287" w:name="_Toc184314432"/>
      <w:bookmarkEnd w:id="287"/>
      <w:bookmarkStart w:id="288" w:name="_Toc184310313"/>
      <w:bookmarkEnd w:id="288"/>
      <w:bookmarkStart w:id="289" w:name="_Toc184314465"/>
      <w:bookmarkEnd w:id="289"/>
      <w:bookmarkStart w:id="290" w:name="_Toc184310290"/>
      <w:bookmarkEnd w:id="290"/>
      <w:bookmarkStart w:id="291" w:name="_Toc184312104"/>
      <w:bookmarkEnd w:id="291"/>
      <w:bookmarkStart w:id="292" w:name="_Toc184312120"/>
      <w:bookmarkEnd w:id="292"/>
      <w:bookmarkStart w:id="293" w:name="_Toc184310276"/>
      <w:bookmarkEnd w:id="293"/>
      <w:bookmarkStart w:id="294" w:name="_Toc184313242"/>
      <w:bookmarkEnd w:id="294"/>
      <w:bookmarkStart w:id="295" w:name="_Toc184314468"/>
      <w:bookmarkEnd w:id="295"/>
      <w:bookmarkStart w:id="296" w:name="_Toc184314444"/>
      <w:bookmarkEnd w:id="296"/>
      <w:bookmarkStart w:id="297" w:name="_Toc184313254"/>
      <w:bookmarkEnd w:id="297"/>
      <w:bookmarkStart w:id="298" w:name="_Toc184312092"/>
      <w:bookmarkEnd w:id="298"/>
      <w:bookmarkStart w:id="299" w:name="_Toc184312136"/>
      <w:bookmarkEnd w:id="299"/>
      <w:bookmarkStart w:id="300" w:name="_Toc184314464"/>
      <w:bookmarkEnd w:id="300"/>
      <w:bookmarkStart w:id="301" w:name="_Toc184308077"/>
      <w:bookmarkEnd w:id="301"/>
      <w:bookmarkStart w:id="302" w:name="_Toc184310335"/>
      <w:bookmarkEnd w:id="302"/>
      <w:bookmarkStart w:id="303" w:name="_Toc184312134"/>
      <w:bookmarkEnd w:id="303"/>
      <w:bookmarkStart w:id="304" w:name="_Toc184310299"/>
      <w:bookmarkEnd w:id="304"/>
      <w:bookmarkStart w:id="305" w:name="_Toc184310274"/>
      <w:bookmarkEnd w:id="305"/>
      <w:bookmarkStart w:id="306" w:name="_Toc184314460"/>
      <w:bookmarkEnd w:id="306"/>
      <w:bookmarkStart w:id="307" w:name="_Toc184310295"/>
      <w:bookmarkEnd w:id="307"/>
      <w:bookmarkStart w:id="308" w:name="_Toc184314473"/>
      <w:bookmarkEnd w:id="308"/>
      <w:bookmarkStart w:id="309" w:name="_Toc184308085"/>
      <w:bookmarkEnd w:id="309"/>
      <w:bookmarkStart w:id="310" w:name="_Toc184313308"/>
      <w:bookmarkEnd w:id="310"/>
      <w:bookmarkStart w:id="311" w:name="_Toc184310294"/>
      <w:bookmarkEnd w:id="311"/>
      <w:bookmarkStart w:id="312" w:name="_Toc184314451"/>
      <w:bookmarkEnd w:id="312"/>
      <w:bookmarkStart w:id="313" w:name="_Toc184314443"/>
      <w:bookmarkEnd w:id="313"/>
      <w:bookmarkStart w:id="314" w:name="_Toc184308042"/>
      <w:bookmarkEnd w:id="314"/>
      <w:bookmarkStart w:id="315" w:name="_Toc184310328"/>
      <w:bookmarkEnd w:id="315"/>
      <w:bookmarkStart w:id="316" w:name="_Toc184313289"/>
      <w:bookmarkEnd w:id="316"/>
      <w:bookmarkStart w:id="317" w:name="_Toc184313268"/>
      <w:bookmarkEnd w:id="317"/>
      <w:bookmarkStart w:id="318" w:name="_Toc184308038"/>
      <w:bookmarkEnd w:id="318"/>
      <w:bookmarkStart w:id="319" w:name="_Toc184308090"/>
      <w:bookmarkEnd w:id="319"/>
      <w:bookmarkStart w:id="320" w:name="_Toc184313267"/>
      <w:bookmarkEnd w:id="320"/>
      <w:bookmarkStart w:id="321" w:name="_Toc184312078"/>
      <w:bookmarkEnd w:id="321"/>
      <w:bookmarkStart w:id="322" w:name="_Toc184314474"/>
      <w:bookmarkEnd w:id="322"/>
      <w:bookmarkStart w:id="323" w:name="_Toc184310330"/>
      <w:bookmarkEnd w:id="323"/>
      <w:bookmarkStart w:id="324" w:name="_Toc184314427"/>
      <w:bookmarkEnd w:id="324"/>
      <w:bookmarkStart w:id="325" w:name="_Toc184310320"/>
      <w:bookmarkEnd w:id="325"/>
      <w:bookmarkStart w:id="326" w:name="_Toc184314455"/>
      <w:bookmarkEnd w:id="326"/>
      <w:bookmarkStart w:id="327" w:name="_Toc184310300"/>
      <w:bookmarkEnd w:id="327"/>
      <w:bookmarkStart w:id="328" w:name="_Toc184310292"/>
      <w:bookmarkEnd w:id="328"/>
      <w:bookmarkStart w:id="329" w:name="_Toc184310321"/>
      <w:bookmarkEnd w:id="329"/>
      <w:bookmarkStart w:id="330" w:name="_Toc184312079"/>
      <w:bookmarkEnd w:id="330"/>
      <w:bookmarkStart w:id="331" w:name="_Toc184314466"/>
      <w:bookmarkEnd w:id="331"/>
      <w:bookmarkStart w:id="332" w:name="_Toc184308093"/>
      <w:bookmarkEnd w:id="332"/>
      <w:bookmarkStart w:id="333" w:name="_Toc184313246"/>
      <w:bookmarkEnd w:id="333"/>
      <w:bookmarkStart w:id="334" w:name="_Toc184310316"/>
      <w:bookmarkEnd w:id="334"/>
      <w:bookmarkStart w:id="335" w:name="_Toc184312101"/>
      <w:bookmarkEnd w:id="335"/>
      <w:bookmarkStart w:id="336" w:name="_Toc184312097"/>
      <w:bookmarkEnd w:id="336"/>
      <w:bookmarkStart w:id="337" w:name="_Toc184312094"/>
      <w:bookmarkEnd w:id="337"/>
      <w:bookmarkStart w:id="338" w:name="_Toc184310286"/>
      <w:bookmarkEnd w:id="338"/>
      <w:bookmarkStart w:id="339" w:name="_Toc184310311"/>
      <w:bookmarkEnd w:id="339"/>
      <w:bookmarkStart w:id="340" w:name="_Toc184308099"/>
      <w:bookmarkEnd w:id="340"/>
      <w:bookmarkStart w:id="341" w:name="_Toc184312071"/>
      <w:bookmarkEnd w:id="341"/>
      <w:bookmarkStart w:id="342" w:name="_Toc184314456"/>
      <w:bookmarkEnd w:id="342"/>
      <w:bookmarkStart w:id="343" w:name="_Toc184312086"/>
      <w:bookmarkEnd w:id="343"/>
      <w:bookmarkStart w:id="344" w:name="_Toc184308103"/>
      <w:bookmarkEnd w:id="344"/>
      <w:bookmarkStart w:id="345" w:name="_Toc184314458"/>
      <w:bookmarkEnd w:id="345"/>
      <w:bookmarkStart w:id="346" w:name="_Toc184312082"/>
      <w:bookmarkEnd w:id="346"/>
      <w:bookmarkStart w:id="347" w:name="_Toc184313249"/>
      <w:bookmarkEnd w:id="347"/>
      <w:bookmarkStart w:id="348" w:name="_Toc184310326"/>
      <w:bookmarkEnd w:id="348"/>
      <w:bookmarkStart w:id="349" w:name="_Toc184308100"/>
      <w:bookmarkEnd w:id="349"/>
      <w:bookmarkStart w:id="350" w:name="_Toc184314461"/>
      <w:bookmarkEnd w:id="350"/>
      <w:bookmarkStart w:id="351" w:name="_Toc184314476"/>
      <w:bookmarkEnd w:id="351"/>
      <w:bookmarkStart w:id="352" w:name="_Toc184313248"/>
      <w:bookmarkEnd w:id="352"/>
      <w:bookmarkStart w:id="353" w:name="_Toc184313281"/>
      <w:bookmarkEnd w:id="353"/>
      <w:bookmarkStart w:id="354" w:name="_Toc184313278"/>
      <w:bookmarkEnd w:id="354"/>
      <w:bookmarkStart w:id="355" w:name="_Toc184312084"/>
      <w:bookmarkEnd w:id="355"/>
      <w:bookmarkStart w:id="356" w:name="_Toc184308080"/>
      <w:bookmarkEnd w:id="356"/>
      <w:bookmarkStart w:id="357" w:name="_Toc184314449"/>
      <w:bookmarkEnd w:id="357"/>
      <w:bookmarkStart w:id="358" w:name="_Toc184310333"/>
      <w:bookmarkEnd w:id="358"/>
      <w:bookmarkStart w:id="359" w:name="_Toc184313243"/>
      <w:bookmarkEnd w:id="359"/>
      <w:bookmarkStart w:id="360" w:name="_Toc184312080"/>
      <w:bookmarkEnd w:id="360"/>
      <w:bookmarkStart w:id="361" w:name="_Toc184313297"/>
      <w:bookmarkEnd w:id="361"/>
      <w:bookmarkStart w:id="362" w:name="_Toc184314413"/>
      <w:bookmarkEnd w:id="362"/>
      <w:bookmarkStart w:id="363" w:name="_Toc184314433"/>
      <w:bookmarkEnd w:id="363"/>
      <w:bookmarkStart w:id="364" w:name="_Toc184310296"/>
      <w:bookmarkEnd w:id="364"/>
      <w:bookmarkStart w:id="365" w:name="_Toc184312137"/>
      <w:bookmarkEnd w:id="365"/>
      <w:bookmarkStart w:id="366" w:name="_Toc184314435"/>
      <w:bookmarkEnd w:id="366"/>
      <w:bookmarkStart w:id="367" w:name="_Toc184314410"/>
      <w:bookmarkEnd w:id="367"/>
      <w:bookmarkStart w:id="368" w:name="_Toc184313273"/>
      <w:bookmarkEnd w:id="368"/>
      <w:bookmarkStart w:id="369" w:name="_Toc184308082"/>
      <w:bookmarkEnd w:id="369"/>
      <w:bookmarkStart w:id="370" w:name="_Toc184308088"/>
      <w:bookmarkEnd w:id="370"/>
      <w:bookmarkStart w:id="371" w:name="_Toc184308056"/>
      <w:bookmarkEnd w:id="371"/>
      <w:bookmarkStart w:id="372" w:name="_Toc184314445"/>
      <w:bookmarkEnd w:id="372"/>
      <w:bookmarkStart w:id="373" w:name="_Toc184310293"/>
      <w:bookmarkEnd w:id="373"/>
      <w:bookmarkStart w:id="374" w:name="_Toc184312116"/>
      <w:bookmarkEnd w:id="374"/>
      <w:bookmarkStart w:id="375" w:name="_Toc184314431"/>
      <w:bookmarkEnd w:id="375"/>
      <w:bookmarkStart w:id="376" w:name="_Toc184313283"/>
      <w:bookmarkEnd w:id="376"/>
      <w:bookmarkStart w:id="377" w:name="_Toc184308062"/>
      <w:bookmarkEnd w:id="377"/>
      <w:bookmarkStart w:id="378" w:name="_Toc184313287"/>
      <w:bookmarkEnd w:id="378"/>
      <w:bookmarkStart w:id="379" w:name="_Toc184314437"/>
      <w:bookmarkEnd w:id="379"/>
      <w:bookmarkStart w:id="380" w:name="_Toc184308107"/>
      <w:bookmarkEnd w:id="380"/>
      <w:bookmarkStart w:id="381" w:name="_Toc184308084"/>
      <w:bookmarkEnd w:id="381"/>
      <w:bookmarkStart w:id="382" w:name="_Toc184310283"/>
      <w:bookmarkEnd w:id="382"/>
      <w:bookmarkStart w:id="383" w:name="_Toc184308051"/>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w:t>
      </w:r>
      <w:r>
        <w:rPr>
          <w:rFonts w:hint="eastAsia" w:ascii="宋体" w:hAnsi="宋体" w:cs="宋体"/>
          <w:kern w:val="0"/>
          <w:sz w:val="24"/>
          <w:highlight w:val="none"/>
        </w:rPr>
        <w:t>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w:t>
      </w:r>
      <w:r>
        <w:rPr>
          <w:rFonts w:hint="eastAsia" w:cs="仿宋" w:asciiTheme="minorEastAsia" w:hAnsiTheme="minorEastAsia"/>
          <w:sz w:val="24"/>
          <w:highlight w:val="none"/>
        </w:rPr>
        <w:t>报价由低到高的顺序提出成交候选人。</w:t>
      </w:r>
    </w:p>
    <w:p w14:paraId="73C25DB6">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w:t>
      </w:r>
      <w:r>
        <w:rPr>
          <w:rFonts w:hint="eastAsia"/>
          <w:color w:val="auto"/>
        </w:rPr>
        <w:t>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4"/>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2025年-2026年溴化锂溶液采购项目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316BCF0">
      <w:pPr>
        <w:pStyle w:val="7"/>
      </w:pPr>
    </w:p>
    <w:p w14:paraId="2B3CA980">
      <w:pPr>
        <w:pStyle w:val="8"/>
      </w:pPr>
    </w:p>
    <w:p w14:paraId="44B1FF18"/>
    <w:p w14:paraId="658CA697">
      <w:pPr>
        <w:pStyle w:val="7"/>
      </w:pPr>
    </w:p>
    <w:p w14:paraId="7A4CFC41">
      <w:pPr>
        <w:pStyle w:val="8"/>
      </w:pPr>
    </w:p>
    <w:p w14:paraId="4381DAB9"/>
    <w:p w14:paraId="6B1E3C88">
      <w:pPr>
        <w:pStyle w:val="7"/>
      </w:pPr>
    </w:p>
    <w:p w14:paraId="126960D3">
      <w:pPr>
        <w:pStyle w:val="8"/>
      </w:pPr>
    </w:p>
    <w:p w14:paraId="4422A319"/>
    <w:p w14:paraId="53FD5F88">
      <w:pPr>
        <w:pStyle w:val="7"/>
      </w:pPr>
    </w:p>
    <w:p w14:paraId="2A2E1A10">
      <w:pPr>
        <w:pStyle w:val="8"/>
      </w:pPr>
    </w:p>
    <w:p w14:paraId="1C4FCBC0"/>
    <w:p w14:paraId="65B8C7FD">
      <w:pPr>
        <w:pStyle w:val="7"/>
      </w:pPr>
    </w:p>
    <w:p w14:paraId="619FBA5B">
      <w:pPr>
        <w:pStyle w:val="8"/>
      </w:pPr>
    </w:p>
    <w:p w14:paraId="324A0C4F"/>
    <w:p w14:paraId="5B1A1CCA">
      <w:pPr>
        <w:pStyle w:val="7"/>
      </w:pPr>
    </w:p>
    <w:p w14:paraId="3D288F42">
      <w:pPr>
        <w:pStyle w:val="24"/>
        <w:ind w:left="0" w:leftChars="0" w:firstLine="0" w:firstLineChars="0"/>
        <w:rPr>
          <w:rFonts w:ascii="宋体" w:hAnsi="宋体" w:cs="宋体"/>
          <w:b/>
          <w:szCs w:val="24"/>
        </w:rPr>
      </w:pPr>
    </w:p>
    <w:p w14:paraId="7CD4026D">
      <w:pPr>
        <w:pStyle w:val="8"/>
        <w:jc w:val="center"/>
        <w:rPr>
          <w:rFonts w:eastAsia="宋体"/>
          <w:b/>
          <w:bCs/>
        </w:rPr>
      </w:pPr>
      <w:r>
        <w:rPr>
          <w:rFonts w:hint="eastAsia"/>
          <w:b/>
          <w:bCs/>
        </w:rPr>
        <w:t>目录</w:t>
      </w:r>
    </w:p>
    <w:p w14:paraId="56955BBE">
      <w:pPr>
        <w:pStyle w:val="10"/>
        <w:spacing w:line="360" w:lineRule="auto"/>
        <w:ind w:firstLine="240" w:firstLineChars="100"/>
      </w:pPr>
      <w:r>
        <w:rPr>
          <w:rFonts w:hint="eastAsia"/>
        </w:rPr>
        <w:t>第一章 合同书  ……………………………………………………………（页码）</w:t>
      </w:r>
    </w:p>
    <w:p w14:paraId="6FD81C29">
      <w:pPr>
        <w:pStyle w:val="10"/>
        <w:spacing w:line="360" w:lineRule="auto"/>
        <w:ind w:firstLine="240" w:firstLineChars="100"/>
      </w:pPr>
      <w:r>
        <w:rPr>
          <w:rFonts w:hint="eastAsia"/>
        </w:rPr>
        <w:t>第二章 合同一般条款………………………………………………………（页码）</w:t>
      </w:r>
    </w:p>
    <w:p w14:paraId="1738B855">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10"/>
        <w:spacing w:line="360" w:lineRule="auto"/>
        <w:ind w:firstLine="240" w:firstLineChars="100"/>
        <w:rPr>
          <w:rFonts w:hint="eastAsia"/>
        </w:rPr>
      </w:pPr>
    </w:p>
    <w:p w14:paraId="18A9CC3A">
      <w:pPr>
        <w:pStyle w:val="24"/>
        <w:rPr>
          <w:rFonts w:ascii="宋体" w:hAnsi="宋体" w:cs="宋体"/>
          <w:szCs w:val="24"/>
        </w:rPr>
      </w:pPr>
    </w:p>
    <w:p w14:paraId="5FD33660">
      <w:pPr>
        <w:pStyle w:val="10"/>
        <w:rPr>
          <w:rFonts w:cs="宋体"/>
        </w:rPr>
      </w:pPr>
    </w:p>
    <w:p w14:paraId="7020762C">
      <w:pPr>
        <w:pStyle w:val="10"/>
        <w:rPr>
          <w:rFonts w:cs="宋体"/>
        </w:rPr>
      </w:pPr>
    </w:p>
    <w:p w14:paraId="466048DE">
      <w:pPr>
        <w:pStyle w:val="10"/>
        <w:rPr>
          <w:rFonts w:cs="宋体"/>
        </w:rPr>
      </w:pPr>
    </w:p>
    <w:p w14:paraId="6BF7B1DE">
      <w:pPr>
        <w:pStyle w:val="10"/>
        <w:rPr>
          <w:rFonts w:cs="宋体"/>
        </w:rPr>
      </w:pPr>
    </w:p>
    <w:p w14:paraId="68404211">
      <w:pPr>
        <w:pStyle w:val="10"/>
        <w:rPr>
          <w:rFonts w:cs="宋体"/>
        </w:rPr>
      </w:pPr>
    </w:p>
    <w:p w14:paraId="5D5B25EF">
      <w:pPr>
        <w:pStyle w:val="10"/>
        <w:rPr>
          <w:rFonts w:cs="宋体"/>
        </w:rPr>
      </w:pPr>
    </w:p>
    <w:p w14:paraId="31AA09A7">
      <w:pPr>
        <w:pStyle w:val="10"/>
        <w:rPr>
          <w:rFonts w:cs="宋体"/>
        </w:rPr>
      </w:pPr>
    </w:p>
    <w:p w14:paraId="5509CFE2">
      <w:pPr>
        <w:pStyle w:val="10"/>
        <w:rPr>
          <w:rFonts w:cs="宋体"/>
        </w:rPr>
      </w:pPr>
    </w:p>
    <w:p w14:paraId="660AA390">
      <w:pPr>
        <w:pStyle w:val="10"/>
        <w:rPr>
          <w:rFonts w:cs="宋体"/>
        </w:rPr>
      </w:pPr>
    </w:p>
    <w:p w14:paraId="24DD81DE">
      <w:pPr>
        <w:pStyle w:val="10"/>
        <w:rPr>
          <w:rFonts w:cs="宋体"/>
        </w:rPr>
      </w:pPr>
    </w:p>
    <w:p w14:paraId="345E0CF0">
      <w:pPr>
        <w:pStyle w:val="10"/>
        <w:rPr>
          <w:rFonts w:cs="宋体"/>
        </w:rPr>
      </w:pPr>
    </w:p>
    <w:p w14:paraId="0395885A">
      <w:pPr>
        <w:pStyle w:val="10"/>
        <w:rPr>
          <w:rFonts w:cs="宋体"/>
        </w:rPr>
      </w:pPr>
    </w:p>
    <w:p w14:paraId="42E14A18">
      <w:pPr>
        <w:pStyle w:val="10"/>
        <w:rPr>
          <w:rFonts w:cs="宋体"/>
        </w:rPr>
      </w:pPr>
    </w:p>
    <w:p w14:paraId="3372767B">
      <w:pPr>
        <w:pStyle w:val="10"/>
        <w:rPr>
          <w:rFonts w:cs="宋体"/>
        </w:rPr>
      </w:pPr>
    </w:p>
    <w:p w14:paraId="1C76258A">
      <w:pPr>
        <w:pStyle w:val="10"/>
        <w:rPr>
          <w:rFonts w:cs="宋体"/>
        </w:rPr>
      </w:pPr>
    </w:p>
    <w:p w14:paraId="3D95B1B6">
      <w:pPr>
        <w:pStyle w:val="10"/>
        <w:rPr>
          <w:rFonts w:cs="宋体"/>
        </w:rPr>
      </w:pPr>
    </w:p>
    <w:p w14:paraId="707E492D">
      <w:pPr>
        <w:pStyle w:val="10"/>
        <w:rPr>
          <w:rFonts w:cs="宋体"/>
        </w:rPr>
      </w:pPr>
    </w:p>
    <w:p w14:paraId="412B9E0F">
      <w:pPr>
        <w:pStyle w:val="10"/>
        <w:rPr>
          <w:rFonts w:cs="宋体"/>
        </w:rPr>
      </w:pPr>
    </w:p>
    <w:p w14:paraId="6D286F51">
      <w:pPr>
        <w:pStyle w:val="10"/>
        <w:rPr>
          <w:rFonts w:cs="宋体"/>
        </w:rPr>
      </w:pPr>
    </w:p>
    <w:p w14:paraId="57B2D939">
      <w:pPr>
        <w:pStyle w:val="24"/>
        <w:ind w:left="0" w:leftChars="0" w:firstLine="0" w:firstLineChars="0"/>
        <w:jc w:val="both"/>
        <w:rPr>
          <w:rFonts w:ascii="宋体" w:hAnsi="宋体" w:cs="宋体"/>
          <w:b/>
          <w:szCs w:val="24"/>
        </w:rPr>
      </w:pPr>
    </w:p>
    <w:p w14:paraId="0B75F9D1">
      <w:pPr>
        <w:pStyle w:val="10"/>
      </w:pPr>
    </w:p>
    <w:p w14:paraId="563DBC59">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0E58319F">
      <w:pPr>
        <w:spacing w:line="360" w:lineRule="auto"/>
        <w:ind w:firstLine="480" w:firstLineChars="200"/>
        <w:rPr>
          <w:rFonts w:ascii="宋体" w:hAnsi="宋体" w:cs="宋体"/>
          <w:sz w:val="24"/>
        </w:rPr>
      </w:pPr>
      <w:bookmarkStart w:id="384" w:name="_Toc3029"/>
      <w:bookmarkStart w:id="385" w:name="_Toc2232"/>
      <w:bookmarkStart w:id="386" w:name="_Toc24059"/>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2025年-2026年溴化锂溶液采购项目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A671B03">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hint="eastAsia"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407EF23F">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38"/>
        <w:gridCol w:w="2066"/>
        <w:gridCol w:w="842"/>
        <w:gridCol w:w="1112"/>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138" w:type="dxa"/>
            <w:vAlign w:val="center"/>
          </w:tcPr>
          <w:p w14:paraId="497A0C60">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2066" w:type="dxa"/>
            <w:vAlign w:val="center"/>
          </w:tcPr>
          <w:p w14:paraId="212DE3CC">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42" w:type="dxa"/>
            <w:vAlign w:val="center"/>
          </w:tcPr>
          <w:p w14:paraId="0605CA4C">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112" w:type="dxa"/>
            <w:vAlign w:val="center"/>
          </w:tcPr>
          <w:p w14:paraId="6EF467BE">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588F16F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1CD19D3F">
            <w:pPr>
              <w:jc w:val="center"/>
              <w:rPr>
                <w:rFonts w:ascii="宋体" w:hAnsi="宋体" w:eastAsia="宋体" w:cs="宋体"/>
                <w:snapToGrid w:val="0"/>
                <w:szCs w:val="21"/>
              </w:rPr>
            </w:pPr>
            <w:r>
              <w:rPr>
                <w:rFonts w:hint="eastAsia" w:ascii="宋体" w:hAnsi="宋体" w:eastAsia="宋体" w:cs="宋体"/>
                <w:snapToGrid w:val="0"/>
                <w:szCs w:val="21"/>
              </w:rPr>
              <w:t>数量</w:t>
            </w:r>
          </w:p>
        </w:tc>
        <w:tc>
          <w:tcPr>
            <w:tcW w:w="1092" w:type="dxa"/>
            <w:vAlign w:val="center"/>
          </w:tcPr>
          <w:p w14:paraId="17F006DB">
            <w:pPr>
              <w:jc w:val="center"/>
              <w:rPr>
                <w:rFonts w:ascii="宋体" w:hAnsi="宋体" w:eastAsia="宋体" w:cs="宋体"/>
                <w:snapToGrid w:val="0"/>
                <w:szCs w:val="21"/>
              </w:rPr>
            </w:pPr>
            <w:r>
              <w:rPr>
                <w:rFonts w:hint="eastAsia" w:ascii="宋体" w:hAnsi="宋体" w:eastAsia="宋体" w:cs="宋体"/>
                <w:snapToGrid w:val="0"/>
                <w:szCs w:val="21"/>
              </w:rPr>
              <w:t>单价</w:t>
            </w:r>
          </w:p>
          <w:p w14:paraId="6E43777D">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5B2B625A">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138" w:type="dxa"/>
            <w:vAlign w:val="center"/>
          </w:tcPr>
          <w:p w14:paraId="2BA87EFB">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溴化锂溶液</w:t>
            </w:r>
          </w:p>
        </w:tc>
        <w:tc>
          <w:tcPr>
            <w:tcW w:w="2066" w:type="dxa"/>
            <w:vAlign w:val="center"/>
          </w:tcPr>
          <w:p w14:paraId="5F7C2B7C">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符合GB/T18431—2014的钼系列；溴化锂 LiBr纯度55%；无色透明</w:t>
            </w:r>
          </w:p>
        </w:tc>
        <w:tc>
          <w:tcPr>
            <w:tcW w:w="842" w:type="dxa"/>
            <w:vAlign w:val="center"/>
          </w:tcPr>
          <w:p w14:paraId="07D79B5A">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1112" w:type="dxa"/>
            <w:vAlign w:val="center"/>
          </w:tcPr>
          <w:p w14:paraId="260BE9DD">
            <w:pPr>
              <w:widowControl/>
              <w:jc w:val="center"/>
              <w:textAlignment w:val="center"/>
              <w:rPr>
                <w:rFonts w:ascii="宋体" w:hAnsi="宋体" w:eastAsia="宋体" w:cs="宋体"/>
                <w:snapToGrid w:val="0"/>
                <w:szCs w:val="21"/>
              </w:rPr>
            </w:pPr>
            <w:r>
              <w:rPr>
                <w:rFonts w:hint="eastAsia" w:ascii="宋体" w:hAnsi="宋体" w:eastAsia="宋体" w:cs="宋体"/>
                <w:snapToGrid w:val="0"/>
                <w:szCs w:val="21"/>
              </w:rPr>
              <w:t>桶装，100KG一桶</w:t>
            </w:r>
          </w:p>
        </w:tc>
        <w:tc>
          <w:tcPr>
            <w:tcW w:w="585" w:type="dxa"/>
            <w:vAlign w:val="center"/>
          </w:tcPr>
          <w:p w14:paraId="2E3C03E8">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千克</w:t>
            </w:r>
          </w:p>
        </w:tc>
        <w:tc>
          <w:tcPr>
            <w:tcW w:w="840" w:type="dxa"/>
            <w:vAlign w:val="center"/>
          </w:tcPr>
          <w:p w14:paraId="7363C0A5">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1100</w:t>
            </w:r>
          </w:p>
        </w:tc>
        <w:tc>
          <w:tcPr>
            <w:tcW w:w="1092" w:type="dxa"/>
            <w:vAlign w:val="center"/>
          </w:tcPr>
          <w:p w14:paraId="092D5B1A">
            <w:pPr>
              <w:widowControl/>
              <w:jc w:val="center"/>
              <w:textAlignment w:val="center"/>
              <w:rPr>
                <w:rFonts w:ascii="宋体" w:hAnsi="宋体" w:eastAsia="宋体" w:cs="宋体"/>
                <w:color w:val="000000"/>
                <w:kern w:val="0"/>
                <w:szCs w:val="21"/>
                <w:lang w:bidi="ar"/>
              </w:rPr>
            </w:pPr>
          </w:p>
        </w:tc>
        <w:tc>
          <w:tcPr>
            <w:tcW w:w="840" w:type="dxa"/>
            <w:vAlign w:val="center"/>
          </w:tcPr>
          <w:p w14:paraId="07619DCD">
            <w:pPr>
              <w:widowControl/>
              <w:jc w:val="center"/>
              <w:textAlignment w:val="center"/>
              <w:rPr>
                <w:rFonts w:ascii="宋体" w:hAnsi="宋体" w:eastAsia="宋体" w:cs="宋体"/>
                <w:color w:val="000000"/>
                <w:kern w:val="0"/>
                <w:szCs w:val="21"/>
                <w:lang w:bidi="ar"/>
              </w:rPr>
            </w:pPr>
          </w:p>
        </w:tc>
      </w:tr>
    </w:tbl>
    <w:p w14:paraId="4DF80B04">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14:paraId="5EF02E0C">
      <w:pPr>
        <w:spacing w:line="360" w:lineRule="auto"/>
        <w:ind w:firstLine="480" w:firstLineChars="200"/>
        <w:rPr>
          <w:rFonts w:ascii="宋体" w:hAnsi="宋体" w:cs="宋体"/>
          <w:sz w:val="24"/>
          <w:u w:val="non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u w:val="none"/>
        </w:rPr>
        <w:t>；</w:t>
      </w:r>
    </w:p>
    <w:p w14:paraId="6A478E77">
      <w:pPr>
        <w:spacing w:line="360" w:lineRule="auto"/>
        <w:ind w:firstLine="480" w:firstLineChars="200"/>
        <w:rPr>
          <w:rFonts w:ascii="宋体" w:hAnsi="宋体" w:cs="宋体"/>
          <w:sz w:val="24"/>
          <w:u w:val="none"/>
        </w:rPr>
      </w:pPr>
      <w:r>
        <w:rPr>
          <w:rFonts w:hint="eastAsia" w:ascii="宋体" w:hAnsi="宋体" w:cs="宋体"/>
          <w:sz w:val="24"/>
          <w:u w:val="none"/>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5"/>
        <w:spacing w:before="0" w:beforeAutospacing="0" w:after="0" w:afterAutospacing="0" w:line="360" w:lineRule="auto"/>
        <w:ind w:firstLine="480"/>
        <w:rPr>
          <w:b/>
        </w:rPr>
      </w:pPr>
      <w:r>
        <w:rPr>
          <w:rFonts w:hint="eastAsia"/>
          <w:b/>
        </w:rPr>
        <w:t>四、技术和质量要求</w:t>
      </w:r>
    </w:p>
    <w:p w14:paraId="6F5531DB">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1B52069C">
      <w:pPr>
        <w:pStyle w:val="7"/>
        <w:ind w:firstLine="480" w:firstLineChars="200"/>
        <w:rPr>
          <w:rFonts w:hint="default" w:ascii="宋体"/>
          <w:color w:val="auto"/>
          <w:highlight w:val="yellow"/>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strike w:val="0"/>
          <w:dstrike w:val="0"/>
          <w:color w:val="auto"/>
          <w:highlight w:val="none"/>
          <w:u w:val="single"/>
          <w:lang w:val="en-US" w:eastAsia="zh-CN"/>
        </w:rPr>
        <w:t>到货时，</w:t>
      </w:r>
      <w:r>
        <w:rPr>
          <w:rFonts w:hint="eastAsia" w:ascii="宋体" w:hAnsi="宋体" w:eastAsia="宋体" w:cs="宋体"/>
          <w:snapToGrid w:val="0"/>
          <w:color w:val="auto"/>
          <w:szCs w:val="21"/>
          <w:u w:val="single"/>
          <w:lang w:val="en-US" w:eastAsia="zh-CN"/>
        </w:rPr>
        <w:t>溴化锂溶液</w:t>
      </w:r>
      <w:r>
        <w:rPr>
          <w:rFonts w:hint="eastAsia"/>
          <w:strike w:val="0"/>
          <w:dstrike w:val="0"/>
          <w:color w:val="auto"/>
          <w:highlight w:val="none"/>
          <w:u w:val="single"/>
          <w:lang w:val="en-US" w:eastAsia="zh-CN"/>
        </w:rPr>
        <w:t>保质期应不少于12个月。</w:t>
      </w:r>
    </w:p>
    <w:p w14:paraId="79CA3429">
      <w:pPr>
        <w:pStyle w:val="7"/>
        <w:ind w:firstLine="480" w:firstLineChars="200"/>
        <w:rPr>
          <w:highlight w:val="yellow"/>
          <w:lang w:val="en-US"/>
        </w:rPr>
      </w:pPr>
      <w:r>
        <w:rPr>
          <w:rFonts w:hint="eastAsia" w:cs="Arial"/>
          <w:snapToGrid w:val="0"/>
          <w:color w:val="auto"/>
          <w:kern w:val="2"/>
          <w:sz w:val="24"/>
          <w:szCs w:val="21"/>
          <w:lang w:val="en-US" w:eastAsia="zh-CN" w:bidi="ar-SA"/>
        </w:rPr>
        <w:t>3.</w:t>
      </w:r>
      <w:r>
        <w:rPr>
          <w:rFonts w:hint="eastAsia"/>
          <w:lang w:val="en-US" w:eastAsia="zh-CN"/>
        </w:rPr>
        <w:t>货物包装应符合国家相关标准规定，货物外包装上应有生产厂名、产品名称、商标、净质量、批号或生产日期、标准编号等信息</w:t>
      </w:r>
      <w:r>
        <w:rPr>
          <w:rFonts w:hint="eastAsia" w:cs="Arial"/>
          <w:snapToGrid w:val="0"/>
          <w:color w:val="auto"/>
          <w:kern w:val="2"/>
          <w:sz w:val="24"/>
          <w:szCs w:val="21"/>
          <w:lang w:val="en-US" w:eastAsia="zh-CN" w:bidi="ar-SA"/>
        </w:rPr>
        <w:t>。</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eastAsia" w:eastAsiaTheme="minorEastAsia"/>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single"/>
          <w:lang w:eastAsia="zh-CN"/>
        </w:rPr>
        <w:t>。</w:t>
      </w:r>
    </w:p>
    <w:p w14:paraId="3E790589">
      <w:pPr>
        <w:pStyle w:val="7"/>
        <w:ind w:firstLine="480" w:firstLineChars="200"/>
        <w:rPr>
          <w:u w:val="none"/>
          <w:lang w:val="en-US"/>
        </w:rPr>
      </w:pPr>
      <w:r>
        <w:rPr>
          <w:rFonts w:hint="eastAsia"/>
          <w:u w:val="none"/>
          <w:lang w:val="en-US" w:eastAsia="zh-CN"/>
        </w:rPr>
        <w:t>2.装卸货要求：</w:t>
      </w:r>
      <w:r>
        <w:rPr>
          <w:rFonts w:hint="eastAsia"/>
          <w:color w:val="auto"/>
          <w:u w:val="none"/>
          <w:lang w:val="en-US" w:eastAsia="zh-CN"/>
        </w:rPr>
        <w:t>将货物运达甲方指定交货地点后及时通知甲方，</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由乙方承担，甲方可免费提供叉车服务。</w:t>
      </w:r>
    </w:p>
    <w:p w14:paraId="43EB108F">
      <w:pPr>
        <w:pStyle w:val="7"/>
        <w:ind w:firstLine="480" w:firstLineChars="200"/>
        <w:rPr>
          <w:u w:val="none"/>
          <w:lang w:val="en-US"/>
        </w:rPr>
      </w:pPr>
      <w:r>
        <w:rPr>
          <w:rFonts w:hint="eastAsia"/>
          <w:u w:val="none"/>
          <w:lang w:val="en-US" w:eastAsia="zh-CN"/>
        </w:rPr>
        <w:t>3</w:t>
      </w:r>
      <w:r>
        <w:rPr>
          <w:rFonts w:hint="eastAsia"/>
          <w:u w:val="none"/>
          <w:lang w:val="en-US"/>
        </w:rPr>
        <w:t>.乙方必须满足甲方售后服务要求。</w:t>
      </w:r>
      <w:r>
        <w:rPr>
          <w:rFonts w:hint="eastAsia"/>
          <w:highlight w:val="none"/>
          <w:u w:val="none"/>
          <w:lang w:val="en-US" w:eastAsia="zh-CN"/>
        </w:rPr>
        <w:t>在货物验收合格入库后，乙方依然承担质量责任，</w:t>
      </w:r>
      <w:r>
        <w:rPr>
          <w:rFonts w:hint="eastAsia"/>
          <w:highlight w:val="none"/>
          <w:u w:val="none"/>
          <w:lang w:val="en-US"/>
        </w:rPr>
        <w:t>如使用过程发生问题，乙方须在接到甲方通知后必须</w:t>
      </w:r>
      <w:r>
        <w:rPr>
          <w:rFonts w:hint="eastAsia"/>
          <w:highlight w:val="none"/>
          <w:lang w:val="en-US" w:eastAsia="zh-CN"/>
        </w:rPr>
        <w:t>24</w:t>
      </w:r>
      <w:r>
        <w:rPr>
          <w:rFonts w:hint="eastAsia"/>
          <w:highlight w:val="none"/>
          <w:lang w:val="en-US"/>
        </w:rPr>
        <w:t>小时</w:t>
      </w:r>
      <w:r>
        <w:rPr>
          <w:rFonts w:hint="eastAsia"/>
          <w:highlight w:val="none"/>
          <w:u w:val="none"/>
          <w:lang w:val="en-US"/>
        </w:rPr>
        <w:t>内赶到现场进行处理，</w:t>
      </w:r>
      <w:r>
        <w:rPr>
          <w:rFonts w:hint="eastAsia"/>
          <w:highlight w:val="none"/>
          <w:lang w:val="en-US" w:eastAsia="zh-CN"/>
        </w:rPr>
        <w:t>8</w:t>
      </w:r>
      <w:r>
        <w:rPr>
          <w:rFonts w:hint="eastAsia"/>
          <w:highlight w:val="none"/>
          <w:lang w:val="en-US"/>
        </w:rPr>
        <w:t>小时</w:t>
      </w:r>
      <w:r>
        <w:rPr>
          <w:rFonts w:hint="eastAsia"/>
          <w:highlight w:val="none"/>
          <w:u w:val="none"/>
          <w:lang w:val="en-US"/>
        </w:rPr>
        <w:t>内做出书面答复并提供解决方案。若需要派遣技术人员，则应在接到甲方通知后,</w:t>
      </w:r>
      <w:r>
        <w:rPr>
          <w:rFonts w:hint="eastAsia"/>
          <w:highlight w:val="none"/>
          <w:lang w:val="en-US"/>
        </w:rPr>
        <w:t>24小时</w:t>
      </w:r>
      <w:r>
        <w:rPr>
          <w:rFonts w:hint="eastAsia"/>
          <w:highlight w:val="none"/>
          <w:u w:val="none"/>
          <w:lang w:val="en-US"/>
        </w:rPr>
        <w:t>内派人员到达现场进行免费指导解决问题。</w:t>
      </w:r>
    </w:p>
    <w:p w14:paraId="2FD0EB2B">
      <w:pPr>
        <w:pStyle w:val="7"/>
        <w:ind w:firstLine="480" w:firstLineChars="200"/>
        <w:rPr>
          <w:u w:val="none"/>
          <w:lang w:val="en-US"/>
        </w:rPr>
      </w:pPr>
      <w:r>
        <w:rPr>
          <w:rFonts w:hint="eastAsia"/>
          <w:u w:val="none"/>
          <w:lang w:val="en-US" w:eastAsia="zh-CN"/>
        </w:rPr>
        <w:t>4</w:t>
      </w:r>
      <w:r>
        <w:rPr>
          <w:rFonts w:hint="eastAsia"/>
          <w:u w:val="none"/>
          <w:lang w:val="en-US"/>
        </w:rPr>
        <w:t>.甲方不再对任何售后服务进行付费。乙方的派遣人员产生的一切费用由</w:t>
      </w:r>
      <w:r>
        <w:rPr>
          <w:rFonts w:hint="eastAsia"/>
          <w:u w:val="none"/>
          <w:lang w:val="en-US" w:eastAsia="zh-CN"/>
        </w:rPr>
        <w:t>乙方</w:t>
      </w:r>
      <w:r>
        <w:rPr>
          <w:rFonts w:hint="eastAsia"/>
          <w:u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highlight w:val="none"/>
          <w:u w:val="none"/>
          <w:lang w:val="en-US" w:eastAsia="zh-CN"/>
        </w:rPr>
      </w:pPr>
      <w:r>
        <w:rPr>
          <w:rFonts w:hint="eastAsia" w:ascii="宋体" w:hAnsi="宋体" w:cs="宋体"/>
          <w:sz w:val="24"/>
          <w:highlight w:val="none"/>
        </w:rPr>
        <w:t>1.货物交付前，乙方应对货物的质量、数量等方面进行详细、全面的检验，</w:t>
      </w:r>
      <w:r>
        <w:rPr>
          <w:rFonts w:hint="eastAsia" w:hAnsi="宋体" w:cs="宋体"/>
          <w:sz w:val="24"/>
          <w:highlight w:val="none"/>
          <w:lang w:val="en-US" w:eastAsia="zh-CN"/>
        </w:rPr>
        <w:t>按甲方要求填制送货清单</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hAnsi="宋体" w:cs="宋体"/>
          <w:sz w:val="24"/>
          <w:highlight w:val="none"/>
          <w:lang w:val="en-US" w:eastAsia="zh-CN"/>
        </w:rPr>
        <w:t>验收人员</w:t>
      </w:r>
      <w:r>
        <w:rPr>
          <w:rFonts w:hint="eastAsia" w:ascii="宋体" w:hAnsi="宋体" w:cs="宋体"/>
          <w:b/>
          <w:bCs/>
          <w:sz w:val="24"/>
          <w:highlight w:val="none"/>
          <w:u w:val="none"/>
        </w:rPr>
        <w:t>出具证明货物符合合同约定的文件</w:t>
      </w:r>
      <w:r>
        <w:rPr>
          <w:rFonts w:hint="eastAsia" w:hAnsi="宋体" w:cs="宋体"/>
          <w:sz w:val="24"/>
          <w:highlight w:val="none"/>
          <w:u w:val="none"/>
          <w:lang w:eastAsia="zh-CN"/>
        </w:rPr>
        <w:t>，</w:t>
      </w:r>
      <w:r>
        <w:rPr>
          <w:rFonts w:hint="eastAsia"/>
          <w:b/>
          <w:bCs/>
          <w:color w:val="auto"/>
          <w:highlight w:val="none"/>
          <w:u w:val="none"/>
          <w:lang w:val="en-US" w:eastAsia="zh-CN"/>
        </w:rPr>
        <w:t>并加盖公章或者销售章</w:t>
      </w:r>
      <w:r>
        <w:rPr>
          <w:rFonts w:hint="eastAsia"/>
          <w:highlight w:val="none"/>
          <w:u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明货物符合合同约定的文件包括但不限于合格证、检</w:t>
      </w:r>
      <w:r>
        <w:rPr>
          <w:rFonts w:hint="eastAsia" w:ascii="宋体" w:hAnsi="宋体" w:eastAsia="宋体" w:cs="宋体"/>
          <w:sz w:val="24"/>
          <w:highlight w:val="none"/>
          <w:lang w:val="en-US" w:eastAsia="zh-CN"/>
        </w:rPr>
        <w:t>验</w:t>
      </w:r>
      <w:r>
        <w:rPr>
          <w:rFonts w:hint="eastAsia" w:ascii="宋体" w:hAnsi="宋体" w:eastAsia="宋体" w:cs="宋体"/>
          <w:sz w:val="24"/>
          <w:highlight w:val="none"/>
        </w:rPr>
        <w:t>报告（制造厂家或者第三方机构）、质量承诺（格式自拟）等证明材料。</w:t>
      </w:r>
    </w:p>
    <w:p w14:paraId="1D723867">
      <w:pPr>
        <w:tabs>
          <w:tab w:val="left" w:pos="360"/>
          <w:tab w:val="left" w:pos="540"/>
          <w:tab w:val="left" w:pos="1080"/>
        </w:tabs>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2.送货的验收数量以扣除包装物重量后的净重为准。甲方随机抽取称重，若称重后净重少于标识重量，按实际称重结算。</w:t>
      </w:r>
    </w:p>
    <w:p w14:paraId="6ECD0836">
      <w:pPr>
        <w:pStyle w:val="8"/>
        <w:ind w:left="0" w:leftChars="0" w:firstLine="482" w:firstLineChars="200"/>
        <w:rPr>
          <w:rFonts w:hint="eastAsia" w:ascii="宋体" w:hAnsi="宋体" w:cs="宋体"/>
          <w:b/>
          <w:bCs/>
          <w:sz w:val="24"/>
          <w:highlight w:val="none"/>
        </w:rPr>
      </w:pPr>
      <w:r>
        <w:rPr>
          <w:rFonts w:hint="eastAsia"/>
          <w:b/>
          <w:bCs/>
          <w:highlight w:val="none"/>
          <w:lang w:val="en-US" w:eastAsia="zh-CN"/>
        </w:rPr>
        <w:t>3.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40D02F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A671961">
      <w:pPr>
        <w:spacing w:line="360" w:lineRule="auto"/>
        <w:ind w:firstLine="482" w:firstLineChars="200"/>
        <w:outlineLvl w:val="0"/>
        <w:rPr>
          <w:rFonts w:hint="eastAsia" w:ascii="宋体" w:hAnsi="宋体" w:cs="宋体"/>
          <w:b/>
          <w:bCs/>
          <w:kern w:val="0"/>
          <w:sz w:val="24"/>
          <w:lang w:val="en-US" w:eastAsia="zh-CN"/>
        </w:rPr>
      </w:pPr>
      <w:r>
        <w:rPr>
          <w:rFonts w:hint="eastAsia" w:ascii="宋体" w:hAnsi="宋体" w:cs="宋体"/>
          <w:b/>
          <w:bCs/>
          <w:kern w:val="0"/>
          <w:sz w:val="24"/>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0A05555F">
      <w:pPr>
        <w:numPr>
          <w:ilvl w:val="0"/>
          <w:numId w:val="0"/>
        </w:numPr>
        <w:spacing w:line="360" w:lineRule="auto"/>
        <w:ind w:leftChars="228"/>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spacing w:line="360" w:lineRule="auto"/>
        <w:ind w:firstLine="480" w:firstLineChars="200"/>
        <w:outlineLvl w:val="0"/>
        <w:rPr>
          <w:rFonts w:hint="default" w:ascii="宋体" w:hAnsi="宋体" w:cs="宋体"/>
          <w:kern w:val="0"/>
          <w:sz w:val="24"/>
          <w:u w:val="single"/>
        </w:rPr>
      </w:pPr>
      <w:r>
        <w:rPr>
          <w:rFonts w:ascii="宋体" w:hAnsi="宋体" w:cs="宋体"/>
          <w:kern w:val="0"/>
          <w:sz w:val="24"/>
          <w:u w:val="none"/>
        </w:rPr>
        <w:t>5</w:t>
      </w:r>
      <w:r>
        <w:rPr>
          <w:rFonts w:hint="eastAsia" w:ascii="宋体" w:hAnsi="宋体" w:cs="宋体"/>
          <w:kern w:val="0"/>
          <w:sz w:val="24"/>
          <w:u w:val="none"/>
        </w:rPr>
        <w:t>.甲方在</w:t>
      </w:r>
      <w:r>
        <w:rPr>
          <w:rFonts w:hint="eastAsia" w:ascii="宋体" w:hAnsi="宋体" w:cs="宋体"/>
          <w:kern w:val="0"/>
          <w:sz w:val="24"/>
          <w:u w:val="none"/>
          <w:lang w:val="en-US" w:eastAsia="zh-CN"/>
        </w:rPr>
        <w:t>本</w:t>
      </w:r>
      <w:r>
        <w:rPr>
          <w:rFonts w:hint="eastAsia" w:ascii="宋体" w:hAnsi="宋体" w:cs="宋体"/>
          <w:color w:val="auto"/>
          <w:kern w:val="0"/>
          <w:sz w:val="24"/>
          <w:u w:val="single"/>
          <w:lang w:val="en-US" w:eastAsia="zh-CN"/>
        </w:rPr>
        <w:t>合同</w:t>
      </w:r>
      <w:r>
        <w:rPr>
          <w:rFonts w:hint="eastAsia" w:ascii="宋体" w:hAnsi="宋体" w:cs="宋体"/>
          <w:color w:val="auto"/>
          <w:kern w:val="0"/>
          <w:sz w:val="24"/>
          <w:highlight w:val="none"/>
          <w:u w:val="single"/>
          <w:lang w:val="en-US" w:eastAsia="zh-CN"/>
        </w:rPr>
        <w:t>结束</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30个工作日内将履约保证金</w:t>
      </w:r>
      <w:r>
        <w:rPr>
          <w:rFonts w:hint="eastAsia" w:ascii="宋体" w:hAnsi="宋体" w:cs="宋体"/>
          <w:kern w:val="0"/>
          <w:sz w:val="24"/>
          <w:highlight w:val="none"/>
          <w:u w:val="none"/>
          <w:lang w:val="en-US" w:eastAsia="zh-CN"/>
        </w:rPr>
        <w:t>余额</w:t>
      </w:r>
      <w:r>
        <w:rPr>
          <w:rFonts w:hint="eastAsia" w:ascii="宋体" w:hAnsi="宋体" w:cs="宋体"/>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单方面直接解除合同并罚没全部保证金（或要求乙方承担相当于合同暂定总价的5%的违约金）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rPr>
        <w:t>。</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454220AD">
      <w:pPr>
        <w:tabs>
          <w:tab w:val="left" w:pos="360"/>
          <w:tab w:val="left" w:pos="540"/>
          <w:tab w:val="left" w:pos="1080"/>
        </w:tabs>
        <w:spacing w:line="360" w:lineRule="auto"/>
        <w:ind w:firstLine="480" w:firstLineChars="200"/>
        <w:rPr>
          <w:rFonts w:hint="default" w:ascii="宋体" w:hAnsi="宋体" w:cs="宋体" w:eastAsiaTheme="minorEastAsia"/>
          <w:sz w:val="24"/>
          <w:u w:val="none"/>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lang w:val="en-US" w:eastAsia="zh-CN"/>
        </w:rPr>
        <w:t>甲方自</w:t>
      </w:r>
      <w:r>
        <w:rPr>
          <w:rFonts w:hint="eastAsia" w:ascii="宋体" w:hAnsi="宋体" w:cs="宋体"/>
          <w:sz w:val="24"/>
          <w:u w:val="none"/>
          <w:lang w:val="en-US" w:eastAsia="zh-CN"/>
        </w:rPr>
        <w:t>检结果不满足合同要求，乙方需在</w:t>
      </w:r>
      <w:r>
        <w:rPr>
          <w:rFonts w:hint="eastAsia" w:ascii="宋体" w:hAnsi="宋体" w:cs="宋体"/>
          <w:sz w:val="24"/>
          <w:u w:val="single"/>
          <w:lang w:val="en-US" w:eastAsia="zh-CN"/>
        </w:rPr>
        <w:t>24小时</w:t>
      </w:r>
      <w:r>
        <w:rPr>
          <w:rFonts w:hint="eastAsia" w:ascii="宋体" w:hAnsi="宋体" w:cs="宋体"/>
          <w:sz w:val="24"/>
          <w:u w:val="none"/>
          <w:lang w:val="en-US" w:eastAsia="zh-CN"/>
        </w:rPr>
        <w:t>内免费无条件退换货，满足退换货要求的，不追究乙方违约责任。</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但第三方检测结果中主要参数验收不合格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但第三方检测结果中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LG溴化锂机组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u w:val="single"/>
        </w:rPr>
        <w:t>）</w:t>
      </w:r>
      <w:r>
        <w:rPr>
          <w:rFonts w:hint="eastAsia" w:ascii="宋体" w:hAnsi="宋体" w:cs="宋体"/>
          <w:color w:val="auto"/>
          <w:sz w:val="24"/>
          <w:highlight w:val="none"/>
          <w:u w:val="single"/>
        </w:rPr>
        <w:t>30%的</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金。经双方同意延期的情形不在此列。</w:t>
      </w:r>
    </w:p>
    <w:p w14:paraId="328E71F3">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A818E8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64104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23EB3BF4">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4"/>
        <w:ind w:left="0" w:leftChars="0" w:firstLine="0" w:firstLineChars="0"/>
        <w:rPr>
          <w:rFonts w:ascii="宋体" w:hAnsi="宋体" w:cs="宋体"/>
          <w:b/>
          <w:szCs w:val="24"/>
        </w:rPr>
      </w:pPr>
    </w:p>
    <w:p w14:paraId="7ED2248F">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25"/>
      <w:bookmarkStart w:id="409" w:name="_Toc28763"/>
      <w:bookmarkStart w:id="410" w:name="_Ref467378404"/>
      <w:bookmarkStart w:id="411" w:name="_Ref467379214"/>
      <w:bookmarkStart w:id="412" w:name="_Toc487900349"/>
      <w:bookmarkStart w:id="413" w:name="_Ref467378463"/>
      <w:bookmarkStart w:id="414" w:name="_Ref467379101"/>
      <w:bookmarkStart w:id="415" w:name="_Ref467378499"/>
      <w:bookmarkStart w:id="416" w:name="_Toc16917"/>
      <w:bookmarkStart w:id="417" w:name="_Ref467379094"/>
      <w:bookmarkStart w:id="418" w:name="_Ref467379109"/>
      <w:bookmarkStart w:id="419" w:name="_Ref467379195"/>
      <w:bookmarkStart w:id="420" w:name="_Toc19614"/>
      <w:bookmarkStart w:id="421" w:name="_Ref467379205"/>
      <w:bookmarkStart w:id="422" w:name="_Toc25909366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79701241"/>
      <w:bookmarkStart w:id="428" w:name="_Toc32504"/>
      <w:bookmarkStart w:id="429" w:name="_Toc487900350"/>
      <w:bookmarkStart w:id="430" w:name="_Toc27635"/>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9829"/>
      <w:bookmarkStart w:id="434" w:name="_Toc27853"/>
      <w:bookmarkStart w:id="435" w:name="_Toc487900351"/>
      <w:bookmarkStart w:id="436" w:name="_Toc259093671"/>
      <w:bookmarkStart w:id="437" w:name="_Toc279701242"/>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487900358"/>
      <w:bookmarkStart w:id="454" w:name="_Toc279701248"/>
      <w:bookmarkStart w:id="455" w:name="_Ref467379863"/>
      <w:bookmarkStart w:id="456" w:name="_Ref467379852"/>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10366"/>
      <w:bookmarkStart w:id="474" w:name="_Toc487900369"/>
      <w:bookmarkStart w:id="475" w:name="_Toc259093688"/>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同的权利义务依法不得转让，</w:t>
      </w:r>
      <w:r>
        <w:rPr>
          <w:rFonts w:hint="eastAsia" w:ascii="宋体" w:hAnsi="宋体"/>
          <w:sz w:val="24"/>
          <w:lang w:val="en-US" w:eastAsia="zh-CN"/>
        </w:rPr>
        <w:t>特殊情况双方另行协商</w:t>
      </w:r>
      <w:r>
        <w:rPr>
          <w:rFonts w:hint="eastAsia" w:ascii="宋体" w:hAnsi="宋体" w:cs="宋体"/>
          <w:sz w:val="24"/>
        </w:rPr>
        <w:t>。</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279701255"/>
      <w:bookmarkStart w:id="483" w:name="_Toc487900365"/>
      <w:bookmarkStart w:id="484" w:name="_Toc6969"/>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487900368"/>
      <w:bookmarkStart w:id="489" w:name="_Toc16959"/>
      <w:bookmarkStart w:id="490" w:name="_Toc27970125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53211A3C">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355"/>
      <w:bookmarkStart w:id="505" w:name="_Toc18540"/>
      <w:bookmarkStart w:id="506" w:name="_Toc279701262"/>
      <w:bookmarkStart w:id="507" w:name="_Toc487900372"/>
      <w:bookmarkStart w:id="508" w:name="_Toc259093691"/>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79701263"/>
      <w:bookmarkStart w:id="511" w:name="_Toc259093692"/>
      <w:bookmarkStart w:id="512" w:name="_Toc12773"/>
      <w:bookmarkStart w:id="513" w:name="_Toc48790037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799"/>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4799"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99"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99"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99"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99"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99"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27"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99"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376F541E">
      <w:pPr>
        <w:pStyle w:val="24"/>
        <w:spacing w:line="560" w:lineRule="exact"/>
        <w:ind w:left="0" w:leftChars="0" w:firstLine="0" w:firstLineChars="0"/>
        <w:jc w:val="center"/>
        <w:rPr>
          <w:rFonts w:ascii="宋体" w:hAnsi="宋体"/>
          <w:b/>
          <w:szCs w:val="24"/>
        </w:rPr>
      </w:pPr>
      <w:r>
        <w:rPr>
          <w:rFonts w:hint="eastAsia" w:ascii="宋体" w:hAnsi="宋体" w:cs="宋体"/>
          <w:kern w:val="0"/>
        </w:rPr>
        <w:br w:type="page"/>
      </w: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0"/>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5B94AC49"/>
    <w:p w14:paraId="212A53FC"/>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2025年-2026年溴化锂溶液采购项目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202504019</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8"/>
      </w:pPr>
    </w:p>
    <w:p w14:paraId="6B732297"/>
    <w:p w14:paraId="331BDF6A">
      <w:pPr>
        <w:pStyle w:val="7"/>
      </w:pPr>
    </w:p>
    <w:p w14:paraId="653829AB">
      <w:pPr>
        <w:pStyle w:val="8"/>
      </w:pPr>
    </w:p>
    <w:p w14:paraId="13702602"/>
    <w:p w14:paraId="193DA332">
      <w:pPr>
        <w:pStyle w:val="7"/>
      </w:pPr>
    </w:p>
    <w:p w14:paraId="2FC68D1D">
      <w:pPr>
        <w:pStyle w:val="8"/>
      </w:pPr>
    </w:p>
    <w:p w14:paraId="1E7D41D8"/>
    <w:p w14:paraId="0B2DBFD6">
      <w:pPr>
        <w:pStyle w:val="7"/>
      </w:pPr>
    </w:p>
    <w:p w14:paraId="6FA95176">
      <w:pPr>
        <w:pStyle w:val="8"/>
      </w:pPr>
    </w:p>
    <w:p w14:paraId="65D298D1">
      <w:pPr>
        <w:pStyle w:val="9"/>
      </w:pPr>
    </w:p>
    <w:p w14:paraId="4C43C777"/>
    <w:p w14:paraId="5AB883BB"/>
    <w:p w14:paraId="5F36394A"/>
    <w:p w14:paraId="2C8E3E17"/>
    <w:p w14:paraId="1E29E49E"/>
    <w:p w14:paraId="30B20B66">
      <w:pPr>
        <w:pStyle w:val="7"/>
      </w:pPr>
    </w:p>
    <w:p w14:paraId="25762352">
      <w:pPr>
        <w:pStyle w:val="8"/>
      </w:pPr>
    </w:p>
    <w:p w14:paraId="5A590BC0"/>
    <w:p w14:paraId="53C7C0DB">
      <w:pPr>
        <w:pStyle w:val="7"/>
      </w:pPr>
    </w:p>
    <w:p w14:paraId="4F915C3A">
      <w:pPr>
        <w:pStyle w:val="8"/>
      </w:pPr>
    </w:p>
    <w:p w14:paraId="3AC9F638">
      <w:pPr>
        <w:pStyle w:val="9"/>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8"/>
      </w:pPr>
    </w:p>
    <w:p w14:paraId="32D92D93"/>
    <w:p w14:paraId="21F07E84">
      <w:pPr>
        <w:pStyle w:val="7"/>
      </w:pPr>
    </w:p>
    <w:p w14:paraId="26E50E1C">
      <w:pPr>
        <w:pStyle w:val="8"/>
      </w:pPr>
    </w:p>
    <w:p w14:paraId="63ED5F2D"/>
    <w:p w14:paraId="4744CB19">
      <w:pPr>
        <w:pStyle w:val="7"/>
      </w:pPr>
    </w:p>
    <w:p w14:paraId="08D596A0">
      <w:pPr>
        <w:pStyle w:val="8"/>
      </w:pPr>
    </w:p>
    <w:p w14:paraId="594551C6"/>
    <w:p w14:paraId="672027BB">
      <w:pPr>
        <w:pStyle w:val="14"/>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3F847349"/>
    <w:p w14:paraId="0C27A501">
      <w:pPr>
        <w:pStyle w:val="7"/>
      </w:pPr>
    </w:p>
    <w:p w14:paraId="30ECC10F">
      <w:pPr>
        <w:pStyle w:val="8"/>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8"/>
      </w:pPr>
    </w:p>
    <w:p w14:paraId="3F8CAF64"/>
    <w:p w14:paraId="7AC5CC7D">
      <w:pPr>
        <w:pStyle w:val="7"/>
      </w:pPr>
    </w:p>
    <w:p w14:paraId="764F6707">
      <w:pPr>
        <w:pStyle w:val="8"/>
      </w:pPr>
    </w:p>
    <w:p w14:paraId="2D6DDF6E"/>
    <w:p w14:paraId="5C5B213C">
      <w:pPr>
        <w:pStyle w:val="7"/>
      </w:pPr>
    </w:p>
    <w:p w14:paraId="3B2195A4">
      <w:pPr>
        <w:pStyle w:val="8"/>
      </w:pPr>
    </w:p>
    <w:p w14:paraId="7AD3CA32"/>
    <w:p w14:paraId="02BA273D">
      <w:pPr>
        <w:pStyle w:val="7"/>
      </w:pPr>
    </w:p>
    <w:p w14:paraId="16A0B7F5">
      <w:pPr>
        <w:pStyle w:val="8"/>
      </w:pPr>
    </w:p>
    <w:p w14:paraId="1AFC3120"/>
    <w:p w14:paraId="43E3F283">
      <w:pPr>
        <w:pStyle w:val="7"/>
      </w:pPr>
    </w:p>
    <w:p w14:paraId="7DC08AEC">
      <w:pPr>
        <w:pStyle w:val="8"/>
      </w:pPr>
    </w:p>
    <w:p w14:paraId="18D3DB94"/>
    <w:p w14:paraId="3B9546A4">
      <w:pPr>
        <w:pStyle w:val="7"/>
      </w:pPr>
    </w:p>
    <w:p w14:paraId="2CBB9D14">
      <w:pPr>
        <w:pStyle w:val="7"/>
      </w:pPr>
    </w:p>
    <w:p w14:paraId="317FC9E7">
      <w:pPr>
        <w:pStyle w:val="8"/>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8"/>
      </w:pPr>
    </w:p>
    <w:p w14:paraId="1A2E8DD5"/>
    <w:p w14:paraId="210A8F52">
      <w:pPr>
        <w:pStyle w:val="7"/>
      </w:pPr>
    </w:p>
    <w:p w14:paraId="6D6F5712">
      <w:pPr>
        <w:pStyle w:val="8"/>
      </w:pPr>
    </w:p>
    <w:p w14:paraId="086B93DF"/>
    <w:p w14:paraId="4592615A">
      <w:pPr>
        <w:pStyle w:val="7"/>
      </w:pPr>
    </w:p>
    <w:p w14:paraId="7427FE09">
      <w:pPr>
        <w:pStyle w:val="8"/>
      </w:pPr>
    </w:p>
    <w:p w14:paraId="5E6040BE"/>
    <w:p w14:paraId="68B2145C">
      <w:pPr>
        <w:pStyle w:val="7"/>
      </w:pPr>
    </w:p>
    <w:p w14:paraId="5A7C2A70">
      <w:pPr>
        <w:pStyle w:val="8"/>
      </w:pPr>
    </w:p>
    <w:p w14:paraId="5E37B237"/>
    <w:p w14:paraId="154C73FF">
      <w:pPr>
        <w:pStyle w:val="7"/>
      </w:pPr>
    </w:p>
    <w:p w14:paraId="0674AE80">
      <w:pPr>
        <w:pStyle w:val="8"/>
      </w:pPr>
    </w:p>
    <w:p w14:paraId="6339BE2C"/>
    <w:p w14:paraId="6BCD0F54">
      <w:pPr>
        <w:pStyle w:val="7"/>
      </w:pPr>
    </w:p>
    <w:p w14:paraId="1F6E8CDC">
      <w:pPr>
        <w:pStyle w:val="8"/>
      </w:pPr>
    </w:p>
    <w:p w14:paraId="311BD0AC"/>
    <w:p w14:paraId="25BD0831">
      <w:pPr>
        <w:pStyle w:val="7"/>
      </w:pPr>
    </w:p>
    <w:p w14:paraId="4811A9DB">
      <w:pPr>
        <w:pStyle w:val="8"/>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8"/>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202504019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8"/>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8"/>
      </w:pPr>
    </w:p>
    <w:p w14:paraId="1AE843EF"/>
    <w:p w14:paraId="1432541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7"/>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7"/>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4"/>
        <w:rPr>
          <w:lang w:val="zh-CN"/>
        </w:rPr>
      </w:pPr>
    </w:p>
    <w:p w14:paraId="5DC48946">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35"/>
        <w:gridCol w:w="866"/>
        <w:gridCol w:w="4234"/>
        <w:gridCol w:w="727"/>
        <w:gridCol w:w="808"/>
        <w:gridCol w:w="1338"/>
        <w:gridCol w:w="1258"/>
        <w:gridCol w:w="2041"/>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3C9A90F0">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335" w:type="dxa"/>
            <w:vAlign w:val="center"/>
          </w:tcPr>
          <w:p w14:paraId="04CBDC53">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66" w:type="dxa"/>
            <w:vAlign w:val="center"/>
          </w:tcPr>
          <w:p w14:paraId="249FDAD6">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4234" w:type="dxa"/>
            <w:vAlign w:val="center"/>
          </w:tcPr>
          <w:p w14:paraId="6C0C1063">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27" w:type="dxa"/>
            <w:vAlign w:val="center"/>
          </w:tcPr>
          <w:p w14:paraId="65FB4980">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08" w:type="dxa"/>
            <w:vAlign w:val="center"/>
          </w:tcPr>
          <w:p w14:paraId="3A5A63A4">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338" w:type="dxa"/>
            <w:vAlign w:val="center"/>
          </w:tcPr>
          <w:p w14:paraId="2D07EC4B">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58" w:type="dxa"/>
            <w:vAlign w:val="center"/>
          </w:tcPr>
          <w:p w14:paraId="6249D2C3">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041" w:type="dxa"/>
            <w:vAlign w:val="center"/>
          </w:tcPr>
          <w:p w14:paraId="3763BB98">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3F2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5288E766">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335" w:type="dxa"/>
            <w:vAlign w:val="center"/>
          </w:tcPr>
          <w:p w14:paraId="54EE956C">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溴化锂溶液</w:t>
            </w:r>
          </w:p>
        </w:tc>
        <w:tc>
          <w:tcPr>
            <w:tcW w:w="866" w:type="dxa"/>
            <w:vAlign w:val="center"/>
          </w:tcPr>
          <w:p w14:paraId="0B160514">
            <w:pPr>
              <w:spacing w:line="360" w:lineRule="auto"/>
              <w:jc w:val="center"/>
              <w:rPr>
                <w:rFonts w:hint="eastAsia"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w:t>
            </w:r>
          </w:p>
        </w:tc>
        <w:tc>
          <w:tcPr>
            <w:tcW w:w="4234" w:type="dxa"/>
            <w:vAlign w:val="center"/>
          </w:tcPr>
          <w:p w14:paraId="73A81237">
            <w:pPr>
              <w:spacing w:line="360" w:lineRule="auto"/>
              <w:jc w:val="center"/>
              <w:rPr>
                <w:rFonts w:cs="仿宋" w:asciiTheme="minorEastAsia" w:hAnsiTheme="minorEastAsia"/>
                <w:b/>
                <w:sz w:val="24"/>
              </w:rPr>
            </w:pPr>
            <w:r>
              <w:rPr>
                <w:rFonts w:hint="eastAsia" w:cs="仿宋" w:asciiTheme="minorEastAsia" w:hAnsiTheme="minorEastAsia"/>
                <w:b/>
                <w:sz w:val="24"/>
              </w:rPr>
              <w:t>符合GB/T18431—2014的钼</w:t>
            </w:r>
            <w:bookmarkStart w:id="517" w:name="_GoBack"/>
            <w:bookmarkEnd w:id="517"/>
            <w:r>
              <w:rPr>
                <w:rFonts w:hint="eastAsia" w:cs="仿宋" w:asciiTheme="minorEastAsia" w:hAnsiTheme="minorEastAsia"/>
                <w:b/>
                <w:sz w:val="24"/>
              </w:rPr>
              <w:t>系列；溴化锂 LiBr纯度55%；无色透明</w:t>
            </w:r>
          </w:p>
        </w:tc>
        <w:tc>
          <w:tcPr>
            <w:tcW w:w="727" w:type="dxa"/>
            <w:vAlign w:val="center"/>
          </w:tcPr>
          <w:p w14:paraId="13BE4755">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1100</w:t>
            </w:r>
          </w:p>
        </w:tc>
        <w:tc>
          <w:tcPr>
            <w:tcW w:w="808" w:type="dxa"/>
            <w:vAlign w:val="center"/>
          </w:tcPr>
          <w:p w14:paraId="48E721BF">
            <w:pPr>
              <w:spacing w:line="360" w:lineRule="auto"/>
              <w:jc w:val="center"/>
              <w:rPr>
                <w:rFonts w:hint="default" w:cs="仿宋" w:asciiTheme="minorEastAsia" w:hAnsiTheme="minorEastAsia" w:eastAsiaTheme="minorEastAsia"/>
                <w:b/>
                <w:sz w:val="24"/>
                <w:lang w:val="en-US" w:eastAsia="zh-CN"/>
              </w:rPr>
            </w:pPr>
            <w:r>
              <w:rPr>
                <w:rFonts w:hint="eastAsia" w:cs="仿宋" w:asciiTheme="minorEastAsia" w:hAnsiTheme="minorEastAsia"/>
                <w:b/>
                <w:sz w:val="24"/>
                <w:lang w:val="en-US" w:eastAsia="zh-CN"/>
              </w:rPr>
              <w:t>千克</w:t>
            </w:r>
          </w:p>
        </w:tc>
        <w:tc>
          <w:tcPr>
            <w:tcW w:w="1338" w:type="dxa"/>
            <w:vAlign w:val="center"/>
          </w:tcPr>
          <w:p w14:paraId="5BD22612">
            <w:pPr>
              <w:spacing w:line="360" w:lineRule="auto"/>
              <w:jc w:val="center"/>
              <w:rPr>
                <w:rFonts w:cs="仿宋" w:asciiTheme="minorEastAsia" w:hAnsiTheme="minorEastAsia"/>
                <w:b/>
                <w:sz w:val="24"/>
              </w:rPr>
            </w:pPr>
          </w:p>
        </w:tc>
        <w:tc>
          <w:tcPr>
            <w:tcW w:w="1258" w:type="dxa"/>
            <w:vAlign w:val="center"/>
          </w:tcPr>
          <w:p w14:paraId="28042162">
            <w:pPr>
              <w:spacing w:line="360" w:lineRule="auto"/>
              <w:jc w:val="center"/>
              <w:rPr>
                <w:rFonts w:cs="仿宋" w:asciiTheme="minorEastAsia" w:hAnsiTheme="minorEastAsia"/>
                <w:b/>
                <w:sz w:val="24"/>
              </w:rPr>
            </w:pPr>
          </w:p>
        </w:tc>
        <w:tc>
          <w:tcPr>
            <w:tcW w:w="2041" w:type="dxa"/>
            <w:vAlign w:val="center"/>
          </w:tcPr>
          <w:p w14:paraId="63BF3EC3">
            <w:pPr>
              <w:spacing w:line="360" w:lineRule="auto"/>
              <w:jc w:val="center"/>
              <w:rPr>
                <w:rFonts w:cs="仿宋" w:asciiTheme="minorEastAsia" w:hAnsiTheme="minorEastAsia"/>
                <w:b/>
                <w:sz w:val="24"/>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27C0C03">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406" w:type="dxa"/>
            <w:gridSpan w:val="6"/>
            <w:vAlign w:val="center"/>
          </w:tcPr>
          <w:p w14:paraId="4E3323F6">
            <w:pPr>
              <w:spacing w:line="360" w:lineRule="auto"/>
              <w:jc w:val="center"/>
              <w:rPr>
                <w:rFonts w:cs="仿宋" w:asciiTheme="minorEastAsia" w:hAnsiTheme="minorEastAsia"/>
                <w:sz w:val="24"/>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05BE843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406" w:type="dxa"/>
            <w:gridSpan w:val="6"/>
            <w:vAlign w:val="center"/>
          </w:tcPr>
          <w:p w14:paraId="3C803A03">
            <w:pPr>
              <w:spacing w:line="360" w:lineRule="auto"/>
              <w:jc w:val="center"/>
              <w:rPr>
                <w:rFonts w:cs="仿宋" w:asciiTheme="minorEastAsia" w:hAnsiTheme="minorEastAsia"/>
                <w:sz w:val="24"/>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35" w:type="dxa"/>
            <w:gridSpan w:val="3"/>
            <w:vAlign w:val="center"/>
          </w:tcPr>
          <w:p w14:paraId="3CDBD626">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406" w:type="dxa"/>
            <w:gridSpan w:val="6"/>
            <w:vAlign w:val="center"/>
          </w:tcPr>
          <w:p w14:paraId="2C3E0AB3">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pPr>
    </w:p>
    <w:p w14:paraId="0668503D">
      <w:pPr>
        <w:pStyle w:val="8"/>
      </w:pPr>
    </w:p>
    <w:p w14:paraId="295C6E12"/>
    <w:p w14:paraId="01F8B0C6">
      <w:pPr>
        <w:pStyle w:val="7"/>
      </w:pPr>
    </w:p>
    <w:p w14:paraId="4F7EC614">
      <w:pPr>
        <w:pStyle w:val="8"/>
      </w:pPr>
    </w:p>
    <w:p w14:paraId="63C46C1D"/>
    <w:p w14:paraId="74308628">
      <w:pPr>
        <w:pStyle w:val="7"/>
      </w:pPr>
    </w:p>
    <w:p w14:paraId="0FF170E4">
      <w:pPr>
        <w:pStyle w:val="8"/>
      </w:pPr>
    </w:p>
    <w:p w14:paraId="06D0818B"/>
    <w:p w14:paraId="1BBDA18A">
      <w:pPr>
        <w:pStyle w:val="7"/>
      </w:pPr>
    </w:p>
    <w:p w14:paraId="7F3E4E30">
      <w:pPr>
        <w:sectPr>
          <w:pgSz w:w="16838" w:h="11906" w:orient="landscape"/>
          <w:pgMar w:top="1803" w:right="1440" w:bottom="1803" w:left="1440" w:header="851" w:footer="992" w:gutter="0"/>
          <w:cols w:space="0" w:num="1"/>
          <w:docGrid w:type="lines" w:linePitch="319" w:charSpace="0"/>
        </w:sectPr>
      </w:pPr>
    </w:p>
    <w:p w14:paraId="6B9ADB03">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2729D0FF">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1"/>
        <w:rPr>
          <w:rFonts w:hint="eastAsia" w:hAnsi="宋体" w:cs="宋体"/>
          <w:b/>
          <w:bCs/>
          <w:sz w:val="24"/>
        </w:rPr>
      </w:pPr>
    </w:p>
    <w:p w14:paraId="5A6F46B5">
      <w:pPr>
        <w:pStyle w:val="11"/>
        <w:rPr>
          <w:rFonts w:hint="eastAsia" w:hAnsi="宋体" w:cs="宋体"/>
          <w:b/>
          <w:bCs/>
          <w:sz w:val="24"/>
        </w:rPr>
      </w:pPr>
    </w:p>
    <w:p w14:paraId="02740D7B">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4"/>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36AC986C">
      <w:pPr>
        <w:autoSpaceDE w:val="0"/>
        <w:autoSpaceDN w:val="0"/>
        <w:rPr>
          <w:rFonts w:hint="eastAsia" w:cs="仿宋" w:asciiTheme="minorEastAsia" w:hAnsiTheme="minorEastAsia"/>
          <w:b/>
          <w:spacing w:val="6"/>
          <w:sz w:val="32"/>
          <w:szCs w:val="32"/>
        </w:rPr>
      </w:pPr>
    </w:p>
    <w:p w14:paraId="58047561">
      <w:pPr>
        <w:autoSpaceDE w:val="0"/>
        <w:autoSpaceDN w:val="0"/>
        <w:rPr>
          <w:rFonts w:hint="eastAsia" w:cs="仿宋" w:asciiTheme="minorEastAsia" w:hAnsiTheme="minorEastAsia"/>
          <w:b/>
          <w:spacing w:val="6"/>
          <w:sz w:val="32"/>
          <w:szCs w:val="32"/>
        </w:rPr>
      </w:pPr>
    </w:p>
    <w:p w14:paraId="7E5ADC0F">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18A490C">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638463D6">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A463E02">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2025年-2026年溴化锂溶液采购项目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5F3450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17EE0BF8">
      <w:pPr>
        <w:spacing w:line="360" w:lineRule="auto"/>
        <w:ind w:firstLine="494"/>
        <w:rPr>
          <w:rFonts w:cs="仿宋" w:asciiTheme="minorEastAsia" w:hAnsiTheme="minorEastAsia"/>
          <w:sz w:val="24"/>
        </w:rPr>
      </w:pPr>
    </w:p>
    <w:p w14:paraId="56B34265">
      <w:pPr>
        <w:spacing w:line="360" w:lineRule="auto"/>
        <w:ind w:firstLine="494"/>
        <w:rPr>
          <w:rFonts w:cs="仿宋" w:asciiTheme="minorEastAsia" w:hAnsiTheme="minorEastAsia"/>
          <w:sz w:val="24"/>
        </w:rPr>
      </w:pPr>
    </w:p>
    <w:p w14:paraId="0D99CDCF">
      <w:pPr>
        <w:spacing w:line="360" w:lineRule="auto"/>
        <w:ind w:firstLine="494"/>
        <w:rPr>
          <w:rFonts w:cs="仿宋" w:asciiTheme="minorEastAsia" w:hAnsiTheme="minorEastAsia"/>
          <w:sz w:val="24"/>
        </w:rPr>
      </w:pPr>
    </w:p>
    <w:p w14:paraId="36E5E797">
      <w:pPr>
        <w:spacing w:line="360" w:lineRule="auto"/>
        <w:ind w:firstLine="494"/>
        <w:rPr>
          <w:rFonts w:cs="仿宋" w:asciiTheme="minorEastAsia" w:hAnsiTheme="minorEastAsia"/>
          <w:sz w:val="24"/>
        </w:rPr>
      </w:pPr>
    </w:p>
    <w:p w14:paraId="7AB232F4">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71080687">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697AE7FA">
      <w:pPr>
        <w:rPr>
          <w:rFonts w:cs="仿宋" w:asciiTheme="minorEastAsia" w:hAnsiTheme="minorEastAsia"/>
          <w:sz w:val="24"/>
        </w:rPr>
      </w:pPr>
      <w:r>
        <w:rPr>
          <w:rFonts w:hint="eastAsia" w:cs="仿宋" w:asciiTheme="minorEastAsia" w:hAnsiTheme="minorEastAsia"/>
          <w:b/>
          <w:bCs/>
          <w:sz w:val="24"/>
        </w:rPr>
        <w:t>附：</w:t>
      </w:r>
    </w:p>
    <w:p w14:paraId="464F84F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ABE7071">
      <w:pPr>
        <w:autoSpaceDE w:val="0"/>
        <w:autoSpaceDN w:val="0"/>
        <w:jc w:val="center"/>
        <w:rPr>
          <w:rFonts w:cs="仿宋" w:asciiTheme="minorEastAsia" w:hAnsiTheme="minorEastAsia"/>
          <w:b/>
          <w:spacing w:val="6"/>
          <w:sz w:val="32"/>
          <w:szCs w:val="32"/>
        </w:rPr>
      </w:pPr>
    </w:p>
    <w:p w14:paraId="4A7E1C83">
      <w:pPr>
        <w:autoSpaceDE w:val="0"/>
        <w:autoSpaceDN w:val="0"/>
        <w:jc w:val="center"/>
        <w:rPr>
          <w:rFonts w:cs="仿宋" w:asciiTheme="minorEastAsia" w:hAnsiTheme="minorEastAsia"/>
          <w:b/>
          <w:spacing w:val="6"/>
          <w:sz w:val="32"/>
          <w:szCs w:val="32"/>
        </w:rPr>
      </w:pPr>
    </w:p>
    <w:p w14:paraId="08D8C16F">
      <w:pPr>
        <w:autoSpaceDE w:val="0"/>
        <w:autoSpaceDN w:val="0"/>
        <w:jc w:val="center"/>
        <w:rPr>
          <w:rFonts w:cs="仿宋" w:asciiTheme="minorEastAsia" w:hAnsiTheme="minorEastAsia"/>
          <w:b/>
          <w:spacing w:val="6"/>
          <w:sz w:val="32"/>
          <w:szCs w:val="32"/>
        </w:rPr>
      </w:pPr>
    </w:p>
    <w:p w14:paraId="7966D76C">
      <w:pPr>
        <w:autoSpaceDE w:val="0"/>
        <w:autoSpaceDN w:val="0"/>
        <w:jc w:val="center"/>
        <w:rPr>
          <w:rFonts w:cs="仿宋" w:asciiTheme="minorEastAsia" w:hAnsiTheme="minorEastAsia"/>
          <w:b/>
          <w:spacing w:val="6"/>
          <w:sz w:val="32"/>
          <w:szCs w:val="32"/>
        </w:rPr>
      </w:pPr>
    </w:p>
    <w:p w14:paraId="3CC6D3AE">
      <w:pPr>
        <w:autoSpaceDE w:val="0"/>
        <w:autoSpaceDN w:val="0"/>
        <w:jc w:val="center"/>
        <w:rPr>
          <w:rFonts w:cs="仿宋" w:asciiTheme="minorEastAsia" w:hAnsiTheme="minorEastAsia"/>
          <w:b/>
          <w:spacing w:val="6"/>
          <w:sz w:val="32"/>
          <w:szCs w:val="32"/>
        </w:rPr>
      </w:pPr>
    </w:p>
    <w:p w14:paraId="3923172D">
      <w:pPr>
        <w:autoSpaceDE w:val="0"/>
        <w:autoSpaceDN w:val="0"/>
        <w:jc w:val="center"/>
        <w:rPr>
          <w:rFonts w:cs="仿宋" w:asciiTheme="minorEastAsia" w:hAnsiTheme="minorEastAsia"/>
          <w:b/>
          <w:spacing w:val="6"/>
          <w:sz w:val="32"/>
          <w:szCs w:val="32"/>
        </w:rPr>
      </w:pPr>
    </w:p>
    <w:p w14:paraId="35EEFCAA">
      <w:pPr>
        <w:autoSpaceDE w:val="0"/>
        <w:autoSpaceDN w:val="0"/>
        <w:jc w:val="center"/>
        <w:rPr>
          <w:rFonts w:cs="仿宋" w:asciiTheme="minorEastAsia" w:hAnsiTheme="minorEastAsia"/>
          <w:b/>
          <w:spacing w:val="6"/>
          <w:sz w:val="32"/>
          <w:szCs w:val="32"/>
        </w:rPr>
      </w:pPr>
    </w:p>
    <w:p w14:paraId="35212059">
      <w:pPr>
        <w:autoSpaceDE w:val="0"/>
        <w:autoSpaceDN w:val="0"/>
        <w:jc w:val="center"/>
        <w:rPr>
          <w:rFonts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066D1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1A7B37"/>
    <w:rsid w:val="143E2438"/>
    <w:rsid w:val="14422232"/>
    <w:rsid w:val="149D2B06"/>
    <w:rsid w:val="14DF7D0B"/>
    <w:rsid w:val="152B7330"/>
    <w:rsid w:val="152C0D1B"/>
    <w:rsid w:val="152F207E"/>
    <w:rsid w:val="15CB2DA0"/>
    <w:rsid w:val="16135A37"/>
    <w:rsid w:val="166F3635"/>
    <w:rsid w:val="16806E74"/>
    <w:rsid w:val="17AF353E"/>
    <w:rsid w:val="18214947"/>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2D0DDB"/>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601D24"/>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5F13F7"/>
    <w:rsid w:val="4E604FB7"/>
    <w:rsid w:val="4EFA25EF"/>
    <w:rsid w:val="4F0B04A7"/>
    <w:rsid w:val="4F2C043D"/>
    <w:rsid w:val="4F7723BF"/>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A5532E"/>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CF76FD2"/>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5C4BB7"/>
    <w:rsid w:val="6CCB3264"/>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032139"/>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5533F0"/>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7633</Words>
  <Characters>8309</Characters>
  <Lines>224</Lines>
  <Paragraphs>63</Paragraphs>
  <TotalTime>10</TotalTime>
  <ScaleCrop>false</ScaleCrop>
  <LinksUpToDate>false</LinksUpToDate>
  <CharactersWithSpaces>8444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2025-04-10T06:42:38Z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