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2025-2027年质量、环境、健康三体系认证复审及监督审核服务（重新询价）采购项目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202505036</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2025-2027年质量、环境、健康三体系认证复审及监督审核服务（重新询价）采购项目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202505036</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2025-2027年质量、环境、健康三体系认证复审及监督审核服务（重新询价）采购项目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在</w:t>
      </w:r>
      <w:r>
        <w:rPr>
          <w:rFonts w:hint="eastAsia" w:hAnsi="宋体" w:cs="宋体"/>
          <w:bCs/>
          <w:color w:val="auto"/>
          <w:sz w:val="24"/>
          <w:highlight w:val="none"/>
          <w:lang w:val="en-US" w:eastAsia="zh-CN"/>
        </w:rPr>
        <w:t>采购人</w:t>
      </w:r>
      <w:r>
        <w:rPr>
          <w:rFonts w:hint="eastAsia" w:hAnsi="宋体" w:cs="宋体"/>
          <w:bCs/>
          <w:color w:val="auto"/>
          <w:sz w:val="24"/>
          <w:highlight w:val="none"/>
        </w:rPr>
        <w:t>原三体系证书有效期（有效期至2025年11月1日）到期前协助</w:t>
      </w:r>
      <w:r>
        <w:rPr>
          <w:rFonts w:hint="eastAsia" w:hAnsi="宋体" w:cs="宋体"/>
          <w:bCs/>
          <w:color w:val="auto"/>
          <w:sz w:val="24"/>
          <w:highlight w:val="none"/>
          <w:lang w:val="en-US" w:eastAsia="zh-CN"/>
        </w:rPr>
        <w:t>采购人</w:t>
      </w:r>
      <w:r>
        <w:rPr>
          <w:rFonts w:hint="eastAsia" w:hAnsi="宋体" w:cs="宋体"/>
          <w:bCs/>
          <w:color w:val="auto"/>
          <w:sz w:val="24"/>
          <w:highlight w:val="none"/>
        </w:rPr>
        <w:t>完成复审认证；按期完成第一次（2026年）和第二次（2027年）年度监督审核</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 3年，具体以完成具体工作内容为准。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年1月1日起至少1例</w:t>
      </w:r>
      <w:r>
        <w:rPr>
          <w:rFonts w:hint="eastAsia" w:cs="仿宋" w:asciiTheme="minorEastAsia" w:hAnsiTheme="minorEastAsia"/>
          <w:color w:val="auto"/>
          <w:sz w:val="24"/>
          <w:u w:val="single"/>
          <w:lang w:eastAsia="zh-CN"/>
        </w:rPr>
        <w:t>质量、环境、健康三体系认证</w:t>
      </w:r>
      <w:r>
        <w:rPr>
          <w:rFonts w:hint="eastAsia" w:cs="仿宋" w:asciiTheme="minorEastAsia" w:hAnsiTheme="minorEastAsia"/>
          <w:bCs/>
          <w:color w:val="auto"/>
          <w:sz w:val="24"/>
          <w:u w:val="single"/>
        </w:rPr>
        <w:t>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 xml:space="preserve"> 供应商具备有效期内国家认监委的认证证书以及同时具备CNAS和IAF认证资质（提供复印件）</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2025-2027年质量、环境、健康三体系认证复审及监督审核服务（重新询价）采购项目询价保证金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bookmarkStart w:id="490" w:name="_GoBack"/>
      <w:bookmarkEnd w:id="490"/>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AE3DC80">
      <w:pPr>
        <w:pStyle w:val="6"/>
        <w:numPr>
          <w:ilvl w:val="0"/>
          <w:numId w:val="0"/>
        </w:numPr>
        <w:ind w:firstLine="480" w:firstLineChars="200"/>
        <w:rPr>
          <w:rFonts w:hint="eastAsia"/>
          <w:color w:val="auto"/>
          <w:lang w:val="en-US" w:eastAsia="zh-CN"/>
        </w:rPr>
      </w:pPr>
      <w:r>
        <w:rPr>
          <w:rFonts w:hint="eastAsia"/>
          <w:color w:val="auto"/>
          <w:lang w:val="en-US" w:eastAsia="zh-CN"/>
        </w:rPr>
        <w:t>杭州临江环境能源有限公司具有生活垃圾焚烧发电及危废（含医废）焚烧处置业务，原《职业健康安全管理体系认证证书》（编号02422S32040887R0M）、《环境管理体系认证证书》（编号02422E32040963R0M）、《质量管理体系认证证书》（编号02422Q32041509R0M）三体系证书将于2025年11月1日到期失效，现采购2025年-2027年三体系复审及年度监督审核咨询服务。</w:t>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 3年，具体以完成具体工作内容为准。</w:t>
      </w:r>
    </w:p>
    <w:p w14:paraId="0D8F4000">
      <w:pPr>
        <w:pStyle w:val="6"/>
        <w:numPr>
          <w:ilvl w:val="0"/>
          <w:numId w:val="0"/>
        </w:numPr>
        <w:ind w:firstLine="480" w:firstLineChars="200"/>
        <w:rPr>
          <w:rFonts w:hint="default"/>
          <w:b/>
          <w:bCs/>
          <w:color w:val="auto"/>
          <w:lang w:val="en-US" w:eastAsia="zh-CN"/>
        </w:rPr>
      </w:pPr>
      <w:r>
        <w:rPr>
          <w:rFonts w:hint="eastAsia" w:cs="仿宋" w:asciiTheme="minorEastAsia" w:hAnsiTheme="minorEastAsia"/>
          <w:kern w:val="0"/>
        </w:rPr>
        <w:t>▲</w:t>
      </w:r>
      <w:r>
        <w:rPr>
          <w:rFonts w:hint="eastAsia"/>
          <w:b/>
          <w:bCs/>
          <w:color w:val="auto"/>
          <w:lang w:val="en-US" w:eastAsia="zh-CN"/>
        </w:rPr>
        <w:t>三、认证要求</w:t>
      </w:r>
    </w:p>
    <w:p w14:paraId="5DD5F71F">
      <w:pPr>
        <w:pStyle w:val="6"/>
        <w:numPr>
          <w:ilvl w:val="0"/>
          <w:numId w:val="0"/>
        </w:numPr>
        <w:ind w:firstLine="482" w:firstLineChars="200"/>
        <w:rPr>
          <w:rFonts w:hint="eastAsia"/>
          <w:color w:val="auto"/>
          <w:lang w:val="en-US" w:eastAsia="zh-CN"/>
        </w:rPr>
      </w:pPr>
      <w:r>
        <w:rPr>
          <w:rFonts w:hint="eastAsia"/>
          <w:b/>
          <w:bCs/>
          <w:color w:val="auto"/>
          <w:lang w:val="en-US" w:eastAsia="zh-CN"/>
        </w:rPr>
        <w:t>1.认证范围：</w:t>
      </w:r>
      <w:r>
        <w:rPr>
          <w:rFonts w:hint="eastAsia"/>
          <w:color w:val="auto"/>
          <w:lang w:val="en-US" w:eastAsia="zh-CN"/>
        </w:rPr>
        <w:t>处理城市生活垃圾焚烧发电、危险废物无害化处置运营管理及相关管理活动。</w:t>
      </w:r>
    </w:p>
    <w:p w14:paraId="706BE896">
      <w:pPr>
        <w:pStyle w:val="29"/>
        <w:widowControl/>
        <w:spacing w:line="360" w:lineRule="auto"/>
        <w:ind w:firstLine="640"/>
        <w:rPr>
          <w:rFonts w:hint="eastAsia" w:ascii="宋体" w:hAnsi="Arial" w:cs="Arial"/>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2.</w:t>
      </w:r>
      <w:r>
        <w:rPr>
          <w:rFonts w:hint="eastAsia" w:ascii="宋体" w:hAnsi="Arial" w:cs="Arial"/>
          <w:b/>
          <w:bCs/>
          <w:snapToGrid w:val="0"/>
          <w:color w:val="auto"/>
          <w:kern w:val="2"/>
          <w:sz w:val="24"/>
          <w:szCs w:val="21"/>
          <w:lang w:val="en-US" w:eastAsia="zh-CN" w:bidi="ar-SA"/>
        </w:rPr>
        <w:t>参考标准：</w:t>
      </w:r>
    </w:p>
    <w:p w14:paraId="3F427102">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《职业健康安全管理体系认证》参照GB/T45001-2020/ISO45001:2018</w:t>
      </w:r>
      <w:r>
        <w:rPr>
          <w:rFonts w:hint="eastAsia" w:ascii="宋体" w:hAnsi="Arial" w:cs="Arial"/>
          <w:snapToGrid w:val="0"/>
          <w:color w:val="auto"/>
          <w:kern w:val="2"/>
          <w:sz w:val="24"/>
          <w:szCs w:val="21"/>
          <w:lang w:val="en-US" w:eastAsia="zh-CN" w:bidi="ar-SA"/>
        </w:rPr>
        <w:t>；</w:t>
      </w:r>
    </w:p>
    <w:p w14:paraId="3F522775">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《环境管理体系认证》参照GB/T24001-2016/ISO14001:2015</w:t>
      </w:r>
      <w:r>
        <w:rPr>
          <w:rFonts w:hint="eastAsia" w:ascii="宋体" w:hAnsi="Arial" w:cs="Arial"/>
          <w:snapToGrid w:val="0"/>
          <w:color w:val="auto"/>
          <w:kern w:val="2"/>
          <w:sz w:val="24"/>
          <w:szCs w:val="21"/>
          <w:lang w:val="en-US" w:eastAsia="zh-CN" w:bidi="ar-SA"/>
        </w:rPr>
        <w:t>；</w:t>
      </w:r>
    </w:p>
    <w:p w14:paraId="751EF330">
      <w:pPr>
        <w:pStyle w:val="29"/>
        <w:widowControl/>
        <w:spacing w:line="360" w:lineRule="auto"/>
        <w:ind w:firstLine="640"/>
        <w:rPr>
          <w:rFonts w:hint="default" w:cs="仿宋" w:asciiTheme="minorEastAsia" w:hAnsiTheme="minorEastAsia" w:eastAsiaTheme="minorEastAsia"/>
          <w:kern w:val="0"/>
          <w:lang w:val="en-US" w:eastAsia="zh-CN"/>
        </w:rPr>
      </w:pPr>
      <w:r>
        <w:rPr>
          <w:rFonts w:hint="eastAsia" w:ascii="宋体" w:hAnsi="Arial" w:cs="Arial" w:eastAsiaTheme="minorEastAsia"/>
          <w:snapToGrid w:val="0"/>
          <w:color w:val="auto"/>
          <w:kern w:val="2"/>
          <w:sz w:val="24"/>
          <w:szCs w:val="21"/>
          <w:lang w:val="en-US" w:eastAsia="zh-CN" w:bidi="ar-SA"/>
        </w:rPr>
        <w:t>《质量管理体系认证》建议参照GB/T19001-2016/ISO9001:2015。</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33B9A405">
      <w:pPr>
        <w:pStyle w:val="6"/>
        <w:numPr>
          <w:ilvl w:val="0"/>
          <w:numId w:val="0"/>
        </w:numPr>
        <w:ind w:firstLine="480" w:firstLineChars="200"/>
        <w:rPr>
          <w:rFonts w:hint="eastAsia"/>
          <w:color w:val="auto"/>
          <w:lang w:val="en-US" w:eastAsia="zh-CN"/>
        </w:rPr>
      </w:pPr>
      <w:r>
        <w:rPr>
          <w:rFonts w:hint="eastAsia"/>
          <w:color w:val="auto"/>
          <w:lang w:val="en-US" w:eastAsia="zh-CN"/>
        </w:rPr>
        <w:t>1.2025年11月1日前协助杭州临江环境能源有限公司取得三体系复审认证证书（含有CNAS和</w:t>
      </w:r>
      <w:r>
        <w:rPr>
          <w:rFonts w:hint="eastAsia"/>
          <w:i w:val="0"/>
          <w:iCs w:val="0"/>
          <w:color w:val="auto"/>
          <w:lang w:val="en-US" w:eastAsia="zh-CN"/>
        </w:rPr>
        <w:t>IAF</w:t>
      </w:r>
      <w:r>
        <w:rPr>
          <w:rFonts w:hint="eastAsia"/>
          <w:color w:val="auto"/>
          <w:lang w:val="en-US" w:eastAsia="zh-CN"/>
        </w:rPr>
        <w:t>认证章），证书编号可在国家市场监督管理总局全国认证认可信息公共服务平台公开查验；</w:t>
      </w:r>
    </w:p>
    <w:p w14:paraId="788E1FA1">
      <w:pPr>
        <w:pStyle w:val="6"/>
        <w:numPr>
          <w:ilvl w:val="0"/>
          <w:numId w:val="0"/>
        </w:numPr>
        <w:ind w:firstLine="480" w:firstLineChars="200"/>
        <w:rPr>
          <w:rFonts w:hint="default"/>
          <w:color w:val="auto"/>
          <w:lang w:val="en-US" w:eastAsia="zh-CN"/>
        </w:rPr>
      </w:pPr>
      <w:r>
        <w:rPr>
          <w:rFonts w:hint="eastAsia"/>
          <w:color w:val="auto"/>
          <w:lang w:val="en-US" w:eastAsia="zh-CN"/>
        </w:rPr>
        <w:t>2.完成2026年、2027年监督审核并出具证书，可在国家市场监督管理总局全国认证认可信息公共服务平台可查验更新信息上报日期及监督次数。</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59AE4E1A">
      <w:pPr>
        <w:pStyle w:val="6"/>
        <w:numPr>
          <w:ilvl w:val="0"/>
          <w:numId w:val="0"/>
        </w:numPr>
        <w:ind w:firstLine="480" w:firstLineChars="200"/>
        <w:rPr>
          <w:rFonts w:hint="eastAsia"/>
          <w:color w:val="auto"/>
          <w:lang w:val="en-US" w:eastAsia="zh-CN"/>
        </w:rPr>
      </w:pPr>
      <w:r>
        <w:rPr>
          <w:rFonts w:hint="eastAsia"/>
          <w:color w:val="auto"/>
          <w:lang w:val="en-US" w:eastAsia="zh-CN"/>
        </w:rPr>
        <w:t>1.供应商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采购人从业人员针对本项目的相关培训等。</w:t>
      </w:r>
    </w:p>
    <w:p w14:paraId="49CB5BA2">
      <w:pPr>
        <w:pStyle w:val="6"/>
        <w:numPr>
          <w:ilvl w:val="0"/>
          <w:numId w:val="0"/>
        </w:numPr>
        <w:ind w:firstLine="480" w:firstLineChars="200"/>
        <w:rPr>
          <w:rFonts w:hint="eastAsia"/>
          <w:color w:val="auto"/>
          <w:lang w:val="en-US" w:eastAsia="zh-CN"/>
        </w:rPr>
      </w:pPr>
      <w:r>
        <w:rPr>
          <w:rFonts w:hint="eastAsia"/>
          <w:color w:val="auto"/>
          <w:lang w:val="en-US" w:eastAsia="zh-CN"/>
        </w:rPr>
        <w:t>2.供应商必须完成GB/T 19001质量管理体系、GB/T 24001环境管理体系、GB/T 45001职业健康安全管理体系的申请、受理、文审、辅导、培训、内审、外审、发证的全流程指导，并使采购人的以上证书在有效期期满前通过认证审核取证。</w:t>
      </w:r>
    </w:p>
    <w:p w14:paraId="5951C9D8">
      <w:pPr>
        <w:pStyle w:val="6"/>
        <w:numPr>
          <w:ilvl w:val="0"/>
          <w:numId w:val="0"/>
        </w:numPr>
        <w:ind w:firstLine="480" w:firstLineChars="200"/>
        <w:rPr>
          <w:rFonts w:hint="eastAsia"/>
          <w:color w:val="auto"/>
          <w:lang w:val="en-US" w:eastAsia="zh-CN"/>
        </w:rPr>
      </w:pPr>
      <w:r>
        <w:rPr>
          <w:rFonts w:hint="eastAsia"/>
          <w:color w:val="auto"/>
          <w:lang w:val="en-US" w:eastAsia="zh-CN"/>
        </w:rPr>
        <w:t>3.供应商针对采购人的咨询项目列出进度计划及服务周期，并提供最短咨询服务完成时间，合同签订后需在2025年11月1日前，使采购人满足GB/T 24001环境管理体系认证、GB/T 45001职业健康安全管理体系认证和GB/T 19001质量管理体系认证要求，获得相应认证证书。</w:t>
      </w:r>
    </w:p>
    <w:p w14:paraId="445C60EE">
      <w:pPr>
        <w:pStyle w:val="6"/>
        <w:numPr>
          <w:ilvl w:val="0"/>
          <w:numId w:val="0"/>
        </w:numPr>
        <w:ind w:firstLine="480" w:firstLineChars="200"/>
        <w:rPr>
          <w:rFonts w:hint="eastAsia"/>
          <w:color w:val="auto"/>
          <w:lang w:val="en-US" w:eastAsia="zh-CN"/>
        </w:rPr>
      </w:pPr>
      <w:r>
        <w:rPr>
          <w:rFonts w:hint="eastAsia"/>
          <w:color w:val="auto"/>
          <w:lang w:val="en-US" w:eastAsia="zh-CN"/>
        </w:rPr>
        <w:t>4.认证审核取证要求：供应商要协助认证周期内(取证后三年)的取证、审核、年度监督审核工作。</w:t>
      </w:r>
    </w:p>
    <w:p w14:paraId="3DC16A5D">
      <w:pPr>
        <w:pStyle w:val="6"/>
        <w:numPr>
          <w:ilvl w:val="0"/>
          <w:numId w:val="0"/>
        </w:numPr>
        <w:ind w:firstLine="480" w:firstLineChars="200"/>
        <w:rPr>
          <w:rFonts w:hint="eastAsia"/>
          <w:color w:val="auto"/>
          <w:lang w:val="en-US" w:eastAsia="zh-CN"/>
        </w:rPr>
      </w:pPr>
      <w:r>
        <w:rPr>
          <w:rFonts w:hint="eastAsia"/>
          <w:color w:val="auto"/>
          <w:lang w:val="en-US" w:eastAsia="zh-CN"/>
        </w:rPr>
        <w:t>5.三体系认证的复审、第一次和第二次年度监督审核期间所产生的所有费用均含在报价金额内，包括且不仅限于申请费、证书注册费、专家费、差旅费、会议场地费等，采购人除成交金额外不再支付任何费用。</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67"/>
      <w:bookmarkEnd w:id="19"/>
      <w:bookmarkStart w:id="20" w:name="_Toc184313269"/>
      <w:bookmarkEnd w:id="20"/>
      <w:bookmarkStart w:id="21" w:name="_Toc184314433"/>
      <w:bookmarkEnd w:id="21"/>
      <w:bookmarkStart w:id="22" w:name="_Toc184310272"/>
      <w:bookmarkEnd w:id="22"/>
      <w:bookmarkStart w:id="23" w:name="_Toc184314440"/>
      <w:bookmarkEnd w:id="23"/>
      <w:bookmarkStart w:id="24" w:name="_Toc184310335"/>
      <w:bookmarkEnd w:id="24"/>
      <w:bookmarkStart w:id="25" w:name="_Toc184308063"/>
      <w:bookmarkEnd w:id="25"/>
      <w:bookmarkStart w:id="26" w:name="_Toc184310306"/>
      <w:bookmarkEnd w:id="26"/>
      <w:bookmarkStart w:id="27" w:name="_Toc184312083"/>
      <w:bookmarkEnd w:id="27"/>
      <w:bookmarkStart w:id="28" w:name="_Toc184310295"/>
      <w:bookmarkEnd w:id="28"/>
      <w:bookmarkStart w:id="29" w:name="_Toc184312128"/>
      <w:bookmarkEnd w:id="29"/>
      <w:bookmarkStart w:id="30" w:name="_Toc184310279"/>
      <w:bookmarkEnd w:id="30"/>
      <w:bookmarkStart w:id="31" w:name="_Toc184312073"/>
      <w:bookmarkEnd w:id="31"/>
      <w:bookmarkStart w:id="32" w:name="_Toc184308047"/>
      <w:bookmarkEnd w:id="32"/>
      <w:bookmarkStart w:id="33" w:name="_Toc184312134"/>
      <w:bookmarkEnd w:id="33"/>
      <w:bookmarkStart w:id="34" w:name="_Toc184310297"/>
      <w:bookmarkEnd w:id="34"/>
      <w:bookmarkStart w:id="35" w:name="_Toc184310321"/>
      <w:bookmarkEnd w:id="35"/>
      <w:bookmarkStart w:id="36" w:name="_Toc184314444"/>
      <w:bookmarkEnd w:id="36"/>
      <w:bookmarkStart w:id="37" w:name="_Toc184314465"/>
      <w:bookmarkEnd w:id="37"/>
      <w:bookmarkStart w:id="38" w:name="_Toc184314431"/>
      <w:bookmarkEnd w:id="38"/>
      <w:bookmarkStart w:id="39" w:name="_Toc184310299"/>
      <w:bookmarkEnd w:id="39"/>
      <w:bookmarkStart w:id="40" w:name="_Toc184313303"/>
      <w:bookmarkEnd w:id="40"/>
      <w:bookmarkStart w:id="41" w:name="_Toc184312133"/>
      <w:bookmarkEnd w:id="41"/>
      <w:bookmarkStart w:id="42" w:name="_Toc184312089"/>
      <w:bookmarkEnd w:id="42"/>
      <w:bookmarkStart w:id="43" w:name="_Toc184314420"/>
      <w:bookmarkEnd w:id="43"/>
      <w:bookmarkStart w:id="44" w:name="_Toc184312121"/>
      <w:bookmarkEnd w:id="44"/>
      <w:bookmarkStart w:id="45" w:name="_Toc184310334"/>
      <w:bookmarkEnd w:id="45"/>
      <w:bookmarkStart w:id="46" w:name="_Toc184312119"/>
      <w:bookmarkEnd w:id="46"/>
      <w:bookmarkStart w:id="47" w:name="_Toc184308073"/>
      <w:bookmarkEnd w:id="47"/>
      <w:bookmarkStart w:id="48" w:name="_Toc184310339"/>
      <w:bookmarkEnd w:id="48"/>
      <w:bookmarkStart w:id="49" w:name="_Toc184312120"/>
      <w:bookmarkEnd w:id="49"/>
      <w:bookmarkStart w:id="50" w:name="_Toc184310282"/>
      <w:bookmarkEnd w:id="50"/>
      <w:bookmarkStart w:id="51" w:name="_Toc184312074"/>
      <w:bookmarkEnd w:id="51"/>
      <w:bookmarkStart w:id="52" w:name="_Toc184314439"/>
      <w:bookmarkEnd w:id="52"/>
      <w:bookmarkStart w:id="53" w:name="_Toc184310333"/>
      <w:bookmarkEnd w:id="53"/>
      <w:bookmarkStart w:id="54" w:name="_Toc184312132"/>
      <w:bookmarkEnd w:id="54"/>
      <w:bookmarkStart w:id="55" w:name="_Toc184312072"/>
      <w:bookmarkEnd w:id="55"/>
      <w:bookmarkStart w:id="56" w:name="_Toc184310311"/>
      <w:bookmarkEnd w:id="56"/>
      <w:bookmarkStart w:id="57" w:name="_Toc184314460"/>
      <w:bookmarkEnd w:id="57"/>
      <w:bookmarkStart w:id="58" w:name="_Toc184314471"/>
      <w:bookmarkEnd w:id="58"/>
      <w:bookmarkStart w:id="59" w:name="_Toc184313246"/>
      <w:bookmarkEnd w:id="59"/>
      <w:bookmarkStart w:id="60" w:name="_Toc184312138"/>
      <w:bookmarkEnd w:id="60"/>
      <w:bookmarkStart w:id="61" w:name="_Toc184308076"/>
      <w:bookmarkEnd w:id="61"/>
      <w:bookmarkStart w:id="62" w:name="_Toc184308049"/>
      <w:bookmarkEnd w:id="62"/>
      <w:bookmarkStart w:id="63" w:name="_Toc184310274"/>
      <w:bookmarkEnd w:id="63"/>
      <w:bookmarkStart w:id="64" w:name="_Toc184308067"/>
      <w:bookmarkEnd w:id="64"/>
      <w:bookmarkStart w:id="65" w:name="_Toc184312079"/>
      <w:bookmarkEnd w:id="65"/>
      <w:bookmarkStart w:id="66" w:name="_Toc184312122"/>
      <w:bookmarkEnd w:id="66"/>
      <w:bookmarkStart w:id="67" w:name="_Toc184314457"/>
      <w:bookmarkEnd w:id="67"/>
      <w:bookmarkStart w:id="68" w:name="_Toc184308041"/>
      <w:bookmarkEnd w:id="68"/>
      <w:bookmarkStart w:id="69" w:name="_Toc184308054"/>
      <w:bookmarkEnd w:id="69"/>
      <w:bookmarkStart w:id="70" w:name="_Toc184312123"/>
      <w:bookmarkEnd w:id="70"/>
      <w:bookmarkStart w:id="71" w:name="_Toc184310289"/>
      <w:bookmarkEnd w:id="71"/>
      <w:bookmarkStart w:id="72" w:name="_Toc184313285"/>
      <w:bookmarkEnd w:id="72"/>
      <w:bookmarkStart w:id="73" w:name="_Toc184310337"/>
      <w:bookmarkEnd w:id="73"/>
      <w:bookmarkStart w:id="74" w:name="_Toc184310308"/>
      <w:bookmarkEnd w:id="74"/>
      <w:bookmarkStart w:id="75" w:name="_Toc184308101"/>
      <w:bookmarkEnd w:id="75"/>
      <w:bookmarkStart w:id="76" w:name="_Toc184310285"/>
      <w:bookmarkEnd w:id="76"/>
      <w:bookmarkStart w:id="77" w:name="_Toc184314464"/>
      <w:bookmarkEnd w:id="77"/>
      <w:bookmarkStart w:id="78" w:name="_Toc184314446"/>
      <w:bookmarkEnd w:id="78"/>
      <w:bookmarkStart w:id="79" w:name="_Toc184313280"/>
      <w:bookmarkEnd w:id="79"/>
      <w:bookmarkStart w:id="80" w:name="_Toc184310302"/>
      <w:bookmarkEnd w:id="80"/>
      <w:bookmarkStart w:id="81" w:name="_Toc184308060"/>
      <w:bookmarkEnd w:id="81"/>
      <w:bookmarkStart w:id="82" w:name="_Toc184310294"/>
      <w:bookmarkEnd w:id="82"/>
      <w:bookmarkStart w:id="83" w:name="_Toc184310325"/>
      <w:bookmarkEnd w:id="83"/>
      <w:bookmarkStart w:id="84" w:name="_Toc184312111"/>
      <w:bookmarkEnd w:id="84"/>
      <w:bookmarkStart w:id="85" w:name="_Toc184310341"/>
      <w:bookmarkEnd w:id="85"/>
      <w:bookmarkStart w:id="86" w:name="_Toc184310288"/>
      <w:bookmarkEnd w:id="86"/>
      <w:bookmarkStart w:id="87" w:name="_Toc184312105"/>
      <w:bookmarkEnd w:id="87"/>
      <w:bookmarkStart w:id="88" w:name="_Toc184308074"/>
      <w:bookmarkEnd w:id="88"/>
      <w:bookmarkStart w:id="89" w:name="_Toc184313275"/>
      <w:bookmarkEnd w:id="89"/>
      <w:bookmarkStart w:id="90" w:name="_Toc184310331"/>
      <w:bookmarkEnd w:id="90"/>
      <w:bookmarkStart w:id="91" w:name="_Toc184310323"/>
      <w:bookmarkEnd w:id="91"/>
      <w:bookmarkStart w:id="92" w:name="_Toc184310284"/>
      <w:bookmarkEnd w:id="92"/>
      <w:bookmarkStart w:id="93" w:name="_Toc184314447"/>
      <w:bookmarkEnd w:id="93"/>
      <w:bookmarkStart w:id="94" w:name="_Toc184313283"/>
      <w:bookmarkEnd w:id="94"/>
      <w:bookmarkStart w:id="95" w:name="_Toc184313297"/>
      <w:bookmarkEnd w:id="95"/>
      <w:bookmarkStart w:id="96" w:name="_Toc184314480"/>
      <w:bookmarkEnd w:id="96"/>
      <w:bookmarkStart w:id="97" w:name="_Toc184313255"/>
      <w:bookmarkEnd w:id="97"/>
      <w:bookmarkStart w:id="98" w:name="_Toc184310318"/>
      <w:bookmarkEnd w:id="98"/>
      <w:bookmarkStart w:id="99" w:name="_Toc184308085"/>
      <w:bookmarkEnd w:id="99"/>
      <w:bookmarkStart w:id="100" w:name="_Toc184308048"/>
      <w:bookmarkEnd w:id="100"/>
      <w:bookmarkStart w:id="101" w:name="_Toc184313257"/>
      <w:bookmarkEnd w:id="101"/>
      <w:bookmarkStart w:id="102" w:name="_Toc184314427"/>
      <w:bookmarkEnd w:id="102"/>
      <w:bookmarkStart w:id="103" w:name="_Toc184313244"/>
      <w:bookmarkEnd w:id="103"/>
      <w:bookmarkStart w:id="104" w:name="_Toc184308091"/>
      <w:bookmarkEnd w:id="104"/>
      <w:bookmarkStart w:id="105" w:name="_Toc184308053"/>
      <w:bookmarkEnd w:id="105"/>
      <w:bookmarkStart w:id="106" w:name="_Toc184310277"/>
      <w:bookmarkEnd w:id="106"/>
      <w:bookmarkStart w:id="107" w:name="_Toc184312139"/>
      <w:bookmarkEnd w:id="107"/>
      <w:bookmarkStart w:id="108" w:name="_Toc184308040"/>
      <w:bookmarkEnd w:id="108"/>
      <w:bookmarkStart w:id="109" w:name="_Toc184308066"/>
      <w:bookmarkEnd w:id="109"/>
      <w:bookmarkStart w:id="110" w:name="_Toc184308097"/>
      <w:bookmarkEnd w:id="110"/>
      <w:bookmarkStart w:id="111" w:name="_Toc184310343"/>
      <w:bookmarkEnd w:id="111"/>
      <w:bookmarkStart w:id="112" w:name="_Toc184310324"/>
      <w:bookmarkEnd w:id="112"/>
      <w:bookmarkStart w:id="113" w:name="_Toc184312094"/>
      <w:bookmarkEnd w:id="113"/>
      <w:bookmarkStart w:id="114" w:name="_Toc184313262"/>
      <w:bookmarkEnd w:id="114"/>
      <w:bookmarkStart w:id="115" w:name="_Toc184312084"/>
      <w:bookmarkEnd w:id="115"/>
      <w:bookmarkStart w:id="116" w:name="_Toc184314422"/>
      <w:bookmarkEnd w:id="116"/>
      <w:bookmarkStart w:id="117" w:name="_Toc184313238"/>
      <w:bookmarkEnd w:id="117"/>
      <w:bookmarkStart w:id="118" w:name="_Toc184314475"/>
      <w:bookmarkEnd w:id="118"/>
      <w:bookmarkStart w:id="119" w:name="_Toc184313254"/>
      <w:bookmarkEnd w:id="119"/>
      <w:bookmarkStart w:id="120" w:name="_Toc184313296"/>
      <w:bookmarkEnd w:id="120"/>
      <w:bookmarkStart w:id="121" w:name="_Toc184312136"/>
      <w:bookmarkEnd w:id="121"/>
      <w:bookmarkStart w:id="122" w:name="_Toc184314429"/>
      <w:bookmarkEnd w:id="122"/>
      <w:bookmarkStart w:id="123" w:name="_Toc184312095"/>
      <w:bookmarkEnd w:id="123"/>
      <w:bookmarkStart w:id="124" w:name="_Toc184308107"/>
      <w:bookmarkEnd w:id="124"/>
      <w:bookmarkStart w:id="125" w:name="_Toc184312125"/>
      <w:bookmarkEnd w:id="125"/>
      <w:bookmarkStart w:id="126" w:name="_Toc184312097"/>
      <w:bookmarkEnd w:id="126"/>
      <w:bookmarkStart w:id="127" w:name="_Toc184313291"/>
      <w:bookmarkEnd w:id="127"/>
      <w:bookmarkStart w:id="128" w:name="_Toc184314419"/>
      <w:bookmarkEnd w:id="128"/>
      <w:bookmarkStart w:id="129" w:name="_Toc184313259"/>
      <w:bookmarkEnd w:id="129"/>
      <w:bookmarkStart w:id="130" w:name="_Toc184308059"/>
      <w:bookmarkEnd w:id="130"/>
      <w:bookmarkStart w:id="131" w:name="_Toc184314421"/>
      <w:bookmarkEnd w:id="131"/>
      <w:bookmarkStart w:id="132" w:name="_Toc184314461"/>
      <w:bookmarkEnd w:id="132"/>
      <w:bookmarkStart w:id="133" w:name="_Toc184310320"/>
      <w:bookmarkEnd w:id="133"/>
      <w:bookmarkStart w:id="134" w:name="_Toc184313241"/>
      <w:bookmarkEnd w:id="134"/>
      <w:bookmarkStart w:id="135" w:name="_Toc184314472"/>
      <w:bookmarkEnd w:id="135"/>
      <w:bookmarkStart w:id="136" w:name="_Toc184308102"/>
      <w:bookmarkEnd w:id="136"/>
      <w:bookmarkStart w:id="137" w:name="_Toc184310296"/>
      <w:bookmarkEnd w:id="137"/>
      <w:bookmarkStart w:id="138" w:name="_Toc184308093"/>
      <w:bookmarkEnd w:id="138"/>
      <w:bookmarkStart w:id="139" w:name="_Toc184313300"/>
      <w:bookmarkEnd w:id="139"/>
      <w:bookmarkStart w:id="140" w:name="_Toc184310328"/>
      <w:bookmarkEnd w:id="140"/>
      <w:bookmarkStart w:id="141" w:name="_Toc184313305"/>
      <w:bookmarkEnd w:id="141"/>
      <w:bookmarkStart w:id="142" w:name="_Toc184313240"/>
      <w:bookmarkEnd w:id="142"/>
      <w:bookmarkStart w:id="143" w:name="_Toc184310329"/>
      <w:bookmarkEnd w:id="143"/>
      <w:bookmarkStart w:id="144" w:name="_Toc184313266"/>
      <w:bookmarkEnd w:id="144"/>
      <w:bookmarkStart w:id="145" w:name="_Toc184313268"/>
      <w:bookmarkEnd w:id="145"/>
      <w:bookmarkStart w:id="146" w:name="_Toc184314459"/>
      <w:bookmarkEnd w:id="146"/>
      <w:bookmarkStart w:id="147" w:name="_Toc184312076"/>
      <w:bookmarkEnd w:id="147"/>
      <w:bookmarkStart w:id="148" w:name="_Toc184314468"/>
      <w:bookmarkEnd w:id="148"/>
      <w:bookmarkStart w:id="149" w:name="_Toc184313289"/>
      <w:bookmarkEnd w:id="149"/>
      <w:bookmarkStart w:id="150" w:name="_Toc184308081"/>
      <w:bookmarkEnd w:id="150"/>
      <w:bookmarkStart w:id="151" w:name="_Toc184313294"/>
      <w:bookmarkEnd w:id="151"/>
      <w:bookmarkStart w:id="152" w:name="_Toc184314445"/>
      <w:bookmarkEnd w:id="152"/>
      <w:bookmarkStart w:id="153" w:name="_Toc184310322"/>
      <w:bookmarkEnd w:id="153"/>
      <w:bookmarkStart w:id="154" w:name="_Toc184314413"/>
      <w:bookmarkEnd w:id="154"/>
      <w:bookmarkStart w:id="155" w:name="_Toc184308071"/>
      <w:bookmarkEnd w:id="155"/>
      <w:bookmarkStart w:id="156" w:name="_Toc184312124"/>
      <w:bookmarkEnd w:id="156"/>
      <w:bookmarkStart w:id="157" w:name="_Toc184310330"/>
      <w:bookmarkEnd w:id="157"/>
      <w:bookmarkStart w:id="158" w:name="_Toc184308036"/>
      <w:bookmarkEnd w:id="158"/>
      <w:bookmarkStart w:id="159" w:name="_Toc184310312"/>
      <w:bookmarkEnd w:id="159"/>
      <w:bookmarkStart w:id="160" w:name="_Toc184314479"/>
      <w:bookmarkEnd w:id="160"/>
      <w:bookmarkStart w:id="161" w:name="_Toc184314466"/>
      <w:bookmarkEnd w:id="161"/>
      <w:bookmarkStart w:id="162" w:name="_Toc184312091"/>
      <w:bookmarkEnd w:id="162"/>
      <w:bookmarkStart w:id="163" w:name="_Toc184313267"/>
      <w:bookmarkEnd w:id="163"/>
      <w:bookmarkStart w:id="164" w:name="_Toc184313309"/>
      <w:bookmarkEnd w:id="164"/>
      <w:bookmarkStart w:id="165" w:name="_Toc184314418"/>
      <w:bookmarkEnd w:id="165"/>
      <w:bookmarkStart w:id="166" w:name="_Toc184312130"/>
      <w:bookmarkEnd w:id="166"/>
      <w:bookmarkStart w:id="167" w:name="_Toc184313253"/>
      <w:bookmarkEnd w:id="167"/>
      <w:bookmarkStart w:id="168" w:name="_Toc184312106"/>
      <w:bookmarkEnd w:id="168"/>
      <w:bookmarkStart w:id="169" w:name="_Toc184308069"/>
      <w:bookmarkEnd w:id="169"/>
      <w:bookmarkStart w:id="170" w:name="_Toc184314428"/>
      <w:bookmarkEnd w:id="170"/>
      <w:bookmarkStart w:id="171" w:name="_Toc184310309"/>
      <w:bookmarkEnd w:id="171"/>
      <w:bookmarkStart w:id="172" w:name="_Toc184314424"/>
      <w:bookmarkEnd w:id="172"/>
      <w:bookmarkStart w:id="173" w:name="_Toc184312115"/>
      <w:bookmarkEnd w:id="173"/>
      <w:bookmarkStart w:id="174" w:name="_Toc184308043"/>
      <w:bookmarkEnd w:id="174"/>
      <w:bookmarkStart w:id="175" w:name="_Toc184312116"/>
      <w:bookmarkEnd w:id="175"/>
      <w:bookmarkStart w:id="176" w:name="_Toc184310287"/>
      <w:bookmarkEnd w:id="176"/>
      <w:bookmarkStart w:id="177" w:name="_Toc184312098"/>
      <w:bookmarkEnd w:id="177"/>
      <w:bookmarkStart w:id="178" w:name="_Toc184313282"/>
      <w:bookmarkEnd w:id="178"/>
      <w:bookmarkStart w:id="179" w:name="_Toc184310293"/>
      <w:bookmarkEnd w:id="179"/>
      <w:bookmarkStart w:id="180" w:name="_Toc184312118"/>
      <w:bookmarkEnd w:id="180"/>
      <w:bookmarkStart w:id="181" w:name="_Toc184314443"/>
      <w:bookmarkEnd w:id="181"/>
      <w:bookmarkStart w:id="182" w:name="_Toc184312090"/>
      <w:bookmarkEnd w:id="182"/>
      <w:bookmarkStart w:id="183" w:name="_Toc184308106"/>
      <w:bookmarkEnd w:id="183"/>
      <w:bookmarkStart w:id="184" w:name="_Toc184313242"/>
      <w:bookmarkEnd w:id="184"/>
      <w:bookmarkStart w:id="185" w:name="_Toc184314414"/>
      <w:bookmarkEnd w:id="185"/>
      <w:bookmarkStart w:id="186" w:name="_Toc184310292"/>
      <w:bookmarkEnd w:id="186"/>
      <w:bookmarkStart w:id="187" w:name="_Toc184314458"/>
      <w:bookmarkEnd w:id="187"/>
      <w:bookmarkStart w:id="188" w:name="_Toc184314453"/>
      <w:bookmarkEnd w:id="188"/>
      <w:bookmarkStart w:id="189" w:name="_Toc184313302"/>
      <w:bookmarkEnd w:id="189"/>
      <w:bookmarkStart w:id="190" w:name="_Toc184313247"/>
      <w:bookmarkEnd w:id="190"/>
      <w:bookmarkStart w:id="191" w:name="_Toc184310319"/>
      <w:bookmarkEnd w:id="191"/>
      <w:bookmarkStart w:id="192" w:name="_Toc184312092"/>
      <w:bookmarkEnd w:id="192"/>
      <w:bookmarkStart w:id="193" w:name="_Toc184314442"/>
      <w:bookmarkEnd w:id="193"/>
      <w:bookmarkStart w:id="194" w:name="_Toc184310275"/>
      <w:bookmarkEnd w:id="194"/>
      <w:bookmarkStart w:id="195" w:name="_Toc184314481"/>
      <w:bookmarkEnd w:id="195"/>
      <w:bookmarkStart w:id="196" w:name="_Toc184312100"/>
      <w:bookmarkEnd w:id="196"/>
      <w:bookmarkStart w:id="197" w:name="_Toc184310316"/>
      <w:bookmarkEnd w:id="197"/>
      <w:bookmarkStart w:id="198" w:name="_Toc184312075"/>
      <w:bookmarkEnd w:id="198"/>
      <w:bookmarkStart w:id="199" w:name="_Toc184312085"/>
      <w:bookmarkEnd w:id="199"/>
      <w:bookmarkStart w:id="200" w:name="_Toc184313292"/>
      <w:bookmarkEnd w:id="200"/>
      <w:bookmarkStart w:id="201" w:name="_Toc184312096"/>
      <w:bookmarkEnd w:id="201"/>
      <w:bookmarkStart w:id="202" w:name="_Toc184308077"/>
      <w:bookmarkEnd w:id="202"/>
      <w:bookmarkStart w:id="203" w:name="_Toc184312099"/>
      <w:bookmarkEnd w:id="203"/>
      <w:bookmarkStart w:id="204" w:name="_Toc184314456"/>
      <w:bookmarkEnd w:id="204"/>
      <w:bookmarkStart w:id="205" w:name="_Toc184310317"/>
      <w:bookmarkEnd w:id="205"/>
      <w:bookmarkStart w:id="206" w:name="_Toc184310281"/>
      <w:bookmarkEnd w:id="206"/>
      <w:bookmarkStart w:id="207" w:name="_Toc184310305"/>
      <w:bookmarkEnd w:id="207"/>
      <w:bookmarkStart w:id="208" w:name="_Toc184310280"/>
      <w:bookmarkEnd w:id="208"/>
      <w:bookmarkStart w:id="209" w:name="_Toc184308050"/>
      <w:bookmarkEnd w:id="209"/>
      <w:bookmarkStart w:id="210" w:name="_Toc184313295"/>
      <w:bookmarkEnd w:id="210"/>
      <w:bookmarkStart w:id="211" w:name="_Toc184310298"/>
      <w:bookmarkEnd w:id="211"/>
      <w:bookmarkStart w:id="212" w:name="_Toc184314423"/>
      <w:bookmarkEnd w:id="212"/>
      <w:bookmarkStart w:id="213" w:name="_Toc184310304"/>
      <w:bookmarkEnd w:id="213"/>
      <w:bookmarkStart w:id="214" w:name="_Toc184312108"/>
      <w:bookmarkEnd w:id="214"/>
      <w:bookmarkStart w:id="215" w:name="_Toc184312101"/>
      <w:bookmarkEnd w:id="215"/>
      <w:bookmarkStart w:id="216" w:name="_Toc184312109"/>
      <w:bookmarkEnd w:id="216"/>
      <w:bookmarkStart w:id="217" w:name="_Toc184314467"/>
      <w:bookmarkEnd w:id="217"/>
      <w:bookmarkStart w:id="218" w:name="_Toc184308083"/>
      <w:bookmarkEnd w:id="218"/>
      <w:bookmarkStart w:id="219" w:name="_Toc184308070"/>
      <w:bookmarkEnd w:id="219"/>
      <w:bookmarkStart w:id="220" w:name="_Toc184313286"/>
      <w:bookmarkEnd w:id="220"/>
      <w:bookmarkStart w:id="221" w:name="_Toc184313301"/>
      <w:bookmarkEnd w:id="221"/>
      <w:bookmarkStart w:id="222" w:name="_Toc184308044"/>
      <w:bookmarkEnd w:id="222"/>
      <w:bookmarkStart w:id="223" w:name="_Toc184308078"/>
      <w:bookmarkEnd w:id="223"/>
      <w:bookmarkStart w:id="224" w:name="_Toc184313251"/>
      <w:bookmarkEnd w:id="224"/>
      <w:bookmarkStart w:id="225" w:name="_Toc184308056"/>
      <w:bookmarkEnd w:id="225"/>
      <w:bookmarkStart w:id="226" w:name="_Toc184313265"/>
      <w:bookmarkEnd w:id="226"/>
      <w:bookmarkStart w:id="227" w:name="_Toc184308068"/>
      <w:bookmarkEnd w:id="227"/>
      <w:bookmarkStart w:id="228" w:name="_Toc184310273"/>
      <w:bookmarkEnd w:id="228"/>
      <w:bookmarkStart w:id="229" w:name="_Toc184313304"/>
      <w:bookmarkEnd w:id="229"/>
      <w:bookmarkStart w:id="230" w:name="_Toc184313248"/>
      <w:bookmarkEnd w:id="230"/>
      <w:bookmarkStart w:id="231" w:name="_Toc184313272"/>
      <w:bookmarkEnd w:id="231"/>
      <w:bookmarkStart w:id="232" w:name="_Toc184313276"/>
      <w:bookmarkEnd w:id="232"/>
      <w:bookmarkStart w:id="233" w:name="_Toc184313270"/>
      <w:bookmarkEnd w:id="233"/>
      <w:bookmarkStart w:id="234" w:name="_Toc184308082"/>
      <w:bookmarkEnd w:id="234"/>
      <w:bookmarkStart w:id="235" w:name="_Toc184313307"/>
      <w:bookmarkEnd w:id="235"/>
      <w:bookmarkStart w:id="236" w:name="_Toc184312093"/>
      <w:bookmarkEnd w:id="236"/>
      <w:bookmarkStart w:id="237" w:name="_Toc184308099"/>
      <w:bookmarkEnd w:id="237"/>
      <w:bookmarkStart w:id="238" w:name="_Toc184313284"/>
      <w:bookmarkEnd w:id="238"/>
      <w:bookmarkStart w:id="239" w:name="_Toc184312087"/>
      <w:bookmarkEnd w:id="239"/>
      <w:bookmarkStart w:id="240" w:name="_Toc184310344"/>
      <w:bookmarkEnd w:id="240"/>
      <w:bookmarkStart w:id="241" w:name="_Toc184313279"/>
      <w:bookmarkEnd w:id="241"/>
      <w:bookmarkStart w:id="242" w:name="_Toc184310326"/>
      <w:bookmarkEnd w:id="242"/>
      <w:bookmarkStart w:id="243" w:name="_Toc184314474"/>
      <w:bookmarkEnd w:id="243"/>
      <w:bookmarkStart w:id="244" w:name="_Toc184313274"/>
      <w:bookmarkEnd w:id="244"/>
      <w:bookmarkStart w:id="245" w:name="_Toc184310332"/>
      <w:bookmarkEnd w:id="245"/>
      <w:bookmarkStart w:id="246" w:name="_Toc184314476"/>
      <w:bookmarkEnd w:id="246"/>
      <w:bookmarkStart w:id="247" w:name="_Toc184314425"/>
      <w:bookmarkEnd w:id="247"/>
      <w:bookmarkStart w:id="248" w:name="_Toc184313263"/>
      <w:bookmarkEnd w:id="248"/>
      <w:bookmarkStart w:id="249" w:name="_Toc184313278"/>
      <w:bookmarkEnd w:id="249"/>
      <w:bookmarkStart w:id="250" w:name="_Toc184314434"/>
      <w:bookmarkEnd w:id="250"/>
      <w:bookmarkStart w:id="251" w:name="_Toc184310291"/>
      <w:bookmarkEnd w:id="251"/>
      <w:bookmarkStart w:id="252" w:name="_Toc184313306"/>
      <w:bookmarkEnd w:id="252"/>
      <w:bookmarkStart w:id="253" w:name="_Toc184308079"/>
      <w:bookmarkEnd w:id="253"/>
      <w:bookmarkStart w:id="254" w:name="_Toc184308103"/>
      <w:bookmarkEnd w:id="254"/>
      <w:bookmarkStart w:id="255" w:name="_Toc184310307"/>
      <w:bookmarkEnd w:id="255"/>
      <w:bookmarkStart w:id="256" w:name="_Toc184313239"/>
      <w:bookmarkEnd w:id="256"/>
      <w:bookmarkStart w:id="257" w:name="_Toc184313298"/>
      <w:bookmarkEnd w:id="257"/>
      <w:bookmarkStart w:id="258" w:name="_Toc184313287"/>
      <w:bookmarkEnd w:id="258"/>
      <w:bookmarkStart w:id="259" w:name="_Toc184313250"/>
      <w:bookmarkEnd w:id="259"/>
      <w:bookmarkStart w:id="260" w:name="_Toc184313271"/>
      <w:bookmarkEnd w:id="260"/>
      <w:bookmarkStart w:id="261" w:name="_Toc184308089"/>
      <w:bookmarkEnd w:id="261"/>
      <w:bookmarkStart w:id="262" w:name="_Toc184314470"/>
      <w:bookmarkEnd w:id="262"/>
      <w:bookmarkStart w:id="263" w:name="_Toc184308046"/>
      <w:bookmarkEnd w:id="263"/>
      <w:bookmarkStart w:id="264" w:name="_Toc184310314"/>
      <w:bookmarkEnd w:id="264"/>
      <w:bookmarkStart w:id="265" w:name="_Toc184308086"/>
      <w:bookmarkEnd w:id="265"/>
      <w:bookmarkStart w:id="266" w:name="_Toc184313290"/>
      <w:bookmarkEnd w:id="266"/>
      <w:bookmarkStart w:id="267" w:name="_Toc184312129"/>
      <w:bookmarkEnd w:id="267"/>
      <w:bookmarkStart w:id="268" w:name="_Toc184313277"/>
      <w:bookmarkEnd w:id="268"/>
      <w:bookmarkStart w:id="269" w:name="_Toc184313281"/>
      <w:bookmarkEnd w:id="269"/>
      <w:bookmarkStart w:id="270" w:name="_Toc184314463"/>
      <w:bookmarkEnd w:id="270"/>
      <w:bookmarkStart w:id="271" w:name="_Toc184312114"/>
      <w:bookmarkEnd w:id="271"/>
      <w:bookmarkStart w:id="272" w:name="_Toc184313264"/>
      <w:bookmarkEnd w:id="272"/>
      <w:bookmarkStart w:id="273" w:name="_Toc184310283"/>
      <w:bookmarkEnd w:id="273"/>
      <w:bookmarkStart w:id="274" w:name="_Toc184308075"/>
      <w:bookmarkEnd w:id="274"/>
      <w:bookmarkStart w:id="275" w:name="_Toc184310310"/>
      <w:bookmarkEnd w:id="275"/>
      <w:bookmarkStart w:id="276" w:name="_Toc184310278"/>
      <w:bookmarkEnd w:id="276"/>
      <w:bookmarkStart w:id="277" w:name="_Toc184308045"/>
      <w:bookmarkEnd w:id="277"/>
      <w:bookmarkStart w:id="278" w:name="_Toc184312069"/>
      <w:bookmarkEnd w:id="278"/>
      <w:bookmarkStart w:id="279" w:name="_Toc184312112"/>
      <w:bookmarkEnd w:id="279"/>
      <w:bookmarkStart w:id="280" w:name="_Toc184308108"/>
      <w:bookmarkEnd w:id="280"/>
      <w:bookmarkStart w:id="281" w:name="_Toc184313288"/>
      <w:bookmarkEnd w:id="281"/>
      <w:bookmarkStart w:id="282" w:name="_Toc184312102"/>
      <w:bookmarkEnd w:id="282"/>
      <w:bookmarkStart w:id="283" w:name="_Toc184313258"/>
      <w:bookmarkEnd w:id="283"/>
      <w:bookmarkStart w:id="284" w:name="_Toc184308095"/>
      <w:bookmarkEnd w:id="284"/>
      <w:bookmarkStart w:id="285" w:name="_Toc184308052"/>
      <w:bookmarkEnd w:id="285"/>
      <w:bookmarkStart w:id="286" w:name="_Toc184312071"/>
      <w:bookmarkEnd w:id="286"/>
      <w:bookmarkStart w:id="287" w:name="_Toc184314462"/>
      <w:bookmarkEnd w:id="287"/>
      <w:bookmarkStart w:id="288" w:name="_Toc184314438"/>
      <w:bookmarkEnd w:id="288"/>
      <w:bookmarkStart w:id="289" w:name="_Toc184314451"/>
      <w:bookmarkEnd w:id="289"/>
      <w:bookmarkStart w:id="290" w:name="_Toc184308084"/>
      <w:bookmarkEnd w:id="290"/>
      <w:bookmarkStart w:id="291" w:name="_Toc184314477"/>
      <w:bookmarkEnd w:id="291"/>
      <w:bookmarkStart w:id="292" w:name="_Toc184312078"/>
      <w:bookmarkEnd w:id="292"/>
      <w:bookmarkStart w:id="293" w:name="_Toc184308072"/>
      <w:bookmarkEnd w:id="293"/>
      <w:bookmarkStart w:id="294" w:name="_Toc184308080"/>
      <w:bookmarkEnd w:id="294"/>
      <w:bookmarkStart w:id="295" w:name="_Toc184314469"/>
      <w:bookmarkEnd w:id="295"/>
      <w:bookmarkStart w:id="296" w:name="_Toc184308042"/>
      <w:bookmarkEnd w:id="296"/>
      <w:bookmarkStart w:id="297" w:name="_Toc184312137"/>
      <w:bookmarkEnd w:id="297"/>
      <w:bookmarkStart w:id="298" w:name="_Toc184310301"/>
      <w:bookmarkEnd w:id="298"/>
      <w:bookmarkStart w:id="299" w:name="_Toc184313249"/>
      <w:bookmarkEnd w:id="299"/>
      <w:bookmarkStart w:id="300" w:name="_Toc184308039"/>
      <w:bookmarkEnd w:id="300"/>
      <w:bookmarkStart w:id="301" w:name="_Toc184314416"/>
      <w:bookmarkEnd w:id="301"/>
      <w:bookmarkStart w:id="302" w:name="_Toc184313260"/>
      <w:bookmarkEnd w:id="302"/>
      <w:bookmarkStart w:id="303" w:name="_Toc184310286"/>
      <w:bookmarkEnd w:id="303"/>
      <w:bookmarkStart w:id="304" w:name="_Toc184314450"/>
      <w:bookmarkEnd w:id="304"/>
      <w:bookmarkStart w:id="305" w:name="_Toc184314473"/>
      <w:bookmarkEnd w:id="305"/>
      <w:bookmarkStart w:id="306" w:name="_Toc184308061"/>
      <w:bookmarkEnd w:id="306"/>
      <w:bookmarkStart w:id="307" w:name="_Toc184312113"/>
      <w:bookmarkEnd w:id="307"/>
      <w:bookmarkStart w:id="308" w:name="_Toc184314426"/>
      <w:bookmarkEnd w:id="308"/>
      <w:bookmarkStart w:id="309" w:name="_Toc184314437"/>
      <w:bookmarkEnd w:id="309"/>
      <w:bookmarkStart w:id="310" w:name="_Toc184310303"/>
      <w:bookmarkEnd w:id="310"/>
      <w:bookmarkStart w:id="311" w:name="_Toc184314432"/>
      <w:bookmarkEnd w:id="311"/>
      <w:bookmarkStart w:id="312" w:name="_Toc184312070"/>
      <w:bookmarkEnd w:id="312"/>
      <w:bookmarkStart w:id="313" w:name="_Toc184308096"/>
      <w:bookmarkEnd w:id="313"/>
      <w:bookmarkStart w:id="314" w:name="_Toc184314411"/>
      <w:bookmarkEnd w:id="314"/>
      <w:bookmarkStart w:id="315" w:name="_Toc184310276"/>
      <w:bookmarkEnd w:id="315"/>
      <w:bookmarkStart w:id="316" w:name="_Toc184308055"/>
      <w:bookmarkEnd w:id="316"/>
      <w:bookmarkStart w:id="317" w:name="_Toc184313293"/>
      <w:bookmarkEnd w:id="317"/>
      <w:bookmarkStart w:id="318" w:name="_Toc184308037"/>
      <w:bookmarkEnd w:id="318"/>
      <w:bookmarkStart w:id="319" w:name="_Toc184312127"/>
      <w:bookmarkEnd w:id="319"/>
      <w:bookmarkStart w:id="320" w:name="_Toc184314482"/>
      <w:bookmarkEnd w:id="320"/>
      <w:bookmarkStart w:id="321" w:name="_Toc184312104"/>
      <w:bookmarkEnd w:id="321"/>
      <w:bookmarkStart w:id="322" w:name="_Toc184308057"/>
      <w:bookmarkEnd w:id="322"/>
      <w:bookmarkStart w:id="323" w:name="_Toc184312135"/>
      <w:bookmarkEnd w:id="323"/>
      <w:bookmarkStart w:id="324" w:name="_Toc184313243"/>
      <w:bookmarkEnd w:id="324"/>
      <w:bookmarkStart w:id="325" w:name="_Toc184314449"/>
      <w:bookmarkEnd w:id="325"/>
      <w:bookmarkStart w:id="326" w:name="_Toc184314441"/>
      <w:bookmarkEnd w:id="326"/>
      <w:bookmarkStart w:id="327" w:name="_Toc184310336"/>
      <w:bookmarkEnd w:id="327"/>
      <w:bookmarkStart w:id="328" w:name="_Toc184308051"/>
      <w:bookmarkEnd w:id="328"/>
      <w:bookmarkStart w:id="329" w:name="_Toc184314410"/>
      <w:bookmarkEnd w:id="329"/>
      <w:bookmarkStart w:id="330" w:name="_Toc184310300"/>
      <w:bookmarkEnd w:id="330"/>
      <w:bookmarkStart w:id="331" w:name="_Toc184312110"/>
      <w:bookmarkEnd w:id="331"/>
      <w:bookmarkStart w:id="332" w:name="_Toc184314452"/>
      <w:bookmarkEnd w:id="332"/>
      <w:bookmarkStart w:id="333" w:name="_Toc184312131"/>
      <w:bookmarkEnd w:id="333"/>
      <w:bookmarkStart w:id="334" w:name="_Toc184310342"/>
      <w:bookmarkEnd w:id="334"/>
      <w:bookmarkStart w:id="335" w:name="_Toc184308065"/>
      <w:bookmarkEnd w:id="335"/>
      <w:bookmarkStart w:id="336" w:name="_Toc184310315"/>
      <w:bookmarkEnd w:id="336"/>
      <w:bookmarkStart w:id="337" w:name="_Toc184314454"/>
      <w:bookmarkEnd w:id="337"/>
      <w:bookmarkStart w:id="338" w:name="_Toc184314430"/>
      <w:bookmarkEnd w:id="338"/>
      <w:bookmarkStart w:id="339" w:name="_Toc184314412"/>
      <w:bookmarkEnd w:id="339"/>
      <w:bookmarkStart w:id="340" w:name="_Toc184314478"/>
      <w:bookmarkEnd w:id="340"/>
      <w:bookmarkStart w:id="341" w:name="_Toc184308105"/>
      <w:bookmarkEnd w:id="341"/>
      <w:bookmarkStart w:id="342" w:name="_Toc184310327"/>
      <w:bookmarkEnd w:id="342"/>
      <w:bookmarkStart w:id="343" w:name="_Toc184313256"/>
      <w:bookmarkEnd w:id="343"/>
      <w:bookmarkStart w:id="344" w:name="_Toc184312103"/>
      <w:bookmarkEnd w:id="344"/>
      <w:bookmarkStart w:id="345" w:name="_Toc184312117"/>
      <w:bookmarkEnd w:id="345"/>
      <w:bookmarkStart w:id="346" w:name="_Toc184308038"/>
      <w:bookmarkEnd w:id="346"/>
      <w:bookmarkStart w:id="347" w:name="_Toc184310340"/>
      <w:bookmarkEnd w:id="347"/>
      <w:bookmarkStart w:id="348" w:name="_Toc184308064"/>
      <w:bookmarkEnd w:id="348"/>
      <w:bookmarkStart w:id="349" w:name="_Toc184310290"/>
      <w:bookmarkEnd w:id="349"/>
      <w:bookmarkStart w:id="350" w:name="_Toc184313261"/>
      <w:bookmarkEnd w:id="350"/>
      <w:bookmarkStart w:id="351" w:name="_Toc184312086"/>
      <w:bookmarkEnd w:id="351"/>
      <w:bookmarkStart w:id="352" w:name="_Toc184313310"/>
      <w:bookmarkEnd w:id="352"/>
      <w:bookmarkStart w:id="353" w:name="_Toc184308058"/>
      <w:bookmarkEnd w:id="353"/>
      <w:bookmarkStart w:id="354" w:name="_Toc184313308"/>
      <w:bookmarkEnd w:id="354"/>
      <w:bookmarkStart w:id="355" w:name="_Toc184312082"/>
      <w:bookmarkEnd w:id="355"/>
      <w:bookmarkStart w:id="356" w:name="_Toc184312126"/>
      <w:bookmarkEnd w:id="356"/>
      <w:bookmarkStart w:id="357" w:name="_Toc184313252"/>
      <w:bookmarkEnd w:id="357"/>
      <w:bookmarkStart w:id="358" w:name="_Toc184308092"/>
      <w:bookmarkEnd w:id="358"/>
      <w:bookmarkStart w:id="359" w:name="_Toc184313245"/>
      <w:bookmarkEnd w:id="359"/>
      <w:bookmarkStart w:id="360" w:name="_Toc184308098"/>
      <w:bookmarkEnd w:id="360"/>
      <w:bookmarkStart w:id="361" w:name="_Toc184314417"/>
      <w:bookmarkEnd w:id="361"/>
      <w:bookmarkStart w:id="362" w:name="_Toc184310338"/>
      <w:bookmarkEnd w:id="362"/>
      <w:bookmarkStart w:id="363" w:name="_Toc184314415"/>
      <w:bookmarkEnd w:id="363"/>
      <w:bookmarkStart w:id="364" w:name="_Toc184312077"/>
      <w:bookmarkEnd w:id="364"/>
      <w:bookmarkStart w:id="365" w:name="_Toc184313299"/>
      <w:bookmarkEnd w:id="365"/>
      <w:bookmarkStart w:id="366" w:name="_Toc184312081"/>
      <w:bookmarkEnd w:id="366"/>
      <w:bookmarkStart w:id="367" w:name="_Toc184314435"/>
      <w:bookmarkEnd w:id="367"/>
      <w:bookmarkStart w:id="368" w:name="_Toc184314448"/>
      <w:bookmarkEnd w:id="368"/>
      <w:bookmarkStart w:id="369" w:name="_Toc184308062"/>
      <w:bookmarkEnd w:id="369"/>
      <w:bookmarkStart w:id="370" w:name="_Toc184314436"/>
      <w:bookmarkEnd w:id="370"/>
      <w:bookmarkStart w:id="371" w:name="_Toc184308088"/>
      <w:bookmarkEnd w:id="371"/>
      <w:bookmarkStart w:id="372" w:name="_Toc184308090"/>
      <w:bookmarkEnd w:id="372"/>
      <w:bookmarkStart w:id="373" w:name="_Toc184308104"/>
      <w:bookmarkEnd w:id="373"/>
      <w:bookmarkStart w:id="374" w:name="_Toc184312088"/>
      <w:bookmarkEnd w:id="374"/>
      <w:bookmarkStart w:id="375" w:name="_Toc184308087"/>
      <w:bookmarkEnd w:id="375"/>
      <w:bookmarkStart w:id="376" w:name="_Toc184308094"/>
      <w:bookmarkEnd w:id="376"/>
      <w:bookmarkStart w:id="377" w:name="_Toc184312107"/>
      <w:bookmarkEnd w:id="377"/>
      <w:bookmarkStart w:id="378" w:name="_Toc184312080"/>
      <w:bookmarkEnd w:id="378"/>
      <w:bookmarkStart w:id="379" w:name="_Toc184310313"/>
      <w:bookmarkEnd w:id="379"/>
      <w:bookmarkStart w:id="380" w:name="_Toc184308100"/>
      <w:bookmarkEnd w:id="380"/>
      <w:bookmarkStart w:id="381" w:name="_Toc184314455"/>
      <w:bookmarkEnd w:id="381"/>
      <w:bookmarkStart w:id="382" w:name="_Toc184312068"/>
      <w:bookmarkEnd w:id="382"/>
      <w:bookmarkStart w:id="383" w:name="_Toc184313273"/>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3"/>
        <w:tabs>
          <w:tab w:val="left" w:pos="432"/>
        </w:tabs>
        <w:rPr>
          <w:rFonts w:hint="default" w:eastAsia="黑体"/>
          <w:lang w:val="en-US" w:eastAsia="zh-CN"/>
        </w:rPr>
      </w:pPr>
      <w:r>
        <w:rPr>
          <w:rFonts w:hint="eastAsia"/>
          <w:lang w:val="en-US" w:eastAsia="zh-CN"/>
        </w:rPr>
        <w:t xml:space="preserve">              </w:t>
      </w:r>
    </w:p>
    <w:p w14:paraId="29C344D4">
      <w:pPr>
        <w:spacing w:before="120" w:line="22" w:lineRule="atLeast"/>
        <w:ind w:left="2160" w:leftChars="457" w:hanging="1200" w:hangingChars="500"/>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2025-2027年质量、环境、健康三体系认证复审及监督审核服务（重新询价）采购项目</w:t>
      </w:r>
    </w:p>
    <w:p w14:paraId="15ABDF59">
      <w:pPr>
        <w:rPr>
          <w:rFonts w:ascii="宋体" w:hAnsi="宋体" w:cs="宋体"/>
          <w:sz w:val="24"/>
        </w:rPr>
      </w:pPr>
    </w:p>
    <w:p w14:paraId="4DDC9A1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4EAF1D5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9DC1FB0">
      <w:pPr>
        <w:spacing w:before="120" w:line="22" w:lineRule="atLeast"/>
        <w:rPr>
          <w:rFonts w:ascii="宋体" w:hAnsi="宋体" w:cs="宋体"/>
          <w:sz w:val="24"/>
        </w:rPr>
      </w:pPr>
    </w:p>
    <w:p w14:paraId="37E110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7"/>
        <w:spacing w:line="360" w:lineRule="auto"/>
        <w:ind w:firstLine="240" w:firstLineChars="100"/>
      </w:pPr>
      <w:r>
        <w:rPr>
          <w:rFonts w:hint="eastAsia"/>
        </w:rPr>
        <w:t>第一章 合同书  …………………………………………………………（页码）</w:t>
      </w:r>
    </w:p>
    <w:p w14:paraId="5EBE782D">
      <w:pPr>
        <w:pStyle w:val="7"/>
        <w:spacing w:line="360" w:lineRule="auto"/>
        <w:ind w:firstLine="240" w:firstLineChars="100"/>
        <w:rPr>
          <w:rFonts w:hint="eastAsia"/>
        </w:rPr>
      </w:pPr>
      <w:r>
        <w:rPr>
          <w:rFonts w:hint="eastAsia"/>
        </w:rPr>
        <w:t>第二章 合同一般条款……………………………………………………（页码）</w:t>
      </w:r>
    </w:p>
    <w:p w14:paraId="71A117E7">
      <w:pPr>
        <w:pStyle w:val="7"/>
        <w:spacing w:line="360" w:lineRule="auto"/>
        <w:ind w:firstLine="240" w:firstLineChars="100"/>
        <w:rPr>
          <w:rFonts w:hint="eastAsia"/>
        </w:rPr>
      </w:pPr>
      <w:r>
        <w:rPr>
          <w:rFonts w:hint="eastAsia"/>
        </w:rPr>
        <w:t>第三章 安全协议…………………………………………………………（页码）</w:t>
      </w:r>
    </w:p>
    <w:p w14:paraId="17207CA6">
      <w:pPr>
        <w:pStyle w:val="7"/>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6"/>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2025-2027年质量、环境、健康三体系认证复审及监督审核服务（重新询价）采购项目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20421"/>
      <w:bookmarkStart w:id="385" w:name="_Toc19273"/>
      <w:bookmarkStart w:id="386" w:name="_Toc15367"/>
      <w:bookmarkStart w:id="387" w:name="_Toc28855"/>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22185"/>
      <w:bookmarkStart w:id="390" w:name="_Toc6311"/>
      <w:bookmarkStart w:id="391" w:name="_Toc18585"/>
      <w:bookmarkStart w:id="392" w:name="_Toc2918"/>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rPr>
        <w:t>条款规定的计价方式计价。</w:t>
      </w:r>
    </w:p>
    <w:p w14:paraId="7BD696DD">
      <w:pPr>
        <w:spacing w:line="440" w:lineRule="exact"/>
        <w:ind w:firstLine="480" w:firstLineChars="200"/>
        <w:rPr>
          <w:rFonts w:hint="eastAsia" w:ascii="宋体" w:hAnsi="宋体"/>
          <w:bCs/>
          <w:sz w:val="24"/>
        </w:rPr>
      </w:pPr>
      <w:r>
        <w:rPr>
          <w:rFonts w:hint="eastAsia" w:asciiTheme="minorEastAsia" w:hAnsiTheme="minorEastAsia" w:eastAsiaTheme="minorEastAsia"/>
          <w:sz w:val="24"/>
        </w:rPr>
        <w:t>（1）总价合同，</w:t>
      </w:r>
      <w:r>
        <w:rPr>
          <w:rFonts w:asciiTheme="minorEastAsia" w:hAnsiTheme="minorEastAsia" w:eastAsiaTheme="minorEastAsia"/>
          <w:sz w:val="24"/>
        </w:rPr>
        <w:t>本合同总价</w:t>
      </w:r>
      <w:r>
        <w:rPr>
          <w:rFonts w:hint="eastAsia" w:asciiTheme="minorEastAsia" w:hAnsiTheme="minorEastAsia" w:eastAsiaTheme="minorEastAsia"/>
          <w:sz w:val="24"/>
        </w:rPr>
        <w:t>（含税）</w:t>
      </w:r>
      <w:r>
        <w:rPr>
          <w:rFonts w:asciiTheme="minorEastAsia" w:hAnsiTheme="minorEastAsia" w:eastAsiaTheme="minorEastAsia"/>
          <w:sz w:val="24"/>
        </w:rPr>
        <w:t>为</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元人民币），税率为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cs="宋体" w:asciiTheme="minorEastAsia" w:hAnsiTheme="minorEastAsia" w:eastAsiaTheme="minorEastAsia"/>
          <w:sz w:val="24"/>
        </w:rPr>
        <w:t>该价格已包含甲方为履行本合同所需的全部费用，未</w:t>
      </w:r>
      <w:r>
        <w:rPr>
          <w:rFonts w:hint="eastAsia" w:cs="宋体" w:asciiTheme="minorEastAsia" w:hAnsiTheme="minorEastAsia" w:eastAsiaTheme="minorEastAsia"/>
          <w:sz w:val="24"/>
        </w:rPr>
        <w:t>列明</w:t>
      </w:r>
      <w:r>
        <w:rPr>
          <w:rFonts w:cs="宋体" w:asciiTheme="minorEastAsia" w:hAnsiTheme="minorEastAsia" w:eastAsiaTheme="minorEastAsia"/>
          <w:sz w:val="24"/>
        </w:rPr>
        <w:t>的分项视为优惠,</w:t>
      </w:r>
      <w:r>
        <w:rPr>
          <w:rFonts w:hint="eastAsia" w:cs="宋体" w:asciiTheme="minorEastAsia" w:hAnsiTheme="minorEastAsia" w:eastAsiaTheme="minorEastAsia"/>
          <w:sz w:val="24"/>
        </w:rPr>
        <w:t>本合同履行中，甲方不再另行支付任何费用。</w:t>
      </w:r>
    </w:p>
    <w:p w14:paraId="4A6E0212">
      <w:pPr>
        <w:spacing w:line="360" w:lineRule="auto"/>
        <w:ind w:firstLine="482" w:firstLineChars="200"/>
        <w:outlineLvl w:val="0"/>
        <w:rPr>
          <w:rFonts w:ascii="宋体" w:hAnsi="宋体"/>
          <w:b/>
          <w:sz w:val="24"/>
        </w:rPr>
      </w:pPr>
      <w:bookmarkStart w:id="394" w:name="_Toc1814"/>
      <w:bookmarkStart w:id="395" w:name="_Toc10340"/>
      <w:bookmarkStart w:id="396" w:name="_Toc22618"/>
      <w:bookmarkStart w:id="397" w:name="_Toc31421"/>
      <w:bookmarkStart w:id="398" w:name="_Toc4760"/>
      <w:bookmarkStart w:id="399" w:name="_Toc8772"/>
      <w:bookmarkStart w:id="400" w:name="_Toc11108"/>
      <w:bookmarkStart w:id="40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3年，完成服务内容后自动终止；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132D5C0E">
      <w:pPr>
        <w:spacing w:line="360" w:lineRule="auto"/>
        <w:ind w:firstLine="480" w:firstLineChars="200"/>
        <w:rPr>
          <w:rFonts w:hint="eastAsia" w:ascii="宋体" w:hAnsi="宋体"/>
          <w:b/>
          <w:iCs/>
          <w:sz w:val="24"/>
          <w:u w:val="single"/>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eastAsia="zh-CN"/>
        </w:rPr>
        <w:t>（</w:t>
      </w:r>
      <w:r>
        <w:rPr>
          <w:rFonts w:hint="eastAsia" w:ascii="宋体" w:hAnsi="宋体"/>
          <w:b/>
          <w:iCs/>
          <w:sz w:val="24"/>
          <w:u w:val="single"/>
          <w:lang w:val="en-US" w:eastAsia="zh-CN"/>
        </w:rPr>
        <w:t>1</w:t>
      </w:r>
      <w:r>
        <w:rPr>
          <w:rFonts w:hint="eastAsia" w:ascii="宋体" w:hAnsi="宋体"/>
          <w:b/>
          <w:iCs/>
          <w:sz w:val="24"/>
          <w:u w:val="single"/>
          <w:lang w:eastAsia="zh-CN"/>
        </w:rPr>
        <w:t>）</w:t>
      </w:r>
      <w:r>
        <w:rPr>
          <w:rFonts w:hint="eastAsia" w:ascii="宋体" w:hAnsi="宋体"/>
          <w:b/>
          <w:iCs/>
          <w:sz w:val="24"/>
          <w:u w:val="single"/>
        </w:rPr>
        <w:t>2025年11月1日前协助杭州临江环境能源有限公司取得三体系复审认证证书（含有CNAS和IAF认证章），证书编号可在国家市场监督管理总局全国认证认可信息公共服务平台公开查验；</w:t>
      </w:r>
    </w:p>
    <w:p w14:paraId="7EBC6C69">
      <w:pPr>
        <w:spacing w:line="360" w:lineRule="auto"/>
        <w:ind w:firstLine="482" w:firstLineChars="200"/>
        <w:rPr>
          <w:rFonts w:ascii="宋体" w:hAnsi="宋体"/>
          <w:sz w:val="24"/>
        </w:rPr>
      </w:pPr>
      <w:r>
        <w:rPr>
          <w:rFonts w:hint="eastAsia" w:ascii="宋体" w:hAnsi="宋体"/>
          <w:b/>
          <w:iCs/>
          <w:sz w:val="24"/>
          <w:u w:val="single"/>
          <w:lang w:eastAsia="zh-CN"/>
        </w:rPr>
        <w:t>（</w:t>
      </w:r>
      <w:r>
        <w:rPr>
          <w:rFonts w:hint="eastAsia" w:ascii="宋体" w:hAnsi="宋体"/>
          <w:b/>
          <w:iCs/>
          <w:sz w:val="24"/>
          <w:u w:val="single"/>
          <w:lang w:val="en-US" w:eastAsia="zh-CN"/>
        </w:rPr>
        <w:t>2</w:t>
      </w:r>
      <w:r>
        <w:rPr>
          <w:rFonts w:hint="eastAsia" w:ascii="宋体" w:hAnsi="宋体"/>
          <w:b/>
          <w:iCs/>
          <w:sz w:val="24"/>
          <w:u w:val="single"/>
          <w:lang w:eastAsia="zh-CN"/>
        </w:rPr>
        <w:t>）</w:t>
      </w:r>
      <w:r>
        <w:rPr>
          <w:rFonts w:hint="eastAsia" w:ascii="宋体" w:hAnsi="宋体"/>
          <w:b/>
          <w:iCs/>
          <w:sz w:val="24"/>
          <w:u w:val="single"/>
        </w:rPr>
        <w:t>完成2026年、2027年监督审核并出具证书，可在国家市场监督管理总局全国认证认可信息公共服务平台可查验更新信息上报日期及监督次数</w:t>
      </w:r>
      <w:r>
        <w:rPr>
          <w:rFonts w:hint="eastAsia" w:ascii="宋体" w:hAnsi="宋体"/>
          <w:b/>
          <w:i/>
          <w:sz w:val="24"/>
          <w:u w:val="single"/>
        </w:rPr>
        <w:t xml:space="preserve"> </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C746513">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66A689A7">
      <w:pPr>
        <w:spacing w:line="360" w:lineRule="auto"/>
        <w:ind w:firstLine="480" w:firstLineChars="200"/>
        <w:outlineLvl w:val="0"/>
        <w:rPr>
          <w:rFonts w:hint="eastAsia" w:ascii="宋体" w:hAnsi="宋体" w:cs="宋体"/>
          <w:sz w:val="24"/>
          <w:highlight w:val="none"/>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w:t>
      </w:r>
      <w:r>
        <w:rPr>
          <w:rFonts w:hint="eastAsia" w:ascii="宋体" w:hAnsi="宋体" w:cs="宋体"/>
          <w:sz w:val="24"/>
          <w:highlight w:val="none"/>
        </w:rPr>
        <w:t>行）；</w:t>
      </w:r>
    </w:p>
    <w:p w14:paraId="0F669F32">
      <w:pPr>
        <w:pStyle w:val="6"/>
        <w:ind w:firstLine="480" w:firstLineChars="200"/>
        <w:rPr>
          <w:rFonts w:hint="eastAsia" w:ascii="宋体"/>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w:t>
      </w:r>
      <w:r>
        <w:rPr>
          <w:rFonts w:hint="eastAsia" w:ascii="宋体"/>
          <w:lang w:val="en-US" w:eastAsia="zh-CN"/>
        </w:rPr>
        <w:t>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4156DB68">
      <w:pPr>
        <w:spacing w:line="360" w:lineRule="auto"/>
        <w:ind w:firstLine="480" w:firstLineChars="200"/>
        <w:outlineLvl w:val="0"/>
        <w:rPr>
          <w:rFonts w:hint="eastAsia" w:ascii="宋体" w:hAnsi="宋体" w:cs="宋体"/>
          <w:b w:val="0"/>
          <w:bCs w:val="0"/>
          <w:sz w:val="24"/>
        </w:rPr>
      </w:pPr>
      <w:r>
        <w:rPr>
          <w:rFonts w:hint="eastAsia" w:ascii="宋体" w:hAnsi="宋体" w:cs="宋体"/>
          <w:b w:val="0"/>
          <w:bCs w:val="0"/>
          <w:sz w:val="24"/>
        </w:rPr>
        <w:t>4.</w:t>
      </w:r>
      <w:r>
        <w:rPr>
          <w:rFonts w:hint="eastAsia" w:ascii="宋体" w:hAnsi="宋体" w:cs="宋体"/>
          <w:b w:val="0"/>
          <w:bCs w:val="0"/>
          <w:sz w:val="24"/>
          <w:lang w:val="en-US" w:eastAsia="zh-CN"/>
        </w:rPr>
        <w:t>三体系认证的复审、第一次和第二次年度监督审核期间所产生的所有费用均含在报价金额内，包括且不仅限于申请费、证书注册费、专家费、差旅费、会议场地费等，甲方除成交金额外不再支付任何费用。</w:t>
      </w:r>
      <w:r>
        <w:rPr>
          <w:rFonts w:hint="eastAsia" w:ascii="宋体" w:hAnsi="宋体" w:cs="宋体"/>
          <w:b w:val="0"/>
          <w:bCs w:val="0"/>
          <w:sz w:val="24"/>
        </w:rPr>
        <w:t>甲方不再对任何售后服务进行付费，乙方的派遣人员产生的一切费用由</w:t>
      </w:r>
      <w:r>
        <w:rPr>
          <w:rFonts w:hint="eastAsia" w:ascii="宋体" w:hAnsi="宋体" w:cs="宋体"/>
          <w:b w:val="0"/>
          <w:bCs w:val="0"/>
          <w:sz w:val="24"/>
          <w:lang w:val="en-US" w:eastAsia="zh-CN"/>
        </w:rPr>
        <w:t>乙方</w:t>
      </w:r>
      <w:r>
        <w:rPr>
          <w:rFonts w:hint="eastAsia" w:ascii="宋体" w:hAnsi="宋体" w:cs="宋体"/>
          <w:b w:val="0"/>
          <w:bCs w:val="0"/>
          <w:sz w:val="24"/>
        </w:rPr>
        <w:t>承担。</w:t>
      </w:r>
    </w:p>
    <w:p w14:paraId="1F6F22ED">
      <w:pPr>
        <w:spacing w:line="360" w:lineRule="auto"/>
        <w:ind w:firstLine="480" w:firstLineChars="200"/>
        <w:outlineLvl w:val="0"/>
        <w:rPr>
          <w:rFonts w:hint="eastAsia" w:ascii="宋体" w:hAnsi="宋体" w:cs="宋体"/>
          <w:b w:val="0"/>
          <w:bCs w:val="0"/>
          <w:sz w:val="24"/>
          <w:lang w:val="en-US" w:eastAsia="zh-CN"/>
        </w:rPr>
      </w:pPr>
      <w:bookmarkStart w:id="402" w:name="_Toc1125"/>
      <w:bookmarkStart w:id="403" w:name="_Toc6596"/>
      <w:bookmarkStart w:id="404" w:name="_Toc14563"/>
      <w:r>
        <w:rPr>
          <w:rFonts w:hint="eastAsia" w:ascii="宋体" w:hAnsi="宋体" w:cs="宋体"/>
          <w:b w:val="0"/>
          <w:bCs w:val="0"/>
          <w:sz w:val="24"/>
          <w:lang w:val="en-US" w:eastAsia="zh-CN"/>
        </w:rPr>
        <w:t>5.三体系认证范围：处理城市生活垃圾焚烧发电、危险废物无害化处置运营管理及相关管理活动。</w:t>
      </w:r>
    </w:p>
    <w:p w14:paraId="53FF4CE1">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6.三体系认证参考标准：</w:t>
      </w:r>
    </w:p>
    <w:p w14:paraId="54D7A423">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《职业健康安全管理体系认证》参照GB/T45001-2020/ISO45001:2018；</w:t>
      </w:r>
    </w:p>
    <w:p w14:paraId="59719955">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《环境管理体系认证》参照GB/T24001-2016/ISO14001:2015；</w:t>
      </w:r>
    </w:p>
    <w:p w14:paraId="52DF5DE2">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《质量管理体系认证》建议参照GB/T19001-2016/ISO9001:2015。</w:t>
      </w:r>
    </w:p>
    <w:p w14:paraId="7E552A4F">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7.乙方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甲方从业人员针对本项目的相关培训等。</w:t>
      </w:r>
    </w:p>
    <w:p w14:paraId="3D4437AD">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8.乙方必须完成GB/T 19001质量管理体系、GB/T 24001环境管理体系、GB/T 45001职业健康安全管理体系的申请、受理、文审、辅导、培训、内审、外审、发证的全流程指导，并使甲方的以上证书在有效期期满前通过认证审核取证。</w:t>
      </w:r>
    </w:p>
    <w:p w14:paraId="6B81EB09">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9.乙方针对甲方的咨询项目列出进度计划及服务周期，并提供最短咨询服务完成时间，合同签订后需在2025年11月1日前，使甲方满足GB/T 24001环境管理体系认证、GB/T 45001职业健康安全管理体系认证和GB/T 19001质量管理体系认证要求，获得相应认证证书。</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4A6A575">
      <w:pPr>
        <w:tabs>
          <w:tab w:val="left" w:pos="360"/>
          <w:tab w:val="left" w:pos="540"/>
          <w:tab w:val="left" w:pos="1080"/>
        </w:tabs>
        <w:spacing w:line="360" w:lineRule="auto"/>
        <w:ind w:firstLine="480" w:firstLineChars="200"/>
        <w:rPr>
          <w:rFonts w:hint="eastAsia" w:ascii="宋体" w:hAnsi="宋体" w:cs="宋体"/>
          <w:sz w:val="24"/>
          <w:u w:val="single"/>
          <w:lang w:val="en-US" w:eastAsia="zh-CN"/>
        </w:rPr>
      </w:pPr>
      <w:r>
        <w:rPr>
          <w:rFonts w:ascii="宋体" w:hAnsi="宋体" w:cs="宋体"/>
          <w:sz w:val="24"/>
        </w:rPr>
        <w:t>1.</w:t>
      </w:r>
      <w:r>
        <w:rPr>
          <w:rFonts w:hint="eastAsia" w:ascii="宋体" w:hAnsi="宋体" w:cs="宋体"/>
          <w:sz w:val="24"/>
          <w:u w:val="single"/>
          <w:lang w:val="en-US" w:eastAsia="zh-CN"/>
        </w:rPr>
        <w:t>2025年11月1日前协助甲方取得三体系复审认证证书（含有CNAS和IAF认证章），证书编号可在国家市场监督管理总局全国认证认可信息公共服务平台公开查验，查验真实后视为验收合格；</w:t>
      </w:r>
    </w:p>
    <w:p w14:paraId="6071D7F6">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2.完成2026年、2027年监督审核并出具证书，可在国家市场监督管理总局全国认证认可信息公共服务平台可查验更新信息上报日期及监督次数，查验真实后视为验收合格。</w:t>
      </w:r>
    </w:p>
    <w:p w14:paraId="3EC2853B">
      <w:pPr>
        <w:pStyle w:val="25"/>
        <w:spacing w:before="0" w:beforeAutospacing="0" w:after="0" w:afterAutospacing="0" w:line="360" w:lineRule="auto"/>
        <w:ind w:firstLine="480"/>
        <w:rPr>
          <w:b/>
        </w:rPr>
      </w:pPr>
      <w:r>
        <w:rPr>
          <w:rFonts w:hint="eastAsia"/>
          <w:b/>
        </w:rPr>
        <w:t>七、履约保证金</w:t>
      </w:r>
    </w:p>
    <w:p w14:paraId="450407ED">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5"/>
        <w:spacing w:before="0" w:beforeAutospacing="0" w:after="0" w:afterAutospacing="0" w:line="360" w:lineRule="auto"/>
        <w:ind w:firstLine="480"/>
        <w:rPr>
          <w:b/>
          <w:bCs/>
        </w:rPr>
      </w:pPr>
      <w:r>
        <w:rPr>
          <w:rFonts w:hint="eastAsia"/>
          <w:b/>
          <w:bCs/>
        </w:rPr>
        <w:t>九、资金支付</w:t>
      </w:r>
    </w:p>
    <w:p w14:paraId="577711D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5"/>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u w:val="single"/>
          <w:lang w:val="en-US" w:eastAsia="zh-CN"/>
        </w:rPr>
        <w:t>甲方</w:t>
      </w:r>
      <w:r>
        <w:rPr>
          <w:rFonts w:hint="eastAsia"/>
          <w:u w:val="single"/>
        </w:rPr>
        <w:t>取得三体系复审认证证书，且证书编号可在国家市场监督管理总局全国认证认可信息公共服务平台公开查验真伪后，</w:t>
      </w:r>
      <w:r>
        <w:rPr>
          <w:rFonts w:hint="eastAsia"/>
          <w:u w:val="single"/>
          <w:lang w:val="en-US" w:eastAsia="zh-CN"/>
        </w:rPr>
        <w:t>乙方提供足额的增值税专用发票后</w:t>
      </w:r>
      <w:r>
        <w:rPr>
          <w:rFonts w:hint="eastAsia"/>
          <w:u w:val="single"/>
        </w:rPr>
        <w:t>，支付40%合同款；</w:t>
      </w:r>
      <w:r>
        <w:rPr>
          <w:rFonts w:hint="eastAsia"/>
          <w:u w:val="single"/>
          <w:lang w:val="en-US" w:eastAsia="zh-CN"/>
        </w:rPr>
        <w:t>乙方</w:t>
      </w:r>
      <w:r>
        <w:rPr>
          <w:rFonts w:hint="eastAsia"/>
          <w:u w:val="single"/>
        </w:rPr>
        <w:t>按期完成第一次（2026年）监督审核，且国家市场监督管理总局全国认证认可信息公共服务平台可查验更新信息上报日期及监督次数后，</w:t>
      </w:r>
      <w:r>
        <w:rPr>
          <w:rFonts w:hint="eastAsia"/>
          <w:u w:val="single"/>
          <w:lang w:val="en-US" w:eastAsia="zh-CN"/>
        </w:rPr>
        <w:t>乙方提供足额的增值税专用发票，支付30%合同款；乙方按期完成</w:t>
      </w:r>
      <w:r>
        <w:rPr>
          <w:rFonts w:hint="eastAsia"/>
          <w:u w:val="single"/>
        </w:rPr>
        <w:t>第二次（2027年）年度监督审核，且国家市场监督管理总局全国认证认可信息公共服务平台可查验更新信息上报日期及监督次数后，</w:t>
      </w:r>
      <w:r>
        <w:rPr>
          <w:rFonts w:hint="eastAsia"/>
          <w:u w:val="single"/>
          <w:lang w:val="en-US" w:eastAsia="zh-CN"/>
        </w:rPr>
        <w:t>乙方提供足额增值税专用发票后</w:t>
      </w:r>
      <w:r>
        <w:rPr>
          <w:rFonts w:hint="eastAsia"/>
          <w:u w:val="single"/>
        </w:rPr>
        <w:t>，支付</w:t>
      </w:r>
      <w:r>
        <w:rPr>
          <w:rFonts w:hint="eastAsia"/>
          <w:u w:val="single"/>
          <w:lang w:val="en-US" w:eastAsia="zh-CN"/>
        </w:rPr>
        <w:t>剩余</w:t>
      </w:r>
      <w:r>
        <w:rPr>
          <w:rFonts w:hint="eastAsia"/>
          <w:u w:val="single"/>
        </w:rPr>
        <w:t>30%合同款。</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4662"/>
      <w:bookmarkStart w:id="406" w:name="_Toc5698"/>
      <w:bookmarkStart w:id="407" w:name="_Toc2375"/>
      <w:bookmarkStart w:id="408" w:name="_Toc8586"/>
      <w:bookmarkStart w:id="409" w:name="_Toc3079"/>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9497"/>
      <w:bookmarkStart w:id="411" w:name="_Toc26807"/>
      <w:bookmarkStart w:id="412" w:name="_Toc32454"/>
      <w:bookmarkStart w:id="413" w:name="_Toc30329"/>
      <w:bookmarkStart w:id="41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6"/>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16021"/>
      <w:bookmarkStart w:id="417"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712C4F1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4"/>
        <w:ind w:left="0" w:leftChars="0" w:firstLine="0" w:firstLineChars="0"/>
        <w:jc w:val="center"/>
        <w:rPr>
          <w:rFonts w:hint="eastAsia" w:ascii="宋体" w:hAnsi="宋体"/>
          <w:b/>
          <w:szCs w:val="24"/>
        </w:rPr>
      </w:pPr>
    </w:p>
    <w:p w14:paraId="48087D5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5228"/>
      <w:bookmarkStart w:id="423" w:name="_Toc25079"/>
      <w:bookmarkStart w:id="424" w:name="_Toc19680"/>
      <w:bookmarkStart w:id="425" w:name="_Toc14021"/>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3769"/>
      <w:bookmarkStart w:id="427" w:name="_Toc19539"/>
      <w:bookmarkStart w:id="428" w:name="_Toc16752"/>
      <w:bookmarkStart w:id="429" w:name="_Toc23289"/>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27945"/>
      <w:bookmarkStart w:id="432" w:name="_Toc13673"/>
      <w:bookmarkStart w:id="433" w:name="_Toc12412"/>
      <w:bookmarkStart w:id="434" w:name="_Toc9161"/>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26555"/>
      <w:bookmarkStart w:id="437" w:name="_Toc15447"/>
      <w:bookmarkStart w:id="438" w:name="_Toc22011"/>
      <w:bookmarkStart w:id="439" w:name="_Toc32670"/>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18990"/>
      <w:bookmarkStart w:id="442" w:name="_Toc13467"/>
      <w:bookmarkStart w:id="443" w:name="_Toc13154"/>
      <w:bookmarkStart w:id="444" w:name="_Toc16163"/>
      <w:bookmarkStart w:id="445" w:name="_Toc30507"/>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6689"/>
      <w:bookmarkStart w:id="450" w:name="_Toc23368"/>
      <w:bookmarkStart w:id="451" w:name="_Toc10663"/>
      <w:bookmarkStart w:id="452" w:name="_Toc21830"/>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14371"/>
      <w:bookmarkStart w:id="455" w:name="_Toc32494"/>
      <w:bookmarkStart w:id="456" w:name="_Toc26633"/>
      <w:bookmarkStart w:id="457" w:name="_Toc4720"/>
      <w:bookmarkStart w:id="458" w:name="_Toc255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14115"/>
      <w:bookmarkStart w:id="460" w:name="_Toc23854"/>
      <w:bookmarkStart w:id="461" w:name="_Toc24465"/>
      <w:bookmarkStart w:id="462" w:name="_Toc3638"/>
      <w:bookmarkStart w:id="463" w:name="_Toc25783"/>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14814"/>
      <w:bookmarkStart w:id="465" w:name="_Toc26883"/>
      <w:bookmarkStart w:id="466" w:name="_Toc25525"/>
      <w:bookmarkStart w:id="467" w:name="_Toc30105"/>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23323"/>
      <w:bookmarkStart w:id="470" w:name="_Toc2016"/>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4525"/>
      <w:bookmarkStart w:id="473" w:name="_Toc17363"/>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5198"/>
      <w:bookmarkStart w:id="476" w:name="_Toc2308"/>
      <w:bookmarkStart w:id="477" w:name="_Toc9808"/>
      <w:bookmarkStart w:id="478" w:name="_Toc12666"/>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30599"/>
      <w:bookmarkStart w:id="483" w:name="_Toc4355"/>
      <w:bookmarkStart w:id="484" w:name="_Toc18540"/>
      <w:bookmarkStart w:id="485" w:name="_Toc27644"/>
      <w:bookmarkStart w:id="486" w:name="_Toc5063"/>
      <w:bookmarkStart w:id="487" w:name="_Toc20808"/>
      <w:bookmarkStart w:id="488" w:name="_Toc28906"/>
      <w:bookmarkStart w:id="489" w:name="_Toc12254"/>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4"/>
        <w:spacing w:line="560" w:lineRule="exact"/>
        <w:ind w:left="0" w:leftChars="0" w:firstLine="0" w:firstLineChars="0"/>
        <w:jc w:val="center"/>
        <w:rPr>
          <w:rFonts w:hint="eastAsia" w:ascii="宋体" w:hAnsi="宋体"/>
          <w:b/>
          <w:szCs w:val="24"/>
        </w:rPr>
      </w:pPr>
    </w:p>
    <w:p w14:paraId="2C40B3D6">
      <w:pPr>
        <w:pStyle w:val="24"/>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2025-2027年质量、环境、健康三体系认证复审及监督审核服务（重新询价）采购项目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7"/>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6"/>
      </w:pPr>
    </w:p>
    <w:p w14:paraId="082AE6C4">
      <w:pPr>
        <w:rPr>
          <w:color w:val="auto"/>
        </w:rPr>
      </w:pPr>
    </w:p>
    <w:p w14:paraId="77BEF728">
      <w:pPr>
        <w:rPr>
          <w:color w:val="auto"/>
        </w:rPr>
      </w:pPr>
    </w:p>
    <w:p w14:paraId="4BCED511">
      <w:pPr>
        <w:pStyle w:val="14"/>
        <w:rPr>
          <w:color w:val="auto"/>
        </w:rPr>
      </w:pPr>
    </w:p>
    <w:p w14:paraId="465FA949">
      <w:pPr>
        <w:pStyle w:val="14"/>
      </w:pPr>
    </w:p>
    <w:p w14:paraId="5F4E7760">
      <w:pPr>
        <w:pStyle w:val="15"/>
        <w:rPr>
          <w:color w:val="auto"/>
        </w:rPr>
      </w:pPr>
    </w:p>
    <w:p w14:paraId="3B048014">
      <w:pPr>
        <w:pStyle w:val="12"/>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2025-2027年质量、环境、健康三体系认证复审及监督审核服务（重新询价）采购项目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202505036</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2"/>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2025-2027年质量、环境、健康三体系认证复审及监督审核服务（重新询价）采购项目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202505036</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如</w:t>
      </w:r>
      <w:r>
        <w:rPr>
          <w:rFonts w:hint="eastAsia" w:cs="仿宋" w:asciiTheme="minorEastAsia" w:hAnsiTheme="minorEastAsia"/>
          <w:b/>
          <w:bCs/>
          <w:color w:val="auto"/>
          <w:sz w:val="24"/>
          <w:lang w:eastAsia="zh-CN"/>
        </w:rPr>
        <w:t>供应商具备有效期内国家认监委的认证证书以及同时具备CNAS和IAF认证资质（提供复印件）</w:t>
      </w:r>
      <w:r>
        <w:rPr>
          <w:rFonts w:hint="eastAsia" w:cs="仿宋" w:asciiTheme="minorEastAsia" w:hAnsiTheme="minorEastAsia"/>
          <w:color w:val="auto"/>
          <w:sz w:val="24"/>
        </w:rPr>
        <w:t>；未要求的，无需提供）</w:t>
      </w:r>
    </w:p>
    <w:p w14:paraId="6CAD4292">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2"/>
        <w:rPr>
          <w:color w:val="auto"/>
        </w:rPr>
      </w:pPr>
    </w:p>
    <w:p w14:paraId="12E7506A">
      <w:pPr>
        <w:rPr>
          <w:color w:val="auto"/>
        </w:rPr>
      </w:pPr>
    </w:p>
    <w:p w14:paraId="21F41F43">
      <w:pPr>
        <w:rPr>
          <w:color w:val="auto"/>
        </w:rPr>
      </w:pPr>
    </w:p>
    <w:p w14:paraId="6385A43C">
      <w:pPr>
        <w:pStyle w:val="15"/>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36"/>
        <w:gridCol w:w="4489"/>
        <w:gridCol w:w="1169"/>
        <w:gridCol w:w="825"/>
        <w:gridCol w:w="1230"/>
        <w:gridCol w:w="1080"/>
        <w:gridCol w:w="1515"/>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78"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36"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4489"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169"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16E6DDDB">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78" w:type="dxa"/>
            <w:vAlign w:val="center"/>
          </w:tcPr>
          <w:p w14:paraId="449D66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36" w:type="dxa"/>
            <w:vAlign w:val="center"/>
          </w:tcPr>
          <w:p w14:paraId="2D43313D">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2025年-2027年三体系复审及年度监督审核咨询服务</w:t>
            </w:r>
          </w:p>
        </w:tc>
        <w:tc>
          <w:tcPr>
            <w:tcW w:w="4489" w:type="dxa"/>
            <w:vAlign w:val="center"/>
          </w:tcPr>
          <w:p w14:paraId="5088E97B">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1、供应商应依据合理有效的认证标准在临江公司原三体系证书有效期（有效期至2025年11月1日）到期前完成复审认证；</w:t>
            </w:r>
          </w:p>
          <w:p w14:paraId="771B3A41">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2、复审、第一次和第二次年度监督审核期间所产生的所有费用均含在报价内，包括且不仅限于申请费、证书注册费、专家费、差旅费等；</w:t>
            </w:r>
          </w:p>
        </w:tc>
        <w:tc>
          <w:tcPr>
            <w:tcW w:w="1169" w:type="dxa"/>
            <w:vAlign w:val="center"/>
          </w:tcPr>
          <w:p w14:paraId="3B2AAFCB">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825" w:type="dxa"/>
            <w:vAlign w:val="center"/>
          </w:tcPr>
          <w:p w14:paraId="5F5AFF5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230" w:type="dxa"/>
            <w:vAlign w:val="center"/>
          </w:tcPr>
          <w:p w14:paraId="617C1419">
            <w:pPr>
              <w:spacing w:line="360" w:lineRule="auto"/>
              <w:jc w:val="center"/>
              <w:rPr>
                <w:rFonts w:hint="eastAsia" w:ascii="宋体" w:hAnsi="宋体" w:eastAsia="宋体" w:cs="宋体"/>
                <w:color w:val="auto"/>
                <w:sz w:val="21"/>
                <w:szCs w:val="21"/>
              </w:rPr>
            </w:pPr>
          </w:p>
        </w:tc>
        <w:tc>
          <w:tcPr>
            <w:tcW w:w="1080" w:type="dxa"/>
            <w:vAlign w:val="center"/>
          </w:tcPr>
          <w:p w14:paraId="7DBD9E08">
            <w:pPr>
              <w:spacing w:line="360" w:lineRule="auto"/>
              <w:jc w:val="center"/>
              <w:rPr>
                <w:rFonts w:hint="eastAsia" w:ascii="宋体" w:hAnsi="宋体" w:eastAsia="宋体" w:cs="宋体"/>
                <w:color w:val="auto"/>
                <w:sz w:val="21"/>
                <w:szCs w:val="21"/>
              </w:rPr>
            </w:pPr>
          </w:p>
        </w:tc>
        <w:tc>
          <w:tcPr>
            <w:tcW w:w="1515" w:type="dxa"/>
            <w:vAlign w:val="center"/>
          </w:tcPr>
          <w:p w14:paraId="270198FB">
            <w:pPr>
              <w:spacing w:line="360" w:lineRule="auto"/>
              <w:jc w:val="center"/>
              <w:rPr>
                <w:rFonts w:hint="eastAsia" w:ascii="宋体" w:hAnsi="宋体" w:eastAsia="宋体" w:cs="宋体"/>
                <w:color w:val="auto"/>
                <w:sz w:val="21"/>
                <w:szCs w:val="21"/>
              </w:rPr>
            </w:pPr>
          </w:p>
        </w:tc>
        <w:tc>
          <w:tcPr>
            <w:tcW w:w="1515" w:type="dxa"/>
            <w:vAlign w:val="center"/>
          </w:tcPr>
          <w:p w14:paraId="53C6D551">
            <w:pPr>
              <w:spacing w:line="360" w:lineRule="auto"/>
              <w:jc w:val="center"/>
              <w:rPr>
                <w:rFonts w:hint="eastAsia" w:ascii="宋体" w:hAnsi="宋体" w:eastAsia="宋体" w:cs="宋体"/>
                <w:color w:val="auto"/>
                <w:sz w:val="21"/>
                <w:szCs w:val="21"/>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4EA0DE57">
      <w:pPr>
        <w:rPr>
          <w:color w:val="auto"/>
        </w:rPr>
      </w:pPr>
    </w:p>
    <w:p w14:paraId="5A955980">
      <w:pPr>
        <w:pStyle w:val="6"/>
        <w:rPr>
          <w:color w:val="auto"/>
        </w:rPr>
      </w:pPr>
    </w:p>
    <w:p w14:paraId="51D19BFC">
      <w:pPr>
        <w:pStyle w:val="15"/>
        <w:rPr>
          <w:color w:val="auto"/>
        </w:rPr>
      </w:pPr>
    </w:p>
    <w:p w14:paraId="4C768EA5">
      <w:pPr>
        <w:rPr>
          <w:color w:val="auto"/>
        </w:rPr>
      </w:pPr>
    </w:p>
    <w:p w14:paraId="027572C0">
      <w:pPr>
        <w:pStyle w:val="6"/>
        <w:rPr>
          <w:color w:val="auto"/>
        </w:rPr>
      </w:pPr>
    </w:p>
    <w:p w14:paraId="7548D6A0">
      <w:pPr>
        <w:pStyle w:val="15"/>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2025-2027年质量、环境、健康三体系认证复审及监督审核服务（重新询价）采购项目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10F43"/>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890233"/>
    <w:rsid w:val="198737C7"/>
    <w:rsid w:val="19DC6BDA"/>
    <w:rsid w:val="1A846C12"/>
    <w:rsid w:val="1AA56FDE"/>
    <w:rsid w:val="1B7913A6"/>
    <w:rsid w:val="1BEF726B"/>
    <w:rsid w:val="1C742A28"/>
    <w:rsid w:val="1CAA3340"/>
    <w:rsid w:val="1CD34128"/>
    <w:rsid w:val="1CDE6781"/>
    <w:rsid w:val="1D987ACC"/>
    <w:rsid w:val="1DEB283E"/>
    <w:rsid w:val="1F29161A"/>
    <w:rsid w:val="1F457921"/>
    <w:rsid w:val="20284B0B"/>
    <w:rsid w:val="21506E41"/>
    <w:rsid w:val="21677697"/>
    <w:rsid w:val="21D147B8"/>
    <w:rsid w:val="229536BA"/>
    <w:rsid w:val="22A244DC"/>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4B6E80"/>
    <w:rsid w:val="31BF0628"/>
    <w:rsid w:val="32843E96"/>
    <w:rsid w:val="32D33460"/>
    <w:rsid w:val="34120AC9"/>
    <w:rsid w:val="346671FA"/>
    <w:rsid w:val="34DD62C6"/>
    <w:rsid w:val="351F7AFD"/>
    <w:rsid w:val="352F03C1"/>
    <w:rsid w:val="36162BCB"/>
    <w:rsid w:val="363646DC"/>
    <w:rsid w:val="36412810"/>
    <w:rsid w:val="36A32180"/>
    <w:rsid w:val="36BD312A"/>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CE874B7"/>
    <w:rsid w:val="5DE05449"/>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022D72"/>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2420</Words>
  <Characters>2733</Characters>
  <Lines>0</Lines>
  <Paragraphs>0</Paragraphs>
  <TotalTime>13</TotalTime>
  <ScaleCrop>false</ScaleCrop>
  <LinksUpToDate>false</LinksUpToDate>
  <CharactersWithSpaces>2833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2025-06-05T07:10:07Z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