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2025年焚烧车间A线窑头进料装置改造采购项目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202506035</w:t>
      </w:r>
    </w:p>
    <w:p>
      <w:pPr>
        <w:spacing w:line="360" w:lineRule="auto"/>
        <w:jc w:val="center"/>
        <w:rPr>
          <w:rFonts w:cs="仿宋" w:asciiTheme="minorEastAsia" w:hAnsiTheme="minorEastAsia"/>
          <w:b/>
          <w:bCs/>
          <w:sz w:val="72"/>
          <w:szCs w:val="72"/>
        </w:rPr>
      </w:pPr>
    </w:p>
    <w:p>
      <w:pPr>
        <w:pStyle w:val="7"/>
        <w:rPr>
          <w:rFonts w:asciiTheme="minorEastAsia" w:hAnsiTheme="minorEastAsia"/>
        </w:rPr>
      </w:pPr>
    </w:p>
    <w:p>
      <w:pPr>
        <w:spacing w:line="360" w:lineRule="auto"/>
        <w:jc w:val="center"/>
        <w:rPr>
          <w:rFonts w:cs="仿宋" w:asciiTheme="minorEastAsia" w:hAnsiTheme="minorEastAsia"/>
          <w:b/>
          <w:bCs/>
          <w:sz w:val="72"/>
          <w:szCs w:val="72"/>
        </w:rPr>
      </w:pPr>
    </w:p>
    <w:p>
      <w:pPr>
        <w:pStyle w:val="11"/>
      </w:pPr>
    </w:p>
    <w:p/>
    <w:p>
      <w:pPr>
        <w:pStyle w:val="11"/>
      </w:pPr>
    </w:p>
    <w:p/>
    <w:p>
      <w:pPr>
        <w:spacing w:line="360" w:lineRule="auto"/>
        <w:rPr>
          <w:rFonts w:cs="仿宋" w:asciiTheme="minorEastAsia" w:hAnsiTheme="minorEastAsia"/>
          <w:sz w:val="24"/>
        </w:rPr>
      </w:pPr>
    </w:p>
    <w:p>
      <w:pPr>
        <w:pStyle w:val="11"/>
        <w:rPr>
          <w:rFonts w:cs="仿宋" w:asciiTheme="minorEastAsia" w:hAnsiTheme="minorEastAsia"/>
          <w:sz w:val="24"/>
          <w:szCs w:val="24"/>
        </w:rPr>
      </w:pPr>
    </w:p>
    <w:p>
      <w:pPr>
        <w:pStyle w:val="11"/>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6</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16</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621"/>
      <w:bookmarkStart w:id="2" w:name="_Toc28359002"/>
      <w:bookmarkStart w:id="3" w:name="_Toc35393790"/>
      <w:bookmarkStart w:id="4" w:name="_Toc28359079"/>
      <w:bookmarkStart w:id="5"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2025年焚烧车间A线窑头进料装置改造采购项目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w:t>
      </w:r>
      <w:r>
        <w:rPr>
          <w:rFonts w:hint="eastAsia" w:cs="仿宋" w:asciiTheme="minorEastAsia" w:hAnsiTheme="minorEastAsia"/>
          <w:sz w:val="24"/>
          <w:lang w:eastAsia="zh-CN"/>
        </w:rPr>
        <w:t>）</w:t>
      </w:r>
      <w:r>
        <w:rPr>
          <w:rFonts w:hint="eastAsia" w:cs="仿宋" w:asciiTheme="minorEastAsia" w:hAnsiTheme="minorEastAsia"/>
          <w:sz w:val="24"/>
        </w:rPr>
        <w:t>、浙江政府采购网（http://zfcg.czt.zj.gov.cn</w:t>
      </w:r>
      <w:r>
        <w:rPr>
          <w:rFonts w:hint="eastAsia" w:cs="仿宋" w:asciiTheme="minorEastAsia" w:hAnsiTheme="minorEastAsia"/>
          <w:sz w:val="24"/>
          <w:lang w:eastAsia="zh-CN"/>
        </w:rPr>
        <w:t>）</w:t>
      </w:r>
      <w:r>
        <w:rPr>
          <w:rFonts w:hint="eastAsia" w:cs="仿宋" w:asciiTheme="minorEastAsia" w:hAnsiTheme="minorEastAsia"/>
          <w:sz w:val="24"/>
        </w:rPr>
        <w:t>、杭州市环境集团有限公司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3"/>
        <w:spacing w:line="240" w:lineRule="auto"/>
        <w:ind w:firstLine="482" w:firstLineChars="200"/>
        <w:rPr>
          <w:rFonts w:cs="仿宋" w:asciiTheme="minorEastAsia" w:hAnsiTheme="minorEastAsia" w:eastAsiaTheme="minorEastAsia"/>
          <w:bCs w:val="0"/>
          <w:sz w:val="24"/>
          <w:szCs w:val="24"/>
          <w:highlight w:val="none"/>
        </w:rPr>
      </w:pPr>
      <w:r>
        <w:rPr>
          <w:rFonts w:hint="eastAsia" w:cs="仿宋" w:asciiTheme="minorEastAsia" w:hAnsiTheme="minorEastAsia" w:eastAsiaTheme="minorEastAsia"/>
          <w:bCs w:val="0"/>
          <w:sz w:val="24"/>
          <w:szCs w:val="24"/>
          <w:highlight w:val="none"/>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highlight w:val="none"/>
          <w:u w:val="single"/>
          <w:lang w:eastAsia="zh-CN"/>
        </w:rPr>
      </w:pPr>
      <w:r>
        <w:rPr>
          <w:rFonts w:hint="eastAsia" w:cs="仿宋" w:asciiTheme="minorEastAsia" w:hAnsiTheme="minorEastAsia"/>
          <w:b/>
          <w:bCs/>
          <w:sz w:val="24"/>
          <w:highlight w:val="none"/>
        </w:rPr>
        <w:t>1.项目编号：</w:t>
      </w:r>
      <w:r>
        <w:rPr>
          <w:rFonts w:hint="eastAsia" w:cs="仿宋" w:asciiTheme="minorEastAsia" w:hAnsiTheme="minorEastAsia"/>
          <w:sz w:val="24"/>
          <w:highlight w:val="none"/>
          <w:u w:val="single"/>
          <w:lang w:eastAsia="zh-CN"/>
        </w:rPr>
        <w:t>202506035</w:t>
      </w:r>
    </w:p>
    <w:p>
      <w:pPr>
        <w:spacing w:line="360" w:lineRule="auto"/>
        <w:ind w:firstLine="482" w:firstLineChars="200"/>
        <w:rPr>
          <w:rFonts w:cs="仿宋" w:asciiTheme="minorEastAsia" w:hAnsiTheme="minorEastAsia"/>
          <w:sz w:val="24"/>
          <w:highlight w:val="none"/>
          <w:u w:val="single"/>
        </w:rPr>
      </w:pPr>
      <w:r>
        <w:rPr>
          <w:rFonts w:hint="eastAsia" w:cs="仿宋" w:asciiTheme="minorEastAsia" w:hAnsiTheme="minorEastAsia"/>
          <w:b/>
          <w:bCs/>
          <w:sz w:val="24"/>
          <w:highlight w:val="none"/>
        </w:rPr>
        <w:t>2.项目名称：</w:t>
      </w:r>
      <w:r>
        <w:rPr>
          <w:rFonts w:cs="仿宋" w:asciiTheme="minorEastAsia" w:hAnsiTheme="minorEastAsia"/>
          <w:sz w:val="24"/>
          <w:highlight w:val="none"/>
          <w:u w:val="single"/>
        </w:rPr>
        <w:t xml:space="preserve"> </w:t>
      </w:r>
      <w:r>
        <w:rPr>
          <w:rFonts w:hint="eastAsia" w:cs="仿宋" w:asciiTheme="minorEastAsia" w:hAnsiTheme="minorEastAsia"/>
          <w:sz w:val="24"/>
          <w:highlight w:val="none"/>
          <w:u w:val="single"/>
          <w:lang w:eastAsia="zh-CN"/>
        </w:rPr>
        <w:t>2025年焚烧车间A线窑头进料装置改造采购项目</w:t>
      </w:r>
      <w:r>
        <w:rPr>
          <w:rFonts w:cs="仿宋" w:asciiTheme="minorEastAsia" w:hAnsiTheme="minorEastAsia"/>
          <w:sz w:val="24"/>
          <w:highlight w:val="none"/>
          <w:u w:val="single"/>
        </w:rPr>
        <w:t xml:space="preserve"> </w:t>
      </w:r>
    </w:p>
    <w:p>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3.采购方式：</w:t>
      </w:r>
      <w:r>
        <w:rPr>
          <w:rFonts w:hint="eastAsia" w:cs="仿宋" w:asciiTheme="minorEastAsia" w:hAnsiTheme="minorEastAsia"/>
          <w:sz w:val="24"/>
          <w:highlight w:val="none"/>
          <w:u w:val="single"/>
        </w:rPr>
        <w:t>询价</w:t>
      </w:r>
    </w:p>
    <w:bookmarkEnd w:id="5"/>
    <w:p>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4.最高限价：</w:t>
      </w:r>
      <w:r>
        <w:rPr>
          <w:rFonts w:hint="eastAsia" w:cs="仿宋" w:asciiTheme="minorEastAsia" w:hAnsiTheme="minorEastAsia"/>
          <w:sz w:val="24"/>
          <w:highlight w:val="none"/>
          <w:u w:val="single"/>
          <w:lang w:val="en-US" w:eastAsia="zh-CN"/>
        </w:rPr>
        <w:t>29.35</w:t>
      </w:r>
      <w:r>
        <w:rPr>
          <w:rFonts w:hint="eastAsia" w:cs="仿宋" w:asciiTheme="minorEastAsia" w:hAnsiTheme="minorEastAsia"/>
          <w:sz w:val="24"/>
          <w:highlight w:val="none"/>
          <w:u w:val="single"/>
        </w:rPr>
        <w:t>万元</w:t>
      </w:r>
    </w:p>
    <w:p>
      <w:pPr>
        <w:spacing w:line="360" w:lineRule="auto"/>
        <w:ind w:firstLine="482" w:firstLineChars="200"/>
        <w:rPr>
          <w:rFonts w:hAnsi="宋体" w:cs="宋体"/>
          <w:bCs/>
          <w:sz w:val="24"/>
          <w:highlight w:val="none"/>
        </w:rPr>
      </w:pPr>
      <w:r>
        <w:rPr>
          <w:rFonts w:hint="eastAsia" w:cs="仿宋" w:asciiTheme="minorEastAsia" w:hAnsiTheme="minorEastAsia"/>
          <w:b/>
          <w:bCs/>
          <w:sz w:val="24"/>
          <w:highlight w:val="none"/>
        </w:rPr>
        <w:t>5.采购需求：</w:t>
      </w:r>
    </w:p>
    <w:p>
      <w:pPr>
        <w:spacing w:line="360" w:lineRule="auto"/>
        <w:ind w:firstLine="480" w:firstLineChars="200"/>
        <w:rPr>
          <w:rFonts w:hAnsi="宋体"/>
          <w:color w:val="auto"/>
          <w:sz w:val="24"/>
          <w:highlight w:val="none"/>
        </w:rPr>
      </w:pPr>
      <w:r>
        <w:rPr>
          <w:rFonts w:hint="eastAsia" w:hAnsi="宋体" w:cs="宋体"/>
          <w:bCs/>
          <w:color w:val="auto"/>
          <w:sz w:val="24"/>
          <w:highlight w:val="none"/>
        </w:rPr>
        <w:t>杭州临江环境能源有限公司因日常生产需要，需</w:t>
      </w:r>
      <w:r>
        <w:rPr>
          <w:rFonts w:hint="eastAsia" w:hAnsi="宋体" w:cs="宋体"/>
          <w:bCs/>
          <w:color w:val="auto"/>
          <w:sz w:val="24"/>
          <w:highlight w:val="none"/>
          <w:lang w:val="en-US" w:eastAsia="zh-CN"/>
        </w:rPr>
        <w:t>改造三固运行中心A线窑头进料装置</w:t>
      </w:r>
      <w:r>
        <w:rPr>
          <w:rFonts w:hint="eastAsia" w:hAnsi="宋体" w:cs="宋体"/>
          <w:bCs/>
          <w:color w:val="auto"/>
          <w:sz w:val="24"/>
          <w:highlight w:val="none"/>
          <w:lang w:eastAsia="zh-CN"/>
        </w:rPr>
        <w:t>，</w:t>
      </w:r>
      <w:r>
        <w:rPr>
          <w:rFonts w:hint="eastAsia" w:hAnsi="宋体" w:cs="宋体"/>
          <w:bCs/>
          <w:color w:val="auto"/>
          <w:sz w:val="24"/>
          <w:highlight w:val="none"/>
          <w:lang w:val="en-US" w:eastAsia="zh-CN"/>
        </w:rPr>
        <w:t>主要包括新增一套板式给料机、落料清扫装置、支撑框架及支座、挡料板、检修平台、电气改造及将控制系统接入DCS等，</w:t>
      </w:r>
      <w:r>
        <w:rPr>
          <w:rFonts w:hint="eastAsia" w:cs="仿宋" w:asciiTheme="minorEastAsia" w:hAnsiTheme="minorEastAsia"/>
          <w:color w:val="auto"/>
          <w:sz w:val="24"/>
          <w:highlight w:val="none"/>
        </w:rPr>
        <w:t>具体要求以询价通知书第三部分采购需求为准。</w:t>
      </w:r>
    </w:p>
    <w:p>
      <w:pPr>
        <w:spacing w:line="360" w:lineRule="auto"/>
        <w:ind w:firstLine="480" w:firstLineChars="200"/>
        <w:rPr>
          <w:rFonts w:cs="仿宋" w:asciiTheme="minorEastAsia" w:hAnsiTheme="minorEastAsia"/>
          <w:sz w:val="24"/>
          <w:highlight w:val="none"/>
          <w:u w:val="single"/>
        </w:rPr>
      </w:pPr>
      <w:r>
        <w:rPr>
          <w:rFonts w:hint="eastAsia" w:cs="仿宋" w:asciiTheme="minorEastAsia" w:hAnsiTheme="minorEastAsia"/>
          <w:sz w:val="24"/>
          <w:highlight w:val="none"/>
        </w:rPr>
        <w:t>6.</w:t>
      </w:r>
      <w:r>
        <w:rPr>
          <w:rFonts w:hint="eastAsia" w:cs="仿宋" w:asciiTheme="minorEastAsia" w:hAnsiTheme="minorEastAsia"/>
          <w:b/>
          <w:bCs/>
          <w:sz w:val="24"/>
          <w:highlight w:val="none"/>
        </w:rPr>
        <w:t>合同期限：</w:t>
      </w:r>
      <w:r>
        <w:rPr>
          <w:rFonts w:hint="eastAsia" w:cs="仿宋" w:asciiTheme="minorEastAsia" w:hAnsiTheme="minorEastAsia"/>
          <w:sz w:val="24"/>
          <w:highlight w:val="none"/>
          <w:u w:val="single"/>
        </w:rPr>
        <w:t xml:space="preserve"> </w:t>
      </w:r>
      <w:r>
        <w:rPr>
          <w:rFonts w:hint="eastAsia" w:cs="仿宋" w:asciiTheme="minorEastAsia" w:hAnsiTheme="minorEastAsia"/>
          <w:sz w:val="24"/>
          <w:highlight w:val="none"/>
          <w:u w:val="single"/>
          <w:lang w:eastAsia="zh-CN"/>
        </w:rPr>
        <w:t>一次性供货、</w:t>
      </w:r>
      <w:r>
        <w:rPr>
          <w:rFonts w:hint="eastAsia" w:cs="仿宋" w:asciiTheme="minorEastAsia" w:hAnsiTheme="minorEastAsia"/>
          <w:sz w:val="24"/>
          <w:highlight w:val="none"/>
          <w:u w:val="single"/>
          <w:lang w:val="en-US" w:eastAsia="zh-CN"/>
        </w:rPr>
        <w:t>安装</w:t>
      </w:r>
      <w:r>
        <w:rPr>
          <w:rFonts w:hint="eastAsia" w:cs="仿宋" w:asciiTheme="minorEastAsia" w:hAnsiTheme="minorEastAsia"/>
          <w:sz w:val="24"/>
          <w:highlight w:val="none"/>
          <w:u w:val="single"/>
          <w:lang w:eastAsia="zh-CN"/>
        </w:rPr>
        <w:t>结束后合同自动终止</w:t>
      </w:r>
      <w:r>
        <w:rPr>
          <w:rFonts w:hint="eastAsia" w:cs="仿宋" w:asciiTheme="minorEastAsia" w:hAnsiTheme="minorEastAsia"/>
          <w:sz w:val="24"/>
          <w:highlight w:val="none"/>
          <w:u w:val="single"/>
        </w:rPr>
        <w:t>。在采购人发出送货通知后，</w:t>
      </w:r>
      <w:r>
        <w:rPr>
          <w:rFonts w:hint="eastAsia" w:cs="仿宋" w:asciiTheme="minorEastAsia" w:hAnsiTheme="minorEastAsia"/>
          <w:sz w:val="24"/>
          <w:highlight w:val="none"/>
          <w:u w:val="single"/>
          <w:lang w:val="en-US" w:eastAsia="zh-CN"/>
        </w:rPr>
        <w:t>30天内</w:t>
      </w:r>
      <w:r>
        <w:rPr>
          <w:rFonts w:hint="eastAsia" w:cs="仿宋" w:asciiTheme="minorEastAsia" w:hAnsiTheme="minorEastAsia"/>
          <w:sz w:val="24"/>
          <w:highlight w:val="none"/>
          <w:u w:val="single"/>
          <w:lang w:eastAsia="zh-CN"/>
        </w:rPr>
        <w:t>按采购人订单</w:t>
      </w:r>
      <w:r>
        <w:rPr>
          <w:rFonts w:hint="eastAsia" w:cs="仿宋" w:asciiTheme="minorEastAsia" w:hAnsiTheme="minorEastAsia"/>
          <w:sz w:val="24"/>
          <w:highlight w:val="none"/>
          <w:u w:val="single"/>
        </w:rPr>
        <w:t>将货物如数送至采购人指定地点</w:t>
      </w:r>
      <w:r>
        <w:rPr>
          <w:rFonts w:hint="eastAsia" w:cs="仿宋" w:asciiTheme="minorEastAsia" w:hAnsiTheme="minorEastAsia"/>
          <w:sz w:val="24"/>
          <w:highlight w:val="none"/>
          <w:u w:val="single"/>
          <w:lang w:val="en-US" w:eastAsia="zh-CN"/>
        </w:rPr>
        <w:t>并完成安装</w:t>
      </w:r>
      <w:r>
        <w:rPr>
          <w:rFonts w:hint="eastAsia" w:cs="仿宋" w:asciiTheme="minorEastAsia" w:hAnsiTheme="minorEastAsia"/>
          <w:sz w:val="24"/>
          <w:highlight w:val="none"/>
          <w:u w:val="single"/>
        </w:rPr>
        <w:t>。</w:t>
      </w:r>
    </w:p>
    <w:p>
      <w:pPr>
        <w:spacing w:line="360" w:lineRule="auto"/>
        <w:ind w:firstLine="480" w:firstLineChars="200"/>
        <w:rPr>
          <w:rFonts w:cs="仿宋" w:asciiTheme="minorEastAsia" w:hAnsiTheme="minorEastAsia"/>
          <w:sz w:val="24"/>
          <w:highlight w:val="none"/>
        </w:rPr>
      </w:pPr>
      <w:r>
        <w:rPr>
          <w:rFonts w:cs="仿宋" w:asciiTheme="minorEastAsia" w:hAnsiTheme="minorEastAsia"/>
          <w:sz w:val="24"/>
          <w:highlight w:val="none"/>
        </w:rPr>
        <w:t>7.</w:t>
      </w:r>
      <w:r>
        <w:rPr>
          <w:rFonts w:hint="eastAsia" w:hAnsi="宋体" w:cs="宋体"/>
          <w:b/>
          <w:sz w:val="24"/>
          <w:highlight w:val="none"/>
        </w:rPr>
        <w:t>本项目</w:t>
      </w:r>
      <w:r>
        <w:rPr>
          <w:rFonts w:hint="eastAsia" w:hAnsi="宋体" w:cs="宋体"/>
          <w:b/>
          <w:sz w:val="24"/>
          <w:highlight w:val="none"/>
          <w:lang w:val="en-US" w:eastAsia="zh-CN"/>
        </w:rPr>
        <w:t>不</w:t>
      </w:r>
      <w:r>
        <w:rPr>
          <w:rFonts w:hint="eastAsia" w:hAnsi="宋体" w:cs="宋体"/>
          <w:b/>
          <w:sz w:val="24"/>
          <w:highlight w:val="none"/>
        </w:rPr>
        <w:t>接受联合体</w:t>
      </w:r>
      <w:r>
        <w:rPr>
          <w:rFonts w:hint="eastAsia" w:hAnsi="宋体" w:cs="宋体"/>
          <w:b/>
          <w:sz w:val="24"/>
          <w:highlight w:val="none"/>
          <w:lang w:val="en-US" w:eastAsia="zh-CN"/>
        </w:rPr>
        <w:t>响应</w:t>
      </w:r>
      <w:r>
        <w:rPr>
          <w:rFonts w:hint="eastAsia" w:hAnsi="宋体" w:cs="宋体"/>
          <w:kern w:val="0"/>
          <w:sz w:val="24"/>
          <w:highlight w:val="none"/>
        </w:rPr>
        <w:t>。</w:t>
      </w:r>
    </w:p>
    <w:p>
      <w:pPr>
        <w:spacing w:line="360" w:lineRule="auto"/>
        <w:ind w:firstLine="482" w:firstLineChars="200"/>
        <w:rPr>
          <w:rFonts w:cs="仿宋" w:asciiTheme="minorEastAsia" w:hAnsiTheme="minorEastAsia"/>
          <w:b/>
          <w:bCs/>
          <w:sz w:val="24"/>
          <w:highlight w:val="none"/>
        </w:rPr>
      </w:pPr>
      <w:bookmarkStart w:id="6" w:name="_Toc35393622"/>
      <w:bookmarkStart w:id="7" w:name="_Toc28359003"/>
      <w:bookmarkStart w:id="8" w:name="_Toc28359080"/>
      <w:bookmarkStart w:id="9" w:name="_Toc35393791"/>
      <w:r>
        <w:rPr>
          <w:rFonts w:hint="eastAsia" w:cs="仿宋" w:asciiTheme="minorEastAsia" w:hAnsiTheme="minorEastAsia"/>
          <w:b/>
          <w:bCs/>
          <w:sz w:val="24"/>
          <w:highlight w:val="none"/>
        </w:rPr>
        <w:t>二、供应商的资格要求：</w:t>
      </w:r>
      <w:bookmarkEnd w:id="6"/>
      <w:bookmarkEnd w:id="7"/>
      <w:bookmarkEnd w:id="8"/>
      <w:bookmarkEnd w:id="9"/>
      <w:bookmarkStart w:id="10" w:name="_Toc28359081"/>
      <w:bookmarkStart w:id="11" w:name="_Toc35393623"/>
      <w:bookmarkStart w:id="12" w:name="_Toc35393792"/>
      <w:bookmarkStart w:id="13" w:name="_Toc28359004"/>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www.creditchina.gov.cn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、中国政府采购网</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www.ccgp.gov.cn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u w:val="single"/>
        </w:rPr>
        <w:t xml:space="preserve"> </w:t>
      </w:r>
      <w:r>
        <w:rPr>
          <w:rFonts w:hint="eastAsia" w:cs="仿宋" w:asciiTheme="minorEastAsia" w:hAnsiTheme="minorEastAsia"/>
          <w:bCs/>
          <w:color w:val="auto"/>
          <w:sz w:val="24"/>
          <w:highlight w:val="none"/>
          <w:u w:val="single"/>
          <w:lang w:val="en-US" w:eastAsia="zh-CN"/>
        </w:rPr>
        <w:t xml:space="preserve">/ </w:t>
      </w:r>
      <w:r>
        <w:rPr>
          <w:rFonts w:hint="eastAsia" w:cs="仿宋" w:asciiTheme="minorEastAsia" w:hAnsiTheme="minorEastAsia"/>
          <w:bCs/>
          <w:color w:val="auto"/>
          <w:sz w:val="24"/>
          <w:highlight w:val="none"/>
          <w:u w:val="none"/>
          <w:lang w:val="en-US" w:eastAsia="zh-CN"/>
        </w:rPr>
        <w:t>。</w:t>
      </w:r>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rPr>
        <w:t>杭州市环境集团有限公司不合格供应商或者在黑名单之内。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pPr>
        <w:spacing w:line="360" w:lineRule="auto"/>
        <w:ind w:firstLine="480" w:firstLineChars="200"/>
        <w:rPr>
          <w:rFonts w:cs="仿宋" w:asciiTheme="minorEastAsia" w:hAnsiTheme="minorEastAsia"/>
          <w:bCs/>
          <w:color w:val="auto"/>
          <w:sz w:val="24"/>
          <w:highlight w:val="none"/>
          <w:u w:val="single"/>
        </w:rPr>
      </w:pPr>
      <w:r>
        <w:rPr>
          <w:rFonts w:cs="仿宋" w:asciiTheme="minorEastAsia" w:hAnsiTheme="minorEastAsia"/>
          <w:bCs/>
          <w:color w:val="auto"/>
          <w:sz w:val="24"/>
          <w:highlight w:val="none"/>
        </w:rPr>
        <w:t>7.</w:t>
      </w:r>
      <w:r>
        <w:rPr>
          <w:rFonts w:hint="eastAsia" w:cs="仿宋" w:asciiTheme="minorEastAsia" w:hAnsiTheme="minorEastAsia"/>
          <w:bCs/>
          <w:color w:val="auto"/>
          <w:sz w:val="24"/>
          <w:highlight w:val="none"/>
        </w:rPr>
        <w:t>本项目</w:t>
      </w:r>
      <w:r>
        <w:rPr>
          <w:rFonts w:hint="eastAsia" w:cs="仿宋" w:asciiTheme="minorEastAsia" w:hAnsiTheme="minorEastAsia"/>
          <w:bCs/>
          <w:color w:val="auto"/>
          <w:sz w:val="24"/>
          <w:highlight w:val="none"/>
          <w:lang w:eastAsia="zh-CN"/>
        </w:rPr>
        <w:t>其他资格</w:t>
      </w:r>
      <w:r>
        <w:rPr>
          <w:rFonts w:hint="eastAsia" w:cs="仿宋" w:asciiTheme="minorEastAsia" w:hAnsiTheme="minorEastAsia"/>
          <w:bCs/>
          <w:color w:val="auto"/>
          <w:sz w:val="24"/>
          <w:highlight w:val="none"/>
        </w:rPr>
        <w:t>要求：</w:t>
      </w:r>
      <w:r>
        <w:rPr>
          <w:rFonts w:hint="eastAsia" w:cs="仿宋" w:asciiTheme="minorEastAsia" w:hAnsiTheme="minorEastAsia"/>
          <w:bCs/>
          <w:color w:val="auto"/>
          <w:sz w:val="24"/>
          <w:highlight w:val="none"/>
          <w:u w:val="single"/>
        </w:rPr>
        <w:t xml:space="preserve">  无</w:t>
      </w:r>
      <w:r>
        <w:rPr>
          <w:rFonts w:hint="eastAsia" w:cs="仿宋" w:asciiTheme="minorEastAsia" w:hAnsiTheme="minorEastAsia"/>
          <w:bCs/>
          <w:i/>
          <w:iCs/>
          <w:color w:val="auto"/>
          <w:sz w:val="24"/>
          <w:highlight w:val="none"/>
          <w:u w:val="single"/>
        </w:rPr>
        <w:t xml:space="preserve">  。</w:t>
      </w:r>
    </w:p>
    <w:p>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三、</w:t>
      </w:r>
      <w:bookmarkEnd w:id="10"/>
      <w:bookmarkEnd w:id="11"/>
      <w:bookmarkEnd w:id="12"/>
      <w:bookmarkEnd w:id="13"/>
      <w:r>
        <w:rPr>
          <w:rFonts w:hint="eastAsia" w:cs="仿宋" w:asciiTheme="minorEastAsia" w:hAnsiTheme="minorEastAsia"/>
          <w:b/>
          <w:bCs/>
          <w:sz w:val="24"/>
          <w:highlight w:val="none"/>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highlight w:val="none"/>
        </w:rPr>
      </w:pPr>
      <w:bookmarkStart w:id="14" w:name="_Toc28359082"/>
      <w:bookmarkStart w:id="15" w:name="_Toc28359005"/>
      <w:bookmarkStart w:id="16" w:name="_Toc35393793"/>
      <w:bookmarkStart w:id="17" w:name="_Toc35393624"/>
      <w:r>
        <w:rPr>
          <w:rFonts w:hint="eastAsia" w:cs="仿宋" w:asciiTheme="minorEastAsia" w:hAnsiTheme="minorEastAsia" w:eastAsiaTheme="minorEastAsia"/>
          <w:b w:val="0"/>
          <w:sz w:val="24"/>
          <w:szCs w:val="24"/>
          <w:highlight w:val="none"/>
        </w:rPr>
        <w:t xml:space="preserve">1.时间：报价截止时间前。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highlight w:val="none"/>
        </w:rPr>
      </w:pPr>
      <w:r>
        <w:rPr>
          <w:rFonts w:hint="eastAsia" w:cs="仿宋" w:asciiTheme="minorEastAsia" w:hAnsiTheme="minorEastAsia" w:eastAsiaTheme="minorEastAsia"/>
          <w:b w:val="0"/>
          <w:sz w:val="24"/>
          <w:szCs w:val="24"/>
          <w:highlight w:val="none"/>
        </w:rPr>
        <w:t>2.地点（网址）：杭州临江环境能源有限公司网站（https://www.ljhjny.com/notice.html）。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highlight w:val="none"/>
        </w:rPr>
      </w:pPr>
      <w:r>
        <w:rPr>
          <w:rFonts w:hint="eastAsia" w:cs="仿宋" w:asciiTheme="minorEastAsia" w:hAnsiTheme="minorEastAsia" w:eastAsiaTheme="minorEastAsia"/>
          <w:b w:val="0"/>
          <w:sz w:val="24"/>
          <w:szCs w:val="24"/>
          <w:highlight w:val="none"/>
        </w:rPr>
        <w:t>3.方式：网站附件免费下载。</w:t>
      </w:r>
    </w:p>
    <w:bookmarkEnd w:id="14"/>
    <w:bookmarkEnd w:id="15"/>
    <w:bookmarkEnd w:id="16"/>
    <w:bookmarkEnd w:id="17"/>
    <w:p>
      <w:pPr>
        <w:spacing w:line="360" w:lineRule="auto"/>
        <w:ind w:firstLine="482" w:firstLineChars="200"/>
        <w:rPr>
          <w:rFonts w:hint="eastAsia" w:eastAsia="宋体" w:cs="宋体"/>
          <w:b/>
          <w:bCs w:val="0"/>
          <w:sz w:val="24"/>
          <w:szCs w:val="24"/>
          <w:highlight w:val="none"/>
          <w:u w:val="none"/>
          <w:lang w:val="en-US" w:eastAsia="zh-CN"/>
        </w:rPr>
      </w:pPr>
      <w:r>
        <w:rPr>
          <w:rFonts w:hint="eastAsia" w:cs="仿宋" w:asciiTheme="minorEastAsia" w:hAnsiTheme="minorEastAsia"/>
          <w:b/>
          <w:bCs/>
          <w:sz w:val="24"/>
          <w:highlight w:val="none"/>
        </w:rPr>
        <w:t>四、询价保证金</w:t>
      </w:r>
      <w:r>
        <w:rPr>
          <w:rFonts w:hint="eastAsia" w:cs="仿宋" w:asciiTheme="minorEastAsia" w:hAnsiTheme="minorEastAsia"/>
          <w:b/>
          <w:bCs/>
          <w:sz w:val="24"/>
          <w:highlight w:val="none"/>
          <w:lang w:eastAsia="zh-CN"/>
        </w:rPr>
        <w:t>：</w:t>
      </w:r>
      <w:r>
        <w:rPr>
          <w:rFonts w:hint="eastAsia" w:eastAsia="宋体" w:cs="宋体"/>
          <w:b w:val="0"/>
          <w:bCs/>
          <w:sz w:val="24"/>
          <w:szCs w:val="24"/>
          <w:highlight w:val="none"/>
          <w:u w:val="none"/>
          <w:lang w:val="en-US" w:eastAsia="zh-CN"/>
        </w:rPr>
        <w:t>本项目</w:t>
      </w:r>
      <w:r>
        <w:rPr>
          <w:rFonts w:hint="eastAsia" w:eastAsia="宋体" w:cs="宋体"/>
          <w:b w:val="0"/>
          <w:bCs/>
          <w:sz w:val="24"/>
          <w:szCs w:val="24"/>
          <w:highlight w:val="none"/>
          <w:u w:val="single"/>
          <w:lang w:val="en-US" w:eastAsia="zh-CN"/>
        </w:rPr>
        <w:t xml:space="preserve"> </w:t>
      </w:r>
      <w:r>
        <w:rPr>
          <w:rFonts w:hint="eastAsia" w:cs="宋体"/>
          <w:bCs/>
          <w:color w:val="000000" w:themeColor="text1"/>
          <w:kern w:val="2"/>
          <w:sz w:val="24"/>
          <w:szCs w:val="24"/>
          <w:highlight w:val="none"/>
          <w:u w:val="single"/>
          <w:lang w:eastAsia="zh-CN"/>
          <w14:textFill>
            <w14:solidFill>
              <w14:schemeClr w14:val="tx1"/>
            </w14:solidFill>
          </w14:textFill>
        </w:rPr>
        <w:t>☑</w:t>
      </w:r>
      <w:r>
        <w:rPr>
          <w:rFonts w:hint="eastAsia" w:eastAsia="宋体" w:cs="宋体"/>
          <w:b w:val="0"/>
          <w:bCs/>
          <w:sz w:val="24"/>
          <w:szCs w:val="24"/>
          <w:highlight w:val="none"/>
          <w:u w:val="single"/>
          <w:lang w:val="en-US" w:eastAsia="zh-CN"/>
        </w:rPr>
        <w:t>需要</w:t>
      </w:r>
      <w:r>
        <w:rPr>
          <w:rFonts w:hint="eastAsia" w:cs="宋体"/>
          <w:b w:val="0"/>
          <w:bCs/>
          <w:sz w:val="24"/>
          <w:szCs w:val="24"/>
          <w:highlight w:val="none"/>
          <w:u w:val="single"/>
          <w:lang w:val="en-US" w:eastAsia="zh-CN"/>
        </w:rPr>
        <w:t>/</w:t>
      </w:r>
      <w:r>
        <w:rPr>
          <w:rFonts w:hint="eastAsia" w:cs="宋体"/>
          <w:bCs/>
          <w:color w:val="000000" w:themeColor="text1"/>
          <w:kern w:val="2"/>
          <w:sz w:val="24"/>
          <w:szCs w:val="24"/>
          <w:highlight w:val="none"/>
          <w:u w:val="single"/>
          <w:lang w:eastAsia="zh-CN"/>
          <w14:textFill>
            <w14:solidFill>
              <w14:schemeClr w14:val="tx1"/>
            </w14:solidFill>
          </w14:textFill>
        </w:rPr>
        <w:t>□</w:t>
      </w:r>
      <w:r>
        <w:rPr>
          <w:rFonts w:hint="default" w:cs="宋体"/>
          <w:b w:val="0"/>
          <w:bCs/>
          <w:sz w:val="24"/>
          <w:szCs w:val="24"/>
          <w:highlight w:val="none"/>
          <w:u w:val="single"/>
          <w:lang w:val="en-US" w:eastAsia="zh-CN"/>
        </w:rPr>
        <w:t>不需要</w:t>
      </w:r>
      <w:r>
        <w:rPr>
          <w:rFonts w:hint="eastAsia" w:cs="宋体"/>
          <w:b w:val="0"/>
          <w:bCs/>
          <w:sz w:val="24"/>
          <w:szCs w:val="24"/>
          <w:highlight w:val="none"/>
          <w:u w:val="single"/>
          <w:lang w:val="en-US" w:eastAsia="zh-CN"/>
        </w:rPr>
        <w:t xml:space="preserve"> 缴纳</w:t>
      </w:r>
      <w:r>
        <w:rPr>
          <w:rFonts w:hint="eastAsia" w:cs="宋体"/>
          <w:b w:val="0"/>
          <w:bCs/>
          <w:sz w:val="24"/>
          <w:szCs w:val="24"/>
          <w:highlight w:val="none"/>
          <w:lang w:val="en-US" w:eastAsia="zh-CN"/>
        </w:rPr>
        <w:t>询价</w:t>
      </w:r>
      <w:r>
        <w:rPr>
          <w:rFonts w:hint="default" w:cs="宋体"/>
          <w:b w:val="0"/>
          <w:bCs/>
          <w:sz w:val="24"/>
          <w:szCs w:val="24"/>
          <w:highlight w:val="none"/>
          <w:lang w:val="en-US" w:eastAsia="zh-CN"/>
        </w:rPr>
        <w:t>保证</w:t>
      </w:r>
      <w:r>
        <w:rPr>
          <w:rFonts w:hint="eastAsia" w:cs="宋体"/>
          <w:b w:val="0"/>
          <w:bCs/>
          <w:sz w:val="24"/>
          <w:szCs w:val="24"/>
          <w:highlight w:val="none"/>
          <w:lang w:val="en-US" w:eastAsia="zh-CN"/>
        </w:rPr>
        <w:t>金。交纳投标保证金</w:t>
      </w:r>
      <w:r>
        <w:rPr>
          <w:rFonts w:hint="eastAsia" w:cs="宋体"/>
          <w:sz w:val="24"/>
          <w:szCs w:val="24"/>
          <w:highlight w:val="none"/>
        </w:rPr>
        <w:t>的具体要求如下：</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highlight w:val="none"/>
          <w:lang w:val="en-US" w:eastAsia="zh-CN" w:bidi="ar-SA"/>
        </w:rPr>
      </w:pPr>
      <w:r>
        <w:rPr>
          <w:rFonts w:hint="eastAsia" w:cs="仿宋" w:asciiTheme="minorEastAsia" w:hAnsiTheme="minorEastAsia" w:eastAsiaTheme="minorEastAsia"/>
          <w:b w:val="0"/>
          <w:bCs/>
          <w:kern w:val="2"/>
          <w:sz w:val="24"/>
          <w:szCs w:val="24"/>
          <w:highlight w:val="none"/>
          <w:lang w:val="en-US" w:eastAsia="zh-CN" w:bidi="ar-SA"/>
        </w:rPr>
        <w:t>1.缴纳金额：</w:t>
      </w:r>
      <w:r>
        <w:rPr>
          <w:rFonts w:hint="eastAsia" w:cs="仿宋" w:asciiTheme="minorEastAsia" w:hAnsiTheme="minorEastAsia" w:eastAsiaTheme="minorEastAsia"/>
          <w:b w:val="0"/>
          <w:bCs/>
          <w:kern w:val="2"/>
          <w:sz w:val="24"/>
          <w:szCs w:val="24"/>
          <w:highlight w:val="none"/>
          <w:u w:val="single"/>
          <w:lang w:val="en-US" w:eastAsia="zh-CN" w:bidi="ar-SA"/>
        </w:rPr>
        <w:t>5800</w:t>
      </w:r>
      <w:r>
        <w:rPr>
          <w:rFonts w:hint="eastAsia" w:cs="仿宋" w:asciiTheme="minorEastAsia" w:hAnsiTheme="minorEastAsia" w:eastAsiaTheme="minorEastAsia"/>
          <w:b w:val="0"/>
          <w:bCs/>
          <w:kern w:val="2"/>
          <w:sz w:val="24"/>
          <w:szCs w:val="24"/>
          <w:highlight w:val="none"/>
          <w:lang w:val="en-US" w:eastAsia="zh-CN" w:bidi="ar-SA"/>
        </w:rPr>
        <w:t>元，同时注明：</w:t>
      </w:r>
      <w:r>
        <w:rPr>
          <w:rFonts w:hint="eastAsia" w:cs="仿宋" w:asciiTheme="minorEastAsia" w:hAnsiTheme="minorEastAsia" w:eastAsiaTheme="minorEastAsia"/>
          <w:b w:val="0"/>
          <w:bCs/>
          <w:strike w:val="0"/>
          <w:dstrike w:val="0"/>
          <w:kern w:val="2"/>
          <w:sz w:val="24"/>
          <w:szCs w:val="24"/>
          <w:highlight w:val="none"/>
          <w:u w:val="single"/>
          <w:lang w:val="en-US" w:eastAsia="zh-CN" w:bidi="ar-SA"/>
        </w:rPr>
        <w:t>2025年焚烧车间A线窑头进料装置改造采购项目询价保证金</w:t>
      </w:r>
      <w:r>
        <w:rPr>
          <w:rFonts w:hint="eastAsia" w:cs="仿宋" w:asciiTheme="minorEastAsia" w:hAnsiTheme="minorEastAsia" w:eastAsiaTheme="minorEastAsia"/>
          <w:b w:val="0"/>
          <w:bCs/>
          <w:kern w:val="2"/>
          <w:sz w:val="24"/>
          <w:szCs w:val="24"/>
          <w:highlight w:val="none"/>
          <w:lang w:val="en-US" w:eastAsia="zh-CN" w:bidi="ar-SA"/>
        </w:rPr>
        <w:t>。</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highlight w:val="none"/>
          <w:u w:val="single"/>
          <w:lang w:val="en-US" w:eastAsia="zh-CN" w:bidi="ar-SA"/>
        </w:rPr>
      </w:pPr>
      <w:r>
        <w:rPr>
          <w:rFonts w:hint="eastAsia" w:cs="仿宋" w:asciiTheme="minorEastAsia" w:hAnsiTheme="minorEastAsia" w:eastAsiaTheme="minorEastAsia"/>
          <w:b w:val="0"/>
          <w:bCs/>
          <w:kern w:val="2"/>
          <w:sz w:val="24"/>
          <w:szCs w:val="24"/>
          <w:highlight w:val="none"/>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highlight w:val="none"/>
          <w:lang w:val="en-US" w:eastAsia="zh-CN" w:bidi="ar-SA"/>
        </w:rPr>
        <w:t>（</w:t>
      </w:r>
      <w:r>
        <w:rPr>
          <w:rFonts w:hint="eastAsia" w:ascii="宋体" w:hAnsi="宋体" w:eastAsia="宋体" w:cs="宋体"/>
          <w:b/>
          <w:bCs w:val="0"/>
          <w:sz w:val="24"/>
          <w:szCs w:val="24"/>
          <w:highlight w:val="none"/>
          <w:u w:val="single"/>
          <w:lang w:val="en-US" w:eastAsia="zh-CN"/>
        </w:rPr>
        <w:t>注：必须为企业账户汇出，个人形式递交或现金递交视为未交纳</w:t>
      </w:r>
      <w:r>
        <w:rPr>
          <w:rFonts w:hint="eastAsia" w:ascii="宋体" w:hAnsi="宋体" w:eastAsia="宋体" w:cs="宋体"/>
          <w:b/>
          <w:bCs w:val="0"/>
          <w:kern w:val="2"/>
          <w:sz w:val="24"/>
          <w:szCs w:val="24"/>
          <w:highlight w:val="none"/>
          <w:lang w:val="en-US" w:eastAsia="zh-CN" w:bidi="ar-SA"/>
        </w:rPr>
        <w:t>）</w:t>
      </w:r>
      <w:r>
        <w:rPr>
          <w:rFonts w:hint="eastAsia" w:cs="仿宋" w:asciiTheme="minorEastAsia" w:hAnsiTheme="minorEastAsia" w:eastAsiaTheme="minorEastAsia"/>
          <w:b w:val="0"/>
          <w:bCs/>
          <w:kern w:val="2"/>
          <w:sz w:val="24"/>
          <w:szCs w:val="24"/>
          <w:highlight w:val="none"/>
          <w:lang w:val="en-US" w:eastAsia="zh-CN" w:bidi="ar-SA"/>
        </w:rPr>
        <w:t>。</w:t>
      </w:r>
      <w:r>
        <w:rPr>
          <w:rFonts w:hint="eastAsia" w:cs="仿宋" w:asciiTheme="minorEastAsia" w:hAnsiTheme="minorEastAsia" w:eastAsiaTheme="minorEastAsia"/>
          <w:b w:val="0"/>
          <w:bCs/>
          <w:kern w:val="2"/>
          <w:sz w:val="24"/>
          <w:szCs w:val="24"/>
          <w:highlight w:val="none"/>
          <w:u w:val="single"/>
          <w:lang w:val="en-US" w:eastAsia="zh-CN" w:bidi="ar-SA"/>
        </w:rPr>
        <w:t>同时将银行缴款凭证复印件作为响应文件组成部分。</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highlight w:val="none"/>
          <w:lang w:val="en-US" w:eastAsia="zh-CN" w:bidi="ar-SA"/>
        </w:rPr>
      </w:pPr>
      <w:r>
        <w:rPr>
          <w:rFonts w:hint="eastAsia" w:cs="仿宋" w:asciiTheme="minorEastAsia" w:hAnsiTheme="minorEastAsia" w:eastAsiaTheme="minorEastAsia"/>
          <w:b w:val="0"/>
          <w:bCs/>
          <w:kern w:val="2"/>
          <w:sz w:val="24"/>
          <w:szCs w:val="24"/>
          <w:highlight w:val="none"/>
          <w:lang w:val="en-US" w:eastAsia="zh-CN" w:bidi="ar-SA"/>
        </w:rPr>
        <w:t>3.交纳账户：</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highlight w:val="none"/>
          <w:u w:val="single"/>
          <w:lang w:val="en-US" w:eastAsia="zh-CN" w:bidi="ar-SA"/>
        </w:rPr>
      </w:pPr>
      <w:r>
        <w:rPr>
          <w:rFonts w:hint="eastAsia" w:cs="仿宋" w:asciiTheme="minorEastAsia" w:hAnsiTheme="minorEastAsia" w:eastAsiaTheme="minorEastAsia"/>
          <w:b w:val="0"/>
          <w:bCs/>
          <w:kern w:val="2"/>
          <w:sz w:val="24"/>
          <w:szCs w:val="24"/>
          <w:highlight w:val="none"/>
          <w:lang w:val="en-US" w:eastAsia="zh-CN" w:bidi="ar-SA"/>
        </w:rPr>
        <w:t>户    名：</w:t>
      </w:r>
      <w:r>
        <w:rPr>
          <w:rFonts w:hint="eastAsia" w:cs="仿宋" w:asciiTheme="minorEastAsia" w:hAnsiTheme="minorEastAsia" w:eastAsiaTheme="minorEastAsia"/>
          <w:b w:val="0"/>
          <w:bCs/>
          <w:kern w:val="2"/>
          <w:sz w:val="24"/>
          <w:szCs w:val="24"/>
          <w:highlight w:val="none"/>
          <w:u w:val="single"/>
          <w:lang w:val="en-US" w:eastAsia="zh-CN" w:bidi="ar-SA"/>
        </w:rPr>
        <w:t>杭州临江环境能源有限公司</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highlight w:val="none"/>
          <w:lang w:val="en-US" w:eastAsia="zh-CN" w:bidi="ar-SA"/>
        </w:rPr>
      </w:pPr>
      <w:r>
        <w:rPr>
          <w:rFonts w:hint="eastAsia" w:cs="仿宋" w:asciiTheme="minorEastAsia" w:hAnsiTheme="minorEastAsia" w:eastAsiaTheme="minorEastAsia"/>
          <w:b w:val="0"/>
          <w:bCs/>
          <w:kern w:val="2"/>
          <w:sz w:val="24"/>
          <w:szCs w:val="24"/>
          <w:highlight w:val="none"/>
          <w:lang w:val="en-US" w:eastAsia="zh-CN" w:bidi="ar-SA"/>
        </w:rPr>
        <w:t>开户银行：</w:t>
      </w:r>
      <w:r>
        <w:rPr>
          <w:rFonts w:hint="eastAsia" w:cs="仿宋" w:asciiTheme="minorEastAsia" w:hAnsiTheme="minorEastAsia" w:eastAsiaTheme="minorEastAsia"/>
          <w:b w:val="0"/>
          <w:bCs/>
          <w:kern w:val="2"/>
          <w:sz w:val="24"/>
          <w:szCs w:val="24"/>
          <w:highlight w:val="none"/>
          <w:u w:val="single"/>
          <w:lang w:val="en-US" w:eastAsia="zh-CN" w:bidi="ar-SA"/>
        </w:rPr>
        <w:t>杭州银行大江东支行</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highlight w:val="none"/>
          <w:lang w:val="en-US" w:eastAsia="zh-CN" w:bidi="ar-SA"/>
        </w:rPr>
      </w:pPr>
      <w:r>
        <w:rPr>
          <w:rFonts w:hint="eastAsia" w:cs="仿宋" w:asciiTheme="minorEastAsia" w:hAnsiTheme="minorEastAsia" w:eastAsiaTheme="minorEastAsia"/>
          <w:b w:val="0"/>
          <w:bCs/>
          <w:kern w:val="2"/>
          <w:sz w:val="24"/>
          <w:szCs w:val="24"/>
          <w:highlight w:val="none"/>
          <w:lang w:val="en-US" w:eastAsia="zh-CN" w:bidi="ar-SA"/>
        </w:rPr>
        <w:t>账    号：</w:t>
      </w:r>
      <w:r>
        <w:rPr>
          <w:rFonts w:hint="eastAsia" w:cs="仿宋" w:asciiTheme="minorEastAsia" w:hAnsiTheme="minorEastAsia" w:eastAsiaTheme="minorEastAsia"/>
          <w:b w:val="0"/>
          <w:bCs/>
          <w:kern w:val="2"/>
          <w:sz w:val="24"/>
          <w:szCs w:val="24"/>
          <w:highlight w:val="none"/>
          <w:u w:val="single"/>
          <w:lang w:val="en-US" w:eastAsia="zh-CN" w:bidi="ar-SA"/>
        </w:rPr>
        <w:t>3301040160008775754</w:t>
      </w:r>
    </w:p>
    <w:p>
      <w:pPr>
        <w:spacing w:line="360" w:lineRule="auto"/>
        <w:ind w:firstLine="482" w:firstLineChars="200"/>
        <w:rPr>
          <w:rFonts w:hint="default" w:cs="仿宋" w:asciiTheme="minorEastAsia" w:hAnsiTheme="minorEastAsia" w:eastAsiaTheme="minorEastAsia"/>
          <w:b/>
          <w:bCs/>
          <w:color w:val="auto"/>
          <w:sz w:val="24"/>
          <w:highlight w:val="none"/>
          <w:lang w:val="en-US" w:eastAsia="zh-CN"/>
        </w:rPr>
      </w:pPr>
      <w:r>
        <w:rPr>
          <w:rFonts w:hint="eastAsia" w:cs="仿宋" w:asciiTheme="minorEastAsia" w:hAnsiTheme="minorEastAsia"/>
          <w:b/>
          <w:bCs/>
          <w:color w:val="auto"/>
          <w:sz w:val="24"/>
          <w:highlight w:val="none"/>
        </w:rPr>
        <w:t>五、响应文件递交</w:t>
      </w:r>
      <w:r>
        <w:rPr>
          <w:rFonts w:hint="eastAsia" w:cs="仿宋" w:asciiTheme="minorEastAsia" w:hAnsiTheme="minorEastAsia"/>
          <w:b/>
          <w:bCs/>
          <w:color w:val="auto"/>
          <w:sz w:val="24"/>
          <w:highlight w:val="none"/>
          <w:lang w:val="en-US" w:eastAsia="zh-CN"/>
        </w:rPr>
        <w:t>及开启</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递交</w:t>
      </w:r>
      <w:r>
        <w:rPr>
          <w:rFonts w:hint="eastAsia" w:cs="仿宋" w:asciiTheme="minorEastAsia" w:hAnsiTheme="minorEastAsia"/>
          <w:color w:val="auto"/>
          <w:sz w:val="24"/>
          <w:highlight w:val="none"/>
        </w:rPr>
        <w:t>截止时间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同响应文件</w:t>
      </w:r>
      <w:r>
        <w:rPr>
          <w:rFonts w:hint="eastAsia" w:cs="仿宋" w:asciiTheme="minorEastAsia" w:hAnsiTheme="minorEastAsia"/>
          <w:color w:val="auto"/>
          <w:sz w:val="24"/>
          <w:highlight w:val="none"/>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u w:val="single"/>
          <w:lang w:eastAsia="zh-CN"/>
        </w:rPr>
        <w:t>202</w:t>
      </w:r>
      <w:r>
        <w:rPr>
          <w:rFonts w:hint="eastAsia" w:cs="仿宋" w:asciiTheme="minorEastAsia" w:hAnsiTheme="minorEastAsia"/>
          <w:color w:val="auto"/>
          <w:sz w:val="24"/>
          <w:highlight w:val="none"/>
          <w:u w:val="single"/>
          <w:lang w:val="en-US" w:eastAsia="zh-CN"/>
        </w:rPr>
        <w:t>5</w:t>
      </w:r>
      <w:r>
        <w:rPr>
          <w:rFonts w:hint="eastAsia" w:cs="仿宋" w:asciiTheme="minorEastAsia" w:hAnsiTheme="minorEastAsia"/>
          <w:color w:val="auto"/>
          <w:sz w:val="24"/>
          <w:highlight w:val="none"/>
          <w:u w:val="single"/>
          <w:lang w:eastAsia="zh-CN"/>
        </w:rPr>
        <w:t>年</w:t>
      </w:r>
      <w:r>
        <w:rPr>
          <w:rFonts w:hint="eastAsia" w:cs="仿宋" w:asciiTheme="minorEastAsia" w:hAnsiTheme="minorEastAsia"/>
          <w:color w:val="auto"/>
          <w:sz w:val="24"/>
          <w:highlight w:val="none"/>
          <w:u w:val="single"/>
          <w:lang w:val="en-US" w:eastAsia="zh-CN"/>
        </w:rPr>
        <w:t>06</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24</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14</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 xml:space="preserve">分 </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2.递交地点：杭州市钱塘区临江街道红十五线与观十五线交叉口（杭州临江环境能源有限公司科研楼二楼开评标室）。</w:t>
      </w:r>
    </w:p>
    <w:p>
      <w:pPr>
        <w:spacing w:line="360" w:lineRule="auto"/>
        <w:ind w:firstLine="480" w:firstLineChars="200"/>
        <w:rPr>
          <w:color w:val="auto"/>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val="en-US" w:eastAsia="zh-CN"/>
        </w:rPr>
        <w:t>.</w:t>
      </w:r>
      <w:r>
        <w:rPr>
          <w:rFonts w:hint="eastAsia" w:cs="仿宋" w:asciiTheme="minorEastAsia" w:hAnsiTheme="minorEastAsia"/>
          <w:color w:val="auto"/>
          <w:sz w:val="24"/>
          <w:highlight w:val="none"/>
        </w:rPr>
        <w:t>递交方式：响应文件可采用现场递交或者邮寄方式其中任何一种方式。</w:t>
      </w:r>
    </w:p>
    <w:p>
      <w:pPr>
        <w:spacing w:line="360" w:lineRule="auto"/>
        <w:ind w:firstLine="482" w:firstLineChars="200"/>
        <w:rPr>
          <w:rFonts w:hint="default"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六、</w:t>
      </w:r>
      <w:r>
        <w:rPr>
          <w:rFonts w:hint="eastAsia" w:cs="仿宋" w:asciiTheme="minorEastAsia" w:hAnsiTheme="minorEastAsia"/>
          <w:b/>
          <w:bCs/>
          <w:color w:val="auto"/>
          <w:sz w:val="24"/>
          <w:highlight w:val="none"/>
        </w:rPr>
        <w:t>响应文件</w:t>
      </w:r>
      <w:r>
        <w:rPr>
          <w:rFonts w:hint="eastAsia" w:cs="仿宋" w:asciiTheme="minorEastAsia" w:hAnsiTheme="minorEastAsia"/>
          <w:b/>
          <w:bCs/>
          <w:color w:val="auto"/>
          <w:sz w:val="24"/>
          <w:highlight w:val="none"/>
          <w:lang w:val="en-US" w:eastAsia="zh-CN"/>
        </w:rPr>
        <w:t>开启</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采用线上和线下同时进行的方式，供应商可参与现场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u w:val="single"/>
          <w:lang w:val="en-US" w:eastAsia="zh-CN"/>
        </w:rPr>
        <w:t>响应文件</w:t>
      </w:r>
      <w:r>
        <w:rPr>
          <w:rFonts w:hint="eastAsia" w:cs="仿宋" w:asciiTheme="minorEastAsia" w:hAnsiTheme="minorEastAsia"/>
          <w:color w:val="auto"/>
          <w:sz w:val="24"/>
          <w:highlight w:val="none"/>
          <w:u w:val="single"/>
        </w:rPr>
        <w:t>开启时间</w:t>
      </w:r>
      <w:r>
        <w:rPr>
          <w:rFonts w:hint="eastAsia" w:cs="仿宋" w:asciiTheme="minorEastAsia" w:hAnsiTheme="minorEastAsia"/>
          <w:color w:val="auto"/>
          <w:sz w:val="24"/>
          <w:highlight w:val="none"/>
        </w:rPr>
        <w:t>之前在杭州临江环境能源有限公司网站公示，请各供应商及时关注进入会场。</w:t>
      </w:r>
    </w:p>
    <w:p>
      <w:pPr>
        <w:spacing w:line="360" w:lineRule="auto"/>
        <w:ind w:firstLine="480" w:firstLineChars="2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2.开启过程：</w:t>
      </w:r>
    </w:p>
    <w:p>
      <w:pPr>
        <w:spacing w:line="360" w:lineRule="auto"/>
        <w:ind w:firstLine="480" w:firstLineChars="200"/>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）密封性检查：由本项目</w:t>
      </w:r>
      <w:r>
        <w:rPr>
          <w:rFonts w:hint="eastAsia" w:cs="仿宋" w:asciiTheme="minorEastAsia" w:hAnsiTheme="minorEastAsia"/>
          <w:color w:val="auto"/>
          <w:sz w:val="24"/>
          <w:highlight w:val="none"/>
          <w:lang w:val="en-US" w:eastAsia="zh-CN"/>
        </w:rPr>
        <w:t>采购经办人展示各个响应文件</w:t>
      </w:r>
      <w:r>
        <w:rPr>
          <w:rFonts w:hint="eastAsia" w:cs="仿宋" w:asciiTheme="minorEastAsia" w:hAnsiTheme="minorEastAsia"/>
          <w:color w:val="auto"/>
          <w:sz w:val="24"/>
          <w:highlight w:val="none"/>
        </w:rPr>
        <w:t>密封性情况；供应商对响应文件密封情况在线进行确认；</w:t>
      </w:r>
      <w:r>
        <w:rPr>
          <w:rFonts w:hint="eastAsia" w:cs="仿宋" w:asciiTheme="minorEastAsia" w:hAnsiTheme="minorEastAsia"/>
          <w:color w:val="auto"/>
          <w:sz w:val="24"/>
          <w:highlight w:val="none"/>
          <w:u w:val="single"/>
          <w:lang w:val="en-US" w:eastAsia="zh-CN"/>
        </w:rPr>
        <w:t>若供应商长时间未确认的视为无异议，</w:t>
      </w:r>
      <w:r>
        <w:rPr>
          <w:rFonts w:hint="eastAsia" w:cs="仿宋" w:asciiTheme="minorEastAsia" w:hAnsiTheme="minorEastAsia"/>
          <w:color w:val="auto"/>
          <w:sz w:val="24"/>
          <w:highlight w:val="none"/>
          <w:u w:val="single"/>
        </w:rPr>
        <w:t>不得</w:t>
      </w:r>
      <w:r>
        <w:rPr>
          <w:rFonts w:hint="eastAsia" w:cs="仿宋" w:asciiTheme="minorEastAsia" w:hAnsiTheme="minorEastAsia"/>
          <w:color w:val="auto"/>
          <w:sz w:val="24"/>
          <w:highlight w:val="none"/>
          <w:u w:val="single"/>
          <w:lang w:val="en-US" w:eastAsia="zh-CN"/>
        </w:rPr>
        <w:t>再</w:t>
      </w:r>
      <w:r>
        <w:rPr>
          <w:rFonts w:hint="eastAsia" w:cs="仿宋" w:asciiTheme="minorEastAsia" w:hAnsiTheme="minorEastAsia"/>
          <w:color w:val="auto"/>
          <w:sz w:val="24"/>
          <w:highlight w:val="none"/>
          <w:u w:val="single"/>
        </w:rPr>
        <w:t>提出异议</w:t>
      </w:r>
      <w:r>
        <w:rPr>
          <w:rFonts w:hint="eastAsia" w:cs="仿宋" w:asciiTheme="minorEastAsia" w:hAnsiTheme="minorEastAsia"/>
          <w:color w:val="auto"/>
          <w:sz w:val="24"/>
          <w:highlight w:val="none"/>
          <w:lang w:eastAsia="zh-CN"/>
        </w:rPr>
        <w:t>。</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）结果确认：各供应商在线回复确认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结果完毕后（供应商因故未能确认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结果的，默认供应商已确认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或未参加线上</w:t>
      </w:r>
      <w:r>
        <w:rPr>
          <w:rFonts w:hint="eastAsia" w:cs="仿宋" w:asciiTheme="minorEastAsia" w:hAnsiTheme="minorEastAsia"/>
          <w:color w:val="auto"/>
          <w:sz w:val="24"/>
          <w:highlight w:val="none"/>
          <w:lang w:val="en-US" w:eastAsia="zh-CN"/>
        </w:rPr>
        <w:t>会议</w:t>
      </w:r>
      <w:r>
        <w:rPr>
          <w:rFonts w:hint="eastAsia" w:cs="仿宋" w:asciiTheme="minorEastAsia" w:hAnsiTheme="minorEastAsia"/>
          <w:color w:val="auto"/>
          <w:sz w:val="24"/>
          <w:highlight w:val="none"/>
        </w:rPr>
        <w:t>，视为认可全过程和结果，不得提出异议。</w:t>
      </w:r>
    </w:p>
    <w:p>
      <w:pPr>
        <w:spacing w:line="360" w:lineRule="auto"/>
        <w:ind w:firstLine="480" w:firstLineChars="200"/>
        <w:rPr>
          <w:color w:val="auto"/>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）异议处理：供应商对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pP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lang w:eastAsia="zh-CN"/>
        </w:rPr>
        <w:t>ljhj_cg1@ljhjny.com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陈工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邮寄地址：杭州市钱塘区临江街道红十五线与观十五线交叉口杭州临江环境能源有限公司科研楼</w:t>
      </w:r>
      <w:r>
        <w:rPr>
          <w:rFonts w:hint="eastAsia" w:cs="仿宋" w:asciiTheme="minorEastAsia" w:hAnsiTheme="minorEastAsia"/>
          <w:color w:val="auto"/>
          <w:sz w:val="24"/>
          <w:highlight w:val="none"/>
          <w:lang w:val="en-US" w:eastAsia="zh-CN"/>
        </w:rPr>
        <w:t>经营管理部</w:t>
      </w:r>
      <w:r>
        <w:rPr>
          <w:rFonts w:hint="eastAsia" w:cs="仿宋" w:asciiTheme="minorEastAsia" w:hAnsiTheme="minorEastAsia"/>
          <w:color w:val="auto"/>
          <w:sz w:val="24"/>
          <w:highlight w:val="none"/>
        </w:rPr>
        <w:t>  庄工 15268125337</w:t>
      </w:r>
      <w:r>
        <w:rPr>
          <w:rFonts w:hint="eastAsia" w:cs="仿宋" w:asciiTheme="minorEastAsia" w:hAnsiTheme="minorEastAsia"/>
          <w:color w:val="auto"/>
          <w:sz w:val="24"/>
          <w:highlight w:val="none"/>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十、监督部门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监管单位：</w:t>
      </w:r>
      <w:r>
        <w:rPr>
          <w:rFonts w:hint="eastAsia" w:cs="仿宋" w:asciiTheme="minorEastAsia" w:hAnsiTheme="minorEastAsia"/>
          <w:color w:val="auto"/>
          <w:sz w:val="24"/>
          <w:highlight w:val="none"/>
          <w:lang w:val="en-US" w:eastAsia="zh-CN"/>
        </w:rPr>
        <w:t xml:space="preserve"> 杭州临江环境能源有限公司监察审计部</w:t>
      </w:r>
      <w:r>
        <w:rPr>
          <w:rFonts w:hint="eastAsia" w:cs="仿宋" w:asciiTheme="minorEastAsia" w:hAnsiTheme="minorEastAsia"/>
          <w:color w:val="auto"/>
          <w:sz w:val="24"/>
          <w:highlight w:val="none"/>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地    址：</w:t>
      </w:r>
      <w:r>
        <w:rPr>
          <w:rFonts w:hint="eastAsia" w:cs="仿宋" w:asciiTheme="minorEastAsia" w:hAnsiTheme="minorEastAsia"/>
          <w:color w:val="auto"/>
          <w:sz w:val="24"/>
          <w:highlight w:val="none"/>
          <w:lang w:eastAsia="zh-CN"/>
        </w:rPr>
        <w:t>浙江省杭州市钱塘区临江街道红十五路10388-123号</w:t>
      </w:r>
      <w:r>
        <w:rPr>
          <w:rFonts w:hint="eastAsia" w:cs="仿宋" w:asciiTheme="minorEastAsia" w:hAnsiTheme="minorEastAsia"/>
          <w:color w:val="auto"/>
          <w:sz w:val="24"/>
          <w:highlight w:val="none"/>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联 系 人：</w:t>
      </w:r>
      <w:r>
        <w:rPr>
          <w:rFonts w:hint="eastAsia" w:cs="仿宋" w:asciiTheme="minorEastAsia" w:hAnsiTheme="minorEastAsia"/>
          <w:color w:val="auto"/>
          <w:sz w:val="24"/>
          <w:highlight w:val="none"/>
          <w:lang w:val="en-US" w:eastAsia="zh-CN"/>
        </w:rPr>
        <w:t>吕工</w:t>
      </w:r>
      <w:r>
        <w:rPr>
          <w:rFonts w:hint="eastAsia" w:cs="仿宋" w:asciiTheme="minorEastAsia" w:hAnsiTheme="minorEastAsia"/>
          <w:color w:val="auto"/>
          <w:sz w:val="24"/>
          <w:highlight w:val="none"/>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电    话：</w:t>
      </w:r>
      <w:r>
        <w:rPr>
          <w:rFonts w:hint="eastAsia" w:cs="仿宋" w:asciiTheme="minorEastAsia" w:hAnsiTheme="minorEastAsia"/>
          <w:color w:val="auto"/>
          <w:sz w:val="24"/>
          <w:highlight w:val="none"/>
          <w:lang w:val="en-US" w:eastAsia="zh-CN"/>
        </w:rPr>
        <w:t>0571-81997962</w:t>
      </w:r>
      <w:r>
        <w:rPr>
          <w:rFonts w:hint="eastAsia" w:cs="仿宋" w:asciiTheme="minorEastAsia" w:hAnsiTheme="minorEastAsia"/>
          <w:color w:val="auto"/>
          <w:sz w:val="24"/>
          <w:highlight w:val="none"/>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highlight w:val="none"/>
          <w:lang w:val="en-US" w:eastAsia="zh-CN"/>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2025</w:t>
      </w:r>
      <w:r>
        <w:rPr>
          <w:rFonts w:hint="default" w:cs="仿宋" w:asciiTheme="minorEastAsia" w:hAnsiTheme="minorEastAsia"/>
          <w:color w:val="auto"/>
          <w:sz w:val="24"/>
          <w:highlight w:val="none"/>
          <w:lang w:val="en-US"/>
        </w:rPr>
        <w:t>年</w:t>
      </w:r>
      <w:r>
        <w:rPr>
          <w:rFonts w:hint="eastAsia" w:cs="仿宋" w:asciiTheme="minorEastAsia" w:hAnsiTheme="minorEastAsia"/>
          <w:color w:val="auto"/>
          <w:sz w:val="24"/>
          <w:highlight w:val="none"/>
          <w:lang w:val="en-US" w:eastAsia="zh-CN"/>
        </w:rPr>
        <w:t>06月16</w:t>
      </w:r>
      <w:r>
        <w:rPr>
          <w:rFonts w:hint="eastAsia" w:cs="仿宋" w:asciiTheme="minorEastAsia" w:hAnsiTheme="minorEastAsia"/>
          <w:color w:val="auto"/>
          <w:sz w:val="24"/>
          <w:highlight w:val="none"/>
        </w:rPr>
        <w:t>日</w:t>
      </w:r>
    </w:p>
    <w:p>
      <w:pPr>
        <w:spacing w:line="460" w:lineRule="exact"/>
        <w:jc w:val="center"/>
        <w:rPr>
          <w:rFonts w:cs="仿宋" w:asciiTheme="minorEastAsia" w:hAnsiTheme="minorEastAsia"/>
          <w:b/>
          <w:bCs/>
          <w:color w:val="auto"/>
          <w:sz w:val="36"/>
          <w:szCs w:val="36"/>
          <w:highlight w:val="none"/>
        </w:rPr>
      </w:pPr>
    </w:p>
    <w:p>
      <w:pPr>
        <w:spacing w:line="460" w:lineRule="exact"/>
        <w:jc w:val="center"/>
        <w:rPr>
          <w:rFonts w:cs="仿宋" w:asciiTheme="minorEastAsia" w:hAnsiTheme="minorEastAsia"/>
          <w:b/>
          <w:bCs/>
          <w:color w:val="auto"/>
          <w:sz w:val="36"/>
          <w:szCs w:val="36"/>
          <w:highlight w:val="none"/>
        </w:rPr>
      </w:pPr>
    </w:p>
    <w:p>
      <w:pPr>
        <w:spacing w:line="460" w:lineRule="exact"/>
        <w:jc w:val="center"/>
        <w:rPr>
          <w:rFonts w:cs="仿宋" w:asciiTheme="minorEastAsia" w:hAnsiTheme="minorEastAsia"/>
          <w:b/>
          <w:bCs/>
          <w:color w:val="auto"/>
          <w:sz w:val="36"/>
          <w:szCs w:val="36"/>
        </w:rPr>
      </w:pPr>
    </w:p>
    <w:p>
      <w:pPr>
        <w:spacing w:line="460" w:lineRule="exact"/>
        <w:jc w:val="center"/>
        <w:rPr>
          <w:rFonts w:cs="仿宋" w:asciiTheme="minorEastAsia" w:hAnsiTheme="minorEastAsia"/>
          <w:b/>
          <w:bCs/>
          <w:color w:val="auto"/>
          <w:sz w:val="36"/>
          <w:szCs w:val="36"/>
        </w:rPr>
      </w:pPr>
    </w:p>
    <w:p>
      <w:pPr>
        <w:pStyle w:val="16"/>
        <w:rPr>
          <w:rFonts w:cs="仿宋" w:asciiTheme="minorEastAsia" w:hAnsiTheme="minorEastAsia"/>
          <w:b/>
          <w:bCs/>
          <w:color w:val="auto"/>
          <w:sz w:val="36"/>
          <w:szCs w:val="36"/>
        </w:rPr>
      </w:pPr>
    </w:p>
    <w:p>
      <w:pPr>
        <w:rPr>
          <w:rFonts w:cs="仿宋" w:asciiTheme="minorEastAsia" w:hAnsiTheme="minorEastAsia"/>
          <w:b/>
          <w:bCs/>
          <w:color w:val="auto"/>
          <w:sz w:val="36"/>
          <w:szCs w:val="36"/>
        </w:rPr>
      </w:pPr>
    </w:p>
    <w:p>
      <w:pPr>
        <w:pStyle w:val="16"/>
        <w:rPr>
          <w:rFonts w:cs="仿宋" w:asciiTheme="minorEastAsia" w:hAnsiTheme="minorEastAsia"/>
          <w:b/>
          <w:bCs/>
          <w:color w:val="auto"/>
          <w:sz w:val="36"/>
          <w:szCs w:val="36"/>
        </w:rPr>
      </w:pPr>
    </w:p>
    <w:p>
      <w:pPr>
        <w:rPr>
          <w:rFonts w:cs="仿宋" w:asciiTheme="minorEastAsia" w:hAnsiTheme="minorEastAsia"/>
          <w:b/>
          <w:bCs/>
          <w:color w:val="auto"/>
          <w:sz w:val="36"/>
          <w:szCs w:val="36"/>
        </w:rPr>
      </w:pPr>
    </w:p>
    <w:p>
      <w:pPr>
        <w:pStyle w:val="16"/>
        <w:rPr>
          <w:rFonts w:cs="仿宋" w:asciiTheme="minorEastAsia" w:hAnsiTheme="minorEastAsia"/>
          <w:b/>
          <w:bCs/>
          <w:color w:val="auto"/>
          <w:sz w:val="36"/>
          <w:szCs w:val="36"/>
        </w:rPr>
      </w:pPr>
    </w:p>
    <w:p>
      <w:pPr>
        <w:rPr>
          <w:rFonts w:cs="仿宋" w:asciiTheme="minorEastAsia" w:hAnsiTheme="minorEastAsia"/>
          <w:b/>
          <w:bCs/>
          <w:sz w:val="36"/>
          <w:szCs w:val="36"/>
        </w:rPr>
      </w:pPr>
    </w:p>
    <w:p>
      <w:pPr>
        <w:pStyle w:val="16"/>
        <w:rPr>
          <w:rFonts w:cs="仿宋" w:asciiTheme="minorEastAsia" w:hAnsiTheme="minorEastAsia"/>
          <w:b/>
          <w:bCs/>
          <w:sz w:val="36"/>
          <w:szCs w:val="36"/>
        </w:rPr>
      </w:pPr>
    </w:p>
    <w:p>
      <w:pPr>
        <w:rPr>
          <w:rFonts w:cs="仿宋" w:asciiTheme="minorEastAsia" w:hAnsiTheme="minorEastAsia"/>
          <w:b/>
          <w:bCs/>
          <w:sz w:val="36"/>
          <w:szCs w:val="36"/>
        </w:rPr>
      </w:pPr>
    </w:p>
    <w:p>
      <w:pPr>
        <w:rPr>
          <w:rFonts w:cs="仿宋" w:asciiTheme="minorEastAsia" w:hAnsiTheme="minorEastAsia"/>
          <w:b/>
          <w:bCs/>
          <w:sz w:val="36"/>
          <w:szCs w:val="36"/>
        </w:rPr>
      </w:pPr>
    </w:p>
    <w:p>
      <w:pPr>
        <w:pStyle w:val="16"/>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0"/>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0"/>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20"/>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snapToGrid w:val="0"/>
                <w:color w:val="auto"/>
                <w:szCs w:val="21"/>
              </w:rPr>
            </w:pPr>
            <w:r>
              <w:rPr>
                <w:rFonts w:hint="eastAsia"/>
                <w:snapToGrid w:val="0"/>
                <w:color w:val="auto"/>
                <w:szCs w:val="21"/>
              </w:rPr>
              <w:t>是否分册装订：</w:t>
            </w:r>
          </w:p>
          <w:p>
            <w:pPr>
              <w:pStyle w:val="20"/>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20"/>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20"/>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7"/>
        <w:rPr>
          <w:rFonts w:cs="仿宋" w:asciiTheme="minorEastAsia" w:hAnsiTheme="minorEastAsia"/>
          <w:b/>
          <w:sz w:val="32"/>
          <w:szCs w:val="20"/>
        </w:rPr>
      </w:pPr>
    </w:p>
    <w:p>
      <w:pPr>
        <w:pStyle w:val="8"/>
        <w:rPr>
          <w:rFonts w:cs="仿宋" w:asciiTheme="minorEastAsia" w:hAnsiTheme="minorEastAsia"/>
          <w:b/>
          <w:sz w:val="32"/>
          <w:szCs w:val="20"/>
        </w:rPr>
      </w:pPr>
    </w:p>
    <w:p>
      <w:pPr>
        <w:pStyle w:val="9"/>
        <w:rPr>
          <w:rFonts w:cs="仿宋" w:asciiTheme="minorEastAsia" w:hAnsiTheme="minorEastAsia"/>
          <w:b/>
          <w:sz w:val="32"/>
          <w:szCs w:val="20"/>
        </w:rPr>
      </w:pPr>
    </w:p>
    <w:p/>
    <w:p>
      <w:pPr>
        <w:pStyle w:val="16"/>
      </w:pPr>
    </w:p>
    <w:p/>
    <w:p>
      <w:pPr>
        <w:pStyle w:val="16"/>
      </w:pPr>
    </w:p>
    <w:p/>
    <w:p>
      <w:pPr>
        <w:pStyle w:val="16"/>
      </w:pPr>
    </w:p>
    <w:p/>
    <w:p>
      <w:pPr>
        <w:pStyle w:val="9"/>
        <w:rPr>
          <w:rFonts w:cs="仿宋" w:asciiTheme="minorEastAsia" w:hAnsiTheme="minorEastAsia"/>
          <w:b/>
          <w:sz w:val="32"/>
          <w:szCs w:val="20"/>
        </w:rPr>
      </w:pPr>
    </w:p>
    <w:p>
      <w:pPr>
        <w:rPr>
          <w:rFonts w:cs="仿宋" w:asciiTheme="minorEastAsia" w:hAnsiTheme="minorEastAsia"/>
          <w:b/>
          <w:sz w:val="32"/>
          <w:szCs w:val="20"/>
        </w:rPr>
      </w:pPr>
    </w:p>
    <w:p>
      <w:pPr>
        <w:pStyle w:val="16"/>
        <w:rPr>
          <w:rFonts w:cs="仿宋" w:asciiTheme="minorEastAsia" w:hAnsiTheme="minorEastAsia"/>
          <w:b/>
          <w:sz w:val="32"/>
          <w:szCs w:val="20"/>
        </w:rPr>
      </w:pPr>
    </w:p>
    <w:p/>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3"/>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3"/>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3"/>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3"/>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3"/>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3"/>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3"/>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3"/>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3"/>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3"/>
        <w:spacing w:before="0"/>
        <w:ind w:firstLine="0" w:firstLineChars="0"/>
        <w:jc w:val="center"/>
        <w:rPr>
          <w:rFonts w:cs="仿宋" w:asciiTheme="minorEastAsia" w:hAnsiTheme="minorEastAsia"/>
          <w:b/>
          <w:sz w:val="32"/>
        </w:rPr>
      </w:pPr>
    </w:p>
    <w:p>
      <w:pPr>
        <w:pStyle w:val="23"/>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4"/>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4"/>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4"/>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pPr>
        <w:pStyle w:val="23"/>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3"/>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3"/>
        <w:spacing w:before="0"/>
        <w:ind w:firstLine="495" w:firstLineChars="0"/>
        <w:rPr>
          <w:rFonts w:cs="仿宋" w:asciiTheme="minorEastAsia" w:hAnsiTheme="minorEastAsia"/>
          <w:kern w:val="0"/>
          <w:szCs w:val="24"/>
        </w:rPr>
      </w:pPr>
    </w:p>
    <w:p>
      <w:pPr>
        <w:pStyle w:val="23"/>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3"/>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3"/>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3"/>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3"/>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3"/>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3"/>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yellow"/>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10"/>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7"/>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7"/>
        <w:ind w:firstLine="480" w:firstLineChars="200"/>
        <w:rPr>
          <w:rFonts w:hint="eastAsia"/>
          <w:lang w:val="en-US"/>
        </w:rPr>
      </w:pPr>
      <w:r>
        <w:rPr>
          <w:rFonts w:hint="eastAsia"/>
          <w:lang w:val="en-US"/>
        </w:rPr>
        <w:t>杭州临江环境能源有限公司因日常生产需要，</w:t>
      </w:r>
      <w:r>
        <w:rPr>
          <w:rFonts w:hint="eastAsia" w:hAnsi="宋体" w:cs="宋体"/>
          <w:bCs/>
          <w:sz w:val="24"/>
          <w:highlight w:val="none"/>
        </w:rPr>
        <w:t>需采购</w:t>
      </w:r>
      <w:r>
        <w:rPr>
          <w:rFonts w:hint="eastAsia" w:hAnsi="宋体" w:cs="宋体"/>
          <w:bCs/>
          <w:sz w:val="24"/>
          <w:highlight w:val="none"/>
          <w:lang w:val="en-US" w:eastAsia="zh-CN"/>
        </w:rPr>
        <w:t>A线窑头进料装置改造备件一批</w:t>
      </w:r>
      <w:r>
        <w:rPr>
          <w:rFonts w:hint="eastAsia" w:hAnsi="宋体" w:cs="宋体"/>
          <w:bCs/>
          <w:sz w:val="24"/>
          <w:highlight w:val="none"/>
          <w:lang w:eastAsia="zh-CN"/>
        </w:rPr>
        <w:t>，</w:t>
      </w:r>
      <w:r>
        <w:rPr>
          <w:rFonts w:hint="eastAsia" w:hAnsi="宋体" w:cs="宋体"/>
          <w:bCs/>
          <w:sz w:val="24"/>
          <w:highlight w:val="none"/>
          <w:lang w:val="en-US" w:eastAsia="zh-CN"/>
        </w:rPr>
        <w:t>包括新增一套板式给料机、落料清扫装置、集料斗、支撑框架及支座、挡料板、检修平台、电气改造及将控制系统接入DCS等</w:t>
      </w:r>
      <w:r>
        <w:rPr>
          <w:rFonts w:hint="eastAsia"/>
          <w:lang w:val="en-US"/>
        </w:rPr>
        <w:t>，具体如下：</w:t>
      </w:r>
    </w:p>
    <w:tbl>
      <w:tblPr>
        <w:tblStyle w:val="17"/>
        <w:tblW w:w="8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38"/>
        <w:gridCol w:w="1675"/>
        <w:gridCol w:w="2287"/>
        <w:gridCol w:w="711"/>
        <w:gridCol w:w="1016"/>
        <w:gridCol w:w="2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5" w:hRule="atLeast"/>
          <w:jc w:val="center"/>
        </w:trPr>
        <w:tc>
          <w:tcPr>
            <w:tcW w:w="638" w:type="dxa"/>
            <w:shd w:val="clear" w:color="FFFFFF"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序号</w:t>
            </w:r>
          </w:p>
        </w:tc>
        <w:tc>
          <w:tcPr>
            <w:tcW w:w="1675" w:type="dxa"/>
            <w:shd w:val="clear" w:color="FFFFFF"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设备名称</w:t>
            </w:r>
          </w:p>
        </w:tc>
        <w:tc>
          <w:tcPr>
            <w:tcW w:w="2287" w:type="dxa"/>
            <w:shd w:val="clear" w:color="FFFFFF"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w:t>
            </w:r>
          </w:p>
        </w:tc>
        <w:tc>
          <w:tcPr>
            <w:tcW w:w="711" w:type="dxa"/>
            <w:shd w:val="clear" w:color="FFFFFF"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数量</w:t>
            </w:r>
          </w:p>
        </w:tc>
        <w:tc>
          <w:tcPr>
            <w:tcW w:w="1016" w:type="dxa"/>
            <w:shd w:val="clear" w:color="FFFFFF"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单位</w:t>
            </w:r>
          </w:p>
        </w:tc>
        <w:tc>
          <w:tcPr>
            <w:tcW w:w="2635" w:type="dxa"/>
            <w:shd w:val="clear" w:color="FFFFFF"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40" w:hRule="atLeast"/>
          <w:jc w:val="center"/>
        </w:trPr>
        <w:tc>
          <w:tcPr>
            <w:tcW w:w="6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67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板式给料机</w:t>
            </w:r>
          </w:p>
        </w:tc>
        <w:tc>
          <w:tcPr>
            <w:tcW w:w="228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正常输送能力：15m3/h，1000*4800mm，防爆等级：ExdIIBT4</w:t>
            </w:r>
          </w:p>
        </w:tc>
        <w:tc>
          <w:tcPr>
            <w:tcW w:w="71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01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635"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含支撑框架及支座、集料斗、检修平台制作和安装，含电缆、操作柱、安装辅材、DCS组态等；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6" w:hRule="atLeast"/>
          <w:jc w:val="center"/>
        </w:trPr>
        <w:tc>
          <w:tcPr>
            <w:tcW w:w="6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67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落料清扫装置</w:t>
            </w:r>
          </w:p>
        </w:tc>
        <w:tc>
          <w:tcPr>
            <w:tcW w:w="228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配套板式给料机</w:t>
            </w:r>
          </w:p>
        </w:tc>
        <w:tc>
          <w:tcPr>
            <w:tcW w:w="71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01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2635" w:type="dxa"/>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pStyle w:val="7"/>
        <w:ind w:firstLine="480" w:firstLineChars="200"/>
        <w:rPr>
          <w:rFonts w:hint="eastAsia"/>
          <w:lang w:val="en-US"/>
        </w:rPr>
      </w:pPr>
    </w:p>
    <w:p>
      <w:pPr>
        <w:spacing w:line="360" w:lineRule="auto"/>
        <w:ind w:firstLine="482" w:firstLineChars="200"/>
        <w:rPr>
          <w:rFonts w:ascii="宋体" w:hAnsi="宋体" w:cs="宋体"/>
          <w:sz w:val="24"/>
        </w:rPr>
      </w:pPr>
      <w:r>
        <w:rPr>
          <w:rFonts w:hint="eastAsia" w:ascii="宋体" w:hAnsi="Arial" w:cs="Arial" w:eastAsiaTheme="minorEastAsia"/>
          <w:b/>
          <w:bCs/>
          <w:snapToGrid w:val="0"/>
          <w:kern w:val="2"/>
          <w:sz w:val="24"/>
          <w:szCs w:val="21"/>
          <w:lang w:val="en-US" w:eastAsia="zh-CN" w:bidi="ar-SA"/>
        </w:rPr>
        <w:t>二、合同期限：</w:t>
      </w:r>
      <w:r>
        <w:rPr>
          <w:rFonts w:hint="eastAsia" w:cs="仿宋" w:asciiTheme="minorEastAsia" w:hAnsiTheme="minorEastAsia"/>
          <w:sz w:val="24"/>
          <w:u w:val="single"/>
          <w:lang w:eastAsia="zh-CN"/>
        </w:rPr>
        <w:t>一次性供货、</w:t>
      </w:r>
      <w:r>
        <w:rPr>
          <w:rFonts w:hint="eastAsia" w:cs="仿宋" w:asciiTheme="minorEastAsia" w:hAnsiTheme="minorEastAsia"/>
          <w:sz w:val="24"/>
          <w:u w:val="single"/>
          <w:lang w:val="en-US" w:eastAsia="zh-CN"/>
        </w:rPr>
        <w:t>安装</w:t>
      </w:r>
      <w:r>
        <w:rPr>
          <w:rFonts w:hint="eastAsia" w:cs="仿宋" w:asciiTheme="minorEastAsia" w:hAnsiTheme="minorEastAsia"/>
          <w:sz w:val="24"/>
          <w:u w:val="single"/>
          <w:lang w:eastAsia="zh-CN"/>
        </w:rPr>
        <w:t>结束后合同自动终止</w:t>
      </w:r>
      <w:r>
        <w:rPr>
          <w:rFonts w:hint="eastAsia" w:cs="仿宋" w:asciiTheme="minorEastAsia" w:hAnsiTheme="minorEastAsia"/>
          <w:sz w:val="24"/>
          <w:u w:val="single"/>
        </w:rPr>
        <w:t>。在采购人发出送货通知后，</w:t>
      </w:r>
      <w:r>
        <w:rPr>
          <w:rFonts w:hint="eastAsia" w:cs="仿宋" w:asciiTheme="minorEastAsia" w:hAnsiTheme="minorEastAsia"/>
          <w:sz w:val="24"/>
          <w:u w:val="single"/>
          <w:lang w:val="en-US" w:eastAsia="zh-CN"/>
        </w:rPr>
        <w:t>30天内</w:t>
      </w:r>
      <w:r>
        <w:rPr>
          <w:rFonts w:hint="eastAsia" w:cs="仿宋" w:asciiTheme="minorEastAsia" w:hAnsiTheme="minorEastAsia"/>
          <w:sz w:val="24"/>
          <w:u w:val="single"/>
          <w:lang w:eastAsia="zh-CN"/>
        </w:rPr>
        <w:t>按采购人订单</w:t>
      </w:r>
      <w:r>
        <w:rPr>
          <w:rFonts w:hint="eastAsia" w:cs="仿宋" w:asciiTheme="minorEastAsia" w:hAnsiTheme="minorEastAsia"/>
          <w:sz w:val="24"/>
          <w:u w:val="single"/>
        </w:rPr>
        <w:t>将货物如数送至采购人指定地点</w:t>
      </w:r>
      <w:r>
        <w:rPr>
          <w:rFonts w:hint="eastAsia" w:cs="仿宋" w:asciiTheme="minorEastAsia" w:hAnsiTheme="minorEastAsia"/>
          <w:sz w:val="24"/>
          <w:u w:val="single"/>
          <w:lang w:val="en-US" w:eastAsia="zh-CN"/>
        </w:rPr>
        <w:t>完成安装</w:t>
      </w:r>
      <w:r>
        <w:rPr>
          <w:rFonts w:hint="eastAsia" w:cs="仿宋" w:asciiTheme="minorEastAsia" w:hAnsiTheme="minorEastAsia"/>
          <w:sz w:val="24"/>
          <w:u w:val="single"/>
        </w:rPr>
        <w:t>。</w:t>
      </w:r>
    </w:p>
    <w:p>
      <w:pPr>
        <w:pStyle w:val="7"/>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按合同约定数量一次性供货、旧件拆除和新件安装。</w:t>
      </w:r>
    </w:p>
    <w:p>
      <w:pPr>
        <w:pStyle w:val="7"/>
        <w:ind w:firstLine="482" w:firstLineChars="200"/>
        <w:rPr>
          <w:b/>
          <w:bCs/>
          <w:lang w:val="en-US"/>
        </w:rPr>
      </w:pPr>
      <w:r>
        <w:rPr>
          <w:rFonts w:hint="eastAsia"/>
          <w:b/>
          <w:bCs/>
          <w:lang w:val="en-US" w:eastAsia="zh-CN"/>
        </w:rPr>
        <w:t>四</w:t>
      </w:r>
      <w:r>
        <w:rPr>
          <w:rFonts w:hint="eastAsia"/>
          <w:b/>
          <w:bCs/>
          <w:lang w:val="en-US"/>
        </w:rPr>
        <w:t>、技术、质量要求</w:t>
      </w:r>
    </w:p>
    <w:p>
      <w:pPr>
        <w:pStyle w:val="7"/>
        <w:ind w:firstLine="480" w:firstLineChars="200"/>
        <w:rPr>
          <w:rFonts w:hint="eastAsia" w:ascii="宋体"/>
          <w:lang w:val="en-US" w:eastAsia="zh-CN"/>
        </w:rPr>
      </w:pPr>
      <w:r>
        <w:rPr>
          <w:rFonts w:hint="eastAsia" w:ascii="宋体"/>
          <w:lang w:val="en-US" w:eastAsia="zh-CN"/>
        </w:rPr>
        <w:t>1.本</w:t>
      </w:r>
      <w:r>
        <w:rPr>
          <w:rFonts w:hint="eastAsia"/>
          <w:lang w:val="en-US" w:eastAsia="zh-CN"/>
        </w:rPr>
        <w:t>次采购货物</w:t>
      </w:r>
      <w:r>
        <w:rPr>
          <w:rFonts w:hint="eastAsia" w:ascii="宋体"/>
          <w:lang w:val="en-US" w:eastAsia="zh-CN"/>
        </w:rPr>
        <w:t xml:space="preserve">的设计、制造和检验应遵循现行使用的有关国家标准和行业标准、 引进技术采用的相关标准也可被接受。这些标准规范至少包括： </w:t>
      </w:r>
      <w:bookmarkStart w:id="518" w:name="_GoBack"/>
      <w:bookmarkEnd w:id="518"/>
    </w:p>
    <w:p>
      <w:pPr>
        <w:pStyle w:val="7"/>
        <w:ind w:firstLine="480" w:firstLineChars="200"/>
        <w:rPr>
          <w:rFonts w:hint="eastAsia" w:ascii="宋体"/>
          <w:lang w:val="en-US" w:eastAsia="zh-CN"/>
        </w:rPr>
      </w:pPr>
      <w:r>
        <w:rPr>
          <w:rFonts w:hint="eastAsia" w:ascii="宋体"/>
          <w:lang w:val="en-US" w:eastAsia="zh-CN"/>
        </w:rPr>
        <w:t xml:space="preserve">GB 50231-98《机械设备安装工程施工及验收通用规范》 </w:t>
      </w:r>
    </w:p>
    <w:p>
      <w:pPr>
        <w:pStyle w:val="7"/>
        <w:ind w:firstLine="480" w:firstLineChars="200"/>
        <w:rPr>
          <w:rFonts w:hint="eastAsia" w:ascii="宋体"/>
          <w:lang w:val="en-US" w:eastAsia="zh-CN"/>
        </w:rPr>
      </w:pPr>
      <w:r>
        <w:rPr>
          <w:rFonts w:hint="eastAsia" w:ascii="宋体"/>
          <w:lang w:val="en-US" w:eastAsia="zh-CN"/>
        </w:rPr>
        <w:t xml:space="preserve">GB 50270-98 《连续输送设备安装工程施工及验收规范》 </w:t>
      </w:r>
    </w:p>
    <w:p>
      <w:pPr>
        <w:pStyle w:val="7"/>
        <w:ind w:firstLine="480" w:firstLineChars="200"/>
        <w:rPr>
          <w:rFonts w:hint="eastAsia" w:ascii="宋体"/>
          <w:lang w:val="en-US" w:eastAsia="zh-CN"/>
        </w:rPr>
      </w:pPr>
      <w:r>
        <w:rPr>
          <w:rFonts w:hint="eastAsia" w:ascii="宋体"/>
          <w:lang w:val="en-US" w:eastAsia="zh-CN"/>
        </w:rPr>
        <w:t xml:space="preserve">JB7127-1993YD 系列(IP44)变极多速三相异步电动机技术条件 </w:t>
      </w:r>
    </w:p>
    <w:p>
      <w:pPr>
        <w:pStyle w:val="7"/>
        <w:ind w:firstLine="480" w:firstLineChars="200"/>
        <w:rPr>
          <w:rFonts w:hint="eastAsia" w:ascii="宋体"/>
          <w:lang w:val="en-US" w:eastAsia="zh-CN"/>
        </w:rPr>
      </w:pPr>
      <w:r>
        <w:rPr>
          <w:rFonts w:hint="eastAsia" w:ascii="宋体"/>
          <w:lang w:val="en-US" w:eastAsia="zh-CN"/>
        </w:rPr>
        <w:t xml:space="preserve">GB 50052-95《供配电系统设计规范》 </w:t>
      </w:r>
    </w:p>
    <w:p>
      <w:pPr>
        <w:pStyle w:val="7"/>
        <w:ind w:firstLine="480" w:firstLineChars="200"/>
        <w:rPr>
          <w:rFonts w:hint="eastAsia" w:ascii="宋体"/>
          <w:lang w:val="en-US" w:eastAsia="zh-CN"/>
        </w:rPr>
      </w:pPr>
      <w:r>
        <w:rPr>
          <w:rFonts w:hint="eastAsia" w:ascii="宋体"/>
          <w:lang w:val="en-US" w:eastAsia="zh-CN"/>
        </w:rPr>
        <w:t xml:space="preserve">GB 50062-2008《电力装置的继电保护和自动装置设计规范》 </w:t>
      </w:r>
    </w:p>
    <w:p>
      <w:pPr>
        <w:pStyle w:val="7"/>
        <w:ind w:firstLine="480" w:firstLineChars="200"/>
        <w:rPr>
          <w:rFonts w:hint="eastAsia" w:ascii="宋体"/>
          <w:lang w:val="en-US" w:eastAsia="zh-CN"/>
        </w:rPr>
      </w:pPr>
      <w:r>
        <w:rPr>
          <w:rFonts w:hint="eastAsia" w:ascii="宋体"/>
          <w:lang w:val="en-US" w:eastAsia="zh-CN"/>
        </w:rPr>
        <w:t>GB 50217-2007《电力工程电缆设计规范》</w:t>
      </w:r>
      <w:r>
        <w:rPr>
          <w:rFonts w:hint="eastAsia"/>
        </w:rPr>
        <w:t xml:space="preserve">。 </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2.</w:t>
      </w:r>
      <w:r>
        <w:rPr>
          <w:rFonts w:hint="eastAsia" w:ascii="宋体" w:hAnsi="Arial" w:cs="Arial" w:eastAsiaTheme="minorEastAsia"/>
          <w:snapToGrid w:val="0"/>
          <w:color w:val="auto"/>
          <w:kern w:val="2"/>
          <w:sz w:val="24"/>
          <w:szCs w:val="21"/>
          <w:lang w:val="en-US" w:eastAsia="zh-CN" w:bidi="ar-SA"/>
        </w:rPr>
        <w:t xml:space="preserve">板式给料机： </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 xml:space="preserve">（1）驱动装置 </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①</w:t>
      </w:r>
      <w:r>
        <w:rPr>
          <w:rFonts w:hint="eastAsia" w:ascii="宋体" w:hAnsi="Arial" w:cs="Arial" w:eastAsiaTheme="minorEastAsia"/>
          <w:snapToGrid w:val="0"/>
          <w:color w:val="auto"/>
          <w:kern w:val="2"/>
          <w:sz w:val="24"/>
          <w:szCs w:val="21"/>
          <w:lang w:val="en-US" w:eastAsia="zh-CN" w:bidi="ar-SA"/>
        </w:rPr>
        <w:t>减速机采用齿轮减速变频电机，功率4KW，传动形式采用链传动</w:t>
      </w:r>
      <w:r>
        <w:rPr>
          <w:rFonts w:hint="eastAsia" w:ascii="宋体" w:hAnsi="Arial" w:cs="Arial"/>
          <w:snapToGrid w:val="0"/>
          <w:color w:val="auto"/>
          <w:kern w:val="2"/>
          <w:sz w:val="24"/>
          <w:szCs w:val="21"/>
          <w:lang w:val="en-US" w:eastAsia="zh-CN" w:bidi="ar-SA"/>
        </w:rPr>
        <w:t>，</w:t>
      </w:r>
      <w:r>
        <w:rPr>
          <w:rFonts w:hint="eastAsia" w:ascii="宋体" w:hAnsi="Arial" w:cs="Arial" w:eastAsiaTheme="minorEastAsia"/>
          <w:snapToGrid w:val="0"/>
          <w:color w:val="auto"/>
          <w:kern w:val="2"/>
          <w:sz w:val="24"/>
          <w:szCs w:val="21"/>
          <w:lang w:val="en-US" w:eastAsia="zh-CN" w:bidi="ar-SA"/>
        </w:rPr>
        <w:t>主轴转速 2r/min。电机及减速机安装于出料端。</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②</w:t>
      </w:r>
      <w:r>
        <w:rPr>
          <w:rFonts w:hint="eastAsia" w:ascii="宋体" w:hAnsi="Arial" w:cs="Arial" w:eastAsiaTheme="minorEastAsia"/>
          <w:snapToGrid w:val="0"/>
          <w:color w:val="auto"/>
          <w:kern w:val="2"/>
          <w:sz w:val="24"/>
          <w:szCs w:val="21"/>
          <w:lang w:val="en-US" w:eastAsia="zh-CN" w:bidi="ar-SA"/>
        </w:rPr>
        <w:t xml:space="preserve">电机轴线与减速器输入轴轴心线应平行，带轮应在同一平面内。 </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③</w:t>
      </w:r>
      <w:r>
        <w:rPr>
          <w:rFonts w:hint="eastAsia" w:ascii="宋体" w:hAnsi="Arial" w:cs="Arial" w:eastAsiaTheme="minorEastAsia"/>
          <w:snapToGrid w:val="0"/>
          <w:color w:val="auto"/>
          <w:kern w:val="2"/>
          <w:sz w:val="24"/>
          <w:szCs w:val="21"/>
          <w:lang w:val="en-US" w:eastAsia="zh-CN" w:bidi="ar-SA"/>
        </w:rPr>
        <w:t>链轮材质不低于 ZG310-570，齿面淬火处理，淬透层深度 2～2.5mm</w:t>
      </w:r>
      <w:r>
        <w:rPr>
          <w:rFonts w:hint="eastAsia" w:ascii="宋体" w:hAnsi="Arial" w:cs="Arial"/>
          <w:snapToGrid w:val="0"/>
          <w:color w:val="auto"/>
          <w:kern w:val="2"/>
          <w:sz w:val="24"/>
          <w:szCs w:val="21"/>
          <w:lang w:val="en-US" w:eastAsia="zh-CN" w:bidi="ar-SA"/>
        </w:rPr>
        <w:t>，</w:t>
      </w:r>
      <w:r>
        <w:rPr>
          <w:rFonts w:hint="eastAsia" w:ascii="宋体" w:hAnsi="Arial" w:cs="Arial" w:eastAsiaTheme="minorEastAsia"/>
          <w:snapToGrid w:val="0"/>
          <w:color w:val="auto"/>
          <w:kern w:val="2"/>
          <w:sz w:val="24"/>
          <w:szCs w:val="21"/>
          <w:lang w:val="en-US" w:eastAsia="zh-CN" w:bidi="ar-SA"/>
        </w:rPr>
        <w:t xml:space="preserve">硬度 HRC44-52。 </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④</w:t>
      </w:r>
      <w:r>
        <w:rPr>
          <w:rFonts w:hint="eastAsia" w:ascii="宋体" w:hAnsi="Arial" w:cs="Arial" w:eastAsiaTheme="minorEastAsia"/>
          <w:snapToGrid w:val="0"/>
          <w:color w:val="auto"/>
          <w:kern w:val="2"/>
          <w:sz w:val="24"/>
          <w:szCs w:val="21"/>
          <w:lang w:val="en-US" w:eastAsia="zh-CN" w:bidi="ar-SA"/>
        </w:rPr>
        <w:t>链轮轴采</w:t>
      </w:r>
      <w:r>
        <w:rPr>
          <w:rFonts w:hint="eastAsia" w:ascii="宋体" w:hAnsi="Arial" w:cs="Arial"/>
          <w:snapToGrid w:val="0"/>
          <w:color w:val="auto"/>
          <w:kern w:val="2"/>
          <w:sz w:val="24"/>
          <w:szCs w:val="21"/>
          <w:lang w:val="en-US" w:eastAsia="zh-CN" w:bidi="ar-SA"/>
        </w:rPr>
        <w:t>用</w:t>
      </w:r>
      <w:r>
        <w:rPr>
          <w:rFonts w:hint="eastAsia" w:ascii="宋体" w:hAnsi="Arial" w:cs="Arial" w:eastAsiaTheme="minorEastAsia"/>
          <w:snapToGrid w:val="0"/>
          <w:color w:val="auto"/>
          <w:kern w:val="2"/>
          <w:sz w:val="24"/>
          <w:szCs w:val="21"/>
          <w:lang w:val="en-US" w:eastAsia="zh-CN" w:bidi="ar-SA"/>
        </w:rPr>
        <w:t>40C</w:t>
      </w:r>
      <w:r>
        <w:rPr>
          <w:rFonts w:hint="eastAsia" w:ascii="宋体" w:hAnsi="Arial" w:cs="Arial"/>
          <w:snapToGrid w:val="0"/>
          <w:color w:val="auto"/>
          <w:kern w:val="2"/>
          <w:sz w:val="24"/>
          <w:szCs w:val="21"/>
          <w:lang w:val="en-US" w:eastAsia="zh-CN" w:bidi="ar-SA"/>
        </w:rPr>
        <w:t>r</w:t>
      </w:r>
      <w:r>
        <w:rPr>
          <w:rFonts w:hint="eastAsia" w:ascii="宋体" w:hAnsi="Arial" w:cs="Arial" w:eastAsiaTheme="minorEastAsia"/>
          <w:snapToGrid w:val="0"/>
          <w:color w:val="auto"/>
          <w:kern w:val="2"/>
          <w:sz w:val="24"/>
          <w:szCs w:val="21"/>
          <w:lang w:val="en-US" w:eastAsia="zh-CN" w:bidi="ar-SA"/>
        </w:rPr>
        <w:t xml:space="preserve">钢，经调质处理。 </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⑤</w:t>
      </w:r>
      <w:r>
        <w:rPr>
          <w:rFonts w:hint="eastAsia" w:ascii="宋体" w:hAnsi="Arial" w:cs="Arial" w:eastAsiaTheme="minorEastAsia"/>
          <w:snapToGrid w:val="0"/>
          <w:color w:val="auto"/>
          <w:kern w:val="2"/>
          <w:sz w:val="24"/>
          <w:szCs w:val="21"/>
          <w:lang w:val="en-US" w:eastAsia="zh-CN" w:bidi="ar-SA"/>
        </w:rPr>
        <w:t xml:space="preserve">主动链轮轴心线对链板输送机中心线垂直度偏差≤1mm/m；两链轮间横向中心与整机中心线的偏差≤1 mm。 </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⑥</w:t>
      </w:r>
      <w:r>
        <w:rPr>
          <w:rFonts w:hint="eastAsia" w:ascii="宋体" w:hAnsi="Arial" w:cs="Arial" w:eastAsiaTheme="minorEastAsia"/>
          <w:snapToGrid w:val="0"/>
          <w:color w:val="auto"/>
          <w:kern w:val="2"/>
          <w:sz w:val="24"/>
          <w:szCs w:val="21"/>
          <w:lang w:val="en-US" w:eastAsia="zh-CN" w:bidi="ar-SA"/>
        </w:rPr>
        <w:t xml:space="preserve">尾轮轴心线对链板输送机中心线垂直度偏差≤1mm/m；两链轮间横向中心与整机中心线的偏差≤1mm。尾轮轴水平度偏差≤1mm/m。 </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⑦</w:t>
      </w:r>
      <w:r>
        <w:rPr>
          <w:rFonts w:hint="eastAsia" w:ascii="宋体" w:hAnsi="Arial" w:cs="Arial" w:eastAsiaTheme="minorEastAsia"/>
          <w:snapToGrid w:val="0"/>
          <w:color w:val="auto"/>
          <w:kern w:val="2"/>
          <w:sz w:val="24"/>
          <w:szCs w:val="21"/>
          <w:lang w:val="en-US" w:eastAsia="zh-CN" w:bidi="ar-SA"/>
        </w:rPr>
        <w:t xml:space="preserve">链板上滚轮轴的中心线对输送机中心线的垂直度偏差≤1mm/m。 </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 xml:space="preserve">（2）输送链 </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①</w:t>
      </w:r>
      <w:r>
        <w:rPr>
          <w:rFonts w:hint="eastAsia" w:ascii="宋体" w:hAnsi="Arial" w:cs="Arial" w:eastAsiaTheme="minorEastAsia"/>
          <w:snapToGrid w:val="0"/>
          <w:color w:val="auto"/>
          <w:kern w:val="2"/>
          <w:sz w:val="24"/>
          <w:szCs w:val="21"/>
          <w:lang w:val="en-US" w:eastAsia="zh-CN" w:bidi="ar-SA"/>
        </w:rPr>
        <w:t>输送链材质为 40Cr，销轴、套管材质为 20Cr，滚轮采用 40Cr 钢表面淬火，硬</w:t>
      </w:r>
      <w:r>
        <w:rPr>
          <w:rFonts w:hint="eastAsia" w:ascii="宋体" w:hAnsi="Arial" w:cs="Arial"/>
          <w:snapToGrid w:val="0"/>
          <w:color w:val="auto"/>
          <w:kern w:val="2"/>
          <w:sz w:val="24"/>
          <w:szCs w:val="21"/>
          <w:lang w:val="en-US" w:eastAsia="zh-CN" w:bidi="ar-SA"/>
        </w:rPr>
        <w:t>度</w:t>
      </w:r>
      <w:r>
        <w:rPr>
          <w:rFonts w:hint="eastAsia" w:ascii="宋体" w:hAnsi="Arial" w:cs="Arial" w:eastAsiaTheme="minorEastAsia"/>
          <w:snapToGrid w:val="0"/>
          <w:color w:val="auto"/>
          <w:kern w:val="2"/>
          <w:sz w:val="24"/>
          <w:szCs w:val="21"/>
          <w:lang w:val="en-US" w:eastAsia="zh-CN" w:bidi="ar-SA"/>
        </w:rPr>
        <w:t xml:space="preserve">HRC45～55。 </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②</w:t>
      </w:r>
      <w:r>
        <w:rPr>
          <w:rFonts w:hint="eastAsia" w:ascii="宋体" w:hAnsi="Arial" w:cs="Arial" w:eastAsiaTheme="minorEastAsia"/>
          <w:snapToGrid w:val="0"/>
          <w:color w:val="auto"/>
          <w:kern w:val="2"/>
          <w:sz w:val="24"/>
          <w:szCs w:val="21"/>
          <w:lang w:val="en-US" w:eastAsia="zh-CN" w:bidi="ar-SA"/>
        </w:rPr>
        <w:t xml:space="preserve">输送链的长度公差在 3m 左右链长的测量范围内，为链条名义长度的+0.25%。 </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 xml:space="preserve">（3）机架 </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①</w:t>
      </w:r>
      <w:r>
        <w:rPr>
          <w:rFonts w:hint="eastAsia" w:ascii="宋体" w:hAnsi="Arial" w:cs="Arial" w:eastAsiaTheme="minorEastAsia"/>
          <w:snapToGrid w:val="0"/>
          <w:color w:val="auto"/>
          <w:kern w:val="2"/>
          <w:sz w:val="24"/>
          <w:szCs w:val="21"/>
          <w:lang w:val="en-US" w:eastAsia="zh-CN" w:bidi="ar-SA"/>
        </w:rPr>
        <w:t xml:space="preserve">机架由型钢、钢板焊接而成，采用整体结构。 </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②</w:t>
      </w:r>
      <w:r>
        <w:rPr>
          <w:rFonts w:hint="eastAsia" w:ascii="宋体" w:hAnsi="Arial" w:cs="Arial" w:eastAsiaTheme="minorEastAsia"/>
          <w:snapToGrid w:val="0"/>
          <w:color w:val="auto"/>
          <w:kern w:val="2"/>
          <w:sz w:val="24"/>
          <w:szCs w:val="21"/>
          <w:lang w:val="en-US" w:eastAsia="zh-CN" w:bidi="ar-SA"/>
        </w:rPr>
        <w:t xml:space="preserve">机架的驱动端和拉紧端安装轴承座的两对应平面的平行度公差小于1mm，机架主梁的直线度公差为 1.5/1000。沿机体纵向最大公差为 10mm。 </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③</w:t>
      </w:r>
      <w:r>
        <w:rPr>
          <w:rFonts w:hint="eastAsia" w:ascii="宋体" w:hAnsi="Arial" w:cs="Arial" w:eastAsiaTheme="minorEastAsia"/>
          <w:snapToGrid w:val="0"/>
          <w:color w:val="auto"/>
          <w:kern w:val="2"/>
          <w:sz w:val="24"/>
          <w:szCs w:val="21"/>
          <w:lang w:val="en-US" w:eastAsia="zh-CN" w:bidi="ar-SA"/>
        </w:rPr>
        <w:t xml:space="preserve">机架中心线与链板输送机的纵向中心线要求重合，其偏差≤2 mm。 </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④</w:t>
      </w:r>
      <w:r>
        <w:rPr>
          <w:rFonts w:hint="eastAsia" w:ascii="宋体" w:hAnsi="Arial" w:cs="Arial" w:eastAsiaTheme="minorEastAsia"/>
          <w:snapToGrid w:val="0"/>
          <w:color w:val="auto"/>
          <w:kern w:val="2"/>
          <w:sz w:val="24"/>
          <w:szCs w:val="21"/>
          <w:lang w:val="en-US" w:eastAsia="zh-CN" w:bidi="ar-SA"/>
        </w:rPr>
        <w:t xml:space="preserve">机架支柱对安装地面垂直偏差≤2 mm/m。 </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⑤</w:t>
      </w:r>
      <w:r>
        <w:rPr>
          <w:rFonts w:hint="eastAsia" w:ascii="宋体" w:hAnsi="Arial" w:cs="Arial" w:eastAsiaTheme="minorEastAsia"/>
          <w:snapToGrid w:val="0"/>
          <w:color w:val="auto"/>
          <w:kern w:val="2"/>
          <w:sz w:val="24"/>
          <w:szCs w:val="21"/>
          <w:lang w:val="en-US" w:eastAsia="zh-CN" w:bidi="ar-SA"/>
        </w:rPr>
        <w:t xml:space="preserve">相邻两支架的水平长偏差≤2 mm，支架横向水平度偏差≤1mm/m。 </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⑥</w:t>
      </w:r>
      <w:r>
        <w:rPr>
          <w:rFonts w:hint="eastAsia" w:ascii="宋体" w:hAnsi="Arial" w:cs="Arial" w:eastAsiaTheme="minorEastAsia"/>
          <w:snapToGrid w:val="0"/>
          <w:color w:val="auto"/>
          <w:kern w:val="2"/>
          <w:sz w:val="24"/>
          <w:szCs w:val="21"/>
          <w:lang w:val="en-US" w:eastAsia="zh-CN" w:bidi="ar-SA"/>
        </w:rPr>
        <w:t>轨道对链板输送机纵向中心线距离偏差≤1 mm</w:t>
      </w:r>
      <w:r>
        <w:rPr>
          <w:rFonts w:hint="eastAsia" w:ascii="宋体" w:hAnsi="Arial" w:cs="Arial"/>
          <w:snapToGrid w:val="0"/>
          <w:color w:val="auto"/>
          <w:kern w:val="2"/>
          <w:sz w:val="24"/>
          <w:szCs w:val="21"/>
          <w:lang w:val="en-US" w:eastAsia="zh-CN" w:bidi="ar-SA"/>
        </w:rPr>
        <w:t>，</w:t>
      </w:r>
      <w:r>
        <w:rPr>
          <w:rFonts w:hint="eastAsia" w:ascii="宋体" w:hAnsi="Arial" w:cs="Arial" w:eastAsiaTheme="minorEastAsia"/>
          <w:snapToGrid w:val="0"/>
          <w:color w:val="auto"/>
          <w:kern w:val="2"/>
          <w:sz w:val="24"/>
          <w:szCs w:val="21"/>
          <w:lang w:val="en-US" w:eastAsia="zh-CN" w:bidi="ar-SA"/>
        </w:rPr>
        <w:t xml:space="preserve">轨距偏差≤2 mm。 </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⑦</w:t>
      </w:r>
      <w:r>
        <w:rPr>
          <w:rFonts w:hint="eastAsia" w:ascii="宋体" w:hAnsi="Arial" w:cs="Arial" w:eastAsiaTheme="minorEastAsia"/>
          <w:snapToGrid w:val="0"/>
          <w:color w:val="auto"/>
          <w:kern w:val="2"/>
          <w:sz w:val="24"/>
          <w:szCs w:val="21"/>
          <w:lang w:val="en-US" w:eastAsia="zh-CN" w:bidi="ar-SA"/>
        </w:rPr>
        <w:t xml:space="preserve">轨道直线度偏差≤1.5mm/ m；全长的直线度偏差≤5 mm，轨道的弧形区段应均匀平滑。 </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⑧</w:t>
      </w:r>
      <w:r>
        <w:rPr>
          <w:rFonts w:hint="eastAsia" w:ascii="宋体" w:hAnsi="Arial" w:cs="Arial" w:eastAsiaTheme="minorEastAsia"/>
          <w:snapToGrid w:val="0"/>
          <w:color w:val="auto"/>
          <w:kern w:val="2"/>
          <w:sz w:val="24"/>
          <w:szCs w:val="21"/>
          <w:lang w:val="en-US" w:eastAsia="zh-CN" w:bidi="ar-SA"/>
        </w:rPr>
        <w:t xml:space="preserve">在同一横截面内，两轨道的相对标高偏差≤±2 mm。 </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⑨</w:t>
      </w:r>
      <w:r>
        <w:rPr>
          <w:rFonts w:hint="eastAsia" w:ascii="宋体" w:hAnsi="Arial" w:cs="Arial" w:eastAsiaTheme="minorEastAsia"/>
          <w:snapToGrid w:val="0"/>
          <w:color w:val="auto"/>
          <w:kern w:val="2"/>
          <w:sz w:val="24"/>
          <w:szCs w:val="21"/>
          <w:lang w:val="en-US" w:eastAsia="zh-CN" w:bidi="ar-SA"/>
        </w:rPr>
        <w:t>轨道允许焊接，但接头要光洁平滑，其左右偏移偏差≤±1mm；上下偏移偏差≤0.3 mm（仅允许沿链板运行方向向下低）。</w:t>
      </w:r>
    </w:p>
    <w:p>
      <w:pPr>
        <w:pStyle w:val="36"/>
        <w:keepNext w:val="0"/>
        <w:keepLines w:val="0"/>
        <w:pageBreakBefore w:val="0"/>
        <w:widowControl/>
        <w:kinsoku/>
        <w:wordWrap/>
        <w:overflowPunct/>
        <w:topLinePunct w:val="0"/>
        <w:autoSpaceDE/>
        <w:autoSpaceDN/>
        <w:bidi w:val="0"/>
        <w:adjustRightInd/>
        <w:snapToGrid w:val="0"/>
        <w:spacing w:line="360" w:lineRule="auto"/>
        <w:ind w:left="0" w:leftChars="0" w:firstLine="240" w:firstLineChars="100"/>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 xml:space="preserve">（4）装配试运行 </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①</w:t>
      </w:r>
      <w:r>
        <w:rPr>
          <w:rFonts w:hint="eastAsia" w:ascii="宋体" w:hAnsi="Arial" w:cs="Arial" w:eastAsiaTheme="minorEastAsia"/>
          <w:snapToGrid w:val="0"/>
          <w:color w:val="auto"/>
          <w:kern w:val="2"/>
          <w:sz w:val="24"/>
          <w:szCs w:val="21"/>
          <w:lang w:val="en-US" w:eastAsia="zh-CN" w:bidi="ar-SA"/>
        </w:rPr>
        <w:t xml:space="preserve">机器运行平稳，无异常响声和振动。 </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②</w:t>
      </w:r>
      <w:r>
        <w:rPr>
          <w:rFonts w:hint="eastAsia" w:ascii="宋体" w:hAnsi="Arial" w:cs="Arial" w:eastAsiaTheme="minorEastAsia"/>
          <w:snapToGrid w:val="0"/>
          <w:color w:val="auto"/>
          <w:kern w:val="2"/>
          <w:sz w:val="24"/>
          <w:szCs w:val="21"/>
          <w:lang w:val="en-US" w:eastAsia="zh-CN" w:bidi="ar-SA"/>
        </w:rPr>
        <w:t xml:space="preserve">输送链和链轮能正确齿合。 </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③</w:t>
      </w:r>
      <w:r>
        <w:rPr>
          <w:rFonts w:hint="eastAsia" w:ascii="宋体" w:hAnsi="Arial" w:cs="Arial" w:eastAsiaTheme="minorEastAsia"/>
          <w:snapToGrid w:val="0"/>
          <w:color w:val="auto"/>
          <w:kern w:val="2"/>
          <w:sz w:val="24"/>
          <w:szCs w:val="21"/>
          <w:lang w:val="en-US" w:eastAsia="zh-CN" w:bidi="ar-SA"/>
        </w:rPr>
        <w:t xml:space="preserve">输送槽板之间的间隙均匀，无卡碰现象。 </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④</w:t>
      </w:r>
      <w:r>
        <w:rPr>
          <w:rFonts w:hint="eastAsia" w:ascii="宋体" w:hAnsi="Arial" w:cs="Arial" w:eastAsiaTheme="minorEastAsia"/>
          <w:snapToGrid w:val="0"/>
          <w:color w:val="auto"/>
          <w:kern w:val="2"/>
          <w:sz w:val="24"/>
          <w:szCs w:val="21"/>
          <w:lang w:val="en-US" w:eastAsia="zh-CN" w:bidi="ar-SA"/>
        </w:rPr>
        <w:t xml:space="preserve">辊轮转动灵活。螺栓联接牢固。 </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3.</w:t>
      </w:r>
      <w:r>
        <w:rPr>
          <w:rFonts w:hint="eastAsia" w:ascii="宋体" w:hAnsi="Arial" w:cs="Arial" w:eastAsiaTheme="minorEastAsia"/>
          <w:snapToGrid w:val="0"/>
          <w:color w:val="auto"/>
          <w:kern w:val="2"/>
          <w:sz w:val="24"/>
          <w:szCs w:val="21"/>
          <w:lang w:val="en-US" w:eastAsia="zh-CN" w:bidi="ar-SA"/>
        </w:rPr>
        <w:t xml:space="preserve">清扫刮板机： </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 xml:space="preserve">（1）驱动装置 </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①</w:t>
      </w:r>
      <w:r>
        <w:rPr>
          <w:rFonts w:hint="eastAsia" w:ascii="宋体" w:hAnsi="Arial" w:cs="Arial" w:eastAsiaTheme="minorEastAsia"/>
          <w:snapToGrid w:val="0"/>
          <w:color w:val="auto"/>
          <w:kern w:val="2"/>
          <w:sz w:val="24"/>
          <w:szCs w:val="21"/>
          <w:lang w:val="en-US" w:eastAsia="zh-CN" w:bidi="ar-SA"/>
        </w:rPr>
        <w:t xml:space="preserve">减速机采用齿轮减速电机，功率3KW，传动形式采用链传动。电机及减速机安装于渣坑端。 </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②</w:t>
      </w:r>
      <w:r>
        <w:rPr>
          <w:rFonts w:hint="eastAsia" w:ascii="宋体" w:hAnsi="Arial" w:cs="Arial" w:eastAsiaTheme="minorEastAsia"/>
          <w:snapToGrid w:val="0"/>
          <w:color w:val="auto"/>
          <w:kern w:val="2"/>
          <w:sz w:val="24"/>
          <w:szCs w:val="21"/>
          <w:lang w:val="en-US" w:eastAsia="zh-CN" w:bidi="ar-SA"/>
        </w:rPr>
        <w:t>链轮材质不低于 ZG310-570，齿面淬火处理，淬透层深度2～2.5mm， 硬</w:t>
      </w:r>
      <w:r>
        <w:rPr>
          <w:rFonts w:hint="eastAsia" w:ascii="宋体" w:hAnsi="Arial" w:cs="Arial"/>
          <w:snapToGrid w:val="0"/>
          <w:color w:val="auto"/>
          <w:kern w:val="2"/>
          <w:sz w:val="24"/>
          <w:szCs w:val="21"/>
          <w:lang w:val="en-US" w:eastAsia="zh-CN" w:bidi="ar-SA"/>
        </w:rPr>
        <w:t>度</w:t>
      </w:r>
      <w:r>
        <w:rPr>
          <w:rFonts w:hint="eastAsia" w:ascii="宋体" w:hAnsi="Arial" w:cs="Arial" w:eastAsiaTheme="minorEastAsia"/>
          <w:snapToGrid w:val="0"/>
          <w:color w:val="auto"/>
          <w:kern w:val="2"/>
          <w:sz w:val="24"/>
          <w:szCs w:val="21"/>
          <w:lang w:val="en-US" w:eastAsia="zh-CN" w:bidi="ar-SA"/>
        </w:rPr>
        <w:t xml:space="preserve">HRC44-52。 </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③</w:t>
      </w:r>
      <w:r>
        <w:rPr>
          <w:rFonts w:hint="eastAsia" w:ascii="宋体" w:hAnsi="Arial" w:cs="Arial" w:eastAsiaTheme="minorEastAsia"/>
          <w:snapToGrid w:val="0"/>
          <w:color w:val="auto"/>
          <w:kern w:val="2"/>
          <w:sz w:val="24"/>
          <w:szCs w:val="21"/>
          <w:lang w:val="en-US" w:eastAsia="zh-CN" w:bidi="ar-SA"/>
        </w:rPr>
        <w:t xml:space="preserve">链轮轴采用 40Cr钢，经调质处理。 </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④</w:t>
      </w:r>
      <w:r>
        <w:rPr>
          <w:rFonts w:hint="eastAsia" w:ascii="宋体" w:hAnsi="Arial" w:cs="Arial" w:eastAsiaTheme="minorEastAsia"/>
          <w:snapToGrid w:val="0"/>
          <w:color w:val="auto"/>
          <w:kern w:val="2"/>
          <w:sz w:val="24"/>
          <w:szCs w:val="21"/>
          <w:lang w:val="en-US" w:eastAsia="zh-CN" w:bidi="ar-SA"/>
        </w:rPr>
        <w:t xml:space="preserve">主动链轮轴心线对链板输送机中心线垂直度偏差≤1mm/m；两链轮间横向中心与整机中心线的偏差≤1mm。 </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⑤</w:t>
      </w:r>
      <w:r>
        <w:rPr>
          <w:rFonts w:hint="eastAsia" w:ascii="宋体" w:hAnsi="Arial" w:cs="Arial" w:eastAsiaTheme="minorEastAsia"/>
          <w:snapToGrid w:val="0"/>
          <w:color w:val="auto"/>
          <w:kern w:val="2"/>
          <w:sz w:val="24"/>
          <w:szCs w:val="21"/>
          <w:lang w:val="en-US" w:eastAsia="zh-CN" w:bidi="ar-SA"/>
        </w:rPr>
        <w:t xml:space="preserve">尾轮轴心线对链板输送机中心线垂直度偏差≤1mm/m；两链轮间横向中心与整机中心线的偏差≤1mm。 </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⑥</w:t>
      </w:r>
      <w:r>
        <w:rPr>
          <w:rFonts w:hint="eastAsia" w:ascii="宋体" w:hAnsi="Arial" w:cs="Arial" w:eastAsiaTheme="minorEastAsia"/>
          <w:snapToGrid w:val="0"/>
          <w:color w:val="auto"/>
          <w:kern w:val="2"/>
          <w:sz w:val="24"/>
          <w:szCs w:val="21"/>
          <w:lang w:val="en-US" w:eastAsia="zh-CN" w:bidi="ar-SA"/>
        </w:rPr>
        <w:t xml:space="preserve">链板上滚轮轴的中心线对输送机中心线的垂直度偏差≤1mm/m。 </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 xml:space="preserve">（2）输送链 </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①</w:t>
      </w:r>
      <w:r>
        <w:rPr>
          <w:rFonts w:hint="eastAsia" w:ascii="宋体" w:hAnsi="Arial" w:cs="Arial" w:eastAsiaTheme="minorEastAsia"/>
          <w:snapToGrid w:val="0"/>
          <w:color w:val="auto"/>
          <w:kern w:val="2"/>
          <w:sz w:val="24"/>
          <w:szCs w:val="21"/>
          <w:lang w:val="en-US" w:eastAsia="zh-CN" w:bidi="ar-SA"/>
        </w:rPr>
        <w:t xml:space="preserve">输送链条采用高耐磨圆环链，和现场另一条线同型号。 </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②</w:t>
      </w:r>
      <w:r>
        <w:rPr>
          <w:rFonts w:hint="eastAsia" w:ascii="宋体" w:hAnsi="Arial" w:cs="Arial" w:eastAsiaTheme="minorEastAsia"/>
          <w:snapToGrid w:val="0"/>
          <w:color w:val="auto"/>
          <w:kern w:val="2"/>
          <w:sz w:val="24"/>
          <w:szCs w:val="21"/>
          <w:lang w:val="en-US" w:eastAsia="zh-CN" w:bidi="ar-SA"/>
        </w:rPr>
        <w:t xml:space="preserve">刮板加强设计，考虑带料启动。 </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 xml:space="preserve">（3）箱体 </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①</w:t>
      </w:r>
      <w:r>
        <w:rPr>
          <w:rFonts w:hint="eastAsia" w:ascii="宋体" w:hAnsi="Arial" w:cs="Arial" w:eastAsiaTheme="minorEastAsia"/>
          <w:snapToGrid w:val="0"/>
          <w:color w:val="auto"/>
          <w:kern w:val="2"/>
          <w:sz w:val="24"/>
          <w:szCs w:val="21"/>
          <w:lang w:val="en-US" w:eastAsia="zh-CN" w:bidi="ar-SA"/>
        </w:rPr>
        <w:t xml:space="preserve">箱体由型材、钢板焊接而成，采用整体结构。 </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②</w:t>
      </w:r>
      <w:r>
        <w:rPr>
          <w:rFonts w:hint="eastAsia" w:ascii="宋体" w:hAnsi="Arial" w:cs="Arial" w:eastAsiaTheme="minorEastAsia"/>
          <w:snapToGrid w:val="0"/>
          <w:color w:val="auto"/>
          <w:kern w:val="2"/>
          <w:sz w:val="24"/>
          <w:szCs w:val="21"/>
          <w:lang w:val="en-US" w:eastAsia="zh-CN" w:bidi="ar-SA"/>
        </w:rPr>
        <w:t xml:space="preserve">箱体的驱动端和拉紧端安装轴承座的两对应平面的平行度公差小于1mm，沿机体纵向最大公差为10mm。 </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③</w:t>
      </w:r>
      <w:r>
        <w:rPr>
          <w:rFonts w:hint="eastAsia" w:ascii="宋体" w:hAnsi="Arial" w:cs="Arial" w:eastAsiaTheme="minorEastAsia"/>
          <w:snapToGrid w:val="0"/>
          <w:color w:val="auto"/>
          <w:kern w:val="2"/>
          <w:sz w:val="24"/>
          <w:szCs w:val="21"/>
          <w:lang w:val="en-US" w:eastAsia="zh-CN" w:bidi="ar-SA"/>
        </w:rPr>
        <w:t xml:space="preserve">箱体中心线与链条输送的纵向中心线要求重合，其偏差≤2mm。 </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④</w:t>
      </w:r>
      <w:r>
        <w:rPr>
          <w:rFonts w:hint="eastAsia" w:ascii="宋体" w:hAnsi="Arial" w:cs="Arial" w:eastAsiaTheme="minorEastAsia"/>
          <w:snapToGrid w:val="0"/>
          <w:color w:val="auto"/>
          <w:kern w:val="2"/>
          <w:sz w:val="24"/>
          <w:szCs w:val="21"/>
          <w:lang w:val="en-US" w:eastAsia="zh-CN" w:bidi="ar-SA"/>
        </w:rPr>
        <w:t xml:space="preserve">箱体支柱对安装地面垂直偏差≤2mm/m。 </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 xml:space="preserve">（4）装配试运行 </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①</w:t>
      </w:r>
      <w:r>
        <w:rPr>
          <w:rFonts w:hint="eastAsia" w:ascii="宋体" w:hAnsi="Arial" w:cs="Arial" w:eastAsiaTheme="minorEastAsia"/>
          <w:snapToGrid w:val="0"/>
          <w:color w:val="auto"/>
          <w:kern w:val="2"/>
          <w:sz w:val="24"/>
          <w:szCs w:val="21"/>
          <w:lang w:val="en-US" w:eastAsia="zh-CN" w:bidi="ar-SA"/>
        </w:rPr>
        <w:t>机器运行平稳，无异常响声和振动。</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②</w:t>
      </w:r>
      <w:r>
        <w:rPr>
          <w:rFonts w:hint="eastAsia" w:ascii="宋体" w:hAnsi="Arial" w:cs="Arial" w:eastAsiaTheme="minorEastAsia"/>
          <w:snapToGrid w:val="0"/>
          <w:color w:val="auto"/>
          <w:kern w:val="2"/>
          <w:sz w:val="24"/>
          <w:szCs w:val="21"/>
          <w:lang w:val="en-US" w:eastAsia="zh-CN" w:bidi="ar-SA"/>
        </w:rPr>
        <w:t xml:space="preserve">输送链和链轮能正确齿合。 </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③</w:t>
      </w:r>
      <w:r>
        <w:rPr>
          <w:rFonts w:hint="eastAsia" w:ascii="宋体" w:hAnsi="Arial" w:cs="Arial" w:eastAsiaTheme="minorEastAsia"/>
          <w:snapToGrid w:val="0"/>
          <w:color w:val="auto"/>
          <w:kern w:val="2"/>
          <w:sz w:val="24"/>
          <w:szCs w:val="21"/>
          <w:lang w:val="en-US" w:eastAsia="zh-CN" w:bidi="ar-SA"/>
        </w:rPr>
        <w:t xml:space="preserve">辊轮转动灵活。螺栓联接牢固。 </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 xml:space="preserve">4. 支撑框架、集料斗、检修平台： </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①</w:t>
      </w:r>
      <w:r>
        <w:rPr>
          <w:rFonts w:hint="eastAsia" w:ascii="宋体" w:hAnsi="Arial" w:cs="Arial" w:eastAsiaTheme="minorEastAsia"/>
          <w:snapToGrid w:val="0"/>
          <w:color w:val="auto"/>
          <w:kern w:val="2"/>
          <w:sz w:val="24"/>
          <w:szCs w:val="21"/>
          <w:lang w:val="en-US" w:eastAsia="zh-CN" w:bidi="ar-SA"/>
        </w:rPr>
        <w:t xml:space="preserve">支撑框架需现场勘查，满足混凝土框架梁支撑。 </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②</w:t>
      </w:r>
      <w:r>
        <w:rPr>
          <w:rFonts w:hint="eastAsia" w:ascii="宋体" w:hAnsi="Arial" w:cs="Arial" w:eastAsiaTheme="minorEastAsia"/>
          <w:snapToGrid w:val="0"/>
          <w:color w:val="auto"/>
          <w:kern w:val="2"/>
          <w:sz w:val="24"/>
          <w:szCs w:val="21"/>
          <w:lang w:val="en-US" w:eastAsia="zh-CN" w:bidi="ar-SA"/>
        </w:rPr>
        <w:t xml:space="preserve">集料斗由型钢、钢板焊接而成，采用整体结构，材质 Q235，厚度不小于10mm。 </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③</w:t>
      </w:r>
      <w:r>
        <w:rPr>
          <w:rFonts w:hint="eastAsia" w:ascii="宋体" w:hAnsi="Arial" w:cs="Arial" w:eastAsiaTheme="minorEastAsia"/>
          <w:snapToGrid w:val="0"/>
          <w:color w:val="auto"/>
          <w:kern w:val="2"/>
          <w:sz w:val="24"/>
          <w:szCs w:val="21"/>
          <w:lang w:val="en-US" w:eastAsia="zh-CN" w:bidi="ar-SA"/>
        </w:rPr>
        <w:t xml:space="preserve">检修平台包含镀锌格栅，平台，护栏等，需满足对设备的操作和维护。 </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5.</w:t>
      </w:r>
      <w:r>
        <w:rPr>
          <w:rFonts w:hint="eastAsia" w:ascii="宋体" w:hAnsi="Arial" w:cs="Arial" w:eastAsiaTheme="minorEastAsia"/>
          <w:snapToGrid w:val="0"/>
          <w:color w:val="auto"/>
          <w:kern w:val="2"/>
          <w:sz w:val="24"/>
          <w:szCs w:val="21"/>
          <w:lang w:val="en-US" w:eastAsia="zh-CN" w:bidi="ar-SA"/>
        </w:rPr>
        <w:t xml:space="preserve"> 电仪改造： </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利用低压配电系统回路，新增控制电缆、桥架、操作柱及安装辅材，同时负责与DCS通讯及组态，改造后满足设备控制就地/远程要求。</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6.供应商所供必须为合格正品，不得为假冒伪劣产品。</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7.质保期限</w:t>
      </w:r>
      <w:r>
        <w:rPr>
          <w:rFonts w:hint="eastAsia" w:ascii="宋体" w:hAnsi="Arial" w:cs="Arial"/>
          <w:snapToGrid w:val="0"/>
          <w:color w:val="auto"/>
          <w:kern w:val="2"/>
          <w:sz w:val="24"/>
          <w:szCs w:val="21"/>
          <w:lang w:val="en-US" w:eastAsia="zh-CN" w:bidi="ar-SA"/>
        </w:rPr>
        <w:t>为自</w:t>
      </w:r>
      <w:r>
        <w:rPr>
          <w:rFonts w:hint="eastAsia" w:ascii="宋体" w:hAnsi="Arial" w:cs="Arial" w:eastAsiaTheme="minorEastAsia"/>
          <w:snapToGrid w:val="0"/>
          <w:color w:val="auto"/>
          <w:kern w:val="2"/>
          <w:sz w:val="24"/>
          <w:szCs w:val="21"/>
          <w:lang w:val="en-US" w:eastAsia="zh-CN" w:bidi="ar-SA"/>
        </w:rPr>
        <w:t>验收合格后12个月，若质保期内出现质量问题（非质量问题除外），由供应商负责免费维修</w:t>
      </w:r>
      <w:r>
        <w:rPr>
          <w:rFonts w:hint="eastAsia" w:ascii="宋体" w:hAnsi="Arial" w:cs="Arial"/>
          <w:snapToGrid w:val="0"/>
          <w:color w:val="auto"/>
          <w:kern w:val="2"/>
          <w:sz w:val="24"/>
          <w:szCs w:val="21"/>
          <w:lang w:val="en-US" w:eastAsia="zh-CN" w:bidi="ar-SA"/>
        </w:rPr>
        <w:t>或者更换</w:t>
      </w:r>
      <w:r>
        <w:rPr>
          <w:rFonts w:hint="eastAsia" w:ascii="宋体" w:hAnsi="Arial" w:cs="Arial" w:eastAsiaTheme="minorEastAsia"/>
          <w:snapToGrid w:val="0"/>
          <w:color w:val="auto"/>
          <w:kern w:val="2"/>
          <w:sz w:val="24"/>
          <w:szCs w:val="21"/>
          <w:lang w:val="en-US" w:eastAsia="zh-CN" w:bidi="ar-SA"/>
        </w:rPr>
        <w:t>，产生的费用全部由供应商承担。维修</w:t>
      </w:r>
      <w:r>
        <w:rPr>
          <w:rFonts w:hint="eastAsia" w:ascii="宋体" w:hAnsi="Arial" w:cs="Arial"/>
          <w:snapToGrid w:val="0"/>
          <w:color w:val="auto"/>
          <w:kern w:val="2"/>
          <w:sz w:val="24"/>
          <w:szCs w:val="21"/>
          <w:lang w:val="en-US" w:eastAsia="zh-CN" w:bidi="ar-SA"/>
        </w:rPr>
        <w:t>或者更换后质保期重新计算。</w:t>
      </w:r>
    </w:p>
    <w:p>
      <w:pPr>
        <w:pStyle w:val="7"/>
        <w:ind w:firstLine="723" w:firstLineChars="300"/>
        <w:rPr>
          <w:rFonts w:hint="default" w:eastAsiaTheme="minorEastAsia"/>
          <w:b/>
          <w:bCs/>
          <w:color w:val="auto"/>
          <w:lang w:val="en-US" w:eastAsia="zh-CN"/>
        </w:rPr>
      </w:pPr>
      <w:r>
        <w:rPr>
          <w:rFonts w:hint="eastAsia"/>
          <w:b/>
          <w:bCs/>
          <w:color w:val="auto"/>
          <w:lang w:val="en-US" w:eastAsia="zh-CN"/>
        </w:rPr>
        <w:t>▲五</w:t>
      </w:r>
      <w:r>
        <w:rPr>
          <w:rFonts w:hint="eastAsia"/>
          <w:b/>
          <w:bCs/>
          <w:color w:val="auto"/>
          <w:lang w:val="en-US"/>
        </w:rPr>
        <w:t>、验收</w:t>
      </w:r>
      <w:r>
        <w:rPr>
          <w:rFonts w:hint="eastAsia"/>
          <w:b/>
          <w:bCs/>
          <w:color w:val="auto"/>
          <w:lang w:val="en-US" w:eastAsia="zh-CN"/>
        </w:rPr>
        <w:t>方式及要求</w:t>
      </w:r>
    </w:p>
    <w:p>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1.材料验收：板材、零部件及焊接材料应符合设计图纸要求，并具有制造厂的出厂合格证或质量证明书。质量证明书包括材料牌号、炉号、规格、化学成分、力学性能及供货状态等。 若采购人有权对材料材质进行光谱检测，若材质不满足要求的，供应商无条件予以更换至满足要求为止。</w:t>
      </w:r>
    </w:p>
    <w:p>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2.设备在进场时，必须按规定进行检查验收，开箱检验必须由双方有关人员共同进行，并保管好合格证、装箱单和安装使用说明书等资料。如有重大问题，应及时拍照备查。</w:t>
      </w:r>
    </w:p>
    <w:p>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3.定型设备应有产品出厂合格证、说明书、装箱单等资料，材质准确无误，配件齐全，符合设计要求。非标设备应符合设计图纸的技术要术，并应有试验记录、合格证书和出厂合格证。设备检验后应提交有签证的检验记录。</w:t>
      </w:r>
    </w:p>
    <w:p>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4.新设备需进行单机试验，双方共同确认试验结果，试验不合格的设备供应商需要更换或重新安装；</w:t>
      </w:r>
    </w:p>
    <w:p>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5.新设备单机试验合格后，需连续试运行168小时，双方指定人员现场确认试运行结果，供应商提供整体验收报告，试运行期间设备运行正常，满足要求视为验收合格。</w:t>
      </w:r>
    </w:p>
    <w:p>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6.所有新增钢结构及连接处等裸漏位置均需按要求做防腐处理。</w:t>
      </w:r>
    </w:p>
    <w:p>
      <w:pPr>
        <w:pStyle w:val="7"/>
        <w:ind w:firstLine="480" w:firstLineChars="200"/>
        <w:rPr>
          <w:b/>
          <w:bCs/>
          <w:lang w:val="en-US"/>
        </w:rPr>
      </w:pPr>
      <w:r>
        <w:rPr>
          <w:rFonts w:hint="eastAsia" w:cs="仿宋" w:asciiTheme="minorEastAsia" w:hAnsiTheme="minorEastAsia"/>
          <w:kern w:val="0"/>
          <w:lang w:val="en-US" w:eastAsia="zh-CN"/>
        </w:rPr>
        <w:t>六</w:t>
      </w:r>
      <w:r>
        <w:rPr>
          <w:rFonts w:hint="eastAsia"/>
          <w:b/>
          <w:bCs/>
          <w:lang w:val="en-US"/>
        </w:rPr>
        <w:t>、服务要求</w:t>
      </w:r>
    </w:p>
    <w:p>
      <w:pPr>
        <w:pStyle w:val="7"/>
        <w:numPr>
          <w:ilvl w:val="0"/>
          <w:numId w:val="0"/>
        </w:numPr>
        <w:ind w:firstLine="480" w:firstLineChars="200"/>
        <w:rPr>
          <w:rFonts w:hint="default" w:eastAsiaTheme="minorEastAsia"/>
          <w:lang w:val="en-US" w:eastAsia="zh-CN"/>
        </w:rPr>
      </w:pPr>
      <w:r>
        <w:rPr>
          <w:rFonts w:hint="eastAsia" w:ascii="宋体" w:hAnsi="Arial" w:cs="Arial" w:eastAsiaTheme="minorEastAsia"/>
          <w:snapToGrid w:val="0"/>
          <w:kern w:val="2"/>
          <w:sz w:val="24"/>
          <w:szCs w:val="21"/>
          <w:highlight w:val="none"/>
          <w:lang w:val="en-US" w:eastAsia="zh-CN" w:bidi="ar-SA"/>
        </w:rPr>
        <w:t>1.</w:t>
      </w:r>
      <w:r>
        <w:rPr>
          <w:rFonts w:hint="eastAsia"/>
          <w:highlight w:val="none"/>
          <w:lang w:val="en-US"/>
        </w:rPr>
        <w:t>根据采购人生产</w:t>
      </w:r>
      <w:r>
        <w:rPr>
          <w:rFonts w:hint="eastAsia"/>
          <w:highlight w:val="none"/>
          <w:lang w:val="en-US" w:eastAsia="zh-CN"/>
        </w:rPr>
        <w:t>检修</w:t>
      </w:r>
      <w:r>
        <w:rPr>
          <w:rFonts w:hint="eastAsia"/>
          <w:highlight w:val="none"/>
          <w:lang w:val="en-US"/>
        </w:rPr>
        <w:t>计划，</w:t>
      </w:r>
      <w:r>
        <w:rPr>
          <w:rFonts w:hint="eastAsia"/>
          <w:highlight w:val="none"/>
          <w:lang w:val="en-US" w:eastAsia="zh-CN"/>
        </w:rPr>
        <w:t>供应商</w:t>
      </w:r>
      <w:r>
        <w:rPr>
          <w:rFonts w:hint="eastAsia"/>
          <w:highlight w:val="none"/>
          <w:lang w:val="en-US"/>
        </w:rPr>
        <w:t>负责在接到采购人电话或书面通知后在</w:t>
      </w:r>
      <w:r>
        <w:rPr>
          <w:rFonts w:hint="eastAsia"/>
          <w:highlight w:val="none"/>
          <w:lang w:val="en-US" w:eastAsia="zh-CN"/>
        </w:rPr>
        <w:t>30天</w:t>
      </w:r>
      <w:r>
        <w:rPr>
          <w:rFonts w:hint="eastAsia"/>
          <w:highlight w:val="none"/>
          <w:lang w:val="en-US"/>
        </w:rPr>
        <w:t>内完成供货</w:t>
      </w:r>
      <w:r>
        <w:rPr>
          <w:rFonts w:hint="eastAsia"/>
          <w:highlight w:val="none"/>
          <w:lang w:val="en-US" w:eastAsia="zh-CN"/>
        </w:rPr>
        <w:t>及安装。</w:t>
      </w:r>
    </w:p>
    <w:p>
      <w:pPr>
        <w:pStyle w:val="7"/>
        <w:numPr>
          <w:ilvl w:val="0"/>
          <w:numId w:val="0"/>
        </w:numPr>
        <w:ind w:firstLine="480" w:firstLineChars="200"/>
        <w:rPr>
          <w:rFonts w:hint="eastAsia"/>
          <w:color w:val="auto"/>
          <w:lang w:val="en-US"/>
        </w:rPr>
      </w:pPr>
      <w:r>
        <w:rPr>
          <w:rFonts w:ascii="宋体" w:hAnsi="Arial" w:cs="Arial" w:eastAsiaTheme="minorEastAsia"/>
          <w:snapToGrid w:val="0"/>
          <w:color w:val="auto"/>
          <w:kern w:val="2"/>
          <w:sz w:val="24"/>
          <w:szCs w:val="21"/>
          <w:lang w:val="en-US" w:eastAsia="zh-CN" w:bidi="ar-SA"/>
        </w:rPr>
        <w:t>2.</w:t>
      </w:r>
      <w:r>
        <w:rPr>
          <w:rFonts w:hint="eastAsia"/>
          <w:color w:val="auto"/>
          <w:lang w:val="en-US" w:eastAsia="zh-CN"/>
        </w:rPr>
        <w:t>供应商</w:t>
      </w:r>
      <w:r>
        <w:rPr>
          <w:rFonts w:hint="eastAsia"/>
          <w:color w:val="auto"/>
          <w:lang w:val="en-US"/>
        </w:rPr>
        <w:t>负责卸货</w:t>
      </w:r>
      <w:r>
        <w:rPr>
          <w:rFonts w:hint="eastAsia"/>
          <w:color w:val="auto"/>
          <w:lang w:val="en-US" w:eastAsia="zh-CN"/>
        </w:rPr>
        <w:t>、拆除旧件、安装新件</w:t>
      </w:r>
      <w:r>
        <w:rPr>
          <w:rFonts w:hint="eastAsia"/>
          <w:color w:val="auto"/>
          <w:lang w:val="en-US"/>
        </w:rPr>
        <w:t>，</w:t>
      </w:r>
      <w:r>
        <w:rPr>
          <w:rFonts w:hint="eastAsia"/>
          <w:color w:val="auto"/>
          <w:lang w:val="en-US" w:eastAsia="zh-CN"/>
        </w:rPr>
        <w:t>吊装设备费用、工器具费用和</w:t>
      </w:r>
      <w:r>
        <w:rPr>
          <w:rFonts w:hint="eastAsia"/>
          <w:color w:val="auto"/>
          <w:lang w:val="en-US"/>
        </w:rPr>
        <w:t>人工费</w:t>
      </w:r>
      <w:r>
        <w:rPr>
          <w:rFonts w:hint="eastAsia"/>
          <w:color w:val="auto"/>
          <w:lang w:val="en-US" w:eastAsia="zh-CN"/>
        </w:rPr>
        <w:t>均含在本次采购范围内，</w:t>
      </w:r>
      <w:r>
        <w:rPr>
          <w:rFonts w:hint="eastAsia"/>
          <w:color w:val="auto"/>
          <w:lang w:val="en-US"/>
        </w:rPr>
        <w:t>由</w:t>
      </w:r>
      <w:r>
        <w:rPr>
          <w:rFonts w:hint="eastAsia"/>
          <w:color w:val="auto"/>
          <w:lang w:val="en-US" w:eastAsia="zh-CN"/>
        </w:rPr>
        <w:t>供应商</w:t>
      </w:r>
      <w:r>
        <w:rPr>
          <w:rFonts w:hint="eastAsia"/>
          <w:color w:val="auto"/>
          <w:lang w:val="en-US"/>
        </w:rPr>
        <w:t>承担</w:t>
      </w:r>
      <w:r>
        <w:rPr>
          <w:rFonts w:hint="eastAsia"/>
          <w:color w:val="auto"/>
          <w:lang w:val="en-US" w:eastAsia="zh-CN"/>
        </w:rPr>
        <w:t>，采购人不额外支付费用</w:t>
      </w:r>
      <w:r>
        <w:rPr>
          <w:rFonts w:hint="eastAsia"/>
          <w:color w:val="auto"/>
          <w:lang w:val="en-US"/>
        </w:rPr>
        <w:t>，采购人可免费提供叉车服务。</w:t>
      </w:r>
    </w:p>
    <w:p>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kern w:val="0"/>
          <w:sz w:val="24"/>
          <w:szCs w:val="24"/>
          <w:highlight w:val="none"/>
          <w:lang w:val="en-US" w:eastAsia="zh-CN"/>
        </w:rPr>
      </w:pPr>
      <w:r>
        <w:rPr>
          <w:rFonts w:hint="eastAsia" w:cs="仿宋" w:asciiTheme="minorEastAsia" w:hAnsiTheme="minorEastAsia"/>
          <w:color w:val="auto"/>
          <w:kern w:val="0"/>
          <w:lang w:val="en-US" w:eastAsia="zh-CN"/>
        </w:rPr>
        <w:t>3.</w:t>
      </w:r>
      <w:bookmarkStart w:id="19" w:name="_Toc6813"/>
      <w:bookmarkStart w:id="20" w:name="_Toc23233"/>
      <w:r>
        <w:rPr>
          <w:rFonts w:hint="eastAsia" w:ascii="宋体" w:hAnsi="宋体" w:eastAsia="宋体" w:cs="宋体"/>
          <w:color w:val="auto"/>
          <w:kern w:val="0"/>
          <w:sz w:val="24"/>
          <w:szCs w:val="24"/>
          <w:highlight w:val="none"/>
          <w:lang w:val="en-US" w:eastAsia="zh-CN"/>
        </w:rPr>
        <w:t>供应商对实施工作人员安全负有全部责任，供应商须为工作人员购买保险，如工伤保险、意外保险等，具体由供应商自行与员工确定，若因此而引起的法律或者经济纠纷，由供应商负全责，采购人不承担任何责任。</w:t>
      </w:r>
    </w:p>
    <w:p>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4.供应商实施人员食宿自理</w:t>
      </w:r>
      <w:bookmarkEnd w:id="19"/>
      <w:bookmarkEnd w:id="20"/>
      <w:r>
        <w:rPr>
          <w:rFonts w:hint="eastAsia" w:ascii="宋体" w:hAnsi="宋体" w:eastAsia="宋体" w:cs="宋体"/>
          <w:color w:val="auto"/>
          <w:kern w:val="0"/>
          <w:sz w:val="24"/>
          <w:szCs w:val="24"/>
          <w:highlight w:val="none"/>
          <w:lang w:val="en-US" w:eastAsia="zh-CN"/>
        </w:rPr>
        <w:t>。</w:t>
      </w:r>
    </w:p>
    <w:p>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保密服务要求：供应商对采购人提供的所有业务技术资料、文档，有责任对第三方保密；供应商在服务过程中涉及第三方产品（中标人提供的），若出现技术、经济或法律上的纠纷，应由供应商全面承担并解决，确保不影响项目的进度。供应商应严格遵守采购人关于保密方面的规定，自觉保守采购人的商业秘密。采购人为方便项目实施所提供给供应商的工作流程、管理模式、规程、程序等相关文档资料、文档、数据均属于采购人所有。未经采购人授权同意，供应商不得另作他用。因供应商原因导致上述资料、文档、数据或采购人商业秘密泄露的，采购人有权要求供应商采取措施消除影响并赔偿采购人损失。</w:t>
      </w:r>
    </w:p>
    <w:p>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6.供应商应遵守采购人的现场管理制度要求，遵守国家、行业、地方法律法规，不得违章作业，接收采购人的安全教育，出现任何人员安全事故由供应商自行承担。</w:t>
      </w:r>
    </w:p>
    <w:p>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7.供应商在自备设备专用工具和服务人员的所有劳防用品。</w:t>
      </w:r>
    </w:p>
    <w:p>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default" w:cs="仿宋" w:asciiTheme="minorEastAsia" w:hAnsiTheme="minorEastAsia" w:eastAsiaTheme="minorEastAsia"/>
          <w:color w:val="auto"/>
          <w:kern w:val="0"/>
          <w:lang w:val="en-US" w:eastAsia="zh-CN"/>
        </w:rPr>
      </w:pPr>
      <w:r>
        <w:rPr>
          <w:rFonts w:hint="eastAsia" w:ascii="宋体" w:hAnsi="宋体" w:eastAsia="宋体" w:cs="宋体"/>
          <w:color w:val="auto"/>
          <w:kern w:val="0"/>
          <w:sz w:val="24"/>
          <w:szCs w:val="24"/>
          <w:highlight w:val="none"/>
          <w:lang w:val="en-US" w:eastAsia="zh-CN"/>
        </w:rPr>
        <w:t>8.供应商在实施过程中应负责对采购人生产场地的保护，与实施区域无关进行必要隔离，若造成损坏应负责修复或赔偿。对实施区域必须做到工完料尽场地清，实施中更换下来的废旧物资应按时堆放至采购人指定的相应地点。</w:t>
      </w:r>
    </w:p>
    <w:p>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pPr>
        <w:pStyle w:val="8"/>
        <w:ind w:firstLine="480" w:firstLineChars="200"/>
        <w:rPr>
          <w:lang w:val="en-US"/>
        </w:rPr>
      </w:pPr>
      <w:r>
        <w:rPr>
          <w:rFonts w:hint="eastAsia"/>
          <w:lang w:val="en-US"/>
        </w:rPr>
        <w:t>以本询价采购文件中的合同条款为准。</w:t>
      </w:r>
    </w:p>
    <w:p>
      <w:pPr>
        <w:pStyle w:val="7"/>
        <w:ind w:firstLine="480" w:firstLineChars="200"/>
        <w:rPr>
          <w:b/>
          <w:bCs/>
          <w:highlight w:val="none"/>
          <w:lang w:val="en-US"/>
        </w:rPr>
      </w:pPr>
      <w:r>
        <w:rPr>
          <w:rFonts w:hint="eastAsia" w:cs="仿宋" w:asciiTheme="minorEastAsia" w:hAnsiTheme="minorEastAsia"/>
          <w:kern w:val="0"/>
          <w:highlight w:val="none"/>
          <w:lang w:val="en-US" w:eastAsia="zh-CN"/>
        </w:rPr>
        <w:t>八</w:t>
      </w:r>
      <w:r>
        <w:rPr>
          <w:rFonts w:hint="eastAsia"/>
          <w:b/>
          <w:bCs/>
          <w:highlight w:val="none"/>
          <w:lang w:val="en-US"/>
        </w:rPr>
        <w:t>、售后要求</w:t>
      </w:r>
    </w:p>
    <w:p>
      <w:pPr>
        <w:pStyle w:val="7"/>
        <w:ind w:firstLine="480" w:firstLineChars="200"/>
        <w:rPr>
          <w:rFonts w:hint="eastAsia" w:ascii="宋体"/>
          <w:highlight w:val="none"/>
          <w:lang w:val="en-US"/>
        </w:rPr>
      </w:pPr>
      <w:r>
        <w:rPr>
          <w:rFonts w:hint="eastAsia"/>
          <w:highlight w:val="none"/>
          <w:lang w:val="en-US"/>
        </w:rPr>
        <w:t>1.</w:t>
      </w:r>
      <w:r>
        <w:rPr>
          <w:rFonts w:hint="eastAsia"/>
          <w:highlight w:val="none"/>
          <w:lang w:val="en-US" w:eastAsia="zh-CN"/>
        </w:rPr>
        <w:t>供应商</w:t>
      </w:r>
      <w:r>
        <w:rPr>
          <w:rFonts w:hint="eastAsia"/>
          <w:highlight w:val="none"/>
          <w:lang w:val="en-US"/>
        </w:rPr>
        <w:t>必须满足采购人售后服务要求。</w:t>
      </w:r>
      <w:r>
        <w:rPr>
          <w:rFonts w:hint="eastAsia"/>
          <w:highlight w:val="none"/>
          <w:lang w:val="en-US" w:eastAsia="zh-CN"/>
        </w:rPr>
        <w:t>若供应商提供的货物或者服务在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采购人通知后必须</w:t>
      </w:r>
      <w:r>
        <w:rPr>
          <w:rFonts w:hint="eastAsia"/>
          <w:highlight w:val="none"/>
          <w:lang w:val="en-US" w:eastAsia="zh-CN"/>
        </w:rPr>
        <w:t>24</w:t>
      </w:r>
      <w:r>
        <w:rPr>
          <w:rFonts w:hint="eastAsia" w:ascii="宋体"/>
          <w:highlight w:val="none"/>
          <w:lang w:val="en-US"/>
        </w:rPr>
        <w:t>小时内做出书面答复并提供解决方案。若需要派遣技术人员，则应在接到采购人通知后</w:t>
      </w:r>
      <w:r>
        <w:rPr>
          <w:rFonts w:hint="eastAsia"/>
          <w:highlight w:val="none"/>
          <w:lang w:val="en-US" w:eastAsia="zh-CN"/>
        </w:rPr>
        <w:t>，48</w:t>
      </w:r>
      <w:r>
        <w:rPr>
          <w:rFonts w:hint="eastAsia" w:ascii="宋体"/>
          <w:highlight w:val="none"/>
          <w:lang w:val="en-US"/>
        </w:rPr>
        <w:t>小时内派人员到达现场进行免费指导解决问题。</w:t>
      </w:r>
    </w:p>
    <w:p>
      <w:pPr>
        <w:pStyle w:val="7"/>
        <w:ind w:firstLine="480" w:firstLineChars="200"/>
        <w:rPr>
          <w:rFonts w:hint="eastAsia" w:ascii="宋体"/>
          <w:highlight w:val="none"/>
          <w:lang w:val="en-US"/>
        </w:rPr>
      </w:pPr>
      <w:r>
        <w:rPr>
          <w:rFonts w:hint="eastAsia" w:ascii="宋体"/>
          <w:highlight w:val="none"/>
          <w:lang w:val="en-US"/>
        </w:rPr>
        <w:t>2.采购人不再对任何售后服务进行付费。</w:t>
      </w:r>
      <w:r>
        <w:rPr>
          <w:rFonts w:hint="eastAsia" w:ascii="宋体"/>
          <w:highlight w:val="none"/>
          <w:lang w:val="en-US" w:eastAsia="zh-CN"/>
        </w:rPr>
        <w:t>供应商</w:t>
      </w:r>
      <w:r>
        <w:rPr>
          <w:rFonts w:hint="eastAsia" w:ascii="宋体"/>
          <w:highlight w:val="none"/>
          <w:lang w:val="en-US"/>
        </w:rPr>
        <w:t>的派遣人员产生的一切费用由供应商承担。</w:t>
      </w:r>
    </w:p>
    <w:p>
      <w:pPr>
        <w:pStyle w:val="7"/>
        <w:ind w:firstLine="480" w:firstLineChars="200"/>
        <w:rPr>
          <w:rFonts w:hint="eastAsia" w:ascii="宋体"/>
          <w:highlight w:val="none"/>
          <w:lang w:val="en-US"/>
        </w:rPr>
      </w:pPr>
      <w:r>
        <w:rPr>
          <w:rFonts w:hint="eastAsia" w:ascii="宋体"/>
          <w:highlight w:val="none"/>
          <w:lang w:val="en-US"/>
        </w:rPr>
        <w:t>3.</w:t>
      </w:r>
      <w:r>
        <w:rPr>
          <w:rFonts w:hint="eastAsia"/>
          <w:color w:val="auto"/>
          <w:highlight w:val="none"/>
          <w:lang w:val="en-US" w:eastAsia="zh-CN"/>
        </w:rPr>
        <w:t>供应商</w:t>
      </w:r>
      <w:r>
        <w:rPr>
          <w:rFonts w:hint="eastAsia"/>
          <w:highlight w:val="none"/>
          <w:lang w:val="en-US" w:eastAsia="zh-CN"/>
        </w:rPr>
        <w:t>提供的货物或者服务</w:t>
      </w:r>
      <w:r>
        <w:rPr>
          <w:rFonts w:hint="eastAsia" w:ascii="宋体"/>
          <w:highlight w:val="none"/>
          <w:lang w:val="en-US"/>
        </w:rPr>
        <w:t>在使用过程中，因质量问题给</w:t>
      </w:r>
      <w:r>
        <w:rPr>
          <w:rFonts w:hint="eastAsia"/>
          <w:highlight w:val="none"/>
          <w:lang w:val="en-US" w:eastAsia="zh-CN"/>
        </w:rPr>
        <w:t>其</w:t>
      </w:r>
      <w:r>
        <w:rPr>
          <w:rFonts w:hint="eastAsia" w:ascii="宋体"/>
          <w:highlight w:val="none"/>
          <w:lang w:val="en-US"/>
        </w:rPr>
        <w:t>他机械设备造成故障或货物损坏，由供应商承担采购人的一切损失，包括直接和间接损失。</w:t>
      </w:r>
    </w:p>
    <w:p>
      <w:pPr>
        <w:pStyle w:val="7"/>
        <w:numPr>
          <w:ilvl w:val="0"/>
          <w:numId w:val="0"/>
        </w:numPr>
        <w:ind w:firstLine="482" w:firstLineChars="200"/>
        <w:rPr>
          <w:rFonts w:hint="eastAsia"/>
          <w:b/>
          <w:bCs/>
          <w:color w:val="auto"/>
          <w:highlight w:val="none"/>
          <w:lang w:val="en-US" w:eastAsia="zh-CN"/>
        </w:rPr>
      </w:pPr>
    </w:p>
    <w:p>
      <w:pPr>
        <w:pStyle w:val="7"/>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pPr>
        <w:pStyle w:val="7"/>
        <w:ind w:firstLine="480" w:firstLineChars="200"/>
        <w:jc w:val="center"/>
        <w:rPr>
          <w:rFonts w:hint="default"/>
          <w:lang w:val="en-US" w:eastAsia="zh-CN"/>
        </w:rPr>
      </w:pPr>
    </w:p>
    <w:p>
      <w:pPr>
        <w:pStyle w:val="7"/>
        <w:ind w:firstLine="480" w:firstLineChars="200"/>
        <w:jc w:val="center"/>
        <w:rPr>
          <w:rFonts w:hint="default"/>
          <w:lang w:val="en-US" w:eastAsia="zh-CN"/>
        </w:rPr>
      </w:pPr>
    </w:p>
    <w:p>
      <w:pPr>
        <w:pStyle w:val="14"/>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21" w:name="_Toc184310297"/>
      <w:bookmarkEnd w:id="21"/>
      <w:bookmarkStart w:id="22" w:name="_Toc184312135"/>
      <w:bookmarkEnd w:id="22"/>
      <w:bookmarkStart w:id="23" w:name="_Toc184313242"/>
      <w:bookmarkEnd w:id="23"/>
      <w:bookmarkStart w:id="24" w:name="_Toc184310320"/>
      <w:bookmarkEnd w:id="24"/>
      <w:bookmarkStart w:id="25" w:name="_Toc184312081"/>
      <w:bookmarkEnd w:id="25"/>
      <w:bookmarkStart w:id="26" w:name="_Toc184314436"/>
      <w:bookmarkEnd w:id="26"/>
      <w:bookmarkStart w:id="27" w:name="_Toc184314431"/>
      <w:bookmarkEnd w:id="27"/>
      <w:bookmarkStart w:id="28" w:name="_Toc184314443"/>
      <w:bookmarkEnd w:id="28"/>
      <w:bookmarkStart w:id="29" w:name="_Toc184313289"/>
      <w:bookmarkEnd w:id="29"/>
      <w:bookmarkStart w:id="30" w:name="_Toc184308036"/>
      <w:bookmarkEnd w:id="30"/>
      <w:bookmarkStart w:id="31" w:name="_Toc184313285"/>
      <w:bookmarkEnd w:id="31"/>
      <w:bookmarkStart w:id="32" w:name="_Toc184312075"/>
      <w:bookmarkEnd w:id="32"/>
      <w:bookmarkStart w:id="33" w:name="_Toc184314445"/>
      <w:bookmarkEnd w:id="33"/>
      <w:bookmarkStart w:id="34" w:name="_Toc184314425"/>
      <w:bookmarkEnd w:id="34"/>
      <w:bookmarkStart w:id="35" w:name="_Toc184310315"/>
      <w:bookmarkEnd w:id="35"/>
      <w:bookmarkStart w:id="36" w:name="_Toc184308060"/>
      <w:bookmarkEnd w:id="36"/>
      <w:bookmarkStart w:id="37" w:name="_Toc184314450"/>
      <w:bookmarkEnd w:id="37"/>
      <w:bookmarkStart w:id="38" w:name="_Toc184312087"/>
      <w:bookmarkEnd w:id="38"/>
      <w:bookmarkStart w:id="39" w:name="_Toc184313271"/>
      <w:bookmarkEnd w:id="39"/>
      <w:bookmarkStart w:id="40" w:name="_Toc184313295"/>
      <w:bookmarkEnd w:id="40"/>
      <w:bookmarkStart w:id="41" w:name="_Toc184310314"/>
      <w:bookmarkEnd w:id="41"/>
      <w:bookmarkStart w:id="42" w:name="_Toc184314416"/>
      <w:bookmarkEnd w:id="42"/>
      <w:bookmarkStart w:id="43" w:name="_Toc184308058"/>
      <w:bookmarkEnd w:id="43"/>
      <w:bookmarkStart w:id="44" w:name="_Toc184313304"/>
      <w:bookmarkEnd w:id="44"/>
      <w:bookmarkStart w:id="45" w:name="_Toc184314428"/>
      <w:bookmarkEnd w:id="45"/>
      <w:bookmarkStart w:id="46" w:name="_Toc184312123"/>
      <w:bookmarkEnd w:id="46"/>
      <w:bookmarkStart w:id="47" w:name="_Toc184314426"/>
      <w:bookmarkEnd w:id="47"/>
      <w:bookmarkStart w:id="48" w:name="_Toc184312114"/>
      <w:bookmarkEnd w:id="48"/>
      <w:bookmarkStart w:id="49" w:name="_Toc184313309"/>
      <w:bookmarkEnd w:id="49"/>
      <w:bookmarkStart w:id="50" w:name="_Toc184308068"/>
      <w:bookmarkEnd w:id="50"/>
      <w:bookmarkStart w:id="51" w:name="_Toc184313299"/>
      <w:bookmarkEnd w:id="51"/>
      <w:bookmarkStart w:id="52" w:name="_Toc184310331"/>
      <w:bookmarkEnd w:id="52"/>
      <w:bookmarkStart w:id="53" w:name="_Toc184314461"/>
      <w:bookmarkEnd w:id="53"/>
      <w:bookmarkStart w:id="54" w:name="_Toc184310343"/>
      <w:bookmarkEnd w:id="54"/>
      <w:bookmarkStart w:id="55" w:name="_Toc184312136"/>
      <w:bookmarkEnd w:id="55"/>
      <w:bookmarkStart w:id="56" w:name="_Toc184312107"/>
      <w:bookmarkEnd w:id="56"/>
      <w:bookmarkStart w:id="57" w:name="_Toc184310301"/>
      <w:bookmarkEnd w:id="57"/>
      <w:bookmarkStart w:id="58" w:name="_Toc184310283"/>
      <w:bookmarkEnd w:id="58"/>
      <w:bookmarkStart w:id="59" w:name="_Toc184308070"/>
      <w:bookmarkEnd w:id="59"/>
      <w:bookmarkStart w:id="60" w:name="_Toc184308067"/>
      <w:bookmarkEnd w:id="60"/>
      <w:bookmarkStart w:id="61" w:name="_Toc184313239"/>
      <w:bookmarkEnd w:id="61"/>
      <w:bookmarkStart w:id="62" w:name="_Toc184312128"/>
      <w:bookmarkEnd w:id="62"/>
      <w:bookmarkStart w:id="63" w:name="_Toc184314457"/>
      <w:bookmarkEnd w:id="63"/>
      <w:bookmarkStart w:id="64" w:name="_Toc184314412"/>
      <w:bookmarkEnd w:id="64"/>
      <w:bookmarkStart w:id="65" w:name="_Toc184314478"/>
      <w:bookmarkEnd w:id="65"/>
      <w:bookmarkStart w:id="66" w:name="_Toc184308075"/>
      <w:bookmarkEnd w:id="66"/>
      <w:bookmarkStart w:id="67" w:name="_Toc184308078"/>
      <w:bookmarkEnd w:id="67"/>
      <w:bookmarkStart w:id="68" w:name="_Toc184310273"/>
      <w:bookmarkEnd w:id="68"/>
      <w:bookmarkStart w:id="69" w:name="_Toc184314424"/>
      <w:bookmarkEnd w:id="69"/>
      <w:bookmarkStart w:id="70" w:name="_Toc184313256"/>
      <w:bookmarkEnd w:id="70"/>
      <w:bookmarkStart w:id="71" w:name="_Toc184313276"/>
      <w:bookmarkEnd w:id="71"/>
      <w:bookmarkStart w:id="72" w:name="_Toc184308101"/>
      <w:bookmarkEnd w:id="72"/>
      <w:bookmarkStart w:id="73" w:name="_Toc184312073"/>
      <w:bookmarkEnd w:id="73"/>
      <w:bookmarkStart w:id="74" w:name="_Toc184314434"/>
      <w:bookmarkEnd w:id="74"/>
      <w:bookmarkStart w:id="75" w:name="_Toc184312131"/>
      <w:bookmarkEnd w:id="75"/>
      <w:bookmarkStart w:id="76" w:name="_Toc184312110"/>
      <w:bookmarkEnd w:id="76"/>
      <w:bookmarkStart w:id="77" w:name="_Toc184313292"/>
      <w:bookmarkEnd w:id="77"/>
      <w:bookmarkStart w:id="78" w:name="_Toc184312130"/>
      <w:bookmarkEnd w:id="78"/>
      <w:bookmarkStart w:id="79" w:name="_Toc184310344"/>
      <w:bookmarkEnd w:id="79"/>
      <w:bookmarkStart w:id="80" w:name="_Toc184312133"/>
      <w:bookmarkEnd w:id="80"/>
      <w:bookmarkStart w:id="81" w:name="_Toc184308045"/>
      <w:bookmarkEnd w:id="81"/>
      <w:bookmarkStart w:id="82" w:name="_Toc184308061"/>
      <w:bookmarkEnd w:id="82"/>
      <w:bookmarkStart w:id="83" w:name="_Toc184310275"/>
      <w:bookmarkEnd w:id="83"/>
      <w:bookmarkStart w:id="84" w:name="_Toc184314481"/>
      <w:bookmarkEnd w:id="84"/>
      <w:bookmarkStart w:id="85" w:name="_Toc184314421"/>
      <w:bookmarkEnd w:id="85"/>
      <w:bookmarkStart w:id="86" w:name="_Toc184314442"/>
      <w:bookmarkEnd w:id="86"/>
      <w:bookmarkStart w:id="87" w:name="_Toc184314470"/>
      <w:bookmarkEnd w:id="87"/>
      <w:bookmarkStart w:id="88" w:name="_Toc184314446"/>
      <w:bookmarkEnd w:id="88"/>
      <w:bookmarkStart w:id="89" w:name="_Toc184313251"/>
      <w:bookmarkEnd w:id="89"/>
      <w:bookmarkStart w:id="90" w:name="_Toc184312067"/>
      <w:bookmarkEnd w:id="90"/>
      <w:bookmarkStart w:id="91" w:name="_Toc184310289"/>
      <w:bookmarkEnd w:id="91"/>
      <w:bookmarkStart w:id="92" w:name="_Toc184312091"/>
      <w:bookmarkEnd w:id="92"/>
      <w:bookmarkStart w:id="93" w:name="_Toc184313286"/>
      <w:bookmarkEnd w:id="93"/>
      <w:bookmarkStart w:id="94" w:name="_Toc184313241"/>
      <w:bookmarkEnd w:id="94"/>
      <w:bookmarkStart w:id="95" w:name="_Toc184310319"/>
      <w:bookmarkEnd w:id="95"/>
      <w:bookmarkStart w:id="96" w:name="_Toc184313307"/>
      <w:bookmarkEnd w:id="96"/>
      <w:bookmarkStart w:id="97" w:name="_Toc184312090"/>
      <w:bookmarkEnd w:id="97"/>
      <w:bookmarkStart w:id="98" w:name="_Toc184312074"/>
      <w:bookmarkEnd w:id="98"/>
      <w:bookmarkStart w:id="99" w:name="_Toc184314447"/>
      <w:bookmarkEnd w:id="99"/>
      <w:bookmarkStart w:id="100" w:name="_Toc184314414"/>
      <w:bookmarkEnd w:id="100"/>
      <w:bookmarkStart w:id="101" w:name="_Toc184312068"/>
      <w:bookmarkEnd w:id="101"/>
      <w:bookmarkStart w:id="102" w:name="_Toc184313303"/>
      <w:bookmarkEnd w:id="102"/>
      <w:bookmarkStart w:id="103" w:name="_Toc184314420"/>
      <w:bookmarkEnd w:id="103"/>
      <w:bookmarkStart w:id="104" w:name="_Toc184312125"/>
      <w:bookmarkEnd w:id="104"/>
      <w:bookmarkStart w:id="105" w:name="_Toc184314479"/>
      <w:bookmarkEnd w:id="105"/>
      <w:bookmarkStart w:id="106" w:name="_Toc184308076"/>
      <w:bookmarkEnd w:id="106"/>
      <w:bookmarkStart w:id="107" w:name="_Toc184313261"/>
      <w:bookmarkEnd w:id="107"/>
      <w:bookmarkStart w:id="108" w:name="_Toc184312129"/>
      <w:bookmarkEnd w:id="108"/>
      <w:bookmarkStart w:id="109" w:name="_Toc184310291"/>
      <w:bookmarkEnd w:id="109"/>
      <w:bookmarkStart w:id="110" w:name="_Toc184312126"/>
      <w:bookmarkEnd w:id="110"/>
      <w:bookmarkStart w:id="111" w:name="_Toc184314441"/>
      <w:bookmarkEnd w:id="111"/>
      <w:bookmarkStart w:id="112" w:name="_Toc184310334"/>
      <w:bookmarkEnd w:id="112"/>
      <w:bookmarkStart w:id="113" w:name="_Toc184314472"/>
      <w:bookmarkEnd w:id="113"/>
      <w:bookmarkStart w:id="114" w:name="_Toc184312117"/>
      <w:bookmarkEnd w:id="114"/>
      <w:bookmarkStart w:id="115" w:name="_Toc184308050"/>
      <w:bookmarkEnd w:id="115"/>
      <w:bookmarkStart w:id="116" w:name="_Toc184308106"/>
      <w:bookmarkEnd w:id="116"/>
      <w:bookmarkStart w:id="117" w:name="_Toc184312139"/>
      <w:bookmarkEnd w:id="117"/>
      <w:bookmarkStart w:id="118" w:name="_Toc184313279"/>
      <w:bookmarkEnd w:id="118"/>
      <w:bookmarkStart w:id="119" w:name="_Toc184314462"/>
      <w:bookmarkEnd w:id="119"/>
      <w:bookmarkStart w:id="120" w:name="_Toc184312103"/>
      <w:bookmarkEnd w:id="120"/>
      <w:bookmarkStart w:id="121" w:name="_Toc184314471"/>
      <w:bookmarkEnd w:id="121"/>
      <w:bookmarkStart w:id="122" w:name="_Toc184308047"/>
      <w:bookmarkEnd w:id="122"/>
      <w:bookmarkStart w:id="123" w:name="_Toc184314415"/>
      <w:bookmarkEnd w:id="123"/>
      <w:bookmarkStart w:id="124" w:name="_Toc184310317"/>
      <w:bookmarkEnd w:id="124"/>
      <w:bookmarkStart w:id="125" w:name="_Toc184314465"/>
      <w:bookmarkEnd w:id="125"/>
      <w:bookmarkStart w:id="126" w:name="_Toc184313294"/>
      <w:bookmarkEnd w:id="126"/>
      <w:bookmarkStart w:id="127" w:name="_Toc184308091"/>
      <w:bookmarkEnd w:id="127"/>
      <w:bookmarkStart w:id="128" w:name="_Toc184312069"/>
      <w:bookmarkEnd w:id="128"/>
      <w:bookmarkStart w:id="129" w:name="_Toc184313300"/>
      <w:bookmarkEnd w:id="129"/>
      <w:bookmarkStart w:id="130" w:name="_Toc184313298"/>
      <w:bookmarkEnd w:id="130"/>
      <w:bookmarkStart w:id="131" w:name="_Toc184312096"/>
      <w:bookmarkEnd w:id="131"/>
      <w:bookmarkStart w:id="132" w:name="_Toc184314477"/>
      <w:bookmarkEnd w:id="132"/>
      <w:bookmarkStart w:id="133" w:name="_Toc184310312"/>
      <w:bookmarkEnd w:id="133"/>
      <w:bookmarkStart w:id="134" w:name="_Toc184312122"/>
      <w:bookmarkEnd w:id="134"/>
      <w:bookmarkStart w:id="135" w:name="_Toc184314432"/>
      <w:bookmarkEnd w:id="135"/>
      <w:bookmarkStart w:id="136" w:name="_Toc184314454"/>
      <w:bookmarkEnd w:id="136"/>
      <w:bookmarkStart w:id="137" w:name="_Toc184313265"/>
      <w:bookmarkEnd w:id="137"/>
      <w:bookmarkStart w:id="138" w:name="_Toc184313306"/>
      <w:bookmarkEnd w:id="138"/>
      <w:bookmarkStart w:id="139" w:name="_Toc184310323"/>
      <w:bookmarkEnd w:id="139"/>
      <w:bookmarkStart w:id="140" w:name="_Toc184313260"/>
      <w:bookmarkEnd w:id="140"/>
      <w:bookmarkStart w:id="141" w:name="_Toc184312121"/>
      <w:bookmarkEnd w:id="141"/>
      <w:bookmarkStart w:id="142" w:name="_Toc184314440"/>
      <w:bookmarkEnd w:id="142"/>
      <w:bookmarkStart w:id="143" w:name="_Toc184308064"/>
      <w:bookmarkEnd w:id="143"/>
      <w:bookmarkStart w:id="144" w:name="_Toc184312099"/>
      <w:bookmarkEnd w:id="144"/>
      <w:bookmarkStart w:id="145" w:name="_Toc184312111"/>
      <w:bookmarkEnd w:id="145"/>
      <w:bookmarkStart w:id="146" w:name="_Toc184314469"/>
      <w:bookmarkEnd w:id="146"/>
      <w:bookmarkStart w:id="147" w:name="_Toc184310290"/>
      <w:bookmarkEnd w:id="147"/>
      <w:bookmarkStart w:id="148" w:name="_Toc184313270"/>
      <w:bookmarkEnd w:id="148"/>
      <w:bookmarkStart w:id="149" w:name="_Toc184308108"/>
      <w:bookmarkEnd w:id="149"/>
      <w:bookmarkStart w:id="150" w:name="_Toc184313275"/>
      <w:bookmarkEnd w:id="150"/>
      <w:bookmarkStart w:id="151" w:name="_Toc184314448"/>
      <w:bookmarkEnd w:id="151"/>
      <w:bookmarkStart w:id="152" w:name="_Toc184314423"/>
      <w:bookmarkEnd w:id="152"/>
      <w:bookmarkStart w:id="153" w:name="_Toc184314444"/>
      <w:bookmarkEnd w:id="153"/>
      <w:bookmarkStart w:id="154" w:name="_Toc184313274"/>
      <w:bookmarkEnd w:id="154"/>
      <w:bookmarkStart w:id="155" w:name="_Toc184313244"/>
      <w:bookmarkEnd w:id="155"/>
      <w:bookmarkStart w:id="156" w:name="_Toc184310278"/>
      <w:bookmarkEnd w:id="156"/>
      <w:bookmarkStart w:id="157" w:name="_Toc184310288"/>
      <w:bookmarkEnd w:id="157"/>
      <w:bookmarkStart w:id="158" w:name="_Toc184310335"/>
      <w:bookmarkEnd w:id="158"/>
      <w:bookmarkStart w:id="159" w:name="_Toc184308092"/>
      <w:bookmarkEnd w:id="159"/>
      <w:bookmarkStart w:id="160" w:name="_Toc184310277"/>
      <w:bookmarkEnd w:id="160"/>
      <w:bookmarkStart w:id="161" w:name="_Toc184310325"/>
      <w:bookmarkEnd w:id="161"/>
      <w:bookmarkStart w:id="162" w:name="_Toc184308071"/>
      <w:bookmarkEnd w:id="162"/>
      <w:bookmarkStart w:id="163" w:name="_Toc184313263"/>
      <w:bookmarkEnd w:id="163"/>
      <w:bookmarkStart w:id="164" w:name="_Toc184314429"/>
      <w:bookmarkEnd w:id="164"/>
      <w:bookmarkStart w:id="165" w:name="_Toc184313293"/>
      <w:bookmarkEnd w:id="165"/>
      <w:bookmarkStart w:id="166" w:name="_Toc184310282"/>
      <w:bookmarkEnd w:id="166"/>
      <w:bookmarkStart w:id="167" w:name="_Toc184313310"/>
      <w:bookmarkEnd w:id="167"/>
      <w:bookmarkStart w:id="168" w:name="_Toc184312105"/>
      <w:bookmarkEnd w:id="168"/>
      <w:bookmarkStart w:id="169" w:name="_Toc184310310"/>
      <w:bookmarkEnd w:id="169"/>
      <w:bookmarkStart w:id="170" w:name="_Toc184312095"/>
      <w:bookmarkEnd w:id="170"/>
      <w:bookmarkStart w:id="171" w:name="_Toc184310322"/>
      <w:bookmarkEnd w:id="171"/>
      <w:bookmarkStart w:id="172" w:name="_Toc184312113"/>
      <w:bookmarkEnd w:id="172"/>
      <w:bookmarkStart w:id="173" w:name="_Toc184312072"/>
      <w:bookmarkEnd w:id="173"/>
      <w:bookmarkStart w:id="174" w:name="_Toc184314419"/>
      <w:bookmarkEnd w:id="174"/>
      <w:bookmarkStart w:id="175" w:name="_Toc184314467"/>
      <w:bookmarkEnd w:id="175"/>
      <w:bookmarkStart w:id="176" w:name="_Toc184312109"/>
      <w:bookmarkEnd w:id="176"/>
      <w:bookmarkStart w:id="177" w:name="_Toc184313240"/>
      <w:bookmarkEnd w:id="177"/>
      <w:bookmarkStart w:id="178" w:name="_Toc184313272"/>
      <w:bookmarkEnd w:id="178"/>
      <w:bookmarkStart w:id="179" w:name="_Toc184308104"/>
      <w:bookmarkEnd w:id="179"/>
      <w:bookmarkStart w:id="180" w:name="_Toc184308049"/>
      <w:bookmarkEnd w:id="180"/>
      <w:bookmarkStart w:id="181" w:name="_Toc184313305"/>
      <w:bookmarkEnd w:id="181"/>
      <w:bookmarkStart w:id="182" w:name="_Toc184308037"/>
      <w:bookmarkEnd w:id="182"/>
      <w:bookmarkStart w:id="183" w:name="_Toc184308089"/>
      <w:bookmarkEnd w:id="183"/>
      <w:bookmarkStart w:id="184" w:name="_Toc184313252"/>
      <w:bookmarkEnd w:id="184"/>
      <w:bookmarkStart w:id="185" w:name="_Toc184308074"/>
      <w:bookmarkEnd w:id="185"/>
      <w:bookmarkStart w:id="186" w:name="_Toc184313302"/>
      <w:bookmarkEnd w:id="186"/>
      <w:bookmarkStart w:id="187" w:name="_Toc184312102"/>
      <w:bookmarkEnd w:id="187"/>
      <w:bookmarkStart w:id="188" w:name="_Toc184310294"/>
      <w:bookmarkEnd w:id="188"/>
      <w:bookmarkStart w:id="189" w:name="_Toc184308046"/>
      <w:bookmarkEnd w:id="189"/>
      <w:bookmarkStart w:id="190" w:name="_Toc184308094"/>
      <w:bookmarkEnd w:id="190"/>
      <w:bookmarkStart w:id="191" w:name="_Toc184312076"/>
      <w:bookmarkEnd w:id="191"/>
      <w:bookmarkStart w:id="192" w:name="_Toc184312089"/>
      <w:bookmarkEnd w:id="192"/>
      <w:bookmarkStart w:id="193" w:name="_Toc184310313"/>
      <w:bookmarkEnd w:id="193"/>
      <w:bookmarkStart w:id="194" w:name="_Toc184310332"/>
      <w:bookmarkEnd w:id="194"/>
      <w:bookmarkStart w:id="195" w:name="_Toc184314417"/>
      <w:bookmarkEnd w:id="195"/>
      <w:bookmarkStart w:id="196" w:name="_Toc184312106"/>
      <w:bookmarkEnd w:id="196"/>
      <w:bookmarkStart w:id="197" w:name="_Toc184308103"/>
      <w:bookmarkEnd w:id="197"/>
      <w:bookmarkStart w:id="198" w:name="_Toc184314482"/>
      <w:bookmarkEnd w:id="198"/>
      <w:bookmarkStart w:id="199" w:name="_Toc184312100"/>
      <w:bookmarkEnd w:id="199"/>
      <w:bookmarkStart w:id="200" w:name="_Toc184313287"/>
      <w:bookmarkEnd w:id="200"/>
      <w:bookmarkStart w:id="201" w:name="_Toc184310298"/>
      <w:bookmarkEnd w:id="201"/>
      <w:bookmarkStart w:id="202" w:name="_Toc184308040"/>
      <w:bookmarkEnd w:id="202"/>
      <w:bookmarkStart w:id="203" w:name="_Toc184310296"/>
      <w:bookmarkEnd w:id="203"/>
      <w:bookmarkStart w:id="204" w:name="_Toc184314463"/>
      <w:bookmarkEnd w:id="204"/>
      <w:bookmarkStart w:id="205" w:name="_Toc184308043"/>
      <w:bookmarkEnd w:id="205"/>
      <w:bookmarkStart w:id="206" w:name="_Toc184308066"/>
      <w:bookmarkEnd w:id="206"/>
      <w:bookmarkStart w:id="207" w:name="_Toc184313296"/>
      <w:bookmarkEnd w:id="207"/>
      <w:bookmarkStart w:id="208" w:name="_Toc184313301"/>
      <w:bookmarkEnd w:id="208"/>
      <w:bookmarkStart w:id="209" w:name="_Toc184310272"/>
      <w:bookmarkEnd w:id="209"/>
      <w:bookmarkStart w:id="210" w:name="_Toc184310284"/>
      <w:bookmarkEnd w:id="210"/>
      <w:bookmarkStart w:id="211" w:name="_Toc184308062"/>
      <w:bookmarkEnd w:id="211"/>
      <w:bookmarkStart w:id="212" w:name="_Toc184308059"/>
      <w:bookmarkEnd w:id="212"/>
      <w:bookmarkStart w:id="213" w:name="_Toc184308096"/>
      <w:bookmarkEnd w:id="213"/>
      <w:bookmarkStart w:id="214" w:name="_Toc184314411"/>
      <w:bookmarkEnd w:id="214"/>
      <w:bookmarkStart w:id="215" w:name="_Toc184308087"/>
      <w:bookmarkEnd w:id="215"/>
      <w:bookmarkStart w:id="216" w:name="_Toc184312124"/>
      <w:bookmarkEnd w:id="216"/>
      <w:bookmarkStart w:id="217" w:name="_Toc184308044"/>
      <w:bookmarkEnd w:id="217"/>
      <w:bookmarkStart w:id="218" w:name="_Toc184313281"/>
      <w:bookmarkEnd w:id="218"/>
      <w:bookmarkStart w:id="219" w:name="_Toc184310305"/>
      <w:bookmarkEnd w:id="219"/>
      <w:bookmarkStart w:id="220" w:name="_Toc184314413"/>
      <w:bookmarkEnd w:id="220"/>
      <w:bookmarkStart w:id="221" w:name="_Toc184310337"/>
      <w:bookmarkEnd w:id="221"/>
      <w:bookmarkStart w:id="222" w:name="_Toc184314449"/>
      <w:bookmarkEnd w:id="222"/>
      <w:bookmarkStart w:id="223" w:name="_Toc184310304"/>
      <w:bookmarkEnd w:id="223"/>
      <w:bookmarkStart w:id="224" w:name="_Toc184310280"/>
      <w:bookmarkEnd w:id="224"/>
      <w:bookmarkStart w:id="225" w:name="_Toc184313282"/>
      <w:bookmarkEnd w:id="225"/>
      <w:bookmarkStart w:id="226" w:name="_Toc184312132"/>
      <w:bookmarkEnd w:id="226"/>
      <w:bookmarkStart w:id="227" w:name="_Toc184310279"/>
      <w:bookmarkEnd w:id="227"/>
      <w:bookmarkStart w:id="228" w:name="_Toc184312085"/>
      <w:bookmarkEnd w:id="228"/>
      <w:bookmarkStart w:id="229" w:name="_Toc184312080"/>
      <w:bookmarkEnd w:id="229"/>
      <w:bookmarkStart w:id="230" w:name="_Toc184312098"/>
      <w:bookmarkEnd w:id="230"/>
      <w:bookmarkStart w:id="231" w:name="_Toc184308081"/>
      <w:bookmarkEnd w:id="231"/>
      <w:bookmarkStart w:id="232" w:name="_Toc184308069"/>
      <w:bookmarkEnd w:id="232"/>
      <w:bookmarkStart w:id="233" w:name="_Toc184310342"/>
      <w:bookmarkEnd w:id="233"/>
      <w:bookmarkStart w:id="234" w:name="_Toc184312138"/>
      <w:bookmarkEnd w:id="234"/>
      <w:bookmarkStart w:id="235" w:name="_Toc184310285"/>
      <w:bookmarkEnd w:id="235"/>
      <w:bookmarkStart w:id="236" w:name="_Toc184310318"/>
      <w:bookmarkEnd w:id="236"/>
      <w:bookmarkStart w:id="237" w:name="_Toc184313259"/>
      <w:bookmarkEnd w:id="237"/>
      <w:bookmarkStart w:id="238" w:name="_Toc184313269"/>
      <w:bookmarkEnd w:id="238"/>
      <w:bookmarkStart w:id="239" w:name="_Toc184314453"/>
      <w:bookmarkEnd w:id="239"/>
      <w:bookmarkStart w:id="240" w:name="_Toc184308073"/>
      <w:bookmarkEnd w:id="240"/>
      <w:bookmarkStart w:id="241" w:name="_Toc184310287"/>
      <w:bookmarkEnd w:id="241"/>
      <w:bookmarkStart w:id="242" w:name="_Toc184312082"/>
      <w:bookmarkEnd w:id="242"/>
      <w:bookmarkStart w:id="243" w:name="_Toc184313262"/>
      <w:bookmarkEnd w:id="243"/>
      <w:bookmarkStart w:id="244" w:name="_Toc184310327"/>
      <w:bookmarkEnd w:id="244"/>
      <w:bookmarkStart w:id="245" w:name="_Toc184313291"/>
      <w:bookmarkEnd w:id="245"/>
      <w:bookmarkStart w:id="246" w:name="_Toc184313257"/>
      <w:bookmarkEnd w:id="246"/>
      <w:bookmarkStart w:id="247" w:name="_Toc184314480"/>
      <w:bookmarkEnd w:id="247"/>
      <w:bookmarkStart w:id="248" w:name="_Toc184308102"/>
      <w:bookmarkEnd w:id="248"/>
      <w:bookmarkStart w:id="249" w:name="_Toc184314433"/>
      <w:bookmarkEnd w:id="249"/>
      <w:bookmarkStart w:id="250" w:name="_Toc184310309"/>
      <w:bookmarkEnd w:id="250"/>
      <w:bookmarkStart w:id="251" w:name="_Toc184308088"/>
      <w:bookmarkEnd w:id="251"/>
      <w:bookmarkStart w:id="252" w:name="_Toc184314430"/>
      <w:bookmarkEnd w:id="252"/>
      <w:bookmarkStart w:id="253" w:name="_Toc184308107"/>
      <w:bookmarkEnd w:id="253"/>
      <w:bookmarkStart w:id="254" w:name="_Toc184313277"/>
      <w:bookmarkEnd w:id="254"/>
      <w:bookmarkStart w:id="255" w:name="_Toc184312083"/>
      <w:bookmarkEnd w:id="255"/>
      <w:bookmarkStart w:id="256" w:name="_Toc184312119"/>
      <w:bookmarkEnd w:id="256"/>
      <w:bookmarkStart w:id="257" w:name="_Toc184308048"/>
      <w:bookmarkEnd w:id="257"/>
      <w:bookmarkStart w:id="258" w:name="_Toc184314460"/>
      <w:bookmarkEnd w:id="258"/>
      <w:bookmarkStart w:id="259" w:name="_Toc184314410"/>
      <w:bookmarkEnd w:id="259"/>
      <w:bookmarkStart w:id="260" w:name="_Toc184313245"/>
      <w:bookmarkEnd w:id="260"/>
      <w:bookmarkStart w:id="261" w:name="_Toc184314418"/>
      <w:bookmarkEnd w:id="261"/>
      <w:bookmarkStart w:id="262" w:name="_Toc184312070"/>
      <w:bookmarkEnd w:id="262"/>
      <w:bookmarkStart w:id="263" w:name="_Toc184308097"/>
      <w:bookmarkEnd w:id="263"/>
      <w:bookmarkStart w:id="264" w:name="_Toc184314475"/>
      <w:bookmarkEnd w:id="264"/>
      <w:bookmarkStart w:id="265" w:name="_Toc184313280"/>
      <w:bookmarkEnd w:id="265"/>
      <w:bookmarkStart w:id="266" w:name="_Toc184312093"/>
      <w:bookmarkEnd w:id="266"/>
      <w:bookmarkStart w:id="267" w:name="_Toc184313266"/>
      <w:bookmarkEnd w:id="267"/>
      <w:bookmarkStart w:id="268" w:name="_Toc184308105"/>
      <w:bookmarkEnd w:id="268"/>
      <w:bookmarkStart w:id="269" w:name="_Toc184313253"/>
      <w:bookmarkEnd w:id="269"/>
      <w:bookmarkStart w:id="270" w:name="_Toc184312108"/>
      <w:bookmarkEnd w:id="270"/>
      <w:bookmarkStart w:id="271" w:name="_Toc184312112"/>
      <w:bookmarkEnd w:id="271"/>
      <w:bookmarkStart w:id="272" w:name="_Toc184310341"/>
      <w:bookmarkEnd w:id="272"/>
      <w:bookmarkStart w:id="273" w:name="_Toc184313297"/>
      <w:bookmarkEnd w:id="273"/>
      <w:bookmarkStart w:id="274" w:name="_Toc184310336"/>
      <w:bookmarkEnd w:id="274"/>
      <w:bookmarkStart w:id="275" w:name="_Toc184308072"/>
      <w:bookmarkEnd w:id="275"/>
      <w:bookmarkStart w:id="276" w:name="_Toc184310299"/>
      <w:bookmarkEnd w:id="276"/>
      <w:bookmarkStart w:id="277" w:name="_Toc184310306"/>
      <w:bookmarkEnd w:id="277"/>
      <w:bookmarkStart w:id="278" w:name="_Toc184310281"/>
      <w:bookmarkEnd w:id="278"/>
      <w:bookmarkStart w:id="279" w:name="_Toc184310308"/>
      <w:bookmarkEnd w:id="279"/>
      <w:bookmarkStart w:id="280" w:name="_Toc184308063"/>
      <w:bookmarkEnd w:id="280"/>
      <w:bookmarkStart w:id="281" w:name="_Toc184313258"/>
      <w:bookmarkEnd w:id="281"/>
      <w:bookmarkStart w:id="282" w:name="_Toc184312127"/>
      <w:bookmarkEnd w:id="282"/>
      <w:bookmarkStart w:id="283" w:name="_Toc184308083"/>
      <w:bookmarkEnd w:id="283"/>
      <w:bookmarkStart w:id="284" w:name="_Toc184312077"/>
      <w:bookmarkEnd w:id="284"/>
      <w:bookmarkStart w:id="285" w:name="_Toc184313288"/>
      <w:bookmarkEnd w:id="285"/>
      <w:bookmarkStart w:id="286" w:name="_Toc184313267"/>
      <w:bookmarkEnd w:id="286"/>
      <w:bookmarkStart w:id="287" w:name="_Toc184314438"/>
      <w:bookmarkEnd w:id="287"/>
      <w:bookmarkStart w:id="288" w:name="_Toc184308052"/>
      <w:bookmarkEnd w:id="288"/>
      <w:bookmarkStart w:id="289" w:name="_Toc184313290"/>
      <w:bookmarkEnd w:id="289"/>
      <w:bookmarkStart w:id="290" w:name="_Toc184308095"/>
      <w:bookmarkEnd w:id="290"/>
      <w:bookmarkStart w:id="291" w:name="_Toc184314422"/>
      <w:bookmarkEnd w:id="291"/>
      <w:bookmarkStart w:id="292" w:name="_Toc184310340"/>
      <w:bookmarkEnd w:id="292"/>
      <w:bookmarkStart w:id="293" w:name="_Toc184312115"/>
      <w:bookmarkEnd w:id="293"/>
      <w:bookmarkStart w:id="294" w:name="_Toc184308086"/>
      <w:bookmarkEnd w:id="294"/>
      <w:bookmarkStart w:id="295" w:name="_Toc184310276"/>
      <w:bookmarkEnd w:id="295"/>
      <w:bookmarkStart w:id="296" w:name="_Toc184314439"/>
      <w:bookmarkEnd w:id="296"/>
      <w:bookmarkStart w:id="297" w:name="_Toc184308084"/>
      <w:bookmarkEnd w:id="297"/>
      <w:bookmarkStart w:id="298" w:name="_Toc184314451"/>
      <w:bookmarkEnd w:id="298"/>
      <w:bookmarkStart w:id="299" w:name="_Toc184308053"/>
      <w:bookmarkEnd w:id="299"/>
      <w:bookmarkStart w:id="300" w:name="_Toc184314476"/>
      <w:bookmarkEnd w:id="300"/>
      <w:bookmarkStart w:id="301" w:name="_Toc184310339"/>
      <w:bookmarkEnd w:id="301"/>
      <w:bookmarkStart w:id="302" w:name="_Toc184310292"/>
      <w:bookmarkEnd w:id="302"/>
      <w:bookmarkStart w:id="303" w:name="_Toc184314427"/>
      <w:bookmarkEnd w:id="303"/>
      <w:bookmarkStart w:id="304" w:name="_Toc184313264"/>
      <w:bookmarkEnd w:id="304"/>
      <w:bookmarkStart w:id="305" w:name="_Toc184308077"/>
      <w:bookmarkEnd w:id="305"/>
      <w:bookmarkStart w:id="306" w:name="_Toc184313247"/>
      <w:bookmarkEnd w:id="306"/>
      <w:bookmarkStart w:id="307" w:name="_Toc184308090"/>
      <w:bookmarkEnd w:id="307"/>
      <w:bookmarkStart w:id="308" w:name="_Toc184308079"/>
      <w:bookmarkEnd w:id="308"/>
      <w:bookmarkStart w:id="309" w:name="_Toc184310321"/>
      <w:bookmarkEnd w:id="309"/>
      <w:bookmarkStart w:id="310" w:name="_Toc184312097"/>
      <w:bookmarkEnd w:id="310"/>
      <w:bookmarkStart w:id="311" w:name="_Toc184308057"/>
      <w:bookmarkEnd w:id="311"/>
      <w:bookmarkStart w:id="312" w:name="_Toc184313238"/>
      <w:bookmarkEnd w:id="312"/>
      <w:bookmarkStart w:id="313" w:name="_Toc184313268"/>
      <w:bookmarkEnd w:id="313"/>
      <w:bookmarkStart w:id="314" w:name="_Toc184313255"/>
      <w:bookmarkEnd w:id="314"/>
      <w:bookmarkStart w:id="315" w:name="_Toc184312120"/>
      <w:bookmarkEnd w:id="315"/>
      <w:bookmarkStart w:id="316" w:name="_Toc184313284"/>
      <w:bookmarkEnd w:id="316"/>
      <w:bookmarkStart w:id="317" w:name="_Toc184312118"/>
      <w:bookmarkEnd w:id="317"/>
      <w:bookmarkStart w:id="318" w:name="_Toc184310338"/>
      <w:bookmarkEnd w:id="318"/>
      <w:bookmarkStart w:id="319" w:name="_Toc184312079"/>
      <w:bookmarkEnd w:id="319"/>
      <w:bookmarkStart w:id="320" w:name="_Toc184310330"/>
      <w:bookmarkEnd w:id="320"/>
      <w:bookmarkStart w:id="321" w:name="_Toc184310300"/>
      <w:bookmarkEnd w:id="321"/>
      <w:bookmarkStart w:id="322" w:name="_Toc184313249"/>
      <w:bookmarkEnd w:id="322"/>
      <w:bookmarkStart w:id="323" w:name="_Toc184310316"/>
      <w:bookmarkEnd w:id="323"/>
      <w:bookmarkStart w:id="324" w:name="_Toc184310286"/>
      <w:bookmarkEnd w:id="324"/>
      <w:bookmarkStart w:id="325" w:name="_Toc184312094"/>
      <w:bookmarkEnd w:id="325"/>
      <w:bookmarkStart w:id="326" w:name="_Toc184308038"/>
      <w:bookmarkEnd w:id="326"/>
      <w:bookmarkStart w:id="327" w:name="_Toc184313250"/>
      <w:bookmarkEnd w:id="327"/>
      <w:bookmarkStart w:id="328" w:name="_Toc184310324"/>
      <w:bookmarkEnd w:id="328"/>
      <w:bookmarkStart w:id="329" w:name="_Toc184312116"/>
      <w:bookmarkEnd w:id="329"/>
      <w:bookmarkStart w:id="330" w:name="_Toc184310302"/>
      <w:bookmarkEnd w:id="330"/>
      <w:bookmarkStart w:id="331" w:name="_Toc184310274"/>
      <w:bookmarkEnd w:id="331"/>
      <w:bookmarkStart w:id="332" w:name="_Toc184308085"/>
      <w:bookmarkEnd w:id="332"/>
      <w:bookmarkStart w:id="333" w:name="_Toc184313248"/>
      <w:bookmarkEnd w:id="333"/>
      <w:bookmarkStart w:id="334" w:name="_Toc184308065"/>
      <w:bookmarkEnd w:id="334"/>
      <w:bookmarkStart w:id="335" w:name="_Toc184312078"/>
      <w:bookmarkEnd w:id="335"/>
      <w:bookmarkStart w:id="336" w:name="_Toc184314452"/>
      <w:bookmarkEnd w:id="336"/>
      <w:bookmarkStart w:id="337" w:name="_Toc184310307"/>
      <w:bookmarkEnd w:id="337"/>
      <w:bookmarkStart w:id="338" w:name="_Toc184308041"/>
      <w:bookmarkEnd w:id="338"/>
      <w:bookmarkStart w:id="339" w:name="_Toc184308042"/>
      <w:bookmarkEnd w:id="339"/>
      <w:bookmarkStart w:id="340" w:name="_Toc184308100"/>
      <w:bookmarkEnd w:id="340"/>
      <w:bookmarkStart w:id="341" w:name="_Toc184313254"/>
      <w:bookmarkEnd w:id="341"/>
      <w:bookmarkStart w:id="342" w:name="_Toc184310328"/>
      <w:bookmarkEnd w:id="342"/>
      <w:bookmarkStart w:id="343" w:name="_Toc184312101"/>
      <w:bookmarkEnd w:id="343"/>
      <w:bookmarkStart w:id="344" w:name="_Toc184312104"/>
      <w:bookmarkEnd w:id="344"/>
      <w:bookmarkStart w:id="345" w:name="_Toc184314473"/>
      <w:bookmarkEnd w:id="345"/>
      <w:bookmarkStart w:id="346" w:name="_Toc184308051"/>
      <w:bookmarkEnd w:id="346"/>
      <w:bookmarkStart w:id="347" w:name="_Toc184314468"/>
      <w:bookmarkEnd w:id="347"/>
      <w:bookmarkStart w:id="348" w:name="_Toc184313278"/>
      <w:bookmarkEnd w:id="348"/>
      <w:bookmarkStart w:id="349" w:name="_Toc184310326"/>
      <w:bookmarkEnd w:id="349"/>
      <w:bookmarkStart w:id="350" w:name="_Toc184312084"/>
      <w:bookmarkEnd w:id="350"/>
      <w:bookmarkStart w:id="351" w:name="_Toc184308098"/>
      <w:bookmarkEnd w:id="351"/>
      <w:bookmarkStart w:id="352" w:name="_Toc184313273"/>
      <w:bookmarkEnd w:id="352"/>
      <w:bookmarkStart w:id="353" w:name="_Toc184312134"/>
      <w:bookmarkEnd w:id="353"/>
      <w:bookmarkStart w:id="354" w:name="_Toc184308054"/>
      <w:bookmarkEnd w:id="354"/>
      <w:bookmarkStart w:id="355" w:name="_Toc184312088"/>
      <w:bookmarkEnd w:id="355"/>
      <w:bookmarkStart w:id="356" w:name="_Toc184310333"/>
      <w:bookmarkEnd w:id="356"/>
      <w:bookmarkStart w:id="357" w:name="_Toc184310295"/>
      <w:bookmarkEnd w:id="357"/>
      <w:bookmarkStart w:id="358" w:name="_Toc184310303"/>
      <w:bookmarkEnd w:id="358"/>
      <w:bookmarkStart w:id="359" w:name="_Toc184313308"/>
      <w:bookmarkEnd w:id="359"/>
      <w:bookmarkStart w:id="360" w:name="_Toc184314437"/>
      <w:bookmarkEnd w:id="360"/>
      <w:bookmarkStart w:id="361" w:name="_Toc184308082"/>
      <w:bookmarkEnd w:id="361"/>
      <w:bookmarkStart w:id="362" w:name="_Toc184314464"/>
      <w:bookmarkEnd w:id="362"/>
      <w:bookmarkStart w:id="363" w:name="_Toc184313243"/>
      <w:bookmarkEnd w:id="363"/>
      <w:bookmarkStart w:id="364" w:name="_Toc184308099"/>
      <w:bookmarkEnd w:id="364"/>
      <w:bookmarkStart w:id="365" w:name="_Toc184308093"/>
      <w:bookmarkEnd w:id="365"/>
      <w:bookmarkStart w:id="366" w:name="_Toc184314458"/>
      <w:bookmarkEnd w:id="366"/>
      <w:bookmarkStart w:id="367" w:name="_Toc184310329"/>
      <w:bookmarkEnd w:id="367"/>
      <w:bookmarkStart w:id="368" w:name="_Toc184310293"/>
      <w:bookmarkEnd w:id="368"/>
      <w:bookmarkStart w:id="369" w:name="_Toc184312092"/>
      <w:bookmarkEnd w:id="369"/>
      <w:bookmarkStart w:id="370" w:name="_Toc184313246"/>
      <w:bookmarkEnd w:id="370"/>
      <w:bookmarkStart w:id="371" w:name="_Toc184314456"/>
      <w:bookmarkEnd w:id="371"/>
      <w:bookmarkStart w:id="372" w:name="_Toc184308080"/>
      <w:bookmarkEnd w:id="372"/>
      <w:bookmarkStart w:id="373" w:name="_Toc184313283"/>
      <w:bookmarkEnd w:id="373"/>
      <w:bookmarkStart w:id="374" w:name="_Toc184314474"/>
      <w:bookmarkEnd w:id="374"/>
      <w:bookmarkStart w:id="375" w:name="_Toc184312071"/>
      <w:bookmarkEnd w:id="375"/>
      <w:bookmarkStart w:id="376" w:name="_Toc184312086"/>
      <w:bookmarkEnd w:id="376"/>
      <w:bookmarkStart w:id="377" w:name="_Toc184314435"/>
      <w:bookmarkEnd w:id="377"/>
      <w:bookmarkStart w:id="378" w:name="_Toc184308055"/>
      <w:bookmarkEnd w:id="378"/>
      <w:bookmarkStart w:id="379" w:name="_Toc184314455"/>
      <w:bookmarkEnd w:id="379"/>
      <w:bookmarkStart w:id="380" w:name="_Toc184308056"/>
      <w:bookmarkEnd w:id="380"/>
      <w:bookmarkStart w:id="381" w:name="_Toc184308039"/>
      <w:bookmarkEnd w:id="381"/>
      <w:bookmarkStart w:id="382" w:name="_Toc184312137"/>
      <w:bookmarkEnd w:id="382"/>
      <w:bookmarkStart w:id="383" w:name="_Toc184314466"/>
      <w:bookmarkEnd w:id="383"/>
      <w:bookmarkStart w:id="384" w:name="_Toc184310311"/>
      <w:bookmarkEnd w:id="384"/>
      <w:bookmarkStart w:id="385" w:name="_Toc184314459"/>
      <w:bookmarkEnd w:id="385"/>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kern w:val="0"/>
          <w:sz w:val="24"/>
          <w:highlight w:val="none"/>
        </w:rPr>
        <w:t>J.响应文件不满足询价采购文件</w:t>
      </w:r>
      <w:r>
        <w:rPr>
          <w:rFonts w:hint="eastAsia" w:ascii="宋体" w:hAnsi="宋体" w:cs="宋体"/>
          <w:kern w:val="0"/>
          <w:sz w:val="24"/>
          <w:highlight w:val="none"/>
          <w:lang w:eastAsia="zh-CN"/>
        </w:rPr>
        <w:t>的其他</w:t>
      </w:r>
      <w:r>
        <w:rPr>
          <w:rFonts w:hint="eastAsia" w:ascii="宋体" w:hAnsi="宋体" w:cs="宋体"/>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K.</w:t>
      </w:r>
      <w:r>
        <w:rPr>
          <w:rFonts w:hint="eastAsia" w:ascii="宋体" w:hAnsi="宋体" w:cs="宋体"/>
          <w:kern w:val="0"/>
          <w:sz w:val="24"/>
          <w:highlight w:val="none"/>
          <w:lang w:eastAsia="zh-CN"/>
        </w:rPr>
        <w:t>法律法规</w:t>
      </w:r>
      <w:r>
        <w:rPr>
          <w:rFonts w:hint="eastAsia" w:ascii="宋体" w:hAnsi="宋体" w:cs="宋体"/>
          <w:kern w:val="0"/>
          <w:sz w:val="24"/>
          <w:highlight w:val="none"/>
        </w:rPr>
        <w:t>、规章（适用本市的）及省级以上规范性文件（适用本市的）规定的其他无效情形。</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L</w:t>
      </w:r>
      <w:r>
        <w:rPr>
          <w:rFonts w:hint="eastAsia" w:ascii="宋体" w:hAnsi="宋体" w:cs="宋体"/>
          <w:kern w:val="0"/>
          <w:sz w:val="24"/>
          <w:highlight w:val="none"/>
          <w:lang w:eastAsia="zh-CN"/>
        </w:rPr>
        <w:t>.</w:t>
      </w:r>
      <w:r>
        <w:rPr>
          <w:rFonts w:hint="eastAsia" w:ascii="宋体" w:hAnsi="宋体" w:cs="宋体"/>
          <w:kern w:val="0"/>
          <w:sz w:val="24"/>
          <w:highlight w:val="none"/>
        </w:rPr>
        <w:t>在采购人规定的截止时间以后送达的响应文件；</w:t>
      </w:r>
    </w:p>
    <w:p>
      <w:pPr>
        <w:spacing w:line="360" w:lineRule="auto"/>
        <w:ind w:firstLine="480" w:firstLineChars="200"/>
        <w:rPr>
          <w:rFonts w:hint="eastAsia" w:ascii="宋体" w:hAnsi="宋体" w:cs="宋体" w:eastAsiaTheme="minorEastAsia"/>
          <w:kern w:val="0"/>
          <w:sz w:val="24"/>
          <w:highlight w:val="none"/>
          <w:lang w:eastAsia="zh-CN"/>
        </w:rPr>
      </w:pPr>
      <w:r>
        <w:rPr>
          <w:rFonts w:hint="eastAsia" w:ascii="宋体" w:hAnsi="宋体" w:cs="宋体"/>
          <w:kern w:val="0"/>
          <w:sz w:val="24"/>
          <w:highlight w:val="none"/>
        </w:rPr>
        <w:t>M</w:t>
      </w:r>
      <w:r>
        <w:rPr>
          <w:rFonts w:hint="eastAsia" w:ascii="宋体" w:hAnsi="宋体" w:cs="宋体"/>
          <w:kern w:val="0"/>
          <w:sz w:val="24"/>
          <w:highlight w:val="none"/>
          <w:lang w:eastAsia="zh-CN"/>
        </w:rPr>
        <w:t>.</w:t>
      </w:r>
      <w:r>
        <w:rPr>
          <w:rFonts w:hint="eastAsia" w:ascii="宋体" w:hAnsi="宋体" w:cs="宋体"/>
          <w:kern w:val="0"/>
          <w:sz w:val="24"/>
          <w:highlight w:val="none"/>
        </w:rPr>
        <w:t>未</w:t>
      </w:r>
      <w:r>
        <w:rPr>
          <w:rFonts w:hint="eastAsia" w:ascii="宋体" w:hAnsi="宋体" w:cs="宋体"/>
          <w:kern w:val="0"/>
          <w:sz w:val="24"/>
          <w:highlight w:val="none"/>
          <w:lang w:val="en-US" w:eastAsia="zh-CN"/>
        </w:rPr>
        <w:t>按</w:t>
      </w:r>
      <w:r>
        <w:rPr>
          <w:rFonts w:hint="eastAsia" w:ascii="宋体" w:hAnsi="宋体" w:cs="宋体"/>
          <w:kern w:val="0"/>
          <w:sz w:val="24"/>
          <w:highlight w:val="none"/>
        </w:rPr>
        <w:t>要求缴纳询价保证金的</w:t>
      </w:r>
      <w:r>
        <w:rPr>
          <w:rFonts w:hint="eastAsia" w:ascii="宋体" w:hAnsi="宋体" w:cs="宋体"/>
          <w:b/>
          <w:bCs/>
          <w:kern w:val="0"/>
          <w:sz w:val="24"/>
          <w:highlight w:val="none"/>
        </w:rPr>
        <w:t>（若有）</w:t>
      </w:r>
      <w:r>
        <w:rPr>
          <w:rFonts w:hint="eastAsia" w:ascii="宋体" w:hAnsi="宋体" w:cs="宋体"/>
          <w:kern w:val="0"/>
          <w:sz w:val="24"/>
          <w:highlight w:val="none"/>
          <w:lang w:eastAsia="zh-CN"/>
        </w:rPr>
        <w:t>；</w:t>
      </w:r>
    </w:p>
    <w:p>
      <w:pPr>
        <w:spacing w:line="360" w:lineRule="auto"/>
        <w:ind w:firstLine="480" w:firstLineChars="200"/>
        <w:rPr>
          <w:rFonts w:hint="eastAsia" w:eastAsiaTheme="minorEastAsia"/>
          <w:highlight w:val="none"/>
          <w:lang w:eastAsia="zh-CN"/>
        </w:rPr>
      </w:pPr>
      <w:r>
        <w:rPr>
          <w:rFonts w:hint="eastAsia" w:ascii="宋体" w:hAnsi="宋体" w:cs="宋体"/>
          <w:kern w:val="0"/>
          <w:sz w:val="24"/>
          <w:highlight w:val="none"/>
          <w:lang w:val="en-US" w:eastAsia="zh-CN"/>
        </w:rPr>
        <w:t>N.</w:t>
      </w:r>
      <w:r>
        <w:rPr>
          <w:rFonts w:hint="eastAsia" w:ascii="宋体" w:hAnsi="宋体" w:cs="宋体"/>
          <w:kern w:val="0"/>
          <w:sz w:val="24"/>
          <w:highlight w:val="none"/>
        </w:rPr>
        <w:t>未</w:t>
      </w:r>
      <w:r>
        <w:rPr>
          <w:rFonts w:hint="eastAsia" w:ascii="宋体" w:hAnsi="宋体" w:cs="宋体"/>
          <w:kern w:val="0"/>
          <w:sz w:val="24"/>
          <w:highlight w:val="none"/>
          <w:lang w:val="en-US" w:eastAsia="zh-CN"/>
        </w:rPr>
        <w:t>按</w:t>
      </w:r>
      <w:r>
        <w:rPr>
          <w:rFonts w:hint="eastAsia" w:ascii="宋体" w:hAnsi="宋体" w:cs="宋体"/>
          <w:kern w:val="0"/>
          <w:sz w:val="24"/>
          <w:highlight w:val="none"/>
        </w:rPr>
        <w:t>要求</w:t>
      </w:r>
      <w:r>
        <w:rPr>
          <w:rFonts w:hint="eastAsia" w:ascii="宋体" w:hAnsi="宋体" w:cs="宋体"/>
          <w:kern w:val="0"/>
          <w:sz w:val="24"/>
          <w:highlight w:val="none"/>
          <w:lang w:val="en-US" w:eastAsia="zh-CN"/>
        </w:rPr>
        <w:t>提供样品</w:t>
      </w:r>
      <w:r>
        <w:rPr>
          <w:rFonts w:hint="eastAsia" w:ascii="宋体" w:hAnsi="宋体" w:cs="宋体"/>
          <w:kern w:val="0"/>
          <w:sz w:val="24"/>
          <w:highlight w:val="none"/>
        </w:rPr>
        <w:t>的</w:t>
      </w:r>
      <w:r>
        <w:rPr>
          <w:rFonts w:hint="eastAsia" w:ascii="宋体" w:hAnsi="宋体" w:cs="宋体"/>
          <w:b/>
          <w:bCs/>
          <w:kern w:val="0"/>
          <w:sz w:val="24"/>
          <w:highlight w:val="none"/>
        </w:rPr>
        <w:t>（若有）</w:t>
      </w:r>
      <w:r>
        <w:rPr>
          <w:rFonts w:hint="eastAsia" w:ascii="宋体" w:hAnsi="宋体" w:cs="宋体"/>
          <w:kern w:val="0"/>
          <w:sz w:val="24"/>
          <w:highlight w:val="none"/>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highlight w:val="none"/>
          <w:lang w:val="en-US" w:eastAsia="zh-CN"/>
        </w:rPr>
      </w:pPr>
      <w:r>
        <w:rPr>
          <w:rFonts w:hint="eastAsia" w:cs="仿宋" w:asciiTheme="minorEastAsia" w:hAnsiTheme="minorEastAsia"/>
          <w:snapToGrid w:val="0"/>
          <w:kern w:val="0"/>
          <w:sz w:val="24"/>
          <w:highlight w:val="none"/>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7）询价评审小组根据询价细则，推荐成交候选人。</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采购</w:t>
      </w:r>
      <w:r>
        <w:rPr>
          <w:rFonts w:hint="eastAsia" w:cs="仿宋" w:asciiTheme="minorEastAsia" w:hAnsiTheme="minorEastAsia"/>
          <w:snapToGrid w:val="0"/>
          <w:kern w:val="0"/>
          <w:sz w:val="24"/>
          <w:highlight w:val="none"/>
        </w:rPr>
        <w:t>工作人员</w:t>
      </w:r>
      <w:r>
        <w:rPr>
          <w:rFonts w:hint="eastAsia" w:cs="仿宋" w:asciiTheme="minorEastAsia" w:hAnsiTheme="minorEastAsia"/>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五、询价评审细则</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1.评审办法：询价评审小组应当从质量和服务均能满足询价采购文件</w:t>
      </w:r>
      <w:r>
        <w:rPr>
          <w:rFonts w:hint="eastAsia" w:cs="仿宋" w:asciiTheme="minorEastAsia" w:hAnsiTheme="minorEastAsia"/>
          <w:sz w:val="24"/>
          <w:highlight w:val="none"/>
          <w:u w:val="single"/>
        </w:rPr>
        <w:t>实质性响应要求</w:t>
      </w:r>
      <w:r>
        <w:rPr>
          <w:rFonts w:hint="eastAsia" w:cs="仿宋" w:asciiTheme="minorEastAsia" w:hAnsiTheme="minorEastAsia"/>
          <w:sz w:val="24"/>
          <w:highlight w:val="none"/>
        </w:rPr>
        <w:t>的供应商中，按照报价由低到高的顺序提出成交候选人。</w:t>
      </w:r>
    </w:p>
    <w:p>
      <w:pPr>
        <w:pStyle w:val="7"/>
        <w:ind w:firstLine="480" w:firstLineChars="200"/>
        <w:rPr>
          <w:highlight w:val="none"/>
        </w:rPr>
      </w:pPr>
      <w:r>
        <w:rPr>
          <w:highlight w:val="none"/>
          <w:lang w:val="en-US"/>
        </w:rPr>
        <w:t>1.1</w:t>
      </w:r>
      <w:r>
        <w:rPr>
          <w:rFonts w:hint="eastAsia"/>
          <w:highlight w:val="none"/>
        </w:rPr>
        <w:t>若出现税率不一致的情况，以除税总金额相对比。</w:t>
      </w:r>
    </w:p>
    <w:p>
      <w:pPr>
        <w:pStyle w:val="7"/>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p>
      <w:pPr>
        <w:pStyle w:val="7"/>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2.响应报价出现前后不一致的，应按照下列原则修正：</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2.2大写金额和小写金额不一致的，以大写金额为准；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3.2出现影响采购公正的违法、违规行为的；</w:t>
      </w:r>
    </w:p>
    <w:p>
      <w:pPr>
        <w:widowControl/>
        <w:snapToGrid w:val="0"/>
        <w:spacing w:line="460" w:lineRule="exact"/>
        <w:ind w:firstLine="480" w:firstLineChars="200"/>
        <w:rPr>
          <w:highlight w:val="none"/>
        </w:rPr>
      </w:pPr>
      <w:r>
        <w:rPr>
          <w:rFonts w:hint="eastAsia" w:cs="仿宋" w:asciiTheme="minorEastAsia" w:hAnsiTheme="minorEastAsia"/>
          <w:sz w:val="24"/>
          <w:highlight w:val="none"/>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w:t>
      </w:r>
      <w:r>
        <w:rPr>
          <w:rFonts w:hint="eastAsia" w:ascii="宋体" w:hAnsi="宋体" w:cs="宋体"/>
          <w:sz w:val="24"/>
          <w:u w:val="single"/>
          <w:lang w:eastAsia="zh-CN"/>
        </w:rPr>
        <w:t>2025</w:t>
      </w:r>
      <w:r>
        <w:rPr>
          <w:rFonts w:hint="eastAsia" w:ascii="宋体" w:hAnsi="宋体" w:cs="宋体"/>
          <w:sz w:val="24"/>
          <w:u w:val="single"/>
        </w:rPr>
        <w:t xml:space="preserve">-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5"/>
        <w:rPr>
          <w:rFonts w:ascii="宋体" w:hAnsi="宋体" w:cs="宋体"/>
          <w:szCs w:val="24"/>
        </w:rPr>
      </w:pPr>
    </w:p>
    <w:p>
      <w:pPr>
        <w:spacing w:before="120" w:line="22" w:lineRule="atLeast"/>
        <w:ind w:left="96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2025年焚烧车间A线窑头进料装置改造采购项目</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25"/>
        <w:ind w:left="0" w:leftChars="0" w:firstLine="0" w:firstLineChars="0"/>
        <w:rPr>
          <w:rFonts w:ascii="宋体" w:hAnsi="宋体" w:cs="宋体"/>
          <w:b/>
          <w:szCs w:val="24"/>
        </w:rPr>
      </w:pPr>
    </w:p>
    <w:p>
      <w:pPr>
        <w:pStyle w:val="8"/>
        <w:jc w:val="center"/>
        <w:rPr>
          <w:rFonts w:eastAsia="宋体"/>
          <w:b/>
          <w:bCs/>
        </w:rPr>
      </w:pPr>
      <w:r>
        <w:rPr>
          <w:rFonts w:hint="eastAsia"/>
          <w:b/>
          <w:bCs/>
        </w:rPr>
        <w:t>目录</w:t>
      </w:r>
    </w:p>
    <w:p>
      <w:pPr>
        <w:pStyle w:val="10"/>
        <w:spacing w:line="360" w:lineRule="auto"/>
        <w:ind w:firstLine="240" w:firstLineChars="100"/>
      </w:pPr>
      <w:r>
        <w:rPr>
          <w:rFonts w:hint="eastAsia"/>
        </w:rPr>
        <w:t>第一章 合同书  ……………………………………………………………（页码）</w:t>
      </w:r>
    </w:p>
    <w:p>
      <w:pPr>
        <w:pStyle w:val="10"/>
        <w:spacing w:line="360" w:lineRule="auto"/>
        <w:ind w:firstLine="240" w:firstLineChars="100"/>
      </w:pPr>
      <w:r>
        <w:rPr>
          <w:rFonts w:hint="eastAsia"/>
        </w:rPr>
        <w:t>第二章 合同一般条款………………………………………………………（页码）</w:t>
      </w:r>
    </w:p>
    <w:p>
      <w:pPr>
        <w:pStyle w:val="10"/>
        <w:spacing w:line="360" w:lineRule="auto"/>
        <w:ind w:firstLine="240" w:firstLineChars="100"/>
        <w:rPr>
          <w:rFonts w:hint="eastAsia"/>
        </w:rPr>
      </w:pPr>
      <w:r>
        <w:rPr>
          <w:rFonts w:hint="eastAsia"/>
        </w:rPr>
        <w:t xml:space="preserve">第三章 </w:t>
      </w:r>
      <w:r>
        <w:rPr>
          <w:rFonts w:hint="eastAsia"/>
          <w:lang w:val="en-US" w:eastAsia="zh-CN"/>
        </w:rPr>
        <w:t>安全</w:t>
      </w:r>
      <w:r>
        <w:rPr>
          <w:rFonts w:hint="eastAsia"/>
        </w:rPr>
        <w:t>协议……………………………………………………………（页码）</w:t>
      </w:r>
    </w:p>
    <w:p>
      <w:pPr>
        <w:pStyle w:val="10"/>
        <w:spacing w:line="360" w:lineRule="auto"/>
        <w:ind w:firstLine="240" w:firstLineChars="100"/>
      </w:pPr>
      <w:r>
        <w:rPr>
          <w:rFonts w:hint="eastAsia"/>
        </w:rPr>
        <w:t>第</w:t>
      </w:r>
      <w:r>
        <w:rPr>
          <w:rFonts w:hint="eastAsia"/>
          <w:lang w:val="en-US" w:eastAsia="zh-CN"/>
        </w:rPr>
        <w:t>四</w:t>
      </w:r>
      <w:r>
        <w:rPr>
          <w:rFonts w:hint="eastAsia"/>
        </w:rPr>
        <w:t>章 廉洁协议……………………………………………………………（页码）</w:t>
      </w:r>
    </w:p>
    <w:p>
      <w:pPr>
        <w:pStyle w:val="10"/>
        <w:spacing w:line="360" w:lineRule="auto"/>
        <w:ind w:firstLine="240" w:firstLineChars="100"/>
        <w:rPr>
          <w:rFonts w:hint="eastAsia"/>
        </w:rPr>
      </w:pPr>
    </w:p>
    <w:p>
      <w:pPr>
        <w:pStyle w:val="25"/>
        <w:rPr>
          <w:rFonts w:ascii="宋体" w:hAnsi="宋体" w:cs="宋体"/>
          <w:szCs w:val="24"/>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25"/>
        <w:ind w:left="0" w:leftChars="0" w:firstLine="0" w:firstLineChars="0"/>
        <w:jc w:val="both"/>
        <w:rPr>
          <w:rFonts w:ascii="宋体" w:hAnsi="宋体" w:cs="宋体"/>
          <w:b/>
          <w:szCs w:val="24"/>
        </w:rPr>
      </w:pPr>
    </w:p>
    <w:p>
      <w:pPr>
        <w:pStyle w:val="25"/>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2025年焚烧车间A线窑头进料装置改造采购项目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u w:val="none"/>
          <w:lang w:eastAsia="zh-CN"/>
        </w:rPr>
        <w:t>（</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6" w:name="_Toc2232"/>
      <w:bookmarkStart w:id="387" w:name="_Toc3029"/>
      <w:bookmarkStart w:id="388" w:name="_Toc24059"/>
      <w:r>
        <w:rPr>
          <w:rFonts w:hint="eastAsia" w:ascii="宋体" w:hAnsi="宋体" w:cs="宋体"/>
          <w:b/>
          <w:sz w:val="24"/>
        </w:rPr>
        <w:t>一、合同组成部分</w:t>
      </w:r>
      <w:bookmarkEnd w:id="386"/>
      <w:bookmarkEnd w:id="387"/>
      <w:bookmarkEnd w:id="388"/>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9" w:name="_Toc21295"/>
      <w:bookmarkStart w:id="390" w:name="_Toc24300"/>
      <w:bookmarkStart w:id="391" w:name="_Toc27126"/>
      <w:r>
        <w:rPr>
          <w:rFonts w:hint="eastAsia" w:ascii="宋体" w:hAnsi="宋体" w:cs="宋体"/>
          <w:b/>
          <w:sz w:val="24"/>
        </w:rPr>
        <w:t xml:space="preserve">二、 </w:t>
      </w:r>
      <w:bookmarkEnd w:id="389"/>
      <w:bookmarkEnd w:id="390"/>
      <w:bookmarkEnd w:id="391"/>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cs="宋体"/>
          <w:sz w:val="24"/>
        </w:rPr>
        <w:t>单价和总价均包括但不限于货款、包装费、运输费及运输保险费（如有）、装卸费、安装调试费、售后服务费及税费等全部费用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6"/>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bCs/>
        </w:rPr>
        <w:t>需要乙方安装。涉及拆旧装新</w:t>
      </w:r>
      <w:r>
        <w:rPr>
          <w:rFonts w:hint="eastAsia"/>
          <w:bCs/>
          <w:u w:val="none"/>
        </w:rPr>
        <w:t>的所有费用已包含在货物单价中，甲方不再另外支付费用。</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p>
      <w:pPr>
        <w:pStyle w:val="16"/>
        <w:rPr>
          <w:rFonts w:hint="eastAsia"/>
          <w:lang w:val="en-US" w:eastAsia="zh-CN"/>
        </w:rPr>
      </w:pPr>
    </w:p>
    <w:p>
      <w:pPr>
        <w:rPr>
          <w:rFonts w:hint="eastAsia"/>
          <w:lang w:val="en-US" w:eastAsia="zh-CN"/>
        </w:rPr>
      </w:pPr>
    </w:p>
    <w:p>
      <w:pPr>
        <w:spacing w:line="360" w:lineRule="auto"/>
        <w:rPr>
          <w:rFonts w:hint="eastAsia" w:ascii="宋体" w:hAnsi="宋体" w:cs="宋体"/>
          <w:sz w:val="24"/>
        </w:rPr>
      </w:pPr>
    </w:p>
    <w:tbl>
      <w:tblPr>
        <w:tblStyle w:val="17"/>
        <w:tblW w:w="90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38"/>
        <w:gridCol w:w="1525"/>
        <w:gridCol w:w="1609"/>
        <w:gridCol w:w="621"/>
        <w:gridCol w:w="635"/>
        <w:gridCol w:w="1328"/>
        <w:gridCol w:w="1328"/>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5" w:hRule="atLeast"/>
          <w:jc w:val="center"/>
        </w:trPr>
        <w:tc>
          <w:tcPr>
            <w:tcW w:w="638" w:type="dxa"/>
            <w:shd w:val="clear" w:color="FFFFFF"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序号</w:t>
            </w:r>
          </w:p>
        </w:tc>
        <w:tc>
          <w:tcPr>
            <w:tcW w:w="1525" w:type="dxa"/>
            <w:shd w:val="clear" w:color="FFFFFF"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设备名称</w:t>
            </w:r>
          </w:p>
        </w:tc>
        <w:tc>
          <w:tcPr>
            <w:tcW w:w="1609" w:type="dxa"/>
            <w:shd w:val="clear" w:color="FFFFFF"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w:t>
            </w:r>
          </w:p>
        </w:tc>
        <w:tc>
          <w:tcPr>
            <w:tcW w:w="621" w:type="dxa"/>
            <w:shd w:val="clear" w:color="FFFFFF"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数量</w:t>
            </w:r>
          </w:p>
        </w:tc>
        <w:tc>
          <w:tcPr>
            <w:tcW w:w="635" w:type="dxa"/>
            <w:shd w:val="clear" w:color="FFFFFF"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单位</w:t>
            </w:r>
          </w:p>
        </w:tc>
        <w:tc>
          <w:tcPr>
            <w:tcW w:w="1328" w:type="dxa"/>
            <w:shd w:val="clear" w:color="FFFFFF"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单价</w:t>
            </w:r>
          </w:p>
        </w:tc>
        <w:tc>
          <w:tcPr>
            <w:tcW w:w="1328" w:type="dxa"/>
            <w:shd w:val="clear" w:color="FFFFFF"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金额</w:t>
            </w:r>
          </w:p>
        </w:tc>
        <w:tc>
          <w:tcPr>
            <w:tcW w:w="1328" w:type="dxa"/>
            <w:shd w:val="clear" w:color="FFFFFF"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40" w:hRule="atLeast"/>
          <w:jc w:val="center"/>
        </w:trPr>
        <w:tc>
          <w:tcPr>
            <w:tcW w:w="6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52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板式给料机</w:t>
            </w:r>
          </w:p>
        </w:tc>
        <w:tc>
          <w:tcPr>
            <w:tcW w:w="160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正常输送能力：15m3/h，1000*4800mm，防爆等级：ExdIIBT4</w:t>
            </w:r>
          </w:p>
        </w:tc>
        <w:tc>
          <w:tcPr>
            <w:tcW w:w="6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6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3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28"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含支撑框架及支座、集料斗、检修平台制作和安装，含电缆、操作柱、安装辅材、DCS组态等；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6" w:hRule="atLeast"/>
          <w:jc w:val="center"/>
        </w:trPr>
        <w:tc>
          <w:tcPr>
            <w:tcW w:w="6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52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落料清扫装置</w:t>
            </w:r>
          </w:p>
        </w:tc>
        <w:tc>
          <w:tcPr>
            <w:tcW w:w="160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配套板式给料机</w:t>
            </w:r>
          </w:p>
        </w:tc>
        <w:tc>
          <w:tcPr>
            <w:tcW w:w="6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6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3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28" w:type="dxa"/>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spacing w:line="360" w:lineRule="auto"/>
        <w:ind w:firstLine="480" w:firstLineChars="200"/>
        <w:rPr>
          <w:rFonts w:hint="eastAsia" w:ascii="宋体" w:hAnsi="宋体" w:cs="宋体"/>
          <w:sz w:val="24"/>
        </w:rPr>
      </w:pPr>
    </w:p>
    <w:p>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highlight w:val="none"/>
          <w:u w:val="single"/>
          <w:lang w:val="en-US" w:eastAsia="zh-CN"/>
        </w:rPr>
        <w:t>按合同上述约定数量供货及安装。</w:t>
      </w:r>
    </w:p>
    <w:p>
      <w:pPr>
        <w:pStyle w:val="26"/>
        <w:spacing w:before="0" w:beforeAutospacing="0" w:after="0" w:afterAutospacing="0" w:line="360" w:lineRule="auto"/>
        <w:ind w:firstLine="480"/>
        <w:rPr>
          <w:b/>
        </w:rPr>
      </w:pPr>
      <w:bookmarkStart w:id="392" w:name="_Toc10340"/>
      <w:bookmarkStart w:id="393" w:name="_Toc1814"/>
      <w:bookmarkStart w:id="394" w:name="_Toc22618"/>
      <w:r>
        <w:rPr>
          <w:rFonts w:hint="eastAsia"/>
          <w:b/>
        </w:rPr>
        <w:t>三、合同</w:t>
      </w:r>
      <w:r>
        <w:rPr>
          <w:rFonts w:hint="eastAsia"/>
          <w:b/>
          <w:lang w:val="en-US" w:eastAsia="zh-CN"/>
        </w:rPr>
        <w:t>供货</w:t>
      </w:r>
      <w:r>
        <w:rPr>
          <w:rFonts w:hint="eastAsia"/>
          <w:b/>
        </w:rPr>
        <w:t>期限、货物交付期限、地点和联系方式、交付方式</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1.合同</w:t>
      </w:r>
      <w:r>
        <w:rPr>
          <w:rFonts w:hint="eastAsia" w:ascii="宋体" w:hAnsi="宋体" w:cs="宋体"/>
          <w:color w:val="auto"/>
          <w:sz w:val="24"/>
          <w:lang w:val="en-US" w:eastAsia="zh-CN"/>
        </w:rPr>
        <w:t>供货</w:t>
      </w:r>
      <w:r>
        <w:rPr>
          <w:rFonts w:hint="eastAsia" w:ascii="宋体" w:hAnsi="宋体" w:cs="宋体"/>
          <w:color w:val="auto"/>
          <w:sz w:val="24"/>
        </w:rPr>
        <w:t>期限：</w:t>
      </w:r>
    </w:p>
    <w:p>
      <w:pPr>
        <w:spacing w:line="360" w:lineRule="auto"/>
        <w:ind w:firstLine="480" w:firstLineChars="200"/>
        <w:rPr>
          <w:rFonts w:hint="eastAsia"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☑自合同签订后一次性供货、完成安装调试后自动终止；</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none"/>
        </w:rPr>
        <w:t>按采购订单要求执行  ；</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none"/>
        </w:rPr>
        <w:t>浙江省杭州市钱塘区临江街道红十五路10388-123号，杭州临江环境能源有限公司厂区内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6"/>
        <w:spacing w:before="0" w:beforeAutospacing="0" w:after="0" w:afterAutospacing="0" w:line="360" w:lineRule="auto"/>
        <w:ind w:firstLine="480"/>
        <w:rPr>
          <w:b/>
        </w:rPr>
      </w:pPr>
      <w:r>
        <w:rPr>
          <w:rFonts w:hint="eastAsia"/>
          <w:b/>
        </w:rPr>
        <w:t>四、技术和质量要求</w:t>
      </w:r>
    </w:p>
    <w:p>
      <w:pPr>
        <w:pStyle w:val="7"/>
        <w:ind w:firstLine="480" w:firstLineChars="200"/>
        <w:rPr>
          <w:rFonts w:hint="eastAsia" w:ascii="宋体"/>
          <w:lang w:val="en-US" w:eastAsia="zh-CN"/>
        </w:rPr>
      </w:pPr>
      <w:bookmarkStart w:id="395" w:name="_Toc6596"/>
      <w:bookmarkStart w:id="396" w:name="_Toc1125"/>
      <w:bookmarkStart w:id="397" w:name="_Toc14563"/>
      <w:r>
        <w:rPr>
          <w:rFonts w:hint="eastAsia" w:ascii="宋体"/>
          <w:lang w:val="en-US" w:eastAsia="zh-CN"/>
        </w:rPr>
        <w:t xml:space="preserve">1.本供货的设计、制造和检验应遵循现行使用的有关国家标准和行业标准、 引进技术采用的相关标准也可被接受。这些标准规范至少包括： </w:t>
      </w:r>
    </w:p>
    <w:p>
      <w:pPr>
        <w:pStyle w:val="7"/>
        <w:ind w:firstLine="480" w:firstLineChars="200"/>
        <w:rPr>
          <w:rFonts w:hint="eastAsia" w:ascii="宋体"/>
          <w:lang w:val="en-US" w:eastAsia="zh-CN"/>
        </w:rPr>
      </w:pPr>
      <w:r>
        <w:rPr>
          <w:rFonts w:hint="eastAsia" w:ascii="宋体"/>
          <w:lang w:val="en-US" w:eastAsia="zh-CN"/>
        </w:rPr>
        <w:t xml:space="preserve">GB 50231-98《机械设备安装工程施工及验收通用规范》 </w:t>
      </w:r>
    </w:p>
    <w:p>
      <w:pPr>
        <w:pStyle w:val="7"/>
        <w:ind w:firstLine="480" w:firstLineChars="200"/>
        <w:rPr>
          <w:rFonts w:hint="eastAsia" w:ascii="宋体"/>
          <w:lang w:val="en-US" w:eastAsia="zh-CN"/>
        </w:rPr>
      </w:pPr>
      <w:r>
        <w:rPr>
          <w:rFonts w:hint="eastAsia" w:ascii="宋体"/>
          <w:lang w:val="en-US" w:eastAsia="zh-CN"/>
        </w:rPr>
        <w:t xml:space="preserve">GB 50270-98 《连续输送设备安装工程施工及验收规范》 </w:t>
      </w:r>
    </w:p>
    <w:p>
      <w:pPr>
        <w:pStyle w:val="7"/>
        <w:ind w:firstLine="480" w:firstLineChars="200"/>
        <w:rPr>
          <w:rFonts w:hint="eastAsia" w:ascii="宋体"/>
          <w:lang w:val="en-US" w:eastAsia="zh-CN"/>
        </w:rPr>
      </w:pPr>
      <w:r>
        <w:rPr>
          <w:rFonts w:hint="eastAsia" w:ascii="宋体"/>
          <w:lang w:val="en-US" w:eastAsia="zh-CN"/>
        </w:rPr>
        <w:t xml:space="preserve">JB7127-1993YD 系列(IP44)变极多速三相异步电动机技术条件 </w:t>
      </w:r>
    </w:p>
    <w:p>
      <w:pPr>
        <w:pStyle w:val="7"/>
        <w:ind w:firstLine="480" w:firstLineChars="200"/>
        <w:rPr>
          <w:rFonts w:hint="eastAsia" w:ascii="宋体"/>
          <w:lang w:val="en-US" w:eastAsia="zh-CN"/>
        </w:rPr>
      </w:pPr>
      <w:r>
        <w:rPr>
          <w:rFonts w:hint="eastAsia" w:ascii="宋体"/>
          <w:lang w:val="en-US" w:eastAsia="zh-CN"/>
        </w:rPr>
        <w:t xml:space="preserve">GB 50052-95《供配电系统设计规范》 </w:t>
      </w:r>
    </w:p>
    <w:p>
      <w:pPr>
        <w:pStyle w:val="7"/>
        <w:ind w:firstLine="480" w:firstLineChars="200"/>
        <w:rPr>
          <w:rFonts w:hint="eastAsia" w:ascii="宋体"/>
          <w:lang w:val="en-US" w:eastAsia="zh-CN"/>
        </w:rPr>
      </w:pPr>
      <w:r>
        <w:rPr>
          <w:rFonts w:hint="eastAsia" w:ascii="宋体"/>
          <w:lang w:val="en-US" w:eastAsia="zh-CN"/>
        </w:rPr>
        <w:t xml:space="preserve">GB 50062-2008《电力装置的继电保护和自动装置设计规范》 </w:t>
      </w:r>
    </w:p>
    <w:p>
      <w:pPr>
        <w:pStyle w:val="7"/>
        <w:ind w:firstLine="480" w:firstLineChars="200"/>
        <w:rPr>
          <w:rFonts w:hint="eastAsia" w:ascii="宋体"/>
          <w:lang w:val="en-US" w:eastAsia="zh-CN"/>
        </w:rPr>
      </w:pPr>
      <w:r>
        <w:rPr>
          <w:rFonts w:hint="eastAsia" w:ascii="宋体"/>
          <w:lang w:val="en-US" w:eastAsia="zh-CN"/>
        </w:rPr>
        <w:t>GB 50217-2007《电力工程电缆设计规范》</w:t>
      </w:r>
      <w:r>
        <w:rPr>
          <w:rFonts w:hint="eastAsia"/>
        </w:rPr>
        <w:t xml:space="preserve">。 </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2.</w:t>
      </w:r>
      <w:r>
        <w:rPr>
          <w:rFonts w:hint="eastAsia" w:ascii="宋体" w:hAnsi="Arial" w:cs="Arial" w:eastAsiaTheme="minorEastAsia"/>
          <w:snapToGrid w:val="0"/>
          <w:color w:val="auto"/>
          <w:kern w:val="2"/>
          <w:sz w:val="24"/>
          <w:szCs w:val="21"/>
          <w:lang w:val="en-US" w:eastAsia="zh-CN" w:bidi="ar-SA"/>
        </w:rPr>
        <w:t xml:space="preserve"> 板式给料机： </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 xml:space="preserve">（1）驱动装置 </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①</w:t>
      </w:r>
      <w:r>
        <w:rPr>
          <w:rFonts w:hint="eastAsia" w:ascii="宋体" w:hAnsi="Arial" w:cs="Arial" w:eastAsiaTheme="minorEastAsia"/>
          <w:snapToGrid w:val="0"/>
          <w:color w:val="auto"/>
          <w:kern w:val="2"/>
          <w:sz w:val="24"/>
          <w:szCs w:val="21"/>
          <w:lang w:val="en-US" w:eastAsia="zh-CN" w:bidi="ar-SA"/>
        </w:rPr>
        <w:t>减速机采用齿轮减速变频电机，功率 4KW，传动形式采用链传动</w:t>
      </w:r>
      <w:r>
        <w:rPr>
          <w:rFonts w:hint="eastAsia" w:ascii="宋体" w:hAnsi="Arial" w:cs="Arial"/>
          <w:snapToGrid w:val="0"/>
          <w:color w:val="auto"/>
          <w:kern w:val="2"/>
          <w:sz w:val="24"/>
          <w:szCs w:val="21"/>
          <w:lang w:val="en-US" w:eastAsia="zh-CN" w:bidi="ar-SA"/>
        </w:rPr>
        <w:t>，</w:t>
      </w:r>
      <w:r>
        <w:rPr>
          <w:rFonts w:hint="eastAsia" w:ascii="宋体" w:hAnsi="Arial" w:cs="Arial" w:eastAsiaTheme="minorEastAsia"/>
          <w:snapToGrid w:val="0"/>
          <w:color w:val="auto"/>
          <w:kern w:val="2"/>
          <w:sz w:val="24"/>
          <w:szCs w:val="21"/>
          <w:lang w:val="en-US" w:eastAsia="zh-CN" w:bidi="ar-SA"/>
        </w:rPr>
        <w:t>主轴转速 2r/min。电机及减速机安装于出料端。</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②</w:t>
      </w:r>
      <w:r>
        <w:rPr>
          <w:rFonts w:hint="eastAsia" w:ascii="宋体" w:hAnsi="Arial" w:cs="Arial" w:eastAsiaTheme="minorEastAsia"/>
          <w:snapToGrid w:val="0"/>
          <w:color w:val="auto"/>
          <w:kern w:val="2"/>
          <w:sz w:val="24"/>
          <w:szCs w:val="21"/>
          <w:lang w:val="en-US" w:eastAsia="zh-CN" w:bidi="ar-SA"/>
        </w:rPr>
        <w:t xml:space="preserve">电机轴线与减速器输入轴轴心线应平行，带轮应在同一平面内。 </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③</w:t>
      </w:r>
      <w:r>
        <w:rPr>
          <w:rFonts w:hint="eastAsia" w:ascii="宋体" w:hAnsi="Arial" w:cs="Arial" w:eastAsiaTheme="minorEastAsia"/>
          <w:snapToGrid w:val="0"/>
          <w:color w:val="auto"/>
          <w:kern w:val="2"/>
          <w:sz w:val="24"/>
          <w:szCs w:val="21"/>
          <w:lang w:val="en-US" w:eastAsia="zh-CN" w:bidi="ar-SA"/>
        </w:rPr>
        <w:t>链轮材质不低于 ZG310-570，齿面淬火处理，淬透层深度 2～2.5mm</w:t>
      </w:r>
      <w:r>
        <w:rPr>
          <w:rFonts w:hint="eastAsia" w:ascii="宋体" w:hAnsi="Arial" w:cs="Arial"/>
          <w:snapToGrid w:val="0"/>
          <w:color w:val="auto"/>
          <w:kern w:val="2"/>
          <w:sz w:val="24"/>
          <w:szCs w:val="21"/>
          <w:lang w:val="en-US" w:eastAsia="zh-CN" w:bidi="ar-SA"/>
        </w:rPr>
        <w:t>，</w:t>
      </w:r>
      <w:r>
        <w:rPr>
          <w:rFonts w:hint="eastAsia" w:ascii="宋体" w:hAnsi="Arial" w:cs="Arial" w:eastAsiaTheme="minorEastAsia"/>
          <w:snapToGrid w:val="0"/>
          <w:color w:val="auto"/>
          <w:kern w:val="2"/>
          <w:sz w:val="24"/>
          <w:szCs w:val="21"/>
          <w:lang w:val="en-US" w:eastAsia="zh-CN" w:bidi="ar-SA"/>
        </w:rPr>
        <w:t xml:space="preserve">硬度 HRC44-52。 </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④</w:t>
      </w:r>
      <w:r>
        <w:rPr>
          <w:rFonts w:hint="eastAsia" w:ascii="宋体" w:hAnsi="Arial" w:cs="Arial" w:eastAsiaTheme="minorEastAsia"/>
          <w:snapToGrid w:val="0"/>
          <w:color w:val="auto"/>
          <w:kern w:val="2"/>
          <w:sz w:val="24"/>
          <w:szCs w:val="21"/>
          <w:lang w:val="en-US" w:eastAsia="zh-CN" w:bidi="ar-SA"/>
        </w:rPr>
        <w:t>链轮轴采</w:t>
      </w:r>
      <w:r>
        <w:rPr>
          <w:rFonts w:hint="eastAsia" w:ascii="宋体" w:hAnsi="Arial" w:cs="Arial"/>
          <w:snapToGrid w:val="0"/>
          <w:color w:val="auto"/>
          <w:kern w:val="2"/>
          <w:sz w:val="24"/>
          <w:szCs w:val="21"/>
          <w:lang w:val="en-US" w:eastAsia="zh-CN" w:bidi="ar-SA"/>
        </w:rPr>
        <w:t>用</w:t>
      </w:r>
      <w:r>
        <w:rPr>
          <w:rFonts w:hint="eastAsia" w:ascii="宋体" w:hAnsi="Arial" w:cs="Arial" w:eastAsiaTheme="minorEastAsia"/>
          <w:snapToGrid w:val="0"/>
          <w:color w:val="auto"/>
          <w:kern w:val="2"/>
          <w:sz w:val="24"/>
          <w:szCs w:val="21"/>
          <w:lang w:val="en-US" w:eastAsia="zh-CN" w:bidi="ar-SA"/>
        </w:rPr>
        <w:t>40C</w:t>
      </w:r>
      <w:r>
        <w:rPr>
          <w:rFonts w:hint="eastAsia" w:ascii="宋体" w:hAnsi="Arial" w:cs="Arial"/>
          <w:snapToGrid w:val="0"/>
          <w:color w:val="auto"/>
          <w:kern w:val="2"/>
          <w:sz w:val="24"/>
          <w:szCs w:val="21"/>
          <w:lang w:val="en-US" w:eastAsia="zh-CN" w:bidi="ar-SA"/>
        </w:rPr>
        <w:t>r</w:t>
      </w:r>
      <w:r>
        <w:rPr>
          <w:rFonts w:hint="eastAsia" w:ascii="宋体" w:hAnsi="Arial" w:cs="Arial" w:eastAsiaTheme="minorEastAsia"/>
          <w:snapToGrid w:val="0"/>
          <w:color w:val="auto"/>
          <w:kern w:val="2"/>
          <w:sz w:val="24"/>
          <w:szCs w:val="21"/>
          <w:lang w:val="en-US" w:eastAsia="zh-CN" w:bidi="ar-SA"/>
        </w:rPr>
        <w:t xml:space="preserve">钢，经调质处理。 </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⑤</w:t>
      </w:r>
      <w:r>
        <w:rPr>
          <w:rFonts w:hint="eastAsia" w:ascii="宋体" w:hAnsi="Arial" w:cs="Arial" w:eastAsiaTheme="minorEastAsia"/>
          <w:snapToGrid w:val="0"/>
          <w:color w:val="auto"/>
          <w:kern w:val="2"/>
          <w:sz w:val="24"/>
          <w:szCs w:val="21"/>
          <w:lang w:val="en-US" w:eastAsia="zh-CN" w:bidi="ar-SA"/>
        </w:rPr>
        <w:t xml:space="preserve">主动链轮轴心线对链板输送机中心线垂直度偏差≤1mm/m；两链轮间横向中心与整机中心线的偏差≤1 mm。 </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⑥</w:t>
      </w:r>
      <w:r>
        <w:rPr>
          <w:rFonts w:hint="eastAsia" w:ascii="宋体" w:hAnsi="Arial" w:cs="Arial" w:eastAsiaTheme="minorEastAsia"/>
          <w:snapToGrid w:val="0"/>
          <w:color w:val="auto"/>
          <w:kern w:val="2"/>
          <w:sz w:val="24"/>
          <w:szCs w:val="21"/>
          <w:lang w:val="en-US" w:eastAsia="zh-CN" w:bidi="ar-SA"/>
        </w:rPr>
        <w:t xml:space="preserve">尾轮轴心线对链板输送机中心线垂直度偏差≤1mm/m；两链轮间横向中心与整机中心线的偏差≤1mm。尾轮轴水平度偏差≤1mm/m。 </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⑦</w:t>
      </w:r>
      <w:r>
        <w:rPr>
          <w:rFonts w:hint="eastAsia" w:ascii="宋体" w:hAnsi="Arial" w:cs="Arial" w:eastAsiaTheme="minorEastAsia"/>
          <w:snapToGrid w:val="0"/>
          <w:color w:val="auto"/>
          <w:kern w:val="2"/>
          <w:sz w:val="24"/>
          <w:szCs w:val="21"/>
          <w:lang w:val="en-US" w:eastAsia="zh-CN" w:bidi="ar-SA"/>
        </w:rPr>
        <w:t xml:space="preserve">链板上滚轮轴的中心线对输送机中心线的垂直度偏差≤1mm/m。 </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 xml:space="preserve">（2）输送链 </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①</w:t>
      </w:r>
      <w:r>
        <w:rPr>
          <w:rFonts w:hint="eastAsia" w:ascii="宋体" w:hAnsi="Arial" w:cs="Arial" w:eastAsiaTheme="minorEastAsia"/>
          <w:snapToGrid w:val="0"/>
          <w:color w:val="auto"/>
          <w:kern w:val="2"/>
          <w:sz w:val="24"/>
          <w:szCs w:val="21"/>
          <w:lang w:val="en-US" w:eastAsia="zh-CN" w:bidi="ar-SA"/>
        </w:rPr>
        <w:t>输送链材质为 40Cr，销轴、套管材质为 20Cr，滚轮采用 40Cr 钢表面淬火，硬</w:t>
      </w:r>
      <w:r>
        <w:rPr>
          <w:rFonts w:hint="eastAsia" w:ascii="宋体" w:hAnsi="Arial" w:cs="Arial"/>
          <w:snapToGrid w:val="0"/>
          <w:color w:val="auto"/>
          <w:kern w:val="2"/>
          <w:sz w:val="24"/>
          <w:szCs w:val="21"/>
          <w:lang w:val="en-US" w:eastAsia="zh-CN" w:bidi="ar-SA"/>
        </w:rPr>
        <w:t>度</w:t>
      </w:r>
      <w:r>
        <w:rPr>
          <w:rFonts w:hint="eastAsia" w:ascii="宋体" w:hAnsi="Arial" w:cs="Arial" w:eastAsiaTheme="minorEastAsia"/>
          <w:snapToGrid w:val="0"/>
          <w:color w:val="auto"/>
          <w:kern w:val="2"/>
          <w:sz w:val="24"/>
          <w:szCs w:val="21"/>
          <w:lang w:val="en-US" w:eastAsia="zh-CN" w:bidi="ar-SA"/>
        </w:rPr>
        <w:t xml:space="preserve">HRC45～55。 </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②</w:t>
      </w:r>
      <w:r>
        <w:rPr>
          <w:rFonts w:hint="eastAsia" w:ascii="宋体" w:hAnsi="Arial" w:cs="Arial" w:eastAsiaTheme="minorEastAsia"/>
          <w:snapToGrid w:val="0"/>
          <w:color w:val="auto"/>
          <w:kern w:val="2"/>
          <w:sz w:val="24"/>
          <w:szCs w:val="21"/>
          <w:lang w:val="en-US" w:eastAsia="zh-CN" w:bidi="ar-SA"/>
        </w:rPr>
        <w:t xml:space="preserve">输送链的长度公差在 3m 左右链长的测量范围内，为链条名义长度的+0.25%。 </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 xml:space="preserve">（3）机架 </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①</w:t>
      </w:r>
      <w:r>
        <w:rPr>
          <w:rFonts w:hint="eastAsia" w:ascii="宋体" w:hAnsi="Arial" w:cs="Arial" w:eastAsiaTheme="minorEastAsia"/>
          <w:snapToGrid w:val="0"/>
          <w:color w:val="auto"/>
          <w:kern w:val="2"/>
          <w:sz w:val="24"/>
          <w:szCs w:val="21"/>
          <w:lang w:val="en-US" w:eastAsia="zh-CN" w:bidi="ar-SA"/>
        </w:rPr>
        <w:t xml:space="preserve">机架由型钢、钢板焊接而成，采用整体结构。 </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②</w:t>
      </w:r>
      <w:r>
        <w:rPr>
          <w:rFonts w:hint="eastAsia" w:ascii="宋体" w:hAnsi="Arial" w:cs="Arial" w:eastAsiaTheme="minorEastAsia"/>
          <w:snapToGrid w:val="0"/>
          <w:color w:val="auto"/>
          <w:kern w:val="2"/>
          <w:sz w:val="24"/>
          <w:szCs w:val="21"/>
          <w:lang w:val="en-US" w:eastAsia="zh-CN" w:bidi="ar-SA"/>
        </w:rPr>
        <w:t xml:space="preserve">机架的驱动端和拉紧端安装轴承座的两对应平面的平行度公差小于1mm，机架主梁的直线度公差为 1.5/1000。沿机体纵向最大公差为 10mm。 </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③</w:t>
      </w:r>
      <w:r>
        <w:rPr>
          <w:rFonts w:hint="eastAsia" w:ascii="宋体" w:hAnsi="Arial" w:cs="Arial" w:eastAsiaTheme="minorEastAsia"/>
          <w:snapToGrid w:val="0"/>
          <w:color w:val="auto"/>
          <w:kern w:val="2"/>
          <w:sz w:val="24"/>
          <w:szCs w:val="21"/>
          <w:lang w:val="en-US" w:eastAsia="zh-CN" w:bidi="ar-SA"/>
        </w:rPr>
        <w:t xml:space="preserve">机架中心线与链板输送机的纵向中心线要求重合，其偏差≤2 mm。 </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④</w:t>
      </w:r>
      <w:r>
        <w:rPr>
          <w:rFonts w:hint="eastAsia" w:ascii="宋体" w:hAnsi="Arial" w:cs="Arial" w:eastAsiaTheme="minorEastAsia"/>
          <w:snapToGrid w:val="0"/>
          <w:color w:val="auto"/>
          <w:kern w:val="2"/>
          <w:sz w:val="24"/>
          <w:szCs w:val="21"/>
          <w:lang w:val="en-US" w:eastAsia="zh-CN" w:bidi="ar-SA"/>
        </w:rPr>
        <w:t xml:space="preserve">机架支柱对安装地面垂直偏差≤2 mm/m。 </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⑤</w:t>
      </w:r>
      <w:r>
        <w:rPr>
          <w:rFonts w:hint="eastAsia" w:ascii="宋体" w:hAnsi="Arial" w:cs="Arial" w:eastAsiaTheme="minorEastAsia"/>
          <w:snapToGrid w:val="0"/>
          <w:color w:val="auto"/>
          <w:kern w:val="2"/>
          <w:sz w:val="24"/>
          <w:szCs w:val="21"/>
          <w:lang w:val="en-US" w:eastAsia="zh-CN" w:bidi="ar-SA"/>
        </w:rPr>
        <w:t xml:space="preserve">相邻两支架的水平长偏差≤2 mm，支架横向水平度偏差≤1mm/m。 </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⑥</w:t>
      </w:r>
      <w:r>
        <w:rPr>
          <w:rFonts w:hint="eastAsia" w:ascii="宋体" w:hAnsi="Arial" w:cs="Arial" w:eastAsiaTheme="minorEastAsia"/>
          <w:snapToGrid w:val="0"/>
          <w:color w:val="auto"/>
          <w:kern w:val="2"/>
          <w:sz w:val="24"/>
          <w:szCs w:val="21"/>
          <w:lang w:val="en-US" w:eastAsia="zh-CN" w:bidi="ar-SA"/>
        </w:rPr>
        <w:t>轨道对链板输送机纵向中心线距离偏差≤1 mm</w:t>
      </w:r>
      <w:r>
        <w:rPr>
          <w:rFonts w:hint="eastAsia" w:ascii="宋体" w:hAnsi="Arial" w:cs="Arial"/>
          <w:snapToGrid w:val="0"/>
          <w:color w:val="auto"/>
          <w:kern w:val="2"/>
          <w:sz w:val="24"/>
          <w:szCs w:val="21"/>
          <w:lang w:val="en-US" w:eastAsia="zh-CN" w:bidi="ar-SA"/>
        </w:rPr>
        <w:t>，</w:t>
      </w:r>
      <w:r>
        <w:rPr>
          <w:rFonts w:hint="eastAsia" w:ascii="宋体" w:hAnsi="Arial" w:cs="Arial" w:eastAsiaTheme="minorEastAsia"/>
          <w:snapToGrid w:val="0"/>
          <w:color w:val="auto"/>
          <w:kern w:val="2"/>
          <w:sz w:val="24"/>
          <w:szCs w:val="21"/>
          <w:lang w:val="en-US" w:eastAsia="zh-CN" w:bidi="ar-SA"/>
        </w:rPr>
        <w:t xml:space="preserve">轨距偏差≤2 mm。 </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⑦</w:t>
      </w:r>
      <w:r>
        <w:rPr>
          <w:rFonts w:hint="eastAsia" w:ascii="宋体" w:hAnsi="Arial" w:cs="Arial" w:eastAsiaTheme="minorEastAsia"/>
          <w:snapToGrid w:val="0"/>
          <w:color w:val="auto"/>
          <w:kern w:val="2"/>
          <w:sz w:val="24"/>
          <w:szCs w:val="21"/>
          <w:lang w:val="en-US" w:eastAsia="zh-CN" w:bidi="ar-SA"/>
        </w:rPr>
        <w:t xml:space="preserve">轨道直线度偏差≤1.5mm/ m；全长的直线度偏差≤5 mm，轨道的弧形区段应均匀平滑。 </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⑧</w:t>
      </w:r>
      <w:r>
        <w:rPr>
          <w:rFonts w:hint="eastAsia" w:ascii="宋体" w:hAnsi="Arial" w:cs="Arial" w:eastAsiaTheme="minorEastAsia"/>
          <w:snapToGrid w:val="0"/>
          <w:color w:val="auto"/>
          <w:kern w:val="2"/>
          <w:sz w:val="24"/>
          <w:szCs w:val="21"/>
          <w:lang w:val="en-US" w:eastAsia="zh-CN" w:bidi="ar-SA"/>
        </w:rPr>
        <w:t xml:space="preserve">在同一横截面内，两轨道的相对标高偏差≤±2 mm。 </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⑨</w:t>
      </w:r>
      <w:r>
        <w:rPr>
          <w:rFonts w:hint="eastAsia" w:ascii="宋体" w:hAnsi="Arial" w:cs="Arial" w:eastAsiaTheme="minorEastAsia"/>
          <w:snapToGrid w:val="0"/>
          <w:color w:val="auto"/>
          <w:kern w:val="2"/>
          <w:sz w:val="24"/>
          <w:szCs w:val="21"/>
          <w:lang w:val="en-US" w:eastAsia="zh-CN" w:bidi="ar-SA"/>
        </w:rPr>
        <w:t>轨道允许焊接，但接头要光洁平滑，其左右偏移偏差≤±1mm；上下偏移偏差≤0.3 mm（仅允许沿链板运行方向向下低）。</w:t>
      </w:r>
    </w:p>
    <w:p>
      <w:pPr>
        <w:pStyle w:val="36"/>
        <w:keepNext w:val="0"/>
        <w:keepLines w:val="0"/>
        <w:pageBreakBefore w:val="0"/>
        <w:widowControl/>
        <w:kinsoku/>
        <w:wordWrap/>
        <w:overflowPunct/>
        <w:topLinePunct w:val="0"/>
        <w:autoSpaceDE/>
        <w:autoSpaceDN/>
        <w:bidi w:val="0"/>
        <w:adjustRightInd/>
        <w:snapToGrid w:val="0"/>
        <w:spacing w:line="360" w:lineRule="auto"/>
        <w:ind w:left="0" w:leftChars="0" w:firstLine="240" w:firstLineChars="100"/>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 xml:space="preserve">（4）装配试运行 </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①</w:t>
      </w:r>
      <w:r>
        <w:rPr>
          <w:rFonts w:hint="eastAsia" w:ascii="宋体" w:hAnsi="Arial" w:cs="Arial" w:eastAsiaTheme="minorEastAsia"/>
          <w:snapToGrid w:val="0"/>
          <w:color w:val="auto"/>
          <w:kern w:val="2"/>
          <w:sz w:val="24"/>
          <w:szCs w:val="21"/>
          <w:lang w:val="en-US" w:eastAsia="zh-CN" w:bidi="ar-SA"/>
        </w:rPr>
        <w:t xml:space="preserve">机器运行平稳，无异常响声和振动。 </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②</w:t>
      </w:r>
      <w:r>
        <w:rPr>
          <w:rFonts w:hint="eastAsia" w:ascii="宋体" w:hAnsi="Arial" w:cs="Arial" w:eastAsiaTheme="minorEastAsia"/>
          <w:snapToGrid w:val="0"/>
          <w:color w:val="auto"/>
          <w:kern w:val="2"/>
          <w:sz w:val="24"/>
          <w:szCs w:val="21"/>
          <w:lang w:val="en-US" w:eastAsia="zh-CN" w:bidi="ar-SA"/>
        </w:rPr>
        <w:t xml:space="preserve">输送链和链轮能正确齿合。 </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③</w:t>
      </w:r>
      <w:r>
        <w:rPr>
          <w:rFonts w:hint="eastAsia" w:ascii="宋体" w:hAnsi="Arial" w:cs="Arial" w:eastAsiaTheme="minorEastAsia"/>
          <w:snapToGrid w:val="0"/>
          <w:color w:val="auto"/>
          <w:kern w:val="2"/>
          <w:sz w:val="24"/>
          <w:szCs w:val="21"/>
          <w:lang w:val="en-US" w:eastAsia="zh-CN" w:bidi="ar-SA"/>
        </w:rPr>
        <w:t xml:space="preserve">输送槽板之间的间隙均匀，无卡碰现象。 </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④</w:t>
      </w:r>
      <w:r>
        <w:rPr>
          <w:rFonts w:hint="eastAsia" w:ascii="宋体" w:hAnsi="Arial" w:cs="Arial" w:eastAsiaTheme="minorEastAsia"/>
          <w:snapToGrid w:val="0"/>
          <w:color w:val="auto"/>
          <w:kern w:val="2"/>
          <w:sz w:val="24"/>
          <w:szCs w:val="21"/>
          <w:lang w:val="en-US" w:eastAsia="zh-CN" w:bidi="ar-SA"/>
        </w:rPr>
        <w:t xml:space="preserve">辊轮转动灵活。螺栓联接牢固。 </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3.</w:t>
      </w:r>
      <w:r>
        <w:rPr>
          <w:rFonts w:hint="eastAsia" w:ascii="宋体" w:hAnsi="Arial" w:cs="Arial" w:eastAsiaTheme="minorEastAsia"/>
          <w:snapToGrid w:val="0"/>
          <w:color w:val="auto"/>
          <w:kern w:val="2"/>
          <w:sz w:val="24"/>
          <w:szCs w:val="21"/>
          <w:lang w:val="en-US" w:eastAsia="zh-CN" w:bidi="ar-SA"/>
        </w:rPr>
        <w:t xml:space="preserve">清扫刮板机： </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 xml:space="preserve">（1）驱动装置 </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①</w:t>
      </w:r>
      <w:r>
        <w:rPr>
          <w:rFonts w:hint="eastAsia" w:ascii="宋体" w:hAnsi="Arial" w:cs="Arial" w:eastAsiaTheme="minorEastAsia"/>
          <w:snapToGrid w:val="0"/>
          <w:color w:val="auto"/>
          <w:kern w:val="2"/>
          <w:sz w:val="24"/>
          <w:szCs w:val="21"/>
          <w:lang w:val="en-US" w:eastAsia="zh-CN" w:bidi="ar-SA"/>
        </w:rPr>
        <w:t xml:space="preserve">减速机采用齿轮减速电机，功率 3KW，传动形式采用链传动。电机及减速机安装于渣坑端。 </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②</w:t>
      </w:r>
      <w:r>
        <w:rPr>
          <w:rFonts w:hint="eastAsia" w:ascii="宋体" w:hAnsi="Arial" w:cs="Arial" w:eastAsiaTheme="minorEastAsia"/>
          <w:snapToGrid w:val="0"/>
          <w:color w:val="auto"/>
          <w:kern w:val="2"/>
          <w:sz w:val="24"/>
          <w:szCs w:val="21"/>
          <w:lang w:val="en-US" w:eastAsia="zh-CN" w:bidi="ar-SA"/>
        </w:rPr>
        <w:t>链轮材质不低于 ZG310-570，齿面淬火处理，淬透层深度2～2.5mm， 硬</w:t>
      </w:r>
      <w:r>
        <w:rPr>
          <w:rFonts w:hint="eastAsia" w:ascii="宋体" w:hAnsi="Arial" w:cs="Arial"/>
          <w:snapToGrid w:val="0"/>
          <w:color w:val="auto"/>
          <w:kern w:val="2"/>
          <w:sz w:val="24"/>
          <w:szCs w:val="21"/>
          <w:lang w:val="en-US" w:eastAsia="zh-CN" w:bidi="ar-SA"/>
        </w:rPr>
        <w:t>度</w:t>
      </w:r>
      <w:r>
        <w:rPr>
          <w:rFonts w:hint="eastAsia" w:ascii="宋体" w:hAnsi="Arial" w:cs="Arial" w:eastAsiaTheme="minorEastAsia"/>
          <w:snapToGrid w:val="0"/>
          <w:color w:val="auto"/>
          <w:kern w:val="2"/>
          <w:sz w:val="24"/>
          <w:szCs w:val="21"/>
          <w:lang w:val="en-US" w:eastAsia="zh-CN" w:bidi="ar-SA"/>
        </w:rPr>
        <w:t xml:space="preserve">HRC44-52。 </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③</w:t>
      </w:r>
      <w:r>
        <w:rPr>
          <w:rFonts w:hint="eastAsia" w:ascii="宋体" w:hAnsi="Arial" w:cs="Arial" w:eastAsiaTheme="minorEastAsia"/>
          <w:snapToGrid w:val="0"/>
          <w:color w:val="auto"/>
          <w:kern w:val="2"/>
          <w:sz w:val="24"/>
          <w:szCs w:val="21"/>
          <w:lang w:val="en-US" w:eastAsia="zh-CN" w:bidi="ar-SA"/>
        </w:rPr>
        <w:t xml:space="preserve">链轮轴采用 40Cr钢，经调质处理。 </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④</w:t>
      </w:r>
      <w:r>
        <w:rPr>
          <w:rFonts w:hint="eastAsia" w:ascii="宋体" w:hAnsi="Arial" w:cs="Arial" w:eastAsiaTheme="minorEastAsia"/>
          <w:snapToGrid w:val="0"/>
          <w:color w:val="auto"/>
          <w:kern w:val="2"/>
          <w:sz w:val="24"/>
          <w:szCs w:val="21"/>
          <w:lang w:val="en-US" w:eastAsia="zh-CN" w:bidi="ar-SA"/>
        </w:rPr>
        <w:t xml:space="preserve">主动链轮轴心线对链板输送机中心线垂直度偏差≤1mm/m；两链轮间横向中心与整机中心线的偏差≤1mm。 </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⑤</w:t>
      </w:r>
      <w:r>
        <w:rPr>
          <w:rFonts w:hint="eastAsia" w:ascii="宋体" w:hAnsi="Arial" w:cs="Arial" w:eastAsiaTheme="minorEastAsia"/>
          <w:snapToGrid w:val="0"/>
          <w:color w:val="auto"/>
          <w:kern w:val="2"/>
          <w:sz w:val="24"/>
          <w:szCs w:val="21"/>
          <w:lang w:val="en-US" w:eastAsia="zh-CN" w:bidi="ar-SA"/>
        </w:rPr>
        <w:t xml:space="preserve">尾轮轴心线对链板输送机中心线垂直度偏差≤1mm/m；两链轮间横向中心与整机中心线的偏差≤1mm。 </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⑥</w:t>
      </w:r>
      <w:r>
        <w:rPr>
          <w:rFonts w:hint="eastAsia" w:ascii="宋体" w:hAnsi="Arial" w:cs="Arial" w:eastAsiaTheme="minorEastAsia"/>
          <w:snapToGrid w:val="0"/>
          <w:color w:val="auto"/>
          <w:kern w:val="2"/>
          <w:sz w:val="24"/>
          <w:szCs w:val="21"/>
          <w:lang w:val="en-US" w:eastAsia="zh-CN" w:bidi="ar-SA"/>
        </w:rPr>
        <w:t xml:space="preserve">链板上滚轮轴的中心线对输送机中心线的垂直度偏差≤1mm/m。 </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 xml:space="preserve">（2）输送链 </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①</w:t>
      </w:r>
      <w:r>
        <w:rPr>
          <w:rFonts w:hint="eastAsia" w:ascii="宋体" w:hAnsi="Arial" w:cs="Arial" w:eastAsiaTheme="minorEastAsia"/>
          <w:snapToGrid w:val="0"/>
          <w:color w:val="auto"/>
          <w:kern w:val="2"/>
          <w:sz w:val="24"/>
          <w:szCs w:val="21"/>
          <w:lang w:val="en-US" w:eastAsia="zh-CN" w:bidi="ar-SA"/>
        </w:rPr>
        <w:t xml:space="preserve">输送链条采用高耐磨圆环链，和现场另一条线同型号。 </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②</w:t>
      </w:r>
      <w:r>
        <w:rPr>
          <w:rFonts w:hint="eastAsia" w:ascii="宋体" w:hAnsi="Arial" w:cs="Arial" w:eastAsiaTheme="minorEastAsia"/>
          <w:snapToGrid w:val="0"/>
          <w:color w:val="auto"/>
          <w:kern w:val="2"/>
          <w:sz w:val="24"/>
          <w:szCs w:val="21"/>
          <w:lang w:val="en-US" w:eastAsia="zh-CN" w:bidi="ar-SA"/>
        </w:rPr>
        <w:t xml:space="preserve">刮板加强设计，考虑带料启动。 </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 xml:space="preserve">（3）箱体 </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①</w:t>
      </w:r>
      <w:r>
        <w:rPr>
          <w:rFonts w:hint="eastAsia" w:ascii="宋体" w:hAnsi="Arial" w:cs="Arial" w:eastAsiaTheme="minorEastAsia"/>
          <w:snapToGrid w:val="0"/>
          <w:color w:val="auto"/>
          <w:kern w:val="2"/>
          <w:sz w:val="24"/>
          <w:szCs w:val="21"/>
          <w:lang w:val="en-US" w:eastAsia="zh-CN" w:bidi="ar-SA"/>
        </w:rPr>
        <w:t xml:space="preserve">箱体由型材、钢板焊接而成，采用整体结构。 </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②</w:t>
      </w:r>
      <w:r>
        <w:rPr>
          <w:rFonts w:hint="eastAsia" w:ascii="宋体" w:hAnsi="Arial" w:cs="Arial" w:eastAsiaTheme="minorEastAsia"/>
          <w:snapToGrid w:val="0"/>
          <w:color w:val="auto"/>
          <w:kern w:val="2"/>
          <w:sz w:val="24"/>
          <w:szCs w:val="21"/>
          <w:lang w:val="en-US" w:eastAsia="zh-CN" w:bidi="ar-SA"/>
        </w:rPr>
        <w:t xml:space="preserve">箱体的驱动端和拉紧端安装轴承座的两对应平面的平行度公差小于1mm，沿机体纵向最大公差为10mm。 </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③</w:t>
      </w:r>
      <w:r>
        <w:rPr>
          <w:rFonts w:hint="eastAsia" w:ascii="宋体" w:hAnsi="Arial" w:cs="Arial" w:eastAsiaTheme="minorEastAsia"/>
          <w:snapToGrid w:val="0"/>
          <w:color w:val="auto"/>
          <w:kern w:val="2"/>
          <w:sz w:val="24"/>
          <w:szCs w:val="21"/>
          <w:lang w:val="en-US" w:eastAsia="zh-CN" w:bidi="ar-SA"/>
        </w:rPr>
        <w:t xml:space="preserve">箱体中心线与链条输送的纵向中心线要求重合，其偏差≤2mm。 </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④</w:t>
      </w:r>
      <w:r>
        <w:rPr>
          <w:rFonts w:hint="eastAsia" w:ascii="宋体" w:hAnsi="Arial" w:cs="Arial" w:eastAsiaTheme="minorEastAsia"/>
          <w:snapToGrid w:val="0"/>
          <w:color w:val="auto"/>
          <w:kern w:val="2"/>
          <w:sz w:val="24"/>
          <w:szCs w:val="21"/>
          <w:lang w:val="en-US" w:eastAsia="zh-CN" w:bidi="ar-SA"/>
        </w:rPr>
        <w:t xml:space="preserve">箱体支柱对安装地面垂直偏差≤2mm/m。 </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 xml:space="preserve">（4）装配试运行 </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①</w:t>
      </w:r>
      <w:r>
        <w:rPr>
          <w:rFonts w:hint="eastAsia" w:ascii="宋体" w:hAnsi="Arial" w:cs="Arial" w:eastAsiaTheme="minorEastAsia"/>
          <w:snapToGrid w:val="0"/>
          <w:color w:val="auto"/>
          <w:kern w:val="2"/>
          <w:sz w:val="24"/>
          <w:szCs w:val="21"/>
          <w:lang w:val="en-US" w:eastAsia="zh-CN" w:bidi="ar-SA"/>
        </w:rPr>
        <w:t>机器运行平稳，无异常响声和振动。</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②</w:t>
      </w:r>
      <w:r>
        <w:rPr>
          <w:rFonts w:hint="eastAsia" w:ascii="宋体" w:hAnsi="Arial" w:cs="Arial" w:eastAsiaTheme="minorEastAsia"/>
          <w:snapToGrid w:val="0"/>
          <w:color w:val="auto"/>
          <w:kern w:val="2"/>
          <w:sz w:val="24"/>
          <w:szCs w:val="21"/>
          <w:lang w:val="en-US" w:eastAsia="zh-CN" w:bidi="ar-SA"/>
        </w:rPr>
        <w:t xml:space="preserve">输送链和链轮能正确齿合。 </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③</w:t>
      </w:r>
      <w:r>
        <w:rPr>
          <w:rFonts w:hint="eastAsia" w:ascii="宋体" w:hAnsi="Arial" w:cs="Arial" w:eastAsiaTheme="minorEastAsia"/>
          <w:snapToGrid w:val="0"/>
          <w:color w:val="auto"/>
          <w:kern w:val="2"/>
          <w:sz w:val="24"/>
          <w:szCs w:val="21"/>
          <w:lang w:val="en-US" w:eastAsia="zh-CN" w:bidi="ar-SA"/>
        </w:rPr>
        <w:t xml:space="preserve">辊轮转动灵活。螺栓联接牢固。 </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 xml:space="preserve">4.支撑框架、集料斗、检修平台： </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①</w:t>
      </w:r>
      <w:r>
        <w:rPr>
          <w:rFonts w:hint="eastAsia" w:ascii="宋体" w:hAnsi="Arial" w:cs="Arial" w:eastAsiaTheme="minorEastAsia"/>
          <w:snapToGrid w:val="0"/>
          <w:color w:val="auto"/>
          <w:kern w:val="2"/>
          <w:sz w:val="24"/>
          <w:szCs w:val="21"/>
          <w:lang w:val="en-US" w:eastAsia="zh-CN" w:bidi="ar-SA"/>
        </w:rPr>
        <w:t xml:space="preserve">支撑框架需现场勘查，满足混凝土框架梁支撑。 </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②</w:t>
      </w:r>
      <w:r>
        <w:rPr>
          <w:rFonts w:hint="eastAsia" w:ascii="宋体" w:hAnsi="Arial" w:cs="Arial" w:eastAsiaTheme="minorEastAsia"/>
          <w:snapToGrid w:val="0"/>
          <w:color w:val="auto"/>
          <w:kern w:val="2"/>
          <w:sz w:val="24"/>
          <w:szCs w:val="21"/>
          <w:lang w:val="en-US" w:eastAsia="zh-CN" w:bidi="ar-SA"/>
        </w:rPr>
        <w:t xml:space="preserve">集料斗由型钢、钢板焊接而成，采用整体结构，材质 Q235，厚度不小于10mm。 </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③</w:t>
      </w:r>
      <w:r>
        <w:rPr>
          <w:rFonts w:hint="eastAsia" w:ascii="宋体" w:hAnsi="Arial" w:cs="Arial" w:eastAsiaTheme="minorEastAsia"/>
          <w:snapToGrid w:val="0"/>
          <w:color w:val="auto"/>
          <w:kern w:val="2"/>
          <w:sz w:val="24"/>
          <w:szCs w:val="21"/>
          <w:lang w:val="en-US" w:eastAsia="zh-CN" w:bidi="ar-SA"/>
        </w:rPr>
        <w:t xml:space="preserve">检修平台包含镀锌格栅，平台，护栏等，需满足对设备的操作和维护。 </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5.</w:t>
      </w:r>
      <w:r>
        <w:rPr>
          <w:rFonts w:hint="eastAsia" w:ascii="宋体" w:hAnsi="Arial" w:cs="Arial" w:eastAsiaTheme="minorEastAsia"/>
          <w:snapToGrid w:val="0"/>
          <w:color w:val="auto"/>
          <w:kern w:val="2"/>
          <w:sz w:val="24"/>
          <w:szCs w:val="21"/>
          <w:lang w:val="en-US" w:eastAsia="zh-CN" w:bidi="ar-SA"/>
        </w:rPr>
        <w:t xml:space="preserve">电仪改造： </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利用低压配电系统回路，新增控制电缆、桥架、操作柱及安装辅材，同时负责与DC</w:t>
      </w:r>
      <w:r>
        <w:rPr>
          <w:rFonts w:hint="eastAsia" w:ascii="宋体" w:hAnsi="Arial" w:cs="Arial"/>
          <w:snapToGrid w:val="0"/>
          <w:color w:val="auto"/>
          <w:kern w:val="2"/>
          <w:sz w:val="24"/>
          <w:szCs w:val="21"/>
          <w:lang w:val="en-US" w:eastAsia="zh-CN" w:bidi="ar-SA"/>
        </w:rPr>
        <w:t>S</w:t>
      </w:r>
      <w:r>
        <w:rPr>
          <w:rFonts w:hint="eastAsia" w:ascii="宋体" w:hAnsi="Arial" w:cs="Arial" w:eastAsiaTheme="minorEastAsia"/>
          <w:snapToGrid w:val="0"/>
          <w:color w:val="auto"/>
          <w:kern w:val="2"/>
          <w:sz w:val="24"/>
          <w:szCs w:val="21"/>
          <w:lang w:val="en-US" w:eastAsia="zh-CN" w:bidi="ar-SA"/>
        </w:rPr>
        <w:t>通讯及组态，改造后满足设备控制就地/远程要求。</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6.乙方所供必须为合格正品，不得为假冒伪劣和质保期之外的产品。</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cs="Arial"/>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7.质保期限为自验收合格后12个月，若质保期内出现质量问题（非质量问题除外），由乙方负责</w:t>
      </w:r>
      <w:r>
        <w:rPr>
          <w:rFonts w:hint="eastAsia" w:cs="Arial"/>
          <w:snapToGrid w:val="0"/>
          <w:color w:val="auto"/>
          <w:kern w:val="2"/>
          <w:sz w:val="24"/>
          <w:szCs w:val="21"/>
          <w:lang w:val="en-US" w:eastAsia="zh-CN" w:bidi="ar-SA"/>
        </w:rPr>
        <w:t>免费维修或者更换，产生的费用全部由乙方承担。维修或者更换后质保期重新计算。</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7"/>
        <w:ind w:firstLine="480" w:firstLineChars="200"/>
        <w:rPr>
          <w:rFonts w:hint="eastAsia" w:ascii="宋体" w:hAnsi="Arial" w:cs="Arial" w:eastAsiaTheme="minorEastAsia"/>
          <w:snapToGrid w:val="0"/>
          <w:kern w:val="2"/>
          <w:sz w:val="24"/>
          <w:szCs w:val="21"/>
          <w:highlight w:val="none"/>
          <w:lang w:val="en-US" w:eastAsia="zh-CN" w:bidi="ar-SA"/>
        </w:rPr>
      </w:pPr>
      <w:r>
        <w:rPr>
          <w:rFonts w:hint="eastAsia" w:ascii="宋体" w:hAnsi="Arial" w:cs="Arial" w:eastAsiaTheme="minorEastAsia"/>
          <w:snapToGrid w:val="0"/>
          <w:kern w:val="2"/>
          <w:sz w:val="24"/>
          <w:szCs w:val="21"/>
          <w:highlight w:val="none"/>
          <w:lang w:val="en-US" w:eastAsia="zh-CN" w:bidi="ar-SA"/>
        </w:rPr>
        <w:t>1.根据采购人生产检修计划，</w:t>
      </w:r>
      <w:r>
        <w:rPr>
          <w:rFonts w:hint="eastAsia" w:ascii="宋体" w:hAnsi="Arial" w:cs="Arial"/>
          <w:snapToGrid w:val="0"/>
          <w:color w:val="auto"/>
          <w:kern w:val="2"/>
          <w:sz w:val="24"/>
          <w:szCs w:val="21"/>
          <w:lang w:val="en-US" w:eastAsia="zh-CN" w:bidi="ar-SA"/>
        </w:rPr>
        <w:t>乙方</w:t>
      </w:r>
      <w:r>
        <w:rPr>
          <w:rFonts w:hint="eastAsia" w:ascii="宋体" w:hAnsi="Arial" w:cs="Arial" w:eastAsiaTheme="minorEastAsia"/>
          <w:snapToGrid w:val="0"/>
          <w:kern w:val="2"/>
          <w:sz w:val="24"/>
          <w:szCs w:val="21"/>
          <w:highlight w:val="none"/>
          <w:lang w:val="en-US" w:eastAsia="zh-CN" w:bidi="ar-SA"/>
        </w:rPr>
        <w:t>负责在接到</w:t>
      </w:r>
      <w:r>
        <w:rPr>
          <w:rFonts w:hint="eastAsia" w:cs="Arial"/>
          <w:snapToGrid w:val="0"/>
          <w:kern w:val="2"/>
          <w:sz w:val="24"/>
          <w:szCs w:val="21"/>
          <w:highlight w:val="none"/>
          <w:lang w:val="en-US" w:eastAsia="zh-CN" w:bidi="ar-SA"/>
        </w:rPr>
        <w:t>甲方</w:t>
      </w:r>
      <w:r>
        <w:rPr>
          <w:rFonts w:hint="eastAsia" w:ascii="宋体" w:hAnsi="Arial" w:cs="Arial" w:eastAsiaTheme="minorEastAsia"/>
          <w:snapToGrid w:val="0"/>
          <w:kern w:val="2"/>
          <w:sz w:val="24"/>
          <w:szCs w:val="21"/>
          <w:highlight w:val="none"/>
          <w:lang w:val="en-US" w:eastAsia="zh-CN" w:bidi="ar-SA"/>
        </w:rPr>
        <w:t>电话或书面通知后在30天内完成供货及安装。</w:t>
      </w:r>
    </w:p>
    <w:p>
      <w:pPr>
        <w:pStyle w:val="7"/>
        <w:ind w:firstLine="480" w:firstLineChars="200"/>
        <w:rPr>
          <w:rFonts w:hint="eastAsia" w:ascii="宋体" w:hAnsi="Arial" w:cs="Arial" w:eastAsiaTheme="minorEastAsia"/>
          <w:snapToGrid w:val="0"/>
          <w:kern w:val="2"/>
          <w:sz w:val="24"/>
          <w:szCs w:val="21"/>
          <w:highlight w:val="none"/>
          <w:lang w:val="en-US" w:eastAsia="zh-CN" w:bidi="ar-SA"/>
        </w:rPr>
      </w:pPr>
      <w:r>
        <w:rPr>
          <w:rFonts w:hint="eastAsia" w:ascii="宋体" w:hAnsi="Arial" w:cs="Arial" w:eastAsiaTheme="minorEastAsia"/>
          <w:snapToGrid w:val="0"/>
          <w:kern w:val="2"/>
          <w:sz w:val="24"/>
          <w:szCs w:val="21"/>
          <w:highlight w:val="none"/>
          <w:lang w:val="en-US" w:eastAsia="zh-CN" w:bidi="ar-SA"/>
        </w:rPr>
        <w:t>2.</w:t>
      </w:r>
      <w:r>
        <w:rPr>
          <w:rFonts w:hint="eastAsia" w:cs="Arial"/>
          <w:snapToGrid w:val="0"/>
          <w:kern w:val="2"/>
          <w:sz w:val="24"/>
          <w:szCs w:val="21"/>
          <w:highlight w:val="none"/>
          <w:lang w:val="en-US" w:eastAsia="zh-CN" w:bidi="ar-SA"/>
        </w:rPr>
        <w:t>乙方</w:t>
      </w:r>
      <w:r>
        <w:rPr>
          <w:rFonts w:hint="eastAsia" w:ascii="宋体" w:hAnsi="Arial" w:cs="Arial" w:eastAsiaTheme="minorEastAsia"/>
          <w:snapToGrid w:val="0"/>
          <w:kern w:val="2"/>
          <w:sz w:val="24"/>
          <w:szCs w:val="21"/>
          <w:highlight w:val="none"/>
          <w:lang w:val="en-US" w:eastAsia="zh-CN" w:bidi="ar-SA"/>
        </w:rPr>
        <w:t>负责卸货、拆除旧件、安装新件，吊装设备费用、工器具费用和人工费均含在本次采购范围内，由</w:t>
      </w:r>
      <w:r>
        <w:rPr>
          <w:rFonts w:hint="eastAsia" w:cs="Arial"/>
          <w:snapToGrid w:val="0"/>
          <w:kern w:val="2"/>
          <w:sz w:val="24"/>
          <w:szCs w:val="21"/>
          <w:highlight w:val="none"/>
          <w:lang w:val="en-US" w:eastAsia="zh-CN" w:bidi="ar-SA"/>
        </w:rPr>
        <w:t>乙方</w:t>
      </w:r>
      <w:r>
        <w:rPr>
          <w:rFonts w:hint="eastAsia" w:ascii="宋体" w:hAnsi="Arial" w:cs="Arial" w:eastAsiaTheme="minorEastAsia"/>
          <w:snapToGrid w:val="0"/>
          <w:kern w:val="2"/>
          <w:sz w:val="24"/>
          <w:szCs w:val="21"/>
          <w:highlight w:val="none"/>
          <w:lang w:val="en-US" w:eastAsia="zh-CN" w:bidi="ar-SA"/>
        </w:rPr>
        <w:t>承担，</w:t>
      </w:r>
      <w:r>
        <w:rPr>
          <w:rFonts w:hint="eastAsia" w:cs="Arial"/>
          <w:snapToGrid w:val="0"/>
          <w:kern w:val="2"/>
          <w:sz w:val="24"/>
          <w:szCs w:val="21"/>
          <w:highlight w:val="none"/>
          <w:lang w:val="en-US" w:eastAsia="zh-CN" w:bidi="ar-SA"/>
        </w:rPr>
        <w:t>甲方</w:t>
      </w:r>
      <w:r>
        <w:rPr>
          <w:rFonts w:hint="eastAsia" w:ascii="宋体" w:hAnsi="Arial" w:cs="Arial" w:eastAsiaTheme="minorEastAsia"/>
          <w:snapToGrid w:val="0"/>
          <w:kern w:val="2"/>
          <w:sz w:val="24"/>
          <w:szCs w:val="21"/>
          <w:highlight w:val="none"/>
          <w:lang w:val="en-US" w:eastAsia="zh-CN" w:bidi="ar-SA"/>
        </w:rPr>
        <w:t>不额外支付费用，</w:t>
      </w:r>
      <w:r>
        <w:rPr>
          <w:rFonts w:hint="eastAsia" w:cs="Arial"/>
          <w:snapToGrid w:val="0"/>
          <w:kern w:val="2"/>
          <w:sz w:val="24"/>
          <w:szCs w:val="21"/>
          <w:highlight w:val="none"/>
          <w:lang w:val="en-US" w:eastAsia="zh-CN" w:bidi="ar-SA"/>
        </w:rPr>
        <w:t>甲方</w:t>
      </w:r>
      <w:r>
        <w:rPr>
          <w:rFonts w:hint="eastAsia" w:ascii="宋体" w:hAnsi="Arial" w:cs="Arial" w:eastAsiaTheme="minorEastAsia"/>
          <w:snapToGrid w:val="0"/>
          <w:kern w:val="2"/>
          <w:sz w:val="24"/>
          <w:szCs w:val="21"/>
          <w:highlight w:val="none"/>
          <w:lang w:val="en-US" w:eastAsia="zh-CN" w:bidi="ar-SA"/>
        </w:rPr>
        <w:t>可免费提供叉车服务。</w:t>
      </w:r>
    </w:p>
    <w:p>
      <w:pPr>
        <w:pStyle w:val="7"/>
        <w:ind w:firstLine="480" w:firstLineChars="200"/>
        <w:rPr>
          <w:rFonts w:hint="eastAsia" w:ascii="宋体" w:hAnsi="Arial" w:cs="Arial" w:eastAsiaTheme="minorEastAsia"/>
          <w:snapToGrid w:val="0"/>
          <w:kern w:val="2"/>
          <w:sz w:val="24"/>
          <w:szCs w:val="21"/>
          <w:highlight w:val="none"/>
          <w:lang w:val="en-US" w:eastAsia="zh-CN" w:bidi="ar-SA"/>
        </w:rPr>
      </w:pPr>
      <w:r>
        <w:rPr>
          <w:rFonts w:hint="eastAsia" w:ascii="宋体" w:hAnsi="Arial" w:cs="Arial" w:eastAsiaTheme="minorEastAsia"/>
          <w:snapToGrid w:val="0"/>
          <w:kern w:val="2"/>
          <w:sz w:val="24"/>
          <w:szCs w:val="21"/>
          <w:highlight w:val="none"/>
          <w:lang w:val="en-US" w:eastAsia="zh-CN" w:bidi="ar-SA"/>
        </w:rPr>
        <w:t>3.</w:t>
      </w:r>
      <w:r>
        <w:rPr>
          <w:rFonts w:hint="eastAsia" w:cs="Arial"/>
          <w:snapToGrid w:val="0"/>
          <w:kern w:val="2"/>
          <w:sz w:val="24"/>
          <w:szCs w:val="21"/>
          <w:highlight w:val="none"/>
          <w:lang w:val="en-US" w:eastAsia="zh-CN" w:bidi="ar-SA"/>
        </w:rPr>
        <w:t>乙方</w:t>
      </w:r>
      <w:r>
        <w:rPr>
          <w:rFonts w:hint="eastAsia" w:ascii="宋体" w:hAnsi="Arial" w:cs="Arial" w:eastAsiaTheme="minorEastAsia"/>
          <w:snapToGrid w:val="0"/>
          <w:kern w:val="2"/>
          <w:sz w:val="24"/>
          <w:szCs w:val="21"/>
          <w:highlight w:val="none"/>
          <w:lang w:val="en-US" w:eastAsia="zh-CN" w:bidi="ar-SA"/>
        </w:rPr>
        <w:t>对实施工作人员安全负有全部责任，</w:t>
      </w:r>
      <w:r>
        <w:rPr>
          <w:rFonts w:hint="eastAsia" w:cs="Arial"/>
          <w:snapToGrid w:val="0"/>
          <w:kern w:val="2"/>
          <w:sz w:val="24"/>
          <w:szCs w:val="21"/>
          <w:highlight w:val="none"/>
          <w:lang w:val="en-US" w:eastAsia="zh-CN" w:bidi="ar-SA"/>
        </w:rPr>
        <w:t>乙方</w:t>
      </w:r>
      <w:r>
        <w:rPr>
          <w:rFonts w:hint="eastAsia" w:ascii="宋体" w:hAnsi="Arial" w:cs="Arial" w:eastAsiaTheme="minorEastAsia"/>
          <w:snapToGrid w:val="0"/>
          <w:kern w:val="2"/>
          <w:sz w:val="24"/>
          <w:szCs w:val="21"/>
          <w:highlight w:val="none"/>
          <w:lang w:val="en-US" w:eastAsia="zh-CN" w:bidi="ar-SA"/>
        </w:rPr>
        <w:t>须为工作人员购买保险，如工伤保险、意外保险等，具体由</w:t>
      </w:r>
      <w:r>
        <w:rPr>
          <w:rFonts w:hint="eastAsia" w:cs="Arial"/>
          <w:snapToGrid w:val="0"/>
          <w:kern w:val="2"/>
          <w:sz w:val="24"/>
          <w:szCs w:val="21"/>
          <w:highlight w:val="none"/>
          <w:lang w:val="en-US" w:eastAsia="zh-CN" w:bidi="ar-SA"/>
        </w:rPr>
        <w:t>乙方</w:t>
      </w:r>
      <w:r>
        <w:rPr>
          <w:rFonts w:hint="eastAsia" w:ascii="宋体" w:hAnsi="Arial" w:cs="Arial" w:eastAsiaTheme="minorEastAsia"/>
          <w:snapToGrid w:val="0"/>
          <w:kern w:val="2"/>
          <w:sz w:val="24"/>
          <w:szCs w:val="21"/>
          <w:highlight w:val="none"/>
          <w:lang w:val="en-US" w:eastAsia="zh-CN" w:bidi="ar-SA"/>
        </w:rPr>
        <w:t>自行与员工确定，若因此而引起的法律或者经济纠纷，由</w:t>
      </w:r>
      <w:r>
        <w:rPr>
          <w:rFonts w:hint="eastAsia" w:cs="Arial"/>
          <w:snapToGrid w:val="0"/>
          <w:kern w:val="2"/>
          <w:sz w:val="24"/>
          <w:szCs w:val="21"/>
          <w:highlight w:val="none"/>
          <w:lang w:val="en-US" w:eastAsia="zh-CN" w:bidi="ar-SA"/>
        </w:rPr>
        <w:t>乙方</w:t>
      </w:r>
      <w:r>
        <w:rPr>
          <w:rFonts w:hint="eastAsia" w:ascii="宋体" w:hAnsi="Arial" w:cs="Arial" w:eastAsiaTheme="minorEastAsia"/>
          <w:snapToGrid w:val="0"/>
          <w:kern w:val="2"/>
          <w:sz w:val="24"/>
          <w:szCs w:val="21"/>
          <w:highlight w:val="none"/>
          <w:lang w:val="en-US" w:eastAsia="zh-CN" w:bidi="ar-SA"/>
        </w:rPr>
        <w:t>负全责，</w:t>
      </w:r>
      <w:r>
        <w:rPr>
          <w:rFonts w:hint="eastAsia" w:cs="Arial"/>
          <w:snapToGrid w:val="0"/>
          <w:kern w:val="2"/>
          <w:sz w:val="24"/>
          <w:szCs w:val="21"/>
          <w:highlight w:val="none"/>
          <w:lang w:val="en-US" w:eastAsia="zh-CN" w:bidi="ar-SA"/>
        </w:rPr>
        <w:t>甲方</w:t>
      </w:r>
      <w:r>
        <w:rPr>
          <w:rFonts w:hint="eastAsia" w:ascii="宋体" w:hAnsi="Arial" w:cs="Arial" w:eastAsiaTheme="minorEastAsia"/>
          <w:snapToGrid w:val="0"/>
          <w:kern w:val="2"/>
          <w:sz w:val="24"/>
          <w:szCs w:val="21"/>
          <w:highlight w:val="none"/>
          <w:lang w:val="en-US" w:eastAsia="zh-CN" w:bidi="ar-SA"/>
        </w:rPr>
        <w:t>不承担任何责任。</w:t>
      </w:r>
    </w:p>
    <w:p>
      <w:pPr>
        <w:pStyle w:val="7"/>
        <w:ind w:firstLine="480" w:firstLineChars="200"/>
        <w:rPr>
          <w:rFonts w:hint="eastAsia" w:ascii="宋体" w:hAnsi="Arial" w:cs="Arial" w:eastAsiaTheme="minorEastAsia"/>
          <w:snapToGrid w:val="0"/>
          <w:kern w:val="2"/>
          <w:sz w:val="24"/>
          <w:szCs w:val="21"/>
          <w:highlight w:val="none"/>
          <w:lang w:val="en-US" w:eastAsia="zh-CN" w:bidi="ar-SA"/>
        </w:rPr>
      </w:pPr>
      <w:r>
        <w:rPr>
          <w:rFonts w:hint="eastAsia" w:ascii="宋体" w:hAnsi="Arial" w:cs="Arial" w:eastAsiaTheme="minorEastAsia"/>
          <w:snapToGrid w:val="0"/>
          <w:kern w:val="2"/>
          <w:sz w:val="24"/>
          <w:szCs w:val="21"/>
          <w:highlight w:val="none"/>
          <w:lang w:val="en-US" w:eastAsia="zh-CN" w:bidi="ar-SA"/>
        </w:rPr>
        <w:t>4.</w:t>
      </w:r>
      <w:r>
        <w:rPr>
          <w:rFonts w:hint="eastAsia" w:cs="Arial"/>
          <w:snapToGrid w:val="0"/>
          <w:kern w:val="2"/>
          <w:sz w:val="24"/>
          <w:szCs w:val="21"/>
          <w:highlight w:val="none"/>
          <w:lang w:val="en-US" w:eastAsia="zh-CN" w:bidi="ar-SA"/>
        </w:rPr>
        <w:t>乙方</w:t>
      </w:r>
      <w:r>
        <w:rPr>
          <w:rFonts w:hint="eastAsia" w:ascii="宋体" w:hAnsi="Arial" w:cs="Arial" w:eastAsiaTheme="minorEastAsia"/>
          <w:snapToGrid w:val="0"/>
          <w:kern w:val="2"/>
          <w:sz w:val="24"/>
          <w:szCs w:val="21"/>
          <w:highlight w:val="none"/>
          <w:lang w:val="en-US" w:eastAsia="zh-CN" w:bidi="ar-SA"/>
        </w:rPr>
        <w:t>实施人员食宿自理。</w:t>
      </w:r>
    </w:p>
    <w:p>
      <w:pPr>
        <w:pStyle w:val="7"/>
        <w:ind w:firstLine="480" w:firstLineChars="200"/>
        <w:rPr>
          <w:rFonts w:hint="eastAsia" w:ascii="宋体" w:hAnsi="Arial" w:cs="Arial" w:eastAsiaTheme="minorEastAsia"/>
          <w:snapToGrid w:val="0"/>
          <w:kern w:val="2"/>
          <w:sz w:val="24"/>
          <w:szCs w:val="21"/>
          <w:highlight w:val="none"/>
          <w:lang w:val="en-US" w:eastAsia="zh-CN" w:bidi="ar-SA"/>
        </w:rPr>
      </w:pPr>
      <w:r>
        <w:rPr>
          <w:rFonts w:hint="eastAsia" w:ascii="宋体" w:hAnsi="Arial" w:cs="Arial" w:eastAsiaTheme="minorEastAsia"/>
          <w:snapToGrid w:val="0"/>
          <w:kern w:val="2"/>
          <w:sz w:val="24"/>
          <w:szCs w:val="21"/>
          <w:highlight w:val="none"/>
          <w:lang w:val="en-US" w:eastAsia="zh-CN" w:bidi="ar-SA"/>
        </w:rPr>
        <w:t>5.保密服务要求：</w:t>
      </w:r>
      <w:r>
        <w:rPr>
          <w:rFonts w:hint="eastAsia" w:cs="Arial"/>
          <w:snapToGrid w:val="0"/>
          <w:kern w:val="2"/>
          <w:sz w:val="24"/>
          <w:szCs w:val="21"/>
          <w:highlight w:val="none"/>
          <w:lang w:val="en-US" w:eastAsia="zh-CN" w:bidi="ar-SA"/>
        </w:rPr>
        <w:t>乙方</w:t>
      </w:r>
      <w:r>
        <w:rPr>
          <w:rFonts w:hint="eastAsia" w:ascii="宋体" w:hAnsi="Arial" w:cs="Arial" w:eastAsiaTheme="minorEastAsia"/>
          <w:snapToGrid w:val="0"/>
          <w:kern w:val="2"/>
          <w:sz w:val="24"/>
          <w:szCs w:val="21"/>
          <w:highlight w:val="none"/>
          <w:lang w:val="en-US" w:eastAsia="zh-CN" w:bidi="ar-SA"/>
        </w:rPr>
        <w:t>对</w:t>
      </w:r>
      <w:r>
        <w:rPr>
          <w:rFonts w:hint="eastAsia" w:cs="Arial"/>
          <w:snapToGrid w:val="0"/>
          <w:kern w:val="2"/>
          <w:sz w:val="24"/>
          <w:szCs w:val="21"/>
          <w:highlight w:val="none"/>
          <w:lang w:val="en-US" w:eastAsia="zh-CN" w:bidi="ar-SA"/>
        </w:rPr>
        <w:t>甲方</w:t>
      </w:r>
      <w:r>
        <w:rPr>
          <w:rFonts w:hint="eastAsia" w:ascii="宋体" w:hAnsi="Arial" w:cs="Arial" w:eastAsiaTheme="minorEastAsia"/>
          <w:snapToGrid w:val="0"/>
          <w:kern w:val="2"/>
          <w:sz w:val="24"/>
          <w:szCs w:val="21"/>
          <w:highlight w:val="none"/>
          <w:lang w:val="en-US" w:eastAsia="zh-CN" w:bidi="ar-SA"/>
        </w:rPr>
        <w:t>提供的所有业务技术资料、文档，有责任对第三方保密；</w:t>
      </w:r>
      <w:r>
        <w:rPr>
          <w:rFonts w:hint="eastAsia" w:cs="Arial"/>
          <w:snapToGrid w:val="0"/>
          <w:kern w:val="2"/>
          <w:sz w:val="24"/>
          <w:szCs w:val="21"/>
          <w:highlight w:val="none"/>
          <w:lang w:val="en-US" w:eastAsia="zh-CN" w:bidi="ar-SA"/>
        </w:rPr>
        <w:t>乙方</w:t>
      </w:r>
      <w:r>
        <w:rPr>
          <w:rFonts w:hint="eastAsia" w:ascii="宋体" w:hAnsi="Arial" w:cs="Arial" w:eastAsiaTheme="minorEastAsia"/>
          <w:snapToGrid w:val="0"/>
          <w:kern w:val="2"/>
          <w:sz w:val="24"/>
          <w:szCs w:val="21"/>
          <w:highlight w:val="none"/>
          <w:lang w:val="en-US" w:eastAsia="zh-CN" w:bidi="ar-SA"/>
        </w:rPr>
        <w:t>在服务过程中涉及第三方产品（中标人提供的），若出现技术、经济或法律上的纠纷，应由</w:t>
      </w:r>
      <w:r>
        <w:rPr>
          <w:rFonts w:hint="eastAsia" w:cs="Arial"/>
          <w:snapToGrid w:val="0"/>
          <w:kern w:val="2"/>
          <w:sz w:val="24"/>
          <w:szCs w:val="21"/>
          <w:highlight w:val="none"/>
          <w:lang w:val="en-US" w:eastAsia="zh-CN" w:bidi="ar-SA"/>
        </w:rPr>
        <w:t>乙方</w:t>
      </w:r>
      <w:r>
        <w:rPr>
          <w:rFonts w:hint="eastAsia" w:ascii="宋体" w:hAnsi="Arial" w:cs="Arial" w:eastAsiaTheme="minorEastAsia"/>
          <w:snapToGrid w:val="0"/>
          <w:kern w:val="2"/>
          <w:sz w:val="24"/>
          <w:szCs w:val="21"/>
          <w:highlight w:val="none"/>
          <w:lang w:val="en-US" w:eastAsia="zh-CN" w:bidi="ar-SA"/>
        </w:rPr>
        <w:t>全面承担并解决，确保不影响项目的进度。</w:t>
      </w:r>
      <w:r>
        <w:rPr>
          <w:rFonts w:hint="eastAsia" w:cs="Arial"/>
          <w:snapToGrid w:val="0"/>
          <w:color w:val="auto"/>
          <w:kern w:val="2"/>
          <w:sz w:val="24"/>
          <w:szCs w:val="21"/>
          <w:lang w:val="en-US" w:eastAsia="zh-CN" w:bidi="ar-SA"/>
        </w:rPr>
        <w:t>乙方</w:t>
      </w:r>
      <w:r>
        <w:rPr>
          <w:rFonts w:hint="eastAsia" w:ascii="宋体" w:hAnsi="Arial" w:cs="Arial" w:eastAsiaTheme="minorEastAsia"/>
          <w:snapToGrid w:val="0"/>
          <w:kern w:val="2"/>
          <w:sz w:val="24"/>
          <w:szCs w:val="21"/>
          <w:highlight w:val="none"/>
          <w:lang w:val="en-US" w:eastAsia="zh-CN" w:bidi="ar-SA"/>
        </w:rPr>
        <w:t>应严格遵守</w:t>
      </w:r>
      <w:r>
        <w:rPr>
          <w:rFonts w:hint="eastAsia" w:cs="Arial"/>
          <w:snapToGrid w:val="0"/>
          <w:kern w:val="2"/>
          <w:sz w:val="24"/>
          <w:szCs w:val="21"/>
          <w:highlight w:val="none"/>
          <w:lang w:val="en-US" w:eastAsia="zh-CN" w:bidi="ar-SA"/>
        </w:rPr>
        <w:t>甲方</w:t>
      </w:r>
      <w:r>
        <w:rPr>
          <w:rFonts w:hint="eastAsia" w:ascii="宋体" w:hAnsi="Arial" w:cs="Arial" w:eastAsiaTheme="minorEastAsia"/>
          <w:snapToGrid w:val="0"/>
          <w:kern w:val="2"/>
          <w:sz w:val="24"/>
          <w:szCs w:val="21"/>
          <w:highlight w:val="none"/>
          <w:lang w:val="en-US" w:eastAsia="zh-CN" w:bidi="ar-SA"/>
        </w:rPr>
        <w:t>关于保密方面的规定，自觉保守</w:t>
      </w:r>
      <w:r>
        <w:rPr>
          <w:rFonts w:hint="eastAsia" w:cs="Arial"/>
          <w:snapToGrid w:val="0"/>
          <w:kern w:val="2"/>
          <w:sz w:val="24"/>
          <w:szCs w:val="21"/>
          <w:highlight w:val="none"/>
          <w:lang w:val="en-US" w:eastAsia="zh-CN" w:bidi="ar-SA"/>
        </w:rPr>
        <w:t>甲方</w:t>
      </w:r>
      <w:r>
        <w:rPr>
          <w:rFonts w:hint="eastAsia" w:ascii="宋体" w:hAnsi="Arial" w:cs="Arial" w:eastAsiaTheme="minorEastAsia"/>
          <w:snapToGrid w:val="0"/>
          <w:kern w:val="2"/>
          <w:sz w:val="24"/>
          <w:szCs w:val="21"/>
          <w:highlight w:val="none"/>
          <w:lang w:val="en-US" w:eastAsia="zh-CN" w:bidi="ar-SA"/>
        </w:rPr>
        <w:t>的商业秘密。</w:t>
      </w:r>
      <w:r>
        <w:rPr>
          <w:rFonts w:hint="eastAsia" w:cs="Arial"/>
          <w:snapToGrid w:val="0"/>
          <w:kern w:val="2"/>
          <w:sz w:val="24"/>
          <w:szCs w:val="21"/>
          <w:highlight w:val="none"/>
          <w:lang w:val="en-US" w:eastAsia="zh-CN" w:bidi="ar-SA"/>
        </w:rPr>
        <w:t>甲方</w:t>
      </w:r>
      <w:r>
        <w:rPr>
          <w:rFonts w:hint="eastAsia" w:ascii="宋体" w:hAnsi="Arial" w:cs="Arial" w:eastAsiaTheme="minorEastAsia"/>
          <w:snapToGrid w:val="0"/>
          <w:kern w:val="2"/>
          <w:sz w:val="24"/>
          <w:szCs w:val="21"/>
          <w:highlight w:val="none"/>
          <w:lang w:val="en-US" w:eastAsia="zh-CN" w:bidi="ar-SA"/>
        </w:rPr>
        <w:t>为方便项目实施所提供给供应商的工作流程、管理模式、规程、程序等相关文档资料、文档、数据均属于</w:t>
      </w:r>
      <w:r>
        <w:rPr>
          <w:rFonts w:hint="eastAsia" w:cs="Arial"/>
          <w:snapToGrid w:val="0"/>
          <w:kern w:val="2"/>
          <w:sz w:val="24"/>
          <w:szCs w:val="21"/>
          <w:highlight w:val="none"/>
          <w:lang w:val="en-US" w:eastAsia="zh-CN" w:bidi="ar-SA"/>
        </w:rPr>
        <w:t>甲方</w:t>
      </w:r>
      <w:r>
        <w:rPr>
          <w:rFonts w:hint="eastAsia" w:ascii="宋体" w:hAnsi="Arial" w:cs="Arial" w:eastAsiaTheme="minorEastAsia"/>
          <w:snapToGrid w:val="0"/>
          <w:kern w:val="2"/>
          <w:sz w:val="24"/>
          <w:szCs w:val="21"/>
          <w:highlight w:val="none"/>
          <w:lang w:val="en-US" w:eastAsia="zh-CN" w:bidi="ar-SA"/>
        </w:rPr>
        <w:t>所有。未经</w:t>
      </w:r>
      <w:r>
        <w:rPr>
          <w:rFonts w:hint="eastAsia" w:cs="Arial"/>
          <w:snapToGrid w:val="0"/>
          <w:kern w:val="2"/>
          <w:sz w:val="24"/>
          <w:szCs w:val="21"/>
          <w:highlight w:val="none"/>
          <w:lang w:val="en-US" w:eastAsia="zh-CN" w:bidi="ar-SA"/>
        </w:rPr>
        <w:t>甲方</w:t>
      </w:r>
      <w:r>
        <w:rPr>
          <w:rFonts w:hint="eastAsia" w:ascii="宋体" w:hAnsi="Arial" w:cs="Arial" w:eastAsiaTheme="minorEastAsia"/>
          <w:snapToGrid w:val="0"/>
          <w:kern w:val="2"/>
          <w:sz w:val="24"/>
          <w:szCs w:val="21"/>
          <w:highlight w:val="none"/>
          <w:lang w:val="en-US" w:eastAsia="zh-CN" w:bidi="ar-SA"/>
        </w:rPr>
        <w:t>授权同意，</w:t>
      </w:r>
      <w:r>
        <w:rPr>
          <w:rFonts w:hint="eastAsia" w:cs="Arial"/>
          <w:snapToGrid w:val="0"/>
          <w:kern w:val="2"/>
          <w:sz w:val="24"/>
          <w:szCs w:val="21"/>
          <w:highlight w:val="none"/>
          <w:lang w:val="en-US" w:eastAsia="zh-CN" w:bidi="ar-SA"/>
        </w:rPr>
        <w:t>乙方</w:t>
      </w:r>
      <w:r>
        <w:rPr>
          <w:rFonts w:hint="eastAsia" w:ascii="宋体" w:hAnsi="Arial" w:cs="Arial" w:eastAsiaTheme="minorEastAsia"/>
          <w:snapToGrid w:val="0"/>
          <w:kern w:val="2"/>
          <w:sz w:val="24"/>
          <w:szCs w:val="21"/>
          <w:highlight w:val="none"/>
          <w:lang w:val="en-US" w:eastAsia="zh-CN" w:bidi="ar-SA"/>
        </w:rPr>
        <w:t>不得另作他用。因</w:t>
      </w:r>
      <w:r>
        <w:rPr>
          <w:rFonts w:hint="eastAsia" w:cs="Arial"/>
          <w:snapToGrid w:val="0"/>
          <w:kern w:val="2"/>
          <w:sz w:val="24"/>
          <w:szCs w:val="21"/>
          <w:highlight w:val="none"/>
          <w:lang w:val="en-US" w:eastAsia="zh-CN" w:bidi="ar-SA"/>
        </w:rPr>
        <w:t>乙方</w:t>
      </w:r>
      <w:r>
        <w:rPr>
          <w:rFonts w:hint="eastAsia" w:ascii="宋体" w:hAnsi="Arial" w:cs="Arial" w:eastAsiaTheme="minorEastAsia"/>
          <w:snapToGrid w:val="0"/>
          <w:kern w:val="2"/>
          <w:sz w:val="24"/>
          <w:szCs w:val="21"/>
          <w:highlight w:val="none"/>
          <w:lang w:val="en-US" w:eastAsia="zh-CN" w:bidi="ar-SA"/>
        </w:rPr>
        <w:t>原因导致上述资料、文档、数据或</w:t>
      </w:r>
      <w:r>
        <w:rPr>
          <w:rFonts w:hint="eastAsia" w:cs="Arial"/>
          <w:snapToGrid w:val="0"/>
          <w:kern w:val="2"/>
          <w:sz w:val="24"/>
          <w:szCs w:val="21"/>
          <w:highlight w:val="none"/>
          <w:lang w:val="en-US" w:eastAsia="zh-CN" w:bidi="ar-SA"/>
        </w:rPr>
        <w:t>甲方</w:t>
      </w:r>
      <w:r>
        <w:rPr>
          <w:rFonts w:hint="eastAsia" w:ascii="宋体" w:hAnsi="Arial" w:cs="Arial" w:eastAsiaTheme="minorEastAsia"/>
          <w:snapToGrid w:val="0"/>
          <w:kern w:val="2"/>
          <w:sz w:val="24"/>
          <w:szCs w:val="21"/>
          <w:highlight w:val="none"/>
          <w:lang w:val="en-US" w:eastAsia="zh-CN" w:bidi="ar-SA"/>
        </w:rPr>
        <w:t>商业秘密泄露的，</w:t>
      </w:r>
      <w:r>
        <w:rPr>
          <w:rFonts w:hint="eastAsia" w:cs="Arial"/>
          <w:snapToGrid w:val="0"/>
          <w:kern w:val="2"/>
          <w:sz w:val="24"/>
          <w:szCs w:val="21"/>
          <w:highlight w:val="none"/>
          <w:lang w:val="en-US" w:eastAsia="zh-CN" w:bidi="ar-SA"/>
        </w:rPr>
        <w:t>甲方</w:t>
      </w:r>
      <w:r>
        <w:rPr>
          <w:rFonts w:hint="eastAsia" w:ascii="宋体" w:hAnsi="Arial" w:cs="Arial" w:eastAsiaTheme="minorEastAsia"/>
          <w:snapToGrid w:val="0"/>
          <w:kern w:val="2"/>
          <w:sz w:val="24"/>
          <w:szCs w:val="21"/>
          <w:highlight w:val="none"/>
          <w:lang w:val="en-US" w:eastAsia="zh-CN" w:bidi="ar-SA"/>
        </w:rPr>
        <w:t>有权要求</w:t>
      </w:r>
      <w:r>
        <w:rPr>
          <w:rFonts w:hint="eastAsia" w:cs="Arial"/>
          <w:snapToGrid w:val="0"/>
          <w:kern w:val="2"/>
          <w:sz w:val="24"/>
          <w:szCs w:val="21"/>
          <w:highlight w:val="none"/>
          <w:lang w:val="en-US" w:eastAsia="zh-CN" w:bidi="ar-SA"/>
        </w:rPr>
        <w:t>乙方</w:t>
      </w:r>
      <w:r>
        <w:rPr>
          <w:rFonts w:hint="eastAsia" w:ascii="宋体" w:hAnsi="Arial" w:cs="Arial" w:eastAsiaTheme="minorEastAsia"/>
          <w:snapToGrid w:val="0"/>
          <w:kern w:val="2"/>
          <w:sz w:val="24"/>
          <w:szCs w:val="21"/>
          <w:highlight w:val="none"/>
          <w:lang w:val="en-US" w:eastAsia="zh-CN" w:bidi="ar-SA"/>
        </w:rPr>
        <w:t>采取措施消除影响并赔偿</w:t>
      </w:r>
      <w:r>
        <w:rPr>
          <w:rFonts w:hint="eastAsia" w:cs="Arial"/>
          <w:snapToGrid w:val="0"/>
          <w:kern w:val="2"/>
          <w:sz w:val="24"/>
          <w:szCs w:val="21"/>
          <w:highlight w:val="none"/>
          <w:lang w:val="en-US" w:eastAsia="zh-CN" w:bidi="ar-SA"/>
        </w:rPr>
        <w:t>甲方</w:t>
      </w:r>
      <w:r>
        <w:rPr>
          <w:rFonts w:hint="eastAsia" w:ascii="宋体" w:hAnsi="Arial" w:cs="Arial" w:eastAsiaTheme="minorEastAsia"/>
          <w:snapToGrid w:val="0"/>
          <w:kern w:val="2"/>
          <w:sz w:val="24"/>
          <w:szCs w:val="21"/>
          <w:highlight w:val="none"/>
          <w:lang w:val="en-US" w:eastAsia="zh-CN" w:bidi="ar-SA"/>
        </w:rPr>
        <w:t>损失。</w:t>
      </w:r>
    </w:p>
    <w:p>
      <w:pPr>
        <w:pStyle w:val="7"/>
        <w:ind w:firstLine="480" w:firstLineChars="200"/>
        <w:rPr>
          <w:rFonts w:hint="eastAsia" w:ascii="宋体" w:hAnsi="Arial" w:cs="Arial" w:eastAsiaTheme="minorEastAsia"/>
          <w:snapToGrid w:val="0"/>
          <w:kern w:val="2"/>
          <w:sz w:val="24"/>
          <w:szCs w:val="21"/>
          <w:highlight w:val="none"/>
          <w:lang w:val="en-US" w:eastAsia="zh-CN" w:bidi="ar-SA"/>
        </w:rPr>
      </w:pPr>
      <w:r>
        <w:rPr>
          <w:rFonts w:hint="eastAsia" w:ascii="宋体" w:hAnsi="Arial" w:cs="Arial" w:eastAsiaTheme="minorEastAsia"/>
          <w:snapToGrid w:val="0"/>
          <w:kern w:val="2"/>
          <w:sz w:val="24"/>
          <w:szCs w:val="21"/>
          <w:highlight w:val="none"/>
          <w:lang w:val="en-US" w:eastAsia="zh-CN" w:bidi="ar-SA"/>
        </w:rPr>
        <w:t>6.</w:t>
      </w:r>
      <w:r>
        <w:rPr>
          <w:rFonts w:hint="eastAsia" w:cs="Arial"/>
          <w:snapToGrid w:val="0"/>
          <w:kern w:val="2"/>
          <w:sz w:val="24"/>
          <w:szCs w:val="21"/>
          <w:highlight w:val="none"/>
          <w:lang w:val="en-US" w:eastAsia="zh-CN" w:bidi="ar-SA"/>
        </w:rPr>
        <w:t>乙方</w:t>
      </w:r>
      <w:r>
        <w:rPr>
          <w:rFonts w:hint="eastAsia" w:ascii="宋体" w:hAnsi="Arial" w:cs="Arial" w:eastAsiaTheme="minorEastAsia"/>
          <w:snapToGrid w:val="0"/>
          <w:kern w:val="2"/>
          <w:sz w:val="24"/>
          <w:szCs w:val="21"/>
          <w:highlight w:val="none"/>
          <w:lang w:val="en-US" w:eastAsia="zh-CN" w:bidi="ar-SA"/>
        </w:rPr>
        <w:t>应遵守</w:t>
      </w:r>
      <w:r>
        <w:rPr>
          <w:rFonts w:hint="eastAsia" w:cs="Arial"/>
          <w:snapToGrid w:val="0"/>
          <w:kern w:val="2"/>
          <w:sz w:val="24"/>
          <w:szCs w:val="21"/>
          <w:highlight w:val="none"/>
          <w:lang w:val="en-US" w:eastAsia="zh-CN" w:bidi="ar-SA"/>
        </w:rPr>
        <w:t>甲方</w:t>
      </w:r>
      <w:r>
        <w:rPr>
          <w:rFonts w:hint="eastAsia" w:ascii="宋体" w:hAnsi="Arial" w:cs="Arial" w:eastAsiaTheme="minorEastAsia"/>
          <w:snapToGrid w:val="0"/>
          <w:kern w:val="2"/>
          <w:sz w:val="24"/>
          <w:szCs w:val="21"/>
          <w:highlight w:val="none"/>
          <w:lang w:val="en-US" w:eastAsia="zh-CN" w:bidi="ar-SA"/>
        </w:rPr>
        <w:t>的现场管理制度要求，遵守国家、行业、地方法律法规，不得违章作业，接收</w:t>
      </w:r>
      <w:r>
        <w:rPr>
          <w:rFonts w:hint="eastAsia" w:cs="Arial"/>
          <w:snapToGrid w:val="0"/>
          <w:kern w:val="2"/>
          <w:sz w:val="24"/>
          <w:szCs w:val="21"/>
          <w:highlight w:val="none"/>
          <w:lang w:val="en-US" w:eastAsia="zh-CN" w:bidi="ar-SA"/>
        </w:rPr>
        <w:t>甲方</w:t>
      </w:r>
      <w:r>
        <w:rPr>
          <w:rFonts w:hint="eastAsia" w:ascii="宋体" w:hAnsi="Arial" w:cs="Arial" w:eastAsiaTheme="minorEastAsia"/>
          <w:snapToGrid w:val="0"/>
          <w:kern w:val="2"/>
          <w:sz w:val="24"/>
          <w:szCs w:val="21"/>
          <w:highlight w:val="none"/>
          <w:lang w:val="en-US" w:eastAsia="zh-CN" w:bidi="ar-SA"/>
        </w:rPr>
        <w:t>的安全教育，出现任何人员安全事故由</w:t>
      </w:r>
      <w:r>
        <w:rPr>
          <w:rFonts w:hint="eastAsia" w:cs="Arial"/>
          <w:snapToGrid w:val="0"/>
          <w:kern w:val="2"/>
          <w:sz w:val="24"/>
          <w:szCs w:val="21"/>
          <w:highlight w:val="none"/>
          <w:lang w:val="en-US" w:eastAsia="zh-CN" w:bidi="ar-SA"/>
        </w:rPr>
        <w:t>乙方</w:t>
      </w:r>
      <w:r>
        <w:rPr>
          <w:rFonts w:hint="eastAsia" w:ascii="宋体" w:hAnsi="Arial" w:cs="Arial" w:eastAsiaTheme="minorEastAsia"/>
          <w:snapToGrid w:val="0"/>
          <w:kern w:val="2"/>
          <w:sz w:val="24"/>
          <w:szCs w:val="21"/>
          <w:highlight w:val="none"/>
          <w:lang w:val="en-US" w:eastAsia="zh-CN" w:bidi="ar-SA"/>
        </w:rPr>
        <w:t>自行承担。</w:t>
      </w:r>
    </w:p>
    <w:p>
      <w:pPr>
        <w:pStyle w:val="7"/>
        <w:ind w:firstLine="480" w:firstLineChars="200"/>
        <w:rPr>
          <w:rFonts w:hint="eastAsia" w:ascii="宋体" w:hAnsi="Arial" w:cs="Arial" w:eastAsiaTheme="minorEastAsia"/>
          <w:snapToGrid w:val="0"/>
          <w:kern w:val="2"/>
          <w:sz w:val="24"/>
          <w:szCs w:val="21"/>
          <w:highlight w:val="none"/>
          <w:lang w:val="en-US" w:eastAsia="zh-CN" w:bidi="ar-SA"/>
        </w:rPr>
      </w:pPr>
      <w:r>
        <w:rPr>
          <w:rFonts w:hint="eastAsia" w:ascii="宋体" w:hAnsi="Arial" w:cs="Arial" w:eastAsiaTheme="minorEastAsia"/>
          <w:snapToGrid w:val="0"/>
          <w:kern w:val="2"/>
          <w:sz w:val="24"/>
          <w:szCs w:val="21"/>
          <w:highlight w:val="none"/>
          <w:lang w:val="en-US" w:eastAsia="zh-CN" w:bidi="ar-SA"/>
        </w:rPr>
        <w:t>7.</w:t>
      </w:r>
      <w:r>
        <w:rPr>
          <w:rFonts w:hint="eastAsia" w:cs="Arial"/>
          <w:snapToGrid w:val="0"/>
          <w:kern w:val="2"/>
          <w:sz w:val="24"/>
          <w:szCs w:val="21"/>
          <w:highlight w:val="none"/>
          <w:lang w:val="en-US" w:eastAsia="zh-CN" w:bidi="ar-SA"/>
        </w:rPr>
        <w:t>乙方</w:t>
      </w:r>
      <w:r>
        <w:rPr>
          <w:rFonts w:hint="eastAsia" w:ascii="宋体" w:hAnsi="Arial" w:cs="Arial" w:eastAsiaTheme="minorEastAsia"/>
          <w:snapToGrid w:val="0"/>
          <w:kern w:val="2"/>
          <w:sz w:val="24"/>
          <w:szCs w:val="21"/>
          <w:highlight w:val="none"/>
          <w:lang w:val="en-US" w:eastAsia="zh-CN" w:bidi="ar-SA"/>
        </w:rPr>
        <w:t>在自备设备专用工具和服务人员的所有劳防用品。</w:t>
      </w:r>
    </w:p>
    <w:p>
      <w:pPr>
        <w:pStyle w:val="7"/>
        <w:ind w:firstLine="480" w:firstLineChars="200"/>
        <w:rPr>
          <w:rFonts w:hint="eastAsia" w:ascii="宋体" w:hAnsi="Arial" w:cs="Arial" w:eastAsiaTheme="minorEastAsia"/>
          <w:snapToGrid w:val="0"/>
          <w:kern w:val="2"/>
          <w:sz w:val="24"/>
          <w:szCs w:val="21"/>
          <w:highlight w:val="none"/>
          <w:lang w:val="en-US" w:eastAsia="zh-CN" w:bidi="ar-SA"/>
        </w:rPr>
      </w:pPr>
      <w:r>
        <w:rPr>
          <w:rFonts w:hint="eastAsia" w:ascii="宋体" w:hAnsi="Arial" w:cs="Arial" w:eastAsiaTheme="minorEastAsia"/>
          <w:snapToGrid w:val="0"/>
          <w:kern w:val="2"/>
          <w:sz w:val="24"/>
          <w:szCs w:val="21"/>
          <w:highlight w:val="none"/>
          <w:lang w:val="en-US" w:eastAsia="zh-CN" w:bidi="ar-SA"/>
        </w:rPr>
        <w:t>8.</w:t>
      </w:r>
      <w:r>
        <w:rPr>
          <w:rFonts w:hint="eastAsia" w:cs="Arial"/>
          <w:snapToGrid w:val="0"/>
          <w:kern w:val="2"/>
          <w:sz w:val="24"/>
          <w:szCs w:val="21"/>
          <w:highlight w:val="none"/>
          <w:lang w:val="en-US" w:eastAsia="zh-CN" w:bidi="ar-SA"/>
        </w:rPr>
        <w:t>乙方</w:t>
      </w:r>
      <w:r>
        <w:rPr>
          <w:rFonts w:hint="eastAsia" w:ascii="宋体" w:hAnsi="Arial" w:cs="Arial" w:eastAsiaTheme="minorEastAsia"/>
          <w:snapToGrid w:val="0"/>
          <w:kern w:val="2"/>
          <w:sz w:val="24"/>
          <w:szCs w:val="21"/>
          <w:highlight w:val="none"/>
          <w:lang w:val="en-US" w:eastAsia="zh-CN" w:bidi="ar-SA"/>
        </w:rPr>
        <w:t>在实施过程中应负责对</w:t>
      </w:r>
      <w:r>
        <w:rPr>
          <w:rFonts w:hint="eastAsia" w:cs="Arial"/>
          <w:snapToGrid w:val="0"/>
          <w:kern w:val="2"/>
          <w:sz w:val="24"/>
          <w:szCs w:val="21"/>
          <w:highlight w:val="none"/>
          <w:lang w:val="en-US" w:eastAsia="zh-CN" w:bidi="ar-SA"/>
        </w:rPr>
        <w:t>甲方</w:t>
      </w:r>
      <w:r>
        <w:rPr>
          <w:rFonts w:hint="eastAsia" w:ascii="宋体" w:hAnsi="Arial" w:cs="Arial" w:eastAsiaTheme="minorEastAsia"/>
          <w:snapToGrid w:val="0"/>
          <w:kern w:val="2"/>
          <w:sz w:val="24"/>
          <w:szCs w:val="21"/>
          <w:highlight w:val="none"/>
          <w:lang w:val="en-US" w:eastAsia="zh-CN" w:bidi="ar-SA"/>
        </w:rPr>
        <w:t>生产场地的保护，与实施区域无关进行必要隔离，若造成损坏应负责修复或赔偿。对实施区域必须做到工完料尽场地清，实施中更换下来的废旧物资应按时堆放至</w:t>
      </w:r>
      <w:r>
        <w:rPr>
          <w:rFonts w:hint="eastAsia" w:cs="Arial"/>
          <w:snapToGrid w:val="0"/>
          <w:kern w:val="2"/>
          <w:sz w:val="24"/>
          <w:szCs w:val="21"/>
          <w:highlight w:val="none"/>
          <w:lang w:val="en-US" w:eastAsia="zh-CN" w:bidi="ar-SA"/>
        </w:rPr>
        <w:t>甲方</w:t>
      </w:r>
      <w:r>
        <w:rPr>
          <w:rFonts w:hint="eastAsia" w:ascii="宋体" w:hAnsi="Arial" w:cs="Arial" w:eastAsiaTheme="minorEastAsia"/>
          <w:snapToGrid w:val="0"/>
          <w:kern w:val="2"/>
          <w:sz w:val="24"/>
          <w:szCs w:val="21"/>
          <w:highlight w:val="none"/>
          <w:lang w:val="en-US" w:eastAsia="zh-CN" w:bidi="ar-SA"/>
        </w:rPr>
        <w:t>指定的相应地点。</w:t>
      </w:r>
    </w:p>
    <w:p>
      <w:pPr>
        <w:pStyle w:val="7"/>
        <w:ind w:firstLine="480" w:firstLineChars="200"/>
        <w:rPr>
          <w:rFonts w:hint="eastAsia" w:ascii="宋体"/>
          <w:highlight w:val="none"/>
          <w:lang w:val="en-US"/>
        </w:rPr>
      </w:pPr>
      <w:r>
        <w:rPr>
          <w:rFonts w:hint="eastAsia"/>
          <w:highlight w:val="none"/>
          <w:lang w:val="en-US" w:eastAsia="zh-CN"/>
        </w:rPr>
        <w:t>9</w:t>
      </w:r>
      <w:r>
        <w:rPr>
          <w:rFonts w:hint="eastAsia"/>
          <w:highlight w:val="none"/>
          <w:lang w:val="en-US"/>
        </w:rPr>
        <w:t>.</w:t>
      </w:r>
      <w:r>
        <w:rPr>
          <w:rFonts w:hint="eastAsia"/>
          <w:highlight w:val="none"/>
          <w:lang w:val="en-US" w:eastAsia="zh-CN"/>
        </w:rPr>
        <w:t>乙方</w:t>
      </w:r>
      <w:r>
        <w:rPr>
          <w:rFonts w:hint="eastAsia"/>
          <w:highlight w:val="none"/>
          <w:lang w:val="en-US"/>
        </w:rPr>
        <w:t>必须满足</w:t>
      </w:r>
      <w:r>
        <w:rPr>
          <w:rFonts w:hint="eastAsia"/>
          <w:highlight w:val="none"/>
          <w:lang w:val="en-US" w:eastAsia="zh-CN"/>
        </w:rPr>
        <w:t>甲方</w:t>
      </w:r>
      <w:r>
        <w:rPr>
          <w:rFonts w:hint="eastAsia"/>
          <w:highlight w:val="none"/>
          <w:lang w:val="en-US"/>
        </w:rPr>
        <w:t>售后服务要求。</w:t>
      </w:r>
      <w:r>
        <w:rPr>
          <w:rFonts w:hint="eastAsia"/>
          <w:highlight w:val="none"/>
          <w:lang w:val="en-US" w:eastAsia="zh-CN"/>
        </w:rPr>
        <w:t>若乙方提供的货物或者服务在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乙方承担质量责任（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乙方</w:t>
      </w:r>
      <w:r>
        <w:rPr>
          <w:rFonts w:hint="eastAsia"/>
          <w:highlight w:val="none"/>
          <w:lang w:val="en-US"/>
        </w:rPr>
        <w:t>须在接到</w:t>
      </w:r>
      <w:r>
        <w:rPr>
          <w:rFonts w:hint="eastAsia"/>
          <w:highlight w:val="none"/>
          <w:lang w:val="en-US" w:eastAsia="zh-CN"/>
        </w:rPr>
        <w:t>甲方</w:t>
      </w:r>
      <w:r>
        <w:rPr>
          <w:rFonts w:hint="eastAsia" w:ascii="宋体"/>
          <w:highlight w:val="none"/>
          <w:lang w:val="en-US"/>
        </w:rPr>
        <w:t>通知后必须</w:t>
      </w:r>
      <w:r>
        <w:rPr>
          <w:rFonts w:hint="eastAsia"/>
          <w:highlight w:val="none"/>
          <w:lang w:val="en-US" w:eastAsia="zh-CN"/>
        </w:rPr>
        <w:t>24</w:t>
      </w:r>
      <w:r>
        <w:rPr>
          <w:rFonts w:hint="eastAsia" w:ascii="宋体"/>
          <w:highlight w:val="none"/>
          <w:lang w:val="en-US"/>
        </w:rPr>
        <w:t>小时内做出书面答复并提供解决方案。若需要派遣技术人员，则应在接到</w:t>
      </w:r>
      <w:r>
        <w:rPr>
          <w:rFonts w:hint="eastAsia"/>
          <w:highlight w:val="none"/>
          <w:lang w:val="en-US" w:eastAsia="zh-CN"/>
        </w:rPr>
        <w:t>甲方</w:t>
      </w:r>
      <w:r>
        <w:rPr>
          <w:rFonts w:hint="eastAsia" w:ascii="宋体"/>
          <w:highlight w:val="none"/>
          <w:lang w:val="en-US"/>
        </w:rPr>
        <w:t>通知后</w:t>
      </w:r>
      <w:r>
        <w:rPr>
          <w:rFonts w:hint="eastAsia"/>
          <w:highlight w:val="none"/>
          <w:lang w:val="en-US" w:eastAsia="zh-CN"/>
        </w:rPr>
        <w:t>，48</w:t>
      </w:r>
      <w:r>
        <w:rPr>
          <w:rFonts w:hint="eastAsia" w:ascii="宋体"/>
          <w:highlight w:val="none"/>
          <w:lang w:val="en-US"/>
        </w:rPr>
        <w:t>小时内派人员到达现场进行免费指导解决问题。</w:t>
      </w:r>
    </w:p>
    <w:p>
      <w:pPr>
        <w:pStyle w:val="7"/>
        <w:ind w:firstLine="480" w:firstLineChars="200"/>
        <w:rPr>
          <w:rFonts w:hint="eastAsia" w:ascii="宋体"/>
          <w:highlight w:val="none"/>
          <w:lang w:val="en-US"/>
        </w:rPr>
      </w:pPr>
      <w:r>
        <w:rPr>
          <w:rFonts w:hint="eastAsia"/>
          <w:highlight w:val="none"/>
          <w:lang w:val="en-US" w:eastAsia="zh-CN"/>
        </w:rPr>
        <w:t>11</w:t>
      </w:r>
      <w:r>
        <w:rPr>
          <w:rFonts w:hint="eastAsia" w:ascii="宋体"/>
          <w:highlight w:val="none"/>
          <w:lang w:val="en-US"/>
        </w:rPr>
        <w:t>.</w:t>
      </w:r>
      <w:r>
        <w:rPr>
          <w:rFonts w:hint="eastAsia"/>
          <w:highlight w:val="none"/>
          <w:lang w:val="en-US" w:eastAsia="zh-CN"/>
        </w:rPr>
        <w:t>甲方</w:t>
      </w:r>
      <w:r>
        <w:rPr>
          <w:rFonts w:hint="eastAsia" w:ascii="宋体"/>
          <w:highlight w:val="none"/>
          <w:lang w:val="en-US"/>
        </w:rPr>
        <w:t>不再对任何售后服务进行付费</w:t>
      </w:r>
      <w:r>
        <w:rPr>
          <w:rFonts w:hint="eastAsia"/>
          <w:highlight w:val="none"/>
          <w:lang w:val="en-US" w:eastAsia="zh-CN"/>
        </w:rPr>
        <w:t>，乙方</w:t>
      </w:r>
      <w:r>
        <w:rPr>
          <w:rFonts w:hint="eastAsia" w:ascii="宋体"/>
          <w:highlight w:val="none"/>
          <w:lang w:val="en-US"/>
        </w:rPr>
        <w:t>派遣人员产生的一切费用由</w:t>
      </w:r>
      <w:r>
        <w:rPr>
          <w:rFonts w:hint="eastAsia"/>
          <w:highlight w:val="none"/>
          <w:lang w:val="en-US" w:eastAsia="zh-CN"/>
        </w:rPr>
        <w:t>乙方</w:t>
      </w:r>
      <w:r>
        <w:rPr>
          <w:rFonts w:hint="eastAsia" w:ascii="宋体"/>
          <w:highlight w:val="none"/>
          <w:lang w:val="en-US"/>
        </w:rPr>
        <w:t>承担。</w:t>
      </w:r>
    </w:p>
    <w:p>
      <w:pPr>
        <w:pStyle w:val="7"/>
        <w:ind w:firstLine="480" w:firstLineChars="200"/>
        <w:rPr>
          <w:rFonts w:hint="eastAsia" w:ascii="宋体"/>
          <w:highlight w:val="none"/>
          <w:lang w:val="en-US"/>
        </w:rPr>
      </w:pPr>
      <w:r>
        <w:rPr>
          <w:rFonts w:hint="eastAsia"/>
          <w:highlight w:val="none"/>
          <w:lang w:val="en-US" w:eastAsia="zh-CN"/>
        </w:rPr>
        <w:t>12</w:t>
      </w:r>
      <w:r>
        <w:rPr>
          <w:rFonts w:hint="eastAsia" w:ascii="宋体"/>
          <w:highlight w:val="none"/>
          <w:lang w:val="en-US"/>
        </w:rPr>
        <w:t>.</w:t>
      </w:r>
      <w:r>
        <w:rPr>
          <w:rFonts w:hint="eastAsia"/>
          <w:color w:val="auto"/>
          <w:highlight w:val="none"/>
          <w:lang w:val="en-US" w:eastAsia="zh-CN"/>
        </w:rPr>
        <w:t>乙方</w:t>
      </w:r>
      <w:r>
        <w:rPr>
          <w:rFonts w:hint="eastAsia"/>
          <w:highlight w:val="none"/>
          <w:lang w:val="en-US" w:eastAsia="zh-CN"/>
        </w:rPr>
        <w:t>提供的货物或者服务</w:t>
      </w:r>
      <w:r>
        <w:rPr>
          <w:rFonts w:hint="eastAsia" w:ascii="宋体"/>
          <w:highlight w:val="none"/>
          <w:lang w:val="en-US"/>
        </w:rPr>
        <w:t>在使用过程中，因质量问题给</w:t>
      </w:r>
      <w:r>
        <w:rPr>
          <w:rFonts w:hint="eastAsia"/>
          <w:highlight w:val="none"/>
          <w:lang w:val="en-US" w:eastAsia="zh-CN"/>
        </w:rPr>
        <w:t>其</w:t>
      </w:r>
      <w:r>
        <w:rPr>
          <w:rFonts w:hint="eastAsia" w:ascii="宋体"/>
          <w:highlight w:val="none"/>
          <w:lang w:val="en-US"/>
        </w:rPr>
        <w:t>他机械设备造成故障或货物损坏，由</w:t>
      </w:r>
      <w:r>
        <w:rPr>
          <w:rFonts w:hint="eastAsia"/>
          <w:highlight w:val="none"/>
          <w:lang w:val="en-US" w:eastAsia="zh-CN"/>
        </w:rPr>
        <w:t>乙方</w:t>
      </w:r>
      <w:r>
        <w:rPr>
          <w:rFonts w:hint="eastAsia" w:ascii="宋体"/>
          <w:highlight w:val="none"/>
          <w:lang w:val="en-US"/>
        </w:rPr>
        <w:t>承担</w:t>
      </w:r>
      <w:r>
        <w:rPr>
          <w:rFonts w:hint="eastAsia"/>
          <w:highlight w:val="none"/>
          <w:lang w:val="en-US" w:eastAsia="zh-CN"/>
        </w:rPr>
        <w:t>甲方</w:t>
      </w:r>
      <w:r>
        <w:rPr>
          <w:rFonts w:hint="eastAsia" w:ascii="宋体"/>
          <w:highlight w:val="none"/>
          <w:lang w:val="en-US"/>
        </w:rPr>
        <w:t>的一切损失，包括直接和间接损失。</w:t>
      </w:r>
    </w:p>
    <w:p>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5"/>
      <w:bookmarkEnd w:id="396"/>
      <w:bookmarkEnd w:id="397"/>
      <w:r>
        <w:rPr>
          <w:rFonts w:hint="eastAsia" w:ascii="宋体" w:hAnsi="宋体" w:cs="宋体"/>
          <w:b/>
          <w:sz w:val="24"/>
          <w:lang w:val="en-US" w:eastAsia="zh-CN"/>
        </w:rPr>
        <w:t>验收方式及要求</w:t>
      </w:r>
    </w:p>
    <w:p>
      <w:pPr>
        <w:pStyle w:val="7"/>
        <w:ind w:firstLine="480" w:firstLineChars="200"/>
        <w:rPr>
          <w:rFonts w:hint="eastAsia" w:ascii="宋体" w:hAnsi="宋体" w:cs="宋体"/>
          <w:sz w:val="24"/>
        </w:rPr>
      </w:pPr>
      <w:r>
        <w:rPr>
          <w:rFonts w:hint="eastAsia" w:ascii="宋体" w:hAnsi="宋体" w:cs="宋体"/>
          <w:sz w:val="24"/>
        </w:rPr>
        <w:t>1.材料验收：板材、零部件及焊接材料应符合设计图纸要求，并具有制造厂的出厂合格证或质量证明书。质量证明书包括材料牌号、炉号、规格、化学成分、力学性能及供货状态等。 若</w:t>
      </w:r>
      <w:r>
        <w:rPr>
          <w:rFonts w:hint="eastAsia" w:hAnsi="宋体" w:cs="宋体"/>
          <w:sz w:val="24"/>
          <w:lang w:eastAsia="zh-CN"/>
        </w:rPr>
        <w:t>甲方</w:t>
      </w:r>
      <w:r>
        <w:rPr>
          <w:rFonts w:hint="eastAsia" w:ascii="宋体" w:hAnsi="宋体" w:cs="宋体"/>
          <w:sz w:val="24"/>
        </w:rPr>
        <w:t>有权对材料材质进行光谱检测，若材质不满足要求的，</w:t>
      </w:r>
      <w:r>
        <w:rPr>
          <w:rFonts w:hint="eastAsia" w:hAnsi="宋体" w:cs="宋体"/>
          <w:sz w:val="24"/>
          <w:lang w:eastAsia="zh-CN"/>
        </w:rPr>
        <w:t>乙方</w:t>
      </w:r>
      <w:r>
        <w:rPr>
          <w:rFonts w:hint="eastAsia" w:ascii="宋体" w:hAnsi="宋体" w:cs="宋体"/>
          <w:sz w:val="24"/>
        </w:rPr>
        <w:t>无条件予以更换至满足要求为止。</w:t>
      </w:r>
    </w:p>
    <w:p>
      <w:pPr>
        <w:pStyle w:val="7"/>
        <w:ind w:firstLine="480" w:firstLineChars="200"/>
        <w:rPr>
          <w:rFonts w:hint="eastAsia" w:ascii="宋体" w:hAnsi="宋体" w:cs="宋体"/>
          <w:sz w:val="24"/>
        </w:rPr>
      </w:pPr>
      <w:r>
        <w:rPr>
          <w:rFonts w:hint="eastAsia" w:ascii="宋体" w:hAnsi="宋体" w:cs="宋体"/>
          <w:sz w:val="24"/>
        </w:rPr>
        <w:t>2.设备在进场时，必须按规定进行检查验收，开箱检验必须由双方有关人员共同进行，并保管好合格证、装箱单和安装使用说明书等资料。如有重大问题，应及时拍照备查。</w:t>
      </w:r>
    </w:p>
    <w:p>
      <w:pPr>
        <w:pStyle w:val="7"/>
        <w:ind w:firstLine="480" w:firstLineChars="200"/>
        <w:rPr>
          <w:rFonts w:hint="eastAsia" w:ascii="宋体" w:hAnsi="宋体" w:cs="宋体"/>
          <w:sz w:val="24"/>
        </w:rPr>
      </w:pPr>
      <w:r>
        <w:rPr>
          <w:rFonts w:hint="eastAsia" w:ascii="宋体" w:hAnsi="宋体" w:cs="宋体"/>
          <w:sz w:val="24"/>
        </w:rPr>
        <w:t>3.定型设备应有产品出厂合格证、说明书、装箱单等资料，材质准确无误，配件齐全，符合设计要求。非标设备应符合设计图纸的技术要术，并应有试验记录、合格证书和出厂合格证。设备检验后应提交有签证的检验记录。</w:t>
      </w:r>
    </w:p>
    <w:p>
      <w:pPr>
        <w:pStyle w:val="7"/>
        <w:ind w:firstLine="480" w:firstLineChars="200"/>
        <w:rPr>
          <w:rFonts w:hint="eastAsia" w:ascii="宋体" w:hAnsi="宋体" w:cs="宋体"/>
          <w:sz w:val="24"/>
        </w:rPr>
      </w:pPr>
      <w:r>
        <w:rPr>
          <w:rFonts w:hint="eastAsia" w:ascii="宋体" w:hAnsi="宋体" w:cs="宋体"/>
          <w:sz w:val="24"/>
        </w:rPr>
        <w:t>4.新设备需进行单机试验，双方共同确认试验结果，试验不合格的设备</w:t>
      </w:r>
      <w:r>
        <w:rPr>
          <w:rFonts w:hint="eastAsia" w:hAnsi="宋体" w:cs="宋体"/>
          <w:sz w:val="24"/>
          <w:lang w:eastAsia="zh-CN"/>
        </w:rPr>
        <w:t>乙方</w:t>
      </w:r>
      <w:r>
        <w:rPr>
          <w:rFonts w:hint="eastAsia" w:ascii="宋体" w:hAnsi="宋体" w:cs="宋体"/>
          <w:sz w:val="24"/>
        </w:rPr>
        <w:t>需要更换或重新安装；</w:t>
      </w:r>
    </w:p>
    <w:p>
      <w:pPr>
        <w:pStyle w:val="7"/>
        <w:ind w:firstLine="480" w:firstLineChars="200"/>
        <w:rPr>
          <w:rFonts w:hint="eastAsia" w:ascii="宋体" w:hAnsi="宋体" w:cs="宋体"/>
          <w:sz w:val="24"/>
        </w:rPr>
      </w:pPr>
      <w:r>
        <w:rPr>
          <w:rFonts w:hint="eastAsia" w:ascii="宋体" w:hAnsi="宋体" w:cs="宋体"/>
          <w:sz w:val="24"/>
        </w:rPr>
        <w:t>5.新设备单机试验合格后，需连续试运行168小时，双方指定人员现场确认试运行结果，</w:t>
      </w:r>
      <w:r>
        <w:rPr>
          <w:rFonts w:hint="eastAsia" w:hAnsi="宋体" w:cs="宋体"/>
          <w:sz w:val="24"/>
          <w:lang w:eastAsia="zh-CN"/>
        </w:rPr>
        <w:t>乙方</w:t>
      </w:r>
      <w:r>
        <w:rPr>
          <w:rFonts w:hint="eastAsia" w:ascii="宋体" w:hAnsi="宋体" w:cs="宋体"/>
          <w:sz w:val="24"/>
        </w:rPr>
        <w:t>提供整体验收报告，试运行期间设备运行正常，满足要求视为验收合格。</w:t>
      </w:r>
    </w:p>
    <w:p>
      <w:pPr>
        <w:pStyle w:val="7"/>
        <w:ind w:firstLine="480" w:firstLineChars="200"/>
        <w:rPr>
          <w:rFonts w:hint="eastAsia" w:ascii="宋体" w:hAnsi="宋体" w:cs="宋体"/>
          <w:sz w:val="24"/>
        </w:rPr>
      </w:pPr>
      <w:r>
        <w:rPr>
          <w:rFonts w:hint="eastAsia" w:ascii="宋体" w:hAnsi="宋体" w:cs="宋体"/>
          <w:sz w:val="24"/>
        </w:rPr>
        <w:t>6.所有新增钢结构及连接处等裸漏位置均需按要求做防腐处理。</w:t>
      </w:r>
    </w:p>
    <w:p>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ind w:firstLine="480" w:firstLineChars="200"/>
        <w:rPr>
          <w:rFonts w:hint="eastAsia" w:ascii="宋体" w:hAnsi="宋体" w:cs="宋体" w:eastAsiaTheme="minorEastAsia"/>
          <w:sz w:val="24"/>
          <w:u w:val="single"/>
          <w:lang w:eastAsia="zh-CN"/>
        </w:rPr>
      </w:pPr>
      <w:r>
        <w:rPr>
          <w:rFonts w:hint="eastAsia" w:hAnsi="宋体" w:cs="宋体"/>
          <w:sz w:val="24"/>
          <w:u w:val="single"/>
          <w:lang w:eastAsia="zh-CN"/>
        </w:rPr>
        <w:t>乙方</w:t>
      </w:r>
      <w:r>
        <w:rPr>
          <w:rFonts w:hint="eastAsia" w:ascii="宋体" w:hAnsi="宋体" w:cs="宋体"/>
          <w:sz w:val="24"/>
          <w:u w:val="single"/>
        </w:rPr>
        <w:t>提供整体验收报告</w:t>
      </w:r>
      <w:r>
        <w:rPr>
          <w:rFonts w:hint="eastAsia" w:hAnsi="宋体" w:cs="宋体"/>
          <w:sz w:val="24"/>
          <w:u w:val="single"/>
          <w:lang w:eastAsia="zh-CN"/>
        </w:rPr>
        <w:t>。</w:t>
      </w:r>
    </w:p>
    <w:p>
      <w:pPr>
        <w:pStyle w:val="7"/>
        <w:ind w:firstLine="482" w:firstLineChars="200"/>
        <w:rPr>
          <w:rFonts w:eastAsia="宋体"/>
          <w:b/>
        </w:rPr>
      </w:pPr>
      <w:r>
        <w:rPr>
          <w:rFonts w:hint="eastAsia" w:hAnsi="宋体"/>
          <w:b/>
          <w:lang w:val="en-US"/>
        </w:rPr>
        <w:t>八、</w:t>
      </w:r>
      <w:r>
        <w:rPr>
          <w:rFonts w:hint="eastAsia"/>
          <w:b/>
        </w:rPr>
        <w:t>履约保证金</w:t>
      </w:r>
    </w:p>
    <w:p>
      <w:pPr>
        <w:pStyle w:val="26"/>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pPr>
        <w:numPr>
          <w:ilvl w:val="0"/>
          <w:numId w:val="0"/>
        </w:numPr>
        <w:spacing w:line="360" w:lineRule="auto"/>
        <w:ind w:firstLine="480" w:firstLineChars="200"/>
        <w:outlineLvl w:val="0"/>
        <w:rPr>
          <w:rFonts w:hint="default" w:ascii="宋体" w:hAnsi="宋体" w:cs="宋体"/>
          <w:color w:val="auto"/>
          <w:kern w:val="0"/>
          <w:sz w:val="24"/>
          <w:u w:val="none"/>
        </w:rPr>
      </w:pPr>
      <w:r>
        <w:rPr>
          <w:rFonts w:hint="eastAsia" w:ascii="宋体" w:hAnsi="宋体" w:cs="宋体"/>
          <w:color w:val="auto"/>
          <w:kern w:val="0"/>
          <w:sz w:val="24"/>
          <w:u w:val="none"/>
          <w:lang w:val="en-US" w:eastAsia="zh-CN"/>
        </w:rPr>
        <w:t>5.</w:t>
      </w:r>
      <w:r>
        <w:rPr>
          <w:rFonts w:hint="eastAsia" w:ascii="宋体" w:hAnsi="宋体" w:cs="宋体"/>
          <w:color w:val="auto"/>
          <w:kern w:val="0"/>
          <w:sz w:val="24"/>
          <w:u w:val="none"/>
        </w:rPr>
        <w:t>甲方在</w:t>
      </w:r>
      <w:r>
        <w:rPr>
          <w:rFonts w:hint="eastAsia" w:ascii="宋体" w:hAnsi="宋体" w:cs="宋体"/>
          <w:color w:val="auto"/>
          <w:kern w:val="0"/>
          <w:sz w:val="24"/>
          <w:u w:val="none"/>
          <w:lang w:val="en-US" w:eastAsia="zh-CN"/>
        </w:rPr>
        <w:t>本合同</w:t>
      </w:r>
      <w:r>
        <w:rPr>
          <w:rFonts w:hint="eastAsia" w:ascii="宋体" w:hAnsi="宋体" w:cs="宋体"/>
          <w:color w:val="auto"/>
          <w:kern w:val="0"/>
          <w:sz w:val="24"/>
          <w:highlight w:val="none"/>
          <w:u w:val="single"/>
          <w:lang w:val="en-US" w:eastAsia="zh-CN"/>
        </w:rPr>
        <w:t>质保期结束</w:t>
      </w:r>
      <w:r>
        <w:rPr>
          <w:rFonts w:hint="eastAsia" w:ascii="宋体" w:hAnsi="宋体" w:cs="宋体"/>
          <w:color w:val="auto"/>
          <w:kern w:val="0"/>
          <w:sz w:val="24"/>
          <w:highlight w:val="none"/>
          <w:u w:val="none"/>
          <w:lang w:val="en-US" w:eastAsia="zh-CN"/>
        </w:rPr>
        <w:t>并收到乙方履约保证金退还申请书原件后</w:t>
      </w:r>
      <w:r>
        <w:rPr>
          <w:rFonts w:hint="eastAsia" w:ascii="宋体" w:hAnsi="宋体" w:cs="宋体"/>
          <w:color w:val="auto"/>
          <w:kern w:val="0"/>
          <w:sz w:val="24"/>
          <w:highlight w:val="none"/>
          <w:u w:val="none"/>
        </w:rPr>
        <w:t xml:space="preserve"> 30个工作</w:t>
      </w:r>
      <w:r>
        <w:rPr>
          <w:rFonts w:hint="eastAsia" w:ascii="宋体" w:hAnsi="宋体" w:cs="宋体"/>
          <w:color w:val="auto"/>
          <w:kern w:val="0"/>
          <w:sz w:val="24"/>
          <w:u w:val="none"/>
        </w:rPr>
        <w:t>日内将履约保证金</w:t>
      </w:r>
      <w:r>
        <w:rPr>
          <w:rFonts w:hint="eastAsia" w:ascii="宋体" w:hAnsi="宋体" w:cs="宋体"/>
          <w:color w:val="auto"/>
          <w:kern w:val="0"/>
          <w:sz w:val="24"/>
          <w:u w:val="none"/>
          <w:lang w:val="en-US" w:eastAsia="zh-CN"/>
        </w:rPr>
        <w:t>余额</w:t>
      </w:r>
      <w:r>
        <w:rPr>
          <w:rFonts w:hint="eastAsia" w:ascii="宋体" w:hAnsi="宋体" w:cs="宋体"/>
          <w:color w:val="auto"/>
          <w:kern w:val="0"/>
          <w:sz w:val="24"/>
          <w:u w:val="none"/>
        </w:rPr>
        <w:t>无息退还乙方。</w:t>
      </w:r>
    </w:p>
    <w:p>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2"/>
    <w:bookmarkEnd w:id="393"/>
    <w:bookmarkEnd w:id="394"/>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6"/>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6"/>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6"/>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6"/>
        <w:spacing w:before="0" w:beforeAutospacing="0" w:after="0" w:afterAutospacing="0" w:line="360" w:lineRule="auto"/>
        <w:ind w:firstLine="480"/>
        <w:rPr>
          <w:b/>
          <w:bCs/>
        </w:rPr>
      </w:pPr>
      <w:r>
        <w:rPr>
          <w:rFonts w:hint="eastAsia"/>
          <w:b/>
          <w:bCs/>
        </w:rPr>
        <w:t>十、资金支付</w:t>
      </w:r>
    </w:p>
    <w:p>
      <w:pPr>
        <w:pStyle w:val="26"/>
        <w:spacing w:before="0" w:beforeAutospacing="0" w:after="0" w:afterAutospacing="0" w:line="360" w:lineRule="auto"/>
        <w:ind w:firstLine="480"/>
      </w:pPr>
      <w:bookmarkStart w:id="398" w:name="_Toc32071"/>
      <w:bookmarkStart w:id="399" w:name="_Toc19304"/>
      <w:bookmarkStart w:id="400" w:name="_Toc2846"/>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pPr>
        <w:pStyle w:val="26"/>
        <w:spacing w:before="0" w:beforeAutospacing="0" w:after="0" w:afterAutospacing="0" w:line="360" w:lineRule="auto"/>
        <w:ind w:firstLine="480"/>
      </w:pPr>
      <w:r>
        <w:rPr>
          <w:rFonts w:hint="eastAsia"/>
        </w:rPr>
        <w:t>2.本合同</w:t>
      </w:r>
      <w:r>
        <w:rPr>
          <w:rFonts w:hint="eastAsia"/>
          <w:lang w:val="en-US" w:eastAsia="zh-CN"/>
        </w:rPr>
        <w:t>质保期限至验收合格后</w:t>
      </w:r>
      <w:r>
        <w:rPr>
          <w:rFonts w:hint="eastAsia"/>
          <w:u w:val="single"/>
          <w:lang w:val="en-US" w:eastAsia="zh-CN"/>
        </w:rPr>
        <w:t>12个月</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pStyle w:val="26"/>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b/>
          <w:bCs/>
          <w:i/>
          <w:iCs/>
          <w:u w:val="single"/>
          <w:lang w:val="en-US" w:eastAsia="zh-CN"/>
        </w:rPr>
        <w:t xml:space="preserve">  </w:t>
      </w:r>
      <w:r>
        <w:rPr>
          <w:rFonts w:hint="eastAsia"/>
          <w:u w:val="single"/>
        </w:rPr>
        <w:t xml:space="preserve"> </w:t>
      </w:r>
      <w:r>
        <w:rPr>
          <w:rFonts w:hint="eastAsia"/>
        </w:rPr>
        <w:t>%；</w:t>
      </w:r>
    </w:p>
    <w:p>
      <w:pPr>
        <w:pStyle w:val="26"/>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pPr>
        <w:pStyle w:val="26"/>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eastAsia="zh-CN"/>
        </w:rPr>
        <w:t>（</w:t>
      </w:r>
      <w:r>
        <w:rPr>
          <w:rFonts w:hint="eastAsia"/>
          <w:u w:val="single"/>
          <w:lang w:val="en-US" w:eastAsia="zh-CN"/>
        </w:rPr>
        <w:t>3</w:t>
      </w:r>
      <w:r>
        <w:rPr>
          <w:rFonts w:hint="eastAsia"/>
          <w:u w:val="single"/>
          <w:lang w:eastAsia="zh-CN"/>
        </w:rPr>
        <w:t>）</w:t>
      </w:r>
      <w:r>
        <w:rPr>
          <w:rFonts w:hint="eastAsia"/>
          <w:u w:val="single"/>
        </w:rPr>
        <w:t xml:space="preserve">  </w:t>
      </w:r>
      <w:r>
        <w:rPr>
          <w:rFonts w:hint="eastAsia"/>
        </w:rPr>
        <w:t>条款规定：</w:t>
      </w:r>
    </w:p>
    <w:bookmarkEnd w:id="398"/>
    <w:bookmarkEnd w:id="399"/>
    <w:bookmarkEnd w:id="400"/>
    <w:p>
      <w:pPr>
        <w:pStyle w:val="26"/>
        <w:spacing w:before="0" w:beforeAutospacing="0" w:after="0" w:afterAutospacing="0" w:line="360" w:lineRule="auto"/>
        <w:ind w:firstLine="480"/>
        <w:rPr>
          <w:rFonts w:hint="eastAsia"/>
          <w:u w:val="single"/>
        </w:rPr>
      </w:pPr>
      <w:bookmarkStart w:id="401" w:name="_Toc19554"/>
      <w:bookmarkStart w:id="402" w:name="_Toc21423"/>
      <w:bookmarkStart w:id="403" w:name="_Toc27250"/>
      <w:r>
        <w:rPr>
          <w:rFonts w:hint="eastAsia"/>
          <w:u w:val="single"/>
        </w:rPr>
        <w:t>（3）一次性付款，经甲方验收合格后，甲方收到乙方提供的增值税专用发票后，甲方在本合同约定时间内完成支付全部货款</w:t>
      </w:r>
      <w:r>
        <w:rPr>
          <w:rFonts w:hint="eastAsia"/>
          <w:u w:val="single"/>
          <w:lang w:eastAsia="zh-CN"/>
        </w:rPr>
        <w:t>（</w:t>
      </w:r>
      <w:r>
        <w:rPr>
          <w:rFonts w:hint="eastAsia"/>
          <w:u w:val="single"/>
          <w:lang w:val="en-US" w:eastAsia="zh-CN"/>
        </w:rPr>
        <w:t>但扣留的质保金除外）</w:t>
      </w:r>
      <w:r>
        <w:rPr>
          <w:rFonts w:hint="eastAsia"/>
          <w:u w:val="single"/>
        </w:rPr>
        <w:t xml:space="preserve">。  </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401"/>
      <w:bookmarkEnd w:id="402"/>
      <w:bookmarkEnd w:id="403"/>
    </w:p>
    <w:p>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  A线进料系统改造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w:t>
      </w:r>
      <w:r>
        <w:rPr>
          <w:rFonts w:hint="eastAsia" w:ascii="宋体" w:hAnsi="宋体" w:cs="宋体"/>
          <w:sz w:val="24"/>
          <w:u w:val="single"/>
          <w:lang w:eastAsia="zh-CN"/>
        </w:rPr>
        <w:t>□</w:t>
      </w:r>
      <w:r>
        <w:rPr>
          <w:rFonts w:hint="eastAsia" w:ascii="宋体" w:hAnsi="宋体" w:cs="宋体"/>
          <w:sz w:val="24"/>
          <w:u w:val="single"/>
        </w:rPr>
        <w:t>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w:t>
      </w:r>
      <w:r>
        <w:rPr>
          <w:rFonts w:hint="eastAsia" w:ascii="宋体" w:hAnsi="宋体" w:cs="宋体"/>
          <w:b/>
          <w:bCs/>
          <w:sz w:val="24"/>
          <w:u w:val="single"/>
          <w:lang w:val="en-US" w:eastAsia="zh-CN"/>
        </w:rPr>
        <w:t>3</w:t>
      </w:r>
      <w:r>
        <w:rPr>
          <w:rFonts w:hint="eastAsia" w:ascii="宋体" w:hAnsi="宋体" w:cs="宋体"/>
          <w:sz w:val="24"/>
          <w:u w:val="single"/>
        </w:rPr>
        <w:t xml:space="preserve">  </w:t>
      </w:r>
      <w:r>
        <w:rPr>
          <w:rFonts w:hint="eastAsia" w:ascii="宋体" w:hAnsi="宋体" w:cs="宋体"/>
          <w:sz w:val="24"/>
        </w:rPr>
        <w:t>%计算；</w:t>
      </w:r>
    </w:p>
    <w:p>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金甲方有权优先从履约保证金扣除，不足部分从货款中扣除；若无履约保证金的，甲方有权直接从货款中扣除；</w:t>
      </w:r>
    </w:p>
    <w:p>
      <w:pPr>
        <w:pStyle w:val="7"/>
        <w:spacing w:line="360" w:lineRule="auto"/>
        <w:ind w:right="-420" w:rightChars="-200" w:firstLine="480" w:firstLineChars="200"/>
        <w:rPr>
          <w:u w:val="single"/>
        </w:rPr>
      </w:pPr>
      <w:r>
        <w:rPr>
          <w:rFonts w:hint="eastAsia" w:ascii="宋体" w:hAnsi="宋体" w:cs="宋体"/>
          <w:sz w:val="24"/>
          <w:u w:val="single"/>
        </w:rPr>
        <w:t>（</w:t>
      </w:r>
      <w:r>
        <w:rPr>
          <w:rFonts w:hint="eastAsia" w:hAnsi="宋体" w:cs="宋体"/>
          <w:sz w:val="24"/>
          <w:u w:val="single"/>
          <w:lang w:val="en-US" w:eastAsia="zh-CN"/>
        </w:rPr>
        <w:t>3</w:t>
      </w:r>
      <w:r>
        <w:rPr>
          <w:rFonts w:hint="eastAsia" w:ascii="宋体" w:hAnsi="宋体" w:cs="宋体"/>
          <w:sz w:val="24"/>
          <w:u w:val="single"/>
        </w:rPr>
        <w:t>）</w:t>
      </w:r>
      <w:r>
        <w:rPr>
          <w:rFonts w:hint="eastAsia"/>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pPr>
        <w:pStyle w:val="7"/>
        <w:ind w:firstLine="480" w:firstLineChars="200"/>
        <w:rPr>
          <w:rFonts w:hint="eastAsia" w:ascii="宋体" w:hAnsi="宋体" w:cs="宋体" w:eastAsiaTheme="minorEastAsia"/>
          <w:snapToGrid/>
          <w:kern w:val="2"/>
          <w:sz w:val="24"/>
          <w:szCs w:val="24"/>
          <w:lang w:val="en-US" w:eastAsia="zh-CN" w:bidi="ar-SA"/>
        </w:rPr>
      </w:pPr>
      <w:bookmarkStart w:id="404" w:name="_Toc16021"/>
      <w:bookmarkStart w:id="405" w:name="_Toc28375"/>
      <w:bookmarkStart w:id="406" w:name="_Toc15583"/>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cs="宋体" w:eastAsiaTheme="minorEastAsia"/>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cs="宋体" w:eastAsiaTheme="minorEastAsia"/>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pPr>
        <w:pStyle w:val="8"/>
        <w:rPr>
          <w:rFonts w:hint="default"/>
          <w:lang w:val="en-US"/>
        </w:rPr>
      </w:pPr>
      <w:r>
        <w:rPr>
          <w:rFonts w:hint="eastAsia" w:hAnsi="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4"/>
      <w:bookmarkEnd w:id="405"/>
      <w:bookmarkEnd w:id="406"/>
    </w:p>
    <w:p>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7" w:name="_Toc11173"/>
      <w:bookmarkStart w:id="408" w:name="_Toc15322"/>
      <w:bookmarkStart w:id="409" w:name="_Toc7245"/>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7"/>
    <w:bookmarkEnd w:id="408"/>
    <w:bookmarkEnd w:id="409"/>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5"/>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pPr>
        <w:pStyle w:val="10"/>
        <w:rPr>
          <w:rFonts w:ascii="宋体" w:hAnsi="宋体" w:cs="宋体"/>
          <w:b/>
          <w:szCs w:val="24"/>
        </w:rPr>
      </w:pPr>
    </w:p>
    <w:p>
      <w:pPr>
        <w:pStyle w:val="10"/>
        <w:rPr>
          <w:rFonts w:ascii="宋体" w:hAnsi="宋体" w:cs="宋体"/>
          <w:b/>
          <w:szCs w:val="24"/>
        </w:rPr>
      </w:pPr>
    </w:p>
    <w:p>
      <w:pPr>
        <w:pStyle w:val="10"/>
        <w:rPr>
          <w:rFonts w:ascii="宋体" w:hAnsi="宋体" w:cs="宋体"/>
          <w:b/>
          <w:szCs w:val="24"/>
        </w:rPr>
      </w:pPr>
    </w:p>
    <w:p>
      <w:pPr>
        <w:pStyle w:val="10"/>
        <w:rPr>
          <w:rFonts w:ascii="宋体" w:hAnsi="宋体" w:cs="宋体"/>
          <w:b/>
          <w:szCs w:val="24"/>
        </w:rPr>
      </w:pPr>
    </w:p>
    <w:p>
      <w:pPr>
        <w:pStyle w:val="10"/>
        <w:rPr>
          <w:rFonts w:ascii="宋体" w:hAnsi="宋体" w:cs="宋体"/>
          <w:b/>
          <w:szCs w:val="24"/>
        </w:rPr>
      </w:pPr>
    </w:p>
    <w:p>
      <w:pPr>
        <w:pStyle w:val="10"/>
        <w:rPr>
          <w:rFonts w:ascii="宋体" w:hAnsi="宋体" w:cs="宋体"/>
          <w:b/>
          <w:szCs w:val="24"/>
        </w:rPr>
      </w:pPr>
    </w:p>
    <w:p>
      <w:pPr>
        <w:pStyle w:val="10"/>
        <w:rPr>
          <w:rFonts w:ascii="宋体" w:hAnsi="宋体" w:cs="宋体"/>
          <w:b/>
          <w:szCs w:val="24"/>
        </w:rPr>
      </w:pPr>
    </w:p>
    <w:p>
      <w:pPr>
        <w:pStyle w:val="10"/>
        <w:rPr>
          <w:rFonts w:ascii="宋体" w:hAnsi="宋体" w:cs="宋体"/>
          <w:b/>
          <w:szCs w:val="24"/>
        </w:rPr>
      </w:pPr>
    </w:p>
    <w:p>
      <w:pPr>
        <w:pStyle w:val="10"/>
        <w:rPr>
          <w:rFonts w:ascii="宋体" w:hAnsi="宋体" w:cs="宋体"/>
          <w:b/>
          <w:szCs w:val="24"/>
        </w:rPr>
      </w:pPr>
    </w:p>
    <w:p>
      <w:pPr>
        <w:pStyle w:val="10"/>
        <w:rPr>
          <w:rFonts w:ascii="宋体" w:hAnsi="宋体" w:cs="宋体"/>
          <w:b/>
          <w:szCs w:val="24"/>
        </w:rPr>
      </w:pPr>
    </w:p>
    <w:p>
      <w:pPr>
        <w:pStyle w:val="10"/>
        <w:rPr>
          <w:rFonts w:ascii="宋体" w:hAnsi="宋体" w:cs="宋体"/>
          <w:b/>
          <w:szCs w:val="24"/>
        </w:rPr>
      </w:pPr>
    </w:p>
    <w:p>
      <w:pPr>
        <w:pStyle w:val="10"/>
        <w:rPr>
          <w:rFonts w:ascii="宋体" w:hAnsi="宋体" w:cs="宋体"/>
          <w:b/>
          <w:szCs w:val="24"/>
        </w:rPr>
      </w:pPr>
    </w:p>
    <w:p>
      <w:pPr>
        <w:pStyle w:val="10"/>
        <w:rPr>
          <w:rFonts w:ascii="宋体" w:hAnsi="宋体" w:cs="宋体"/>
          <w:b/>
          <w:szCs w:val="24"/>
        </w:rPr>
      </w:pPr>
    </w:p>
    <w:p>
      <w:pPr>
        <w:pStyle w:val="10"/>
        <w:rPr>
          <w:rFonts w:ascii="宋体" w:hAnsi="宋体" w:cs="宋体"/>
          <w:b/>
          <w:szCs w:val="24"/>
        </w:rPr>
      </w:pPr>
    </w:p>
    <w:p>
      <w:pPr>
        <w:pStyle w:val="10"/>
        <w:rPr>
          <w:rFonts w:ascii="宋体" w:hAnsi="宋体" w:cs="宋体"/>
          <w:b/>
          <w:szCs w:val="24"/>
        </w:rPr>
      </w:pPr>
    </w:p>
    <w:p>
      <w:pPr>
        <w:pStyle w:val="10"/>
        <w:rPr>
          <w:rFonts w:ascii="宋体" w:hAnsi="宋体" w:cs="宋体"/>
          <w:b/>
          <w:szCs w:val="24"/>
        </w:rPr>
      </w:pPr>
    </w:p>
    <w:p>
      <w:pPr>
        <w:pStyle w:val="10"/>
        <w:rPr>
          <w:rFonts w:ascii="宋体" w:hAnsi="宋体" w:cs="宋体"/>
          <w:b/>
          <w:szCs w:val="24"/>
        </w:rPr>
      </w:pPr>
    </w:p>
    <w:p>
      <w:pPr>
        <w:pStyle w:val="10"/>
        <w:rPr>
          <w:rFonts w:ascii="宋体" w:hAnsi="宋体" w:cs="宋体"/>
          <w:b/>
          <w:szCs w:val="24"/>
        </w:rPr>
      </w:pPr>
    </w:p>
    <w:p>
      <w:pPr>
        <w:pStyle w:val="10"/>
        <w:rPr>
          <w:rFonts w:ascii="宋体" w:hAnsi="宋体" w:cs="宋体"/>
          <w:b/>
          <w:szCs w:val="24"/>
        </w:rPr>
      </w:pPr>
    </w:p>
    <w:p>
      <w:pPr>
        <w:pStyle w:val="10"/>
        <w:rPr>
          <w:rFonts w:ascii="宋体" w:hAnsi="宋体" w:cs="宋体"/>
          <w:b/>
          <w:szCs w:val="24"/>
        </w:rPr>
      </w:pPr>
    </w:p>
    <w:p>
      <w:pPr>
        <w:pStyle w:val="10"/>
        <w:rPr>
          <w:rFonts w:ascii="宋体" w:hAnsi="宋体" w:cs="宋体"/>
          <w:b/>
          <w:szCs w:val="24"/>
        </w:rPr>
      </w:pPr>
    </w:p>
    <w:p>
      <w:pPr>
        <w:pStyle w:val="25"/>
        <w:ind w:left="0" w:leftChars="0" w:firstLine="0" w:firstLineChars="0"/>
        <w:jc w:val="center"/>
        <w:rPr>
          <w:rFonts w:hint="eastAsia" w:ascii="宋体" w:hAnsi="宋体" w:cs="宋体"/>
          <w:b/>
          <w:szCs w:val="24"/>
        </w:rPr>
      </w:pPr>
    </w:p>
    <w:p>
      <w:pPr>
        <w:pStyle w:val="25"/>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10" w:name="_Ref467378404"/>
      <w:bookmarkStart w:id="411" w:name="_Toc487900349"/>
      <w:bookmarkStart w:id="412" w:name="_Ref467379109"/>
      <w:bookmarkStart w:id="413" w:name="_Ref467379101"/>
      <w:bookmarkStart w:id="414" w:name="_Toc19614"/>
      <w:bookmarkStart w:id="415" w:name="_Ref467379094"/>
      <w:bookmarkStart w:id="416" w:name="_Toc259093669"/>
      <w:bookmarkStart w:id="417" w:name="_Ref467379205"/>
      <w:bookmarkStart w:id="418" w:name="_Ref467379214"/>
      <w:bookmarkStart w:id="419" w:name="_Toc279701240"/>
      <w:bookmarkStart w:id="420" w:name="_Ref467378499"/>
      <w:bookmarkStart w:id="421" w:name="_Ref467378463"/>
      <w:bookmarkStart w:id="422" w:name="_Toc16917"/>
      <w:bookmarkStart w:id="423" w:name="_Ref467379225"/>
      <w:bookmarkStart w:id="424" w:name="_Toc28763"/>
      <w:bookmarkStart w:id="425" w:name="_Ref467379195"/>
      <w:r>
        <w:rPr>
          <w:rFonts w:hint="eastAsia" w:ascii="宋体" w:hAnsi="宋体" w:cs="宋体"/>
          <w:b/>
          <w:sz w:val="24"/>
        </w:rPr>
        <w:t>一、 定义</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6" w:name="_Ref467378840"/>
      <w:r>
        <w:rPr>
          <w:rFonts w:hint="eastAsia" w:ascii="宋体" w:hAnsi="宋体" w:cs="宋体"/>
          <w:sz w:val="24"/>
        </w:rPr>
        <w:t>4. “甲方”系指与中标或成交供应商签署合同的采购人</w:t>
      </w:r>
      <w:bookmarkEnd w:id="426"/>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7" w:name="_Ref467379400"/>
      <w:r>
        <w:rPr>
          <w:rFonts w:hint="eastAsia" w:ascii="宋体" w:hAnsi="宋体" w:cs="宋体"/>
          <w:sz w:val="24"/>
        </w:rPr>
        <w:t>5.“乙方”系指根据合同约定交付货物的中标或成交供应商</w:t>
      </w:r>
      <w:bookmarkEnd w:id="427"/>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hint="eastAsia" w:ascii="宋体" w:hAnsi="宋体" w:cs="宋体"/>
          <w:sz w:val="24"/>
        </w:rPr>
      </w:pPr>
      <w:bookmarkStart w:id="428" w:name="_Ref467379436"/>
      <w:r>
        <w:rPr>
          <w:rFonts w:hint="eastAsia" w:ascii="宋体" w:hAnsi="宋体" w:cs="宋体"/>
          <w:sz w:val="24"/>
        </w:rPr>
        <w:t>6.“现场”系指合同约定货物将要运至或者安装的地点。</w:t>
      </w:r>
      <w:bookmarkEnd w:id="428"/>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pPr>
        <w:spacing w:line="360" w:lineRule="auto"/>
        <w:ind w:firstLine="482" w:firstLineChars="200"/>
        <w:outlineLvl w:val="0"/>
        <w:rPr>
          <w:rFonts w:ascii="宋体" w:hAnsi="宋体" w:cs="宋体"/>
          <w:b/>
          <w:sz w:val="24"/>
        </w:rPr>
      </w:pPr>
      <w:bookmarkStart w:id="429" w:name="_Toc32504"/>
      <w:bookmarkStart w:id="430" w:name="_Toc259093670"/>
      <w:bookmarkStart w:id="431" w:name="_Toc279701241"/>
      <w:bookmarkStart w:id="432" w:name="_Toc13336"/>
      <w:bookmarkStart w:id="433" w:name="_Toc27635"/>
      <w:bookmarkStart w:id="434" w:name="_Toc487900350"/>
      <w:r>
        <w:rPr>
          <w:rFonts w:hint="eastAsia" w:ascii="宋体" w:hAnsi="宋体" w:cs="宋体"/>
          <w:b/>
          <w:sz w:val="24"/>
        </w:rPr>
        <w:t>二、技术规范</w:t>
      </w:r>
      <w:bookmarkEnd w:id="429"/>
      <w:bookmarkEnd w:id="430"/>
      <w:bookmarkEnd w:id="431"/>
      <w:bookmarkEnd w:id="432"/>
      <w:bookmarkEnd w:id="433"/>
      <w:bookmarkEnd w:id="434"/>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5" w:name="_Toc31634"/>
      <w:bookmarkStart w:id="436" w:name="_Toc259093671"/>
      <w:bookmarkStart w:id="437" w:name="_Toc27853"/>
      <w:bookmarkStart w:id="438" w:name="_Toc9829"/>
      <w:bookmarkStart w:id="439" w:name="_Toc279701242"/>
      <w:bookmarkStart w:id="440" w:name="_Toc487900351"/>
      <w:r>
        <w:rPr>
          <w:rFonts w:hint="eastAsia" w:ascii="宋体" w:hAnsi="宋体" w:cs="宋体"/>
          <w:b/>
          <w:sz w:val="24"/>
        </w:rPr>
        <w:t>三、知识产权</w:t>
      </w:r>
      <w:bookmarkEnd w:id="435"/>
      <w:bookmarkEnd w:id="436"/>
      <w:bookmarkEnd w:id="437"/>
      <w:bookmarkEnd w:id="438"/>
      <w:bookmarkEnd w:id="439"/>
      <w:bookmarkEnd w:id="440"/>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41" w:name="_Toc4194"/>
      <w:bookmarkStart w:id="442" w:name="_Toc11932"/>
      <w:bookmarkStart w:id="443" w:name="_Toc29149"/>
      <w:r>
        <w:rPr>
          <w:rFonts w:hint="eastAsia" w:ascii="宋体" w:hAnsi="宋体" w:cs="宋体"/>
          <w:b/>
          <w:sz w:val="24"/>
        </w:rPr>
        <w:t>四、装运包装</w:t>
      </w:r>
      <w:bookmarkEnd w:id="441"/>
      <w:bookmarkEnd w:id="442"/>
      <w:bookmarkEnd w:id="443"/>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4" w:name="_Toc30272"/>
      <w:bookmarkStart w:id="445" w:name="_Toc19074"/>
      <w:bookmarkStart w:id="446" w:name="_Toc26182"/>
      <w:r>
        <w:rPr>
          <w:rFonts w:hint="eastAsia" w:ascii="宋体" w:hAnsi="宋体" w:cs="宋体"/>
          <w:b/>
          <w:sz w:val="24"/>
        </w:rPr>
        <w:t>五、 履约检查和问题反馈</w:t>
      </w:r>
      <w:bookmarkEnd w:id="444"/>
      <w:bookmarkEnd w:id="445"/>
      <w:bookmarkEnd w:id="446"/>
    </w:p>
    <w:p>
      <w:pPr>
        <w:spacing w:line="360" w:lineRule="auto"/>
        <w:ind w:firstLine="480" w:firstLineChars="200"/>
        <w:rPr>
          <w:rFonts w:ascii="宋体" w:hAnsi="宋体" w:cs="宋体"/>
          <w:sz w:val="24"/>
        </w:rPr>
      </w:pPr>
      <w:bookmarkStart w:id="447" w:name="_Toc186431854"/>
      <w:bookmarkStart w:id="448" w:name="_Ref467379793"/>
      <w:bookmarkStart w:id="449" w:name="_Ref467379807"/>
      <w:bookmarkStart w:id="450" w:name="_Toc279701247"/>
      <w:bookmarkStart w:id="451" w:name="_Toc259093676"/>
      <w:bookmarkStart w:id="452" w:name="_Toc48790035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7"/>
      <w:bookmarkStart w:id="453" w:name="_Toc186431855"/>
      <w:r>
        <w:rPr>
          <w:rFonts w:hint="eastAsia" w:ascii="宋体" w:hAnsi="宋体" w:cs="宋体"/>
          <w:sz w:val="24"/>
        </w:rPr>
        <w:t>。</w:t>
      </w:r>
    </w:p>
    <w:bookmarkEnd w:id="448"/>
    <w:bookmarkEnd w:id="449"/>
    <w:bookmarkEnd w:id="450"/>
    <w:bookmarkEnd w:id="451"/>
    <w:bookmarkEnd w:id="452"/>
    <w:bookmarkEnd w:id="453"/>
    <w:p>
      <w:pPr>
        <w:spacing w:line="360" w:lineRule="auto"/>
        <w:ind w:firstLine="482" w:firstLineChars="200"/>
        <w:outlineLvl w:val="0"/>
        <w:rPr>
          <w:rFonts w:ascii="宋体" w:hAnsi="宋体" w:cs="宋体"/>
          <w:b/>
          <w:sz w:val="24"/>
        </w:rPr>
      </w:pPr>
      <w:bookmarkStart w:id="454" w:name="_Toc487900358"/>
      <w:bookmarkStart w:id="455" w:name="_Toc259093677"/>
      <w:bookmarkStart w:id="456" w:name="_Ref467379923"/>
      <w:bookmarkStart w:id="457" w:name="_Toc279701248"/>
      <w:bookmarkStart w:id="458" w:name="_Ref467379852"/>
      <w:bookmarkStart w:id="459" w:name="_Ref467379863"/>
      <w:bookmarkStart w:id="460" w:name="_Toc16110"/>
      <w:bookmarkStart w:id="461" w:name="_Toc774"/>
      <w:bookmarkStart w:id="462" w:name="_Toc3225"/>
      <w:r>
        <w:rPr>
          <w:rFonts w:hint="eastAsia" w:ascii="宋体" w:hAnsi="宋体" w:cs="宋体"/>
          <w:b/>
          <w:sz w:val="24"/>
        </w:rPr>
        <w:t>六、技术资料</w:t>
      </w:r>
      <w:bookmarkEnd w:id="454"/>
      <w:bookmarkEnd w:id="455"/>
      <w:bookmarkEnd w:id="456"/>
      <w:bookmarkEnd w:id="457"/>
      <w:bookmarkEnd w:id="458"/>
      <w:bookmarkEnd w:id="459"/>
      <w:r>
        <w:rPr>
          <w:rFonts w:hint="eastAsia" w:ascii="宋体" w:hAnsi="宋体" w:cs="宋体"/>
          <w:b/>
          <w:sz w:val="24"/>
        </w:rPr>
        <w:t>和保密义务</w:t>
      </w:r>
      <w:bookmarkEnd w:id="460"/>
      <w:bookmarkEnd w:id="461"/>
      <w:bookmarkEnd w:id="462"/>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3" w:name="_Toc7860"/>
      <w:r>
        <w:rPr>
          <w:rFonts w:hint="eastAsia" w:ascii="宋体" w:hAnsi="宋体" w:cs="宋体"/>
          <w:b/>
          <w:sz w:val="24"/>
        </w:rPr>
        <w:t>七、质量保证</w:t>
      </w:r>
      <w:bookmarkEnd w:id="463"/>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4" w:name="_Toc17244"/>
      <w:bookmarkStart w:id="465" w:name="_Toc279701252"/>
      <w:bookmarkStart w:id="466" w:name="_Toc487900362"/>
      <w:bookmarkStart w:id="467" w:name="_Toc259093681"/>
      <w:r>
        <w:rPr>
          <w:rFonts w:hint="eastAsia" w:ascii="宋体" w:hAnsi="宋体" w:cs="宋体"/>
          <w:b/>
          <w:sz w:val="24"/>
        </w:rPr>
        <w:t>八、货物的风险负担</w:t>
      </w:r>
      <w:bookmarkEnd w:id="464"/>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8" w:name="_Toc14055"/>
      <w:r>
        <w:rPr>
          <w:rFonts w:hint="eastAsia" w:ascii="宋体" w:hAnsi="宋体" w:cs="宋体"/>
          <w:b/>
          <w:sz w:val="24"/>
        </w:rPr>
        <w:t>九、延迟交货</w:t>
      </w:r>
      <w:bookmarkEnd w:id="465"/>
      <w:bookmarkEnd w:id="466"/>
      <w:bookmarkEnd w:id="467"/>
      <w:bookmarkEnd w:id="468"/>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w:t>
      </w:r>
    </w:p>
    <w:p>
      <w:pPr>
        <w:spacing w:line="360" w:lineRule="auto"/>
        <w:ind w:firstLine="482" w:firstLineChars="200"/>
        <w:outlineLvl w:val="0"/>
        <w:rPr>
          <w:rFonts w:ascii="宋体" w:hAnsi="宋体" w:eastAsia="宋体" w:cs="宋体"/>
          <w:b/>
          <w:sz w:val="24"/>
        </w:rPr>
      </w:pPr>
      <w:bookmarkStart w:id="469" w:name="_Toc7502"/>
      <w:bookmarkStart w:id="470" w:name="_Toc279701254"/>
      <w:bookmarkStart w:id="471" w:name="_Toc487900364"/>
      <w:bookmarkStart w:id="472" w:name="_Ref467378121"/>
      <w:bookmarkStart w:id="473" w:name="_Toc259093683"/>
      <w:r>
        <w:rPr>
          <w:rFonts w:hint="eastAsia" w:ascii="宋体" w:hAnsi="宋体" w:cs="宋体"/>
          <w:b/>
          <w:sz w:val="24"/>
        </w:rPr>
        <w:t>十、合同变更</w:t>
      </w:r>
      <w:bookmarkEnd w:id="469"/>
      <w:r>
        <w:rPr>
          <w:rFonts w:hint="eastAsia" w:ascii="宋体" w:hAnsi="宋体" w:cs="宋体"/>
          <w:b/>
          <w:sz w:val="24"/>
        </w:rPr>
        <w:t>或补充</w:t>
      </w:r>
    </w:p>
    <w:p>
      <w:pPr>
        <w:spacing w:line="360" w:lineRule="auto"/>
        <w:ind w:firstLine="480" w:firstLineChars="200"/>
        <w:rPr>
          <w:rFonts w:ascii="宋体" w:hAnsi="宋体"/>
          <w:sz w:val="24"/>
        </w:rPr>
      </w:pPr>
      <w:bookmarkStart w:id="474" w:name="_Toc259093688"/>
      <w:bookmarkStart w:id="475" w:name="_Toc487900369"/>
      <w:bookmarkStart w:id="476" w:name="_Toc279701259"/>
      <w:bookmarkStart w:id="477" w:name="_Toc15237"/>
      <w:bookmarkStart w:id="478" w:name="_Toc10366"/>
      <w:bookmarkStart w:id="479"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4"/>
      <w:bookmarkEnd w:id="475"/>
      <w:bookmarkEnd w:id="476"/>
      <w:r>
        <w:rPr>
          <w:rFonts w:hint="eastAsia" w:ascii="宋体" w:hAnsi="宋体" w:cs="宋体"/>
          <w:b/>
          <w:sz w:val="24"/>
        </w:rPr>
        <w:t>和分包</w:t>
      </w:r>
      <w:bookmarkEnd w:id="477"/>
      <w:bookmarkEnd w:id="478"/>
      <w:bookmarkEnd w:id="479"/>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80" w:name="_Toc13566"/>
      <w:bookmarkStart w:id="481" w:name="_Toc14066"/>
      <w:bookmarkStart w:id="482" w:name="_Toc16508"/>
      <w:r>
        <w:rPr>
          <w:rFonts w:hint="eastAsia" w:ascii="宋体" w:hAnsi="宋体" w:cs="宋体"/>
          <w:b/>
          <w:sz w:val="24"/>
        </w:rPr>
        <w:t>十二、不可抗力</w:t>
      </w:r>
      <w:bookmarkEnd w:id="480"/>
      <w:bookmarkEnd w:id="481"/>
      <w:bookmarkEnd w:id="482"/>
    </w:p>
    <w:p>
      <w:pPr>
        <w:spacing w:line="360" w:lineRule="auto"/>
        <w:ind w:firstLine="480" w:firstLineChars="200"/>
        <w:rPr>
          <w:rFonts w:ascii="宋体" w:hAnsi="宋体"/>
          <w:sz w:val="24"/>
        </w:rPr>
      </w:pPr>
      <w:bookmarkStart w:id="483" w:name="_Toc689"/>
      <w:bookmarkStart w:id="484" w:name="_Toc30676"/>
      <w:bookmarkStart w:id="485" w:name="_Toc6969"/>
      <w:bookmarkStart w:id="486" w:name="_Toc259093684"/>
      <w:bookmarkStart w:id="487" w:name="_Toc279701255"/>
      <w:bookmarkStart w:id="488" w:name="_Toc48790036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3"/>
      <w:bookmarkEnd w:id="484"/>
      <w:bookmarkEnd w:id="485"/>
      <w:bookmarkEnd w:id="486"/>
      <w:bookmarkEnd w:id="487"/>
      <w:bookmarkEnd w:id="488"/>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9" w:name="_Toc259093687"/>
      <w:bookmarkStart w:id="490" w:name="_Toc7102"/>
      <w:bookmarkStart w:id="491" w:name="_Toc8298"/>
      <w:bookmarkStart w:id="492" w:name="_Toc279701258"/>
      <w:bookmarkStart w:id="493" w:name="_Toc16959"/>
      <w:bookmarkStart w:id="494" w:name="_Toc487900368"/>
      <w:r>
        <w:rPr>
          <w:rFonts w:hint="eastAsia" w:ascii="宋体" w:hAnsi="宋体" w:cs="宋体"/>
          <w:b/>
          <w:sz w:val="24"/>
        </w:rPr>
        <w:t>十四、乙方破产</w:t>
      </w:r>
      <w:bookmarkEnd w:id="489"/>
      <w:bookmarkEnd w:id="490"/>
      <w:bookmarkEnd w:id="491"/>
      <w:bookmarkEnd w:id="492"/>
      <w:bookmarkEnd w:id="493"/>
      <w:bookmarkEnd w:id="494"/>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5" w:name="_Toc15387"/>
      <w:bookmarkStart w:id="496" w:name="_Toc29333"/>
      <w:bookmarkStart w:id="497" w:name="_Toc6134"/>
      <w:r>
        <w:rPr>
          <w:rFonts w:hint="eastAsia" w:ascii="宋体" w:hAnsi="宋体" w:cs="宋体"/>
          <w:b/>
          <w:sz w:val="24"/>
        </w:rPr>
        <w:t>十五、合同中止、终止</w:t>
      </w:r>
      <w:bookmarkEnd w:id="495"/>
      <w:bookmarkEnd w:id="496"/>
      <w:bookmarkEnd w:id="497"/>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70"/>
    <w:bookmarkEnd w:id="471"/>
    <w:bookmarkEnd w:id="472"/>
    <w:bookmarkEnd w:id="473"/>
    <w:p>
      <w:pPr>
        <w:spacing w:line="360" w:lineRule="auto"/>
        <w:ind w:firstLine="482" w:firstLineChars="200"/>
        <w:outlineLvl w:val="0"/>
        <w:rPr>
          <w:rFonts w:ascii="宋体" w:hAnsi="宋体" w:cs="宋体"/>
          <w:b/>
          <w:sz w:val="24"/>
        </w:rPr>
      </w:pPr>
      <w:bookmarkStart w:id="498" w:name="_Toc487900371"/>
      <w:bookmarkStart w:id="499" w:name="_Toc259093690"/>
      <w:bookmarkStart w:id="500" w:name="_Toc279701261"/>
      <w:bookmarkStart w:id="501" w:name="_Toc25182"/>
      <w:bookmarkStart w:id="502" w:name="_Toc11284"/>
      <w:bookmarkStart w:id="503" w:name="_Toc19604"/>
      <w:r>
        <w:rPr>
          <w:rFonts w:hint="eastAsia" w:ascii="宋体" w:hAnsi="宋体" w:cs="宋体"/>
          <w:b/>
          <w:sz w:val="24"/>
        </w:rPr>
        <w:t>十六、 通知</w:t>
      </w:r>
      <w:bookmarkEnd w:id="498"/>
      <w:bookmarkEnd w:id="499"/>
      <w:bookmarkEnd w:id="500"/>
      <w:r>
        <w:rPr>
          <w:rFonts w:hint="eastAsia" w:ascii="宋体" w:hAnsi="宋体" w:cs="宋体"/>
          <w:b/>
          <w:sz w:val="24"/>
        </w:rPr>
        <w:t>和送达</w:t>
      </w:r>
      <w:bookmarkEnd w:id="501"/>
      <w:bookmarkEnd w:id="502"/>
      <w:bookmarkEnd w:id="503"/>
    </w:p>
    <w:p>
      <w:pPr>
        <w:spacing w:line="360" w:lineRule="auto"/>
        <w:ind w:firstLine="480" w:firstLineChars="200"/>
        <w:rPr>
          <w:rFonts w:ascii="宋体" w:hAnsi="宋体"/>
          <w:sz w:val="24"/>
        </w:rPr>
      </w:pPr>
      <w:bookmarkStart w:id="504" w:name="_Toc18401"/>
      <w:bookmarkStart w:id="505" w:name="_Toc27674"/>
      <w:bookmarkStart w:id="506" w:name="_Toc18540"/>
      <w:bookmarkStart w:id="507" w:name="_Toc487900372"/>
      <w:bookmarkStart w:id="508" w:name="_Toc4355"/>
      <w:bookmarkStart w:id="509" w:name="_Toc30599"/>
      <w:bookmarkStart w:id="510" w:name="_Toc279701262"/>
      <w:bookmarkStart w:id="511" w:name="_Toc259093691"/>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4"/>
      <w:bookmarkEnd w:id="505"/>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6"/>
      <w:bookmarkEnd w:id="507"/>
      <w:bookmarkEnd w:id="508"/>
      <w:bookmarkEnd w:id="509"/>
      <w:bookmarkEnd w:id="510"/>
      <w:bookmarkEnd w:id="511"/>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2" w:name="_Toc12773"/>
      <w:bookmarkStart w:id="513" w:name="_Toc487900373"/>
      <w:bookmarkStart w:id="514" w:name="_Toc18567"/>
      <w:bookmarkStart w:id="515" w:name="_Toc10330"/>
      <w:bookmarkStart w:id="516" w:name="_Toc279701263"/>
      <w:bookmarkStart w:id="517" w:name="_Toc259093692"/>
      <w:r>
        <w:rPr>
          <w:rFonts w:hint="eastAsia" w:ascii="宋体" w:hAnsi="宋体" w:cs="宋体"/>
          <w:b/>
          <w:sz w:val="24"/>
        </w:rPr>
        <w:t>十八、合同使用的文字和适用的法律</w:t>
      </w:r>
      <w:bookmarkEnd w:id="512"/>
      <w:bookmarkEnd w:id="513"/>
      <w:bookmarkEnd w:id="514"/>
      <w:bookmarkEnd w:id="515"/>
      <w:bookmarkEnd w:id="516"/>
      <w:bookmarkEnd w:id="517"/>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16"/>
        <w:jc w:val="both"/>
        <w:rPr>
          <w:rFonts w:hint="eastAsia" w:ascii="Arial" w:hAnsi="Arial" w:cs="Arial"/>
          <w:sz w:val="32"/>
        </w:rPr>
      </w:pPr>
    </w:p>
    <w:p>
      <w:pPr>
        <w:jc w:val="center"/>
        <w:rPr>
          <w:rFonts w:ascii="宋体" w:hAnsi="宋体" w:eastAsia="宋体" w:cs="Times New Roman"/>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电子邮箱：</w:t>
            </w:r>
            <w:r>
              <w:rPr>
                <w:rFonts w:hint="eastAsia" w:eastAsia="宋体" w:cs="仿宋" w:asciiTheme="minorEastAsia" w:hAnsiTheme="minorEastAsia"/>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5"/>
        <w:spacing w:line="560" w:lineRule="exact"/>
        <w:ind w:left="0" w:leftChars="0" w:firstLine="0" w:firstLineChars="0"/>
        <w:jc w:val="both"/>
        <w:rPr>
          <w:rFonts w:ascii="宋体" w:hAnsi="宋体" w:cs="Times New Roman"/>
          <w:b/>
          <w:szCs w:val="24"/>
        </w:rPr>
      </w:pPr>
    </w:p>
    <w:p>
      <w:pPr>
        <w:pStyle w:val="10"/>
        <w:rPr>
          <w:rFonts w:ascii="宋体" w:hAnsi="宋体" w:cs="Times New Roman"/>
          <w:b/>
          <w:szCs w:val="24"/>
        </w:rPr>
      </w:pPr>
    </w:p>
    <w:p>
      <w:pPr>
        <w:pStyle w:val="10"/>
        <w:rPr>
          <w:rFonts w:ascii="宋体" w:hAnsi="宋体" w:cs="Times New Roman"/>
          <w:b/>
          <w:szCs w:val="24"/>
        </w:rPr>
      </w:pPr>
    </w:p>
    <w:p>
      <w:pPr>
        <w:pStyle w:val="10"/>
        <w:rPr>
          <w:rFonts w:ascii="宋体" w:hAnsi="宋体" w:cs="Times New Roman"/>
          <w:b/>
          <w:szCs w:val="24"/>
        </w:rPr>
      </w:pPr>
    </w:p>
    <w:p>
      <w:pPr>
        <w:pStyle w:val="10"/>
        <w:rPr>
          <w:rFonts w:ascii="宋体" w:hAnsi="宋体" w:cs="Times New Roman"/>
          <w:b/>
          <w:szCs w:val="24"/>
        </w:rPr>
      </w:pPr>
    </w:p>
    <w:p>
      <w:pPr>
        <w:pStyle w:val="10"/>
        <w:rPr>
          <w:rFonts w:ascii="宋体" w:hAnsi="宋体" w:cs="Times New Roman"/>
          <w:b/>
          <w:szCs w:val="24"/>
        </w:rPr>
      </w:pPr>
    </w:p>
    <w:p>
      <w:pPr>
        <w:pStyle w:val="10"/>
        <w:rPr>
          <w:rFonts w:ascii="宋体" w:hAnsi="宋体" w:cs="Times New Roman"/>
          <w:b/>
          <w:szCs w:val="24"/>
        </w:rPr>
      </w:pPr>
    </w:p>
    <w:p>
      <w:pPr>
        <w:pStyle w:val="10"/>
        <w:rPr>
          <w:rFonts w:ascii="宋体" w:hAnsi="宋体" w:cs="Times New Roman"/>
          <w:b/>
          <w:szCs w:val="24"/>
        </w:rPr>
      </w:pPr>
    </w:p>
    <w:p>
      <w:pPr>
        <w:pStyle w:val="10"/>
        <w:rPr>
          <w:rFonts w:ascii="宋体" w:hAnsi="宋体" w:cs="Times New Roman"/>
          <w:b/>
          <w:szCs w:val="24"/>
        </w:rPr>
      </w:pPr>
    </w:p>
    <w:p>
      <w:pPr>
        <w:pStyle w:val="10"/>
        <w:rPr>
          <w:rFonts w:ascii="宋体" w:hAnsi="宋体" w:cs="Times New Roman"/>
          <w:b/>
          <w:szCs w:val="24"/>
        </w:rPr>
      </w:pPr>
    </w:p>
    <w:p>
      <w:pPr>
        <w:pStyle w:val="10"/>
        <w:rPr>
          <w:rFonts w:ascii="宋体" w:hAnsi="宋体" w:cs="Times New Roman"/>
          <w:b/>
          <w:szCs w:val="24"/>
        </w:rPr>
      </w:pPr>
    </w:p>
    <w:p>
      <w:pPr>
        <w:pStyle w:val="10"/>
        <w:rPr>
          <w:rFonts w:ascii="宋体" w:hAnsi="宋体" w:cs="Times New Roman"/>
          <w:b/>
          <w:szCs w:val="24"/>
        </w:rPr>
      </w:pPr>
    </w:p>
    <w:p>
      <w:pPr>
        <w:pStyle w:val="25"/>
        <w:spacing w:line="560" w:lineRule="exact"/>
        <w:ind w:left="0" w:leftChars="0" w:firstLine="0" w:firstLineChars="0"/>
        <w:jc w:val="center"/>
        <w:rPr>
          <w:rFonts w:hint="eastAsia" w:ascii="宋体" w:hAnsi="宋体" w:eastAsiaTheme="minorEastAsia"/>
          <w:b/>
          <w:color w:val="auto"/>
          <w:szCs w:val="24"/>
          <w:lang w:eastAsia="zh-CN"/>
        </w:rPr>
      </w:pPr>
      <w:r>
        <w:rPr>
          <w:rFonts w:hint="eastAsia" w:ascii="宋体" w:hAnsi="宋体"/>
          <w:b/>
          <w:color w:val="auto"/>
          <w:szCs w:val="24"/>
        </w:rPr>
        <w:t>第三章  安全协议</w:t>
      </w:r>
    </w:p>
    <w:p>
      <w:pPr>
        <w:widowControl/>
        <w:adjustRightInd w:val="0"/>
        <w:spacing w:line="360" w:lineRule="auto"/>
        <w:jc w:val="left"/>
        <w:rPr>
          <w:rFonts w:hAnsi="宋体" w:cs="宋体"/>
          <w:color w:val="auto"/>
          <w:sz w:val="24"/>
        </w:rPr>
      </w:pPr>
      <w:r>
        <w:rPr>
          <w:rFonts w:hint="eastAsia" w:hAnsi="宋体" w:cs="宋体"/>
          <w:color w:val="auto"/>
          <w:sz w:val="24"/>
          <w:lang w:bidi="ar"/>
        </w:rPr>
        <w:t>发包单位：</w:t>
      </w:r>
      <w:r>
        <w:rPr>
          <w:rFonts w:hint="eastAsia" w:hAnsi="宋体" w:cs="宋体"/>
          <w:color w:val="auto"/>
          <w:sz w:val="24"/>
          <w:u w:val="single"/>
          <w:lang w:bidi="ar"/>
        </w:rPr>
        <w:t>杭州临江环境能源有限公司</w:t>
      </w:r>
      <w:r>
        <w:rPr>
          <w:rFonts w:hint="eastAsia" w:hAnsi="宋体" w:cs="宋体"/>
          <w:color w:val="auto"/>
          <w:sz w:val="24"/>
          <w:lang w:bidi="ar"/>
        </w:rPr>
        <w:t xml:space="preserve">（简称甲方） </w:t>
      </w:r>
    </w:p>
    <w:p>
      <w:pPr>
        <w:widowControl/>
        <w:adjustRightInd w:val="0"/>
        <w:spacing w:line="360" w:lineRule="auto"/>
        <w:jc w:val="left"/>
        <w:rPr>
          <w:rFonts w:hAnsi="宋体" w:cs="宋体"/>
          <w:color w:val="auto"/>
          <w:sz w:val="24"/>
        </w:rPr>
      </w:pPr>
      <w:r>
        <w:rPr>
          <w:rFonts w:hint="eastAsia" w:hAnsi="宋体" w:cs="宋体"/>
          <w:color w:val="auto"/>
          <w:sz w:val="24"/>
          <w:lang w:bidi="ar"/>
        </w:rPr>
        <w:t>承包单位：</w:t>
      </w:r>
      <w:r>
        <w:rPr>
          <w:rFonts w:hint="eastAsia" w:hAnsi="宋体" w:cs="宋体"/>
          <w:color w:val="auto"/>
          <w:sz w:val="24"/>
          <w:u w:val="single"/>
          <w:lang w:val="en-US" w:eastAsia="zh-CN" w:bidi="ar"/>
        </w:rPr>
        <w:t xml:space="preserve">    ***公司          </w:t>
      </w:r>
      <w:r>
        <w:rPr>
          <w:rFonts w:hint="eastAsia" w:hAnsi="宋体" w:cs="宋体"/>
          <w:color w:val="auto"/>
          <w:sz w:val="24"/>
          <w:lang w:bidi="ar"/>
        </w:rPr>
        <w:t xml:space="preserve">（简称乙方） </w:t>
      </w:r>
    </w:p>
    <w:p>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甲方将</w:t>
      </w:r>
      <w:r>
        <w:rPr>
          <w:rFonts w:hint="eastAsia" w:hAnsi="宋体" w:cs="宋体"/>
          <w:color w:val="auto"/>
          <w:sz w:val="24"/>
          <w:u w:val="single"/>
          <w:lang w:bidi="ar"/>
        </w:rPr>
        <w:t xml:space="preserve"> </w:t>
      </w:r>
      <w:r>
        <w:rPr>
          <w:rFonts w:hint="eastAsia" w:hAnsi="宋体" w:cs="宋体"/>
          <w:color w:val="auto"/>
          <w:sz w:val="24"/>
          <w:u w:val="single"/>
          <w:lang w:val="en-US" w:eastAsia="zh-CN" w:bidi="ar"/>
        </w:rPr>
        <w:t xml:space="preserve"> 2025年焚烧车间A线窑头进料装置改造采购项目      </w:t>
      </w:r>
      <w:r>
        <w:rPr>
          <w:rFonts w:hint="eastAsia" w:hAnsi="宋体" w:cs="宋体"/>
          <w:color w:val="auto"/>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 xml:space="preserve">一、服务项目 </w:t>
      </w:r>
    </w:p>
    <w:p>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 xml:space="preserve">1.项目名称： </w:t>
      </w:r>
      <w:r>
        <w:rPr>
          <w:rFonts w:hint="eastAsia" w:hAnsi="宋体" w:cs="宋体"/>
          <w:color w:val="auto"/>
          <w:sz w:val="24"/>
          <w:u w:val="single"/>
          <w:lang w:bidi="ar"/>
        </w:rPr>
        <w:t xml:space="preserve"> </w:t>
      </w:r>
      <w:r>
        <w:rPr>
          <w:rFonts w:hint="eastAsia" w:hAnsi="宋体" w:cs="宋体"/>
          <w:color w:val="auto"/>
          <w:sz w:val="24"/>
          <w:u w:val="single"/>
          <w:lang w:val="en-US" w:eastAsia="zh-CN" w:bidi="ar"/>
        </w:rPr>
        <w:t xml:space="preserve">  2025年焚烧车间A线窑头进料装置改造采购项目  </w:t>
      </w:r>
      <w:r>
        <w:rPr>
          <w:rFonts w:hint="eastAsia" w:hAnsi="宋体" w:cs="宋体"/>
          <w:color w:val="auto"/>
          <w:sz w:val="24"/>
          <w:u w:val="single"/>
          <w:lang w:bidi="ar"/>
        </w:rPr>
        <w:t xml:space="preserve">        </w:t>
      </w:r>
    </w:p>
    <w:p>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 xml:space="preserve">2.项目地址：位于浙江省杭州钱塘区临江街道杭州临江环境能源有限公司厂区内。 </w:t>
      </w:r>
    </w:p>
    <w:p>
      <w:pPr>
        <w:adjustRightInd w:val="0"/>
        <w:spacing w:line="360" w:lineRule="auto"/>
        <w:ind w:firstLine="602" w:firstLineChars="250"/>
        <w:rPr>
          <w:rFonts w:hAnsi="宋体" w:cs="宋体"/>
          <w:b/>
          <w:color w:val="auto"/>
          <w:sz w:val="24"/>
        </w:rPr>
      </w:pPr>
      <w:r>
        <w:rPr>
          <w:rFonts w:hint="eastAsia" w:hAnsi="宋体" w:cs="宋体"/>
          <w:b/>
          <w:color w:val="auto"/>
          <w:sz w:val="24"/>
        </w:rPr>
        <w:t>二、甲方职责</w:t>
      </w:r>
    </w:p>
    <w:p>
      <w:pPr>
        <w:adjustRightInd w:val="0"/>
        <w:spacing w:line="360" w:lineRule="auto"/>
        <w:ind w:firstLine="480" w:firstLineChars="200"/>
        <w:rPr>
          <w:rFonts w:hAnsi="宋体" w:cs="宋体"/>
          <w:color w:val="auto"/>
          <w:sz w:val="24"/>
        </w:rPr>
      </w:pPr>
      <w:r>
        <w:rPr>
          <w:rFonts w:hint="eastAsia" w:hAnsi="宋体" w:cs="宋体"/>
          <w:color w:val="auto"/>
          <w:sz w:val="24"/>
        </w:rPr>
        <w:t>1.甲方对乙方资质进行审查，确保符合要求，并为乙方正常服务场所工作提供便利，</w:t>
      </w:r>
      <w:r>
        <w:rPr>
          <w:rFonts w:hint="eastAsia" w:hAnsi="宋体" w:cs="宋体"/>
          <w:color w:val="auto"/>
          <w:sz w:val="24"/>
          <w:u w:val="single"/>
          <w:lang w:val="en-US" w:eastAsia="zh-CN"/>
        </w:rPr>
        <w:t xml:space="preserve">              </w:t>
      </w:r>
      <w:r>
        <w:rPr>
          <w:rFonts w:hint="eastAsia" w:hAnsi="宋体" w:cs="宋体"/>
          <w:color w:val="auto"/>
          <w:sz w:val="24"/>
          <w:u w:val="single"/>
        </w:rPr>
        <w:t xml:space="preserve"> </w:t>
      </w:r>
      <w:r>
        <w:rPr>
          <w:rFonts w:hint="eastAsia" w:hAnsi="宋体" w:cs="宋体"/>
          <w:color w:val="auto"/>
          <w:sz w:val="24"/>
        </w:rPr>
        <w:t>实施前就各实施区域的现状及周边情况向乙方进行交底。如：实施项目周边的电缆线、消防管道及排水沟及周边车辆行驶情况等。</w:t>
      </w:r>
    </w:p>
    <w:p>
      <w:pPr>
        <w:adjustRightInd w:val="0"/>
        <w:spacing w:line="360" w:lineRule="auto"/>
        <w:ind w:firstLine="480" w:firstLineChars="200"/>
        <w:rPr>
          <w:rFonts w:hAnsi="宋体" w:cs="宋体"/>
          <w:color w:val="auto"/>
          <w:sz w:val="24"/>
        </w:rPr>
      </w:pPr>
      <w:r>
        <w:rPr>
          <w:rFonts w:hint="eastAsia" w:hAnsi="宋体" w:cs="宋体"/>
          <w:color w:val="auto"/>
          <w:sz w:val="24"/>
        </w:rPr>
        <w:t>2.为本项目指定专人负责具体的联系沟通工作。</w:t>
      </w:r>
    </w:p>
    <w:p>
      <w:pPr>
        <w:adjustRightInd w:val="0"/>
        <w:spacing w:line="360" w:lineRule="auto"/>
        <w:ind w:firstLine="480" w:firstLineChars="200"/>
        <w:rPr>
          <w:rFonts w:hAnsi="宋体" w:cs="宋体"/>
          <w:color w:val="auto"/>
          <w:sz w:val="24"/>
        </w:rPr>
      </w:pPr>
      <w:r>
        <w:rPr>
          <w:rFonts w:hint="eastAsia" w:hAnsi="宋体" w:cs="宋体"/>
          <w:color w:val="auto"/>
          <w:sz w:val="24"/>
        </w:rPr>
        <w:t>3.做好与本项目有关的其他各级单位的沟通协调工作。</w:t>
      </w:r>
    </w:p>
    <w:p>
      <w:pPr>
        <w:adjustRightInd w:val="0"/>
        <w:spacing w:line="360" w:lineRule="auto"/>
        <w:ind w:firstLine="482" w:firstLineChars="200"/>
        <w:rPr>
          <w:rFonts w:hAnsi="宋体" w:cs="宋体"/>
          <w:b/>
          <w:color w:val="auto"/>
          <w:sz w:val="24"/>
        </w:rPr>
      </w:pPr>
      <w:r>
        <w:rPr>
          <w:rFonts w:hint="eastAsia" w:hAnsi="宋体" w:cs="宋体"/>
          <w:b/>
          <w:color w:val="auto"/>
          <w:sz w:val="24"/>
        </w:rPr>
        <w:t>三、乙方职责</w:t>
      </w:r>
    </w:p>
    <w:p>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pPr>
        <w:adjustRightInd w:val="0"/>
        <w:spacing w:line="360" w:lineRule="auto"/>
        <w:ind w:firstLine="480" w:firstLineChars="200"/>
        <w:rPr>
          <w:rFonts w:hAnsi="宋体" w:cs="宋体"/>
          <w:color w:val="auto"/>
          <w:sz w:val="24"/>
        </w:rPr>
      </w:pPr>
      <w:r>
        <w:rPr>
          <w:rFonts w:hint="eastAsia" w:hAnsi="宋体" w:cs="宋体"/>
          <w:color w:val="auto"/>
          <w:sz w:val="24"/>
        </w:rPr>
        <w:t>2.乙方在项目服务期间，必须对工作人员进行安全生产教育，落实安全技术交底工作，确保各类专业技术人员持证上岗。</w:t>
      </w:r>
    </w:p>
    <w:p>
      <w:pPr>
        <w:adjustRightInd w:val="0"/>
        <w:spacing w:line="360" w:lineRule="auto"/>
        <w:ind w:firstLine="480" w:firstLineChars="200"/>
        <w:rPr>
          <w:rFonts w:hAnsi="宋体" w:cs="宋体"/>
          <w:color w:val="auto"/>
          <w:sz w:val="24"/>
        </w:rPr>
      </w:pPr>
      <w:r>
        <w:rPr>
          <w:rFonts w:hint="eastAsia" w:hAnsi="宋体" w:cs="宋体"/>
          <w:color w:val="auto"/>
          <w:sz w:val="24"/>
        </w:rPr>
        <w:t>3.乙方应遵守甲方相关的安全生产管理制度，在禁烟区内严禁吸烟以及擅自动用各类明火（动用需经审批），并在现场设置灭火器材及警示标识。</w:t>
      </w:r>
    </w:p>
    <w:p>
      <w:pPr>
        <w:adjustRightInd w:val="0"/>
        <w:spacing w:line="360" w:lineRule="auto"/>
        <w:ind w:firstLine="480" w:firstLineChars="200"/>
        <w:rPr>
          <w:rFonts w:hAnsi="宋体" w:cs="宋体"/>
          <w:color w:val="auto"/>
          <w:sz w:val="24"/>
        </w:rPr>
      </w:pPr>
      <w:r>
        <w:rPr>
          <w:rFonts w:hint="eastAsia" w:hAnsi="宋体" w:cs="宋体"/>
          <w:color w:val="auto"/>
          <w:sz w:val="24"/>
        </w:rPr>
        <w:t>4.乙方在项目服务期间应严格按照用电规范要求，严禁私拉乱接电线，各类电器、照明设备必须使用防爆产品或设置防爆装置。</w:t>
      </w:r>
    </w:p>
    <w:p>
      <w:pPr>
        <w:adjustRightInd w:val="0"/>
        <w:spacing w:line="360" w:lineRule="auto"/>
        <w:ind w:firstLine="480" w:firstLineChars="200"/>
        <w:rPr>
          <w:rFonts w:hAnsi="宋体" w:cs="宋体"/>
          <w:color w:val="auto"/>
          <w:sz w:val="24"/>
        </w:rPr>
      </w:pPr>
      <w:r>
        <w:rPr>
          <w:rFonts w:hint="eastAsia" w:hAnsi="宋体" w:cs="宋体"/>
          <w:color w:val="auto"/>
          <w:sz w:val="24"/>
        </w:rPr>
        <w:t>5.乙方内部要建立安全生产检查制度、落实自查自检，按“定人、定时间、定措施”的隐患整改原则，消除现场不安全因素。</w:t>
      </w:r>
    </w:p>
    <w:p>
      <w:pPr>
        <w:adjustRightInd w:val="0"/>
        <w:spacing w:line="360" w:lineRule="auto"/>
        <w:ind w:firstLine="480" w:firstLineChars="200"/>
        <w:rPr>
          <w:rFonts w:hAnsi="宋体" w:cs="宋体"/>
          <w:color w:val="auto"/>
          <w:sz w:val="24"/>
        </w:rPr>
      </w:pPr>
      <w:r>
        <w:rPr>
          <w:rFonts w:hint="eastAsia" w:hAnsi="宋体" w:cs="宋体"/>
          <w:color w:val="auto"/>
          <w:sz w:val="24"/>
        </w:rPr>
        <w:t>6．安全、规范、文明、科学作业，不损坏甲方的地上地下各类设施，确保项目实施区域安全有序。</w:t>
      </w:r>
    </w:p>
    <w:p>
      <w:pPr>
        <w:adjustRightInd w:val="0"/>
        <w:spacing w:line="360" w:lineRule="auto"/>
        <w:ind w:firstLine="480" w:firstLineChars="200"/>
        <w:rPr>
          <w:rFonts w:hAnsi="宋体" w:cs="宋体"/>
          <w:color w:val="auto"/>
          <w:sz w:val="24"/>
        </w:rPr>
      </w:pPr>
      <w:r>
        <w:rPr>
          <w:rFonts w:hint="eastAsia" w:hAnsi="宋体" w:cs="宋体"/>
          <w:color w:val="auto"/>
          <w:sz w:val="24"/>
        </w:rPr>
        <w:t>7.接受甲方的监督检查。</w:t>
      </w:r>
    </w:p>
    <w:p>
      <w:pPr>
        <w:adjustRightInd w:val="0"/>
        <w:spacing w:line="360" w:lineRule="auto"/>
        <w:ind w:firstLine="482" w:firstLineChars="200"/>
        <w:rPr>
          <w:rFonts w:hAnsi="宋体" w:cs="宋体"/>
          <w:color w:val="auto"/>
          <w:sz w:val="24"/>
        </w:rPr>
      </w:pPr>
      <w:r>
        <w:rPr>
          <w:rFonts w:hint="eastAsia" w:hAnsi="宋体" w:cs="宋体"/>
          <w:b/>
          <w:color w:val="auto"/>
          <w:sz w:val="24"/>
        </w:rPr>
        <w:t>四、违约责任</w:t>
      </w:r>
    </w:p>
    <w:p>
      <w:pPr>
        <w:adjustRightInd w:val="0"/>
        <w:spacing w:line="360" w:lineRule="auto"/>
        <w:ind w:firstLine="480" w:firstLineChars="200"/>
        <w:rPr>
          <w:rFonts w:hAnsi="宋体" w:cs="宋体"/>
          <w:color w:val="auto"/>
          <w:sz w:val="24"/>
        </w:rPr>
      </w:pPr>
      <w:r>
        <w:rPr>
          <w:rFonts w:hint="eastAsia" w:hAnsi="宋体" w:cs="宋体"/>
          <w:color w:val="auto"/>
          <w:sz w:val="24"/>
        </w:rPr>
        <w:t>1.在项目服务过程中，乙方必须做到安全生产，并服从甲方管理人员的调度指挥，有下列行为的，乙方扣罚履约保证金500-1000元/次：</w:t>
      </w:r>
    </w:p>
    <w:p>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1 \* GB3 </w:instrText>
      </w:r>
      <w:r>
        <w:rPr>
          <w:rFonts w:hint="eastAsia" w:hAnsi="宋体" w:cs="宋体"/>
          <w:color w:val="auto"/>
          <w:sz w:val="24"/>
        </w:rPr>
        <w:fldChar w:fldCharType="separate"/>
      </w:r>
      <w:r>
        <w:rPr>
          <w:rFonts w:hint="eastAsia" w:hAnsi="宋体" w:cs="宋体"/>
          <w:color w:val="auto"/>
          <w:sz w:val="24"/>
        </w:rPr>
        <w:t>①</w:t>
      </w:r>
      <w:r>
        <w:rPr>
          <w:rFonts w:hint="eastAsia" w:hAnsi="宋体" w:cs="宋体"/>
          <w:color w:val="auto"/>
          <w:sz w:val="24"/>
        </w:rPr>
        <w:fldChar w:fldCharType="end"/>
      </w:r>
      <w:r>
        <w:rPr>
          <w:rFonts w:hint="eastAsia" w:hAnsi="宋体" w:cs="宋体"/>
          <w:color w:val="auto"/>
          <w:sz w:val="24"/>
        </w:rPr>
        <w:t>不服从甲方指挥，强令冒险作业；</w:t>
      </w:r>
    </w:p>
    <w:p>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2 \* GB3 </w:instrText>
      </w:r>
      <w:r>
        <w:rPr>
          <w:rFonts w:hint="eastAsia" w:hAnsi="宋体" w:cs="宋体"/>
          <w:color w:val="auto"/>
          <w:sz w:val="24"/>
        </w:rPr>
        <w:fldChar w:fldCharType="separate"/>
      </w:r>
      <w:r>
        <w:rPr>
          <w:rFonts w:hint="eastAsia" w:hAnsi="宋体" w:cs="宋体"/>
          <w:color w:val="auto"/>
          <w:sz w:val="24"/>
        </w:rPr>
        <w:t>②</w:t>
      </w:r>
      <w:r>
        <w:rPr>
          <w:rFonts w:hint="eastAsia" w:hAnsi="宋体" w:cs="宋体"/>
          <w:color w:val="auto"/>
          <w:sz w:val="24"/>
        </w:rPr>
        <w:fldChar w:fldCharType="end"/>
      </w:r>
      <w:r>
        <w:rPr>
          <w:rFonts w:hint="eastAsia" w:hAnsi="宋体" w:cs="宋体"/>
          <w:color w:val="auto"/>
          <w:sz w:val="24"/>
        </w:rPr>
        <w:t>未按要求参加甲方组织的各项安全检查、会议活动；</w:t>
      </w:r>
    </w:p>
    <w:p>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3 \* GB3 </w:instrText>
      </w:r>
      <w:r>
        <w:rPr>
          <w:rFonts w:hint="eastAsia" w:hAnsi="宋体" w:cs="宋体"/>
          <w:color w:val="auto"/>
          <w:sz w:val="24"/>
        </w:rPr>
        <w:fldChar w:fldCharType="separate"/>
      </w:r>
      <w:r>
        <w:rPr>
          <w:rFonts w:hint="eastAsia" w:hAnsi="宋体" w:cs="宋体"/>
          <w:color w:val="auto"/>
          <w:sz w:val="24"/>
        </w:rPr>
        <w:t>③</w:t>
      </w:r>
      <w:r>
        <w:rPr>
          <w:rFonts w:hint="eastAsia" w:hAnsi="宋体" w:cs="宋体"/>
          <w:color w:val="auto"/>
          <w:sz w:val="24"/>
        </w:rPr>
        <w:fldChar w:fldCharType="end"/>
      </w:r>
      <w:r>
        <w:rPr>
          <w:rFonts w:hint="eastAsia" w:hAnsi="宋体" w:cs="宋体"/>
          <w:color w:val="auto"/>
          <w:sz w:val="24"/>
        </w:rPr>
        <w:t>工作人员在禁烟区擅自动火、吸烟；</w:t>
      </w:r>
    </w:p>
    <w:p>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4 \* GB3 </w:instrText>
      </w:r>
      <w:r>
        <w:rPr>
          <w:rFonts w:hint="eastAsia" w:hAnsi="宋体" w:cs="宋体"/>
          <w:color w:val="auto"/>
          <w:sz w:val="24"/>
        </w:rPr>
        <w:fldChar w:fldCharType="separate"/>
      </w:r>
      <w:r>
        <w:rPr>
          <w:rFonts w:hint="eastAsia" w:hAnsi="宋体" w:cs="宋体"/>
          <w:color w:val="auto"/>
          <w:sz w:val="24"/>
        </w:rPr>
        <w:t>④</w:t>
      </w:r>
      <w:r>
        <w:rPr>
          <w:rFonts w:hint="eastAsia" w:hAnsi="宋体" w:cs="宋体"/>
          <w:color w:val="auto"/>
          <w:sz w:val="24"/>
        </w:rPr>
        <w:fldChar w:fldCharType="end"/>
      </w:r>
      <w:r>
        <w:rPr>
          <w:rFonts w:hint="eastAsia" w:hAnsi="宋体" w:cs="宋体"/>
          <w:color w:val="auto"/>
          <w:sz w:val="24"/>
        </w:rPr>
        <w:t>工作人员未按规定穿戴劳动防护用品，经劝说不听或不服从管理的；</w:t>
      </w:r>
    </w:p>
    <w:p>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5 \* GB3 </w:instrText>
      </w:r>
      <w:r>
        <w:rPr>
          <w:rFonts w:hint="eastAsia" w:hAnsi="宋体" w:cs="宋体"/>
          <w:color w:val="auto"/>
          <w:sz w:val="24"/>
        </w:rPr>
        <w:fldChar w:fldCharType="separate"/>
      </w:r>
      <w:r>
        <w:rPr>
          <w:rFonts w:hint="eastAsia" w:hAnsi="宋体" w:cs="宋体"/>
          <w:color w:val="auto"/>
          <w:sz w:val="24"/>
        </w:rPr>
        <w:t>⑤</w:t>
      </w:r>
      <w:r>
        <w:rPr>
          <w:rFonts w:hint="eastAsia" w:hAnsi="宋体" w:cs="宋体"/>
          <w:color w:val="auto"/>
          <w:sz w:val="24"/>
        </w:rPr>
        <w:fldChar w:fldCharType="end"/>
      </w:r>
      <w:r>
        <w:rPr>
          <w:rFonts w:hint="eastAsia" w:hAnsi="宋体" w:cs="宋体"/>
          <w:color w:val="auto"/>
          <w:sz w:val="24"/>
        </w:rPr>
        <w:t>项目服务过程造成环境影响。</w:t>
      </w:r>
    </w:p>
    <w:p>
      <w:pPr>
        <w:adjustRightInd w:val="0"/>
        <w:spacing w:line="360" w:lineRule="auto"/>
        <w:ind w:firstLine="480" w:firstLineChars="200"/>
        <w:rPr>
          <w:rFonts w:hAnsi="宋体" w:cs="宋体"/>
          <w:color w:val="auto"/>
          <w:sz w:val="24"/>
        </w:rPr>
      </w:pPr>
      <w:r>
        <w:rPr>
          <w:rFonts w:hint="eastAsia" w:hAnsi="宋体" w:cs="宋体"/>
          <w:color w:val="auto"/>
          <w:sz w:val="24"/>
        </w:rPr>
        <w:t>2.乙方在项目服务过程中有下列行为的，扣罚履约保证金5000元/次</w:t>
      </w:r>
      <w:r>
        <w:rPr>
          <w:rFonts w:hint="eastAsia" w:ascii="宋体" w:hAnsi="宋体" w:cs="宋体"/>
          <w:sz w:val="24"/>
          <w:lang w:eastAsia="zh-CN"/>
        </w:rPr>
        <w:t>，</w:t>
      </w:r>
      <w:r>
        <w:rPr>
          <w:rFonts w:hint="eastAsia" w:ascii="宋体" w:hAnsi="宋体" w:cs="宋体"/>
          <w:sz w:val="24"/>
          <w:lang w:val="en-US" w:eastAsia="zh-CN"/>
        </w:rPr>
        <w:t>同时甲方有权立即解除与乙方之间的所有服务合同</w:t>
      </w:r>
      <w:r>
        <w:rPr>
          <w:rFonts w:hint="eastAsia" w:hAnsi="宋体" w:cs="宋体"/>
          <w:color w:val="auto"/>
          <w:sz w:val="24"/>
        </w:rPr>
        <w:t>：</w:t>
      </w:r>
    </w:p>
    <w:p>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1 \* GB3 </w:instrText>
      </w:r>
      <w:r>
        <w:rPr>
          <w:rFonts w:hint="eastAsia" w:hAnsi="宋体" w:cs="宋体"/>
          <w:color w:val="auto"/>
          <w:sz w:val="24"/>
        </w:rPr>
        <w:fldChar w:fldCharType="separate"/>
      </w:r>
      <w:r>
        <w:rPr>
          <w:rFonts w:hint="eastAsia" w:hAnsi="宋体" w:cs="宋体"/>
          <w:color w:val="auto"/>
          <w:sz w:val="24"/>
        </w:rPr>
        <w:t>①</w:t>
      </w:r>
      <w:r>
        <w:rPr>
          <w:rFonts w:hint="eastAsia" w:hAnsi="宋体" w:cs="宋体"/>
          <w:color w:val="auto"/>
          <w:sz w:val="24"/>
        </w:rPr>
        <w:fldChar w:fldCharType="end"/>
      </w:r>
      <w:r>
        <w:rPr>
          <w:rFonts w:hint="eastAsia" w:hAnsi="宋体" w:cs="宋体"/>
          <w:color w:val="auto"/>
          <w:sz w:val="24"/>
        </w:rPr>
        <w:t>由于乙方原因造成甲方被主管单位、新闻媒体、12345公开电话投诉或其他上级有关部门书面警告等通报批评的；</w:t>
      </w:r>
    </w:p>
    <w:p>
      <w:pPr>
        <w:adjustRightInd w:val="0"/>
        <w:spacing w:line="360" w:lineRule="auto"/>
        <w:ind w:firstLine="480" w:firstLineChars="200"/>
        <w:rPr>
          <w:rFonts w:hint="eastAsia"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2 \* GB3 </w:instrText>
      </w:r>
      <w:r>
        <w:rPr>
          <w:rFonts w:hint="eastAsia" w:hAnsi="宋体" w:cs="宋体"/>
          <w:color w:val="auto"/>
          <w:sz w:val="24"/>
        </w:rPr>
        <w:fldChar w:fldCharType="separate"/>
      </w:r>
      <w:r>
        <w:rPr>
          <w:rFonts w:hint="eastAsia" w:hAnsi="宋体" w:cs="宋体"/>
          <w:color w:val="auto"/>
          <w:sz w:val="24"/>
        </w:rPr>
        <w:t>②</w:t>
      </w:r>
      <w:r>
        <w:rPr>
          <w:rFonts w:hint="eastAsia" w:hAnsi="宋体" w:cs="宋体"/>
          <w:color w:val="auto"/>
          <w:sz w:val="24"/>
        </w:rPr>
        <w:fldChar w:fldCharType="end"/>
      </w:r>
      <w:r>
        <w:rPr>
          <w:rFonts w:hint="eastAsia" w:hAnsi="宋体" w:cs="宋体"/>
          <w:color w:val="auto"/>
          <w:sz w:val="24"/>
        </w:rPr>
        <w:t>乙方未履行职责，经甲方三次书面警告的，进行停业整顿的，每次停业整顿。</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lang w:val="en-US" w:eastAsia="zh-CN"/>
        </w:rPr>
        <w:t>乙方或者乙方工作人员发生重大安全事故的。</w:t>
      </w:r>
    </w:p>
    <w:p>
      <w:pPr>
        <w:adjustRightInd w:val="0"/>
        <w:spacing w:line="360" w:lineRule="auto"/>
        <w:ind w:firstLine="480" w:firstLineChars="200"/>
        <w:rPr>
          <w:rFonts w:hAnsi="宋体" w:cs="宋体"/>
          <w:color w:val="auto"/>
          <w:sz w:val="24"/>
        </w:rPr>
      </w:pPr>
      <w:r>
        <w:rPr>
          <w:rFonts w:hint="eastAsia" w:hAnsi="宋体" w:cs="宋体"/>
          <w:color w:val="auto"/>
          <w:sz w:val="24"/>
        </w:rPr>
        <w:t>3.乙方项目服务人员无证驾驶车辆（设备）、特殊工种无证上岗、消防器材配置缺损已提醒二十四小时无改进措施等现象，扣罚保证金2000元/人·次。</w:t>
      </w:r>
    </w:p>
    <w:p>
      <w:pPr>
        <w:adjustRightInd w:val="0"/>
        <w:spacing w:line="360" w:lineRule="auto"/>
        <w:ind w:firstLine="480" w:firstLineChars="200"/>
        <w:rPr>
          <w:rFonts w:hAnsi="宋体" w:cs="宋体"/>
          <w:color w:val="auto"/>
          <w:sz w:val="24"/>
        </w:rPr>
      </w:pPr>
      <w:r>
        <w:rPr>
          <w:rFonts w:hint="eastAsia" w:hAnsi="宋体" w:cs="宋体"/>
          <w:color w:val="auto"/>
          <w:sz w:val="24"/>
        </w:rPr>
        <w:t>4.乙方在项目服务过程中，对甲方的设施、绿化道路造成影响</w:t>
      </w:r>
      <w:r>
        <w:rPr>
          <w:rFonts w:hint="eastAsia" w:hAnsi="宋体" w:cs="宋体"/>
          <w:color w:val="auto"/>
          <w:sz w:val="24"/>
          <w:lang w:eastAsia="zh-CN"/>
        </w:rPr>
        <w:t>，</w:t>
      </w:r>
      <w:r>
        <w:rPr>
          <w:rFonts w:hint="eastAsia" w:hAnsi="宋体" w:cs="宋体"/>
          <w:color w:val="auto"/>
          <w:sz w:val="24"/>
        </w:rPr>
        <w:t>乙方应按甲方要求及时进行原貌恢复或清理，如乙方未能及时进行处理的，甲方有权委托相关部门执行，相应费用在乙方履约保证金中扣除。</w:t>
      </w:r>
    </w:p>
    <w:p>
      <w:pPr>
        <w:adjustRightInd w:val="0"/>
        <w:spacing w:line="360" w:lineRule="auto"/>
        <w:ind w:firstLine="480" w:firstLineChars="200"/>
        <w:rPr>
          <w:rFonts w:hAnsi="宋体" w:cs="宋体"/>
          <w:color w:val="auto"/>
          <w:sz w:val="24"/>
        </w:rPr>
      </w:pPr>
      <w:r>
        <w:rPr>
          <w:rFonts w:hint="eastAsia" w:hAnsi="宋体" w:cs="宋体"/>
          <w:color w:val="auto"/>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pPr>
        <w:adjustRightInd w:val="0"/>
        <w:spacing w:line="360" w:lineRule="auto"/>
        <w:ind w:firstLine="480" w:firstLineChars="200"/>
        <w:rPr>
          <w:rFonts w:hAnsi="宋体" w:cs="宋体"/>
          <w:color w:val="auto"/>
          <w:sz w:val="24"/>
        </w:rPr>
      </w:pPr>
      <w:r>
        <w:rPr>
          <w:rFonts w:hint="eastAsia" w:hAnsi="宋体" w:cs="宋体"/>
          <w:color w:val="auto"/>
          <w:sz w:val="24"/>
        </w:rPr>
        <w:t>6.发生紧急情况，乙方应及时向上级主管和甲方报告，同时向相关领导或值班人员汇报。如发生人员伤亡应迅速抢救伤员，并在第一时间</w:t>
      </w:r>
      <w:r>
        <w:rPr>
          <w:rFonts w:hint="eastAsia" w:hAnsi="宋体" w:cs="宋体"/>
          <w:color w:val="auto"/>
          <w:sz w:val="24"/>
          <w:lang w:eastAsia="zh-CN"/>
        </w:rPr>
        <w:t>送往</w:t>
      </w:r>
      <w:r>
        <w:rPr>
          <w:rFonts w:hint="eastAsia" w:hAnsi="宋体" w:cs="宋体"/>
          <w:color w:val="auto"/>
          <w:sz w:val="24"/>
        </w:rPr>
        <w:t>就近医院。</w:t>
      </w:r>
    </w:p>
    <w:p>
      <w:pPr>
        <w:adjustRightInd w:val="0"/>
        <w:spacing w:line="360" w:lineRule="auto"/>
        <w:ind w:firstLine="480" w:firstLineChars="200"/>
        <w:rPr>
          <w:rFonts w:hAnsi="宋体" w:cs="宋体"/>
          <w:color w:val="auto"/>
          <w:sz w:val="24"/>
        </w:rPr>
      </w:pPr>
      <w:r>
        <w:rPr>
          <w:rFonts w:hint="eastAsia" w:hAnsi="宋体" w:cs="宋体"/>
          <w:color w:val="auto"/>
          <w:sz w:val="24"/>
        </w:rPr>
        <w:t>7.在项目服务期间，乙方发生的安全事故以及造成的人员或财产损失由乙方全额负责。</w:t>
      </w:r>
    </w:p>
    <w:p>
      <w:pPr>
        <w:adjustRightInd w:val="0"/>
        <w:spacing w:line="360" w:lineRule="auto"/>
        <w:ind w:firstLine="480" w:firstLineChars="200"/>
        <w:rPr>
          <w:rFonts w:hAnsi="宋体" w:cs="宋体"/>
          <w:color w:val="auto"/>
          <w:sz w:val="24"/>
        </w:rPr>
      </w:pPr>
      <w:r>
        <w:rPr>
          <w:rFonts w:hint="eastAsia" w:hAnsi="宋体" w:cs="宋体"/>
          <w:color w:val="auto"/>
          <w:sz w:val="24"/>
        </w:rPr>
        <w:t>8.其他违反甲方相关安全规章制度的现象，根据违规情况每次酌情扣罚履约保证金200—1000元。</w:t>
      </w:r>
    </w:p>
    <w:p>
      <w:pPr>
        <w:adjustRightInd w:val="0"/>
        <w:spacing w:line="360" w:lineRule="auto"/>
        <w:ind w:firstLine="482" w:firstLineChars="200"/>
        <w:rPr>
          <w:rFonts w:hAnsi="宋体" w:cs="宋体"/>
          <w:b/>
          <w:color w:val="auto"/>
          <w:sz w:val="24"/>
        </w:rPr>
      </w:pPr>
      <w:r>
        <w:rPr>
          <w:rFonts w:hint="eastAsia" w:hAnsi="宋体" w:cs="宋体"/>
          <w:b/>
          <w:color w:val="auto"/>
          <w:sz w:val="24"/>
        </w:rPr>
        <w:t>五、其他</w:t>
      </w:r>
    </w:p>
    <w:p>
      <w:pPr>
        <w:widowControl/>
        <w:adjustRightInd w:val="0"/>
        <w:spacing w:line="360" w:lineRule="auto"/>
        <w:rPr>
          <w:rFonts w:hAnsi="宋体" w:cs="宋体"/>
          <w:color w:val="auto"/>
          <w:sz w:val="24"/>
        </w:rPr>
      </w:pPr>
      <w:r>
        <w:rPr>
          <w:rFonts w:hint="eastAsia" w:hAnsi="宋体" w:cs="宋体"/>
          <w:color w:val="auto"/>
          <w:sz w:val="24"/>
        </w:rPr>
        <w:t xml:space="preserve">    本协议有效期为双方签署之日起至双方权利义务履行完毕为止。有效期内发生的违约事实，有效期后发现的适用本协议。</w:t>
      </w:r>
    </w:p>
    <w:p>
      <w:pPr>
        <w:pStyle w:val="25"/>
        <w:spacing w:line="560" w:lineRule="exact"/>
        <w:ind w:left="0" w:leftChars="0" w:firstLine="0" w:firstLineChars="0"/>
        <w:jc w:val="center"/>
        <w:rPr>
          <w:rFonts w:hint="eastAsia" w:ascii="宋体" w:hAnsi="宋体" w:cs="Times New Roman"/>
          <w:b/>
          <w:szCs w:val="24"/>
        </w:rPr>
      </w:pPr>
    </w:p>
    <w:p>
      <w:pPr>
        <w:pStyle w:val="25"/>
        <w:spacing w:line="560" w:lineRule="exact"/>
        <w:ind w:left="0" w:leftChars="0" w:firstLine="0" w:firstLineChars="0"/>
        <w:jc w:val="center"/>
        <w:rPr>
          <w:rFonts w:hint="eastAsia" w:ascii="宋体" w:hAnsi="宋体" w:cs="Times New Roman"/>
          <w:b/>
          <w:szCs w:val="24"/>
        </w:rPr>
      </w:pPr>
    </w:p>
    <w:p>
      <w:pPr>
        <w:pStyle w:val="25"/>
        <w:spacing w:line="560" w:lineRule="exact"/>
        <w:ind w:left="0" w:leftChars="0" w:firstLine="0" w:firstLineChars="0"/>
        <w:jc w:val="center"/>
        <w:rPr>
          <w:rFonts w:hint="eastAsia" w:ascii="宋体" w:hAnsi="宋体" w:cs="Times New Roman"/>
          <w:b/>
          <w:szCs w:val="24"/>
        </w:rPr>
      </w:pPr>
    </w:p>
    <w:p>
      <w:pPr>
        <w:pStyle w:val="25"/>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四</w:t>
      </w:r>
      <w:r>
        <w:rPr>
          <w:rFonts w:hint="eastAsia" w:ascii="宋体" w:hAnsi="宋体" w:cs="Times New Roman"/>
          <w:b/>
          <w:szCs w:val="24"/>
        </w:rPr>
        <w:t xml:space="preserve">章 </w:t>
      </w:r>
      <w:r>
        <w:rPr>
          <w:rFonts w:hint="eastAsia" w:ascii="宋体" w:hAnsi="宋体"/>
          <w:b/>
          <w:szCs w:val="24"/>
        </w:rPr>
        <w:t>廉洁协议</w:t>
      </w:r>
    </w:p>
    <w:p>
      <w:pPr>
        <w:pStyle w:val="10"/>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Times New Roman" w:hAnsi="Times New Roman" w:eastAsia="Cambria Math" w:cs="Times New Roman"/>
          <w:sz w:val="96"/>
          <w:szCs w:val="22"/>
        </w:rPr>
      </w:pPr>
      <w:r>
        <w:rPr>
          <w:rFonts w:hint="eastAsia" w:ascii="宋体" w:hAnsi="宋体" w:eastAsia="宋体" w:cs="宋体"/>
          <w:spacing w:val="20"/>
          <w:sz w:val="32"/>
          <w:szCs w:val="32"/>
        </w:rPr>
        <w:t>（密封封面格式）（仅供参考）</w:t>
      </w: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2025年焚烧车间A线窑头进料装置改造采购项目</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202506035</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w:t>
      </w:r>
      <w:r>
        <w:rPr>
          <w:rFonts w:hint="eastAsia" w:cs="仿宋" w:asciiTheme="minorEastAsia" w:hAnsiTheme="minorEastAsia"/>
          <w:sz w:val="24"/>
          <w:lang w:val="en-US" w:eastAsia="zh-CN"/>
        </w:rPr>
        <w:t>其他资格</w:t>
      </w:r>
      <w:r>
        <w:rPr>
          <w:rFonts w:hint="eastAsia" w:cs="仿宋" w:asciiTheme="minorEastAsia" w:hAnsiTheme="minorEastAsia"/>
          <w:sz w:val="24"/>
        </w:rPr>
        <w:t>要求（如果有）………………………………………（页码）</w:t>
      </w:r>
    </w:p>
    <w:p>
      <w:pPr>
        <w:snapToGrid w:val="0"/>
        <w:spacing w:line="360" w:lineRule="auto"/>
        <w:rPr>
          <w:rFonts w:cs="仿宋" w:asciiTheme="minorEastAsia" w:hAnsiTheme="minorEastAsia"/>
          <w:sz w:val="24"/>
          <w:highlight w:val="yellow"/>
        </w:rPr>
      </w:pPr>
      <w:r>
        <w:rPr>
          <w:rFonts w:hint="eastAsia" w:cs="仿宋" w:asciiTheme="minorEastAsia" w:hAnsiTheme="minorEastAsia"/>
          <w:sz w:val="24"/>
          <w:highlight w:val="yellow"/>
        </w:rPr>
        <w:t>（</w:t>
      </w:r>
      <w:r>
        <w:rPr>
          <w:rFonts w:hint="eastAsia" w:cs="仿宋" w:asciiTheme="minorEastAsia" w:hAnsiTheme="minorEastAsia"/>
          <w:sz w:val="24"/>
          <w:highlight w:val="yellow"/>
          <w:lang w:val="en-US" w:eastAsia="zh-CN"/>
        </w:rPr>
        <w:t>4</w:t>
      </w:r>
      <w:r>
        <w:rPr>
          <w:rFonts w:hint="eastAsia" w:cs="仿宋" w:asciiTheme="minorEastAsia" w:hAnsiTheme="minorEastAsia"/>
          <w:sz w:val="24"/>
          <w:highlight w:val="yellow"/>
        </w:rPr>
        <w:t>）本项目的</w:t>
      </w:r>
      <w:r>
        <w:rPr>
          <w:rFonts w:hint="eastAsia" w:cs="仿宋" w:asciiTheme="minorEastAsia" w:hAnsiTheme="minorEastAsia"/>
          <w:sz w:val="24"/>
          <w:highlight w:val="yellow"/>
          <w:lang w:val="en-US" w:eastAsia="zh-CN"/>
        </w:rPr>
        <w:t>询价保证金银行电子回单</w:t>
      </w:r>
      <w:r>
        <w:rPr>
          <w:rFonts w:hint="eastAsia" w:cs="仿宋" w:asciiTheme="minorEastAsia" w:hAnsiTheme="minorEastAsia"/>
          <w:sz w:val="24"/>
          <w:highlight w:val="yellow"/>
        </w:rPr>
        <w:t>（如果有）……………………（页码）</w:t>
      </w:r>
    </w:p>
    <w:p>
      <w:pPr>
        <w:snapToGrid w:val="0"/>
        <w:spacing w:line="360" w:lineRule="auto"/>
        <w:rPr>
          <w:rFonts w:hint="eastAsia" w:cs="仿宋" w:asciiTheme="minorEastAsia" w:hAnsiTheme="minorEastAsia"/>
          <w:sz w:val="24"/>
        </w:rPr>
      </w:pPr>
    </w:p>
    <w:p>
      <w:pPr>
        <w:pStyle w:val="7"/>
      </w:pPr>
    </w:p>
    <w:p>
      <w:pPr>
        <w:pStyle w:val="8"/>
      </w:pPr>
    </w:p>
    <w:p/>
    <w:p>
      <w:pPr>
        <w:pStyle w:val="7"/>
      </w:pPr>
    </w:p>
    <w:p>
      <w:pPr>
        <w:pStyle w:val="8"/>
      </w:pPr>
    </w:p>
    <w:p/>
    <w:p>
      <w:pPr>
        <w:pStyle w:val="7"/>
      </w:pPr>
    </w:p>
    <w:p>
      <w:pPr>
        <w:pStyle w:val="8"/>
      </w:pPr>
    </w:p>
    <w:p/>
    <w:p>
      <w:pPr>
        <w:pStyle w:val="7"/>
      </w:pPr>
    </w:p>
    <w:p>
      <w:pPr>
        <w:pStyle w:val="8"/>
      </w:pPr>
    </w:p>
    <w:p>
      <w:pPr>
        <w:pStyle w:val="9"/>
      </w:pPr>
    </w:p>
    <w:p/>
    <w:p/>
    <w:p/>
    <w:p/>
    <w:p/>
    <w:p>
      <w:pPr>
        <w:pStyle w:val="7"/>
      </w:pPr>
    </w:p>
    <w:p>
      <w:pPr>
        <w:pStyle w:val="8"/>
      </w:pPr>
    </w:p>
    <w:p/>
    <w:p>
      <w:pPr>
        <w:pStyle w:val="7"/>
      </w:pPr>
    </w:p>
    <w:p>
      <w:pPr>
        <w:pStyle w:val="8"/>
      </w:pPr>
    </w:p>
    <w:p>
      <w:pPr>
        <w:pStyle w:val="9"/>
      </w:pPr>
    </w:p>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2025年焚烧车间A线窑头进料装置改造采购项目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202506035</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8"/>
      </w:pPr>
    </w:p>
    <w:p/>
    <w:p>
      <w:pPr>
        <w:pStyle w:val="7"/>
      </w:pPr>
    </w:p>
    <w:p>
      <w:pPr>
        <w:pStyle w:val="8"/>
      </w:pPr>
    </w:p>
    <w:p/>
    <w:p>
      <w:pPr>
        <w:pStyle w:val="7"/>
      </w:pPr>
    </w:p>
    <w:p>
      <w:pPr>
        <w:pStyle w:val="8"/>
      </w:pPr>
    </w:p>
    <w:p/>
    <w:p>
      <w:pPr>
        <w:pStyle w:val="14"/>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7"/>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w:t>
      </w:r>
      <w:r>
        <w:rPr>
          <w:rFonts w:hint="eastAsia" w:cs="仿宋" w:asciiTheme="minorEastAsia" w:hAnsiTheme="minorEastAsia"/>
          <w:b/>
          <w:kern w:val="0"/>
          <w:sz w:val="32"/>
          <w:szCs w:val="32"/>
          <w:lang w:val="en-US" w:eastAsia="zh-CN"/>
        </w:rPr>
        <w:t>其他</w:t>
      </w:r>
      <w:r>
        <w:rPr>
          <w:rFonts w:hint="eastAsia" w:cs="仿宋" w:asciiTheme="minorEastAsia" w:hAnsiTheme="minorEastAsia"/>
          <w:b/>
          <w:kern w:val="0"/>
          <w:sz w:val="32"/>
          <w:szCs w:val="32"/>
        </w:rPr>
        <w:t>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w:t>
      </w:r>
      <w:r>
        <w:rPr>
          <w:rFonts w:hint="eastAsia" w:cs="仿宋" w:asciiTheme="minorEastAsia" w:hAnsiTheme="minorEastAsia"/>
          <w:sz w:val="24"/>
          <w:lang w:val="en-US" w:eastAsia="zh-CN"/>
        </w:rPr>
        <w:t>其他</w:t>
      </w:r>
      <w:r>
        <w:rPr>
          <w:rFonts w:hint="eastAsia" w:cs="仿宋" w:asciiTheme="minorEastAsia" w:hAnsiTheme="minorEastAsia"/>
          <w:sz w:val="24"/>
        </w:rPr>
        <w:t>要求提供相应的材料，如业绩证明材料、特殊行业许可证书等；未要求的，无需提供）</w:t>
      </w:r>
    </w:p>
    <w:p/>
    <w:p>
      <w:pPr>
        <w:pStyle w:val="7"/>
      </w:pPr>
    </w:p>
    <w:p>
      <w:pPr>
        <w:pStyle w:val="8"/>
      </w:pPr>
    </w:p>
    <w:p/>
    <w:p>
      <w:pPr>
        <w:pStyle w:val="7"/>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pPr>
        <w:pStyle w:val="8"/>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7"/>
      </w:pPr>
    </w:p>
    <w:p>
      <w:pPr>
        <w:pStyle w:val="8"/>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pPr>
        <w:snapToGrid w:val="0"/>
        <w:spacing w:line="360" w:lineRule="auto"/>
        <w:rPr>
          <w:rFonts w:cs="仿宋" w:asciiTheme="minorEastAsia" w:hAnsiTheme="minorEastAsia"/>
          <w:sz w:val="24"/>
        </w:rPr>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ind w:left="0" w:leftChars="0" w:firstLine="0" w:firstLineChars="0"/>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2025年焚烧车间A线窑头进料装置改造采购项目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202506035</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7"/>
      </w:pPr>
    </w:p>
    <w:p>
      <w:pPr>
        <w:pStyle w:val="8"/>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2025年焚烧车间A线窑头进料装置改造采购项目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202506035</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pPr>
    </w:p>
    <w:p/>
    <w:p>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8"/>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8"/>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pPr>
        <w:pStyle w:val="14"/>
        <w:rPr>
          <w:lang w:val="zh-CN"/>
        </w:rPr>
      </w:pPr>
    </w:p>
    <w:p>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4"/>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2025年焚烧车间A线窑头进料装置改造采购项目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202506035</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4.我公司保证提供采购人要求的全部产品，若提供的产品和采购人要求的不一致，我公司保证于3日内提供生产厂家证明及市场调查证明，说明所提供货物优于采购人要求。若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，则我公司愿意承担相关违约责任。</w:t>
      </w:r>
    </w:p>
    <w:p>
      <w:pPr>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jc w:val="center"/>
        <w:rPr>
          <w:sz w:val="32"/>
          <w:szCs w:val="32"/>
        </w:rPr>
      </w:pPr>
      <w:r>
        <w:rPr>
          <w:rFonts w:hint="eastAsia"/>
          <w:sz w:val="32"/>
          <w:szCs w:val="32"/>
        </w:rPr>
        <w:t>一 、 报价函</w:t>
      </w:r>
    </w:p>
    <w:p>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2025年焚烧车间A线窑头进料装置改造采购项目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202506035</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货物类发票</w:t>
      </w:r>
      <w:r>
        <w:rPr>
          <w:rFonts w:hint="eastAsia" w:ascii="宋体" w:hAnsi="宋体" w:eastAsia="宋体" w:cs="宋体"/>
          <w:b/>
          <w:bCs/>
          <w:sz w:val="28"/>
          <w:szCs w:val="28"/>
          <w:lang w:eastAsia="zh-CN"/>
        </w:rPr>
        <w:t>）</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30"/>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30"/>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ind w:firstLine="480" w:firstLineChars="200"/>
        <w:jc w:val="left"/>
        <w:rPr>
          <w:rFonts w:hAnsi="宋体" w:cs="宋体"/>
        </w:rPr>
      </w:pPr>
    </w:p>
    <w:p>
      <w:pPr>
        <w:pStyle w:val="7"/>
        <w:ind w:firstLine="480" w:firstLineChars="200"/>
        <w:jc w:val="left"/>
        <w:rPr>
          <w:rFonts w:hAnsi="宋体" w:cs="宋体"/>
        </w:rPr>
      </w:pPr>
    </w:p>
    <w:p>
      <w:pPr>
        <w:pStyle w:val="7"/>
        <w:jc w:val="left"/>
        <w:rPr>
          <w:rFonts w:hAnsi="宋体" w:cs="宋体"/>
        </w:rPr>
      </w:pPr>
      <w:r>
        <w:rPr>
          <w:rFonts w:hint="eastAsia" w:hAnsi="宋体" w:cs="宋体"/>
        </w:rPr>
        <w:t>供应商名称：（盖单位公章）</w:t>
      </w:r>
    </w:p>
    <w:p>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tabs>
          <w:tab w:val="left" w:pos="4101"/>
        </w:tabs>
        <w:jc w:val="left"/>
        <w:rPr>
          <w:rFonts w:hAnsi="宋体" w:cs="宋体"/>
        </w:rPr>
      </w:pPr>
      <w:r>
        <w:rPr>
          <w:rFonts w:hint="eastAsia" w:hAnsi="宋体" w:cs="宋体"/>
        </w:rPr>
        <w:t>地址：</w:t>
      </w:r>
    </w:p>
    <w:p>
      <w:pPr>
        <w:pStyle w:val="7"/>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31"/>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2025年焚烧车间A线窑头进料装置改造采购项目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202506035</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7"/>
        <w:tblW w:w="123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44"/>
        <w:gridCol w:w="2968"/>
        <w:gridCol w:w="1819"/>
        <w:gridCol w:w="691"/>
        <w:gridCol w:w="720"/>
        <w:gridCol w:w="1172"/>
        <w:gridCol w:w="1369"/>
        <w:gridCol w:w="2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5" w:hRule="atLeast"/>
          <w:jc w:val="center"/>
        </w:trPr>
        <w:tc>
          <w:tcPr>
            <w:tcW w:w="1044" w:type="dxa"/>
            <w:shd w:val="clear" w:color="FFFFFF"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序号</w:t>
            </w:r>
          </w:p>
        </w:tc>
        <w:tc>
          <w:tcPr>
            <w:tcW w:w="2968" w:type="dxa"/>
            <w:shd w:val="clear" w:color="FFFFFF"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设备名称</w:t>
            </w:r>
          </w:p>
        </w:tc>
        <w:tc>
          <w:tcPr>
            <w:tcW w:w="1819" w:type="dxa"/>
            <w:shd w:val="clear" w:color="FFFFFF"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w:t>
            </w:r>
          </w:p>
        </w:tc>
        <w:tc>
          <w:tcPr>
            <w:tcW w:w="691" w:type="dxa"/>
            <w:shd w:val="clear" w:color="FFFFFF"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数量</w:t>
            </w:r>
          </w:p>
        </w:tc>
        <w:tc>
          <w:tcPr>
            <w:tcW w:w="720" w:type="dxa"/>
            <w:shd w:val="clear" w:color="FFFFFF"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单位</w:t>
            </w:r>
          </w:p>
        </w:tc>
        <w:tc>
          <w:tcPr>
            <w:tcW w:w="1172" w:type="dxa"/>
            <w:shd w:val="clear" w:color="FFFFFF"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单价</w:t>
            </w:r>
          </w:p>
        </w:tc>
        <w:tc>
          <w:tcPr>
            <w:tcW w:w="1369" w:type="dxa"/>
            <w:shd w:val="clear" w:color="FFFFFF"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金额</w:t>
            </w:r>
          </w:p>
        </w:tc>
        <w:tc>
          <w:tcPr>
            <w:tcW w:w="2566" w:type="dxa"/>
            <w:shd w:val="clear" w:color="FFFFFF"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104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96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板式给料机</w:t>
            </w:r>
          </w:p>
        </w:tc>
        <w:tc>
          <w:tcPr>
            <w:tcW w:w="181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正常输送能力：15m3/h，1000*4800mm，防爆等级：ExdIIBT4</w:t>
            </w:r>
          </w:p>
        </w:tc>
        <w:tc>
          <w:tcPr>
            <w:tcW w:w="6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7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17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6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566" w:type="dxa"/>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含支撑框架及支座、集料斗、检修平台制作和安装，含电缆、操作柱、安装辅材、DCS组态等；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4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296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落料清扫装置</w:t>
            </w:r>
          </w:p>
        </w:tc>
        <w:tc>
          <w:tcPr>
            <w:tcW w:w="181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配套板式给料机</w:t>
            </w:r>
          </w:p>
        </w:tc>
        <w:tc>
          <w:tcPr>
            <w:tcW w:w="6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7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17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6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566" w:type="dxa"/>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4012" w:type="dxa"/>
            <w:gridSpan w:val="2"/>
            <w:shd w:val="clear" w:color="auto" w:fill="auto"/>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4"/>
              </w:rPr>
              <w:t>响应报价合计（小写）</w:t>
            </w:r>
          </w:p>
        </w:tc>
        <w:tc>
          <w:tcPr>
            <w:tcW w:w="8337" w:type="dxa"/>
            <w:gridSpan w:val="6"/>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6" w:hRule="atLeast"/>
          <w:jc w:val="center"/>
        </w:trPr>
        <w:tc>
          <w:tcPr>
            <w:tcW w:w="4012" w:type="dxa"/>
            <w:gridSpan w:val="2"/>
            <w:shd w:val="clear" w:color="auto" w:fill="auto"/>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4"/>
              </w:rPr>
              <w:t>响应报价合计（大写）</w:t>
            </w:r>
          </w:p>
        </w:tc>
        <w:tc>
          <w:tcPr>
            <w:tcW w:w="8337" w:type="dxa"/>
            <w:gridSpan w:val="6"/>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4012" w:type="dxa"/>
            <w:gridSpan w:val="2"/>
            <w:shd w:val="clear" w:color="auto" w:fill="auto"/>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4"/>
              </w:rPr>
              <w:t>税率</w:t>
            </w:r>
          </w:p>
        </w:tc>
        <w:tc>
          <w:tcPr>
            <w:tcW w:w="8337" w:type="dxa"/>
            <w:gridSpan w:val="6"/>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 xml:space="preserve">  </w:t>
            </w: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pStyle w:val="7"/>
      </w:pPr>
    </w:p>
    <w:p>
      <w:pPr>
        <w:pStyle w:val="8"/>
      </w:pPr>
    </w:p>
    <w:p/>
    <w:p>
      <w:pPr>
        <w:pStyle w:val="7"/>
      </w:pPr>
    </w:p>
    <w:p>
      <w:pPr>
        <w:pStyle w:val="8"/>
      </w:pPr>
    </w:p>
    <w:p/>
    <w:p>
      <w:pPr>
        <w:pStyle w:val="7"/>
      </w:pPr>
    </w:p>
    <w:p>
      <w:pPr>
        <w:pStyle w:val="8"/>
      </w:pPr>
    </w:p>
    <w:p/>
    <w:p>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pStyle w:val="11"/>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2025年焚烧车间A线窑头进料装置改造采购项目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202506035</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伍仟捌佰元</w:t>
            </w:r>
            <w:r>
              <w:rPr>
                <w:rFonts w:hint="eastAsia" w:ascii="宋体" w:hAnsi="宋体" w:cs="宋体"/>
                <w:sz w:val="24"/>
              </w:rPr>
              <w:t>人民币</w:t>
            </w:r>
          </w:p>
          <w:p>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5800  </w:t>
            </w:r>
            <w:r>
              <w:rPr>
                <w:rFonts w:hint="eastAsia" w:ascii="宋体" w:hAnsi="宋体" w:cs="宋体"/>
                <w:sz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7"/>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2025年焚烧车间A线窑头进料装置改造采购项目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202506035</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u w:val="single"/>
          <w:lang w:val="en-US" w:eastAsia="zh-CN"/>
        </w:rPr>
        <w:t>伍仟捌佰元</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u w:val="single"/>
          <w:lang w:val="en-US" w:eastAsia="zh-CN"/>
        </w:rPr>
        <w:t>5800</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1"/>
        <w:rPr>
          <w:rFonts w:hint="eastAsia" w:hAnsi="宋体" w:cs="宋体"/>
          <w:b/>
          <w:bCs/>
          <w:sz w:val="24"/>
        </w:rPr>
      </w:pPr>
    </w:p>
    <w:p>
      <w:pPr>
        <w:pStyle w:val="11"/>
        <w:rPr>
          <w:rFonts w:hint="eastAsia" w:hAnsi="宋体" w:cs="宋体"/>
          <w:b/>
          <w:bCs/>
          <w:sz w:val="24"/>
        </w:rPr>
      </w:pPr>
    </w:p>
    <w:p>
      <w:pPr>
        <w:pStyle w:val="11"/>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spacing w:line="360" w:lineRule="auto"/>
        <w:rPr>
          <w:rFonts w:hint="eastAsia" w:cs="仿宋" w:asciiTheme="minorEastAsia" w:hAnsiTheme="minorEastAsia"/>
          <w:b/>
          <w:spacing w:val="6"/>
          <w:sz w:val="32"/>
          <w:szCs w:val="32"/>
        </w:rPr>
      </w:pPr>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4"/>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pStyle w:val="16"/>
        <w:jc w:val="both"/>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ascii="仿宋" w:hAnsi="仿宋" w:eastAsia="仿宋" w:cs="仿宋"/>
        <w:i/>
        <w:iCs/>
      </w:rPr>
    </w:pPr>
  </w:p>
  <w:p>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OWYxOWQ1M2RlMTVmMmVlM2ZiNTk4NDdlNjQ4ZjY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74493"/>
    <w:rsid w:val="03CA5C6D"/>
    <w:rsid w:val="03E73A55"/>
    <w:rsid w:val="04356C58"/>
    <w:rsid w:val="04E634F4"/>
    <w:rsid w:val="050E5C2F"/>
    <w:rsid w:val="057311F3"/>
    <w:rsid w:val="05953E92"/>
    <w:rsid w:val="05A4392C"/>
    <w:rsid w:val="05B622F4"/>
    <w:rsid w:val="06803F38"/>
    <w:rsid w:val="068079A2"/>
    <w:rsid w:val="06897EFF"/>
    <w:rsid w:val="07013F3A"/>
    <w:rsid w:val="077922F3"/>
    <w:rsid w:val="078B333A"/>
    <w:rsid w:val="07A67451"/>
    <w:rsid w:val="07C24B12"/>
    <w:rsid w:val="07D15ABF"/>
    <w:rsid w:val="087E795F"/>
    <w:rsid w:val="09104908"/>
    <w:rsid w:val="09EC7123"/>
    <w:rsid w:val="09ED56C9"/>
    <w:rsid w:val="0B4954E7"/>
    <w:rsid w:val="0B530D41"/>
    <w:rsid w:val="0B652758"/>
    <w:rsid w:val="0B9D71A5"/>
    <w:rsid w:val="0BF7590B"/>
    <w:rsid w:val="0BFE313E"/>
    <w:rsid w:val="0C177D5B"/>
    <w:rsid w:val="0C2A044F"/>
    <w:rsid w:val="0C492847"/>
    <w:rsid w:val="0CF31D21"/>
    <w:rsid w:val="0D89320B"/>
    <w:rsid w:val="0D8B0B2E"/>
    <w:rsid w:val="0EC870E3"/>
    <w:rsid w:val="0F111837"/>
    <w:rsid w:val="0F2F6501"/>
    <w:rsid w:val="0F81598B"/>
    <w:rsid w:val="0FB91E94"/>
    <w:rsid w:val="10C76755"/>
    <w:rsid w:val="10CB7DEC"/>
    <w:rsid w:val="111E777C"/>
    <w:rsid w:val="11B04EDA"/>
    <w:rsid w:val="11C46A46"/>
    <w:rsid w:val="11C4717C"/>
    <w:rsid w:val="11D64215"/>
    <w:rsid w:val="11F35B37"/>
    <w:rsid w:val="1241012A"/>
    <w:rsid w:val="12D86145"/>
    <w:rsid w:val="12E110C3"/>
    <w:rsid w:val="13175B3D"/>
    <w:rsid w:val="135A601C"/>
    <w:rsid w:val="143E2438"/>
    <w:rsid w:val="14422232"/>
    <w:rsid w:val="144D6A10"/>
    <w:rsid w:val="149D2B06"/>
    <w:rsid w:val="14DF7D0B"/>
    <w:rsid w:val="152B7330"/>
    <w:rsid w:val="152C0D1B"/>
    <w:rsid w:val="152F207E"/>
    <w:rsid w:val="15493F17"/>
    <w:rsid w:val="15CB2DA0"/>
    <w:rsid w:val="16135A37"/>
    <w:rsid w:val="166F3635"/>
    <w:rsid w:val="16806E74"/>
    <w:rsid w:val="17AF353E"/>
    <w:rsid w:val="17F53FEF"/>
    <w:rsid w:val="185870FA"/>
    <w:rsid w:val="185A544F"/>
    <w:rsid w:val="18890233"/>
    <w:rsid w:val="18A60DE5"/>
    <w:rsid w:val="190D49C0"/>
    <w:rsid w:val="19244BA8"/>
    <w:rsid w:val="194A1770"/>
    <w:rsid w:val="198737C7"/>
    <w:rsid w:val="19976A31"/>
    <w:rsid w:val="19A15FDA"/>
    <w:rsid w:val="19DC6BDA"/>
    <w:rsid w:val="1A4B1C44"/>
    <w:rsid w:val="1A972372"/>
    <w:rsid w:val="1AA56FDE"/>
    <w:rsid w:val="1B1B25BA"/>
    <w:rsid w:val="1B7913A6"/>
    <w:rsid w:val="1D61352C"/>
    <w:rsid w:val="1D882867"/>
    <w:rsid w:val="1DC64ADE"/>
    <w:rsid w:val="1DCF6B00"/>
    <w:rsid w:val="1DFA0457"/>
    <w:rsid w:val="1E543091"/>
    <w:rsid w:val="1E5F5CBE"/>
    <w:rsid w:val="1E612CA7"/>
    <w:rsid w:val="1E8307F5"/>
    <w:rsid w:val="1F457921"/>
    <w:rsid w:val="1FAD5F5A"/>
    <w:rsid w:val="20336750"/>
    <w:rsid w:val="20457135"/>
    <w:rsid w:val="20575BA5"/>
    <w:rsid w:val="2075762A"/>
    <w:rsid w:val="2091148E"/>
    <w:rsid w:val="20B13F02"/>
    <w:rsid w:val="20D12777"/>
    <w:rsid w:val="20FB672E"/>
    <w:rsid w:val="213339C4"/>
    <w:rsid w:val="21677697"/>
    <w:rsid w:val="219409C9"/>
    <w:rsid w:val="21C81DCC"/>
    <w:rsid w:val="226D415C"/>
    <w:rsid w:val="228D26CE"/>
    <w:rsid w:val="22916FA5"/>
    <w:rsid w:val="230E1A60"/>
    <w:rsid w:val="23922209"/>
    <w:rsid w:val="23C64579"/>
    <w:rsid w:val="23EC5AE3"/>
    <w:rsid w:val="247C6E9E"/>
    <w:rsid w:val="24A51F50"/>
    <w:rsid w:val="24E24F53"/>
    <w:rsid w:val="255F3C97"/>
    <w:rsid w:val="25650E5F"/>
    <w:rsid w:val="25674FDE"/>
    <w:rsid w:val="25C26B32"/>
    <w:rsid w:val="26010880"/>
    <w:rsid w:val="26F15921"/>
    <w:rsid w:val="27B05B28"/>
    <w:rsid w:val="28515521"/>
    <w:rsid w:val="28D92620"/>
    <w:rsid w:val="294E0F60"/>
    <w:rsid w:val="29760BDE"/>
    <w:rsid w:val="2987716A"/>
    <w:rsid w:val="29A81DF2"/>
    <w:rsid w:val="29AE18A7"/>
    <w:rsid w:val="2A1C39EA"/>
    <w:rsid w:val="2A6366FF"/>
    <w:rsid w:val="2A8A1B8D"/>
    <w:rsid w:val="2B3D5BF4"/>
    <w:rsid w:val="2C4141D8"/>
    <w:rsid w:val="2C675B51"/>
    <w:rsid w:val="2C950AFD"/>
    <w:rsid w:val="2D210C4A"/>
    <w:rsid w:val="2D2F064E"/>
    <w:rsid w:val="2E7A56DC"/>
    <w:rsid w:val="2E9F315C"/>
    <w:rsid w:val="2EBA484A"/>
    <w:rsid w:val="2ED90B63"/>
    <w:rsid w:val="2F4D3609"/>
    <w:rsid w:val="2F5836E9"/>
    <w:rsid w:val="300206D5"/>
    <w:rsid w:val="30062480"/>
    <w:rsid w:val="30556F21"/>
    <w:rsid w:val="308C5F1F"/>
    <w:rsid w:val="30CE282F"/>
    <w:rsid w:val="31111553"/>
    <w:rsid w:val="31191AA6"/>
    <w:rsid w:val="314B6E80"/>
    <w:rsid w:val="31A05328"/>
    <w:rsid w:val="32843E96"/>
    <w:rsid w:val="32C410E7"/>
    <w:rsid w:val="32EC2577"/>
    <w:rsid w:val="334341C1"/>
    <w:rsid w:val="33E52935"/>
    <w:rsid w:val="33F2545E"/>
    <w:rsid w:val="34155E66"/>
    <w:rsid w:val="34454474"/>
    <w:rsid w:val="34AF40BC"/>
    <w:rsid w:val="34D33C65"/>
    <w:rsid w:val="36043E6C"/>
    <w:rsid w:val="36162BCB"/>
    <w:rsid w:val="364530C9"/>
    <w:rsid w:val="36A71B58"/>
    <w:rsid w:val="37103BA1"/>
    <w:rsid w:val="37514AF4"/>
    <w:rsid w:val="376C0028"/>
    <w:rsid w:val="377C0298"/>
    <w:rsid w:val="37B04D36"/>
    <w:rsid w:val="37C65D75"/>
    <w:rsid w:val="37D2523E"/>
    <w:rsid w:val="39355C80"/>
    <w:rsid w:val="39C31C6C"/>
    <w:rsid w:val="3A0E5FD4"/>
    <w:rsid w:val="3A12693C"/>
    <w:rsid w:val="3A207904"/>
    <w:rsid w:val="3A314864"/>
    <w:rsid w:val="3A6303AE"/>
    <w:rsid w:val="3A836438"/>
    <w:rsid w:val="3A993EAE"/>
    <w:rsid w:val="3AB61186"/>
    <w:rsid w:val="3AF15A98"/>
    <w:rsid w:val="3C283344"/>
    <w:rsid w:val="3C485F9D"/>
    <w:rsid w:val="3C7C70D7"/>
    <w:rsid w:val="3C940DD1"/>
    <w:rsid w:val="3D6F7796"/>
    <w:rsid w:val="3D7804A8"/>
    <w:rsid w:val="3E0C6463"/>
    <w:rsid w:val="3E32264F"/>
    <w:rsid w:val="3EE43BF5"/>
    <w:rsid w:val="403E57B7"/>
    <w:rsid w:val="405363C6"/>
    <w:rsid w:val="411A0F39"/>
    <w:rsid w:val="41313092"/>
    <w:rsid w:val="415A5C88"/>
    <w:rsid w:val="41CE08E1"/>
    <w:rsid w:val="42112513"/>
    <w:rsid w:val="42181B5C"/>
    <w:rsid w:val="42235DCF"/>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E6F39"/>
    <w:rsid w:val="4B6E282F"/>
    <w:rsid w:val="4BAC48C9"/>
    <w:rsid w:val="4BB27DC6"/>
    <w:rsid w:val="4BDC66D4"/>
    <w:rsid w:val="4BED565E"/>
    <w:rsid w:val="4C192E4D"/>
    <w:rsid w:val="4C883C6A"/>
    <w:rsid w:val="4CAE18D6"/>
    <w:rsid w:val="4CD52BD1"/>
    <w:rsid w:val="4CEA2347"/>
    <w:rsid w:val="4D0413E5"/>
    <w:rsid w:val="4D19039B"/>
    <w:rsid w:val="4D243428"/>
    <w:rsid w:val="4D2D7FC0"/>
    <w:rsid w:val="4E1E04FA"/>
    <w:rsid w:val="4E604FB7"/>
    <w:rsid w:val="4EFA25EF"/>
    <w:rsid w:val="4F0B04A7"/>
    <w:rsid w:val="4F2C043D"/>
    <w:rsid w:val="4F9246A8"/>
    <w:rsid w:val="4FBC621D"/>
    <w:rsid w:val="4FC275AB"/>
    <w:rsid w:val="4FEB08B0"/>
    <w:rsid w:val="50A13664"/>
    <w:rsid w:val="50EE1EB6"/>
    <w:rsid w:val="50F33EC0"/>
    <w:rsid w:val="516D42D4"/>
    <w:rsid w:val="51937E4D"/>
    <w:rsid w:val="52383592"/>
    <w:rsid w:val="523875F5"/>
    <w:rsid w:val="52506204"/>
    <w:rsid w:val="52BE22AC"/>
    <w:rsid w:val="53FA1DF3"/>
    <w:rsid w:val="541A7921"/>
    <w:rsid w:val="541D55E2"/>
    <w:rsid w:val="54AB2D04"/>
    <w:rsid w:val="557B35BC"/>
    <w:rsid w:val="565C1CF5"/>
    <w:rsid w:val="56E235EF"/>
    <w:rsid w:val="571F3A0C"/>
    <w:rsid w:val="574E47D2"/>
    <w:rsid w:val="57730CE2"/>
    <w:rsid w:val="57DC32D5"/>
    <w:rsid w:val="57F2034A"/>
    <w:rsid w:val="58207565"/>
    <w:rsid w:val="58235318"/>
    <w:rsid w:val="5889510A"/>
    <w:rsid w:val="59121C77"/>
    <w:rsid w:val="59DE0E09"/>
    <w:rsid w:val="59DF6851"/>
    <w:rsid w:val="5A283DD0"/>
    <w:rsid w:val="5ACD76EE"/>
    <w:rsid w:val="5AD36B10"/>
    <w:rsid w:val="5B091590"/>
    <w:rsid w:val="5B366E46"/>
    <w:rsid w:val="5B3D7F5F"/>
    <w:rsid w:val="5B460326"/>
    <w:rsid w:val="5B9404C9"/>
    <w:rsid w:val="5C7B276E"/>
    <w:rsid w:val="5C9A592C"/>
    <w:rsid w:val="5D1066F9"/>
    <w:rsid w:val="5D9E638A"/>
    <w:rsid w:val="5DF85390"/>
    <w:rsid w:val="5E2778DC"/>
    <w:rsid w:val="5E8E347A"/>
    <w:rsid w:val="5F0279C4"/>
    <w:rsid w:val="5F944466"/>
    <w:rsid w:val="5FA840C8"/>
    <w:rsid w:val="5FBE7D8F"/>
    <w:rsid w:val="60470EFE"/>
    <w:rsid w:val="60844C26"/>
    <w:rsid w:val="60A9029A"/>
    <w:rsid w:val="60DA29A7"/>
    <w:rsid w:val="60FA16F8"/>
    <w:rsid w:val="6139287F"/>
    <w:rsid w:val="616D4934"/>
    <w:rsid w:val="61791FD8"/>
    <w:rsid w:val="61CA0C65"/>
    <w:rsid w:val="62C642C8"/>
    <w:rsid w:val="631B2246"/>
    <w:rsid w:val="6320666B"/>
    <w:rsid w:val="63CF15A0"/>
    <w:rsid w:val="63DE576D"/>
    <w:rsid w:val="64055963"/>
    <w:rsid w:val="65A92947"/>
    <w:rsid w:val="661A50B7"/>
    <w:rsid w:val="665B123D"/>
    <w:rsid w:val="66976C44"/>
    <w:rsid w:val="66F30BCE"/>
    <w:rsid w:val="673C0170"/>
    <w:rsid w:val="673E5F91"/>
    <w:rsid w:val="677A6041"/>
    <w:rsid w:val="6796410E"/>
    <w:rsid w:val="67BC07C3"/>
    <w:rsid w:val="67D6317A"/>
    <w:rsid w:val="67D649B5"/>
    <w:rsid w:val="68C401D4"/>
    <w:rsid w:val="68ED6365"/>
    <w:rsid w:val="6A4E3ABD"/>
    <w:rsid w:val="6AE63D7E"/>
    <w:rsid w:val="6B1FB0C7"/>
    <w:rsid w:val="6B462C2B"/>
    <w:rsid w:val="6B5F2204"/>
    <w:rsid w:val="6B8359E9"/>
    <w:rsid w:val="6B8C5108"/>
    <w:rsid w:val="6BD277B9"/>
    <w:rsid w:val="6C321620"/>
    <w:rsid w:val="6C5C4BB7"/>
    <w:rsid w:val="6CE30E35"/>
    <w:rsid w:val="6D042203"/>
    <w:rsid w:val="6DA02882"/>
    <w:rsid w:val="6DA12E69"/>
    <w:rsid w:val="6DBB3B60"/>
    <w:rsid w:val="6E2C6F5B"/>
    <w:rsid w:val="6F0B4673"/>
    <w:rsid w:val="6F4831D1"/>
    <w:rsid w:val="700E4F44"/>
    <w:rsid w:val="70124E0E"/>
    <w:rsid w:val="70173239"/>
    <w:rsid w:val="70213B99"/>
    <w:rsid w:val="70BF4BE0"/>
    <w:rsid w:val="70CF43C6"/>
    <w:rsid w:val="711D3FA5"/>
    <w:rsid w:val="71C9107F"/>
    <w:rsid w:val="721A5B23"/>
    <w:rsid w:val="72B931C1"/>
    <w:rsid w:val="72CB03A1"/>
    <w:rsid w:val="730100E0"/>
    <w:rsid w:val="734A515C"/>
    <w:rsid w:val="738D03F5"/>
    <w:rsid w:val="73987BB2"/>
    <w:rsid w:val="73E442FB"/>
    <w:rsid w:val="73EF1E6D"/>
    <w:rsid w:val="74173DA2"/>
    <w:rsid w:val="74694588"/>
    <w:rsid w:val="75465FCB"/>
    <w:rsid w:val="76471CF3"/>
    <w:rsid w:val="76723FC6"/>
    <w:rsid w:val="767E5B01"/>
    <w:rsid w:val="76930879"/>
    <w:rsid w:val="76AE4262"/>
    <w:rsid w:val="778F44F9"/>
    <w:rsid w:val="77C17FC5"/>
    <w:rsid w:val="77F2017E"/>
    <w:rsid w:val="78A551F0"/>
    <w:rsid w:val="78D36201"/>
    <w:rsid w:val="78F771D6"/>
    <w:rsid w:val="79017606"/>
    <w:rsid w:val="79D7762B"/>
    <w:rsid w:val="79EB254B"/>
    <w:rsid w:val="7BA82ABD"/>
    <w:rsid w:val="7C757EAB"/>
    <w:rsid w:val="7D0A41BC"/>
    <w:rsid w:val="7D0A4B32"/>
    <w:rsid w:val="7D797C2B"/>
    <w:rsid w:val="7D823D52"/>
    <w:rsid w:val="7DAA2CC5"/>
    <w:rsid w:val="7DAC6A56"/>
    <w:rsid w:val="7E381ACE"/>
    <w:rsid w:val="7ED56104"/>
    <w:rsid w:val="7EF742CC"/>
    <w:rsid w:val="7FA426A6"/>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Normal (Web)"/>
    <w:basedOn w:val="1"/>
    <w:autoRedefine/>
    <w:qFormat/>
    <w:uiPriority w:val="99"/>
    <w:pPr>
      <w:widowControl/>
      <w:spacing w:before="100" w:beforeLines="0" w:beforeAutospacing="1" w:after="100" w:afterLines="0" w:afterAutospacing="1"/>
      <w:jc w:val="left"/>
    </w:pPr>
    <w:rPr>
      <w:rFonts w:ascii="宋体" w:hAnsi="宋体"/>
      <w:kern w:val="0"/>
      <w:sz w:val="24"/>
    </w:rPr>
  </w:style>
  <w:style w:type="paragraph" w:styleId="16">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2"/>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 w:type="paragraph" w:customStyle="1" w:styleId="36">
    <w:name w:val="正文文字缩进"/>
    <w:basedOn w:val="1"/>
    <w:autoRedefine/>
    <w:qFormat/>
    <w:uiPriority w:val="0"/>
    <w:pPr>
      <w:widowControl/>
      <w:spacing w:line="351" w:lineRule="atLeast"/>
      <w:ind w:firstLine="436"/>
      <w:textAlignment w:val="baseline"/>
    </w:pPr>
    <w:rPr>
      <w:color w:val="000000"/>
      <w:kern w:val="0"/>
      <w:sz w:val="30"/>
      <w:u w:color="000000"/>
    </w:rPr>
  </w:style>
  <w:style w:type="character" w:customStyle="1" w:styleId="37">
    <w:name w:val="font31"/>
    <w:basedOn w:val="19"/>
    <w:autoRedefine/>
    <w:qFormat/>
    <w:uiPriority w:val="0"/>
    <w:rPr>
      <w:rFonts w:hint="eastAsia" w:ascii="宋体" w:hAnsi="宋体" w:eastAsia="宋体" w:cs="宋体"/>
      <w:b/>
      <w:bCs/>
      <w:color w:val="000000"/>
      <w:sz w:val="20"/>
      <w:szCs w:val="20"/>
      <w:u w:val="none"/>
    </w:rPr>
  </w:style>
  <w:style w:type="character" w:customStyle="1" w:styleId="38">
    <w:name w:val="font41"/>
    <w:basedOn w:val="19"/>
    <w:autoRedefine/>
    <w:qFormat/>
    <w:uiPriority w:val="0"/>
    <w:rPr>
      <w:rFonts w:hint="eastAsia" w:ascii="宋体" w:hAnsi="宋体" w:eastAsia="宋体" w:cs="宋体"/>
      <w:color w:val="000000"/>
      <w:sz w:val="20"/>
      <w:szCs w:val="20"/>
      <w:u w:val="none"/>
    </w:rPr>
  </w:style>
  <w:style w:type="character" w:customStyle="1" w:styleId="39">
    <w:name w:val="font51"/>
    <w:basedOn w:val="19"/>
    <w:autoRedefine/>
    <w:qFormat/>
    <w:uiPriority w:val="0"/>
    <w:rPr>
      <w:rFonts w:ascii="Arial" w:hAnsi="Arial" w:cs="Arial"/>
      <w:color w:val="000000"/>
      <w:sz w:val="24"/>
      <w:szCs w:val="24"/>
      <w:u w:val="none"/>
    </w:rPr>
  </w:style>
  <w:style w:type="character" w:customStyle="1" w:styleId="40">
    <w:name w:val="font61"/>
    <w:basedOn w:val="19"/>
    <w:autoRedefine/>
    <w:qFormat/>
    <w:uiPriority w:val="0"/>
    <w:rPr>
      <w:rFonts w:hint="default" w:ascii="Arial" w:hAnsi="Arial" w:cs="Arial"/>
      <w:color w:val="000000"/>
      <w:sz w:val="24"/>
      <w:szCs w:val="24"/>
      <w:u w:val="none"/>
      <w:vertAlign w:val="superscript"/>
    </w:rPr>
  </w:style>
  <w:style w:type="character" w:customStyle="1" w:styleId="41">
    <w:name w:val="font71"/>
    <w:basedOn w:val="19"/>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7698</Words>
  <Characters>8492</Characters>
  <Lines>224</Lines>
  <Paragraphs>63</Paragraphs>
  <TotalTime>37</TotalTime>
  <ScaleCrop>false</ScaleCrop>
  <LinksUpToDate>false</LinksUpToDate>
  <CharactersWithSpaces>8703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陈培</cp:lastModifiedBy>
  <dcterms:modified xsi:type="dcterms:W3CDTF">2025-06-16T08:09:21Z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21A3561DBF6144A1BAAFBB9B86D3B9B7_13</vt:lpwstr>
  </property>
  <property fmtid="{D5CDD505-2E9C-101B-9397-08002B2CF9AE}" pid="4" name="KSOTemplateDocerSaveRecord">
    <vt:lpwstr>eyJoZGlkIjoiNWEyMzZkZjM2MDJhYjY1OWNjZDE1ZDE1YjY1MWQ5MjAiLCJ1c2VySWQiOiIyNTA2MTQ5NTQifQ==</vt:lpwstr>
  </property>
</Properties>
</file>