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pStyle w:val="12"/>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2025年B线溜槽及进料装置采购项目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202506035</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2"/>
      </w:pPr>
    </w:p>
    <w:p/>
    <w:p>
      <w:pPr>
        <w:pStyle w:val="12"/>
      </w:pPr>
    </w:p>
    <w:p/>
    <w:p>
      <w:pPr>
        <w:spacing w:line="360" w:lineRule="auto"/>
        <w:rPr>
          <w:rFonts w:cs="仿宋" w:asciiTheme="minorEastAsia" w:hAnsiTheme="minorEastAsia"/>
          <w:sz w:val="24"/>
        </w:rPr>
      </w:pPr>
    </w:p>
    <w:p>
      <w:pPr>
        <w:pStyle w:val="12"/>
        <w:rPr>
          <w:rFonts w:cs="仿宋" w:asciiTheme="minorEastAsia" w:hAnsiTheme="minorEastAsia"/>
          <w:sz w:val="24"/>
          <w:szCs w:val="24"/>
        </w:rPr>
      </w:pPr>
    </w:p>
    <w:p>
      <w:pPr>
        <w:pStyle w:val="12"/>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16</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35393621"/>
      <w:bookmarkStart w:id="4" w:name="_Toc28359079"/>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2025年B线溜槽及进料装置采购项目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202506035</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2025年B线溜槽及进料装置采购项目</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24.75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w:t>
      </w:r>
      <w:r>
        <w:rPr>
          <w:rFonts w:hint="eastAsia" w:hAnsi="宋体" w:cs="宋体"/>
          <w:bCs/>
          <w:sz w:val="24"/>
          <w:highlight w:val="none"/>
          <w:lang w:val="en-US" w:eastAsia="zh-CN"/>
        </w:rPr>
        <w:t>B线溜槽及配套的进料装置</w:t>
      </w:r>
      <w:r>
        <w:rPr>
          <w:rFonts w:hint="eastAsia" w:hAnsi="宋体" w:cs="宋体"/>
          <w:bCs/>
          <w:sz w:val="24"/>
          <w:highlight w:val="none"/>
          <w:lang w:eastAsia="zh-CN"/>
        </w:rPr>
        <w:t>，</w:t>
      </w:r>
      <w:r>
        <w:rPr>
          <w:rFonts w:hint="eastAsia" w:hAnsi="宋体" w:cs="宋体"/>
          <w:bCs/>
          <w:sz w:val="24"/>
          <w:highlight w:val="none"/>
          <w:lang w:val="en-US" w:eastAsia="zh-CN"/>
        </w:rPr>
        <w:t>包括旧溜槽的拆除和新溜槽的制作安装、旧进料装置的拆除和新进料装置安装等，</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一次性供货、</w:t>
      </w:r>
      <w:r>
        <w:rPr>
          <w:rFonts w:hint="eastAsia" w:cs="仿宋" w:asciiTheme="minorEastAsia" w:hAnsiTheme="minorEastAsia"/>
          <w:sz w:val="24"/>
          <w:highlight w:val="none"/>
          <w:u w:val="single"/>
          <w:lang w:val="en-US" w:eastAsia="zh-CN"/>
        </w:rPr>
        <w:t>安装</w:t>
      </w:r>
      <w:r>
        <w:rPr>
          <w:rFonts w:hint="eastAsia" w:cs="仿宋" w:asciiTheme="minorEastAsia" w:hAnsiTheme="minorEastAsia"/>
          <w:sz w:val="24"/>
          <w:highlight w:val="none"/>
          <w:u w:val="single"/>
          <w:lang w:eastAsia="zh-CN"/>
        </w:rPr>
        <w:t>结束后合同自动终止</w:t>
      </w:r>
      <w:r>
        <w:rPr>
          <w:rFonts w:hint="eastAsia" w:cs="仿宋" w:asciiTheme="minorEastAsia" w:hAnsiTheme="minorEastAsia"/>
          <w:sz w:val="24"/>
          <w:highlight w:val="none"/>
          <w:u w:val="single"/>
        </w:rPr>
        <w:t>。在采购人发出送货通知后，</w:t>
      </w:r>
      <w:r>
        <w:rPr>
          <w:rFonts w:hint="eastAsia" w:cs="仿宋" w:asciiTheme="minorEastAsia" w:hAnsiTheme="minorEastAsia"/>
          <w:sz w:val="24"/>
          <w:highlight w:val="none"/>
          <w:u w:val="single"/>
          <w:lang w:val="en-US" w:eastAsia="zh-CN"/>
        </w:rPr>
        <w:t>30天内</w:t>
      </w:r>
      <w:r>
        <w:rPr>
          <w:rFonts w:hint="eastAsia" w:cs="仿宋" w:asciiTheme="minorEastAsia" w:hAnsiTheme="minorEastAsia"/>
          <w:sz w:val="24"/>
          <w:highlight w:val="none"/>
          <w:u w:val="single"/>
          <w:lang w:eastAsia="zh-CN"/>
        </w:rPr>
        <w:t>按采购人订单</w:t>
      </w:r>
      <w:r>
        <w:rPr>
          <w:rFonts w:hint="eastAsia" w:cs="仿宋" w:asciiTheme="minorEastAsia" w:hAnsiTheme="minorEastAsia"/>
          <w:sz w:val="24"/>
          <w:highlight w:val="none"/>
          <w:u w:val="single"/>
        </w:rPr>
        <w:t>将货物如数送至采购人指定地点</w:t>
      </w:r>
      <w:r>
        <w:rPr>
          <w:rFonts w:hint="eastAsia" w:cs="仿宋" w:asciiTheme="minorEastAsia" w:hAnsiTheme="minorEastAsia"/>
          <w:sz w:val="24"/>
          <w:highlight w:val="none"/>
          <w:u w:val="single"/>
          <w:lang w:val="en-US" w:eastAsia="zh-CN"/>
        </w:rPr>
        <w:t>完成安装</w:t>
      </w:r>
      <w:r>
        <w:rPr>
          <w:rFonts w:hint="eastAsia" w:cs="仿宋" w:asciiTheme="minorEastAsia" w:hAnsiTheme="minorEastAsia"/>
          <w:sz w:val="24"/>
          <w:highlight w:val="none"/>
          <w:u w:val="single"/>
        </w:rPr>
        <w:t>。</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w:t>
      </w:r>
      <w:r>
        <w:rPr>
          <w:rFonts w:hint="eastAsia" w:hAnsi="宋体" w:cs="宋体"/>
          <w:b/>
          <w:sz w:val="24"/>
          <w:highlight w:val="none"/>
          <w:lang w:val="en-US" w:eastAsia="zh-CN"/>
        </w:rPr>
        <w:t>不</w:t>
      </w:r>
      <w:r>
        <w:rPr>
          <w:rFonts w:hint="eastAsia" w:hAnsi="宋体" w:cs="宋体"/>
          <w:b/>
          <w:sz w:val="24"/>
          <w:highlight w:val="none"/>
        </w:rPr>
        <w:t>接受联合体</w:t>
      </w:r>
      <w:r>
        <w:rPr>
          <w:rFonts w:hint="eastAsia" w:hAnsi="宋体" w:cs="宋体"/>
          <w:b/>
          <w:sz w:val="24"/>
          <w:highlight w:val="none"/>
          <w:lang w:val="en-US" w:eastAsia="zh-CN"/>
        </w:rPr>
        <w:t>响应</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28359080"/>
      <w:bookmarkStart w:id="7" w:name="_Toc35393791"/>
      <w:bookmarkStart w:id="8" w:name="_Toc28359003"/>
      <w:bookmarkStart w:id="9" w:name="_Toc35393622"/>
      <w:r>
        <w:rPr>
          <w:rFonts w:hint="eastAsia" w:cs="仿宋" w:asciiTheme="minorEastAsia" w:hAnsiTheme="minorEastAsia"/>
          <w:b/>
          <w:bCs/>
          <w:sz w:val="24"/>
          <w:highlight w:val="none"/>
        </w:rPr>
        <w:t>二、供应商的资格要求：</w:t>
      </w:r>
      <w:bookmarkEnd w:id="6"/>
      <w:bookmarkEnd w:id="7"/>
      <w:bookmarkEnd w:id="8"/>
      <w:bookmarkEnd w:id="9"/>
      <w:bookmarkStart w:id="10" w:name="_Toc28359081"/>
      <w:bookmarkStart w:id="11" w:name="_Toc28359004"/>
      <w:bookmarkStart w:id="12" w:name="_Toc35393792"/>
      <w:bookmarkStart w:id="13"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color w:val="auto"/>
          <w:sz w:val="24"/>
          <w:highlight w:val="none"/>
          <w:u w:val="none"/>
          <w:lang w:val="en-US"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28359005"/>
      <w:bookmarkStart w:id="15" w:name="_Toc35393793"/>
      <w:bookmarkStart w:id="16" w:name="_Toc28359082"/>
      <w:bookmarkStart w:id="17" w:name="_Toc35393624"/>
      <w:r>
        <w:rPr>
          <w:rFonts w:hint="eastAsia" w:cs="仿宋" w:asciiTheme="minorEastAsia" w:hAnsiTheme="minorEastAsia" w:eastAsiaTheme="minorEastAsia"/>
          <w:b w:val="0"/>
          <w:sz w:val="24"/>
          <w:szCs w:val="24"/>
          <w:highlight w:val="none"/>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highlight w:val="none"/>
          <w:u w:val="none"/>
          <w:lang w:val="en-US" w:eastAsia="zh-CN"/>
        </w:rPr>
      </w:pPr>
      <w:r>
        <w:rPr>
          <w:rFonts w:hint="eastAsia" w:cs="仿宋" w:asciiTheme="minorEastAsia" w:hAnsiTheme="minorEastAsia"/>
          <w:b/>
          <w:bCs/>
          <w:sz w:val="24"/>
          <w:highlight w:val="none"/>
        </w:rPr>
        <w:t>四、询价保证金</w:t>
      </w:r>
      <w:r>
        <w:rPr>
          <w:rFonts w:hint="eastAsia" w:cs="仿宋" w:asciiTheme="minorEastAsia" w:hAnsiTheme="minorEastAsia"/>
          <w:b/>
          <w:bCs/>
          <w:sz w:val="24"/>
          <w:highlight w:val="none"/>
          <w:lang w:eastAsia="zh-CN"/>
        </w:rPr>
        <w:t>：</w:t>
      </w:r>
      <w:r>
        <w:rPr>
          <w:rFonts w:hint="eastAsia" w:eastAsia="宋体" w:cs="宋体"/>
          <w:b w:val="0"/>
          <w:bCs/>
          <w:sz w:val="24"/>
          <w:szCs w:val="24"/>
          <w:highlight w:val="none"/>
          <w:u w:val="none"/>
          <w:lang w:val="en-US" w:eastAsia="zh-CN"/>
        </w:rPr>
        <w:t>本项目</w:t>
      </w:r>
      <w:r>
        <w:rPr>
          <w:rFonts w:hint="eastAsia" w:eastAsia="宋体" w:cs="宋体"/>
          <w:b w:val="0"/>
          <w:bCs/>
          <w:sz w:val="24"/>
          <w:szCs w:val="24"/>
          <w:highlight w:val="none"/>
          <w:u w:val="single"/>
          <w:lang w:val="en-US" w:eastAsia="zh-CN"/>
        </w:rPr>
        <w:t xml:space="preserve"> </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eastAsia" w:eastAsia="宋体" w:cs="宋体"/>
          <w:b w:val="0"/>
          <w:bCs/>
          <w:sz w:val="24"/>
          <w:szCs w:val="24"/>
          <w:highlight w:val="none"/>
          <w:u w:val="single"/>
          <w:lang w:val="en-US" w:eastAsia="zh-CN"/>
        </w:rPr>
        <w:t>需要</w:t>
      </w:r>
      <w:r>
        <w:rPr>
          <w:rFonts w:hint="eastAsia" w:cs="宋体"/>
          <w:b w:val="0"/>
          <w:bCs/>
          <w:sz w:val="24"/>
          <w:szCs w:val="24"/>
          <w:highlight w:val="none"/>
          <w:u w:val="single"/>
          <w:lang w:val="en-US" w:eastAsia="zh-CN"/>
        </w:rPr>
        <w:t>/</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default" w:cs="宋体"/>
          <w:b w:val="0"/>
          <w:bCs/>
          <w:sz w:val="24"/>
          <w:szCs w:val="24"/>
          <w:highlight w:val="none"/>
          <w:u w:val="single"/>
          <w:lang w:val="en-US" w:eastAsia="zh-CN"/>
        </w:rPr>
        <w:t>不需要</w:t>
      </w:r>
      <w:r>
        <w:rPr>
          <w:rFonts w:hint="eastAsia" w:cs="宋体"/>
          <w:b w:val="0"/>
          <w:bCs/>
          <w:sz w:val="24"/>
          <w:szCs w:val="24"/>
          <w:highlight w:val="none"/>
          <w:u w:val="single"/>
          <w:lang w:val="en-US" w:eastAsia="zh-CN"/>
        </w:rPr>
        <w:t xml:space="preserve"> 缴纳</w:t>
      </w:r>
      <w:r>
        <w:rPr>
          <w:rFonts w:hint="eastAsia" w:cs="宋体"/>
          <w:b w:val="0"/>
          <w:bCs/>
          <w:sz w:val="24"/>
          <w:szCs w:val="24"/>
          <w:highlight w:val="none"/>
          <w:lang w:val="en-US" w:eastAsia="zh-CN"/>
        </w:rPr>
        <w:t>询价</w:t>
      </w:r>
      <w:r>
        <w:rPr>
          <w:rFonts w:hint="default" w:cs="宋体"/>
          <w:b w:val="0"/>
          <w:bCs/>
          <w:sz w:val="24"/>
          <w:szCs w:val="24"/>
          <w:highlight w:val="none"/>
          <w:lang w:val="en-US" w:eastAsia="zh-CN"/>
        </w:rPr>
        <w:t>保证</w:t>
      </w:r>
      <w:r>
        <w:rPr>
          <w:rFonts w:hint="eastAsia" w:cs="宋体"/>
          <w:b w:val="0"/>
          <w:bCs/>
          <w:sz w:val="24"/>
          <w:szCs w:val="24"/>
          <w:highlight w:val="none"/>
          <w:lang w:val="en-US" w:eastAsia="zh-CN"/>
        </w:rPr>
        <w:t>金。交纳投标保证金</w:t>
      </w:r>
      <w:r>
        <w:rPr>
          <w:rFonts w:hint="eastAsia" w:cs="宋体"/>
          <w:sz w:val="24"/>
          <w:szCs w:val="24"/>
          <w:highlight w:val="none"/>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4750</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kern w:val="2"/>
          <w:sz w:val="24"/>
          <w:szCs w:val="24"/>
          <w:highlight w:val="none"/>
          <w:u w:val="single"/>
          <w:lang w:val="en-US" w:eastAsia="zh-CN" w:bidi="ar-SA"/>
        </w:rPr>
        <w:t>2025年B线溜槽及进料装置采购项目询价保证金</w:t>
      </w:r>
      <w:r>
        <w:rPr>
          <w:rFonts w:hint="eastAsia" w:cs="仿宋" w:asciiTheme="minorEastAsia" w:hAnsiTheme="minorEastAsia" w:eastAsiaTheme="minorEastAsia"/>
          <w:b w:val="0"/>
          <w:bCs/>
          <w:kern w:val="2"/>
          <w:sz w:val="24"/>
          <w:szCs w:val="24"/>
          <w:highlight w:val="none"/>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u w:val="singl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highlight w:val="none"/>
          <w:lang w:val="en-US" w:eastAsia="zh-CN" w:bidi="ar-SA"/>
        </w:rPr>
        <w:t>（</w:t>
      </w:r>
      <w:r>
        <w:rPr>
          <w:rFonts w:hint="eastAsia" w:ascii="宋体" w:hAnsi="宋体" w:eastAsia="宋体" w:cs="宋体"/>
          <w:b/>
          <w:bCs w:val="0"/>
          <w:sz w:val="24"/>
          <w:szCs w:val="24"/>
          <w:highlight w:val="none"/>
          <w:u w:val="single"/>
          <w:lang w:val="en-US" w:eastAsia="zh-CN"/>
        </w:rPr>
        <w:t>注：必须为企业账户汇出，个人形式递交或现金递交视为未交纳</w:t>
      </w:r>
      <w:r>
        <w:rPr>
          <w:rFonts w:hint="eastAsia" w:ascii="宋体" w:hAnsi="宋体" w:eastAsia="宋体" w:cs="宋体"/>
          <w:b/>
          <w:bCs w:val="0"/>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u w:val="singl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户    名：</w:t>
      </w:r>
      <w:r>
        <w:rPr>
          <w:rFonts w:hint="eastAsia" w:cs="仿宋" w:asciiTheme="minorEastAsia" w:hAnsiTheme="minorEastAsia" w:eastAsiaTheme="minorEastAsia"/>
          <w:b w:val="0"/>
          <w:bCs/>
          <w:kern w:val="2"/>
          <w:sz w:val="24"/>
          <w:szCs w:val="24"/>
          <w:highlight w:val="none"/>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开户银行：</w:t>
      </w:r>
      <w:r>
        <w:rPr>
          <w:rFonts w:hint="eastAsia" w:cs="仿宋" w:asciiTheme="minorEastAsia" w:hAnsiTheme="minorEastAsia" w:eastAsiaTheme="minorEastAsia"/>
          <w:b w:val="0"/>
          <w:bCs/>
          <w:kern w:val="2"/>
          <w:sz w:val="24"/>
          <w:szCs w:val="24"/>
          <w:highlight w:val="none"/>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账    号：</w:t>
      </w:r>
      <w:r>
        <w:rPr>
          <w:rFonts w:hint="eastAsia" w:cs="仿宋" w:asciiTheme="minorEastAsia" w:hAnsiTheme="minorEastAsia" w:eastAsiaTheme="minorEastAsia"/>
          <w:b w:val="0"/>
          <w:bCs/>
          <w:kern w:val="2"/>
          <w:sz w:val="24"/>
          <w:szCs w:val="24"/>
          <w:highlight w:val="none"/>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06</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24</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15</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陈工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bookmarkStart w:id="518" w:name="_GoBack"/>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06月16</w:t>
      </w:r>
      <w:r>
        <w:rPr>
          <w:rFonts w:hint="eastAsia" w:cs="仿宋" w:asciiTheme="minorEastAsia" w:hAnsiTheme="minorEastAsia"/>
          <w:color w:val="auto"/>
          <w:sz w:val="24"/>
          <w:highlight w:val="none"/>
        </w:rPr>
        <w:t>日</w:t>
      </w:r>
    </w:p>
    <w:bookmarkEnd w:id="518"/>
    <w:p>
      <w:pPr>
        <w:spacing w:line="460" w:lineRule="exact"/>
        <w:jc w:val="center"/>
        <w:rPr>
          <w:rFonts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p>
    <w:p>
      <w:pPr>
        <w:pStyle w:val="2"/>
        <w:rPr>
          <w:rFonts w:cs="仿宋" w:asciiTheme="minorEastAsia" w:hAnsiTheme="minorEastAsia"/>
          <w:b/>
          <w:bCs/>
          <w:color w:val="auto"/>
          <w:sz w:val="36"/>
          <w:szCs w:val="36"/>
        </w:rPr>
      </w:pPr>
    </w:p>
    <w:p>
      <w:pPr>
        <w:rPr>
          <w:rFonts w:cs="仿宋" w:asciiTheme="minorEastAsia" w:hAnsiTheme="minorEastAsia"/>
          <w:b/>
          <w:bCs/>
          <w:color w:val="auto"/>
          <w:sz w:val="36"/>
          <w:szCs w:val="36"/>
        </w:rPr>
      </w:pPr>
    </w:p>
    <w:p>
      <w:pPr>
        <w:pStyle w:val="2"/>
        <w:rPr>
          <w:rFonts w:cs="仿宋" w:asciiTheme="minorEastAsia" w:hAnsiTheme="minorEastAsia"/>
          <w:b/>
          <w:bCs/>
          <w:color w:val="auto"/>
          <w:sz w:val="36"/>
          <w:szCs w:val="36"/>
        </w:rPr>
      </w:pPr>
    </w:p>
    <w:p>
      <w:pPr>
        <w:rPr>
          <w:rFonts w:cs="仿宋" w:asciiTheme="minorEastAsia" w:hAnsiTheme="minorEastAsia"/>
          <w:b/>
          <w:bCs/>
          <w:color w:val="auto"/>
          <w:sz w:val="36"/>
          <w:szCs w:val="36"/>
        </w:rPr>
      </w:pPr>
    </w:p>
    <w:p>
      <w:pPr>
        <w:pStyle w:val="2"/>
        <w:rPr>
          <w:rFonts w:cs="仿宋" w:asciiTheme="minorEastAsia" w:hAnsiTheme="minorEastAsia"/>
          <w:b/>
          <w:bCs/>
          <w:color w:val="auto"/>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Pr>
        <w:pStyle w:val="10"/>
        <w:rPr>
          <w:rFonts w:cs="仿宋" w:asciiTheme="minorEastAsia" w:hAnsiTheme="minorEastAsia"/>
          <w:b/>
          <w:sz w:val="32"/>
          <w:szCs w:val="20"/>
        </w:rPr>
      </w:pPr>
    </w:p>
    <w:p/>
    <w:p>
      <w:pPr>
        <w:pStyle w:val="2"/>
      </w:pPr>
    </w:p>
    <w:p/>
    <w:p>
      <w:pPr>
        <w:pStyle w:val="2"/>
      </w:pPr>
    </w:p>
    <w:p/>
    <w:p>
      <w:pPr>
        <w:pStyle w:val="2"/>
      </w:pPr>
    </w:p>
    <w:p/>
    <w:p>
      <w:pPr>
        <w:pStyle w:val="10"/>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1"/>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B线溜槽及进料装置（包含液压推杆和工艺管道）1套</w:t>
      </w:r>
      <w:r>
        <w:rPr>
          <w:rFonts w:hint="eastAsia"/>
          <w:lang w:val="en-US"/>
        </w:rPr>
        <w:t>，具体如下：</w:t>
      </w:r>
    </w:p>
    <w:tbl>
      <w:tblPr>
        <w:tblStyle w:val="17"/>
        <w:tblW w:w="9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1387"/>
        <w:gridCol w:w="3165"/>
        <w:gridCol w:w="836"/>
        <w:gridCol w:w="784"/>
        <w:gridCol w:w="2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物资/服务名称</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溜槽及进料装置</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内径1000*740mm，斜板长度3900mm，水冷内壁厚16mm；外侧有水冷层，水冷外壁厚12mm，上下壁厚12mm，材质为Q345R；油缸行程3.7米，包含液压推料装置与窑面组成件，详见附件图纸。</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含旧溜槽拆除、吊装、新溜槽安装，包含新液压推料装置、螺栓、垫片等相关辅材、工艺管道及窑面连接组成件等</w:t>
            </w:r>
          </w:p>
        </w:tc>
      </w:tr>
    </w:tbl>
    <w:p>
      <w:pPr>
        <w:spacing w:line="360" w:lineRule="auto"/>
        <w:ind w:firstLine="422" w:firstLineChars="200"/>
        <w:rPr>
          <w:rFonts w:ascii="宋体" w:hAnsi="宋体" w:cs="宋体"/>
          <w:sz w:val="24"/>
        </w:rPr>
      </w:pPr>
      <w:r>
        <w:rPr>
          <w:rFonts w:hint="eastAsia"/>
          <w:b/>
          <w:bCs/>
          <w:lang w:val="en-US"/>
        </w:rPr>
        <w:t>二、合同期限</w:t>
      </w:r>
      <w:r>
        <w:rPr>
          <w:rFonts w:hint="eastAsia"/>
          <w:lang w:val="en-US"/>
        </w:rPr>
        <w:t>：</w:t>
      </w:r>
      <w:r>
        <w:rPr>
          <w:rFonts w:hint="eastAsia" w:cs="仿宋" w:asciiTheme="minorEastAsia" w:hAnsiTheme="minorEastAsia"/>
          <w:sz w:val="24"/>
          <w:u w:val="single"/>
          <w:lang w:eastAsia="zh-CN"/>
        </w:rPr>
        <w:t>一次性供货、</w:t>
      </w:r>
      <w:r>
        <w:rPr>
          <w:rFonts w:hint="eastAsia" w:cs="仿宋" w:asciiTheme="minorEastAsia" w:hAnsiTheme="minorEastAsia"/>
          <w:sz w:val="24"/>
          <w:u w:val="single"/>
          <w:lang w:val="en-US" w:eastAsia="zh-CN"/>
        </w:rPr>
        <w:t>安装</w:t>
      </w:r>
      <w:r>
        <w:rPr>
          <w:rFonts w:hint="eastAsia" w:cs="仿宋" w:asciiTheme="minorEastAsia" w:hAnsiTheme="minorEastAsia"/>
          <w:sz w:val="24"/>
          <w:u w:val="single"/>
          <w:lang w:eastAsia="zh-CN"/>
        </w:rPr>
        <w:t>结束后合同自动终止</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val="en-US" w:eastAsia="zh-CN"/>
        </w:rPr>
        <w:t>30天内</w:t>
      </w:r>
      <w:r>
        <w:rPr>
          <w:rFonts w:hint="eastAsia" w:cs="仿宋" w:asciiTheme="minorEastAsia" w:hAnsiTheme="minorEastAsia"/>
          <w:sz w:val="24"/>
          <w:u w:val="single"/>
          <w:lang w:eastAsia="zh-CN"/>
        </w:rPr>
        <w:t>按采购人订单</w:t>
      </w:r>
      <w:r>
        <w:rPr>
          <w:rFonts w:hint="eastAsia" w:cs="仿宋" w:asciiTheme="minorEastAsia" w:hAnsiTheme="minorEastAsia"/>
          <w:sz w:val="24"/>
          <w:u w:val="single"/>
        </w:rPr>
        <w:t>将货物如数送至采购人指定地点</w:t>
      </w:r>
      <w:r>
        <w:rPr>
          <w:rFonts w:hint="eastAsia" w:cs="仿宋" w:asciiTheme="minorEastAsia" w:hAnsiTheme="minorEastAsia"/>
          <w:sz w:val="24"/>
          <w:u w:val="single"/>
          <w:lang w:val="en-US" w:eastAsia="zh-CN"/>
        </w:rPr>
        <w:t>完成安装</w:t>
      </w:r>
      <w:r>
        <w:rPr>
          <w:rFonts w:hint="eastAsia" w:cs="仿宋" w:asciiTheme="minorEastAsia" w:hAnsiTheme="minorEastAsia"/>
          <w:sz w:val="24"/>
          <w:u w:val="single"/>
        </w:rPr>
        <w:t>。</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按合同约定数量一次性供货、旧件拆除和新件安装。</w:t>
      </w:r>
    </w:p>
    <w:p>
      <w:pPr>
        <w:pStyle w:val="8"/>
        <w:ind w:firstLine="482" w:firstLineChars="200"/>
        <w:rPr>
          <w:b/>
          <w:bCs/>
          <w:lang w:val="en-US"/>
        </w:rPr>
      </w:pPr>
      <w:r>
        <w:rPr>
          <w:rFonts w:hint="eastAsia"/>
          <w:b/>
          <w:bCs/>
          <w:lang w:val="en-US" w:eastAsia="zh-CN"/>
        </w:rPr>
        <w:t>四</w:t>
      </w:r>
      <w:r>
        <w:rPr>
          <w:rFonts w:hint="eastAsia"/>
          <w:b/>
          <w:bCs/>
          <w:lang w:val="en-US"/>
        </w:rPr>
        <w:t>、技术、质量要求</w:t>
      </w:r>
    </w:p>
    <w:p>
      <w:pPr>
        <w:pStyle w:val="8"/>
        <w:ind w:firstLine="480" w:firstLineChars="200"/>
        <w:rPr>
          <w:rFonts w:hint="eastAsia" w:ascii="宋体"/>
          <w:lang w:val="en-US" w:eastAsia="zh-CN"/>
        </w:rPr>
      </w:pPr>
      <w:r>
        <w:rPr>
          <w:rFonts w:hint="eastAsia" w:ascii="宋体"/>
          <w:lang w:val="en-US" w:eastAsia="zh-CN"/>
        </w:rPr>
        <w:t>1.</w:t>
      </w:r>
      <w:r>
        <w:rPr>
          <w:rFonts w:hint="eastAsia"/>
        </w:rPr>
        <w:t>品牌</w:t>
      </w:r>
      <w:r>
        <w:rPr>
          <w:rFonts w:hint="eastAsia"/>
          <w:lang w:eastAsia="zh-CN"/>
        </w:rPr>
        <w:t>和</w:t>
      </w:r>
      <w:r>
        <w:rPr>
          <w:rFonts w:hint="eastAsia"/>
        </w:rPr>
        <w:t>型号等技术参数满足采购内容中的规格型号/技术要求</w:t>
      </w:r>
      <w:r>
        <w:rPr>
          <w:rFonts w:hint="eastAsia"/>
          <w:lang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2.板材剪切采用自动切割下料。</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3.</w:t>
      </w:r>
      <w:r>
        <w:rPr>
          <w:rFonts w:hint="eastAsia" w:ascii="宋体" w:hAnsi="Arial" w:cs="Arial"/>
          <w:snapToGrid w:val="0"/>
          <w:color w:val="auto"/>
          <w:kern w:val="2"/>
          <w:sz w:val="24"/>
          <w:szCs w:val="21"/>
          <w:lang w:val="en-US" w:eastAsia="zh-CN" w:bidi="ar-SA"/>
        </w:rPr>
        <w:t>溜槽及进料装置</w:t>
      </w:r>
      <w:r>
        <w:rPr>
          <w:rFonts w:hint="eastAsia" w:ascii="宋体" w:hAnsi="Arial" w:cs="Arial" w:eastAsiaTheme="minorEastAsia"/>
          <w:snapToGrid w:val="0"/>
          <w:color w:val="auto"/>
          <w:kern w:val="2"/>
          <w:sz w:val="24"/>
          <w:szCs w:val="21"/>
          <w:lang w:val="en-US" w:eastAsia="zh-CN" w:bidi="ar-SA"/>
        </w:rPr>
        <w:t>钢表面不得有可见的凹坑等表面缺陷。</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w:t>
      </w:r>
      <w:r>
        <w:rPr>
          <w:rFonts w:hint="eastAsia" w:ascii="宋体" w:hAnsi="Arial" w:cs="Arial"/>
          <w:snapToGrid w:val="0"/>
          <w:color w:val="auto"/>
          <w:kern w:val="2"/>
          <w:sz w:val="24"/>
          <w:szCs w:val="21"/>
          <w:lang w:val="en-US" w:eastAsia="zh-CN" w:bidi="ar-SA"/>
        </w:rPr>
        <w:t>溜槽及进料装置</w:t>
      </w:r>
      <w:r>
        <w:rPr>
          <w:rFonts w:hint="eastAsia" w:ascii="宋体" w:hAnsi="Arial" w:cs="Arial" w:eastAsiaTheme="minorEastAsia"/>
          <w:snapToGrid w:val="0"/>
          <w:color w:val="auto"/>
          <w:kern w:val="2"/>
          <w:sz w:val="24"/>
          <w:szCs w:val="21"/>
          <w:lang w:val="en-US" w:eastAsia="zh-CN" w:bidi="ar-SA"/>
        </w:rPr>
        <w:t>口对角线长度差值不得大于1mm，钢板平面度不得大于1mm。</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5.焊接后需打磨光滑，焊缝不得有裂纹，气孔，弧坑和夹渣等缺陷</w:t>
      </w:r>
      <w:r>
        <w:rPr>
          <w:rFonts w:hint="eastAsia" w:ascii="宋体" w:hAnsi="Arial" w:cs="Arial"/>
          <w:snapToGrid w:val="0"/>
          <w:color w:val="auto"/>
          <w:kern w:val="2"/>
          <w:sz w:val="24"/>
          <w:szCs w:val="21"/>
          <w:lang w:val="en-US" w:eastAsia="zh-CN" w:bidi="ar-SA"/>
        </w:rPr>
        <w:t>；</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6.水冷套隔板与内筒焊接采用间断焊，水冷套隔板与水冷套壁板须连续满焊，水冷套内筒和外壁水箱封板等各承压处焊接须使用氩弧焊满焊焊接；</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7.未注尺寸公差按GB1804-m</w:t>
      </w:r>
      <w:r>
        <w:rPr>
          <w:rFonts w:hint="eastAsia" w:ascii="宋体" w:hAnsi="Arial"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未注形位公差按GB/T1184-k</w:t>
      </w:r>
      <w:r>
        <w:rPr>
          <w:rFonts w:hint="eastAsia" w:ascii="宋体" w:hAnsi="Arial" w:cs="Arial"/>
          <w:snapToGrid w:val="0"/>
          <w:color w:val="auto"/>
          <w:kern w:val="2"/>
          <w:sz w:val="24"/>
          <w:szCs w:val="21"/>
          <w:lang w:val="en-US" w:eastAsia="zh-CN" w:bidi="ar-SA"/>
        </w:rPr>
        <w:t>；</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8.需做水压试验0.5MPA</w:t>
      </w:r>
      <w:r>
        <w:rPr>
          <w:rFonts w:hint="eastAsia" w:ascii="宋体" w:hAnsi="Arial"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时间2个小时，要求各通水区域，焊后不得有漏水现象</w:t>
      </w:r>
      <w:r>
        <w:rPr>
          <w:rFonts w:hint="eastAsia" w:ascii="宋体" w:hAnsi="Arial" w:cs="Arial"/>
          <w:snapToGrid w:val="0"/>
          <w:color w:val="auto"/>
          <w:kern w:val="2"/>
          <w:sz w:val="24"/>
          <w:szCs w:val="21"/>
          <w:lang w:val="en-US" w:eastAsia="zh-CN" w:bidi="ar-SA"/>
        </w:rPr>
        <w:t>；</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9.锐边倒顿，未注倒角1.5x45°。</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10.内表面应进行100％煤油渗漏检查，以目测无煤油渗漏为合格；</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11.</w:t>
      </w:r>
      <w:r>
        <w:rPr>
          <w:rFonts w:hint="eastAsia" w:ascii="宋体" w:hAnsi="Arial" w:cs="Arial"/>
          <w:snapToGrid w:val="0"/>
          <w:color w:val="auto"/>
          <w:kern w:val="2"/>
          <w:sz w:val="24"/>
          <w:szCs w:val="21"/>
          <w:lang w:val="en-US" w:eastAsia="zh-CN" w:bidi="ar-SA"/>
        </w:rPr>
        <w:t>溜槽及进料装置</w:t>
      </w:r>
      <w:r>
        <w:rPr>
          <w:rFonts w:hint="eastAsia" w:ascii="宋体" w:hAnsi="Arial" w:cs="Arial" w:eastAsiaTheme="minorEastAsia"/>
          <w:snapToGrid w:val="0"/>
          <w:color w:val="auto"/>
          <w:kern w:val="2"/>
          <w:sz w:val="24"/>
          <w:szCs w:val="21"/>
          <w:lang w:val="en-US" w:eastAsia="zh-CN" w:bidi="ar-SA"/>
        </w:rPr>
        <w:t>制作并检查完毕后进行外表面喷砂除锈处理，达到Sa2.5级为合格。除锈合格后</w:t>
      </w:r>
      <w:r>
        <w:rPr>
          <w:rFonts w:hint="eastAsia" w:ascii="宋体" w:hAnsi="Arial" w:cs="Arial"/>
          <w:snapToGrid w:val="0"/>
          <w:color w:val="auto"/>
          <w:kern w:val="2"/>
          <w:sz w:val="24"/>
          <w:szCs w:val="21"/>
          <w:lang w:val="en-US" w:eastAsia="zh-CN" w:bidi="ar-SA"/>
        </w:rPr>
        <w:t>溜槽及进料装置</w:t>
      </w:r>
      <w:r>
        <w:rPr>
          <w:rFonts w:hint="eastAsia" w:ascii="宋体" w:hAnsi="Arial" w:cs="Arial" w:eastAsiaTheme="minorEastAsia"/>
          <w:snapToGrid w:val="0"/>
          <w:color w:val="auto"/>
          <w:kern w:val="2"/>
          <w:sz w:val="24"/>
          <w:szCs w:val="21"/>
          <w:lang w:val="en-US" w:eastAsia="zh-CN" w:bidi="ar-SA"/>
        </w:rPr>
        <w:t>外表面耐高温底漆（二道，每道干膜厚度约30um），耐高温面漆（二道，每道干膜厚度约30um，银白色）。</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default" w:ascii="宋体" w:hAnsi="Arial" w:cs="Arial" w:eastAsiaTheme="minorEastAsia"/>
          <w:snapToGrid w:val="0"/>
          <w:color w:val="0000FF"/>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ascii="宋体" w:hAnsi="Arial"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.质保期限</w:t>
      </w:r>
      <w:r>
        <w:rPr>
          <w:rFonts w:hint="eastAsia" w:ascii="宋体" w:hAnsi="Arial" w:cs="Arial"/>
          <w:snapToGrid w:val="0"/>
          <w:color w:val="auto"/>
          <w:kern w:val="2"/>
          <w:sz w:val="24"/>
          <w:szCs w:val="21"/>
          <w:lang w:val="en-US" w:eastAsia="zh-CN" w:bidi="ar-SA"/>
        </w:rPr>
        <w:t>为自</w:t>
      </w:r>
      <w:r>
        <w:rPr>
          <w:rFonts w:hint="eastAsia" w:ascii="宋体" w:hAnsi="Arial" w:cs="Arial" w:eastAsiaTheme="minorEastAsia"/>
          <w:snapToGrid w:val="0"/>
          <w:color w:val="auto"/>
          <w:kern w:val="2"/>
          <w:sz w:val="24"/>
          <w:szCs w:val="21"/>
          <w:lang w:val="en-US" w:eastAsia="zh-CN" w:bidi="ar-SA"/>
        </w:rPr>
        <w:t>验收合格后12个月，若质保期内出现质量问题（非质量问题除外），由供应商负责免费维修</w:t>
      </w:r>
      <w:r>
        <w:rPr>
          <w:rFonts w:hint="eastAsia" w:ascii="宋体" w:hAnsi="Arial" w:cs="Arial"/>
          <w:snapToGrid w:val="0"/>
          <w:color w:val="auto"/>
          <w:kern w:val="2"/>
          <w:sz w:val="24"/>
          <w:szCs w:val="21"/>
          <w:lang w:val="en-US" w:eastAsia="zh-CN" w:bidi="ar-SA"/>
        </w:rPr>
        <w:t>或者更换</w:t>
      </w:r>
      <w:r>
        <w:rPr>
          <w:rFonts w:hint="eastAsia" w:ascii="宋体" w:hAnsi="Arial" w:cs="Arial" w:eastAsiaTheme="minorEastAsia"/>
          <w:snapToGrid w:val="0"/>
          <w:color w:val="auto"/>
          <w:kern w:val="2"/>
          <w:sz w:val="24"/>
          <w:szCs w:val="21"/>
          <w:lang w:val="en-US" w:eastAsia="zh-CN" w:bidi="ar-SA"/>
        </w:rPr>
        <w:t>，产生的费用全部由供应商承担。</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pPr>
        <w:pStyle w:val="8"/>
        <w:numPr>
          <w:ilvl w:val="0"/>
          <w:numId w:val="0"/>
        </w:numPr>
        <w:ind w:firstLine="480" w:firstLineChars="200"/>
        <w:rPr>
          <w:rFonts w:hint="default"/>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配合采购人做好货物的到货数量验收工作，将货物运达采购人指定交货地点后及时通知采购人。采购人有权对溜槽及进料装置的材质进行检测，若材质不能满足要求的，供应商需及时更换至满足要求为止。</w:t>
      </w:r>
    </w:p>
    <w:p>
      <w:pPr>
        <w:pStyle w:val="8"/>
        <w:numPr>
          <w:ilvl w:val="0"/>
          <w:numId w:val="0"/>
        </w:numP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color w:val="auto"/>
          <w:lang w:val="en-US"/>
        </w:rPr>
      </w:pPr>
      <w:r>
        <w:rPr>
          <w:rFonts w:hint="eastAsia" w:cs="仿宋" w:asciiTheme="minorEastAsia" w:hAnsiTheme="minorEastAsia"/>
          <w:color w:val="auto"/>
          <w:kern w:val="0"/>
          <w:lang w:val="en-US" w:eastAsia="zh-CN"/>
        </w:rPr>
        <w:t>六</w:t>
      </w:r>
      <w:r>
        <w:rPr>
          <w:rFonts w:hint="eastAsia"/>
          <w:b/>
          <w:bCs/>
          <w:color w:val="auto"/>
          <w:lang w:val="en-US"/>
        </w:rPr>
        <w:t>、服务要求</w:t>
      </w:r>
    </w:p>
    <w:p>
      <w:pPr>
        <w:pStyle w:val="8"/>
        <w:numPr>
          <w:ilvl w:val="0"/>
          <w:numId w:val="0"/>
        </w:numPr>
        <w:ind w:firstLine="480" w:firstLineChars="200"/>
        <w:rPr>
          <w:rFonts w:hint="default" w:eastAsiaTheme="minorEastAsia"/>
          <w:color w:val="auto"/>
          <w:lang w:val="en-US" w:eastAsia="zh-CN"/>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w:t>
      </w:r>
      <w:r>
        <w:rPr>
          <w:rFonts w:hint="eastAsia"/>
          <w:color w:val="auto"/>
          <w:highlight w:val="none"/>
          <w:lang w:val="en-US" w:eastAsia="zh-CN"/>
        </w:rPr>
        <w:t>检修</w:t>
      </w:r>
      <w:r>
        <w:rPr>
          <w:rFonts w:hint="eastAsia"/>
          <w:color w:val="auto"/>
          <w:highlight w:val="none"/>
          <w:lang w:val="en-US"/>
        </w:rPr>
        <w:t>计划，</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color w:val="auto"/>
          <w:highlight w:val="none"/>
          <w:lang w:val="en-US" w:eastAsia="zh-CN"/>
        </w:rPr>
        <w:t>30天</w:t>
      </w:r>
      <w:r>
        <w:rPr>
          <w:rFonts w:hint="eastAsia"/>
          <w:color w:val="auto"/>
          <w:highlight w:val="none"/>
          <w:lang w:val="en-US"/>
        </w:rPr>
        <w:t>内完成供货</w:t>
      </w:r>
      <w:r>
        <w:rPr>
          <w:rFonts w:hint="eastAsia"/>
          <w:color w:val="auto"/>
          <w:highlight w:val="none"/>
          <w:lang w:val="en-US" w:eastAsia="zh-CN"/>
        </w:rPr>
        <w:t>及安装。</w:t>
      </w:r>
    </w:p>
    <w:p>
      <w:pPr>
        <w:pStyle w:val="8"/>
        <w:numPr>
          <w:ilvl w:val="0"/>
          <w:numId w:val="0"/>
        </w:numPr>
        <w:ind w:firstLine="480" w:firstLineChars="200"/>
        <w:rPr>
          <w:rFonts w:hint="eastAsia"/>
          <w:color w:val="auto"/>
          <w:lang w:val="en-US"/>
        </w:rPr>
      </w:pPr>
      <w:r>
        <w:rPr>
          <w:rFonts w:ascii="宋体" w:hAnsi="Arial" w:cs="Arial" w:eastAsiaTheme="minorEastAsia"/>
          <w:snapToGrid w:val="0"/>
          <w:color w:val="auto"/>
          <w:kern w:val="2"/>
          <w:sz w:val="24"/>
          <w:szCs w:val="21"/>
          <w:lang w:val="en-US" w:eastAsia="zh-CN" w:bidi="ar-SA"/>
        </w:rPr>
        <w:t>2.</w:t>
      </w:r>
      <w:r>
        <w:rPr>
          <w:rFonts w:hint="eastAsia"/>
          <w:color w:val="auto"/>
          <w:lang w:val="en-US" w:eastAsia="zh-CN"/>
        </w:rPr>
        <w:t>供应商</w:t>
      </w:r>
      <w:r>
        <w:rPr>
          <w:rFonts w:hint="eastAsia"/>
          <w:color w:val="auto"/>
          <w:lang w:val="en-US"/>
        </w:rPr>
        <w:t>负责卸货</w:t>
      </w:r>
      <w:r>
        <w:rPr>
          <w:rFonts w:hint="eastAsia"/>
          <w:color w:val="auto"/>
          <w:lang w:val="en-US" w:eastAsia="zh-CN"/>
        </w:rPr>
        <w:t>、拆除旧件、安装新件</w:t>
      </w:r>
      <w:r>
        <w:rPr>
          <w:rFonts w:hint="eastAsia"/>
          <w:color w:val="auto"/>
          <w:lang w:val="en-US"/>
        </w:rPr>
        <w:t>，</w:t>
      </w:r>
      <w:r>
        <w:rPr>
          <w:rFonts w:hint="eastAsia"/>
          <w:color w:val="auto"/>
          <w:lang w:val="en-US" w:eastAsia="zh-CN"/>
        </w:rPr>
        <w:t>吊装设备费用、工器具费用和</w:t>
      </w:r>
      <w:r>
        <w:rPr>
          <w:rFonts w:hint="eastAsia"/>
          <w:color w:val="auto"/>
          <w:lang w:val="en-US"/>
        </w:rPr>
        <w:t>人工费</w:t>
      </w:r>
      <w:r>
        <w:rPr>
          <w:rFonts w:hint="eastAsia"/>
          <w:color w:val="auto"/>
          <w:lang w:val="en-US" w:eastAsia="zh-CN"/>
        </w:rPr>
        <w:t>均含在本次采购范围内，</w:t>
      </w:r>
      <w:r>
        <w:rPr>
          <w:rFonts w:hint="eastAsia"/>
          <w:color w:val="auto"/>
          <w:lang w:val="en-US"/>
        </w:rPr>
        <w:t>由</w:t>
      </w:r>
      <w:r>
        <w:rPr>
          <w:rFonts w:hint="eastAsia"/>
          <w:color w:val="auto"/>
          <w:lang w:val="en-US" w:eastAsia="zh-CN"/>
        </w:rPr>
        <w:t>供应商</w:t>
      </w:r>
      <w:r>
        <w:rPr>
          <w:rFonts w:hint="eastAsia"/>
          <w:color w:val="auto"/>
          <w:lang w:val="en-US"/>
        </w:rPr>
        <w:t>承担</w:t>
      </w:r>
      <w:r>
        <w:rPr>
          <w:rFonts w:hint="eastAsia"/>
          <w:color w:val="auto"/>
          <w:lang w:val="en-US" w:eastAsia="zh-CN"/>
        </w:rPr>
        <w:t>，采购人不额外支付费用</w:t>
      </w:r>
      <w:r>
        <w:rPr>
          <w:rFonts w:hint="eastAsia"/>
          <w:color w:val="auto"/>
          <w:lang w:val="en-US"/>
        </w:rPr>
        <w:t>，采购人可免费提供叉车服务。</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cs="仿宋" w:asciiTheme="minorEastAsia" w:hAnsiTheme="minorEastAsia"/>
          <w:color w:val="auto"/>
          <w:kern w:val="0"/>
          <w:lang w:val="en-US" w:eastAsia="zh-CN"/>
        </w:rPr>
        <w:t>3.</w:t>
      </w:r>
      <w:bookmarkStart w:id="19" w:name="_Toc6813"/>
      <w:bookmarkStart w:id="20" w:name="_Toc23233"/>
      <w:r>
        <w:rPr>
          <w:rFonts w:hint="eastAsia" w:ascii="宋体" w:hAnsi="宋体" w:eastAsia="宋体" w:cs="宋体"/>
          <w:color w:val="auto"/>
          <w:kern w:val="0"/>
          <w:sz w:val="24"/>
          <w:szCs w:val="24"/>
          <w:highlight w:val="none"/>
          <w:lang w:val="en-US" w:eastAsia="zh-CN"/>
        </w:rPr>
        <w:t>供应商对实施工作人员安全负有全部责任，供应商须为工作人员购买保险，如工伤保险、意外保险等，具体由供应商自行与员工确定，若因此而引起的法律或者经济纠纷，由供应商负全责，采购人不承担任何责任。</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4.供应商实施人员食宿自理</w:t>
      </w:r>
      <w:bookmarkEnd w:id="19"/>
      <w:bookmarkEnd w:id="20"/>
      <w:r>
        <w:rPr>
          <w:rFonts w:hint="eastAsia" w:ascii="宋体" w:hAnsi="宋体" w:eastAsia="宋体" w:cs="宋体"/>
          <w:color w:val="auto"/>
          <w:kern w:val="0"/>
          <w:sz w:val="24"/>
          <w:szCs w:val="24"/>
          <w:highlight w:val="none"/>
          <w:lang w:val="en-US"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保密服务要求：供应商对采购人提供的所有业务技术资料、文档，有责任对第三方保密；供应商在服务过程中涉及第三方产品（中标人提供的），若出现技术、经济或法律上的纠纷，应由供应商全面承担并解决，确保不影响项目的进度。供应商应严格遵守采购人关于保密方面的规定，自觉保守采购人的商业秘密。采购人为方便项目实施所提供给供应商的工作流程、管理模式、规程、程序等相关文档资料、文档、数据均属于采购人所有。未经采购人授权同意，供应商不得另作他用。因供应商原因导致上述资料、文档、数据或采购人商业秘密泄露的，采购人有权要求供应商采取措施消除影响并赔偿采购人损失。</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6.供应商应遵守采购人的现场管理制度要求，遵守国家、行业、地方法律法规，不得违章作业，接收采购人的安全教育，出现任何人员安全事故由供应商自行承担。</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7.供应商在自备设备专用工具和服务人员的所有劳防用品。</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default" w:cs="仿宋" w:asciiTheme="minorEastAsia" w:hAnsiTheme="minorEastAsia" w:eastAsiaTheme="minorEastAsia"/>
          <w:color w:val="auto"/>
          <w:kern w:val="0"/>
          <w:lang w:val="en-US" w:eastAsia="zh-CN"/>
        </w:rPr>
      </w:pPr>
      <w:r>
        <w:rPr>
          <w:rFonts w:hint="eastAsia" w:ascii="宋体" w:hAnsi="宋体" w:eastAsia="宋体" w:cs="宋体"/>
          <w:color w:val="auto"/>
          <w:kern w:val="0"/>
          <w:sz w:val="24"/>
          <w:szCs w:val="24"/>
          <w:highlight w:val="none"/>
          <w:lang w:val="en-US" w:eastAsia="zh-CN"/>
        </w:rPr>
        <w:t>8.供应商在实施过程中应负责对采购人生产场地的保护，与实施区域无关进行必要隔离，若造成损坏应负责修复或赔偿。对实施区域必须做到工完料尽场地清，实施中更换下来的废旧物资应按时堆放至采购人指定的相应地点。</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9"/>
        <w:ind w:firstLine="480" w:firstLineChars="200"/>
        <w:rPr>
          <w:lang w:val="en-US"/>
        </w:rPr>
      </w:pPr>
      <w:r>
        <w:rPr>
          <w:rFonts w:hint="eastAsia"/>
          <w:lang w:val="en-US"/>
        </w:rPr>
        <w:t>以本询价采购文件中的合同条款为准。</w:t>
      </w:r>
    </w:p>
    <w:p>
      <w:pPr>
        <w:pStyle w:val="8"/>
        <w:ind w:firstLine="480" w:firstLineChars="200"/>
        <w:rPr>
          <w:b/>
          <w:bCs/>
          <w:highlight w:val="none"/>
          <w:lang w:val="en-US"/>
        </w:rPr>
      </w:pPr>
      <w:r>
        <w:rPr>
          <w:rFonts w:hint="eastAsia" w:cs="仿宋" w:asciiTheme="minorEastAsia" w:hAnsiTheme="minorEastAsia"/>
          <w:kern w:val="0"/>
          <w:highlight w:val="none"/>
          <w:lang w:val="en-US" w:eastAsia="zh-CN"/>
        </w:rPr>
        <w:t>八</w:t>
      </w:r>
      <w:r>
        <w:rPr>
          <w:rFonts w:hint="eastAsia"/>
          <w:b/>
          <w:bCs/>
          <w:highlight w:val="none"/>
          <w:lang w:val="en-US"/>
        </w:rPr>
        <w:t>、售后要求</w:t>
      </w:r>
    </w:p>
    <w:p>
      <w:pPr>
        <w:pStyle w:val="8"/>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rFonts w:hint="eastAsia" w:ascii="宋体"/>
          <w:highlight w:val="none"/>
          <w:lang w:val="en-US"/>
        </w:rPr>
      </w:pPr>
      <w:r>
        <w:rPr>
          <w:rFonts w:hint="eastAsia" w:ascii="宋体"/>
          <w:highlight w:val="none"/>
          <w:lang w:val="en-US"/>
        </w:rPr>
        <w:t>2.采购人不再对任何售后服务进行付费。</w:t>
      </w:r>
      <w:r>
        <w:rPr>
          <w:rFonts w:hint="eastAsia" w:ascii="宋体"/>
          <w:highlight w:val="none"/>
          <w:lang w:val="en-US" w:eastAsia="zh-CN"/>
        </w:rPr>
        <w:t>供应商</w:t>
      </w:r>
      <w:r>
        <w:rPr>
          <w:rFonts w:hint="eastAsia" w:ascii="宋体"/>
          <w:highlight w:val="none"/>
          <w:lang w:val="en-US"/>
        </w:rPr>
        <w:t>的派遣人员产生的一切费用由供应商承担。</w:t>
      </w:r>
    </w:p>
    <w:p>
      <w:pPr>
        <w:pStyle w:val="8"/>
        <w:ind w:firstLine="480" w:firstLineChars="200"/>
        <w:rPr>
          <w:rFonts w:hint="eastAsia" w:ascii="宋体"/>
          <w:highlight w:val="none"/>
          <w:lang w:val="en-US"/>
        </w:rPr>
      </w:pPr>
      <w:r>
        <w:rPr>
          <w:rFonts w:hint="eastAsia" w:ascii="宋体"/>
          <w:highlight w:val="none"/>
          <w:lang w:val="en-US"/>
        </w:rPr>
        <w:t>3.</w:t>
      </w:r>
      <w:r>
        <w:rPr>
          <w:rFonts w:hint="eastAsia"/>
          <w:color w:val="auto"/>
          <w:highlight w:val="none"/>
          <w:lang w:val="en-US" w:eastAsia="zh-CN"/>
        </w:rPr>
        <w:t>供应商</w:t>
      </w:r>
      <w:r>
        <w:rPr>
          <w:rFonts w:hint="eastAsia"/>
          <w:highlight w:val="none"/>
          <w:lang w:val="en-US" w:eastAsia="zh-CN"/>
        </w:rPr>
        <w:t>提供的货物或者服务</w:t>
      </w:r>
      <w:r>
        <w:rPr>
          <w:rFonts w:hint="eastAsia" w:ascii="宋体"/>
          <w:highlight w:val="none"/>
          <w:lang w:val="en-US"/>
        </w:rPr>
        <w:t>在使用过程中，因质量问题给</w:t>
      </w:r>
      <w:r>
        <w:rPr>
          <w:rFonts w:hint="eastAsia"/>
          <w:highlight w:val="none"/>
          <w:lang w:val="en-US" w:eastAsia="zh-CN"/>
        </w:rPr>
        <w:t>其</w:t>
      </w:r>
      <w:r>
        <w:rPr>
          <w:rFonts w:hint="eastAsia" w:ascii="宋体"/>
          <w:highlight w:val="none"/>
          <w:lang w:val="en-US"/>
        </w:rPr>
        <w:t>他机械设备造成故障或货物损坏，由供应商承担采购人的一切损失，包括直接和间接损失。</w:t>
      </w:r>
    </w:p>
    <w:p>
      <w:pPr>
        <w:pStyle w:val="8"/>
        <w:numPr>
          <w:ilvl w:val="0"/>
          <w:numId w:val="0"/>
        </w:numPr>
        <w:ind w:firstLine="482" w:firstLineChars="200"/>
        <w:rPr>
          <w:rFonts w:hint="eastAsia"/>
          <w:b/>
          <w:bCs/>
          <w:color w:val="auto"/>
          <w:highlight w:val="none"/>
          <w:lang w:val="en-US" w:eastAsia="zh-CN"/>
        </w:rPr>
      </w:pP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8"/>
        <w:ind w:firstLine="480" w:firstLineChars="200"/>
        <w:rPr>
          <w:rFonts w:hint="eastAsia"/>
          <w:lang w:val="en-US" w:eastAsia="zh-CN"/>
        </w:rPr>
      </w:pPr>
      <w:r>
        <w:rPr>
          <w:rFonts w:hint="eastAsia"/>
          <w:lang w:val="en-US" w:eastAsia="zh-CN"/>
        </w:rPr>
        <w:t>附图：</w:t>
      </w:r>
    </w:p>
    <w:p>
      <w:pPr>
        <w:pStyle w:val="8"/>
        <w:ind w:firstLine="480" w:firstLineChars="200"/>
        <w:jc w:val="center"/>
        <w:rPr>
          <w:rFonts w:hint="default"/>
          <w:lang w:val="en-US" w:eastAsia="zh-CN"/>
        </w:rPr>
      </w:pPr>
      <w:r>
        <w:rPr>
          <w:rFonts w:hint="default"/>
          <w:lang w:val="en-US" w:eastAsia="zh-CN"/>
        </w:rPr>
        <w:drawing>
          <wp:inline distT="0" distB="0" distL="114300" distR="114300">
            <wp:extent cx="5648960" cy="5922645"/>
            <wp:effectExtent l="0" t="0" r="8890" b="1905"/>
            <wp:docPr id="15" name="图片 15" descr="微信图片_2025031413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50314131634"/>
                    <pic:cNvPicPr>
                      <a:picLocks noChangeAspect="1"/>
                    </pic:cNvPicPr>
                  </pic:nvPicPr>
                  <pic:blipFill>
                    <a:blip r:embed="rId21"/>
                    <a:stretch>
                      <a:fillRect/>
                    </a:stretch>
                  </pic:blipFill>
                  <pic:spPr>
                    <a:xfrm>
                      <a:off x="0" y="0"/>
                      <a:ext cx="5648960" cy="5922645"/>
                    </a:xfrm>
                    <a:prstGeom prst="rect">
                      <a:avLst/>
                    </a:prstGeom>
                  </pic:spPr>
                </pic:pic>
              </a:graphicData>
            </a:graphic>
          </wp:inline>
        </w:drawing>
      </w:r>
    </w:p>
    <w:p>
      <w:pPr>
        <w:pStyle w:val="8"/>
        <w:ind w:firstLine="480" w:firstLineChars="200"/>
        <w:jc w:val="center"/>
        <w:rPr>
          <w:rFonts w:hint="default"/>
          <w:lang w:val="en-US" w:eastAsia="zh-CN"/>
        </w:rPr>
      </w:pPr>
    </w:p>
    <w:p>
      <w:pPr>
        <w:pStyle w:val="8"/>
        <w:ind w:firstLine="480" w:firstLineChars="200"/>
        <w:jc w:val="center"/>
        <w:rPr>
          <w:rFonts w:hint="default"/>
          <w:lang w:val="en-US" w:eastAsia="zh-CN"/>
        </w:rPr>
      </w:pPr>
    </w:p>
    <w:p>
      <w:pPr>
        <w:pStyle w:val="8"/>
        <w:ind w:firstLine="480" w:firstLineChars="200"/>
        <w:jc w:val="center"/>
        <w:rPr>
          <w:rFonts w:hint="default"/>
          <w:lang w:val="en-US" w:eastAsia="zh-CN"/>
        </w:rPr>
      </w:pPr>
      <w:r>
        <w:rPr>
          <w:rFonts w:hint="default"/>
          <w:lang w:val="en-US" w:eastAsia="zh-CN"/>
        </w:rPr>
        <w:drawing>
          <wp:inline distT="0" distB="0" distL="114300" distR="114300">
            <wp:extent cx="5648325" cy="2954655"/>
            <wp:effectExtent l="0" t="0" r="9525" b="17145"/>
            <wp:docPr id="16" name="图片 16" descr="微信图片_2025031413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50314131702"/>
                    <pic:cNvPicPr>
                      <a:picLocks noChangeAspect="1"/>
                    </pic:cNvPicPr>
                  </pic:nvPicPr>
                  <pic:blipFill>
                    <a:blip r:embed="rId22"/>
                    <a:stretch>
                      <a:fillRect/>
                    </a:stretch>
                  </pic:blipFill>
                  <pic:spPr>
                    <a:xfrm>
                      <a:off x="0" y="0"/>
                      <a:ext cx="5648325" cy="2954655"/>
                    </a:xfrm>
                    <a:prstGeom prst="rect">
                      <a:avLst/>
                    </a:prstGeom>
                  </pic:spPr>
                </pic:pic>
              </a:graphicData>
            </a:graphic>
          </wp:inline>
        </w:drawing>
      </w:r>
    </w:p>
    <w:p>
      <w:pPr>
        <w:pStyle w:val="8"/>
        <w:ind w:firstLine="480" w:firstLineChars="200"/>
        <w:jc w:val="center"/>
        <w:rPr>
          <w:rFonts w:hint="default"/>
          <w:lang w:val="en-US" w:eastAsia="zh-CN"/>
        </w:rPr>
      </w:pPr>
    </w:p>
    <w:p>
      <w:pPr>
        <w:pStyle w:val="8"/>
        <w:ind w:firstLine="480" w:firstLineChars="200"/>
        <w:jc w:val="center"/>
        <w:rPr>
          <w:rFonts w:hint="default"/>
          <w:lang w:val="en-US" w:eastAsia="zh-CN"/>
        </w:rPr>
      </w:pPr>
    </w:p>
    <w:p>
      <w:pPr>
        <w:pStyle w:val="8"/>
        <w:ind w:firstLine="480" w:firstLineChars="200"/>
        <w:jc w:val="center"/>
        <w:rPr>
          <w:rFonts w:hint="default"/>
          <w:lang w:val="en-US" w:eastAsia="zh-CN"/>
        </w:rPr>
      </w:pPr>
      <w:r>
        <w:rPr>
          <w:rFonts w:hint="default"/>
          <w:lang w:val="en-US" w:eastAsia="zh-CN"/>
        </w:rPr>
        <w:drawing>
          <wp:inline distT="0" distB="0" distL="114300" distR="114300">
            <wp:extent cx="5641975" cy="2918460"/>
            <wp:effectExtent l="0" t="0" r="15875" b="15240"/>
            <wp:docPr id="17" name="图片 17" descr="微信图片_202503141316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503141316491"/>
                    <pic:cNvPicPr>
                      <a:picLocks noChangeAspect="1"/>
                    </pic:cNvPicPr>
                  </pic:nvPicPr>
                  <pic:blipFill>
                    <a:blip r:embed="rId23"/>
                    <a:stretch>
                      <a:fillRect/>
                    </a:stretch>
                  </pic:blipFill>
                  <pic:spPr>
                    <a:xfrm>
                      <a:off x="0" y="0"/>
                      <a:ext cx="5641975" cy="2918460"/>
                    </a:xfrm>
                    <a:prstGeom prst="rect">
                      <a:avLst/>
                    </a:prstGeom>
                  </pic:spPr>
                </pic:pic>
              </a:graphicData>
            </a:graphic>
          </wp:inline>
        </w:drawing>
      </w:r>
    </w:p>
    <w:p>
      <w:pPr>
        <w:pStyle w:val="15"/>
      </w:pPr>
    </w:p>
    <w:p/>
    <w:p/>
    <w:p/>
    <w:p/>
    <w:p/>
    <w:p/>
    <w:p/>
    <w:p/>
    <w:p/>
    <w:p>
      <w:pPr>
        <w:spacing w:line="460" w:lineRule="exact"/>
        <w:jc w:val="both"/>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1" w:name="_Toc184310308"/>
      <w:bookmarkEnd w:id="21"/>
      <w:bookmarkStart w:id="22" w:name="_Toc184310285"/>
      <w:bookmarkEnd w:id="22"/>
      <w:bookmarkStart w:id="23" w:name="_Toc184308073"/>
      <w:bookmarkEnd w:id="23"/>
      <w:bookmarkStart w:id="24" w:name="_Toc184310332"/>
      <w:bookmarkEnd w:id="24"/>
      <w:bookmarkStart w:id="25" w:name="_Toc184313282"/>
      <w:bookmarkEnd w:id="25"/>
      <w:bookmarkStart w:id="26" w:name="_Toc184308097"/>
      <w:bookmarkEnd w:id="26"/>
      <w:bookmarkStart w:id="27" w:name="_Toc184310304"/>
      <w:bookmarkEnd w:id="27"/>
      <w:bookmarkStart w:id="28" w:name="_Toc184314480"/>
      <w:bookmarkEnd w:id="28"/>
      <w:bookmarkStart w:id="29" w:name="_Toc184310281"/>
      <w:bookmarkEnd w:id="29"/>
      <w:bookmarkStart w:id="30" w:name="_Toc184308063"/>
      <w:bookmarkEnd w:id="30"/>
      <w:bookmarkStart w:id="31" w:name="_Toc184314418"/>
      <w:bookmarkEnd w:id="31"/>
      <w:bookmarkStart w:id="32" w:name="_Toc184314429"/>
      <w:bookmarkEnd w:id="32"/>
      <w:bookmarkStart w:id="33" w:name="_Toc184314453"/>
      <w:bookmarkEnd w:id="33"/>
      <w:bookmarkStart w:id="34" w:name="_Toc184308104"/>
      <w:bookmarkEnd w:id="34"/>
      <w:bookmarkStart w:id="35" w:name="_Toc184313265"/>
      <w:bookmarkEnd w:id="35"/>
      <w:bookmarkStart w:id="36" w:name="_Toc184310282"/>
      <w:bookmarkEnd w:id="36"/>
      <w:bookmarkStart w:id="37" w:name="_Toc184310306"/>
      <w:bookmarkEnd w:id="37"/>
      <w:bookmarkStart w:id="38" w:name="_Toc184308052"/>
      <w:bookmarkEnd w:id="38"/>
      <w:bookmarkStart w:id="39" w:name="_Toc184310341"/>
      <w:bookmarkEnd w:id="39"/>
      <w:bookmarkStart w:id="40" w:name="_Toc184312127"/>
      <w:bookmarkEnd w:id="40"/>
      <w:bookmarkStart w:id="41" w:name="_Toc184308108"/>
      <w:bookmarkEnd w:id="41"/>
      <w:bookmarkStart w:id="42" w:name="_Toc184308048"/>
      <w:bookmarkEnd w:id="42"/>
      <w:bookmarkStart w:id="43" w:name="_Toc184313277"/>
      <w:bookmarkEnd w:id="43"/>
      <w:bookmarkStart w:id="44" w:name="_Toc184314475"/>
      <w:bookmarkEnd w:id="44"/>
      <w:bookmarkStart w:id="45" w:name="_Toc184310322"/>
      <w:bookmarkEnd w:id="45"/>
      <w:bookmarkStart w:id="46" w:name="_Toc184310313"/>
      <w:bookmarkEnd w:id="46"/>
      <w:bookmarkStart w:id="47" w:name="_Toc184313290"/>
      <w:bookmarkEnd w:id="47"/>
      <w:bookmarkStart w:id="48" w:name="_Toc184308087"/>
      <w:bookmarkEnd w:id="48"/>
      <w:bookmarkStart w:id="49" w:name="_Toc184314430"/>
      <w:bookmarkEnd w:id="49"/>
      <w:bookmarkStart w:id="50" w:name="_Toc184312072"/>
      <w:bookmarkEnd w:id="50"/>
      <w:bookmarkStart w:id="51" w:name="_Toc184313280"/>
      <w:bookmarkEnd w:id="51"/>
      <w:bookmarkStart w:id="52" w:name="_Toc184313288"/>
      <w:bookmarkEnd w:id="52"/>
      <w:bookmarkStart w:id="53" w:name="_Toc184314438"/>
      <w:bookmarkEnd w:id="53"/>
      <w:bookmarkStart w:id="54" w:name="_Toc184314422"/>
      <w:bookmarkEnd w:id="54"/>
      <w:bookmarkStart w:id="55" w:name="_Toc184313259"/>
      <w:bookmarkEnd w:id="55"/>
      <w:bookmarkStart w:id="56" w:name="_Toc184308105"/>
      <w:bookmarkEnd w:id="56"/>
      <w:bookmarkStart w:id="57" w:name="_Toc184312083"/>
      <w:bookmarkEnd w:id="57"/>
      <w:bookmarkStart w:id="58" w:name="_Toc184313238"/>
      <w:bookmarkEnd w:id="58"/>
      <w:bookmarkStart w:id="59" w:name="_Toc184313269"/>
      <w:bookmarkEnd w:id="59"/>
      <w:bookmarkStart w:id="60" w:name="_Toc184308095"/>
      <w:bookmarkEnd w:id="60"/>
      <w:bookmarkStart w:id="61" w:name="_Toc184313258"/>
      <w:bookmarkEnd w:id="61"/>
      <w:bookmarkStart w:id="62" w:name="_Toc184308069"/>
      <w:bookmarkEnd w:id="62"/>
      <w:bookmarkStart w:id="63" w:name="_Toc184310318"/>
      <w:bookmarkEnd w:id="63"/>
      <w:bookmarkStart w:id="64" w:name="_Toc184308072"/>
      <w:bookmarkEnd w:id="64"/>
      <w:bookmarkStart w:id="65" w:name="_Toc184312112"/>
      <w:bookmarkEnd w:id="65"/>
      <w:bookmarkStart w:id="66" w:name="_Toc184312099"/>
      <w:bookmarkEnd w:id="66"/>
      <w:bookmarkStart w:id="67" w:name="_Toc184310342"/>
      <w:bookmarkEnd w:id="67"/>
      <w:bookmarkStart w:id="68" w:name="_Toc184308038"/>
      <w:bookmarkEnd w:id="68"/>
      <w:bookmarkStart w:id="69" w:name="_Toc184310321"/>
      <w:bookmarkEnd w:id="69"/>
      <w:bookmarkStart w:id="70" w:name="_Toc184312093"/>
      <w:bookmarkEnd w:id="70"/>
      <w:bookmarkStart w:id="71" w:name="_Toc184313255"/>
      <w:bookmarkEnd w:id="71"/>
      <w:bookmarkStart w:id="72" w:name="_Toc184312115"/>
      <w:bookmarkEnd w:id="72"/>
      <w:bookmarkStart w:id="73" w:name="_Toc184314425"/>
      <w:bookmarkEnd w:id="73"/>
      <w:bookmarkStart w:id="74" w:name="_Toc184312070"/>
      <w:bookmarkEnd w:id="74"/>
      <w:bookmarkStart w:id="75" w:name="_Toc184310315"/>
      <w:bookmarkEnd w:id="75"/>
      <w:bookmarkStart w:id="76" w:name="_Toc184314443"/>
      <w:bookmarkEnd w:id="76"/>
      <w:bookmarkStart w:id="77" w:name="_Toc184313284"/>
      <w:bookmarkEnd w:id="77"/>
      <w:bookmarkStart w:id="78" w:name="_Toc184308086"/>
      <w:bookmarkEnd w:id="78"/>
      <w:bookmarkStart w:id="79" w:name="_Toc184313271"/>
      <w:bookmarkEnd w:id="79"/>
      <w:bookmarkStart w:id="80" w:name="_Toc184312077"/>
      <w:bookmarkEnd w:id="80"/>
      <w:bookmarkStart w:id="81" w:name="_Toc184313253"/>
      <w:bookmarkEnd w:id="81"/>
      <w:bookmarkStart w:id="82" w:name="_Toc184310340"/>
      <w:bookmarkEnd w:id="82"/>
      <w:bookmarkStart w:id="83" w:name="_Toc184314452"/>
      <w:bookmarkEnd w:id="83"/>
      <w:bookmarkStart w:id="84" w:name="_Toc184310339"/>
      <w:bookmarkEnd w:id="84"/>
      <w:bookmarkStart w:id="85" w:name="_Toc184312075"/>
      <w:bookmarkEnd w:id="85"/>
      <w:bookmarkStart w:id="86" w:name="_Toc184312123"/>
      <w:bookmarkEnd w:id="86"/>
      <w:bookmarkStart w:id="87" w:name="_Toc184310299"/>
      <w:bookmarkEnd w:id="87"/>
      <w:bookmarkStart w:id="88" w:name="_Toc184310336"/>
      <w:bookmarkEnd w:id="88"/>
      <w:bookmarkStart w:id="89" w:name="_Toc184312120"/>
      <w:bookmarkEnd w:id="89"/>
      <w:bookmarkStart w:id="90" w:name="_Toc184313250"/>
      <w:bookmarkEnd w:id="90"/>
      <w:bookmarkStart w:id="91" w:name="_Toc184313267"/>
      <w:bookmarkEnd w:id="91"/>
      <w:bookmarkStart w:id="92" w:name="_Toc184310338"/>
      <w:bookmarkEnd w:id="92"/>
      <w:bookmarkStart w:id="93" w:name="_Toc184308083"/>
      <w:bookmarkEnd w:id="93"/>
      <w:bookmarkStart w:id="94" w:name="_Toc184312094"/>
      <w:bookmarkEnd w:id="94"/>
      <w:bookmarkStart w:id="95" w:name="_Toc184312108"/>
      <w:bookmarkEnd w:id="95"/>
      <w:bookmarkStart w:id="96" w:name="_Toc184308077"/>
      <w:bookmarkEnd w:id="96"/>
      <w:bookmarkStart w:id="97" w:name="_Toc184308057"/>
      <w:bookmarkEnd w:id="97"/>
      <w:bookmarkStart w:id="98" w:name="_Toc184314451"/>
      <w:bookmarkEnd w:id="98"/>
      <w:bookmarkStart w:id="99" w:name="_Toc184310276"/>
      <w:bookmarkEnd w:id="99"/>
      <w:bookmarkStart w:id="100" w:name="_Toc184310324"/>
      <w:bookmarkEnd w:id="100"/>
      <w:bookmarkStart w:id="101" w:name="_Toc184313242"/>
      <w:bookmarkEnd w:id="101"/>
      <w:bookmarkStart w:id="102" w:name="_Toc184313266"/>
      <w:bookmarkEnd w:id="102"/>
      <w:bookmarkStart w:id="103" w:name="_Toc184313247"/>
      <w:bookmarkEnd w:id="103"/>
      <w:bookmarkStart w:id="104" w:name="_Toc184308036"/>
      <w:bookmarkEnd w:id="104"/>
      <w:bookmarkStart w:id="105" w:name="_Toc184314439"/>
      <w:bookmarkEnd w:id="105"/>
      <w:bookmarkStart w:id="106" w:name="_Toc184313264"/>
      <w:bookmarkEnd w:id="106"/>
      <w:bookmarkStart w:id="107" w:name="_Toc184310283"/>
      <w:bookmarkEnd w:id="107"/>
      <w:bookmarkStart w:id="108" w:name="_Toc184308093"/>
      <w:bookmarkEnd w:id="108"/>
      <w:bookmarkStart w:id="109" w:name="_Toc184312136"/>
      <w:bookmarkEnd w:id="109"/>
      <w:bookmarkStart w:id="110" w:name="_Toc184312118"/>
      <w:bookmarkEnd w:id="110"/>
      <w:bookmarkStart w:id="111" w:name="_Toc184308075"/>
      <w:bookmarkEnd w:id="111"/>
      <w:bookmarkStart w:id="112" w:name="_Toc184308079"/>
      <w:bookmarkEnd w:id="112"/>
      <w:bookmarkStart w:id="113" w:name="_Toc184310307"/>
      <w:bookmarkEnd w:id="113"/>
      <w:bookmarkStart w:id="114" w:name="_Toc184314431"/>
      <w:bookmarkEnd w:id="114"/>
      <w:bookmarkStart w:id="115" w:name="_Toc184313295"/>
      <w:bookmarkEnd w:id="115"/>
      <w:bookmarkStart w:id="116" w:name="_Toc184312081"/>
      <w:bookmarkEnd w:id="116"/>
      <w:bookmarkStart w:id="117" w:name="_Toc184312097"/>
      <w:bookmarkEnd w:id="117"/>
      <w:bookmarkStart w:id="118" w:name="_Toc184314427"/>
      <w:bookmarkEnd w:id="118"/>
      <w:bookmarkStart w:id="119" w:name="_Toc184312101"/>
      <w:bookmarkEnd w:id="119"/>
      <w:bookmarkStart w:id="120" w:name="_Toc184310343"/>
      <w:bookmarkEnd w:id="120"/>
      <w:bookmarkStart w:id="121" w:name="_Toc184308053"/>
      <w:bookmarkEnd w:id="121"/>
      <w:bookmarkStart w:id="122" w:name="_Toc184308099"/>
      <w:bookmarkEnd w:id="122"/>
      <w:bookmarkStart w:id="123" w:name="_Toc184310302"/>
      <w:bookmarkEnd w:id="123"/>
      <w:bookmarkStart w:id="124" w:name="_Toc184314468"/>
      <w:bookmarkEnd w:id="124"/>
      <w:bookmarkStart w:id="125" w:name="_Toc184308065"/>
      <w:bookmarkEnd w:id="125"/>
      <w:bookmarkStart w:id="126" w:name="_Toc184308041"/>
      <w:bookmarkEnd w:id="126"/>
      <w:bookmarkStart w:id="127" w:name="_Toc184308067"/>
      <w:bookmarkEnd w:id="127"/>
      <w:bookmarkStart w:id="128" w:name="_Toc184308060"/>
      <w:bookmarkEnd w:id="128"/>
      <w:bookmarkStart w:id="129" w:name="_Toc184313285"/>
      <w:bookmarkEnd w:id="129"/>
      <w:bookmarkStart w:id="130" w:name="_Toc184314436"/>
      <w:bookmarkEnd w:id="130"/>
      <w:bookmarkStart w:id="131" w:name="_Toc184310297"/>
      <w:bookmarkEnd w:id="131"/>
      <w:bookmarkStart w:id="132" w:name="_Toc184313254"/>
      <w:bookmarkEnd w:id="132"/>
      <w:bookmarkStart w:id="133" w:name="_Toc184308100"/>
      <w:bookmarkEnd w:id="133"/>
      <w:bookmarkStart w:id="134" w:name="_Toc184308058"/>
      <w:bookmarkEnd w:id="134"/>
      <w:bookmarkStart w:id="135" w:name="_Toc184310320"/>
      <w:bookmarkEnd w:id="135"/>
      <w:bookmarkStart w:id="136" w:name="_Toc184308070"/>
      <w:bookmarkEnd w:id="136"/>
      <w:bookmarkStart w:id="137" w:name="_Toc184310292"/>
      <w:bookmarkEnd w:id="137"/>
      <w:bookmarkStart w:id="138" w:name="_Toc184314457"/>
      <w:bookmarkEnd w:id="138"/>
      <w:bookmarkStart w:id="139" w:name="_Toc184314464"/>
      <w:bookmarkEnd w:id="139"/>
      <w:bookmarkStart w:id="140" w:name="_Toc184313299"/>
      <w:bookmarkEnd w:id="140"/>
      <w:bookmarkStart w:id="141" w:name="_Toc184313308"/>
      <w:bookmarkEnd w:id="141"/>
      <w:bookmarkStart w:id="142" w:name="_Toc184314459"/>
      <w:bookmarkEnd w:id="142"/>
      <w:bookmarkStart w:id="143" w:name="_Toc184312104"/>
      <w:bookmarkEnd w:id="143"/>
      <w:bookmarkStart w:id="144" w:name="_Toc184310331"/>
      <w:bookmarkEnd w:id="144"/>
      <w:bookmarkStart w:id="145" w:name="_Toc184314445"/>
      <w:bookmarkEnd w:id="145"/>
      <w:bookmarkStart w:id="146" w:name="_Toc184310316"/>
      <w:bookmarkEnd w:id="146"/>
      <w:bookmarkStart w:id="147" w:name="_Toc184313249"/>
      <w:bookmarkEnd w:id="147"/>
      <w:bookmarkStart w:id="148" w:name="_Toc184313278"/>
      <w:bookmarkEnd w:id="148"/>
      <w:bookmarkStart w:id="149" w:name="_Toc184308084"/>
      <w:bookmarkEnd w:id="149"/>
      <w:bookmarkStart w:id="150" w:name="_Toc184312086"/>
      <w:bookmarkEnd w:id="150"/>
      <w:bookmarkStart w:id="151" w:name="_Toc184314428"/>
      <w:bookmarkEnd w:id="151"/>
      <w:bookmarkStart w:id="152" w:name="_Toc184310303"/>
      <w:bookmarkEnd w:id="152"/>
      <w:bookmarkStart w:id="153" w:name="_Toc184314455"/>
      <w:bookmarkEnd w:id="153"/>
      <w:bookmarkStart w:id="154" w:name="_Toc184312135"/>
      <w:bookmarkEnd w:id="154"/>
      <w:bookmarkStart w:id="155" w:name="_Toc184310330"/>
      <w:bookmarkEnd w:id="155"/>
      <w:bookmarkStart w:id="156" w:name="_Toc184310274"/>
      <w:bookmarkEnd w:id="156"/>
      <w:bookmarkStart w:id="157" w:name="_Toc184314461"/>
      <w:bookmarkEnd w:id="157"/>
      <w:bookmarkStart w:id="158" w:name="_Toc184308042"/>
      <w:bookmarkEnd w:id="158"/>
      <w:bookmarkStart w:id="159" w:name="_Toc184308039"/>
      <w:bookmarkEnd w:id="159"/>
      <w:bookmarkStart w:id="160" w:name="_Toc184314416"/>
      <w:bookmarkEnd w:id="160"/>
      <w:bookmarkStart w:id="161" w:name="_Toc184310286"/>
      <w:bookmarkEnd w:id="161"/>
      <w:bookmarkStart w:id="162" w:name="_Toc184313289"/>
      <w:bookmarkEnd w:id="162"/>
      <w:bookmarkStart w:id="163" w:name="_Toc184310295"/>
      <w:bookmarkEnd w:id="163"/>
      <w:bookmarkStart w:id="164" w:name="_Toc184310311"/>
      <w:bookmarkEnd w:id="164"/>
      <w:bookmarkStart w:id="165" w:name="_Toc184310300"/>
      <w:bookmarkEnd w:id="165"/>
      <w:bookmarkStart w:id="166" w:name="_Toc184310329"/>
      <w:bookmarkEnd w:id="166"/>
      <w:bookmarkStart w:id="167" w:name="_Toc184310305"/>
      <w:bookmarkEnd w:id="167"/>
      <w:bookmarkStart w:id="168" w:name="_Toc184308051"/>
      <w:bookmarkEnd w:id="168"/>
      <w:bookmarkStart w:id="169" w:name="_Toc184312078"/>
      <w:bookmarkEnd w:id="169"/>
      <w:bookmarkStart w:id="170" w:name="_Toc184308082"/>
      <w:bookmarkEnd w:id="170"/>
      <w:bookmarkStart w:id="171" w:name="_Toc184312071"/>
      <w:bookmarkEnd w:id="171"/>
      <w:bookmarkStart w:id="172" w:name="_Toc184308096"/>
      <w:bookmarkEnd w:id="172"/>
      <w:bookmarkStart w:id="173" w:name="_Toc184313283"/>
      <w:bookmarkEnd w:id="173"/>
      <w:bookmarkStart w:id="174" w:name="_Toc184314456"/>
      <w:bookmarkEnd w:id="174"/>
      <w:bookmarkStart w:id="175" w:name="_Toc184312116"/>
      <w:bookmarkEnd w:id="175"/>
      <w:bookmarkStart w:id="176" w:name="_Toc184314476"/>
      <w:bookmarkEnd w:id="176"/>
      <w:bookmarkStart w:id="177" w:name="_Toc184308056"/>
      <w:bookmarkEnd w:id="177"/>
      <w:bookmarkStart w:id="178" w:name="_Toc184313248"/>
      <w:bookmarkEnd w:id="178"/>
      <w:bookmarkStart w:id="179" w:name="_Toc184313268"/>
      <w:bookmarkEnd w:id="179"/>
      <w:bookmarkStart w:id="180" w:name="_Toc184308103"/>
      <w:bookmarkEnd w:id="180"/>
      <w:bookmarkStart w:id="181" w:name="_Toc184314435"/>
      <w:bookmarkEnd w:id="181"/>
      <w:bookmarkStart w:id="182" w:name="_Toc184312137"/>
      <w:bookmarkEnd w:id="182"/>
      <w:bookmarkStart w:id="183" w:name="_Toc184314473"/>
      <w:bookmarkEnd w:id="183"/>
      <w:bookmarkStart w:id="184" w:name="_Toc184313243"/>
      <w:bookmarkEnd w:id="184"/>
      <w:bookmarkStart w:id="185" w:name="_Toc184313281"/>
      <w:bookmarkEnd w:id="185"/>
      <w:bookmarkStart w:id="186" w:name="_Toc184308085"/>
      <w:bookmarkEnd w:id="186"/>
      <w:bookmarkStart w:id="187" w:name="_Toc184313246"/>
      <w:bookmarkEnd w:id="187"/>
      <w:bookmarkStart w:id="188" w:name="_Toc184312134"/>
      <w:bookmarkEnd w:id="188"/>
      <w:bookmarkStart w:id="189" w:name="_Toc184310293"/>
      <w:bookmarkEnd w:id="189"/>
      <w:bookmarkStart w:id="190" w:name="_Toc184308080"/>
      <w:bookmarkEnd w:id="190"/>
      <w:bookmarkStart w:id="191" w:name="_Toc184308090"/>
      <w:bookmarkEnd w:id="191"/>
      <w:bookmarkStart w:id="192" w:name="_Toc184314449"/>
      <w:bookmarkEnd w:id="192"/>
      <w:bookmarkStart w:id="193" w:name="_Toc184314466"/>
      <w:bookmarkEnd w:id="193"/>
      <w:bookmarkStart w:id="194" w:name="_Toc184314437"/>
      <w:bookmarkEnd w:id="194"/>
      <w:bookmarkStart w:id="195" w:name="_Toc184310333"/>
      <w:bookmarkEnd w:id="195"/>
      <w:bookmarkStart w:id="196" w:name="_Toc184310328"/>
      <w:bookmarkEnd w:id="196"/>
      <w:bookmarkStart w:id="197" w:name="_Toc184314474"/>
      <w:bookmarkEnd w:id="197"/>
      <w:bookmarkStart w:id="198" w:name="_Toc184312079"/>
      <w:bookmarkEnd w:id="198"/>
      <w:bookmarkStart w:id="199" w:name="_Toc184313301"/>
      <w:bookmarkEnd w:id="199"/>
      <w:bookmarkStart w:id="200" w:name="_Toc184310337"/>
      <w:bookmarkEnd w:id="200"/>
      <w:bookmarkStart w:id="201" w:name="_Toc184313273"/>
      <w:bookmarkEnd w:id="201"/>
      <w:bookmarkStart w:id="202" w:name="_Toc184308055"/>
      <w:bookmarkEnd w:id="202"/>
      <w:bookmarkStart w:id="203" w:name="_Toc184313291"/>
      <w:bookmarkEnd w:id="203"/>
      <w:bookmarkStart w:id="204" w:name="_Toc184314413"/>
      <w:bookmarkEnd w:id="204"/>
      <w:bookmarkStart w:id="205" w:name="_Toc184314460"/>
      <w:bookmarkEnd w:id="205"/>
      <w:bookmarkStart w:id="206" w:name="_Toc184312106"/>
      <w:bookmarkEnd w:id="206"/>
      <w:bookmarkStart w:id="207" w:name="_Toc184313297"/>
      <w:bookmarkEnd w:id="207"/>
      <w:bookmarkStart w:id="208" w:name="_Toc184310296"/>
      <w:bookmarkEnd w:id="208"/>
      <w:bookmarkStart w:id="209" w:name="_Toc184308054"/>
      <w:bookmarkEnd w:id="209"/>
      <w:bookmarkStart w:id="210" w:name="_Toc184312092"/>
      <w:bookmarkEnd w:id="210"/>
      <w:bookmarkStart w:id="211" w:name="_Toc184312082"/>
      <w:bookmarkEnd w:id="211"/>
      <w:bookmarkStart w:id="212" w:name="_Toc184313262"/>
      <w:bookmarkEnd w:id="212"/>
      <w:bookmarkStart w:id="213" w:name="_Toc184314482"/>
      <w:bookmarkEnd w:id="213"/>
      <w:bookmarkStart w:id="214" w:name="_Toc184312132"/>
      <w:bookmarkEnd w:id="214"/>
      <w:bookmarkStart w:id="215" w:name="_Toc184312124"/>
      <w:bookmarkEnd w:id="215"/>
      <w:bookmarkStart w:id="216" w:name="_Toc184312084"/>
      <w:bookmarkEnd w:id="216"/>
      <w:bookmarkStart w:id="217" w:name="_Toc184314433"/>
      <w:bookmarkEnd w:id="217"/>
      <w:bookmarkStart w:id="218" w:name="_Toc184314411"/>
      <w:bookmarkEnd w:id="218"/>
      <w:bookmarkStart w:id="219" w:name="_Toc184308098"/>
      <w:bookmarkEnd w:id="219"/>
      <w:bookmarkStart w:id="220" w:name="_Toc184312080"/>
      <w:bookmarkEnd w:id="220"/>
      <w:bookmarkStart w:id="221" w:name="_Toc184312076"/>
      <w:bookmarkEnd w:id="221"/>
      <w:bookmarkStart w:id="222" w:name="_Toc184310298"/>
      <w:bookmarkEnd w:id="222"/>
      <w:bookmarkStart w:id="223" w:name="_Toc184310326"/>
      <w:bookmarkEnd w:id="223"/>
      <w:bookmarkStart w:id="224" w:name="_Toc184308081"/>
      <w:bookmarkEnd w:id="224"/>
      <w:bookmarkStart w:id="225" w:name="_Toc184313287"/>
      <w:bookmarkEnd w:id="225"/>
      <w:bookmarkStart w:id="226" w:name="_Toc184314458"/>
      <w:bookmarkEnd w:id="226"/>
      <w:bookmarkStart w:id="227" w:name="_Toc184312119"/>
      <w:bookmarkEnd w:id="227"/>
      <w:bookmarkStart w:id="228" w:name="_Toc184308107"/>
      <w:bookmarkEnd w:id="228"/>
      <w:bookmarkStart w:id="229" w:name="_Toc184313252"/>
      <w:bookmarkEnd w:id="229"/>
      <w:bookmarkStart w:id="230" w:name="_Toc184308102"/>
      <w:bookmarkEnd w:id="230"/>
      <w:bookmarkStart w:id="231" w:name="_Toc184310287"/>
      <w:bookmarkEnd w:id="231"/>
      <w:bookmarkStart w:id="232" w:name="_Toc184312100"/>
      <w:bookmarkEnd w:id="232"/>
      <w:bookmarkStart w:id="233" w:name="_Toc184312088"/>
      <w:bookmarkEnd w:id="233"/>
      <w:bookmarkStart w:id="234" w:name="_Toc184308088"/>
      <w:bookmarkEnd w:id="234"/>
      <w:bookmarkStart w:id="235" w:name="_Toc184313304"/>
      <w:bookmarkEnd w:id="235"/>
      <w:bookmarkStart w:id="236" w:name="_Toc184312138"/>
      <w:bookmarkEnd w:id="236"/>
      <w:bookmarkStart w:id="237" w:name="_Toc184308044"/>
      <w:bookmarkEnd w:id="237"/>
      <w:bookmarkStart w:id="238" w:name="_Toc184312107"/>
      <w:bookmarkEnd w:id="238"/>
      <w:bookmarkStart w:id="239" w:name="_Toc184313257"/>
      <w:bookmarkEnd w:id="239"/>
      <w:bookmarkStart w:id="240" w:name="_Toc184314424"/>
      <w:bookmarkEnd w:id="240"/>
      <w:bookmarkStart w:id="241" w:name="_Toc184312110"/>
      <w:bookmarkEnd w:id="241"/>
      <w:bookmarkStart w:id="242" w:name="_Toc184314410"/>
      <w:bookmarkEnd w:id="242"/>
      <w:bookmarkStart w:id="243" w:name="_Toc184312087"/>
      <w:bookmarkEnd w:id="243"/>
      <w:bookmarkStart w:id="244" w:name="_Toc184314426"/>
      <w:bookmarkEnd w:id="244"/>
      <w:bookmarkStart w:id="245" w:name="_Toc184308068"/>
      <w:bookmarkEnd w:id="245"/>
      <w:bookmarkStart w:id="246" w:name="_Toc184310289"/>
      <w:bookmarkEnd w:id="246"/>
      <w:bookmarkStart w:id="247" w:name="_Toc184314434"/>
      <w:bookmarkEnd w:id="247"/>
      <w:bookmarkStart w:id="248" w:name="_Toc184313245"/>
      <w:bookmarkEnd w:id="248"/>
      <w:bookmarkStart w:id="249" w:name="_Toc184310319"/>
      <w:bookmarkEnd w:id="249"/>
      <w:bookmarkStart w:id="250" w:name="_Toc184312098"/>
      <w:bookmarkEnd w:id="250"/>
      <w:bookmarkStart w:id="251" w:name="_Toc184308066"/>
      <w:bookmarkEnd w:id="251"/>
      <w:bookmarkStart w:id="252" w:name="_Toc184310279"/>
      <w:bookmarkEnd w:id="252"/>
      <w:bookmarkStart w:id="253" w:name="_Toc184312131"/>
      <w:bookmarkEnd w:id="253"/>
      <w:bookmarkStart w:id="254" w:name="_Toc184312085"/>
      <w:bookmarkEnd w:id="254"/>
      <w:bookmarkStart w:id="255" w:name="_Toc184308101"/>
      <w:bookmarkEnd w:id="255"/>
      <w:bookmarkStart w:id="256" w:name="_Toc184308062"/>
      <w:bookmarkEnd w:id="256"/>
      <w:bookmarkStart w:id="257" w:name="_Toc184310280"/>
      <w:bookmarkEnd w:id="257"/>
      <w:bookmarkStart w:id="258" w:name="_Toc184313239"/>
      <w:bookmarkEnd w:id="258"/>
      <w:bookmarkStart w:id="259" w:name="_Toc184308040"/>
      <w:bookmarkEnd w:id="259"/>
      <w:bookmarkStart w:id="260" w:name="_Toc184310309"/>
      <w:bookmarkEnd w:id="260"/>
      <w:bookmarkStart w:id="261" w:name="_Toc184308059"/>
      <w:bookmarkEnd w:id="261"/>
      <w:bookmarkStart w:id="262" w:name="_Toc184314446"/>
      <w:bookmarkEnd w:id="262"/>
      <w:bookmarkStart w:id="263" w:name="_Toc184308043"/>
      <w:bookmarkEnd w:id="263"/>
      <w:bookmarkStart w:id="264" w:name="_Toc184313286"/>
      <w:bookmarkEnd w:id="264"/>
      <w:bookmarkStart w:id="265" w:name="_Toc184312126"/>
      <w:bookmarkEnd w:id="265"/>
      <w:bookmarkStart w:id="266" w:name="_Toc184308078"/>
      <w:bookmarkEnd w:id="266"/>
      <w:bookmarkStart w:id="267" w:name="_Toc184314470"/>
      <w:bookmarkEnd w:id="267"/>
      <w:bookmarkStart w:id="268" w:name="_Toc184313303"/>
      <w:bookmarkEnd w:id="268"/>
      <w:bookmarkStart w:id="269" w:name="_Toc184312133"/>
      <w:bookmarkEnd w:id="269"/>
      <w:bookmarkStart w:id="270" w:name="_Toc184314447"/>
      <w:bookmarkEnd w:id="270"/>
      <w:bookmarkStart w:id="271" w:name="_Toc184313292"/>
      <w:bookmarkEnd w:id="271"/>
      <w:bookmarkStart w:id="272" w:name="_Toc184314420"/>
      <w:bookmarkEnd w:id="272"/>
      <w:bookmarkStart w:id="273" w:name="_Toc184314421"/>
      <w:bookmarkEnd w:id="273"/>
      <w:bookmarkStart w:id="274" w:name="_Toc184313251"/>
      <w:bookmarkEnd w:id="274"/>
      <w:bookmarkStart w:id="275" w:name="_Toc184312128"/>
      <w:bookmarkEnd w:id="275"/>
      <w:bookmarkStart w:id="276" w:name="_Toc184308050"/>
      <w:bookmarkEnd w:id="276"/>
      <w:bookmarkStart w:id="277" w:name="_Toc184314478"/>
      <w:bookmarkEnd w:id="277"/>
      <w:bookmarkStart w:id="278" w:name="_Toc184313298"/>
      <w:bookmarkEnd w:id="278"/>
      <w:bookmarkStart w:id="279" w:name="_Toc184310334"/>
      <w:bookmarkEnd w:id="279"/>
      <w:bookmarkStart w:id="280" w:name="_Toc184310344"/>
      <w:bookmarkEnd w:id="280"/>
      <w:bookmarkStart w:id="281" w:name="_Toc184312091"/>
      <w:bookmarkEnd w:id="281"/>
      <w:bookmarkStart w:id="282" w:name="_Toc184308061"/>
      <w:bookmarkEnd w:id="282"/>
      <w:bookmarkStart w:id="283" w:name="_Toc184314414"/>
      <w:bookmarkEnd w:id="283"/>
      <w:bookmarkStart w:id="284" w:name="_Toc184310273"/>
      <w:bookmarkEnd w:id="284"/>
      <w:bookmarkStart w:id="285" w:name="_Toc184312073"/>
      <w:bookmarkEnd w:id="285"/>
      <w:bookmarkStart w:id="286" w:name="_Toc184313241"/>
      <w:bookmarkEnd w:id="286"/>
      <w:bookmarkStart w:id="287" w:name="_Toc184312114"/>
      <w:bookmarkEnd w:id="287"/>
      <w:bookmarkStart w:id="288" w:name="_Toc184312067"/>
      <w:bookmarkEnd w:id="288"/>
      <w:bookmarkStart w:id="289" w:name="_Toc184313276"/>
      <w:bookmarkEnd w:id="289"/>
      <w:bookmarkStart w:id="290" w:name="_Toc184312139"/>
      <w:bookmarkEnd w:id="290"/>
      <w:bookmarkStart w:id="291" w:name="_Toc184310327"/>
      <w:bookmarkEnd w:id="291"/>
      <w:bookmarkStart w:id="292" w:name="_Toc184314412"/>
      <w:bookmarkEnd w:id="292"/>
      <w:bookmarkStart w:id="293" w:name="_Toc184314450"/>
      <w:bookmarkEnd w:id="293"/>
      <w:bookmarkStart w:id="294" w:name="_Toc184312125"/>
      <w:bookmarkEnd w:id="294"/>
      <w:bookmarkStart w:id="295" w:name="_Toc184310301"/>
      <w:bookmarkEnd w:id="295"/>
      <w:bookmarkStart w:id="296" w:name="_Toc184312130"/>
      <w:bookmarkEnd w:id="296"/>
      <w:bookmarkStart w:id="297" w:name="_Toc184312117"/>
      <w:bookmarkEnd w:id="297"/>
      <w:bookmarkStart w:id="298" w:name="_Toc184312090"/>
      <w:bookmarkEnd w:id="298"/>
      <w:bookmarkStart w:id="299" w:name="_Toc184310275"/>
      <w:bookmarkEnd w:id="299"/>
      <w:bookmarkStart w:id="300" w:name="_Toc184312074"/>
      <w:bookmarkEnd w:id="300"/>
      <w:bookmarkStart w:id="301" w:name="_Toc184308045"/>
      <w:bookmarkEnd w:id="301"/>
      <w:bookmarkStart w:id="302" w:name="_Toc184313274"/>
      <w:bookmarkEnd w:id="302"/>
      <w:bookmarkStart w:id="303" w:name="_Toc184310290"/>
      <w:bookmarkEnd w:id="303"/>
      <w:bookmarkStart w:id="304" w:name="_Toc184310335"/>
      <w:bookmarkEnd w:id="304"/>
      <w:bookmarkStart w:id="305" w:name="_Toc184313270"/>
      <w:bookmarkEnd w:id="305"/>
      <w:bookmarkStart w:id="306" w:name="_Toc184314415"/>
      <w:bookmarkEnd w:id="306"/>
      <w:bookmarkStart w:id="307" w:name="_Toc184313244"/>
      <w:bookmarkEnd w:id="307"/>
      <w:bookmarkStart w:id="308" w:name="_Toc184313275"/>
      <w:bookmarkEnd w:id="308"/>
      <w:bookmarkStart w:id="309" w:name="_Toc184308076"/>
      <w:bookmarkEnd w:id="309"/>
      <w:bookmarkStart w:id="310" w:name="_Toc184308106"/>
      <w:bookmarkEnd w:id="310"/>
      <w:bookmarkStart w:id="311" w:name="_Toc184314479"/>
      <w:bookmarkEnd w:id="311"/>
      <w:bookmarkStart w:id="312" w:name="_Toc184310314"/>
      <w:bookmarkEnd w:id="312"/>
      <w:bookmarkStart w:id="313" w:name="_Toc184310312"/>
      <w:bookmarkEnd w:id="313"/>
      <w:bookmarkStart w:id="314" w:name="_Toc184314440"/>
      <w:bookmarkEnd w:id="314"/>
      <w:bookmarkStart w:id="315" w:name="_Toc184314481"/>
      <w:bookmarkEnd w:id="315"/>
      <w:bookmarkStart w:id="316" w:name="_Toc184313309"/>
      <w:bookmarkEnd w:id="316"/>
      <w:bookmarkStart w:id="317" w:name="_Toc184313307"/>
      <w:bookmarkEnd w:id="317"/>
      <w:bookmarkStart w:id="318" w:name="_Toc184312096"/>
      <w:bookmarkEnd w:id="318"/>
      <w:bookmarkStart w:id="319" w:name="_Toc184313293"/>
      <w:bookmarkEnd w:id="319"/>
      <w:bookmarkStart w:id="320" w:name="_Toc184312129"/>
      <w:bookmarkEnd w:id="320"/>
      <w:bookmarkStart w:id="321" w:name="_Toc184313256"/>
      <w:bookmarkEnd w:id="321"/>
      <w:bookmarkStart w:id="322" w:name="_Toc184313294"/>
      <w:bookmarkEnd w:id="322"/>
      <w:bookmarkStart w:id="323" w:name="_Toc184312069"/>
      <w:bookmarkEnd w:id="323"/>
      <w:bookmarkStart w:id="324" w:name="_Toc184313261"/>
      <w:bookmarkEnd w:id="324"/>
      <w:bookmarkStart w:id="325" w:name="_Toc184312103"/>
      <w:bookmarkEnd w:id="325"/>
      <w:bookmarkStart w:id="326" w:name="_Toc184314442"/>
      <w:bookmarkEnd w:id="326"/>
      <w:bookmarkStart w:id="327" w:name="_Toc184313263"/>
      <w:bookmarkEnd w:id="327"/>
      <w:bookmarkStart w:id="328" w:name="_Toc184314471"/>
      <w:bookmarkEnd w:id="328"/>
      <w:bookmarkStart w:id="329" w:name="_Toc184312068"/>
      <w:bookmarkEnd w:id="329"/>
      <w:bookmarkStart w:id="330" w:name="_Toc184314477"/>
      <w:bookmarkEnd w:id="330"/>
      <w:bookmarkStart w:id="331" w:name="_Toc184313306"/>
      <w:bookmarkEnd w:id="331"/>
      <w:bookmarkStart w:id="332" w:name="_Toc184310291"/>
      <w:bookmarkEnd w:id="332"/>
      <w:bookmarkStart w:id="333" w:name="_Toc184313300"/>
      <w:bookmarkEnd w:id="333"/>
      <w:bookmarkStart w:id="334" w:name="_Toc184314432"/>
      <w:bookmarkEnd w:id="334"/>
      <w:bookmarkStart w:id="335" w:name="_Toc184314465"/>
      <w:bookmarkEnd w:id="335"/>
      <w:bookmarkStart w:id="336" w:name="_Toc184312121"/>
      <w:bookmarkEnd w:id="336"/>
      <w:bookmarkStart w:id="337" w:name="_Toc184312122"/>
      <w:bookmarkEnd w:id="337"/>
      <w:bookmarkStart w:id="338" w:name="_Toc184314467"/>
      <w:bookmarkEnd w:id="338"/>
      <w:bookmarkStart w:id="339" w:name="_Toc184313260"/>
      <w:bookmarkEnd w:id="339"/>
      <w:bookmarkStart w:id="340" w:name="_Toc184313305"/>
      <w:bookmarkEnd w:id="340"/>
      <w:bookmarkStart w:id="341" w:name="_Toc184308091"/>
      <w:bookmarkEnd w:id="341"/>
      <w:bookmarkStart w:id="342" w:name="_Toc184310288"/>
      <w:bookmarkEnd w:id="342"/>
      <w:bookmarkStart w:id="343" w:name="_Toc184310294"/>
      <w:bookmarkEnd w:id="343"/>
      <w:bookmarkStart w:id="344" w:name="_Toc184308047"/>
      <w:bookmarkEnd w:id="344"/>
      <w:bookmarkStart w:id="345" w:name="_Toc184314469"/>
      <w:bookmarkEnd w:id="345"/>
      <w:bookmarkStart w:id="346" w:name="_Toc184308089"/>
      <w:bookmarkEnd w:id="346"/>
      <w:bookmarkStart w:id="347" w:name="_Toc184308092"/>
      <w:bookmarkEnd w:id="347"/>
      <w:bookmarkStart w:id="348" w:name="_Toc184310278"/>
      <w:bookmarkEnd w:id="348"/>
      <w:bookmarkStart w:id="349" w:name="_Toc184308074"/>
      <w:bookmarkEnd w:id="349"/>
      <w:bookmarkStart w:id="350" w:name="_Toc184314441"/>
      <w:bookmarkEnd w:id="350"/>
      <w:bookmarkStart w:id="351" w:name="_Toc184314454"/>
      <w:bookmarkEnd w:id="351"/>
      <w:bookmarkStart w:id="352" w:name="_Toc184308037"/>
      <w:bookmarkEnd w:id="352"/>
      <w:bookmarkStart w:id="353" w:name="_Toc184313279"/>
      <w:bookmarkEnd w:id="353"/>
      <w:bookmarkStart w:id="354" w:name="_Toc184314472"/>
      <w:bookmarkEnd w:id="354"/>
      <w:bookmarkStart w:id="355" w:name="_Toc184313302"/>
      <w:bookmarkEnd w:id="355"/>
      <w:bookmarkStart w:id="356" w:name="_Toc184308049"/>
      <w:bookmarkEnd w:id="356"/>
      <w:bookmarkStart w:id="357" w:name="_Toc184313272"/>
      <w:bookmarkEnd w:id="357"/>
      <w:bookmarkStart w:id="358" w:name="_Toc184308064"/>
      <w:bookmarkEnd w:id="358"/>
      <w:bookmarkStart w:id="359" w:name="_Toc184314444"/>
      <w:bookmarkEnd w:id="359"/>
      <w:bookmarkStart w:id="360" w:name="_Toc184314462"/>
      <w:bookmarkEnd w:id="360"/>
      <w:bookmarkStart w:id="361" w:name="_Toc184314417"/>
      <w:bookmarkEnd w:id="361"/>
      <w:bookmarkStart w:id="362" w:name="_Toc184310323"/>
      <w:bookmarkEnd w:id="362"/>
      <w:bookmarkStart w:id="363" w:name="_Toc184310317"/>
      <w:bookmarkEnd w:id="363"/>
      <w:bookmarkStart w:id="364" w:name="_Toc184310325"/>
      <w:bookmarkEnd w:id="364"/>
      <w:bookmarkStart w:id="365" w:name="_Toc184312102"/>
      <w:bookmarkEnd w:id="365"/>
      <w:bookmarkStart w:id="366" w:name="_Toc184314423"/>
      <w:bookmarkEnd w:id="366"/>
      <w:bookmarkStart w:id="367" w:name="_Toc184310272"/>
      <w:bookmarkEnd w:id="367"/>
      <w:bookmarkStart w:id="368" w:name="_Toc184314463"/>
      <w:bookmarkEnd w:id="368"/>
      <w:bookmarkStart w:id="369" w:name="_Toc184312111"/>
      <w:bookmarkEnd w:id="369"/>
      <w:bookmarkStart w:id="370" w:name="_Toc184308071"/>
      <w:bookmarkEnd w:id="370"/>
      <w:bookmarkStart w:id="371" w:name="_Toc184313296"/>
      <w:bookmarkEnd w:id="371"/>
      <w:bookmarkStart w:id="372" w:name="_Toc184312089"/>
      <w:bookmarkEnd w:id="372"/>
      <w:bookmarkStart w:id="373" w:name="_Toc184310310"/>
      <w:bookmarkEnd w:id="373"/>
      <w:bookmarkStart w:id="374" w:name="_Toc184312113"/>
      <w:bookmarkEnd w:id="374"/>
      <w:bookmarkStart w:id="375" w:name="_Toc184313240"/>
      <w:bookmarkEnd w:id="375"/>
      <w:bookmarkStart w:id="376" w:name="_Toc184310277"/>
      <w:bookmarkEnd w:id="376"/>
      <w:bookmarkStart w:id="377" w:name="_Toc184312105"/>
      <w:bookmarkEnd w:id="377"/>
      <w:bookmarkStart w:id="378" w:name="_Toc184314448"/>
      <w:bookmarkEnd w:id="378"/>
      <w:bookmarkStart w:id="379" w:name="_Toc184312109"/>
      <w:bookmarkEnd w:id="379"/>
      <w:bookmarkStart w:id="380" w:name="_Toc184308094"/>
      <w:bookmarkEnd w:id="380"/>
      <w:bookmarkStart w:id="381" w:name="_Toc184308046"/>
      <w:bookmarkEnd w:id="381"/>
      <w:bookmarkStart w:id="382" w:name="_Toc184312095"/>
      <w:bookmarkEnd w:id="382"/>
      <w:bookmarkStart w:id="383" w:name="_Toc184314419"/>
      <w:bookmarkEnd w:id="383"/>
      <w:bookmarkStart w:id="384" w:name="_Toc184313310"/>
      <w:bookmarkEnd w:id="384"/>
      <w:bookmarkStart w:id="385" w:name="_Toc184310284"/>
      <w:bookmarkEnd w:id="385"/>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、规章（适用本市的）及省级以上规范性文件（适用本市的）规定的其他无效情形。</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L</w:t>
      </w:r>
      <w:r>
        <w:rPr>
          <w:rFonts w:hint="eastAsia" w:ascii="宋体" w:hAnsi="宋体" w:cs="宋体"/>
          <w:kern w:val="0"/>
          <w:sz w:val="24"/>
          <w:highlight w:val="none"/>
          <w:lang w:eastAsia="zh-CN"/>
        </w:rPr>
        <w:t>.</w:t>
      </w:r>
      <w:r>
        <w:rPr>
          <w:rFonts w:hint="eastAsia" w:ascii="宋体" w:hAnsi="宋体" w:cs="宋体"/>
          <w:kern w:val="0"/>
          <w:sz w:val="24"/>
          <w:highlight w:val="none"/>
        </w:rPr>
        <w:t>在采购人规定的截止时间以后送达的响应文件；</w:t>
      </w:r>
    </w:p>
    <w:p>
      <w:pPr>
        <w:spacing w:line="360" w:lineRule="auto"/>
        <w:ind w:firstLine="480" w:firstLineChars="200"/>
        <w:rPr>
          <w:rFonts w:hint="eastAsia" w:ascii="宋体" w:hAnsi="宋体" w:cs="宋体" w:eastAsiaTheme="minorEastAsia"/>
          <w:kern w:val="0"/>
          <w:sz w:val="24"/>
          <w:highlight w:val="none"/>
          <w:lang w:eastAsia="zh-CN"/>
        </w:rPr>
      </w:pPr>
      <w:r>
        <w:rPr>
          <w:rFonts w:hint="eastAsia" w:ascii="宋体" w:hAnsi="宋体" w:cs="宋体"/>
          <w:kern w:val="0"/>
          <w:sz w:val="24"/>
          <w:highlight w:val="none"/>
        </w:rPr>
        <w:t>M</w:t>
      </w:r>
      <w:r>
        <w:rPr>
          <w:rFonts w:hint="eastAsia" w:ascii="宋体" w:hAnsi="宋体" w:cs="宋体"/>
          <w:kern w:val="0"/>
          <w:sz w:val="24"/>
          <w:highlight w:val="none"/>
          <w:lang w:eastAsia="zh-CN"/>
        </w:rPr>
        <w:t>.</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lang w:eastAsia="zh-CN"/>
        </w:rPr>
        <w:t>；</w:t>
      </w:r>
    </w:p>
    <w:p>
      <w:pPr>
        <w:spacing w:line="360" w:lineRule="auto"/>
        <w:ind w:firstLine="480" w:firstLineChars="200"/>
        <w:rPr>
          <w:rFonts w:hint="eastAsia" w:eastAsiaTheme="minorEastAsia"/>
          <w:highlight w:val="none"/>
          <w:lang w:eastAsia="zh-CN"/>
        </w:rPr>
      </w:pPr>
      <w:r>
        <w:rPr>
          <w:rFonts w:hint="eastAsia" w:ascii="宋体" w:hAnsi="宋体" w:cs="宋体"/>
          <w:kern w:val="0"/>
          <w:sz w:val="24"/>
          <w:highlight w:val="none"/>
          <w:lang w:val="en-US" w:eastAsia="zh-CN"/>
        </w:rPr>
        <w:t>N.</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w:t>
      </w:r>
      <w:r>
        <w:rPr>
          <w:rFonts w:hint="eastAsia" w:ascii="宋体" w:hAnsi="宋体" w:cs="宋体"/>
          <w:kern w:val="0"/>
          <w:sz w:val="24"/>
          <w:highlight w:val="none"/>
          <w:lang w:val="en-US" w:eastAsia="zh-CN"/>
        </w:rPr>
        <w:t>提供样品</w:t>
      </w:r>
      <w:r>
        <w:rPr>
          <w:rFonts w:hint="eastAsia" w:ascii="宋体" w:hAnsi="宋体" w:cs="宋体"/>
          <w:kern w:val="0"/>
          <w:sz w:val="24"/>
          <w:highlight w:val="none"/>
        </w:rPr>
        <w:t>的</w:t>
      </w:r>
      <w:r>
        <w:rPr>
          <w:rFonts w:hint="eastAsia" w:ascii="宋体" w:hAnsi="宋体" w:cs="宋体"/>
          <w:b/>
          <w:bCs/>
          <w:kern w:val="0"/>
          <w:sz w:val="24"/>
          <w:highlight w:val="none"/>
        </w:rPr>
        <w:t>（若有）</w:t>
      </w:r>
      <w:r>
        <w:rPr>
          <w:rFonts w:hint="eastAsia" w:ascii="宋体" w:hAnsi="宋体" w:cs="宋体"/>
          <w:kern w:val="0"/>
          <w:sz w:val="24"/>
          <w:highlight w:val="none"/>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highlight w:val="none"/>
          <w:lang w:val="en-US" w:eastAsia="zh-CN"/>
        </w:rPr>
      </w:pPr>
      <w:r>
        <w:rPr>
          <w:rFonts w:hint="eastAsia" w:cs="仿宋" w:asciiTheme="minorEastAsia" w:hAnsiTheme="minorEastAsia"/>
          <w:snapToGrid w:val="0"/>
          <w:kern w:val="0"/>
          <w:sz w:val="24"/>
          <w:highlight w:val="none"/>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spacing w:before="120" w:line="22" w:lineRule="atLeast"/>
        <w:ind w:left="96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2025年B线溜槽及进料装置采购项目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25"/>
        <w:ind w:left="0" w:leftChars="0" w:firstLine="0" w:firstLineChars="0"/>
        <w:rPr>
          <w:rFonts w:ascii="宋体" w:hAnsi="宋体" w:cs="宋体"/>
          <w:b/>
          <w:szCs w:val="24"/>
        </w:rPr>
      </w:pPr>
    </w:p>
    <w:p>
      <w:pPr>
        <w:pStyle w:val="9"/>
        <w:jc w:val="center"/>
        <w:rPr>
          <w:rFonts w:eastAsia="宋体"/>
          <w:b/>
          <w:bCs/>
        </w:rPr>
      </w:pPr>
      <w:r>
        <w:rPr>
          <w:rFonts w:hint="eastAsia"/>
          <w:b/>
          <w:bCs/>
        </w:rPr>
        <w:t>目录</w:t>
      </w:r>
    </w:p>
    <w:p>
      <w:pPr>
        <w:pStyle w:val="11"/>
        <w:spacing w:line="360" w:lineRule="auto"/>
        <w:ind w:firstLine="240" w:firstLineChars="100"/>
      </w:pPr>
      <w:r>
        <w:rPr>
          <w:rFonts w:hint="eastAsia"/>
        </w:rPr>
        <w:t>第一章 合同书  ……………………………………………………………（页码）</w:t>
      </w:r>
    </w:p>
    <w:p>
      <w:pPr>
        <w:pStyle w:val="11"/>
        <w:spacing w:line="360" w:lineRule="auto"/>
        <w:ind w:firstLine="240" w:firstLineChars="100"/>
      </w:pPr>
      <w:r>
        <w:rPr>
          <w:rFonts w:hint="eastAsia"/>
        </w:rPr>
        <w:t>第二章 合同一般条款………………………………………………………（页码）</w:t>
      </w:r>
    </w:p>
    <w:p>
      <w:pPr>
        <w:pStyle w:val="11"/>
        <w:spacing w:line="360" w:lineRule="auto"/>
        <w:ind w:firstLine="240" w:firstLineChars="100"/>
        <w:rPr>
          <w:rFonts w:hint="eastAsia"/>
        </w:rPr>
      </w:pPr>
      <w:r>
        <w:rPr>
          <w:rFonts w:hint="eastAsia"/>
        </w:rPr>
        <w:t xml:space="preserve">第三章 </w:t>
      </w:r>
      <w:r>
        <w:rPr>
          <w:rFonts w:hint="eastAsia"/>
          <w:lang w:val="en-US" w:eastAsia="zh-CN"/>
        </w:rPr>
        <w:t>安全</w:t>
      </w:r>
      <w:r>
        <w:rPr>
          <w:rFonts w:hint="eastAsia"/>
        </w:rPr>
        <w:t>协议……………………………………………………………（页码）</w:t>
      </w:r>
    </w:p>
    <w:p>
      <w:pPr>
        <w:pStyle w:val="11"/>
        <w:spacing w:line="360" w:lineRule="auto"/>
        <w:ind w:firstLine="240" w:firstLineChars="100"/>
      </w:pPr>
      <w:r>
        <w:rPr>
          <w:rFonts w:hint="eastAsia"/>
        </w:rPr>
        <w:t>第</w:t>
      </w:r>
      <w:r>
        <w:rPr>
          <w:rFonts w:hint="eastAsia"/>
          <w:lang w:val="en-US" w:eastAsia="zh-CN"/>
        </w:rPr>
        <w:t>四</w:t>
      </w:r>
      <w:r>
        <w:rPr>
          <w:rFonts w:hint="eastAsia"/>
        </w:rPr>
        <w:t>章 廉洁协议……………………………………………………………（页码）</w:t>
      </w:r>
    </w:p>
    <w:p>
      <w:pPr>
        <w:pStyle w:val="11"/>
        <w:spacing w:line="360" w:lineRule="auto"/>
        <w:ind w:firstLine="240" w:firstLineChars="100"/>
        <w:rPr>
          <w:rFonts w:hint="eastAsia"/>
        </w:rPr>
      </w:pPr>
    </w:p>
    <w:p>
      <w:pPr>
        <w:pStyle w:val="25"/>
        <w:rPr>
          <w:rFonts w:ascii="宋体" w:hAnsi="宋体" w:cs="宋体"/>
          <w:szCs w:val="24"/>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11"/>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2025年B线溜槽及进料装置采购项目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6" w:name="_Toc24059"/>
      <w:bookmarkStart w:id="387" w:name="_Toc3029"/>
      <w:bookmarkStart w:id="388" w:name="_Toc2232"/>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9" w:name="_Toc24300"/>
      <w:bookmarkStart w:id="390" w:name="_Toc21295"/>
      <w:bookmarkStart w:id="391" w:name="_Toc27126"/>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eastAsia="zh-CN"/>
        </w:rPr>
        <w:t>、</w:t>
      </w:r>
      <w:r>
        <w:rPr>
          <w:rFonts w:hint="eastAsia" w:ascii="宋体" w:hAnsi="宋体" w:cs="宋体"/>
          <w:sz w:val="24"/>
          <w:lang w:val="en-US" w:eastAsia="zh-CN"/>
        </w:rPr>
        <w:t>拆旧费</w:t>
      </w:r>
      <w:r>
        <w:rPr>
          <w:rFonts w:hint="eastAsia" w:ascii="宋体" w:hAnsi="宋体" w:cs="宋体"/>
          <w:sz w:val="24"/>
        </w:rPr>
        <w:t>、安装调试费、售后服务费及税费等全部费用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pPr>
        <w:pStyle w:val="2"/>
        <w:rPr>
          <w:rFonts w:hint="eastAsia"/>
          <w:lang w:val="en-US" w:eastAsia="zh-CN"/>
        </w:rPr>
      </w:pPr>
    </w:p>
    <w:tbl>
      <w:tblPr>
        <w:tblStyle w:val="17"/>
        <w:tblW w:w="89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5"/>
        <w:gridCol w:w="660"/>
        <w:gridCol w:w="2430"/>
        <w:gridCol w:w="675"/>
        <w:gridCol w:w="795"/>
        <w:gridCol w:w="1080"/>
        <w:gridCol w:w="1020"/>
        <w:gridCol w:w="1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物资</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总价（元）</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7"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溜槽及进料装置</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内径1000*740mm，斜板长度3900mm，水冷内壁厚16mm；外侧有水冷层，水冷外壁厚12mm，上下壁厚12mm，材质为Q345R；油缸行程3.7米，包含液压推料装置与窑面组成件，详见附件图纸。</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含旧溜槽拆除、吊装、新溜槽安装，包含新液压推料装置、螺栓、垫片等相关辅材、工艺管道及窑面连接组成件等</w:t>
            </w:r>
          </w:p>
        </w:tc>
      </w:tr>
    </w:tbl>
    <w:p>
      <w:pPr>
        <w:spacing w:line="360" w:lineRule="auto"/>
        <w:rPr>
          <w:rFonts w:hint="eastAsia" w:ascii="宋体" w:hAnsi="宋体" w:cs="宋体"/>
          <w:sz w:val="24"/>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highlight w:val="none"/>
          <w:u w:val="single"/>
          <w:lang w:val="en-US" w:eastAsia="zh-CN"/>
        </w:rPr>
        <w:t>按合同上述约定数量供货及安装。</w:t>
      </w:r>
    </w:p>
    <w:p>
      <w:pPr>
        <w:pStyle w:val="26"/>
        <w:spacing w:before="0" w:beforeAutospacing="0" w:after="0" w:afterAutospacing="0" w:line="360" w:lineRule="auto"/>
        <w:ind w:firstLine="480"/>
        <w:rPr>
          <w:b/>
        </w:rPr>
      </w:pPr>
      <w:bookmarkStart w:id="392" w:name="_Toc22618"/>
      <w:bookmarkStart w:id="393" w:name="_Toc10340"/>
      <w:bookmarkStart w:id="394" w:name="_Toc1814"/>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☑自合同签订后一次性供货、安装调试结束自动终止；</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rPr>
        <w:t>乙方负责在接到甲方电话或书面通知后在30天内完成供货及安装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none"/>
        </w:rPr>
        <w:t>浙江省杭州市钱塘区临江街道红十五路10388-123号，杭州临江环境能源有限公司厂区内</w:t>
      </w:r>
      <w:r>
        <w:rPr>
          <w:rFonts w:hint="eastAsia" w:ascii="宋体" w:hAnsi="宋体" w:cs="宋体"/>
          <w:color w:val="auto"/>
          <w:sz w:val="24"/>
          <w:u w:val="none"/>
          <w:lang w:val="en-US" w:eastAsia="zh-CN"/>
        </w:rPr>
        <w:t>甲方指定仓库</w:t>
      </w:r>
      <w:r>
        <w:rPr>
          <w:rFonts w:hint="eastAsia" w:ascii="宋体" w:hAnsi="宋体" w:cs="宋体"/>
          <w:color w:val="auto"/>
          <w:sz w:val="24"/>
          <w:u w:val="none"/>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non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non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6"/>
        <w:spacing w:before="0" w:beforeAutospacing="0" w:after="0" w:afterAutospacing="0" w:line="360" w:lineRule="auto"/>
        <w:ind w:firstLine="480"/>
        <w:rPr>
          <w:b/>
          <w:color w:val="auto"/>
        </w:rPr>
      </w:pPr>
      <w:r>
        <w:rPr>
          <w:rFonts w:hint="eastAsia"/>
          <w:b/>
          <w:color w:val="auto"/>
        </w:rPr>
        <w:t>四、技术和质量要求</w:t>
      </w:r>
    </w:p>
    <w:p>
      <w:pPr>
        <w:pStyle w:val="8"/>
        <w:ind w:firstLine="480" w:firstLineChars="200"/>
        <w:rPr>
          <w:rFonts w:hint="eastAsia" w:ascii="宋体"/>
          <w:color w:val="auto"/>
          <w:lang w:val="en-US" w:eastAsia="zh-CN"/>
        </w:rPr>
      </w:pPr>
      <w:bookmarkStart w:id="395" w:name="_Toc6596"/>
      <w:bookmarkStart w:id="396" w:name="_Toc14563"/>
      <w:bookmarkStart w:id="397" w:name="_Toc1125"/>
      <w:r>
        <w:rPr>
          <w:rFonts w:hint="eastAsia" w:ascii="宋体"/>
          <w:color w:val="auto"/>
          <w:lang w:val="en-US" w:eastAsia="zh-CN"/>
        </w:rPr>
        <w:t>1.</w:t>
      </w:r>
      <w:r>
        <w:rPr>
          <w:rFonts w:hint="eastAsia"/>
          <w:color w:val="auto"/>
        </w:rPr>
        <w:t>品牌</w:t>
      </w:r>
      <w:r>
        <w:rPr>
          <w:rFonts w:hint="eastAsia"/>
          <w:color w:val="auto"/>
          <w:lang w:eastAsia="zh-CN"/>
        </w:rPr>
        <w:t>和</w:t>
      </w:r>
      <w:r>
        <w:rPr>
          <w:rFonts w:hint="eastAsia"/>
          <w:color w:val="auto"/>
        </w:rPr>
        <w:t>型号等技术参数满足采购内容中的规格型号/技术要求</w:t>
      </w:r>
      <w:r>
        <w:rPr>
          <w:rFonts w:hint="eastAsia"/>
          <w:color w:val="auto"/>
          <w:lang w:eastAsia="zh-CN"/>
        </w:rPr>
        <w:t>，具</w:t>
      </w:r>
      <w:r>
        <w:rPr>
          <w:rFonts w:hint="eastAsia"/>
          <w:color w:val="auto"/>
        </w:rPr>
        <w:t xml:space="preserve">有国家、地方、行业标准、规范（含强制适用标准、规范和推荐适用标准、规范）的，按相应标准、规范执行（不同标准、规范之间要求不一的，按要求较高者执行）。 </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板材剪切采用自动切割下料。</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3.溜槽及进料装置</w:t>
      </w:r>
      <w:r>
        <w:rPr>
          <w:rFonts w:hint="eastAsia" w:ascii="宋体" w:hAnsi="Arial" w:cs="Arial" w:eastAsiaTheme="minorEastAsia"/>
          <w:snapToGrid w:val="0"/>
          <w:color w:val="auto"/>
          <w:kern w:val="2"/>
          <w:sz w:val="24"/>
          <w:szCs w:val="21"/>
          <w:lang w:val="en-US" w:eastAsia="zh-CN" w:bidi="ar-SA"/>
        </w:rPr>
        <w:t>钢表面不得有可见的凹坑等表面缺陷。</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4.溜槽及进料装置</w:t>
      </w:r>
      <w:r>
        <w:rPr>
          <w:rFonts w:hint="eastAsia" w:ascii="宋体" w:hAnsi="Arial" w:cs="Arial" w:eastAsiaTheme="minorEastAsia"/>
          <w:snapToGrid w:val="0"/>
          <w:color w:val="auto"/>
          <w:kern w:val="2"/>
          <w:sz w:val="24"/>
          <w:szCs w:val="21"/>
          <w:lang w:val="en-US" w:eastAsia="zh-CN" w:bidi="ar-SA"/>
        </w:rPr>
        <w:t>口对角线长度差值不得大于1mm，钢板平面度不得大于1mm。</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焊接后需打磨光滑，焊缝不得有裂纹，气孔，弧坑和夹渣等缺陷</w:t>
      </w:r>
      <w:r>
        <w:rPr>
          <w:rFonts w:hint="eastAsia" w:ascii="宋体" w:hAnsi="Arial" w:cs="Arial"/>
          <w:snapToGrid w:val="0"/>
          <w:color w:val="auto"/>
          <w:kern w:val="2"/>
          <w:sz w:val="24"/>
          <w:szCs w:val="21"/>
          <w:lang w:val="en-US" w:eastAsia="zh-CN" w:bidi="ar-SA"/>
        </w:rPr>
        <w:t>；</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lang w:val="en-US" w:eastAsia="zh-CN" w:bidi="ar-SA"/>
        </w:rPr>
        <w:t>6.</w:t>
      </w:r>
      <w:r>
        <w:rPr>
          <w:rFonts w:hint="eastAsia" w:ascii="宋体" w:hAnsi="Arial" w:cs="Arial" w:eastAsiaTheme="minorEastAsia"/>
          <w:snapToGrid w:val="0"/>
          <w:color w:val="auto"/>
          <w:kern w:val="2"/>
          <w:sz w:val="24"/>
          <w:szCs w:val="21"/>
          <w:lang w:val="en-US" w:eastAsia="zh-CN" w:bidi="ar-SA"/>
        </w:rPr>
        <w:t>水冷套隔板与内筒焊接采用间断焊，水冷套隔板与水冷套壁板须连续满焊</w:t>
      </w:r>
      <w:r>
        <w:rPr>
          <w:rFonts w:hint="eastAsia" w:ascii="宋体" w:hAnsi="Arial" w:cs="Arial"/>
          <w:snapToGrid w:val="0"/>
          <w:color w:val="auto"/>
          <w:kern w:val="2"/>
          <w:sz w:val="24"/>
          <w:szCs w:val="21"/>
          <w:highlight w:val="none"/>
          <w:lang w:val="en-US" w:eastAsia="zh-CN" w:bidi="ar-SA"/>
        </w:rPr>
        <w:t>，水冷套内筒和外壁水箱封板等各承压处焊接</w:t>
      </w:r>
      <w:r>
        <w:rPr>
          <w:rFonts w:hint="eastAsia" w:ascii="宋体" w:hAnsi="Arial" w:cs="Arial" w:eastAsiaTheme="minorEastAsia"/>
          <w:snapToGrid w:val="0"/>
          <w:color w:val="auto"/>
          <w:kern w:val="2"/>
          <w:sz w:val="24"/>
          <w:szCs w:val="21"/>
          <w:highlight w:val="none"/>
          <w:lang w:val="en-US" w:eastAsia="zh-CN" w:bidi="ar-SA"/>
        </w:rPr>
        <w:t>须</w:t>
      </w:r>
      <w:r>
        <w:rPr>
          <w:rFonts w:hint="eastAsia" w:ascii="宋体" w:hAnsi="Arial" w:cs="Arial"/>
          <w:snapToGrid w:val="0"/>
          <w:color w:val="auto"/>
          <w:kern w:val="2"/>
          <w:sz w:val="24"/>
          <w:szCs w:val="21"/>
          <w:highlight w:val="none"/>
          <w:lang w:val="en-US" w:eastAsia="zh-CN" w:bidi="ar-SA"/>
        </w:rPr>
        <w:t>使用氩弧焊满焊焊接。</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未注尺寸公差按GB1804-m</w:t>
      </w:r>
      <w:r>
        <w:rPr>
          <w:rFonts w:hint="eastAsia" w:ascii="宋体" w:hAnsi="Arial"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未注形位公差按GB/T1184-k;</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8.</w:t>
      </w:r>
      <w:r>
        <w:rPr>
          <w:rFonts w:hint="eastAsia" w:ascii="宋体" w:hAnsi="Arial" w:cs="Arial" w:eastAsiaTheme="minorEastAsia"/>
          <w:snapToGrid w:val="0"/>
          <w:color w:val="auto"/>
          <w:kern w:val="2"/>
          <w:sz w:val="24"/>
          <w:szCs w:val="21"/>
          <w:lang w:val="en-US" w:eastAsia="zh-CN" w:bidi="ar-SA"/>
        </w:rPr>
        <w:t>需做水压试验0.5MPA</w:t>
      </w:r>
      <w:r>
        <w:rPr>
          <w:rFonts w:hint="eastAsia" w:ascii="宋体" w:hAnsi="Arial"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时间2个小时，要求各通水区域，焊后不得有漏水现象；</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9.</w:t>
      </w:r>
      <w:r>
        <w:rPr>
          <w:rFonts w:hint="eastAsia" w:ascii="宋体" w:hAnsi="Arial" w:cs="Arial" w:eastAsiaTheme="minorEastAsia"/>
          <w:snapToGrid w:val="0"/>
          <w:color w:val="auto"/>
          <w:kern w:val="2"/>
          <w:sz w:val="24"/>
          <w:szCs w:val="21"/>
          <w:lang w:val="en-US" w:eastAsia="zh-CN" w:bidi="ar-SA"/>
        </w:rPr>
        <w:t>锐边倒顿，未注倒角1.5x45°。</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10.</w:t>
      </w:r>
      <w:r>
        <w:rPr>
          <w:rFonts w:hint="eastAsia" w:ascii="宋体" w:hAnsi="Arial" w:cs="Arial" w:eastAsiaTheme="minorEastAsia"/>
          <w:snapToGrid w:val="0"/>
          <w:color w:val="auto"/>
          <w:kern w:val="2"/>
          <w:sz w:val="24"/>
          <w:szCs w:val="21"/>
          <w:lang w:val="en-US" w:eastAsia="zh-CN" w:bidi="ar-SA"/>
        </w:rPr>
        <w:t>内表面应进行100％煤油渗漏检查，以目测无煤油渗漏为合格；</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11.溜槽及进料装置</w:t>
      </w:r>
      <w:r>
        <w:rPr>
          <w:rFonts w:hint="eastAsia" w:ascii="宋体" w:hAnsi="Arial" w:cs="Arial" w:eastAsiaTheme="minorEastAsia"/>
          <w:snapToGrid w:val="0"/>
          <w:color w:val="auto"/>
          <w:kern w:val="2"/>
          <w:sz w:val="24"/>
          <w:szCs w:val="21"/>
          <w:lang w:val="en-US" w:eastAsia="zh-CN" w:bidi="ar-SA"/>
        </w:rPr>
        <w:t>制作并检查完毕后进行外表面喷砂除锈处理，达到Sa2.5级为合格。除锈合格后</w:t>
      </w:r>
      <w:r>
        <w:rPr>
          <w:rFonts w:hint="eastAsia" w:ascii="宋体" w:hAnsi="Arial" w:cs="Arial"/>
          <w:snapToGrid w:val="0"/>
          <w:color w:val="auto"/>
          <w:kern w:val="2"/>
          <w:sz w:val="24"/>
          <w:szCs w:val="21"/>
          <w:lang w:val="en-US" w:eastAsia="zh-CN" w:bidi="ar-SA"/>
        </w:rPr>
        <w:t>溜槽及进料装置</w:t>
      </w:r>
      <w:r>
        <w:rPr>
          <w:rFonts w:hint="eastAsia" w:ascii="宋体" w:hAnsi="Arial" w:cs="Arial" w:eastAsiaTheme="minorEastAsia"/>
          <w:snapToGrid w:val="0"/>
          <w:color w:val="auto"/>
          <w:kern w:val="2"/>
          <w:sz w:val="24"/>
          <w:szCs w:val="21"/>
          <w:lang w:val="en-US" w:eastAsia="zh-CN" w:bidi="ar-SA"/>
        </w:rPr>
        <w:t>外表面耐高温底漆（二道，每道干膜厚度约30um），耐高温面漆（二道，每道干膜厚度约30um，银白色）。</w:t>
      </w:r>
    </w:p>
    <w:p>
      <w:pPr>
        <w:pStyle w:val="36"/>
        <w:keepNext w:val="0"/>
        <w:keepLines w:val="0"/>
        <w:pageBreakBefore w:val="0"/>
        <w:widowControl/>
        <w:kinsoku/>
        <w:wordWrap/>
        <w:overflowPunct/>
        <w:topLinePunct w:val="0"/>
        <w:autoSpaceDE/>
        <w:autoSpaceDN/>
        <w:bidi w:val="0"/>
        <w:adjustRightInd/>
        <w:snapToGrid w:val="0"/>
        <w:spacing w:line="360" w:lineRule="auto"/>
        <w:textAlignment w:val="baseline"/>
        <w:rPr>
          <w:rFonts w:hint="default"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ascii="宋体" w:hAnsi="Arial"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.质保期限</w:t>
      </w:r>
      <w:r>
        <w:rPr>
          <w:rFonts w:hint="eastAsia" w:ascii="宋体" w:hAnsi="Arial" w:cs="Arial"/>
          <w:snapToGrid w:val="0"/>
          <w:color w:val="auto"/>
          <w:kern w:val="2"/>
          <w:sz w:val="24"/>
          <w:szCs w:val="21"/>
          <w:lang w:val="en-US" w:eastAsia="zh-CN" w:bidi="ar-SA"/>
        </w:rPr>
        <w:t>为自</w:t>
      </w:r>
      <w:r>
        <w:rPr>
          <w:rFonts w:hint="eastAsia" w:ascii="宋体" w:hAnsi="Arial" w:cs="Arial" w:eastAsiaTheme="minorEastAsia"/>
          <w:snapToGrid w:val="0"/>
          <w:color w:val="auto"/>
          <w:kern w:val="2"/>
          <w:sz w:val="24"/>
          <w:szCs w:val="21"/>
          <w:lang w:val="en-US" w:eastAsia="zh-CN" w:bidi="ar-SA"/>
        </w:rPr>
        <w:t>验收合格后12个月，若质保期内出现质量问题（非质量问题除外），由</w:t>
      </w:r>
      <w:r>
        <w:rPr>
          <w:rFonts w:hint="eastAsia" w:ascii="宋体" w:hAnsi="Arial" w:cs="Arial"/>
          <w:snapToGrid w:val="0"/>
          <w:color w:val="auto"/>
          <w:kern w:val="2"/>
          <w:sz w:val="24"/>
          <w:szCs w:val="21"/>
          <w:lang w:val="en-US" w:eastAsia="zh-CN" w:bidi="ar-SA"/>
        </w:rPr>
        <w:t>乙方</w:t>
      </w:r>
      <w:r>
        <w:rPr>
          <w:rFonts w:hint="eastAsia" w:ascii="宋体" w:hAnsi="Arial" w:cs="Arial" w:eastAsiaTheme="minorEastAsia"/>
          <w:snapToGrid w:val="0"/>
          <w:color w:val="auto"/>
          <w:kern w:val="2"/>
          <w:sz w:val="24"/>
          <w:szCs w:val="21"/>
          <w:lang w:val="en-US" w:eastAsia="zh-CN" w:bidi="ar-SA"/>
        </w:rPr>
        <w:t>负责免费维修</w:t>
      </w:r>
      <w:r>
        <w:rPr>
          <w:rFonts w:hint="eastAsia" w:ascii="宋体" w:hAnsi="Arial" w:cs="Arial"/>
          <w:snapToGrid w:val="0"/>
          <w:color w:val="auto"/>
          <w:kern w:val="2"/>
          <w:sz w:val="24"/>
          <w:szCs w:val="21"/>
          <w:lang w:val="en-US" w:eastAsia="zh-CN" w:bidi="ar-SA"/>
        </w:rPr>
        <w:t>或者更换</w:t>
      </w:r>
      <w:r>
        <w:rPr>
          <w:rFonts w:hint="eastAsia" w:ascii="宋体" w:hAnsi="Arial" w:cs="Arial" w:eastAsiaTheme="minorEastAsia"/>
          <w:snapToGrid w:val="0"/>
          <w:color w:val="auto"/>
          <w:kern w:val="2"/>
          <w:sz w:val="24"/>
          <w:szCs w:val="21"/>
          <w:lang w:val="en-US" w:eastAsia="zh-CN" w:bidi="ar-SA"/>
        </w:rPr>
        <w:t>，产生的费用全部由</w:t>
      </w:r>
      <w:r>
        <w:rPr>
          <w:rFonts w:hint="eastAsia" w:ascii="宋体" w:hAnsi="Arial" w:cs="Arial"/>
          <w:snapToGrid w:val="0"/>
          <w:color w:val="auto"/>
          <w:kern w:val="2"/>
          <w:sz w:val="24"/>
          <w:szCs w:val="21"/>
          <w:lang w:val="en-US" w:eastAsia="zh-CN" w:bidi="ar-SA"/>
        </w:rPr>
        <w:t>乙方</w:t>
      </w:r>
      <w:r>
        <w:rPr>
          <w:rFonts w:hint="eastAsia" w:ascii="宋体" w:hAnsi="Arial" w:cs="Arial" w:eastAsiaTheme="minorEastAsia"/>
          <w:snapToGrid w:val="0"/>
          <w:color w:val="auto"/>
          <w:kern w:val="2"/>
          <w:sz w:val="24"/>
          <w:szCs w:val="21"/>
          <w:lang w:val="en-US" w:eastAsia="zh-CN" w:bidi="ar-SA"/>
        </w:rPr>
        <w:t>承担。</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pPr>
        <w:pStyle w:val="8"/>
        <w:numPr>
          <w:ilvl w:val="0"/>
          <w:numId w:val="0"/>
        </w:numPr>
        <w:ind w:firstLine="480" w:firstLineChars="200"/>
        <w:rPr>
          <w:rFonts w:hint="default" w:eastAsiaTheme="minorEastAsia"/>
          <w:color w:val="auto"/>
          <w:lang w:val="en-US" w:eastAsia="zh-CN"/>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w:t>
      </w:r>
      <w:r>
        <w:rPr>
          <w:rFonts w:hint="eastAsia"/>
          <w:color w:val="auto"/>
          <w:highlight w:val="none"/>
          <w:lang w:val="en-US" w:eastAsia="zh-CN"/>
        </w:rPr>
        <w:t>检修</w:t>
      </w:r>
      <w:r>
        <w:rPr>
          <w:rFonts w:hint="eastAsia"/>
          <w:color w:val="auto"/>
          <w:highlight w:val="none"/>
          <w:lang w:val="en-US"/>
        </w:rPr>
        <w:t>计划，</w:t>
      </w:r>
      <w:r>
        <w:rPr>
          <w:rFonts w:hint="eastAsia"/>
          <w:color w:val="auto"/>
          <w:highlight w:val="none"/>
          <w:lang w:val="en-US" w:eastAsia="zh-CN"/>
        </w:rPr>
        <w:t>乙方</w:t>
      </w:r>
      <w:r>
        <w:rPr>
          <w:rFonts w:hint="eastAsia"/>
          <w:color w:val="auto"/>
          <w:highlight w:val="none"/>
          <w:lang w:val="en-US"/>
        </w:rPr>
        <w:t>负责在接到</w:t>
      </w:r>
      <w:r>
        <w:rPr>
          <w:rFonts w:hint="eastAsia"/>
          <w:color w:val="auto"/>
          <w:highlight w:val="none"/>
          <w:lang w:val="en-US" w:eastAsia="zh-CN"/>
        </w:rPr>
        <w:t>甲方</w:t>
      </w:r>
      <w:r>
        <w:rPr>
          <w:rFonts w:hint="eastAsia"/>
          <w:color w:val="auto"/>
          <w:highlight w:val="none"/>
          <w:lang w:val="en-US"/>
        </w:rPr>
        <w:t>电话或书面通知后在</w:t>
      </w:r>
      <w:r>
        <w:rPr>
          <w:rFonts w:hint="eastAsia"/>
          <w:color w:val="auto"/>
          <w:highlight w:val="none"/>
          <w:lang w:val="en-US" w:eastAsia="zh-CN"/>
        </w:rPr>
        <w:t>30天</w:t>
      </w:r>
      <w:r>
        <w:rPr>
          <w:rFonts w:hint="eastAsia"/>
          <w:color w:val="auto"/>
          <w:highlight w:val="none"/>
          <w:lang w:val="en-US"/>
        </w:rPr>
        <w:t>内完成供货</w:t>
      </w:r>
      <w:r>
        <w:rPr>
          <w:rFonts w:hint="eastAsia"/>
          <w:color w:val="auto"/>
          <w:highlight w:val="none"/>
          <w:lang w:val="en-US" w:eastAsia="zh-CN"/>
        </w:rPr>
        <w:t>及安装。</w:t>
      </w:r>
    </w:p>
    <w:p>
      <w:pPr>
        <w:pStyle w:val="8"/>
        <w:numPr>
          <w:ilvl w:val="0"/>
          <w:numId w:val="0"/>
        </w:numPr>
        <w:ind w:firstLine="480" w:firstLineChars="200"/>
        <w:rPr>
          <w:rFonts w:hint="eastAsia"/>
          <w:color w:val="auto"/>
          <w:lang w:val="en-US"/>
        </w:rPr>
      </w:pPr>
      <w:r>
        <w:rPr>
          <w:rFonts w:ascii="宋体" w:hAnsi="Arial" w:cs="Arial" w:eastAsiaTheme="minorEastAsia"/>
          <w:snapToGrid w:val="0"/>
          <w:color w:val="auto"/>
          <w:kern w:val="2"/>
          <w:sz w:val="24"/>
          <w:szCs w:val="21"/>
          <w:lang w:val="en-US" w:eastAsia="zh-CN" w:bidi="ar-SA"/>
        </w:rPr>
        <w:t>2.</w:t>
      </w:r>
      <w:r>
        <w:rPr>
          <w:rFonts w:hint="eastAsia"/>
          <w:color w:val="auto"/>
          <w:lang w:val="en-US" w:eastAsia="zh-CN"/>
        </w:rPr>
        <w:t>乙方</w:t>
      </w:r>
      <w:r>
        <w:rPr>
          <w:rFonts w:hint="eastAsia"/>
          <w:color w:val="auto"/>
          <w:lang w:val="en-US"/>
        </w:rPr>
        <w:t>负责卸货</w:t>
      </w:r>
      <w:r>
        <w:rPr>
          <w:rFonts w:hint="eastAsia"/>
          <w:color w:val="auto"/>
          <w:lang w:val="en-US" w:eastAsia="zh-CN"/>
        </w:rPr>
        <w:t>、拆除旧件、安装新件</w:t>
      </w:r>
      <w:r>
        <w:rPr>
          <w:rFonts w:hint="eastAsia"/>
          <w:color w:val="auto"/>
          <w:lang w:val="en-US"/>
        </w:rPr>
        <w:t>，</w:t>
      </w:r>
      <w:r>
        <w:rPr>
          <w:rFonts w:hint="eastAsia"/>
          <w:color w:val="auto"/>
          <w:lang w:val="en-US" w:eastAsia="zh-CN"/>
        </w:rPr>
        <w:t>吊装设备费用、工器具费用和</w:t>
      </w:r>
      <w:r>
        <w:rPr>
          <w:rFonts w:hint="eastAsia"/>
          <w:color w:val="auto"/>
          <w:lang w:val="en-US"/>
        </w:rPr>
        <w:t>人工费</w:t>
      </w:r>
      <w:r>
        <w:rPr>
          <w:rFonts w:hint="eastAsia"/>
          <w:color w:val="auto"/>
          <w:lang w:val="en-US" w:eastAsia="zh-CN"/>
        </w:rPr>
        <w:t>均含在本次采购范围内，</w:t>
      </w:r>
      <w:r>
        <w:rPr>
          <w:rFonts w:hint="eastAsia"/>
          <w:color w:val="auto"/>
          <w:lang w:val="en-US"/>
        </w:rPr>
        <w:t>由</w:t>
      </w:r>
      <w:r>
        <w:rPr>
          <w:rFonts w:hint="eastAsia"/>
          <w:color w:val="auto"/>
          <w:lang w:val="en-US" w:eastAsia="zh-CN"/>
        </w:rPr>
        <w:t>乙方</w:t>
      </w:r>
      <w:r>
        <w:rPr>
          <w:rFonts w:hint="eastAsia"/>
          <w:color w:val="auto"/>
          <w:lang w:val="en-US"/>
        </w:rPr>
        <w:t>承担</w:t>
      </w:r>
      <w:r>
        <w:rPr>
          <w:rFonts w:hint="eastAsia"/>
          <w:color w:val="auto"/>
          <w:lang w:val="en-US" w:eastAsia="zh-CN"/>
        </w:rPr>
        <w:t>，甲方不额外支付费用</w:t>
      </w:r>
      <w:r>
        <w:rPr>
          <w:rFonts w:hint="eastAsia"/>
          <w:color w:val="auto"/>
          <w:lang w:val="en-US"/>
        </w:rPr>
        <w:t>，</w:t>
      </w:r>
      <w:r>
        <w:rPr>
          <w:rFonts w:hint="eastAsia"/>
          <w:color w:val="auto"/>
          <w:lang w:val="en-US" w:eastAsia="zh-CN"/>
        </w:rPr>
        <w:t>甲方</w:t>
      </w:r>
      <w:r>
        <w:rPr>
          <w:rFonts w:hint="eastAsia"/>
          <w:color w:val="auto"/>
          <w:lang w:val="en-US"/>
        </w:rPr>
        <w:t>可免费提供叉车服务。</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cs="仿宋" w:asciiTheme="minorEastAsia" w:hAnsiTheme="minorEastAsia"/>
          <w:color w:val="auto"/>
          <w:kern w:val="0"/>
          <w:lang w:val="en-US" w:eastAsia="zh-CN"/>
        </w:rPr>
        <w:t>3.</w:t>
      </w:r>
      <w:r>
        <w:rPr>
          <w:rFonts w:hint="eastAsia" w:ascii="宋体" w:hAnsi="宋体" w:eastAsia="宋体" w:cs="宋体"/>
          <w:color w:val="auto"/>
          <w:kern w:val="0"/>
          <w:sz w:val="24"/>
          <w:szCs w:val="24"/>
          <w:highlight w:val="none"/>
          <w:lang w:val="en-US" w:eastAsia="zh-CN"/>
        </w:rPr>
        <w:t>乙方对实施工作人员安全负有全部责任，乙方须为工作人员购买保险，如工伤保险、意外保险等，具体由乙方自行与员工确定，若因此而引起的法律或者经济纠纷，由乙方负全责，甲方不承担任何责任。</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4.乙方实施人员食宿自理。</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保密服务要求：乙方对甲方提供的所有业务技术资料、文档，有责任对第三方保密；乙方在服务过程中涉及第三方产品（中标人提供的），若出现技术、经济或法律上的纠纷，应由乙方全面承担并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6.乙方应遵守甲方的现场管理制度要求，遵守国家、行业、地方法律法规，不得违章作业，接收甲方的安全教育，出现任何人员安全事故由乙方自行承担。</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7.乙方在自备设备专用工具和服务人员的所有劳防用品。</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default" w:cs="仿宋" w:asciiTheme="minorEastAsia" w:hAnsiTheme="minorEastAsia" w:eastAsiaTheme="minorEastAsia"/>
          <w:color w:val="auto"/>
          <w:kern w:val="0"/>
          <w:lang w:val="en-US" w:eastAsia="zh-CN"/>
        </w:rPr>
      </w:pPr>
      <w:r>
        <w:rPr>
          <w:rFonts w:hint="eastAsia" w:ascii="宋体" w:hAnsi="宋体" w:eastAsia="宋体" w:cs="宋体"/>
          <w:color w:val="auto"/>
          <w:kern w:val="0"/>
          <w:sz w:val="24"/>
          <w:szCs w:val="24"/>
          <w:highlight w:val="none"/>
          <w:lang w:val="en-US" w:eastAsia="zh-CN"/>
        </w:rPr>
        <w:t>8.乙方在实施过程中应负责对甲方生产场地的保护，与实施区域无关进行必要隔离，若造成损坏应负责修复或赔偿。对实施区域必须做到工完料尽场地清，实施中更换下来的废旧物资应按时堆放至甲方指定的相应地点。</w:t>
      </w:r>
    </w:p>
    <w:p>
      <w:pPr>
        <w:pStyle w:val="8"/>
        <w:ind w:firstLine="480" w:firstLineChars="200"/>
        <w:rPr>
          <w:rFonts w:hint="eastAsia" w:ascii="宋体"/>
          <w:highlight w:val="none"/>
          <w:lang w:val="en-US"/>
        </w:rPr>
      </w:pPr>
      <w:r>
        <w:rPr>
          <w:rFonts w:hint="eastAsia"/>
          <w:highlight w:val="none"/>
          <w:lang w:val="en-US" w:eastAsia="zh-CN"/>
        </w:rPr>
        <w:t>9</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乙方承担质量责任（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乙方</w:t>
      </w:r>
      <w:r>
        <w:rPr>
          <w:rFonts w:hint="eastAsia"/>
          <w:highlight w:val="none"/>
          <w:lang w:val="en-US"/>
        </w:rPr>
        <w:t>须在接到</w:t>
      </w:r>
      <w:r>
        <w:rPr>
          <w:rFonts w:hint="eastAsia"/>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rFonts w:hint="eastAsia" w:ascii="宋体"/>
          <w:highlight w:val="none"/>
          <w:lang w:val="en-US"/>
        </w:rPr>
      </w:pPr>
      <w:r>
        <w:rPr>
          <w:rFonts w:hint="eastAsia"/>
          <w:highlight w:val="none"/>
          <w:lang w:val="en-US" w:eastAsia="zh-CN"/>
        </w:rPr>
        <w:t>10</w:t>
      </w:r>
      <w:r>
        <w:rPr>
          <w:rFonts w:hint="eastAsia" w:ascii="宋体"/>
          <w:highlight w:val="none"/>
          <w:lang w:val="en-US"/>
        </w:rPr>
        <w:t>.</w:t>
      </w:r>
      <w:r>
        <w:rPr>
          <w:rFonts w:hint="eastAsia"/>
          <w:highlight w:val="none"/>
          <w:lang w:val="en-US" w:eastAsia="zh-CN"/>
        </w:rPr>
        <w:t>甲方</w:t>
      </w:r>
      <w:r>
        <w:rPr>
          <w:rFonts w:hint="eastAsia" w:ascii="宋体"/>
          <w:highlight w:val="none"/>
          <w:lang w:val="en-US"/>
        </w:rPr>
        <w:t>不再对任何售后服务进行付费。</w:t>
      </w:r>
      <w:r>
        <w:rPr>
          <w:rFonts w:hint="eastAsia"/>
          <w:highlight w:val="none"/>
          <w:lang w:val="en-US" w:eastAsia="zh-CN"/>
        </w:rPr>
        <w:t>乙方</w:t>
      </w:r>
      <w:r>
        <w:rPr>
          <w:rFonts w:hint="eastAsia" w:ascii="宋体"/>
          <w:highlight w:val="none"/>
          <w:lang w:val="en-US"/>
        </w:rPr>
        <w:t>派遣人员产生的一切费用由</w:t>
      </w:r>
      <w:r>
        <w:rPr>
          <w:rFonts w:hint="eastAsia"/>
          <w:highlight w:val="none"/>
          <w:lang w:val="en-US" w:eastAsia="zh-CN"/>
        </w:rPr>
        <w:t>乙方</w:t>
      </w:r>
      <w:r>
        <w:rPr>
          <w:rFonts w:hint="eastAsia" w:ascii="宋体"/>
          <w:highlight w:val="none"/>
          <w:lang w:val="en-US"/>
        </w:rPr>
        <w:t>承担。</w:t>
      </w:r>
    </w:p>
    <w:p>
      <w:pPr>
        <w:pStyle w:val="8"/>
        <w:ind w:firstLine="480" w:firstLineChars="200"/>
        <w:rPr>
          <w:rFonts w:hint="eastAsia" w:ascii="宋体"/>
          <w:highlight w:val="none"/>
          <w:lang w:val="en-US"/>
        </w:rPr>
      </w:pPr>
      <w:r>
        <w:rPr>
          <w:rFonts w:hint="eastAsia"/>
          <w:highlight w:val="none"/>
          <w:lang w:val="en-US" w:eastAsia="zh-CN"/>
        </w:rPr>
        <w:t>11</w:t>
      </w:r>
      <w:r>
        <w:rPr>
          <w:rFonts w:hint="eastAsia" w:ascii="宋体"/>
          <w:highlight w:val="none"/>
          <w:lang w:val="en-US"/>
        </w:rPr>
        <w:t>.</w:t>
      </w:r>
      <w:r>
        <w:rPr>
          <w:rFonts w:hint="eastAsia"/>
          <w:color w:val="auto"/>
          <w:highlight w:val="none"/>
          <w:lang w:val="en-US" w:eastAsia="zh-CN"/>
        </w:rPr>
        <w:t>乙方</w:t>
      </w:r>
      <w:r>
        <w:rPr>
          <w:rFonts w:hint="eastAsia"/>
          <w:highlight w:val="none"/>
          <w:lang w:val="en-US" w:eastAsia="zh-CN"/>
        </w:rPr>
        <w:t>提供的货物或者服务</w:t>
      </w:r>
      <w:r>
        <w:rPr>
          <w:rFonts w:hint="eastAsia" w:ascii="宋体"/>
          <w:highlight w:val="none"/>
          <w:lang w:val="en-US"/>
        </w:rPr>
        <w:t>在使用过程中，因质量问题给</w:t>
      </w:r>
      <w:r>
        <w:rPr>
          <w:rFonts w:hint="eastAsia"/>
          <w:highlight w:val="none"/>
          <w:lang w:val="en-US" w:eastAsia="zh-CN"/>
        </w:rPr>
        <w:t>其</w:t>
      </w:r>
      <w:r>
        <w:rPr>
          <w:rFonts w:hint="eastAsia" w:ascii="宋体"/>
          <w:highlight w:val="none"/>
          <w:lang w:val="en-US"/>
        </w:rPr>
        <w:t>他机械设备造成故障或货物损坏，由</w:t>
      </w:r>
      <w:r>
        <w:rPr>
          <w:rFonts w:hint="eastAsia"/>
          <w:highlight w:val="none"/>
          <w:lang w:val="en-US" w:eastAsia="zh-CN"/>
        </w:rPr>
        <w:t>乙方</w:t>
      </w:r>
      <w:r>
        <w:rPr>
          <w:rFonts w:hint="eastAsia" w:ascii="宋体"/>
          <w:highlight w:val="none"/>
          <w:lang w:val="en-US"/>
        </w:rPr>
        <w:t>承担</w:t>
      </w:r>
      <w:r>
        <w:rPr>
          <w:rFonts w:hint="eastAsia"/>
          <w:highlight w:val="none"/>
          <w:lang w:val="en-US" w:eastAsia="zh-CN"/>
        </w:rPr>
        <w:t>甲方</w:t>
      </w:r>
      <w:r>
        <w:rPr>
          <w:rFonts w:hint="eastAsia" w:ascii="宋体"/>
          <w:highlight w:val="none"/>
          <w:lang w:val="en-US"/>
        </w:rPr>
        <w:t>的一切损失，包括直接和间接损失。</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5"/>
      <w:bookmarkEnd w:id="396"/>
      <w:bookmarkEnd w:id="397"/>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lang w:val="en-US" w:eastAsia="zh-CN"/>
        </w:rPr>
        <w:t>2.</w:t>
      </w:r>
      <w:r>
        <w:rPr>
          <w:rFonts w:hint="eastAsia" w:ascii="宋体" w:hAnsi="宋体" w:cs="宋体"/>
          <w:color w:val="auto"/>
          <w:sz w:val="24"/>
        </w:rPr>
        <w:t>货物交付时，甲方在</w:t>
      </w:r>
      <w:r>
        <w:rPr>
          <w:rFonts w:hint="eastAsia" w:ascii="宋体" w:hAnsi="宋体" w:cs="宋体"/>
          <w:color w:val="auto"/>
          <w:sz w:val="24"/>
          <w:lang w:val="en-US" w:eastAsia="zh-CN"/>
        </w:rPr>
        <w:t xml:space="preserve"> </w:t>
      </w:r>
      <w:r>
        <w:rPr>
          <w:rFonts w:hint="eastAsia" w:ascii="宋体" w:hAnsi="宋体" w:cs="宋体"/>
          <w:color w:val="auto"/>
          <w:sz w:val="24"/>
          <w:u w:val="single"/>
          <w:lang w:val="en-US" w:eastAsia="zh-CN"/>
        </w:rPr>
        <w:t>3</w:t>
      </w:r>
      <w:r>
        <w:rPr>
          <w:rFonts w:hint="eastAsia" w:ascii="宋体" w:hAnsi="宋体" w:cs="宋体"/>
          <w:color w:val="auto"/>
          <w:sz w:val="24"/>
          <w:highlight w:val="none"/>
          <w:u w:val="single"/>
          <w:lang w:val="en-US" w:eastAsia="zh-CN"/>
        </w:rPr>
        <w:t xml:space="preserve"> </w:t>
      </w:r>
      <w:r>
        <w:rPr>
          <w:rFonts w:hint="eastAsia" w:ascii="宋体" w:hAnsi="宋体" w:cs="宋体"/>
          <w:b/>
          <w:color w:val="auto"/>
          <w:sz w:val="24"/>
          <w:highlight w:val="none"/>
          <w:u w:val="none"/>
        </w:rPr>
        <w:t>个工作日</w:t>
      </w:r>
      <w:r>
        <w:rPr>
          <w:rFonts w:hint="eastAsia" w:ascii="宋体" w:hAnsi="宋体" w:cs="宋体"/>
          <w:color w:val="auto"/>
          <w:sz w:val="24"/>
          <w:u w:val="none"/>
        </w:rPr>
        <w:t>内</w:t>
      </w:r>
      <w:r>
        <w:rPr>
          <w:rFonts w:hint="eastAsia" w:ascii="宋体" w:hAnsi="宋体" w:cs="宋体"/>
          <w:color w:val="auto"/>
          <w:sz w:val="24"/>
        </w:rPr>
        <w:t>组织验收</w:t>
      </w:r>
      <w:r>
        <w:rPr>
          <w:rFonts w:hint="eastAsia" w:ascii="宋体" w:hAnsi="宋体" w:cs="宋体"/>
          <w:color w:val="auto"/>
          <w:sz w:val="24"/>
          <w:lang w:eastAsia="zh-CN"/>
        </w:rPr>
        <w:t>（</w:t>
      </w:r>
      <w:r>
        <w:rPr>
          <w:rFonts w:hint="eastAsia" w:ascii="宋体" w:hAnsi="宋体" w:cs="宋体"/>
          <w:b/>
          <w:bCs/>
          <w:color w:val="auto"/>
          <w:sz w:val="24"/>
        </w:rPr>
        <w:t>若有验收特别约定的，按特别约定条款执行</w:t>
      </w:r>
      <w:r>
        <w:rPr>
          <w:rFonts w:hint="eastAsia" w:ascii="宋体" w:hAnsi="宋体" w:cs="宋体"/>
          <w:color w:val="auto"/>
          <w:sz w:val="24"/>
          <w:lang w:eastAsia="zh-CN"/>
        </w:rPr>
        <w:t>）</w:t>
      </w:r>
      <w:r>
        <w:rPr>
          <w:rFonts w:hint="eastAsia" w:ascii="宋体" w:hAnsi="宋体" w:cs="宋体"/>
          <w:color w:val="auto"/>
          <w:sz w:val="24"/>
        </w:rPr>
        <w:t>，验收应出具</w:t>
      </w:r>
      <w:r>
        <w:rPr>
          <w:rFonts w:hint="eastAsia" w:ascii="宋体" w:hAnsi="宋体" w:cs="宋体"/>
          <w:b/>
          <w:bCs/>
          <w:color w:val="auto"/>
          <w:sz w:val="24"/>
          <w:u w:val="none"/>
        </w:rPr>
        <w:t>验收单</w:t>
      </w:r>
      <w:r>
        <w:rPr>
          <w:rFonts w:hint="eastAsia" w:ascii="宋体" w:hAnsi="宋体" w:cs="宋体"/>
          <w:color w:val="auto"/>
          <w:sz w:val="24"/>
          <w:u w:val="none"/>
        </w:rPr>
        <w:t>（</w:t>
      </w:r>
      <w:r>
        <w:rPr>
          <w:rFonts w:hint="eastAsia" w:ascii="宋体" w:hAnsi="宋体" w:cs="宋体"/>
          <w:color w:val="auto"/>
          <w:sz w:val="24"/>
        </w:rPr>
        <w:t>如因货物检测需要更长时间的，组织验收时间为自货物交付之日起至甲方收到检</w:t>
      </w:r>
      <w:r>
        <w:rPr>
          <w:rFonts w:hint="eastAsia" w:ascii="宋体" w:hAnsi="宋体" w:cs="宋体"/>
          <w:color w:val="auto"/>
          <w:sz w:val="24"/>
          <w:lang w:val="en-US" w:eastAsia="zh-CN"/>
        </w:rPr>
        <w:t>验</w:t>
      </w:r>
      <w:r>
        <w:rPr>
          <w:rFonts w:hint="eastAsia" w:ascii="宋体" w:hAnsi="宋体" w:cs="宋体"/>
          <w:color w:val="auto"/>
          <w:sz w:val="24"/>
        </w:rPr>
        <w:t>报告后</w:t>
      </w:r>
      <w:r>
        <w:rPr>
          <w:rFonts w:hint="eastAsia" w:ascii="宋体" w:hAnsi="宋体" w:cs="宋体"/>
          <w:color w:val="auto"/>
          <w:sz w:val="24"/>
          <w:u w:val="single"/>
          <w:lang w:val="en-US" w:eastAsia="zh-CN"/>
        </w:rPr>
        <w:t xml:space="preserve">  3  </w:t>
      </w:r>
      <w:r>
        <w:rPr>
          <w:rFonts w:hint="eastAsia" w:ascii="宋体" w:hAnsi="宋体" w:cs="宋体"/>
          <w:color w:val="auto"/>
          <w:sz w:val="24"/>
        </w:rPr>
        <w:t>个工作日内）</w:t>
      </w:r>
      <w:r>
        <w:rPr>
          <w:rFonts w:hint="eastAsia" w:ascii="宋体" w:hAnsi="宋体" w:cs="宋体"/>
          <w:b/>
          <w:bCs/>
          <w:color w:val="auto"/>
          <w:sz w:val="24"/>
        </w:rPr>
        <w:t>。</w:t>
      </w:r>
      <w:r>
        <w:rPr>
          <w:rFonts w:hint="eastAsia" w:ascii="宋体" w:hAnsi="宋体" w:cs="宋体"/>
          <w:color w:val="auto"/>
          <w:sz w:val="24"/>
        </w:rPr>
        <w:t>若甲方认为有必要可邀请相关方参加</w:t>
      </w:r>
      <w:r>
        <w:rPr>
          <w:rFonts w:hint="eastAsia" w:ascii="宋体" w:hAnsi="宋体" w:cs="宋体"/>
          <w:color w:val="auto"/>
          <w:sz w:val="24"/>
          <w:lang w:val="en-US" w:eastAsia="zh-CN"/>
        </w:rPr>
        <w:t>验收工作</w:t>
      </w:r>
      <w:r>
        <w:rPr>
          <w:rFonts w:hint="eastAsia" w:ascii="宋体" w:hAnsi="宋体" w:cs="宋体"/>
          <w:color w:val="auto"/>
          <w:sz w:val="24"/>
        </w:rPr>
        <w:t>。甲方有权对溜槽及进料装置的材质进行检测，若材质不能满足要求的，</w:t>
      </w:r>
      <w:r>
        <w:rPr>
          <w:rFonts w:hint="eastAsia" w:ascii="宋体" w:hAnsi="宋体" w:cs="宋体"/>
          <w:color w:val="auto"/>
          <w:sz w:val="24"/>
          <w:lang w:val="en-US" w:eastAsia="zh-CN"/>
        </w:rPr>
        <w:t>乙方</w:t>
      </w:r>
      <w:r>
        <w:rPr>
          <w:rFonts w:hint="eastAsia" w:ascii="宋体" w:hAnsi="宋体" w:cs="宋体"/>
          <w:color w:val="auto"/>
          <w:sz w:val="24"/>
        </w:rPr>
        <w:t>需及时更换至满足要求为止。</w:t>
      </w:r>
    </w:p>
    <w:p>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color w:val="auto"/>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single"/>
          <w:lang w:val="en-US" w:eastAsia="zh-CN"/>
        </w:rPr>
        <w:t>本合同质保期结束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2"/>
    <w:bookmarkEnd w:id="393"/>
    <w:bookmarkEnd w:id="394"/>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8" w:name="_Toc32071"/>
      <w:bookmarkStart w:id="399" w:name="_Toc19304"/>
      <w:bookmarkStart w:id="400"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12个月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 </w:t>
      </w:r>
      <w:r>
        <w:rPr>
          <w:rFonts w:hint="eastAsia"/>
          <w:u w:val="single"/>
        </w:rPr>
        <w:t xml:space="preserve"> </w:t>
      </w:r>
      <w:r>
        <w:rPr>
          <w:rFonts w:hint="eastAsia"/>
        </w:rPr>
        <w:t>%；</w:t>
      </w:r>
    </w:p>
    <w:p>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3</w:t>
      </w:r>
      <w:r>
        <w:rPr>
          <w:rFonts w:hint="eastAsia"/>
          <w:u w:val="single"/>
          <w:lang w:eastAsia="zh-CN"/>
        </w:rPr>
        <w:t>）</w:t>
      </w:r>
      <w:r>
        <w:rPr>
          <w:rFonts w:hint="eastAsia"/>
          <w:u w:val="single"/>
        </w:rPr>
        <w:t xml:space="preserve">  </w:t>
      </w:r>
      <w:r>
        <w:rPr>
          <w:rFonts w:hint="eastAsia"/>
        </w:rPr>
        <w:t>条款规定：</w:t>
      </w:r>
    </w:p>
    <w:bookmarkEnd w:id="398"/>
    <w:bookmarkEnd w:id="399"/>
    <w:bookmarkEnd w:id="400"/>
    <w:p>
      <w:pPr>
        <w:pStyle w:val="26"/>
        <w:spacing w:before="0" w:beforeAutospacing="0" w:after="0" w:afterAutospacing="0" w:line="360" w:lineRule="auto"/>
        <w:ind w:firstLine="480"/>
        <w:rPr>
          <w:rFonts w:hint="eastAsia"/>
          <w:u w:val="single"/>
        </w:rPr>
      </w:pPr>
      <w:bookmarkStart w:id="401" w:name="_Toc27250"/>
      <w:bookmarkStart w:id="402" w:name="_Toc19554"/>
      <w:bookmarkStart w:id="403" w:name="_Toc21423"/>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1"/>
      <w:bookmarkEnd w:id="402"/>
      <w:bookmarkEnd w:id="403"/>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B线进料溜槽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4" w:name="_Toc28375"/>
      <w:bookmarkStart w:id="405" w:name="_Toc16021"/>
      <w:bookmarkStart w:id="406"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4"/>
      <w:bookmarkEnd w:id="405"/>
      <w:bookmarkEnd w:id="406"/>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7" w:name="_Toc11173"/>
      <w:bookmarkStart w:id="408" w:name="_Toc7245"/>
      <w:bookmarkStart w:id="409"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7"/>
    <w:bookmarkEnd w:id="408"/>
    <w:bookmarkEnd w:id="409"/>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11"/>
        <w:ind w:left="0" w:leftChars="0" w:firstLine="0" w:firstLineChars="0"/>
        <w:rPr>
          <w:rFonts w:ascii="宋体" w:hAnsi="宋体" w:cs="宋体"/>
          <w:b/>
          <w:szCs w:val="24"/>
        </w:rPr>
      </w:pPr>
    </w:p>
    <w:p>
      <w:pPr>
        <w:pStyle w:val="11"/>
        <w:ind w:left="0" w:leftChars="0" w:firstLine="0" w:firstLineChars="0"/>
        <w:rPr>
          <w:rFonts w:ascii="宋体" w:hAnsi="宋体" w:cs="宋体"/>
          <w:b/>
          <w:szCs w:val="24"/>
        </w:rPr>
      </w:pPr>
    </w:p>
    <w:p>
      <w:pPr>
        <w:pStyle w:val="11"/>
        <w:ind w:left="0" w:leftChars="0" w:firstLine="0" w:firstLineChars="0"/>
        <w:rPr>
          <w:rFonts w:ascii="宋体" w:hAnsi="宋体" w:cs="宋体"/>
          <w:b/>
          <w:szCs w:val="24"/>
        </w:rPr>
      </w:pPr>
    </w:p>
    <w:p>
      <w:pPr>
        <w:pStyle w:val="11"/>
        <w:ind w:left="0" w:leftChars="0" w:firstLine="0" w:firstLineChars="0"/>
        <w:rPr>
          <w:rFonts w:ascii="宋体" w:hAnsi="宋体" w:cs="宋体"/>
          <w:b/>
          <w:szCs w:val="24"/>
        </w:rPr>
      </w:pPr>
    </w:p>
    <w:p>
      <w:pPr>
        <w:pStyle w:val="11"/>
        <w:ind w:left="0" w:leftChars="0" w:firstLine="0" w:firstLineChars="0"/>
        <w:rPr>
          <w:rFonts w:ascii="宋体" w:hAnsi="宋体" w:cs="宋体"/>
          <w:b/>
          <w:szCs w:val="24"/>
        </w:rPr>
      </w:pPr>
    </w:p>
    <w:p>
      <w:pPr>
        <w:pStyle w:val="11"/>
        <w:rPr>
          <w:rFonts w:ascii="宋体" w:hAnsi="宋体" w:cs="宋体"/>
          <w:b/>
          <w:szCs w:val="24"/>
        </w:rPr>
      </w:pPr>
    </w:p>
    <w:p>
      <w:pPr>
        <w:pStyle w:val="11"/>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10" w:name="_Ref467379101"/>
      <w:bookmarkStart w:id="411" w:name="_Ref467379094"/>
      <w:bookmarkStart w:id="412" w:name="_Ref467379205"/>
      <w:bookmarkStart w:id="413" w:name="_Toc28763"/>
      <w:bookmarkStart w:id="414" w:name="_Ref467378463"/>
      <w:bookmarkStart w:id="415" w:name="_Ref467379225"/>
      <w:bookmarkStart w:id="416" w:name="_Toc487900349"/>
      <w:bookmarkStart w:id="417" w:name="_Toc16917"/>
      <w:bookmarkStart w:id="418" w:name="_Ref467379109"/>
      <w:bookmarkStart w:id="419" w:name="_Toc279701240"/>
      <w:bookmarkStart w:id="420" w:name="_Ref467378404"/>
      <w:bookmarkStart w:id="421" w:name="_Ref467379214"/>
      <w:bookmarkStart w:id="422" w:name="_Toc19614"/>
      <w:bookmarkStart w:id="423" w:name="_Ref467378499"/>
      <w:bookmarkStart w:id="424" w:name="_Ref467379195"/>
      <w:bookmarkStart w:id="425" w:name="_Toc259093669"/>
      <w:r>
        <w:rPr>
          <w:rFonts w:hint="eastAsia" w:ascii="宋体" w:hAnsi="宋体" w:cs="宋体"/>
          <w:b/>
          <w:sz w:val="24"/>
        </w:rPr>
        <w:t>一、 定义</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6" w:name="_Ref467378840"/>
      <w:r>
        <w:rPr>
          <w:rFonts w:hint="eastAsia" w:ascii="宋体" w:hAnsi="宋体" w:cs="宋体"/>
          <w:sz w:val="24"/>
        </w:rPr>
        <w:t>4. “甲方”系指与中标或成交供应商签署合同的采购人</w:t>
      </w:r>
      <w:bookmarkEnd w:id="426"/>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7" w:name="_Ref467379400"/>
      <w:r>
        <w:rPr>
          <w:rFonts w:hint="eastAsia" w:ascii="宋体" w:hAnsi="宋体" w:cs="宋体"/>
          <w:sz w:val="24"/>
        </w:rPr>
        <w:t>5.“乙方”系指根据合同约定交付货物的中标或成交供应商</w:t>
      </w:r>
      <w:bookmarkEnd w:id="427"/>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8" w:name="_Ref467379436"/>
      <w:r>
        <w:rPr>
          <w:rFonts w:hint="eastAsia" w:ascii="宋体" w:hAnsi="宋体" w:cs="宋体"/>
          <w:sz w:val="24"/>
        </w:rPr>
        <w:t>6.“现场”系指合同约定货物将要运至或者安装的地点。</w:t>
      </w:r>
      <w:bookmarkEnd w:id="428"/>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9" w:name="_Toc13336"/>
      <w:bookmarkStart w:id="430" w:name="_Toc32504"/>
      <w:bookmarkStart w:id="431" w:name="_Toc279701241"/>
      <w:bookmarkStart w:id="432" w:name="_Toc259093670"/>
      <w:bookmarkStart w:id="433" w:name="_Toc27635"/>
      <w:bookmarkStart w:id="434" w:name="_Toc487900350"/>
      <w:r>
        <w:rPr>
          <w:rFonts w:hint="eastAsia" w:ascii="宋体" w:hAnsi="宋体" w:cs="宋体"/>
          <w:b/>
          <w:sz w:val="24"/>
        </w:rPr>
        <w:t>二、技术规范</w:t>
      </w:r>
      <w:bookmarkEnd w:id="429"/>
      <w:bookmarkEnd w:id="430"/>
      <w:bookmarkEnd w:id="431"/>
      <w:bookmarkEnd w:id="432"/>
      <w:bookmarkEnd w:id="433"/>
      <w:bookmarkEnd w:id="434"/>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5" w:name="_Toc259093671"/>
      <w:bookmarkStart w:id="436" w:name="_Toc27853"/>
      <w:bookmarkStart w:id="437" w:name="_Toc487900351"/>
      <w:bookmarkStart w:id="438" w:name="_Toc279701242"/>
      <w:bookmarkStart w:id="439" w:name="_Toc9829"/>
      <w:bookmarkStart w:id="440" w:name="_Toc31634"/>
      <w:r>
        <w:rPr>
          <w:rFonts w:hint="eastAsia" w:ascii="宋体" w:hAnsi="宋体" w:cs="宋体"/>
          <w:b/>
          <w:sz w:val="24"/>
        </w:rPr>
        <w:t>三、知识产权</w:t>
      </w:r>
      <w:bookmarkEnd w:id="435"/>
      <w:bookmarkEnd w:id="436"/>
      <w:bookmarkEnd w:id="437"/>
      <w:bookmarkEnd w:id="438"/>
      <w:bookmarkEnd w:id="439"/>
      <w:bookmarkEnd w:id="440"/>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1" w:name="_Toc29149"/>
      <w:bookmarkStart w:id="442" w:name="_Toc11932"/>
      <w:bookmarkStart w:id="443" w:name="_Toc4194"/>
      <w:r>
        <w:rPr>
          <w:rFonts w:hint="eastAsia" w:ascii="宋体" w:hAnsi="宋体" w:cs="宋体"/>
          <w:b/>
          <w:sz w:val="24"/>
        </w:rPr>
        <w:t>四、装运包装</w:t>
      </w:r>
      <w:bookmarkEnd w:id="441"/>
      <w:bookmarkEnd w:id="442"/>
      <w:bookmarkEnd w:id="443"/>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4" w:name="_Toc30272"/>
      <w:bookmarkStart w:id="445" w:name="_Toc26182"/>
      <w:bookmarkStart w:id="446" w:name="_Toc19074"/>
      <w:r>
        <w:rPr>
          <w:rFonts w:hint="eastAsia" w:ascii="宋体" w:hAnsi="宋体" w:cs="宋体"/>
          <w:b/>
          <w:sz w:val="24"/>
        </w:rPr>
        <w:t>五、 履约检查和问题反馈</w:t>
      </w:r>
      <w:bookmarkEnd w:id="444"/>
      <w:bookmarkEnd w:id="445"/>
      <w:bookmarkEnd w:id="446"/>
    </w:p>
    <w:p>
      <w:pPr>
        <w:spacing w:line="360" w:lineRule="auto"/>
        <w:ind w:firstLine="480" w:firstLineChars="200"/>
        <w:rPr>
          <w:rFonts w:ascii="宋体" w:hAnsi="宋体" w:cs="宋体"/>
          <w:sz w:val="24"/>
        </w:rPr>
      </w:pPr>
      <w:bookmarkStart w:id="447" w:name="_Toc186431854"/>
      <w:bookmarkStart w:id="448" w:name="_Ref467379793"/>
      <w:bookmarkStart w:id="449" w:name="_Toc487900357"/>
      <w:bookmarkStart w:id="450" w:name="_Ref467379807"/>
      <w:bookmarkStart w:id="451" w:name="_Toc279701247"/>
      <w:bookmarkStart w:id="452"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7"/>
      <w:bookmarkStart w:id="453" w:name="_Toc186431855"/>
      <w:r>
        <w:rPr>
          <w:rFonts w:hint="eastAsia" w:ascii="宋体" w:hAnsi="宋体" w:cs="宋体"/>
          <w:sz w:val="24"/>
        </w:rPr>
        <w:t>。</w:t>
      </w:r>
    </w:p>
    <w:bookmarkEnd w:id="448"/>
    <w:bookmarkEnd w:id="449"/>
    <w:bookmarkEnd w:id="450"/>
    <w:bookmarkEnd w:id="451"/>
    <w:bookmarkEnd w:id="452"/>
    <w:bookmarkEnd w:id="453"/>
    <w:p>
      <w:pPr>
        <w:spacing w:line="360" w:lineRule="auto"/>
        <w:ind w:firstLine="482" w:firstLineChars="200"/>
        <w:outlineLvl w:val="0"/>
        <w:rPr>
          <w:rFonts w:ascii="宋体" w:hAnsi="宋体" w:cs="宋体"/>
          <w:b/>
          <w:sz w:val="24"/>
        </w:rPr>
      </w:pPr>
      <w:bookmarkStart w:id="454" w:name="_Toc279701248"/>
      <w:bookmarkStart w:id="455" w:name="_Ref467379863"/>
      <w:bookmarkStart w:id="456" w:name="_Ref467379852"/>
      <w:bookmarkStart w:id="457" w:name="_Ref467379923"/>
      <w:bookmarkStart w:id="458" w:name="_Toc487900358"/>
      <w:bookmarkStart w:id="459" w:name="_Toc259093677"/>
      <w:bookmarkStart w:id="460" w:name="_Toc3225"/>
      <w:bookmarkStart w:id="461" w:name="_Toc774"/>
      <w:bookmarkStart w:id="462" w:name="_Toc16110"/>
      <w:r>
        <w:rPr>
          <w:rFonts w:hint="eastAsia" w:ascii="宋体" w:hAnsi="宋体" w:cs="宋体"/>
          <w:b/>
          <w:sz w:val="24"/>
        </w:rPr>
        <w:t>六、技术资料</w:t>
      </w:r>
      <w:bookmarkEnd w:id="454"/>
      <w:bookmarkEnd w:id="455"/>
      <w:bookmarkEnd w:id="456"/>
      <w:bookmarkEnd w:id="457"/>
      <w:bookmarkEnd w:id="458"/>
      <w:bookmarkEnd w:id="459"/>
      <w:r>
        <w:rPr>
          <w:rFonts w:hint="eastAsia" w:ascii="宋体" w:hAnsi="宋体" w:cs="宋体"/>
          <w:b/>
          <w:sz w:val="24"/>
        </w:rPr>
        <w:t>和保密义务</w:t>
      </w:r>
      <w:bookmarkEnd w:id="460"/>
      <w:bookmarkEnd w:id="461"/>
      <w:bookmarkEnd w:id="462"/>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3" w:name="_Toc7860"/>
      <w:r>
        <w:rPr>
          <w:rFonts w:hint="eastAsia" w:ascii="宋体" w:hAnsi="宋体" w:cs="宋体"/>
          <w:b/>
          <w:sz w:val="24"/>
        </w:rPr>
        <w:t>七、质量保证</w:t>
      </w:r>
      <w:bookmarkEnd w:id="463"/>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4" w:name="_Toc17244"/>
      <w:bookmarkStart w:id="465" w:name="_Toc259093681"/>
      <w:bookmarkStart w:id="466" w:name="_Toc279701252"/>
      <w:bookmarkStart w:id="467" w:name="_Toc487900362"/>
      <w:r>
        <w:rPr>
          <w:rFonts w:hint="eastAsia" w:ascii="宋体" w:hAnsi="宋体" w:cs="宋体"/>
          <w:b/>
          <w:sz w:val="24"/>
        </w:rPr>
        <w:t>八、货物的风险负担</w:t>
      </w:r>
      <w:bookmarkEnd w:id="464"/>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8" w:name="_Toc14055"/>
      <w:r>
        <w:rPr>
          <w:rFonts w:hint="eastAsia" w:ascii="宋体" w:hAnsi="宋体" w:cs="宋体"/>
          <w:b/>
          <w:sz w:val="24"/>
        </w:rPr>
        <w:t>九、延迟交货</w:t>
      </w:r>
      <w:bookmarkEnd w:id="465"/>
      <w:bookmarkEnd w:id="466"/>
      <w:bookmarkEnd w:id="467"/>
      <w:bookmarkEnd w:id="468"/>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9" w:name="_Toc7502"/>
      <w:bookmarkStart w:id="470" w:name="_Toc259093683"/>
      <w:bookmarkStart w:id="471" w:name="_Toc487900364"/>
      <w:bookmarkStart w:id="472" w:name="_Toc279701254"/>
      <w:bookmarkStart w:id="473" w:name="_Ref467378121"/>
      <w:r>
        <w:rPr>
          <w:rFonts w:hint="eastAsia" w:ascii="宋体" w:hAnsi="宋体" w:cs="宋体"/>
          <w:b/>
          <w:sz w:val="24"/>
        </w:rPr>
        <w:t>十、合同变更</w:t>
      </w:r>
      <w:bookmarkEnd w:id="469"/>
      <w:r>
        <w:rPr>
          <w:rFonts w:hint="eastAsia" w:ascii="宋体" w:hAnsi="宋体" w:cs="宋体"/>
          <w:b/>
          <w:sz w:val="24"/>
        </w:rPr>
        <w:t>或补充</w:t>
      </w:r>
    </w:p>
    <w:p>
      <w:pPr>
        <w:spacing w:line="360" w:lineRule="auto"/>
        <w:ind w:firstLine="480" w:firstLineChars="200"/>
        <w:rPr>
          <w:rFonts w:ascii="宋体" w:hAnsi="宋体"/>
          <w:sz w:val="24"/>
        </w:rPr>
      </w:pPr>
      <w:bookmarkStart w:id="474" w:name="_Toc259093688"/>
      <w:bookmarkStart w:id="475" w:name="_Toc279701259"/>
      <w:bookmarkStart w:id="476" w:name="_Toc487900369"/>
      <w:bookmarkStart w:id="477" w:name="_Toc15237"/>
      <w:bookmarkStart w:id="478" w:name="_Toc10366"/>
      <w:bookmarkStart w:id="479"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4"/>
      <w:bookmarkEnd w:id="475"/>
      <w:bookmarkEnd w:id="476"/>
      <w:r>
        <w:rPr>
          <w:rFonts w:hint="eastAsia" w:ascii="宋体" w:hAnsi="宋体" w:cs="宋体"/>
          <w:b/>
          <w:sz w:val="24"/>
        </w:rPr>
        <w:t>和分包</w:t>
      </w:r>
      <w:bookmarkEnd w:id="477"/>
      <w:bookmarkEnd w:id="478"/>
      <w:bookmarkEnd w:id="479"/>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80" w:name="_Toc14066"/>
      <w:bookmarkStart w:id="481" w:name="_Toc13566"/>
      <w:bookmarkStart w:id="482" w:name="_Toc16508"/>
      <w:r>
        <w:rPr>
          <w:rFonts w:hint="eastAsia" w:ascii="宋体" w:hAnsi="宋体" w:cs="宋体"/>
          <w:b/>
          <w:sz w:val="24"/>
        </w:rPr>
        <w:t>十二、不可抗力</w:t>
      </w:r>
      <w:bookmarkEnd w:id="480"/>
      <w:bookmarkEnd w:id="481"/>
      <w:bookmarkEnd w:id="482"/>
    </w:p>
    <w:p>
      <w:pPr>
        <w:spacing w:line="360" w:lineRule="auto"/>
        <w:ind w:firstLine="480" w:firstLineChars="200"/>
        <w:rPr>
          <w:rFonts w:ascii="宋体" w:hAnsi="宋体"/>
          <w:sz w:val="24"/>
        </w:rPr>
      </w:pPr>
      <w:bookmarkStart w:id="483" w:name="_Toc487900365"/>
      <w:bookmarkStart w:id="484" w:name="_Toc279701255"/>
      <w:bookmarkStart w:id="485" w:name="_Toc689"/>
      <w:bookmarkStart w:id="486" w:name="_Toc30676"/>
      <w:bookmarkStart w:id="487" w:name="_Toc259093684"/>
      <w:bookmarkStart w:id="488"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3"/>
      <w:bookmarkEnd w:id="484"/>
      <w:bookmarkEnd w:id="485"/>
      <w:bookmarkEnd w:id="486"/>
      <w:bookmarkEnd w:id="487"/>
      <w:bookmarkEnd w:id="488"/>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9" w:name="_Toc487900368"/>
      <w:bookmarkStart w:id="490" w:name="_Toc259093687"/>
      <w:bookmarkStart w:id="491" w:name="_Toc8298"/>
      <w:bookmarkStart w:id="492" w:name="_Toc279701258"/>
      <w:bookmarkStart w:id="493" w:name="_Toc16959"/>
      <w:bookmarkStart w:id="494" w:name="_Toc7102"/>
      <w:r>
        <w:rPr>
          <w:rFonts w:hint="eastAsia" w:ascii="宋体" w:hAnsi="宋体" w:cs="宋体"/>
          <w:b/>
          <w:sz w:val="24"/>
        </w:rPr>
        <w:t>十四、乙方破产</w:t>
      </w:r>
      <w:bookmarkEnd w:id="489"/>
      <w:bookmarkEnd w:id="490"/>
      <w:bookmarkEnd w:id="491"/>
      <w:bookmarkEnd w:id="492"/>
      <w:bookmarkEnd w:id="493"/>
      <w:bookmarkEnd w:id="494"/>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5" w:name="_Toc15387"/>
      <w:bookmarkStart w:id="496" w:name="_Toc29333"/>
      <w:bookmarkStart w:id="497" w:name="_Toc6134"/>
      <w:r>
        <w:rPr>
          <w:rFonts w:hint="eastAsia" w:ascii="宋体" w:hAnsi="宋体" w:cs="宋体"/>
          <w:b/>
          <w:sz w:val="24"/>
        </w:rPr>
        <w:t>十五、合同中止、终止</w:t>
      </w:r>
      <w:bookmarkEnd w:id="495"/>
      <w:bookmarkEnd w:id="496"/>
      <w:bookmarkEnd w:id="497"/>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0"/>
    <w:bookmarkEnd w:id="471"/>
    <w:bookmarkEnd w:id="472"/>
    <w:bookmarkEnd w:id="473"/>
    <w:p>
      <w:pPr>
        <w:spacing w:line="360" w:lineRule="auto"/>
        <w:ind w:firstLine="482" w:firstLineChars="200"/>
        <w:outlineLvl w:val="0"/>
        <w:rPr>
          <w:rFonts w:ascii="宋体" w:hAnsi="宋体" w:cs="宋体"/>
          <w:b/>
          <w:sz w:val="24"/>
        </w:rPr>
      </w:pPr>
      <w:bookmarkStart w:id="498" w:name="_Toc259093690"/>
      <w:bookmarkStart w:id="499" w:name="_Toc487900371"/>
      <w:bookmarkStart w:id="500" w:name="_Toc279701261"/>
      <w:bookmarkStart w:id="501" w:name="_Toc19604"/>
      <w:bookmarkStart w:id="502" w:name="_Toc25182"/>
      <w:bookmarkStart w:id="503" w:name="_Toc11284"/>
      <w:r>
        <w:rPr>
          <w:rFonts w:hint="eastAsia" w:ascii="宋体" w:hAnsi="宋体" w:cs="宋体"/>
          <w:b/>
          <w:sz w:val="24"/>
        </w:rPr>
        <w:t>十六、 通知</w:t>
      </w:r>
      <w:bookmarkEnd w:id="498"/>
      <w:bookmarkEnd w:id="499"/>
      <w:bookmarkEnd w:id="500"/>
      <w:r>
        <w:rPr>
          <w:rFonts w:hint="eastAsia" w:ascii="宋体" w:hAnsi="宋体" w:cs="宋体"/>
          <w:b/>
          <w:sz w:val="24"/>
        </w:rPr>
        <w:t>和送达</w:t>
      </w:r>
      <w:bookmarkEnd w:id="501"/>
      <w:bookmarkEnd w:id="502"/>
      <w:bookmarkEnd w:id="503"/>
    </w:p>
    <w:p>
      <w:pPr>
        <w:spacing w:line="360" w:lineRule="auto"/>
        <w:ind w:firstLine="480" w:firstLineChars="200"/>
        <w:rPr>
          <w:rFonts w:ascii="宋体" w:hAnsi="宋体"/>
          <w:sz w:val="24"/>
        </w:rPr>
      </w:pPr>
      <w:bookmarkStart w:id="504" w:name="_Toc27674"/>
      <w:bookmarkStart w:id="505" w:name="_Toc18401"/>
      <w:bookmarkStart w:id="506" w:name="_Toc30599"/>
      <w:bookmarkStart w:id="507" w:name="_Toc279701262"/>
      <w:bookmarkStart w:id="508" w:name="_Toc4355"/>
      <w:bookmarkStart w:id="509" w:name="_Toc259093691"/>
      <w:bookmarkStart w:id="510" w:name="_Toc487900372"/>
      <w:bookmarkStart w:id="511"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4"/>
      <w:bookmarkEnd w:id="505"/>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6"/>
      <w:bookmarkEnd w:id="507"/>
      <w:bookmarkEnd w:id="508"/>
      <w:bookmarkEnd w:id="509"/>
      <w:bookmarkEnd w:id="510"/>
      <w:bookmarkEnd w:id="511"/>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2" w:name="_Toc259093692"/>
      <w:bookmarkStart w:id="513" w:name="_Toc279701263"/>
      <w:bookmarkStart w:id="514" w:name="_Toc18567"/>
      <w:bookmarkStart w:id="515" w:name="_Toc12773"/>
      <w:bookmarkStart w:id="516" w:name="_Toc10330"/>
      <w:bookmarkStart w:id="517" w:name="_Toc487900373"/>
      <w:r>
        <w:rPr>
          <w:rFonts w:hint="eastAsia" w:ascii="宋体" w:hAnsi="宋体" w:cs="宋体"/>
          <w:b/>
          <w:sz w:val="24"/>
        </w:rPr>
        <w:t>十八、合同使用的文字和适用的法律</w:t>
      </w:r>
      <w:bookmarkEnd w:id="512"/>
      <w:bookmarkEnd w:id="513"/>
      <w:bookmarkEnd w:id="514"/>
      <w:bookmarkEnd w:id="515"/>
      <w:bookmarkEnd w:id="516"/>
      <w:bookmarkEnd w:id="517"/>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2"/>
        <w:jc w:val="both"/>
        <w:rPr>
          <w:rFonts w:hint="eastAsia" w:ascii="Arial" w:hAnsi="Arial" w:cs="Arial"/>
          <w:sz w:val="32"/>
        </w:rPr>
      </w:pPr>
    </w:p>
    <w:p>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5"/>
        <w:spacing w:line="560" w:lineRule="exact"/>
        <w:ind w:left="0" w:leftChars="0" w:firstLine="0" w:firstLineChars="0"/>
        <w:jc w:val="center"/>
        <w:rPr>
          <w:rFonts w:hint="eastAsia" w:ascii="宋体" w:hAnsi="宋体" w:eastAsiaTheme="minorEastAsia"/>
          <w:b/>
          <w:color w:val="auto"/>
          <w:szCs w:val="24"/>
          <w:lang w:eastAsia="zh-CN"/>
        </w:rPr>
      </w:pPr>
      <w:r>
        <w:rPr>
          <w:rFonts w:hint="eastAsia" w:ascii="宋体" w:hAnsi="宋体"/>
          <w:b/>
          <w:color w:val="auto"/>
          <w:szCs w:val="24"/>
        </w:rPr>
        <w:t>第三章  安全协议</w:t>
      </w:r>
    </w:p>
    <w:p>
      <w:pPr>
        <w:widowControl/>
        <w:adjustRightInd w:val="0"/>
        <w:spacing w:line="360" w:lineRule="auto"/>
        <w:jc w:val="left"/>
        <w:rPr>
          <w:rFonts w:hAnsi="宋体" w:cs="宋体"/>
          <w:color w:val="auto"/>
          <w:sz w:val="24"/>
        </w:rPr>
      </w:pPr>
      <w:r>
        <w:rPr>
          <w:rFonts w:hint="eastAsia" w:hAnsi="宋体" w:cs="宋体"/>
          <w:color w:val="auto"/>
          <w:sz w:val="24"/>
          <w:lang w:bidi="ar"/>
        </w:rPr>
        <w:t>发包单位：</w:t>
      </w:r>
      <w:r>
        <w:rPr>
          <w:rFonts w:hint="eastAsia" w:hAnsi="宋体" w:cs="宋体"/>
          <w:color w:val="auto"/>
          <w:sz w:val="24"/>
          <w:u w:val="single"/>
          <w:lang w:bidi="ar"/>
        </w:rPr>
        <w:t>杭州临江环境能源有限公司</w:t>
      </w:r>
      <w:r>
        <w:rPr>
          <w:rFonts w:hint="eastAsia" w:hAnsi="宋体" w:cs="宋体"/>
          <w:color w:val="auto"/>
          <w:sz w:val="24"/>
          <w:lang w:bidi="ar"/>
        </w:rPr>
        <w:t xml:space="preserve">（简称甲方） </w:t>
      </w:r>
    </w:p>
    <w:p>
      <w:pPr>
        <w:widowControl/>
        <w:adjustRightInd w:val="0"/>
        <w:spacing w:line="360" w:lineRule="auto"/>
        <w:jc w:val="left"/>
        <w:rPr>
          <w:rFonts w:hAnsi="宋体" w:cs="宋体"/>
          <w:color w:val="auto"/>
          <w:sz w:val="24"/>
        </w:rPr>
      </w:pPr>
      <w:r>
        <w:rPr>
          <w:rFonts w:hint="eastAsia" w:hAnsi="宋体" w:cs="宋体"/>
          <w:color w:val="auto"/>
          <w:sz w:val="24"/>
          <w:lang w:bidi="ar"/>
        </w:rPr>
        <w:t>承包单位：</w:t>
      </w:r>
      <w:r>
        <w:rPr>
          <w:rFonts w:hint="eastAsia" w:hAnsi="宋体" w:cs="宋体"/>
          <w:color w:val="auto"/>
          <w:sz w:val="24"/>
          <w:u w:val="single"/>
          <w:lang w:val="en-US" w:eastAsia="zh-CN" w:bidi="ar"/>
        </w:rPr>
        <w:t xml:space="preserve">    ***公司          </w:t>
      </w:r>
      <w:r>
        <w:rPr>
          <w:rFonts w:hint="eastAsia" w:hAnsi="宋体" w:cs="宋体"/>
          <w:color w:val="auto"/>
          <w:sz w:val="24"/>
          <w:lang w:bidi="ar"/>
        </w:rPr>
        <w:t xml:space="preserve">（简称乙方）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甲方将</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2025年B线溜槽及进料装置采购项目      </w:t>
      </w:r>
      <w:r>
        <w:rPr>
          <w:rFonts w:hint="eastAsia" w:hAnsi="宋体" w:cs="宋体"/>
          <w:color w:val="auto"/>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一、服务项目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1.项目名称： </w:t>
      </w:r>
      <w:r>
        <w:rPr>
          <w:rFonts w:hint="eastAsia" w:hAnsi="宋体" w:cs="宋体"/>
          <w:color w:val="auto"/>
          <w:sz w:val="24"/>
          <w:u w:val="single"/>
          <w:lang w:bidi="ar"/>
        </w:rPr>
        <w:t xml:space="preserve"> </w:t>
      </w:r>
      <w:r>
        <w:rPr>
          <w:rFonts w:hint="eastAsia" w:hAnsi="宋体" w:cs="宋体"/>
          <w:color w:val="auto"/>
          <w:sz w:val="24"/>
          <w:u w:val="single"/>
          <w:lang w:val="en-US" w:eastAsia="zh-CN" w:bidi="ar"/>
        </w:rPr>
        <w:t xml:space="preserve">  2025年B线溜槽及进料装置采购项目  </w:t>
      </w:r>
      <w:r>
        <w:rPr>
          <w:rFonts w:hint="eastAsia" w:hAnsi="宋体" w:cs="宋体"/>
          <w:color w:val="auto"/>
          <w:sz w:val="24"/>
          <w:u w:val="single"/>
          <w:lang w:bidi="ar"/>
        </w:rPr>
        <w:t xml:space="preserve">        </w:t>
      </w:r>
    </w:p>
    <w:p>
      <w:pPr>
        <w:widowControl/>
        <w:adjustRightInd w:val="0"/>
        <w:spacing w:line="360" w:lineRule="auto"/>
        <w:ind w:firstLine="480" w:firstLineChars="200"/>
        <w:jc w:val="left"/>
        <w:rPr>
          <w:rFonts w:hAnsi="宋体" w:cs="宋体"/>
          <w:color w:val="auto"/>
          <w:sz w:val="24"/>
        </w:rPr>
      </w:pPr>
      <w:r>
        <w:rPr>
          <w:rFonts w:hint="eastAsia" w:hAnsi="宋体" w:cs="宋体"/>
          <w:color w:val="auto"/>
          <w:sz w:val="24"/>
          <w:lang w:bidi="ar"/>
        </w:rPr>
        <w:t xml:space="preserve">2.项目地址：位于浙江省杭州钱塘区临江街道杭州临江环境能源有限公司厂区内。 </w:t>
      </w:r>
    </w:p>
    <w:p>
      <w:pPr>
        <w:adjustRightInd w:val="0"/>
        <w:spacing w:line="360" w:lineRule="auto"/>
        <w:ind w:firstLine="602" w:firstLineChars="250"/>
        <w:rPr>
          <w:rFonts w:hAnsi="宋体" w:cs="宋体"/>
          <w:b/>
          <w:color w:val="auto"/>
          <w:sz w:val="24"/>
        </w:rPr>
      </w:pPr>
      <w:r>
        <w:rPr>
          <w:rFonts w:hint="eastAsia" w:hAnsi="宋体" w:cs="宋体"/>
          <w:b/>
          <w:color w:val="auto"/>
          <w:sz w:val="24"/>
        </w:rPr>
        <w:t>二、甲方职责</w:t>
      </w:r>
    </w:p>
    <w:p>
      <w:pPr>
        <w:adjustRightInd w:val="0"/>
        <w:spacing w:line="360" w:lineRule="auto"/>
        <w:ind w:firstLine="480" w:firstLineChars="200"/>
        <w:rPr>
          <w:rFonts w:hAnsi="宋体" w:cs="宋体"/>
          <w:color w:val="auto"/>
          <w:sz w:val="24"/>
        </w:rPr>
      </w:pPr>
      <w:r>
        <w:rPr>
          <w:rFonts w:hint="eastAsia" w:hAnsi="宋体" w:cs="宋体"/>
          <w:color w:val="auto"/>
          <w:sz w:val="24"/>
        </w:rPr>
        <w:t>1.甲方对乙方资质进行审查，确保符合要求，并为乙方正常服务场所工作提供便利，</w:t>
      </w:r>
      <w:r>
        <w:rPr>
          <w:rFonts w:hint="eastAsia" w:hAnsi="宋体" w:cs="宋体"/>
          <w:color w:val="auto"/>
          <w:sz w:val="24"/>
          <w:u w:val="single"/>
          <w:lang w:val="en-US" w:eastAsia="zh-CN"/>
        </w:rPr>
        <w:t xml:space="preserve">              </w:t>
      </w:r>
      <w:r>
        <w:rPr>
          <w:rFonts w:hint="eastAsia" w:hAnsi="宋体" w:cs="宋体"/>
          <w:color w:val="auto"/>
          <w:sz w:val="24"/>
          <w:u w:val="single"/>
        </w:rPr>
        <w:t xml:space="preserve"> </w:t>
      </w:r>
      <w:r>
        <w:rPr>
          <w:rFonts w:hint="eastAsia" w:hAnsi="宋体" w:cs="宋体"/>
          <w:color w:val="auto"/>
          <w:sz w:val="24"/>
        </w:rPr>
        <w:t>实施前就各实施区域的现状及周边情况向乙方进行交底。如：实施项目周边的电缆线、消防管道及排水沟及周边车辆行驶情况等。</w:t>
      </w:r>
    </w:p>
    <w:p>
      <w:pPr>
        <w:adjustRightInd w:val="0"/>
        <w:spacing w:line="360" w:lineRule="auto"/>
        <w:ind w:firstLine="480" w:firstLineChars="200"/>
        <w:rPr>
          <w:rFonts w:hAnsi="宋体" w:cs="宋体"/>
          <w:color w:val="auto"/>
          <w:sz w:val="24"/>
        </w:rPr>
      </w:pPr>
      <w:r>
        <w:rPr>
          <w:rFonts w:hint="eastAsia" w:hAnsi="宋体" w:cs="宋体"/>
          <w:color w:val="auto"/>
          <w:sz w:val="24"/>
        </w:rPr>
        <w:t>2.为本项目指定专人负责具体的联系沟通工作。</w:t>
      </w:r>
    </w:p>
    <w:p>
      <w:pPr>
        <w:adjustRightInd w:val="0"/>
        <w:spacing w:line="360" w:lineRule="auto"/>
        <w:ind w:firstLine="480" w:firstLineChars="200"/>
        <w:rPr>
          <w:rFonts w:hAnsi="宋体" w:cs="宋体"/>
          <w:color w:val="auto"/>
          <w:sz w:val="24"/>
        </w:rPr>
      </w:pPr>
      <w:r>
        <w:rPr>
          <w:rFonts w:hint="eastAsia" w:hAnsi="宋体" w:cs="宋体"/>
          <w:color w:val="auto"/>
          <w:sz w:val="24"/>
        </w:rPr>
        <w:t>3.做好与本项目有关的其他各级单位的沟通协调工作。</w:t>
      </w:r>
    </w:p>
    <w:p>
      <w:pPr>
        <w:adjustRightInd w:val="0"/>
        <w:spacing w:line="360" w:lineRule="auto"/>
        <w:ind w:firstLine="482" w:firstLineChars="200"/>
        <w:rPr>
          <w:rFonts w:hAnsi="宋体" w:cs="宋体"/>
          <w:b/>
          <w:color w:val="auto"/>
          <w:sz w:val="24"/>
        </w:rPr>
      </w:pPr>
      <w:r>
        <w:rPr>
          <w:rFonts w:hint="eastAsia" w:hAnsi="宋体" w:cs="宋体"/>
          <w:b/>
          <w:color w:val="auto"/>
          <w:sz w:val="24"/>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2.乙方在项目服务期间，必须对工作人员进行安全生产教育，落实安全技术交底工作，确保各类专业技术人员持证上岗。</w:t>
      </w:r>
    </w:p>
    <w:p>
      <w:pPr>
        <w:adjustRightInd w:val="0"/>
        <w:spacing w:line="360" w:lineRule="auto"/>
        <w:ind w:firstLine="480" w:firstLineChars="200"/>
        <w:rPr>
          <w:rFonts w:hAnsi="宋体" w:cs="宋体"/>
          <w:color w:val="auto"/>
          <w:sz w:val="24"/>
        </w:rPr>
      </w:pPr>
      <w:r>
        <w:rPr>
          <w:rFonts w:hint="eastAsia" w:hAnsi="宋体" w:cs="宋体"/>
          <w:color w:val="auto"/>
          <w:sz w:val="24"/>
        </w:rPr>
        <w:t>3.乙方应遵守甲方相关的安全生产管理制度，在禁烟区内严禁吸烟以及擅自动用各类明火（动用需经审批），并在现场设置灭火器材及警示标识。</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4.乙方在项目服务期间应严格按照用电规范要求，严禁私拉乱接电线，各类电器、照明设备必须使用防爆产品或设置防爆装置。</w:t>
      </w:r>
    </w:p>
    <w:p>
      <w:pPr>
        <w:adjustRightInd w:val="0"/>
        <w:spacing w:line="360" w:lineRule="auto"/>
        <w:ind w:firstLine="480" w:firstLineChars="200"/>
        <w:rPr>
          <w:rFonts w:hAnsi="宋体" w:cs="宋体"/>
          <w:color w:val="auto"/>
          <w:sz w:val="24"/>
        </w:rPr>
      </w:pPr>
      <w:r>
        <w:rPr>
          <w:rFonts w:hint="eastAsia" w:hAnsi="宋体" w:cs="宋体"/>
          <w:color w:val="auto"/>
          <w:sz w:val="24"/>
        </w:rPr>
        <w:t>5.乙方内部要建立安全生产检查制度、落实自查自检，按“定人、定时间、定措施”的隐患整改原则，消除现场不安全因素。</w:t>
      </w:r>
    </w:p>
    <w:p>
      <w:pPr>
        <w:adjustRightInd w:val="0"/>
        <w:spacing w:line="360" w:lineRule="auto"/>
        <w:ind w:firstLine="480" w:firstLineChars="200"/>
        <w:rPr>
          <w:rFonts w:hAnsi="宋体" w:cs="宋体"/>
          <w:color w:val="auto"/>
          <w:sz w:val="24"/>
        </w:rPr>
      </w:pPr>
      <w:r>
        <w:rPr>
          <w:rFonts w:hint="eastAsia" w:hAnsi="宋体" w:cs="宋体"/>
          <w:color w:val="auto"/>
          <w:sz w:val="24"/>
        </w:rPr>
        <w:t>6．安全、规范、文明、科学作业，不损坏甲方的地上地下各类设施，确保项目实施区域安全有序。</w:t>
      </w:r>
    </w:p>
    <w:p>
      <w:pPr>
        <w:adjustRightInd w:val="0"/>
        <w:spacing w:line="360" w:lineRule="auto"/>
        <w:ind w:firstLine="480" w:firstLineChars="200"/>
        <w:rPr>
          <w:rFonts w:hAnsi="宋体" w:cs="宋体"/>
          <w:color w:val="auto"/>
          <w:sz w:val="24"/>
        </w:rPr>
      </w:pPr>
      <w:r>
        <w:rPr>
          <w:rFonts w:hint="eastAsia" w:hAnsi="宋体" w:cs="宋体"/>
          <w:color w:val="auto"/>
          <w:sz w:val="24"/>
        </w:rPr>
        <w:t>7.接受甲方的监督检查。</w:t>
      </w:r>
    </w:p>
    <w:p>
      <w:pPr>
        <w:adjustRightInd w:val="0"/>
        <w:spacing w:line="360" w:lineRule="auto"/>
        <w:ind w:firstLine="482" w:firstLineChars="200"/>
        <w:rPr>
          <w:rFonts w:hAnsi="宋体" w:cs="宋体"/>
          <w:color w:val="auto"/>
          <w:sz w:val="24"/>
        </w:rPr>
      </w:pPr>
      <w:r>
        <w:rPr>
          <w:rFonts w:hint="eastAsia" w:hAnsi="宋体" w:cs="宋体"/>
          <w:b/>
          <w:color w:val="auto"/>
          <w:sz w:val="24"/>
        </w:rPr>
        <w:t>四、违约责任</w:t>
      </w:r>
    </w:p>
    <w:p>
      <w:pPr>
        <w:adjustRightInd w:val="0"/>
        <w:spacing w:line="360" w:lineRule="auto"/>
        <w:ind w:firstLine="480" w:firstLineChars="200"/>
        <w:rPr>
          <w:rFonts w:hAnsi="宋体" w:cs="宋体"/>
          <w:color w:val="auto"/>
          <w:sz w:val="24"/>
        </w:rPr>
      </w:pPr>
      <w:r>
        <w:rPr>
          <w:rFonts w:hint="eastAsia" w:hAnsi="宋体" w:cs="宋体"/>
          <w:color w:val="auto"/>
          <w:sz w:val="24"/>
        </w:rPr>
        <w:t>1.在项目服务过程中，乙方必须做到安全生产，并服从甲方管理人员的调度指挥，有下列行为的，乙方扣罚履约保证金500-1000元/次：</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不服从甲方指挥，强令冒险作业；</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未按要求参加甲方组织的各项安全检查、会议活动；</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3 \* GB3 </w:instrText>
      </w:r>
      <w:r>
        <w:rPr>
          <w:rFonts w:hint="eastAsia" w:hAnsi="宋体" w:cs="宋体"/>
          <w:color w:val="auto"/>
          <w:sz w:val="24"/>
        </w:rPr>
        <w:fldChar w:fldCharType="separate"/>
      </w:r>
      <w:r>
        <w:rPr>
          <w:rFonts w:hint="eastAsia" w:hAnsi="宋体" w:cs="宋体"/>
          <w:color w:val="auto"/>
          <w:sz w:val="24"/>
        </w:rPr>
        <w:t>③</w:t>
      </w:r>
      <w:r>
        <w:rPr>
          <w:rFonts w:hint="eastAsia" w:hAnsi="宋体" w:cs="宋体"/>
          <w:color w:val="auto"/>
          <w:sz w:val="24"/>
        </w:rPr>
        <w:fldChar w:fldCharType="end"/>
      </w:r>
      <w:r>
        <w:rPr>
          <w:rFonts w:hint="eastAsia" w:hAnsi="宋体" w:cs="宋体"/>
          <w:color w:val="auto"/>
          <w:sz w:val="24"/>
        </w:rPr>
        <w:t>工作人员在禁烟区擅自动火、吸烟；</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4 \* GB3 </w:instrText>
      </w:r>
      <w:r>
        <w:rPr>
          <w:rFonts w:hint="eastAsia" w:hAnsi="宋体" w:cs="宋体"/>
          <w:color w:val="auto"/>
          <w:sz w:val="24"/>
        </w:rPr>
        <w:fldChar w:fldCharType="separate"/>
      </w:r>
      <w:r>
        <w:rPr>
          <w:rFonts w:hint="eastAsia" w:hAnsi="宋体" w:cs="宋体"/>
          <w:color w:val="auto"/>
          <w:sz w:val="24"/>
        </w:rPr>
        <w:t>④</w:t>
      </w:r>
      <w:r>
        <w:rPr>
          <w:rFonts w:hint="eastAsia" w:hAnsi="宋体" w:cs="宋体"/>
          <w:color w:val="auto"/>
          <w:sz w:val="24"/>
        </w:rPr>
        <w:fldChar w:fldCharType="end"/>
      </w:r>
      <w:r>
        <w:rPr>
          <w:rFonts w:hint="eastAsia" w:hAnsi="宋体" w:cs="宋体"/>
          <w:color w:val="auto"/>
          <w:sz w:val="24"/>
        </w:rPr>
        <w:t>工作人员未按规定穿戴劳动防护用品，经劝说不听或不服从管理的；</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5 \* GB3 </w:instrText>
      </w:r>
      <w:r>
        <w:rPr>
          <w:rFonts w:hint="eastAsia" w:hAnsi="宋体" w:cs="宋体"/>
          <w:color w:val="auto"/>
          <w:sz w:val="24"/>
        </w:rPr>
        <w:fldChar w:fldCharType="separate"/>
      </w:r>
      <w:r>
        <w:rPr>
          <w:rFonts w:hint="eastAsia" w:hAnsi="宋体" w:cs="宋体"/>
          <w:color w:val="auto"/>
          <w:sz w:val="24"/>
        </w:rPr>
        <w:t>⑤</w:t>
      </w:r>
      <w:r>
        <w:rPr>
          <w:rFonts w:hint="eastAsia" w:hAnsi="宋体" w:cs="宋体"/>
          <w:color w:val="auto"/>
          <w:sz w:val="24"/>
        </w:rPr>
        <w:fldChar w:fldCharType="end"/>
      </w:r>
      <w:r>
        <w:rPr>
          <w:rFonts w:hint="eastAsia" w:hAnsi="宋体" w:cs="宋体"/>
          <w:color w:val="auto"/>
          <w:sz w:val="24"/>
        </w:rPr>
        <w:t>项目服务过程造成环境影响。</w:t>
      </w:r>
    </w:p>
    <w:p>
      <w:pPr>
        <w:adjustRightInd w:val="0"/>
        <w:spacing w:line="360" w:lineRule="auto"/>
        <w:ind w:firstLine="480" w:firstLineChars="200"/>
        <w:rPr>
          <w:rFonts w:hAnsi="宋体" w:cs="宋体"/>
          <w:color w:val="auto"/>
          <w:sz w:val="24"/>
        </w:rPr>
      </w:pPr>
      <w:r>
        <w:rPr>
          <w:rFonts w:hint="eastAsia" w:hAnsi="宋体" w:cs="宋体"/>
          <w:color w:val="auto"/>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hAnsi="宋体" w:cs="宋体"/>
          <w:color w:val="auto"/>
          <w:sz w:val="24"/>
        </w:rPr>
        <w:t>：</w:t>
      </w:r>
    </w:p>
    <w:p>
      <w:pPr>
        <w:adjustRightInd w:val="0"/>
        <w:spacing w:line="360" w:lineRule="auto"/>
        <w:ind w:firstLine="480" w:firstLineChars="200"/>
        <w:rPr>
          <w:rFonts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1 \* GB3 </w:instrText>
      </w:r>
      <w:r>
        <w:rPr>
          <w:rFonts w:hint="eastAsia" w:hAnsi="宋体" w:cs="宋体"/>
          <w:color w:val="auto"/>
          <w:sz w:val="24"/>
        </w:rPr>
        <w:fldChar w:fldCharType="separate"/>
      </w:r>
      <w:r>
        <w:rPr>
          <w:rFonts w:hint="eastAsia" w:hAnsi="宋体" w:cs="宋体"/>
          <w:color w:val="auto"/>
          <w:sz w:val="24"/>
        </w:rPr>
        <w:t>①</w:t>
      </w:r>
      <w:r>
        <w:rPr>
          <w:rFonts w:hint="eastAsia" w:hAnsi="宋体" w:cs="宋体"/>
          <w:color w:val="auto"/>
          <w:sz w:val="24"/>
        </w:rPr>
        <w:fldChar w:fldCharType="end"/>
      </w:r>
      <w:r>
        <w:rPr>
          <w:rFonts w:hint="eastAsia" w:hAnsi="宋体" w:cs="宋体"/>
          <w:color w:val="auto"/>
          <w:sz w:val="24"/>
        </w:rPr>
        <w:t>由于乙方原因造成甲方被主管单位、新闻媒体、12345公开电话投诉或其他上级有关部门书面警告等通报批评的；</w:t>
      </w:r>
    </w:p>
    <w:p>
      <w:pPr>
        <w:adjustRightInd w:val="0"/>
        <w:spacing w:line="360" w:lineRule="auto"/>
        <w:ind w:firstLine="480" w:firstLineChars="200"/>
        <w:rPr>
          <w:rFonts w:hint="eastAsia" w:hAnsi="宋体" w:cs="宋体"/>
          <w:color w:val="auto"/>
          <w:sz w:val="24"/>
        </w:rPr>
      </w:pPr>
      <w:r>
        <w:rPr>
          <w:rFonts w:hint="eastAsia" w:hAnsi="宋体" w:cs="宋体"/>
          <w:color w:val="auto"/>
          <w:sz w:val="24"/>
        </w:rPr>
        <w:fldChar w:fldCharType="begin"/>
      </w:r>
      <w:r>
        <w:rPr>
          <w:rFonts w:hint="eastAsia" w:hAnsi="宋体" w:cs="宋体"/>
          <w:color w:val="auto"/>
          <w:sz w:val="24"/>
        </w:rPr>
        <w:instrText xml:space="preserve"> = 2 \* GB3 </w:instrText>
      </w:r>
      <w:r>
        <w:rPr>
          <w:rFonts w:hint="eastAsia" w:hAnsi="宋体" w:cs="宋体"/>
          <w:color w:val="auto"/>
          <w:sz w:val="24"/>
        </w:rPr>
        <w:fldChar w:fldCharType="separate"/>
      </w:r>
      <w:r>
        <w:rPr>
          <w:rFonts w:hint="eastAsia" w:hAnsi="宋体" w:cs="宋体"/>
          <w:color w:val="auto"/>
          <w:sz w:val="24"/>
        </w:rPr>
        <w:t>②</w:t>
      </w:r>
      <w:r>
        <w:rPr>
          <w:rFonts w:hint="eastAsia" w:hAnsi="宋体" w:cs="宋体"/>
          <w:color w:val="auto"/>
          <w:sz w:val="24"/>
        </w:rPr>
        <w:fldChar w:fldCharType="end"/>
      </w:r>
      <w:r>
        <w:rPr>
          <w:rFonts w:hint="eastAsia" w:hAnsi="宋体" w:cs="宋体"/>
          <w:color w:val="auto"/>
          <w:sz w:val="24"/>
        </w:rPr>
        <w:t>乙方未履行职责，经甲方三次书面警告的，进行停业整顿的，每次停业整顿。</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pPr>
        <w:adjustRightInd w:val="0"/>
        <w:spacing w:line="360" w:lineRule="auto"/>
        <w:ind w:firstLine="480" w:firstLineChars="200"/>
        <w:rPr>
          <w:rFonts w:hAnsi="宋体" w:cs="宋体"/>
          <w:color w:val="auto"/>
          <w:sz w:val="24"/>
        </w:rPr>
      </w:pPr>
      <w:r>
        <w:rPr>
          <w:rFonts w:hint="eastAsia" w:hAnsi="宋体" w:cs="宋体"/>
          <w:color w:val="auto"/>
          <w:sz w:val="24"/>
        </w:rPr>
        <w:t>3.乙方项目服务人员无证驾驶车辆（设备）、特殊工种无证上岗、消防器材配置缺损已提醒二十四小时无改进措施等现象，扣罚保证金2000元/人·次。</w:t>
      </w:r>
    </w:p>
    <w:p>
      <w:pPr>
        <w:adjustRightInd w:val="0"/>
        <w:spacing w:line="360" w:lineRule="auto"/>
        <w:ind w:firstLine="480" w:firstLineChars="200"/>
        <w:rPr>
          <w:rFonts w:hAnsi="宋体" w:cs="宋体"/>
          <w:color w:val="auto"/>
          <w:sz w:val="24"/>
        </w:rPr>
      </w:pPr>
      <w:r>
        <w:rPr>
          <w:rFonts w:hint="eastAsia" w:hAnsi="宋体" w:cs="宋体"/>
          <w:color w:val="auto"/>
          <w:sz w:val="24"/>
        </w:rPr>
        <w:t>4.乙方在项目服务过程中，对甲方的设施、绿化道路造成影响</w:t>
      </w:r>
      <w:r>
        <w:rPr>
          <w:rFonts w:hint="eastAsia" w:hAnsi="宋体" w:cs="宋体"/>
          <w:color w:val="auto"/>
          <w:sz w:val="24"/>
          <w:lang w:eastAsia="zh-CN"/>
        </w:rPr>
        <w:t>，</w:t>
      </w:r>
      <w:r>
        <w:rPr>
          <w:rFonts w:hint="eastAsia" w:hAnsi="宋体" w:cs="宋体"/>
          <w:color w:val="auto"/>
          <w:sz w:val="24"/>
        </w:rPr>
        <w:t>乙方应按甲方要求及时进行原貌恢复或清理，如乙方未能及时进行处理的，甲方有权委托相关部门执行，相应费用在乙方履约保证金中扣除。</w:t>
      </w:r>
    </w:p>
    <w:p>
      <w:pPr>
        <w:adjustRightInd w:val="0"/>
        <w:spacing w:line="360" w:lineRule="auto"/>
        <w:ind w:firstLine="480" w:firstLineChars="200"/>
        <w:rPr>
          <w:rFonts w:hAnsi="宋体" w:cs="宋体"/>
          <w:color w:val="auto"/>
          <w:sz w:val="24"/>
        </w:rPr>
      </w:pPr>
      <w:r>
        <w:rPr>
          <w:rFonts w:hint="eastAsia" w:hAnsi="宋体" w:cs="宋体"/>
          <w:color w:val="auto"/>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360" w:lineRule="auto"/>
        <w:ind w:firstLine="480" w:firstLineChars="200"/>
        <w:rPr>
          <w:rFonts w:hAnsi="宋体" w:cs="宋体"/>
          <w:color w:val="auto"/>
          <w:sz w:val="24"/>
        </w:rPr>
      </w:pPr>
      <w:r>
        <w:rPr>
          <w:rFonts w:hint="eastAsia" w:hAnsi="宋体" w:cs="宋体"/>
          <w:color w:val="auto"/>
          <w:sz w:val="24"/>
        </w:rPr>
        <w:t>6.发生紧急情况，乙方应及时向上级主管和甲方报告，同时向相关领导或值班人员汇报。如发生人员伤亡应迅速抢救伤员，并在第一时间</w:t>
      </w:r>
      <w:r>
        <w:rPr>
          <w:rFonts w:hint="eastAsia" w:hAnsi="宋体" w:cs="宋体"/>
          <w:color w:val="auto"/>
          <w:sz w:val="24"/>
          <w:lang w:eastAsia="zh-CN"/>
        </w:rPr>
        <w:t>送往</w:t>
      </w:r>
      <w:r>
        <w:rPr>
          <w:rFonts w:hint="eastAsia" w:hAnsi="宋体" w:cs="宋体"/>
          <w:color w:val="auto"/>
          <w:sz w:val="24"/>
        </w:rPr>
        <w:t>就近医院。</w:t>
      </w:r>
    </w:p>
    <w:p>
      <w:pPr>
        <w:adjustRightInd w:val="0"/>
        <w:spacing w:line="360" w:lineRule="auto"/>
        <w:ind w:firstLine="480" w:firstLineChars="200"/>
        <w:rPr>
          <w:rFonts w:hAnsi="宋体" w:cs="宋体"/>
          <w:color w:val="auto"/>
          <w:sz w:val="24"/>
        </w:rPr>
      </w:pPr>
      <w:r>
        <w:rPr>
          <w:rFonts w:hint="eastAsia" w:hAnsi="宋体" w:cs="宋体"/>
          <w:color w:val="auto"/>
          <w:sz w:val="24"/>
        </w:rPr>
        <w:t>7.在项目服务期间，乙方发生的安全事故以及造成的人员或财产损失由乙方全额负责。</w:t>
      </w:r>
    </w:p>
    <w:p>
      <w:pPr>
        <w:adjustRightInd w:val="0"/>
        <w:spacing w:line="360" w:lineRule="auto"/>
        <w:ind w:firstLine="480" w:firstLineChars="200"/>
        <w:rPr>
          <w:rFonts w:hAnsi="宋体" w:cs="宋体"/>
          <w:color w:val="auto"/>
          <w:sz w:val="24"/>
        </w:rPr>
      </w:pPr>
      <w:r>
        <w:rPr>
          <w:rFonts w:hint="eastAsia" w:hAnsi="宋体" w:cs="宋体"/>
          <w:color w:val="auto"/>
          <w:sz w:val="24"/>
        </w:rPr>
        <w:t>8.其他违反甲方相关安全规章制度的现象，根据违规情况每次酌情扣罚履约保证金200—1000元。</w:t>
      </w:r>
    </w:p>
    <w:p>
      <w:pPr>
        <w:adjustRightInd w:val="0"/>
        <w:spacing w:line="360" w:lineRule="auto"/>
        <w:ind w:firstLine="482" w:firstLineChars="200"/>
        <w:rPr>
          <w:rFonts w:hAnsi="宋体" w:cs="宋体"/>
          <w:b/>
          <w:color w:val="auto"/>
          <w:sz w:val="24"/>
        </w:rPr>
      </w:pPr>
      <w:r>
        <w:rPr>
          <w:rFonts w:hint="eastAsia" w:hAnsi="宋体" w:cs="宋体"/>
          <w:b/>
          <w:color w:val="auto"/>
          <w:sz w:val="24"/>
        </w:rPr>
        <w:t>五、其他</w:t>
      </w:r>
    </w:p>
    <w:p>
      <w:pPr>
        <w:widowControl/>
        <w:adjustRightInd w:val="0"/>
        <w:spacing w:line="360" w:lineRule="auto"/>
        <w:rPr>
          <w:rFonts w:hAnsi="宋体" w:cs="宋体"/>
          <w:color w:val="auto"/>
          <w:sz w:val="24"/>
        </w:rPr>
      </w:pPr>
      <w:r>
        <w:rPr>
          <w:rFonts w:hint="eastAsia" w:hAnsi="宋体" w:cs="宋体"/>
          <w:color w:val="auto"/>
          <w:sz w:val="24"/>
        </w:rPr>
        <w:t xml:space="preserve">    本协议有效期为双方签署之日起至双方权利义务履行完毕为止。有效期内发生的违约事实，有效期后发现的适用本协议。</w:t>
      </w: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hint="eastAsia" w:ascii="宋体" w:hAnsi="宋体" w:cs="Times New Roman"/>
          <w:b/>
          <w:szCs w:val="24"/>
        </w:rPr>
      </w:pPr>
    </w:p>
    <w:p>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四</w:t>
      </w:r>
      <w:r>
        <w:rPr>
          <w:rFonts w:hint="eastAsia" w:ascii="宋体" w:hAnsi="宋体" w:cs="Times New Roman"/>
          <w:b/>
          <w:szCs w:val="24"/>
        </w:rPr>
        <w:t xml:space="preserve">章 </w:t>
      </w:r>
      <w:r>
        <w:rPr>
          <w:rFonts w:hint="eastAsia" w:ascii="宋体" w:hAnsi="宋体"/>
          <w:b/>
          <w:szCs w:val="24"/>
        </w:rPr>
        <w:t>廉洁协议</w:t>
      </w:r>
    </w:p>
    <w:p>
      <w:pPr>
        <w:pStyle w:val="11"/>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2025年B线溜槽及进料装置采购项目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202506035</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9"/>
      </w:pPr>
    </w:p>
    <w:p/>
    <w:p>
      <w:pPr>
        <w:pStyle w:val="8"/>
      </w:pPr>
    </w:p>
    <w:p>
      <w:pPr>
        <w:pStyle w:val="9"/>
      </w:pPr>
    </w:p>
    <w:p/>
    <w:p>
      <w:pPr>
        <w:pStyle w:val="8"/>
      </w:pPr>
    </w:p>
    <w:p>
      <w:pPr>
        <w:pStyle w:val="9"/>
      </w:pPr>
    </w:p>
    <w:p/>
    <w:p>
      <w:pPr>
        <w:pStyle w:val="8"/>
      </w:pPr>
    </w:p>
    <w:p>
      <w:pPr>
        <w:pStyle w:val="9"/>
      </w:pPr>
    </w:p>
    <w:p>
      <w:pPr>
        <w:pStyle w:val="10"/>
      </w:pPr>
    </w:p>
    <w:p/>
    <w:p/>
    <w:p/>
    <w:p/>
    <w:p/>
    <w:p>
      <w:pPr>
        <w:pStyle w:val="8"/>
      </w:pPr>
    </w:p>
    <w:p>
      <w:pPr>
        <w:pStyle w:val="9"/>
      </w:pPr>
    </w:p>
    <w:p/>
    <w:p>
      <w:pPr>
        <w:pStyle w:val="8"/>
      </w:pPr>
    </w:p>
    <w:p>
      <w:pPr>
        <w:pStyle w:val="9"/>
      </w:pPr>
    </w:p>
    <w:p>
      <w:pPr>
        <w:pStyle w:val="10"/>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2025年B线溜槽及进料装置采购项目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202506035</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9"/>
      </w:pPr>
    </w:p>
    <w:p/>
    <w:p>
      <w:pPr>
        <w:pStyle w:val="8"/>
      </w:pPr>
    </w:p>
    <w:p>
      <w:pPr>
        <w:pStyle w:val="9"/>
      </w:pPr>
    </w:p>
    <w:p/>
    <w:p>
      <w:pPr>
        <w:pStyle w:val="8"/>
      </w:pPr>
    </w:p>
    <w:p>
      <w:pPr>
        <w:pStyle w:val="9"/>
      </w:pPr>
    </w:p>
    <w:p/>
    <w:p>
      <w:pPr>
        <w:pStyle w:val="15"/>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8"/>
      </w:pPr>
    </w:p>
    <w:p>
      <w:pPr>
        <w:pStyle w:val="9"/>
      </w:pPr>
    </w:p>
    <w:p/>
    <w:p>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9"/>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8"/>
      </w:pPr>
    </w:p>
    <w:p>
      <w:pPr>
        <w:pStyle w:val="9"/>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ind w:left="0" w:leftChars="0" w:firstLine="0" w:firstLineChars="0"/>
      </w:pPr>
    </w:p>
    <w:p>
      <w:pPr>
        <w:pStyle w:val="1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2025年B线溜槽及进料装置采购项目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9"/>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sz w:val="24"/>
          <w:highlight w:val="none"/>
          <w:u w:val="single"/>
          <w:lang w:eastAsia="zh-CN"/>
        </w:rPr>
        <w:t>2025年B线溜槽及进料装置采购项目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202506035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5"/>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5"/>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ascii="宋体" w:hAnsi="宋体" w:eastAsia="宋体" w:cs="宋体"/>
          <w:color w:val="auto"/>
          <w:sz w:val="24"/>
          <w:u w:val="single"/>
        </w:rPr>
        <w:t xml:space="preserve">   </w:t>
      </w:r>
      <w:r>
        <w:rPr>
          <w:rFonts w:hint="eastAsia" w:cs="仿宋" w:asciiTheme="minorEastAsia" w:hAnsiTheme="minorEastAsia"/>
          <w:color w:val="auto"/>
          <w:sz w:val="24"/>
          <w:u w:val="single"/>
          <w:lang w:eastAsia="zh-CN"/>
        </w:rPr>
        <w:t>2025年B线溜槽及进料装置采购项目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202506035</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活动，并作如下承诺：</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1.我公司所供产品均为生产</w:t>
      </w:r>
      <w:r>
        <w:rPr>
          <w:rFonts w:hint="eastAsia" w:ascii="宋体" w:hAnsi="宋体" w:eastAsia="宋体" w:cs="宋体"/>
          <w:color w:val="auto"/>
          <w:sz w:val="24"/>
          <w:lang w:val="en-US" w:eastAsia="zh-CN"/>
        </w:rPr>
        <w:t>合格产品</w:t>
      </w:r>
      <w:r>
        <w:rPr>
          <w:rFonts w:hint="eastAsia" w:ascii="宋体" w:hAnsi="宋体" w:eastAsia="宋体" w:cs="宋体"/>
          <w:color w:val="auto"/>
          <w:sz w:val="24"/>
        </w:rPr>
        <w:t>或正规销售渠道进货。如采购人需要，可以提供生产厂家到我公司的完整供应链销售凭证。</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lang w:eastAsia="zh-CN"/>
        </w:rPr>
        <w:t>202</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年</w:t>
      </w:r>
      <w:r>
        <w:rPr>
          <w:rFonts w:hint="eastAsia" w:ascii="宋体" w:hAnsi="宋体" w:eastAsia="宋体" w:cs="宋体"/>
          <w:color w:val="auto"/>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2025年B线溜槽及进料装置采购项目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2025年B线溜槽及进料装置采购项目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0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4"/>
        <w:gridCol w:w="1440"/>
        <w:gridCol w:w="3765"/>
        <w:gridCol w:w="735"/>
        <w:gridCol w:w="855"/>
        <w:gridCol w:w="1350"/>
        <w:gridCol w:w="1680"/>
        <w:gridCol w:w="3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rPr>
            </w:pPr>
            <w:r>
              <w:rPr>
                <w:rFonts w:hint="eastAsia" w:cs="仿宋" w:asciiTheme="minorEastAsia" w:hAnsiTheme="minorEastAsia"/>
                <w:b/>
                <w:color w:val="auto"/>
                <w:sz w:val="24"/>
                <w:lang w:val="en-US" w:eastAsia="zh-CN"/>
              </w:rPr>
              <w:t>物资名称</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规格型号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数量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单价（元）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总价（元）</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color w:val="auto"/>
                <w:sz w:val="24"/>
                <w:lang w:val="en-US" w:eastAsia="zh-CN"/>
              </w:rPr>
            </w:pPr>
            <w:r>
              <w:rPr>
                <w:rFonts w:hint="eastAsia" w:cs="仿宋" w:asciiTheme="minorEastAsia" w:hAnsiTheme="minorEastAsia"/>
                <w:b/>
                <w:color w:val="auto"/>
                <w:sz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7" w:hRule="atLeast"/>
        </w:trPr>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溜槽及进料装置</w:t>
            </w:r>
          </w:p>
          <w:p>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内径1000*740mm，斜板长度3900mm，水冷内壁厚16mm；外侧有水冷层，水冷外壁厚12mm，上下壁厚12mm，材质为Q345R；油缸行程3.7米，包含液压推料装置与窑面组成件，详见附件图纸。</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含旧溜槽拆除、吊装、新溜槽安装，包含新液压推料装置、螺栓、垫片等相关辅材、工艺管道及窑面连接组成件等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color w:val="auto"/>
                <w:sz w:val="24"/>
              </w:rPr>
              <w:t>响应报价合计（小写）</w:t>
            </w:r>
          </w:p>
        </w:tc>
        <w:tc>
          <w:tcPr>
            <w:tcW w:w="6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7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color w:val="auto"/>
                <w:sz w:val="24"/>
              </w:rPr>
              <w:t>响应报价合计（大写）</w:t>
            </w:r>
          </w:p>
        </w:tc>
        <w:tc>
          <w:tcPr>
            <w:tcW w:w="6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76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b/>
                <w:color w:val="auto"/>
                <w:sz w:val="24"/>
              </w:rPr>
              <w:t>税率</w:t>
            </w:r>
          </w:p>
        </w:tc>
        <w:tc>
          <w:tcPr>
            <w:tcW w:w="6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8"/>
      </w:pPr>
    </w:p>
    <w:p>
      <w:pPr>
        <w:pStyle w:val="9"/>
      </w:pPr>
    </w:p>
    <w:p/>
    <w:p>
      <w:pPr>
        <w:pStyle w:val="8"/>
      </w:pPr>
    </w:p>
    <w:p>
      <w:pPr>
        <w:pStyle w:val="9"/>
      </w:pPr>
    </w:p>
    <w:p/>
    <w:p>
      <w:pPr>
        <w:pStyle w:val="8"/>
      </w:pPr>
    </w:p>
    <w:p>
      <w:pPr>
        <w:pStyle w:val="9"/>
      </w:pPr>
    </w:p>
    <w:p/>
    <w:p>
      <w:pPr>
        <w:sectPr>
          <w:pgSz w:w="16838" w:h="11906" w:orient="landscape"/>
          <w:pgMar w:top="1803" w:right="1440" w:bottom="1803" w:left="1440" w:header="851" w:footer="992" w:gutter="0"/>
          <w:cols w:space="0" w:num="1"/>
          <w:docGrid w:type="lines" w:linePitch="319" w:charSpace="0"/>
        </w:sectPr>
      </w:pPr>
    </w:p>
    <w:p>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2025年B线溜槽及进料装置采购项目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肆仟柒佰伍拾元</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4750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2025年B线溜槽及进料装置采购项目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202506035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肆仟柒佰伍拾元</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4750</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2"/>
        <w:rPr>
          <w:rFonts w:hint="eastAsia" w:hAnsi="宋体" w:cs="宋体"/>
          <w:b/>
          <w:bCs/>
          <w:sz w:val="24"/>
        </w:rPr>
      </w:pPr>
    </w:p>
    <w:p>
      <w:pPr>
        <w:pStyle w:val="12"/>
        <w:rPr>
          <w:rFonts w:hint="eastAsia" w:hAnsi="宋体" w:cs="宋体"/>
          <w:b/>
          <w:bCs/>
          <w:sz w:val="24"/>
        </w:rPr>
      </w:pPr>
    </w:p>
    <w:p>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hint="eastAsia" w:cs="仿宋" w:asciiTheme="minorEastAsia" w:hAnsiTheme="minorEastAsia"/>
          <w:b/>
          <w:spacing w:val="6"/>
          <w:sz w:val="32"/>
          <w:szCs w:val="32"/>
        </w:r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5"/>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仿宋" w:hAnsi="仿宋" w:eastAsia="仿宋" w:cs="仿宋"/>
        <w:i/>
        <w:iCs/>
      </w:rPr>
    </w:pPr>
  </w:p>
  <w:p>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0E5C2F"/>
    <w:rsid w:val="057311F3"/>
    <w:rsid w:val="05953E92"/>
    <w:rsid w:val="05A4392C"/>
    <w:rsid w:val="05B622F4"/>
    <w:rsid w:val="06803F38"/>
    <w:rsid w:val="06897EFF"/>
    <w:rsid w:val="07013F3A"/>
    <w:rsid w:val="07247D85"/>
    <w:rsid w:val="077922F3"/>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3984F2D"/>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ACD6471"/>
    <w:rsid w:val="1B1B25BA"/>
    <w:rsid w:val="1B7913A6"/>
    <w:rsid w:val="1D61352C"/>
    <w:rsid w:val="1D882867"/>
    <w:rsid w:val="1DC64ADE"/>
    <w:rsid w:val="1DCF6B00"/>
    <w:rsid w:val="1DFA0457"/>
    <w:rsid w:val="1E5F5CBE"/>
    <w:rsid w:val="1E612CA7"/>
    <w:rsid w:val="1E8307F5"/>
    <w:rsid w:val="1F457921"/>
    <w:rsid w:val="1FAD5F5A"/>
    <w:rsid w:val="20457135"/>
    <w:rsid w:val="20575BA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5F3C97"/>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8E10421"/>
    <w:rsid w:val="39355C80"/>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01B19"/>
    <w:rsid w:val="4BAC48C9"/>
    <w:rsid w:val="4BB27DC6"/>
    <w:rsid w:val="4BDC66D4"/>
    <w:rsid w:val="4C192E4D"/>
    <w:rsid w:val="4C883C6A"/>
    <w:rsid w:val="4CAE18D6"/>
    <w:rsid w:val="4CD52BD1"/>
    <w:rsid w:val="4CEA2347"/>
    <w:rsid w:val="4D19039B"/>
    <w:rsid w:val="4D243428"/>
    <w:rsid w:val="4D2D7FC0"/>
    <w:rsid w:val="4DF423D9"/>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16452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CEE1068"/>
    <w:rsid w:val="5D1066F9"/>
    <w:rsid w:val="5D9E638A"/>
    <w:rsid w:val="5DF85390"/>
    <w:rsid w:val="5E2778DC"/>
    <w:rsid w:val="5E8E347A"/>
    <w:rsid w:val="5F0279C4"/>
    <w:rsid w:val="5F944466"/>
    <w:rsid w:val="5FBE7D8F"/>
    <w:rsid w:val="60470EFE"/>
    <w:rsid w:val="60844C26"/>
    <w:rsid w:val="60A9029A"/>
    <w:rsid w:val="60DA29A7"/>
    <w:rsid w:val="60FA16F8"/>
    <w:rsid w:val="6139287F"/>
    <w:rsid w:val="616D4934"/>
    <w:rsid w:val="61791FD8"/>
    <w:rsid w:val="61CA0C65"/>
    <w:rsid w:val="624F137F"/>
    <w:rsid w:val="62C642C8"/>
    <w:rsid w:val="631B2246"/>
    <w:rsid w:val="6320666B"/>
    <w:rsid w:val="63CF15A0"/>
    <w:rsid w:val="63DE576D"/>
    <w:rsid w:val="64055963"/>
    <w:rsid w:val="65A92947"/>
    <w:rsid w:val="661A50B7"/>
    <w:rsid w:val="665B123D"/>
    <w:rsid w:val="66976C44"/>
    <w:rsid w:val="66F30BCE"/>
    <w:rsid w:val="673C0170"/>
    <w:rsid w:val="673E5F91"/>
    <w:rsid w:val="677A6041"/>
    <w:rsid w:val="6796410E"/>
    <w:rsid w:val="679823CB"/>
    <w:rsid w:val="67BC07C3"/>
    <w:rsid w:val="67D6317A"/>
    <w:rsid w:val="67D649B5"/>
    <w:rsid w:val="68C401D4"/>
    <w:rsid w:val="68ED6365"/>
    <w:rsid w:val="6A4E3ABD"/>
    <w:rsid w:val="6AE63D7E"/>
    <w:rsid w:val="6B1FB0C7"/>
    <w:rsid w:val="6B462C2B"/>
    <w:rsid w:val="6B8359E9"/>
    <w:rsid w:val="6B8933E2"/>
    <w:rsid w:val="6B8C5108"/>
    <w:rsid w:val="6BD277B9"/>
    <w:rsid w:val="6C321620"/>
    <w:rsid w:val="6C5C4BB7"/>
    <w:rsid w:val="6CE30E35"/>
    <w:rsid w:val="6D042203"/>
    <w:rsid w:val="6DA02882"/>
    <w:rsid w:val="6DA12E69"/>
    <w:rsid w:val="6DBB3B60"/>
    <w:rsid w:val="6E2C6F5B"/>
    <w:rsid w:val="6E961485"/>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A307C87"/>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paragraph" w:customStyle="1" w:styleId="36">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26822</Words>
  <Characters>28140</Characters>
  <Lines>224</Lines>
  <Paragraphs>63</Paragraphs>
  <TotalTime>46</TotalTime>
  <ScaleCrop>false</ScaleCrop>
  <LinksUpToDate>false</LinksUpToDate>
  <CharactersWithSpaces>29536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2025-06-16T08:11:01Z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6F7BD53E567B4328B2F6D0907811CA0A_13</vt:lpwstr>
  </property>
  <property fmtid="{D5CDD505-2E9C-101B-9397-08002B2CF9AE}" pid="4" name="KSOTemplateDocerSaveRecord">
    <vt:lpwstr>eyJoZGlkIjoiNWEyMzZkZjM2MDJhYjY1OWNjZDE1ZDE1YjY1MWQ5MjAiLCJ1c2VySWQiOiIyNTA2MTQ5NTQifQ==</vt:lpwstr>
  </property>
</Properties>
</file>