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2025年-2026年三固运行中心挖机维保服务采购项目（第三次）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202508015</w:t>
      </w:r>
    </w:p>
    <w:p w14:paraId="2358ED6D">
      <w:pPr>
        <w:spacing w:line="360" w:lineRule="auto"/>
        <w:jc w:val="center"/>
        <w:rPr>
          <w:rFonts w:cs="仿宋" w:asciiTheme="minorEastAsia" w:hAnsiTheme="minorEastAsia"/>
          <w:b/>
          <w:bCs/>
          <w:color w:val="auto"/>
          <w:sz w:val="72"/>
          <w:szCs w:val="72"/>
        </w:rPr>
      </w:pPr>
    </w:p>
    <w:p w14:paraId="442F4773">
      <w:pPr>
        <w:pStyle w:val="2"/>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2025年-2026年三固运行中心挖机维保服务采购项目（第三次）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2025年-2026年三固运行中心挖机维保服务采购项目（第三次）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13.9520万元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临江公司三固运行中心因日常运营需要，需委托第三方单位对挖机进行维保服务，具体要求以询价通知书第三部分采购需求为准。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9</w:t>
      </w:r>
      <w:bookmarkStart w:id="459" w:name="_GoBack"/>
      <w:bookmarkEnd w:id="459"/>
      <w:r>
        <w:rPr>
          <w:rFonts w:hint="eastAsia" w:cs="仿宋" w:asciiTheme="minorEastAsia" w:hAnsiTheme="minorEastAsia"/>
          <w:color w:val="auto"/>
          <w:sz w:val="24"/>
          <w:highlight w:val="none"/>
          <w:lang w:val="en-US" w:eastAsia="zh-CN"/>
        </w:rPr>
        <w:t>月2</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3"/>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899C785">
      <w:pPr>
        <w:rPr>
          <w:rFonts w:hint="eastAsia" w:cs="仿宋" w:asciiTheme="minorEastAsia" w:hAnsiTheme="minorEastAsia"/>
          <w:b/>
          <w:color w:val="auto"/>
          <w:sz w:val="32"/>
          <w:szCs w:val="20"/>
        </w:rPr>
      </w:pPr>
    </w:p>
    <w:p w14:paraId="5AD6A4E7">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2"/>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7B8971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对</w:t>
      </w:r>
      <w:r>
        <w:rPr>
          <w:rFonts w:hint="eastAsia" w:ascii="宋体" w:hAnsi="Times New Roman" w:cs="Times New Roman"/>
          <w:snapToGrid/>
          <w:color w:val="auto"/>
          <w:kern w:val="2"/>
          <w:sz w:val="24"/>
          <w:szCs w:val="20"/>
          <w:lang w:val="en-US" w:eastAsia="zh-CN" w:bidi="ar-SA"/>
        </w:rPr>
        <w:t>三固运行中心2辆挖机</w:t>
      </w:r>
      <w:r>
        <w:rPr>
          <w:rFonts w:hint="eastAsia" w:ascii="宋体" w:hAnsi="Times New Roman" w:cs="Times New Roman" w:eastAsiaTheme="minorEastAsia"/>
          <w:snapToGrid/>
          <w:color w:val="auto"/>
          <w:kern w:val="2"/>
          <w:sz w:val="24"/>
          <w:szCs w:val="20"/>
          <w:lang w:val="en-US" w:eastAsia="zh-CN" w:bidi="ar-SA"/>
        </w:rPr>
        <w:t>进行定期维护保养</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检定、故障处理，</w:t>
      </w:r>
      <w:r>
        <w:rPr>
          <w:rFonts w:hint="eastAsia" w:ascii="宋体" w:hAnsi="Times New Roman" w:cs="Times New Roman"/>
          <w:snapToGrid/>
          <w:color w:val="auto"/>
          <w:kern w:val="2"/>
          <w:sz w:val="24"/>
          <w:szCs w:val="20"/>
          <w:lang w:val="en-US" w:eastAsia="zh-CN" w:bidi="ar-SA"/>
        </w:rPr>
        <w:t>配件更换，具体详见维保内容。</w:t>
      </w:r>
      <w:r>
        <w:rPr>
          <w:rFonts w:hint="eastAsia"/>
          <w:color w:val="auto"/>
          <w:lang w:val="en-US" w:eastAsia="zh-CN"/>
        </w:rPr>
        <w:t>维保地点：浙江省杭州市钱塘区临江街道红十五路10388-123号。</w:t>
      </w:r>
    </w:p>
    <w:tbl>
      <w:tblPr>
        <w:tblStyle w:val="15"/>
        <w:tblW w:w="917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070"/>
        <w:gridCol w:w="873"/>
        <w:gridCol w:w="1206"/>
        <w:gridCol w:w="913"/>
        <w:gridCol w:w="715"/>
        <w:gridCol w:w="747"/>
        <w:gridCol w:w="2970"/>
      </w:tblGrid>
      <w:tr w14:paraId="6718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682" w:type="dxa"/>
            <w:tcBorders>
              <w:tl2br w:val="nil"/>
              <w:tr2bl w:val="nil"/>
            </w:tcBorders>
            <w:shd w:val="clear" w:color="auto" w:fill="auto"/>
            <w:vAlign w:val="center"/>
          </w:tcPr>
          <w:p w14:paraId="08D6AD3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序号</w:t>
            </w:r>
          </w:p>
        </w:tc>
        <w:tc>
          <w:tcPr>
            <w:tcW w:w="1070" w:type="dxa"/>
            <w:tcBorders>
              <w:tl2br w:val="nil"/>
              <w:tr2bl w:val="nil"/>
            </w:tcBorders>
            <w:shd w:val="clear" w:color="auto" w:fill="auto"/>
            <w:vAlign w:val="center"/>
          </w:tcPr>
          <w:p w14:paraId="2FC0D0F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设备名称</w:t>
            </w:r>
          </w:p>
        </w:tc>
        <w:tc>
          <w:tcPr>
            <w:tcW w:w="873" w:type="dxa"/>
            <w:tcBorders>
              <w:tl2br w:val="nil"/>
              <w:tr2bl w:val="nil"/>
            </w:tcBorders>
            <w:shd w:val="clear" w:color="auto" w:fill="auto"/>
            <w:vAlign w:val="center"/>
          </w:tcPr>
          <w:p w14:paraId="4E00D3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厂家</w:t>
            </w:r>
          </w:p>
        </w:tc>
        <w:tc>
          <w:tcPr>
            <w:tcW w:w="1206" w:type="dxa"/>
            <w:tcBorders>
              <w:tl2br w:val="nil"/>
              <w:tr2bl w:val="nil"/>
            </w:tcBorders>
            <w:shd w:val="clear" w:color="auto" w:fill="auto"/>
            <w:vAlign w:val="center"/>
          </w:tcPr>
          <w:p w14:paraId="09C63DD8">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开始使用时间</w:t>
            </w:r>
          </w:p>
        </w:tc>
        <w:tc>
          <w:tcPr>
            <w:tcW w:w="913" w:type="dxa"/>
            <w:tcBorders>
              <w:tl2br w:val="nil"/>
              <w:tr2bl w:val="nil"/>
            </w:tcBorders>
            <w:shd w:val="clear" w:color="auto" w:fill="auto"/>
            <w:vAlign w:val="center"/>
          </w:tcPr>
          <w:p w14:paraId="1B3531B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型号</w:t>
            </w:r>
          </w:p>
        </w:tc>
        <w:tc>
          <w:tcPr>
            <w:tcW w:w="715" w:type="dxa"/>
            <w:tcBorders>
              <w:tl2br w:val="nil"/>
              <w:tr2bl w:val="nil"/>
            </w:tcBorders>
            <w:shd w:val="clear" w:color="auto" w:fill="auto"/>
            <w:vAlign w:val="center"/>
          </w:tcPr>
          <w:p w14:paraId="1E6D4BE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单位</w:t>
            </w:r>
          </w:p>
        </w:tc>
        <w:tc>
          <w:tcPr>
            <w:tcW w:w="747" w:type="dxa"/>
            <w:tcBorders>
              <w:tl2br w:val="nil"/>
              <w:tr2bl w:val="nil"/>
            </w:tcBorders>
            <w:shd w:val="clear" w:color="auto" w:fill="auto"/>
            <w:vAlign w:val="center"/>
          </w:tcPr>
          <w:p w14:paraId="3A3860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数量</w:t>
            </w:r>
          </w:p>
        </w:tc>
        <w:tc>
          <w:tcPr>
            <w:tcW w:w="2970" w:type="dxa"/>
            <w:tcBorders>
              <w:tl2br w:val="nil"/>
              <w:tr2bl w:val="nil"/>
            </w:tcBorders>
            <w:shd w:val="clear" w:color="auto" w:fill="auto"/>
            <w:noWrap/>
            <w:vAlign w:val="center"/>
          </w:tcPr>
          <w:p w14:paraId="371C42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维保内容</w:t>
            </w:r>
          </w:p>
        </w:tc>
      </w:tr>
      <w:tr w14:paraId="2F6A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682" w:type="dxa"/>
            <w:vMerge w:val="restart"/>
            <w:tcBorders>
              <w:tl2br w:val="nil"/>
              <w:tr2bl w:val="nil"/>
            </w:tcBorders>
            <w:shd w:val="clear" w:color="auto" w:fill="FFFFFF"/>
            <w:vAlign w:val="center"/>
          </w:tcPr>
          <w:p w14:paraId="1D4157C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1070" w:type="dxa"/>
            <w:vMerge w:val="restart"/>
            <w:tcBorders>
              <w:tl2br w:val="nil"/>
              <w:tr2bl w:val="nil"/>
            </w:tcBorders>
            <w:shd w:val="clear" w:color="auto" w:fill="FFFFFF"/>
            <w:noWrap/>
            <w:vAlign w:val="center"/>
          </w:tcPr>
          <w:p w14:paraId="4D950B7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轮式挖机</w:t>
            </w:r>
          </w:p>
        </w:tc>
        <w:tc>
          <w:tcPr>
            <w:tcW w:w="873" w:type="dxa"/>
            <w:vMerge w:val="restart"/>
            <w:tcBorders>
              <w:tl2br w:val="nil"/>
              <w:tr2bl w:val="nil"/>
            </w:tcBorders>
            <w:shd w:val="clear" w:color="auto" w:fill="FFFFFF"/>
            <w:noWrap/>
            <w:vAlign w:val="center"/>
          </w:tcPr>
          <w:p w14:paraId="7B901F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沃尔沃</w:t>
            </w:r>
          </w:p>
        </w:tc>
        <w:tc>
          <w:tcPr>
            <w:tcW w:w="1206" w:type="dxa"/>
            <w:vMerge w:val="restart"/>
            <w:tcBorders>
              <w:tl2br w:val="nil"/>
              <w:tr2bl w:val="nil"/>
            </w:tcBorders>
            <w:shd w:val="clear" w:color="auto" w:fill="FFFFFF"/>
            <w:vAlign w:val="center"/>
          </w:tcPr>
          <w:p w14:paraId="779D45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2021年6月</w:t>
            </w:r>
          </w:p>
        </w:tc>
        <w:tc>
          <w:tcPr>
            <w:tcW w:w="913" w:type="dxa"/>
            <w:vMerge w:val="restart"/>
            <w:tcBorders>
              <w:tl2br w:val="nil"/>
              <w:tr2bl w:val="nil"/>
            </w:tcBorders>
            <w:shd w:val="clear" w:color="auto" w:fill="FFFFFF"/>
            <w:vAlign w:val="center"/>
          </w:tcPr>
          <w:p w14:paraId="120EDB9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EW145B</w:t>
            </w:r>
          </w:p>
        </w:tc>
        <w:tc>
          <w:tcPr>
            <w:tcW w:w="715" w:type="dxa"/>
            <w:vMerge w:val="restart"/>
            <w:tcBorders>
              <w:tl2br w:val="nil"/>
              <w:tr2bl w:val="nil"/>
            </w:tcBorders>
            <w:shd w:val="clear" w:color="auto" w:fill="FFFFFF"/>
            <w:vAlign w:val="center"/>
          </w:tcPr>
          <w:p w14:paraId="53E641D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noWrap/>
            <w:vAlign w:val="center"/>
          </w:tcPr>
          <w:p w14:paraId="2DE3D1C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noWrap/>
            <w:vAlign w:val="center"/>
          </w:tcPr>
          <w:p w14:paraId="2601212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3次常规保养（4000、4500、5000、小时保养、设备定检，具体详见附件清单）</w:t>
            </w:r>
          </w:p>
        </w:tc>
      </w:tr>
      <w:tr w14:paraId="0AA9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682" w:type="dxa"/>
            <w:vMerge w:val="continue"/>
            <w:tcBorders>
              <w:tl2br w:val="nil"/>
              <w:tr2bl w:val="nil"/>
            </w:tcBorders>
            <w:shd w:val="clear" w:color="auto" w:fill="FFFFFF"/>
            <w:vAlign w:val="center"/>
          </w:tcPr>
          <w:p w14:paraId="6C52B39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55DA0C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538D984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BF2EBCB">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289B645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51DA438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noWrap/>
            <w:vAlign w:val="center"/>
          </w:tcPr>
          <w:p w14:paraId="0D8A391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noWrap/>
            <w:vAlign w:val="center"/>
          </w:tcPr>
          <w:p w14:paraId="014B11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r w14:paraId="0D909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7" w:hRule="atLeast"/>
        </w:trPr>
        <w:tc>
          <w:tcPr>
            <w:tcW w:w="682" w:type="dxa"/>
            <w:vMerge w:val="restart"/>
            <w:tcBorders>
              <w:tl2br w:val="nil"/>
              <w:tr2bl w:val="nil"/>
            </w:tcBorders>
            <w:shd w:val="clear" w:color="auto" w:fill="FFFFFF"/>
            <w:vAlign w:val="center"/>
          </w:tcPr>
          <w:p w14:paraId="51C72F8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w:t>
            </w:r>
          </w:p>
        </w:tc>
        <w:tc>
          <w:tcPr>
            <w:tcW w:w="1070" w:type="dxa"/>
            <w:vMerge w:val="restart"/>
            <w:tcBorders>
              <w:tl2br w:val="nil"/>
              <w:tr2bl w:val="nil"/>
            </w:tcBorders>
            <w:shd w:val="clear" w:color="auto" w:fill="FFFFFF"/>
            <w:noWrap/>
            <w:vAlign w:val="center"/>
          </w:tcPr>
          <w:p w14:paraId="34EEFAE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履带挖机</w:t>
            </w:r>
          </w:p>
        </w:tc>
        <w:tc>
          <w:tcPr>
            <w:tcW w:w="873" w:type="dxa"/>
            <w:vMerge w:val="restart"/>
            <w:tcBorders>
              <w:tl2br w:val="nil"/>
              <w:tr2bl w:val="nil"/>
            </w:tcBorders>
            <w:shd w:val="clear" w:color="auto" w:fill="FFFFFF"/>
            <w:noWrap/>
            <w:vAlign w:val="center"/>
          </w:tcPr>
          <w:p w14:paraId="2F6CEA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三一</w:t>
            </w:r>
          </w:p>
        </w:tc>
        <w:tc>
          <w:tcPr>
            <w:tcW w:w="1206" w:type="dxa"/>
            <w:vMerge w:val="restart"/>
            <w:tcBorders>
              <w:tl2br w:val="nil"/>
              <w:tr2bl w:val="nil"/>
            </w:tcBorders>
            <w:shd w:val="clear" w:color="auto" w:fill="FFFFFF"/>
            <w:vAlign w:val="center"/>
          </w:tcPr>
          <w:p w14:paraId="467272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2021年11月</w:t>
            </w:r>
          </w:p>
        </w:tc>
        <w:tc>
          <w:tcPr>
            <w:tcW w:w="913" w:type="dxa"/>
            <w:vMerge w:val="restart"/>
            <w:tcBorders>
              <w:tl2br w:val="nil"/>
              <w:tr2bl w:val="nil"/>
            </w:tcBorders>
            <w:shd w:val="clear" w:color="auto" w:fill="FFFFFF"/>
            <w:vAlign w:val="center"/>
          </w:tcPr>
          <w:p w14:paraId="3827225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SY125C</w:t>
            </w:r>
          </w:p>
        </w:tc>
        <w:tc>
          <w:tcPr>
            <w:tcW w:w="715" w:type="dxa"/>
            <w:vMerge w:val="restart"/>
            <w:tcBorders>
              <w:tl2br w:val="nil"/>
              <w:tr2bl w:val="nil"/>
            </w:tcBorders>
            <w:shd w:val="clear" w:color="auto" w:fill="FFFFFF"/>
            <w:vAlign w:val="center"/>
          </w:tcPr>
          <w:p w14:paraId="55CA021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vAlign w:val="center"/>
          </w:tcPr>
          <w:p w14:paraId="3F4B237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vAlign w:val="center"/>
          </w:tcPr>
          <w:p w14:paraId="6CC1EBE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3次常规保养（3500、4000</w:t>
            </w:r>
          </w:p>
          <w:p w14:paraId="352DC355">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、4500小时保养、设备定检，具体详见附件清单）</w:t>
            </w:r>
          </w:p>
        </w:tc>
      </w:tr>
      <w:tr w14:paraId="1D25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682" w:type="dxa"/>
            <w:vMerge w:val="continue"/>
            <w:tcBorders>
              <w:tl2br w:val="nil"/>
              <w:tr2bl w:val="nil"/>
            </w:tcBorders>
            <w:shd w:val="clear" w:color="auto" w:fill="FFFFFF"/>
            <w:vAlign w:val="center"/>
          </w:tcPr>
          <w:p w14:paraId="0C29CF6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396A44B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4B7A21E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AEA890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381DD01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7A41D77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vAlign w:val="center"/>
          </w:tcPr>
          <w:p w14:paraId="0CFE2E9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vAlign w:val="center"/>
          </w:tcPr>
          <w:p w14:paraId="7DFDF0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bl>
    <w:p w14:paraId="259F5895">
      <w:pPr>
        <w:pStyle w:val="2"/>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2367953B">
      <w:pPr>
        <w:pStyle w:val="2"/>
        <w:numPr>
          <w:ilvl w:val="0"/>
          <w:numId w:val="0"/>
        </w:numPr>
        <w:ind w:firstLine="482" w:firstLineChars="200"/>
        <w:rPr>
          <w:rFonts w:hint="eastAsia" w:ascii="宋体" w:hAnsi="宋体" w:eastAsia="宋体" w:cs="宋体"/>
          <w:sz w:val="24"/>
          <w:szCs w:val="24"/>
          <w:highlight w:val="none"/>
          <w:lang w:val="en-US" w:eastAsia="zh-CN"/>
        </w:rPr>
      </w:pPr>
      <w:r>
        <w:rPr>
          <w:rFonts w:hint="eastAsia" w:hAnsi="宋体" w:eastAsia="宋体" w:cs="宋体"/>
          <w:b/>
          <w:bCs/>
          <w:sz w:val="24"/>
          <w:highlight w:val="none"/>
          <w:lang w:val="en-US" w:eastAsia="zh-CN"/>
        </w:rPr>
        <w:t>三、维保内容</w:t>
      </w:r>
    </w:p>
    <w:p w14:paraId="0EEE4998">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1.常规保养内容（以下为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5448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2B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F0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7631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7DC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E9D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39D2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C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526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0317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3166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B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2BC8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3397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6985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0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A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6F6B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7B1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6142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0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F59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5AA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9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0966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25B0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7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771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1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3A86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3540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E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234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EFD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7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687F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8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F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C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2BFF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6544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644C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7754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68E0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3D98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7BDA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C2F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8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D16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D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65C6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62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7A97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709F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0478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0B7B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4CB9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56E3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D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F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B2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CF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3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1AB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A8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5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A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D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5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5938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01647064">
      <w:pPr>
        <w:pStyle w:val="2"/>
        <w:ind w:firstLine="480" w:firstLineChars="200"/>
        <w:rPr>
          <w:rFonts w:hint="default"/>
          <w:color w:val="auto"/>
          <w:lang w:val="en-US" w:eastAsia="zh-CN"/>
        </w:rPr>
      </w:pPr>
    </w:p>
    <w:p w14:paraId="42CFE3C4">
      <w:pPr>
        <w:pStyle w:val="3"/>
        <w:rPr>
          <w:rFonts w:hint="default"/>
          <w:color w:val="auto"/>
          <w:lang w:val="en-US" w:eastAsia="zh-CN"/>
        </w:rPr>
      </w:pPr>
      <w:r>
        <w:rPr>
          <w:rFonts w:hint="eastAsia"/>
          <w:color w:val="auto"/>
          <w:lang w:val="en-US" w:eastAsia="zh-CN"/>
        </w:rPr>
        <w:t>2.</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5A11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BC0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2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91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F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4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F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70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8C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B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8F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A8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6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6C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E3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71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AD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0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2C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40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E2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00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F4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E1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C6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4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6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B1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FC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35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19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D9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6B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C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9A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4D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FE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7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64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C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6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97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E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22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B2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6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16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5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62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E9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6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9C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B3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A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6C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A4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9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EB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1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B1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BB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4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12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95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D8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D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80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E0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E8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53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49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F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4C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D2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3F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79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E9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1E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4C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2C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2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C9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296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6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F76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6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195ED72">
      <w:pPr>
        <w:pStyle w:val="2"/>
        <w:numPr>
          <w:ilvl w:val="0"/>
          <w:numId w:val="0"/>
        </w:numPr>
        <w:ind w:firstLine="482" w:firstLineChars="200"/>
        <w:rPr>
          <w:rFonts w:hint="eastAsia"/>
          <w:b/>
          <w:bCs/>
          <w:color w:val="auto"/>
          <w:lang w:val="en-US" w:eastAsia="zh-CN"/>
        </w:rPr>
      </w:pPr>
    </w:p>
    <w:p w14:paraId="147074D0">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5F0E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A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DC1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4E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F0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C49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B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9B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13C9">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4D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7665">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A8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A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6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2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0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27F3">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4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07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E53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F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E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E5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F5E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3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B3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C61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8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0A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6FC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07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8C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1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C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D3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8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5E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00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CC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9E8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69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C46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3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B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E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958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B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40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D7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F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D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2EF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04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6B4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9C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1B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E26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8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2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73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4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E5995D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34FA480F">
      <w:pPr>
        <w:pStyle w:val="2"/>
        <w:ind w:firstLine="480" w:firstLineChars="200"/>
        <w:rPr>
          <w:rFonts w:hint="default"/>
          <w:color w:val="auto"/>
          <w:lang w:val="en-US" w:eastAsia="zh-CN"/>
        </w:rPr>
      </w:pPr>
      <w:r>
        <w:rPr>
          <w:rFonts w:hint="eastAsia"/>
          <w:color w:val="auto"/>
          <w:lang w:val="en-US" w:eastAsia="zh-CN"/>
        </w:rPr>
        <w:t>4.维修配件清单（按需更换、按实结算）</w:t>
      </w:r>
    </w:p>
    <w:tbl>
      <w:tblPr>
        <w:tblStyle w:val="15"/>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3240"/>
        <w:gridCol w:w="1315"/>
        <w:gridCol w:w="1062"/>
        <w:gridCol w:w="35"/>
      </w:tblGrid>
      <w:tr w14:paraId="3DAD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B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E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0E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9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2C24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8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3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2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DF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16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F5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B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C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1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73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9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7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FC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76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1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5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C1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7F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7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BE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2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6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0E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8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9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C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B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3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2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D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AF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1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B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B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D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54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1E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6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4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AD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9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1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0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F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0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F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4B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2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2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D3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D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9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F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0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9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9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D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1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1A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3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F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6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F3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5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A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0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D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7D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D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0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A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73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B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B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AE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2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0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D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FC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E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5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F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94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E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8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4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3F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E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5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D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0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B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D9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E5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8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11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5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9A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0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12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0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6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D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35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C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6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C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05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B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6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3A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6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8D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3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D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6A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6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B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0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14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5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A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3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81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D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0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4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2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B0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E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8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F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2B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0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86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B9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8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6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3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F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6B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2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4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D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A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6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B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20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0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A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9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7F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3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F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D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C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7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03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D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6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B7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4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62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5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51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5A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2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7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8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9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C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F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4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C0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0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0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3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5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6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9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A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74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0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1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DB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D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2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BB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56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C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F8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C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0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7A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3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F8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4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2D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84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A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2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A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4F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4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9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F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E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4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2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9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9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E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E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6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AD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7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F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9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E9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98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D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8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AF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7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8D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6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9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E9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D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E4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A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5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6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F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2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3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2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45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F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A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7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E3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4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4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A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94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F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F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9B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F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6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E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A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D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6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3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4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14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0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8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3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B6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F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9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1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6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E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7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6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6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B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4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52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F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3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02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3B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0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4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2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E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7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B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0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F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4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76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6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D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D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D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B2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8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C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5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4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26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865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45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7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4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B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4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C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E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7777">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0AF6">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5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5A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9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2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E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D2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F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C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E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EF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EA44">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1DA1D">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A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F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8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45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7A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0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4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3E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1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56BA">
            <w:pPr>
              <w:jc w:val="cente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5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5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5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9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7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36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5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8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4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C3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2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3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4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9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7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C2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C2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D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3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0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A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9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65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9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0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C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6F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A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B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B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E5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B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B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F1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8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E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4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C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3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F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3C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1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5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3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1B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D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B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C5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D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C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B7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9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A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E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5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D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9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0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B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81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D3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2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A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2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B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FB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4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7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B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8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1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A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F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31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3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F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59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B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E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82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8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17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6A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3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6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7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D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48AD31A6">
      <w:pPr>
        <w:pStyle w:val="2"/>
        <w:numPr>
          <w:ilvl w:val="0"/>
          <w:numId w:val="0"/>
        </w:numPr>
        <w:ind w:firstLine="482" w:firstLineChars="200"/>
        <w:rPr>
          <w:rFonts w:hint="default"/>
          <w:b/>
          <w:bCs/>
          <w:color w:val="auto"/>
          <w:lang w:val="en-US" w:eastAsia="zh-CN"/>
        </w:rPr>
      </w:pPr>
      <w:r>
        <w:rPr>
          <w:rFonts w:hint="eastAsia"/>
          <w:b/>
          <w:bCs/>
          <w:color w:val="auto"/>
          <w:lang w:val="en-US" w:eastAsia="zh-CN"/>
        </w:rPr>
        <w:t>四、服务技术要求</w:t>
      </w:r>
    </w:p>
    <w:p w14:paraId="60F490CF">
      <w:pPr>
        <w:pStyle w:val="3"/>
        <w:numPr>
          <w:ilvl w:val="0"/>
          <w:numId w:val="0"/>
        </w:numPr>
        <w:ind w:firstLine="480" w:firstLineChars="200"/>
        <w:rPr>
          <w:rFonts w:hint="eastAsia"/>
          <w:color w:val="auto"/>
          <w:lang w:val="en-US" w:eastAsia="zh-CN"/>
        </w:rPr>
      </w:pPr>
      <w:r>
        <w:rPr>
          <w:rFonts w:hint="eastAsia"/>
          <w:color w:val="auto"/>
          <w:lang w:val="en-US" w:eastAsia="zh-CN"/>
        </w:rPr>
        <w:t>1.供应商负责对轮式、履带式挖机各三次常规检查保养、设备定检，保养配件清单详见《挖机常规保养配件清单》；</w:t>
      </w:r>
    </w:p>
    <w:p w14:paraId="254016A1">
      <w:pPr>
        <w:pStyle w:val="3"/>
        <w:numPr>
          <w:ilvl w:val="0"/>
          <w:numId w:val="0"/>
        </w:numPr>
        <w:ind w:firstLine="480" w:firstLineChars="200"/>
        <w:rPr>
          <w:rFonts w:hint="eastAsia"/>
          <w:color w:val="auto"/>
          <w:lang w:val="en-US" w:eastAsia="zh-CN"/>
        </w:rPr>
      </w:pPr>
      <w:r>
        <w:rPr>
          <w:rFonts w:hint="eastAsia"/>
          <w:color w:val="auto"/>
          <w:lang w:val="en-US" w:eastAsia="zh-CN"/>
        </w:rPr>
        <w:t>2.供应商负责挖机的故障处理，维修配件详见《挖机维修配件清单》。更换前跟采购人进行《维修保养记录单》确认，配件的更换在维修保养记录中需体现；</w:t>
      </w:r>
    </w:p>
    <w:p w14:paraId="51FF06F4">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w:t>
      </w:r>
      <w:r>
        <w:rPr>
          <w:rFonts w:hint="eastAsia" w:ascii="宋体" w:hAnsi="宋体" w:eastAsia="宋体" w:cs="宋体"/>
          <w:sz w:val="24"/>
          <w:highlight w:val="none"/>
          <w:lang w:val="en-US" w:eastAsia="zh-CN"/>
        </w:rPr>
        <w:t>供应商应在接到采购方维保通知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到达现场开展维保工作。在现场设备出现问题紧急情况下，供应商要积极响应，需12小时内到达现场处理。</w:t>
      </w:r>
    </w:p>
    <w:p w14:paraId="4681A636">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2C2040D6">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4.1挖机保养维修配件由供应商提供，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color w:val="auto"/>
          <w:sz w:val="24"/>
          <w:szCs w:val="24"/>
          <w:highlight w:val="none"/>
          <w:lang w:val="en-US" w:eastAsia="zh-CN"/>
        </w:rPr>
        <w:t>维修配件</w:t>
      </w:r>
      <w:r>
        <w:rPr>
          <w:rFonts w:hint="eastAsia" w:ascii="宋体" w:hAnsi="宋体" w:eastAsia="宋体" w:cs="宋体"/>
          <w:sz w:val="24"/>
          <w:szCs w:val="24"/>
          <w:highlight w:val="none"/>
          <w:lang w:val="en-US" w:eastAsia="zh-CN"/>
        </w:rPr>
        <w:t>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故障或损坏，供应商应立即提供全新的备件并进行更换，更换过的备件质保期重新计算。</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4.3挖机发生故障或损坏，需更换配件时，供应商应向采购人报送需更换的配件清单，经采购人同意批准后方可更换。配件的安装、维修均由供应商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411DC66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六、安全要求</w:t>
      </w:r>
    </w:p>
    <w:p w14:paraId="15518E80">
      <w:pPr>
        <w:pStyle w:val="3"/>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0E3133F9">
      <w:pPr>
        <w:pStyle w:val="2"/>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672E0A7">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14:paraId="1ADD314A">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2"/>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14:paraId="0151E250">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7A434FEE">
      <w:pPr>
        <w:pStyle w:val="2"/>
        <w:numPr>
          <w:ilvl w:val="0"/>
          <w:numId w:val="0"/>
        </w:numPr>
        <w:ind w:firstLine="482" w:firstLineChars="200"/>
        <w:rPr>
          <w:rFonts w:hint="default"/>
          <w:b/>
          <w:bCs/>
          <w:color w:val="auto"/>
          <w:lang w:val="en-US" w:eastAsia="zh-CN"/>
        </w:rPr>
      </w:pPr>
    </w:p>
    <w:p w14:paraId="1CABA9E1">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64"/>
      <w:bookmarkEnd w:id="19"/>
      <w:bookmarkStart w:id="20" w:name="_Toc184313238"/>
      <w:bookmarkEnd w:id="20"/>
      <w:bookmarkStart w:id="21" w:name="_Toc184308097"/>
      <w:bookmarkEnd w:id="21"/>
      <w:bookmarkStart w:id="22" w:name="_Toc184308104"/>
      <w:bookmarkEnd w:id="22"/>
      <w:bookmarkStart w:id="23" w:name="_Toc184313292"/>
      <w:bookmarkEnd w:id="23"/>
      <w:bookmarkStart w:id="24" w:name="_Toc184308045"/>
      <w:bookmarkEnd w:id="24"/>
      <w:bookmarkStart w:id="25" w:name="_Toc184310296"/>
      <w:bookmarkEnd w:id="25"/>
      <w:bookmarkStart w:id="26" w:name="_Toc184312122"/>
      <w:bookmarkEnd w:id="26"/>
      <w:bookmarkStart w:id="27" w:name="_Toc184312116"/>
      <w:bookmarkEnd w:id="27"/>
      <w:bookmarkStart w:id="28" w:name="_Toc184310320"/>
      <w:bookmarkEnd w:id="28"/>
      <w:bookmarkStart w:id="29" w:name="_Toc184308102"/>
      <w:bookmarkEnd w:id="29"/>
      <w:bookmarkStart w:id="30" w:name="_Toc184310316"/>
      <w:bookmarkEnd w:id="30"/>
      <w:bookmarkStart w:id="31" w:name="_Toc184310282"/>
      <w:bookmarkEnd w:id="31"/>
      <w:bookmarkStart w:id="32" w:name="_Toc184308093"/>
      <w:bookmarkEnd w:id="32"/>
      <w:bookmarkStart w:id="33" w:name="_Toc184308055"/>
      <w:bookmarkEnd w:id="33"/>
      <w:bookmarkStart w:id="34" w:name="_Toc184312130"/>
      <w:bookmarkEnd w:id="34"/>
      <w:bookmarkStart w:id="35" w:name="_Toc184308059"/>
      <w:bookmarkEnd w:id="35"/>
      <w:bookmarkStart w:id="36" w:name="_Toc184314412"/>
      <w:bookmarkEnd w:id="36"/>
      <w:bookmarkStart w:id="37" w:name="_Toc184314468"/>
      <w:bookmarkEnd w:id="37"/>
      <w:bookmarkStart w:id="38" w:name="_Toc184308099"/>
      <w:bookmarkEnd w:id="38"/>
      <w:bookmarkStart w:id="39" w:name="_Toc184308072"/>
      <w:bookmarkEnd w:id="39"/>
      <w:bookmarkStart w:id="40" w:name="_Toc184312075"/>
      <w:bookmarkEnd w:id="40"/>
      <w:bookmarkStart w:id="41" w:name="_Toc184314453"/>
      <w:bookmarkEnd w:id="41"/>
      <w:bookmarkStart w:id="42" w:name="_Toc184310324"/>
      <w:bookmarkEnd w:id="42"/>
      <w:bookmarkStart w:id="43" w:name="_Toc184312127"/>
      <w:bookmarkEnd w:id="43"/>
      <w:bookmarkStart w:id="44" w:name="_Toc184313301"/>
      <w:bookmarkEnd w:id="44"/>
      <w:bookmarkStart w:id="45" w:name="_Toc184313240"/>
      <w:bookmarkEnd w:id="45"/>
      <w:bookmarkStart w:id="46" w:name="_Toc184314429"/>
      <w:bookmarkEnd w:id="46"/>
      <w:bookmarkStart w:id="47" w:name="_Toc184310310"/>
      <w:bookmarkEnd w:id="47"/>
      <w:bookmarkStart w:id="48" w:name="_Toc184313242"/>
      <w:bookmarkEnd w:id="48"/>
      <w:bookmarkStart w:id="49" w:name="_Toc184312139"/>
      <w:bookmarkEnd w:id="49"/>
      <w:bookmarkStart w:id="50" w:name="_Toc184310299"/>
      <w:bookmarkEnd w:id="50"/>
      <w:bookmarkStart w:id="51" w:name="_Toc184312111"/>
      <w:bookmarkEnd w:id="51"/>
      <w:bookmarkStart w:id="52" w:name="_Toc184310279"/>
      <w:bookmarkEnd w:id="52"/>
      <w:bookmarkStart w:id="53" w:name="_Toc184312112"/>
      <w:bookmarkEnd w:id="53"/>
      <w:bookmarkStart w:id="54" w:name="_Toc184310331"/>
      <w:bookmarkEnd w:id="54"/>
      <w:bookmarkStart w:id="55" w:name="_Toc184312137"/>
      <w:bookmarkEnd w:id="55"/>
      <w:bookmarkStart w:id="56" w:name="_Toc184310322"/>
      <w:bookmarkEnd w:id="56"/>
      <w:bookmarkStart w:id="57" w:name="_Toc184308054"/>
      <w:bookmarkEnd w:id="57"/>
      <w:bookmarkStart w:id="58" w:name="_Toc184312089"/>
      <w:bookmarkEnd w:id="58"/>
      <w:bookmarkStart w:id="59" w:name="_Toc184312100"/>
      <w:bookmarkEnd w:id="59"/>
      <w:bookmarkStart w:id="60" w:name="_Toc184312077"/>
      <w:bookmarkEnd w:id="60"/>
      <w:bookmarkStart w:id="61" w:name="_Toc184314427"/>
      <w:bookmarkEnd w:id="61"/>
      <w:bookmarkStart w:id="62" w:name="_Toc184313291"/>
      <w:bookmarkEnd w:id="62"/>
      <w:bookmarkStart w:id="63" w:name="_Toc184314432"/>
      <w:bookmarkEnd w:id="63"/>
      <w:bookmarkStart w:id="64" w:name="_Toc184308091"/>
      <w:bookmarkEnd w:id="64"/>
      <w:bookmarkStart w:id="65" w:name="_Toc184314447"/>
      <w:bookmarkEnd w:id="65"/>
      <w:bookmarkStart w:id="66" w:name="_Toc184308103"/>
      <w:bookmarkEnd w:id="66"/>
      <w:bookmarkStart w:id="67" w:name="_Toc184314458"/>
      <w:bookmarkEnd w:id="67"/>
      <w:bookmarkStart w:id="68" w:name="_Toc184308049"/>
      <w:bookmarkEnd w:id="68"/>
      <w:bookmarkStart w:id="69" w:name="_Toc184312129"/>
      <w:bookmarkEnd w:id="69"/>
      <w:bookmarkStart w:id="70" w:name="_Toc184312072"/>
      <w:bookmarkEnd w:id="70"/>
      <w:bookmarkStart w:id="71" w:name="_Toc184313239"/>
      <w:bookmarkEnd w:id="71"/>
      <w:bookmarkStart w:id="72" w:name="_Toc184313275"/>
      <w:bookmarkEnd w:id="72"/>
      <w:bookmarkStart w:id="73" w:name="_Toc184314446"/>
      <w:bookmarkEnd w:id="73"/>
      <w:bookmarkStart w:id="74" w:name="_Toc184313279"/>
      <w:bookmarkEnd w:id="74"/>
      <w:bookmarkStart w:id="75" w:name="_Toc184310294"/>
      <w:bookmarkEnd w:id="75"/>
      <w:bookmarkStart w:id="76" w:name="_Toc184308105"/>
      <w:bookmarkEnd w:id="76"/>
      <w:bookmarkStart w:id="77" w:name="_Toc184313272"/>
      <w:bookmarkEnd w:id="77"/>
      <w:bookmarkStart w:id="78" w:name="_Toc184308086"/>
      <w:bookmarkEnd w:id="78"/>
      <w:bookmarkStart w:id="79" w:name="_Toc184314461"/>
      <w:bookmarkEnd w:id="79"/>
      <w:bookmarkStart w:id="80" w:name="_Toc184314439"/>
      <w:bookmarkEnd w:id="80"/>
      <w:bookmarkStart w:id="81" w:name="_Toc184310311"/>
      <w:bookmarkEnd w:id="81"/>
      <w:bookmarkStart w:id="82" w:name="_Toc184313253"/>
      <w:bookmarkEnd w:id="82"/>
      <w:bookmarkStart w:id="83" w:name="_Toc184310341"/>
      <w:bookmarkEnd w:id="83"/>
      <w:bookmarkStart w:id="84" w:name="_Toc184314422"/>
      <w:bookmarkEnd w:id="84"/>
      <w:bookmarkStart w:id="85" w:name="_Toc184310277"/>
      <w:bookmarkEnd w:id="85"/>
      <w:bookmarkStart w:id="86" w:name="_Toc184308057"/>
      <w:bookmarkEnd w:id="86"/>
      <w:bookmarkStart w:id="87" w:name="_Toc184310281"/>
      <w:bookmarkEnd w:id="87"/>
      <w:bookmarkStart w:id="88" w:name="_Toc184308060"/>
      <w:bookmarkEnd w:id="88"/>
      <w:bookmarkStart w:id="89" w:name="_Toc184308075"/>
      <w:bookmarkEnd w:id="89"/>
      <w:bookmarkStart w:id="90" w:name="_Toc184308041"/>
      <w:bookmarkEnd w:id="90"/>
      <w:bookmarkStart w:id="91" w:name="_Toc184308062"/>
      <w:bookmarkEnd w:id="91"/>
      <w:bookmarkStart w:id="92" w:name="_Toc184313283"/>
      <w:bookmarkEnd w:id="92"/>
      <w:bookmarkStart w:id="93" w:name="_Toc184314437"/>
      <w:bookmarkEnd w:id="93"/>
      <w:bookmarkStart w:id="94" w:name="_Toc184313257"/>
      <w:bookmarkEnd w:id="94"/>
      <w:bookmarkStart w:id="95" w:name="_Toc184312086"/>
      <w:bookmarkEnd w:id="95"/>
      <w:bookmarkStart w:id="96" w:name="_Toc184310318"/>
      <w:bookmarkEnd w:id="96"/>
      <w:bookmarkStart w:id="97" w:name="_Toc184314474"/>
      <w:bookmarkEnd w:id="97"/>
      <w:bookmarkStart w:id="98" w:name="_Toc184308053"/>
      <w:bookmarkEnd w:id="98"/>
      <w:bookmarkStart w:id="99" w:name="_Toc184312103"/>
      <w:bookmarkEnd w:id="99"/>
      <w:bookmarkStart w:id="100" w:name="_Toc184314416"/>
      <w:bookmarkEnd w:id="100"/>
      <w:bookmarkStart w:id="101" w:name="_Toc184312123"/>
      <w:bookmarkEnd w:id="101"/>
      <w:bookmarkStart w:id="102" w:name="_Toc184310283"/>
      <w:bookmarkEnd w:id="102"/>
      <w:bookmarkStart w:id="103" w:name="_Toc184313255"/>
      <w:bookmarkEnd w:id="103"/>
      <w:bookmarkStart w:id="104" w:name="_Toc184310273"/>
      <w:bookmarkEnd w:id="104"/>
      <w:bookmarkStart w:id="105" w:name="_Toc184312084"/>
      <w:bookmarkEnd w:id="105"/>
      <w:bookmarkStart w:id="106" w:name="_Toc184313262"/>
      <w:bookmarkEnd w:id="106"/>
      <w:bookmarkStart w:id="107" w:name="_Toc184314478"/>
      <w:bookmarkEnd w:id="107"/>
      <w:bookmarkStart w:id="108" w:name="_Toc184312074"/>
      <w:bookmarkEnd w:id="108"/>
      <w:bookmarkStart w:id="109" w:name="_Toc184308092"/>
      <w:bookmarkEnd w:id="109"/>
      <w:bookmarkStart w:id="110" w:name="_Toc184312121"/>
      <w:bookmarkEnd w:id="110"/>
      <w:bookmarkStart w:id="111" w:name="_Toc184310323"/>
      <w:bookmarkEnd w:id="111"/>
      <w:bookmarkStart w:id="112" w:name="_Toc184314473"/>
      <w:bookmarkEnd w:id="112"/>
      <w:bookmarkStart w:id="113" w:name="_Toc184310315"/>
      <w:bookmarkEnd w:id="113"/>
      <w:bookmarkStart w:id="114" w:name="_Toc184310344"/>
      <w:bookmarkEnd w:id="114"/>
      <w:bookmarkStart w:id="115" w:name="_Toc184313243"/>
      <w:bookmarkEnd w:id="115"/>
      <w:bookmarkStart w:id="116" w:name="_Toc184312118"/>
      <w:bookmarkEnd w:id="116"/>
      <w:bookmarkStart w:id="117" w:name="_Toc184308047"/>
      <w:bookmarkEnd w:id="117"/>
      <w:bookmarkStart w:id="118" w:name="_Toc184314414"/>
      <w:bookmarkEnd w:id="118"/>
      <w:bookmarkStart w:id="119" w:name="_Toc184308076"/>
      <w:bookmarkEnd w:id="119"/>
      <w:bookmarkStart w:id="120" w:name="_Toc184313306"/>
      <w:bookmarkEnd w:id="120"/>
      <w:bookmarkStart w:id="121" w:name="_Toc184313271"/>
      <w:bookmarkEnd w:id="121"/>
      <w:bookmarkStart w:id="122" w:name="_Toc184312135"/>
      <w:bookmarkEnd w:id="122"/>
      <w:bookmarkStart w:id="123" w:name="_Toc184314419"/>
      <w:bookmarkEnd w:id="123"/>
      <w:bookmarkStart w:id="124" w:name="_Toc184313270"/>
      <w:bookmarkEnd w:id="124"/>
      <w:bookmarkStart w:id="125" w:name="_Toc184312134"/>
      <w:bookmarkEnd w:id="125"/>
      <w:bookmarkStart w:id="126" w:name="_Toc184308095"/>
      <w:bookmarkEnd w:id="126"/>
      <w:bookmarkStart w:id="127" w:name="_Toc184308050"/>
      <w:bookmarkEnd w:id="127"/>
      <w:bookmarkStart w:id="128" w:name="_Toc184312094"/>
      <w:bookmarkEnd w:id="128"/>
      <w:bookmarkStart w:id="129" w:name="_Toc184314452"/>
      <w:bookmarkEnd w:id="129"/>
      <w:bookmarkStart w:id="130" w:name="_Toc184310339"/>
      <w:bookmarkEnd w:id="130"/>
      <w:bookmarkStart w:id="131" w:name="_Toc184313244"/>
      <w:bookmarkEnd w:id="131"/>
      <w:bookmarkStart w:id="132" w:name="_Toc184308079"/>
      <w:bookmarkEnd w:id="132"/>
      <w:bookmarkStart w:id="133" w:name="_Toc184312117"/>
      <w:bookmarkEnd w:id="133"/>
      <w:bookmarkStart w:id="134" w:name="_Toc184310275"/>
      <w:bookmarkEnd w:id="134"/>
      <w:bookmarkStart w:id="135" w:name="_Toc184308073"/>
      <w:bookmarkEnd w:id="135"/>
      <w:bookmarkStart w:id="136" w:name="_Toc184310284"/>
      <w:bookmarkEnd w:id="136"/>
      <w:bookmarkStart w:id="137" w:name="_Toc184308039"/>
      <w:bookmarkEnd w:id="137"/>
      <w:bookmarkStart w:id="138" w:name="_Toc184310313"/>
      <w:bookmarkEnd w:id="138"/>
      <w:bookmarkStart w:id="139" w:name="_Toc184310342"/>
      <w:bookmarkEnd w:id="139"/>
      <w:bookmarkStart w:id="140" w:name="_Toc184313293"/>
      <w:bookmarkEnd w:id="140"/>
      <w:bookmarkStart w:id="141" w:name="_Toc184308098"/>
      <w:bookmarkEnd w:id="141"/>
      <w:bookmarkStart w:id="142" w:name="_Toc184308068"/>
      <w:bookmarkEnd w:id="142"/>
      <w:bookmarkStart w:id="143" w:name="_Toc184308096"/>
      <w:bookmarkEnd w:id="143"/>
      <w:bookmarkStart w:id="144" w:name="_Toc184310338"/>
      <w:bookmarkEnd w:id="144"/>
      <w:bookmarkStart w:id="145" w:name="_Toc184313308"/>
      <w:bookmarkEnd w:id="145"/>
      <w:bookmarkStart w:id="146" w:name="_Toc184308044"/>
      <w:bookmarkEnd w:id="146"/>
      <w:bookmarkStart w:id="147" w:name="_Toc184314462"/>
      <w:bookmarkEnd w:id="147"/>
      <w:bookmarkStart w:id="148" w:name="_Toc184313249"/>
      <w:bookmarkEnd w:id="148"/>
      <w:bookmarkStart w:id="149" w:name="_Toc184313296"/>
      <w:bookmarkEnd w:id="149"/>
      <w:bookmarkStart w:id="150" w:name="_Toc184310300"/>
      <w:bookmarkEnd w:id="150"/>
      <w:bookmarkStart w:id="151" w:name="_Toc184308063"/>
      <w:bookmarkEnd w:id="151"/>
      <w:bookmarkStart w:id="152" w:name="_Toc184310298"/>
      <w:bookmarkEnd w:id="152"/>
      <w:bookmarkStart w:id="153" w:name="_Toc184314471"/>
      <w:bookmarkEnd w:id="153"/>
      <w:bookmarkStart w:id="154" w:name="_Toc184312076"/>
      <w:bookmarkEnd w:id="154"/>
      <w:bookmarkStart w:id="155" w:name="_Toc184308088"/>
      <w:bookmarkEnd w:id="155"/>
      <w:bookmarkStart w:id="156" w:name="_Toc184312085"/>
      <w:bookmarkEnd w:id="156"/>
      <w:bookmarkStart w:id="157" w:name="_Toc184313252"/>
      <w:bookmarkEnd w:id="157"/>
      <w:bookmarkStart w:id="158" w:name="_Toc184312120"/>
      <w:bookmarkEnd w:id="158"/>
      <w:bookmarkStart w:id="159" w:name="_Toc184313282"/>
      <w:bookmarkEnd w:id="159"/>
      <w:bookmarkStart w:id="160" w:name="_Toc184312092"/>
      <w:bookmarkEnd w:id="160"/>
      <w:bookmarkStart w:id="161" w:name="_Toc184314411"/>
      <w:bookmarkEnd w:id="161"/>
      <w:bookmarkStart w:id="162" w:name="_Toc184310292"/>
      <w:bookmarkEnd w:id="162"/>
      <w:bookmarkStart w:id="163" w:name="_Toc184313246"/>
      <w:bookmarkEnd w:id="163"/>
      <w:bookmarkStart w:id="164" w:name="_Toc184310337"/>
      <w:bookmarkEnd w:id="164"/>
      <w:bookmarkStart w:id="165" w:name="_Toc184308089"/>
      <w:bookmarkEnd w:id="165"/>
      <w:bookmarkStart w:id="166" w:name="_Toc184313248"/>
      <w:bookmarkEnd w:id="166"/>
      <w:bookmarkStart w:id="167" w:name="_Toc184310312"/>
      <w:bookmarkEnd w:id="167"/>
      <w:bookmarkStart w:id="168" w:name="_Toc184308108"/>
      <w:bookmarkEnd w:id="168"/>
      <w:bookmarkStart w:id="169" w:name="_Toc184308083"/>
      <w:bookmarkEnd w:id="169"/>
      <w:bookmarkStart w:id="170" w:name="_Toc184313273"/>
      <w:bookmarkEnd w:id="170"/>
      <w:bookmarkStart w:id="171" w:name="_Toc184314442"/>
      <w:bookmarkEnd w:id="171"/>
      <w:bookmarkStart w:id="172" w:name="_Toc184312106"/>
      <w:bookmarkEnd w:id="172"/>
      <w:bookmarkStart w:id="173" w:name="_Toc184314424"/>
      <w:bookmarkEnd w:id="173"/>
      <w:bookmarkStart w:id="174" w:name="_Toc184314441"/>
      <w:bookmarkEnd w:id="174"/>
      <w:bookmarkStart w:id="175" w:name="_Toc184310288"/>
      <w:bookmarkEnd w:id="175"/>
      <w:bookmarkStart w:id="176" w:name="_Toc184310332"/>
      <w:bookmarkEnd w:id="176"/>
      <w:bookmarkStart w:id="177" w:name="_Toc184314434"/>
      <w:bookmarkEnd w:id="177"/>
      <w:bookmarkStart w:id="178" w:name="_Toc184313307"/>
      <w:bookmarkEnd w:id="178"/>
      <w:bookmarkStart w:id="179" w:name="_Toc184314443"/>
      <w:bookmarkEnd w:id="179"/>
      <w:bookmarkStart w:id="180" w:name="_Toc184312124"/>
      <w:bookmarkEnd w:id="180"/>
      <w:bookmarkStart w:id="181" w:name="_Toc184312109"/>
      <w:bookmarkEnd w:id="181"/>
      <w:bookmarkStart w:id="182" w:name="_Toc184313268"/>
      <w:bookmarkEnd w:id="182"/>
      <w:bookmarkStart w:id="183" w:name="_Toc184310290"/>
      <w:bookmarkEnd w:id="183"/>
      <w:bookmarkStart w:id="184" w:name="_Toc184308038"/>
      <w:bookmarkEnd w:id="184"/>
      <w:bookmarkStart w:id="185" w:name="_Toc184314435"/>
      <w:bookmarkEnd w:id="185"/>
      <w:bookmarkStart w:id="186" w:name="_Toc184314448"/>
      <w:bookmarkEnd w:id="186"/>
      <w:bookmarkStart w:id="187" w:name="_Toc184313297"/>
      <w:bookmarkEnd w:id="187"/>
      <w:bookmarkStart w:id="188" w:name="_Toc184314415"/>
      <w:bookmarkEnd w:id="188"/>
      <w:bookmarkStart w:id="189" w:name="_Toc184310286"/>
      <w:bookmarkEnd w:id="189"/>
      <w:bookmarkStart w:id="190" w:name="_Toc184312069"/>
      <w:bookmarkEnd w:id="190"/>
      <w:bookmarkStart w:id="191" w:name="_Toc184314481"/>
      <w:bookmarkEnd w:id="191"/>
      <w:bookmarkStart w:id="192" w:name="_Toc184313256"/>
      <w:bookmarkEnd w:id="192"/>
      <w:bookmarkStart w:id="193" w:name="_Toc184313274"/>
      <w:bookmarkEnd w:id="193"/>
      <w:bookmarkStart w:id="194" w:name="_Toc184310278"/>
      <w:bookmarkEnd w:id="194"/>
      <w:bookmarkStart w:id="195" w:name="_Toc184313269"/>
      <w:bookmarkEnd w:id="195"/>
      <w:bookmarkStart w:id="196" w:name="_Toc184313281"/>
      <w:bookmarkEnd w:id="196"/>
      <w:bookmarkStart w:id="197" w:name="_Toc184308064"/>
      <w:bookmarkEnd w:id="197"/>
      <w:bookmarkStart w:id="198" w:name="_Toc184313250"/>
      <w:bookmarkEnd w:id="198"/>
      <w:bookmarkStart w:id="199" w:name="_Toc184313295"/>
      <w:bookmarkEnd w:id="199"/>
      <w:bookmarkStart w:id="200" w:name="_Toc184314433"/>
      <w:bookmarkEnd w:id="200"/>
      <w:bookmarkStart w:id="201" w:name="_Toc184308101"/>
      <w:bookmarkEnd w:id="201"/>
      <w:bookmarkStart w:id="202" w:name="_Toc184308040"/>
      <w:bookmarkEnd w:id="202"/>
      <w:bookmarkStart w:id="203" w:name="_Toc184310333"/>
      <w:bookmarkEnd w:id="203"/>
      <w:bookmarkStart w:id="204" w:name="_Toc184312096"/>
      <w:bookmarkEnd w:id="204"/>
      <w:bookmarkStart w:id="205" w:name="_Toc184312071"/>
      <w:bookmarkEnd w:id="205"/>
      <w:bookmarkStart w:id="206" w:name="_Toc184308094"/>
      <w:bookmarkEnd w:id="206"/>
      <w:bookmarkStart w:id="207" w:name="_Toc184314425"/>
      <w:bookmarkEnd w:id="207"/>
      <w:bookmarkStart w:id="208" w:name="_Toc184308058"/>
      <w:bookmarkEnd w:id="208"/>
      <w:bookmarkStart w:id="209" w:name="_Toc184313302"/>
      <w:bookmarkEnd w:id="209"/>
      <w:bookmarkStart w:id="210" w:name="_Toc184312078"/>
      <w:bookmarkEnd w:id="210"/>
      <w:bookmarkStart w:id="211" w:name="_Toc184310317"/>
      <w:bookmarkEnd w:id="211"/>
      <w:bookmarkStart w:id="212" w:name="_Toc184314438"/>
      <w:bookmarkEnd w:id="212"/>
      <w:bookmarkStart w:id="213" w:name="_Toc184314479"/>
      <w:bookmarkEnd w:id="213"/>
      <w:bookmarkStart w:id="214" w:name="_Toc184310314"/>
      <w:bookmarkEnd w:id="214"/>
      <w:bookmarkStart w:id="215" w:name="_Toc184314454"/>
      <w:bookmarkEnd w:id="215"/>
      <w:bookmarkStart w:id="216" w:name="_Toc184308037"/>
      <w:bookmarkEnd w:id="216"/>
      <w:bookmarkStart w:id="217" w:name="_Toc184313259"/>
      <w:bookmarkEnd w:id="217"/>
      <w:bookmarkStart w:id="218" w:name="_Toc184308085"/>
      <w:bookmarkEnd w:id="218"/>
      <w:bookmarkStart w:id="219" w:name="_Toc184312097"/>
      <w:bookmarkEnd w:id="219"/>
      <w:bookmarkStart w:id="220" w:name="_Toc184314417"/>
      <w:bookmarkEnd w:id="220"/>
      <w:bookmarkStart w:id="221" w:name="_Toc184312114"/>
      <w:bookmarkEnd w:id="221"/>
      <w:bookmarkStart w:id="222" w:name="_Toc184310302"/>
      <w:bookmarkEnd w:id="222"/>
      <w:bookmarkStart w:id="223" w:name="_Toc184312099"/>
      <w:bookmarkEnd w:id="223"/>
      <w:bookmarkStart w:id="224" w:name="_Toc184313280"/>
      <w:bookmarkEnd w:id="224"/>
      <w:bookmarkStart w:id="225" w:name="_Toc184308048"/>
      <w:bookmarkEnd w:id="225"/>
      <w:bookmarkStart w:id="226" w:name="_Toc184310303"/>
      <w:bookmarkEnd w:id="226"/>
      <w:bookmarkStart w:id="227" w:name="_Toc184314480"/>
      <w:bookmarkEnd w:id="227"/>
      <w:bookmarkStart w:id="228" w:name="_Toc184314467"/>
      <w:bookmarkEnd w:id="228"/>
      <w:bookmarkStart w:id="229" w:name="_Toc184312101"/>
      <w:bookmarkEnd w:id="229"/>
      <w:bookmarkStart w:id="230" w:name="_Toc184314463"/>
      <w:bookmarkEnd w:id="230"/>
      <w:bookmarkStart w:id="231" w:name="_Toc184313241"/>
      <w:bookmarkEnd w:id="231"/>
      <w:bookmarkStart w:id="232" w:name="_Toc184312080"/>
      <w:bookmarkEnd w:id="232"/>
      <w:bookmarkStart w:id="233" w:name="_Toc184313276"/>
      <w:bookmarkEnd w:id="233"/>
      <w:bookmarkStart w:id="234" w:name="_Toc184308074"/>
      <w:bookmarkEnd w:id="234"/>
      <w:bookmarkStart w:id="235" w:name="_Toc184310336"/>
      <w:bookmarkEnd w:id="235"/>
      <w:bookmarkStart w:id="236" w:name="_Toc184313245"/>
      <w:bookmarkEnd w:id="236"/>
      <w:bookmarkStart w:id="237" w:name="_Toc184313290"/>
      <w:bookmarkEnd w:id="237"/>
      <w:bookmarkStart w:id="238" w:name="_Toc184312138"/>
      <w:bookmarkEnd w:id="238"/>
      <w:bookmarkStart w:id="239" w:name="_Toc184313285"/>
      <w:bookmarkEnd w:id="239"/>
      <w:bookmarkStart w:id="240" w:name="_Toc184314477"/>
      <w:bookmarkEnd w:id="240"/>
      <w:bookmarkStart w:id="241" w:name="_Toc184310321"/>
      <w:bookmarkEnd w:id="241"/>
      <w:bookmarkStart w:id="242" w:name="_Toc184314456"/>
      <w:bookmarkEnd w:id="242"/>
      <w:bookmarkStart w:id="243" w:name="_Toc184310289"/>
      <w:bookmarkEnd w:id="243"/>
      <w:bookmarkStart w:id="244" w:name="_Toc184312131"/>
      <w:bookmarkEnd w:id="244"/>
      <w:bookmarkStart w:id="245" w:name="_Toc184312093"/>
      <w:bookmarkEnd w:id="245"/>
      <w:bookmarkStart w:id="246" w:name="_Toc184310326"/>
      <w:bookmarkEnd w:id="246"/>
      <w:bookmarkStart w:id="247" w:name="_Toc184308071"/>
      <w:bookmarkEnd w:id="247"/>
      <w:bookmarkStart w:id="248" w:name="_Toc184314465"/>
      <w:bookmarkEnd w:id="248"/>
      <w:bookmarkStart w:id="249" w:name="_Toc184308061"/>
      <w:bookmarkEnd w:id="249"/>
      <w:bookmarkStart w:id="250" w:name="_Toc184314440"/>
      <w:bookmarkEnd w:id="250"/>
      <w:bookmarkStart w:id="251" w:name="_Toc184314449"/>
      <w:bookmarkEnd w:id="251"/>
      <w:bookmarkStart w:id="252" w:name="_Toc184314470"/>
      <w:bookmarkEnd w:id="252"/>
      <w:bookmarkStart w:id="253" w:name="_Toc184313247"/>
      <w:bookmarkEnd w:id="253"/>
      <w:bookmarkStart w:id="254" w:name="_Toc184310285"/>
      <w:bookmarkEnd w:id="254"/>
      <w:bookmarkStart w:id="255" w:name="_Toc184314469"/>
      <w:bookmarkEnd w:id="255"/>
      <w:bookmarkStart w:id="256" w:name="_Toc184312132"/>
      <w:bookmarkEnd w:id="256"/>
      <w:bookmarkStart w:id="257" w:name="_Toc184314475"/>
      <w:bookmarkEnd w:id="257"/>
      <w:bookmarkStart w:id="258" w:name="_Toc184313261"/>
      <w:bookmarkEnd w:id="258"/>
      <w:bookmarkStart w:id="259" w:name="_Toc184312115"/>
      <w:bookmarkEnd w:id="259"/>
      <w:bookmarkStart w:id="260" w:name="_Toc184314430"/>
      <w:bookmarkEnd w:id="260"/>
      <w:bookmarkStart w:id="261" w:name="_Toc184313287"/>
      <w:bookmarkEnd w:id="261"/>
      <w:bookmarkStart w:id="262" w:name="_Toc184310301"/>
      <w:bookmarkEnd w:id="262"/>
      <w:bookmarkStart w:id="263" w:name="_Toc184310308"/>
      <w:bookmarkEnd w:id="263"/>
      <w:bookmarkStart w:id="264" w:name="_Toc184310335"/>
      <w:bookmarkEnd w:id="264"/>
      <w:bookmarkStart w:id="265" w:name="_Toc184308090"/>
      <w:bookmarkEnd w:id="265"/>
      <w:bookmarkStart w:id="266" w:name="_Toc184308051"/>
      <w:bookmarkEnd w:id="266"/>
      <w:bookmarkStart w:id="267" w:name="_Toc184310293"/>
      <w:bookmarkEnd w:id="267"/>
      <w:bookmarkStart w:id="268" w:name="_Toc184310343"/>
      <w:bookmarkEnd w:id="268"/>
      <w:bookmarkStart w:id="269" w:name="_Toc184313263"/>
      <w:bookmarkEnd w:id="269"/>
      <w:bookmarkStart w:id="270" w:name="_Toc184313288"/>
      <w:bookmarkEnd w:id="270"/>
      <w:bookmarkStart w:id="271" w:name="_Toc184314482"/>
      <w:bookmarkEnd w:id="271"/>
      <w:bookmarkStart w:id="272" w:name="_Toc184313299"/>
      <w:bookmarkEnd w:id="272"/>
      <w:bookmarkStart w:id="273" w:name="_Toc184313265"/>
      <w:bookmarkEnd w:id="273"/>
      <w:bookmarkStart w:id="274" w:name="_Toc184313254"/>
      <w:bookmarkEnd w:id="274"/>
      <w:bookmarkStart w:id="275" w:name="_Toc184312128"/>
      <w:bookmarkEnd w:id="275"/>
      <w:bookmarkStart w:id="276" w:name="_Toc184312081"/>
      <w:bookmarkEnd w:id="276"/>
      <w:bookmarkStart w:id="277" w:name="_Toc184312083"/>
      <w:bookmarkEnd w:id="277"/>
      <w:bookmarkStart w:id="278" w:name="_Toc184308065"/>
      <w:bookmarkEnd w:id="278"/>
      <w:bookmarkStart w:id="279" w:name="_Toc184314423"/>
      <w:bookmarkEnd w:id="279"/>
      <w:bookmarkStart w:id="280" w:name="_Toc184308078"/>
      <w:bookmarkEnd w:id="280"/>
      <w:bookmarkStart w:id="281" w:name="_Toc184314455"/>
      <w:bookmarkEnd w:id="281"/>
      <w:bookmarkStart w:id="282" w:name="_Toc184312110"/>
      <w:bookmarkEnd w:id="282"/>
      <w:bookmarkStart w:id="283" w:name="_Toc184313277"/>
      <w:bookmarkEnd w:id="283"/>
      <w:bookmarkStart w:id="284" w:name="_Toc184314431"/>
      <w:bookmarkEnd w:id="284"/>
      <w:bookmarkStart w:id="285" w:name="_Toc184314420"/>
      <w:bookmarkEnd w:id="285"/>
      <w:bookmarkStart w:id="286" w:name="_Toc184310340"/>
      <w:bookmarkEnd w:id="286"/>
      <w:bookmarkStart w:id="287" w:name="_Toc184314444"/>
      <w:bookmarkEnd w:id="287"/>
      <w:bookmarkStart w:id="288" w:name="_Toc184313258"/>
      <w:bookmarkEnd w:id="288"/>
      <w:bookmarkStart w:id="289" w:name="_Toc184312079"/>
      <w:bookmarkEnd w:id="289"/>
      <w:bookmarkStart w:id="290" w:name="_Toc184312095"/>
      <w:bookmarkEnd w:id="290"/>
      <w:bookmarkStart w:id="291" w:name="_Toc184308070"/>
      <w:bookmarkEnd w:id="291"/>
      <w:bookmarkStart w:id="292" w:name="_Toc184313278"/>
      <w:bookmarkEnd w:id="292"/>
      <w:bookmarkStart w:id="293" w:name="_Toc184312087"/>
      <w:bookmarkEnd w:id="293"/>
      <w:bookmarkStart w:id="294" w:name="_Toc184312082"/>
      <w:bookmarkEnd w:id="294"/>
      <w:bookmarkStart w:id="295" w:name="_Toc184312107"/>
      <w:bookmarkEnd w:id="295"/>
      <w:bookmarkStart w:id="296" w:name="_Toc184312104"/>
      <w:bookmarkEnd w:id="296"/>
      <w:bookmarkStart w:id="297" w:name="_Toc184314457"/>
      <w:bookmarkEnd w:id="297"/>
      <w:bookmarkStart w:id="298" w:name="_Toc184313286"/>
      <w:bookmarkEnd w:id="298"/>
      <w:bookmarkStart w:id="299" w:name="_Toc184308052"/>
      <w:bookmarkEnd w:id="299"/>
      <w:bookmarkStart w:id="300" w:name="_Toc184308081"/>
      <w:bookmarkEnd w:id="300"/>
      <w:bookmarkStart w:id="301" w:name="_Toc184308067"/>
      <w:bookmarkEnd w:id="301"/>
      <w:bookmarkStart w:id="302" w:name="_Toc184310334"/>
      <w:bookmarkEnd w:id="302"/>
      <w:bookmarkStart w:id="303" w:name="_Toc184310319"/>
      <w:bookmarkEnd w:id="303"/>
      <w:bookmarkStart w:id="304" w:name="_Toc184308082"/>
      <w:bookmarkEnd w:id="304"/>
      <w:bookmarkStart w:id="305" w:name="_Toc184312098"/>
      <w:bookmarkEnd w:id="305"/>
      <w:bookmarkStart w:id="306" w:name="_Toc184312125"/>
      <w:bookmarkEnd w:id="306"/>
      <w:bookmarkStart w:id="307" w:name="_Toc184310304"/>
      <w:bookmarkEnd w:id="307"/>
      <w:bookmarkStart w:id="308" w:name="_Toc184312068"/>
      <w:bookmarkEnd w:id="308"/>
      <w:bookmarkStart w:id="309" w:name="_Toc184314450"/>
      <w:bookmarkEnd w:id="309"/>
      <w:bookmarkStart w:id="310" w:name="_Toc184313264"/>
      <w:bookmarkEnd w:id="310"/>
      <w:bookmarkStart w:id="311" w:name="_Toc184310307"/>
      <w:bookmarkEnd w:id="311"/>
      <w:bookmarkStart w:id="312" w:name="_Toc184308087"/>
      <w:bookmarkEnd w:id="312"/>
      <w:bookmarkStart w:id="313" w:name="_Toc184308100"/>
      <w:bookmarkEnd w:id="313"/>
      <w:bookmarkStart w:id="314" w:name="_Toc184313305"/>
      <w:bookmarkEnd w:id="314"/>
      <w:bookmarkStart w:id="315" w:name="_Toc184312102"/>
      <w:bookmarkEnd w:id="315"/>
      <w:bookmarkStart w:id="316" w:name="_Toc184314436"/>
      <w:bookmarkEnd w:id="316"/>
      <w:bookmarkStart w:id="317" w:name="_Toc184314472"/>
      <w:bookmarkEnd w:id="317"/>
      <w:bookmarkStart w:id="318" w:name="_Toc184310329"/>
      <w:bookmarkEnd w:id="318"/>
      <w:bookmarkStart w:id="319" w:name="_Toc184314428"/>
      <w:bookmarkEnd w:id="319"/>
      <w:bookmarkStart w:id="320" w:name="_Toc184312067"/>
      <w:bookmarkEnd w:id="320"/>
      <w:bookmarkStart w:id="321" w:name="_Toc184312073"/>
      <w:bookmarkEnd w:id="321"/>
      <w:bookmarkStart w:id="322" w:name="_Toc184313300"/>
      <w:bookmarkEnd w:id="322"/>
      <w:bookmarkStart w:id="323" w:name="_Toc184314445"/>
      <w:bookmarkEnd w:id="323"/>
      <w:bookmarkStart w:id="324" w:name="_Toc184308056"/>
      <w:bookmarkEnd w:id="324"/>
      <w:bookmarkStart w:id="325" w:name="_Toc184314466"/>
      <w:bookmarkEnd w:id="325"/>
      <w:bookmarkStart w:id="326" w:name="_Toc184310297"/>
      <w:bookmarkEnd w:id="326"/>
      <w:bookmarkStart w:id="327" w:name="_Toc184314451"/>
      <w:bookmarkEnd w:id="327"/>
      <w:bookmarkStart w:id="328" w:name="_Toc184310325"/>
      <w:bookmarkEnd w:id="328"/>
      <w:bookmarkStart w:id="329" w:name="_Toc184310327"/>
      <w:bookmarkEnd w:id="329"/>
      <w:bookmarkStart w:id="330" w:name="_Toc184314459"/>
      <w:bookmarkEnd w:id="330"/>
      <w:bookmarkStart w:id="331" w:name="_Toc184313251"/>
      <w:bookmarkEnd w:id="331"/>
      <w:bookmarkStart w:id="332" w:name="_Toc184312105"/>
      <w:bookmarkEnd w:id="332"/>
      <w:bookmarkStart w:id="333" w:name="_Toc184310306"/>
      <w:bookmarkEnd w:id="333"/>
      <w:bookmarkStart w:id="334" w:name="_Toc184310274"/>
      <w:bookmarkEnd w:id="334"/>
      <w:bookmarkStart w:id="335" w:name="_Toc184310276"/>
      <w:bookmarkEnd w:id="335"/>
      <w:bookmarkStart w:id="336" w:name="_Toc184312126"/>
      <w:bookmarkEnd w:id="336"/>
      <w:bookmarkStart w:id="337" w:name="_Toc184308084"/>
      <w:bookmarkEnd w:id="337"/>
      <w:bookmarkStart w:id="338" w:name="_Toc184313298"/>
      <w:bookmarkEnd w:id="338"/>
      <w:bookmarkStart w:id="339" w:name="_Toc184308046"/>
      <w:bookmarkEnd w:id="339"/>
      <w:bookmarkStart w:id="340" w:name="_Toc184314418"/>
      <w:bookmarkEnd w:id="340"/>
      <w:bookmarkStart w:id="341" w:name="_Toc184310305"/>
      <w:bookmarkEnd w:id="341"/>
      <w:bookmarkStart w:id="342" w:name="_Toc184308036"/>
      <w:bookmarkEnd w:id="342"/>
      <w:bookmarkStart w:id="343" w:name="_Toc184310287"/>
      <w:bookmarkEnd w:id="343"/>
      <w:bookmarkStart w:id="344" w:name="_Toc184310295"/>
      <w:bookmarkEnd w:id="344"/>
      <w:bookmarkStart w:id="345" w:name="_Toc184308066"/>
      <w:bookmarkEnd w:id="345"/>
      <w:bookmarkStart w:id="346" w:name="_Toc184314460"/>
      <w:bookmarkEnd w:id="346"/>
      <w:bookmarkStart w:id="347" w:name="_Toc184314476"/>
      <w:bookmarkEnd w:id="347"/>
      <w:bookmarkStart w:id="348" w:name="_Toc184313310"/>
      <w:bookmarkEnd w:id="348"/>
      <w:bookmarkStart w:id="349" w:name="_Toc184310272"/>
      <w:bookmarkEnd w:id="349"/>
      <w:bookmarkStart w:id="350" w:name="_Toc184313303"/>
      <w:bookmarkEnd w:id="350"/>
      <w:bookmarkStart w:id="351" w:name="_Toc184312133"/>
      <w:bookmarkEnd w:id="351"/>
      <w:bookmarkStart w:id="352" w:name="_Toc184312088"/>
      <w:bookmarkEnd w:id="352"/>
      <w:bookmarkStart w:id="353" w:name="_Toc184313284"/>
      <w:bookmarkEnd w:id="353"/>
      <w:bookmarkStart w:id="354" w:name="_Toc184314426"/>
      <w:bookmarkEnd w:id="354"/>
      <w:bookmarkStart w:id="355" w:name="_Toc184312113"/>
      <w:bookmarkEnd w:id="355"/>
      <w:bookmarkStart w:id="356" w:name="_Toc184314410"/>
      <w:bookmarkEnd w:id="356"/>
      <w:bookmarkStart w:id="357" w:name="_Toc184313304"/>
      <w:bookmarkEnd w:id="357"/>
      <w:bookmarkStart w:id="358" w:name="_Toc184312108"/>
      <w:bookmarkEnd w:id="358"/>
      <w:bookmarkStart w:id="359" w:name="_Toc184310291"/>
      <w:bookmarkEnd w:id="359"/>
      <w:bookmarkStart w:id="360" w:name="_Toc184312091"/>
      <w:bookmarkEnd w:id="360"/>
      <w:bookmarkStart w:id="361" w:name="_Toc184313309"/>
      <w:bookmarkEnd w:id="361"/>
      <w:bookmarkStart w:id="362" w:name="_Toc184308043"/>
      <w:bookmarkEnd w:id="362"/>
      <w:bookmarkStart w:id="363" w:name="_Toc184313289"/>
      <w:bookmarkEnd w:id="363"/>
      <w:bookmarkStart w:id="364" w:name="_Toc184314413"/>
      <w:bookmarkEnd w:id="364"/>
      <w:bookmarkStart w:id="365" w:name="_Toc184310328"/>
      <w:bookmarkEnd w:id="365"/>
      <w:bookmarkStart w:id="366" w:name="_Toc184312090"/>
      <w:bookmarkEnd w:id="366"/>
      <w:bookmarkStart w:id="367" w:name="_Toc184310309"/>
      <w:bookmarkEnd w:id="367"/>
      <w:bookmarkStart w:id="368" w:name="_Toc184313294"/>
      <w:bookmarkEnd w:id="368"/>
      <w:bookmarkStart w:id="369" w:name="_Toc184312070"/>
      <w:bookmarkEnd w:id="369"/>
      <w:bookmarkStart w:id="370" w:name="_Toc184314421"/>
      <w:bookmarkEnd w:id="370"/>
      <w:bookmarkStart w:id="371" w:name="_Toc184310330"/>
      <w:bookmarkEnd w:id="371"/>
      <w:bookmarkStart w:id="372" w:name="_Toc184308069"/>
      <w:bookmarkEnd w:id="372"/>
      <w:bookmarkStart w:id="373" w:name="_Toc184313260"/>
      <w:bookmarkEnd w:id="373"/>
      <w:bookmarkStart w:id="374" w:name="_Toc184310280"/>
      <w:bookmarkEnd w:id="374"/>
      <w:bookmarkStart w:id="375" w:name="_Toc184312136"/>
      <w:bookmarkEnd w:id="375"/>
      <w:bookmarkStart w:id="376" w:name="_Toc184308042"/>
      <w:bookmarkEnd w:id="376"/>
      <w:bookmarkStart w:id="377" w:name="_Toc184313266"/>
      <w:bookmarkEnd w:id="377"/>
      <w:bookmarkStart w:id="378" w:name="_Toc184313267"/>
      <w:bookmarkEnd w:id="378"/>
      <w:bookmarkStart w:id="379" w:name="_Toc184308107"/>
      <w:bookmarkEnd w:id="379"/>
      <w:bookmarkStart w:id="380" w:name="_Toc184308077"/>
      <w:bookmarkEnd w:id="380"/>
      <w:bookmarkStart w:id="381" w:name="_Toc184308080"/>
      <w:bookmarkEnd w:id="381"/>
      <w:bookmarkStart w:id="382" w:name="_Toc184308106"/>
      <w:bookmarkEnd w:id="382"/>
      <w:bookmarkStart w:id="383" w:name="_Toc184312119"/>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5"/>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2025年-2026年三固运行中心挖机维保服务采购项目（第三次）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3"/>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2"/>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2025年-2026年三固运行中心挖机维保服务采购项目（第三次）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2"/>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其中服务费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val="en-US" w:eastAsia="zh-CN"/>
        </w:rPr>
        <w:t xml:space="preserve">，配件费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配件费、人工费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067"/>
        <w:gridCol w:w="3624"/>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类别</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项目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58264530">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67" w:type="dxa"/>
            <w:vMerge w:val="restart"/>
            <w:tcBorders>
              <w:top w:val="single" w:color="000000" w:sz="4" w:space="0"/>
              <w:left w:val="single" w:color="000000" w:sz="4" w:space="0"/>
              <w:right w:val="single" w:color="000000" w:sz="4" w:space="0"/>
            </w:tcBorders>
            <w:noWrap/>
            <w:vAlign w:val="center"/>
          </w:tcPr>
          <w:p w14:paraId="7229DD49">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常规保养</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17A8925">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hint="eastAsia" w:ascii="宋体" w:hAnsi="宋体" w:cs="宋体"/>
                <w:sz w:val="20"/>
                <w:szCs w:val="20"/>
                <w:lang w:val="en-US" w:eastAsia="zh-CN"/>
              </w:rPr>
            </w:pPr>
          </w:p>
        </w:tc>
      </w:tr>
      <w:tr w14:paraId="61F643CD">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4861EA56">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383C11A0">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0486074">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FCCE461">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4C1827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2B5EF69">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5D14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34A240">
            <w:pPr>
              <w:widowControl/>
              <w:jc w:val="center"/>
              <w:textAlignment w:val="center"/>
              <w:rPr>
                <w:rFonts w:hint="eastAsia" w:ascii="宋体" w:hAnsi="宋体" w:cs="宋体"/>
                <w:sz w:val="20"/>
                <w:szCs w:val="20"/>
                <w:lang w:val="en-US" w:eastAsia="zh-CN"/>
              </w:rPr>
            </w:pPr>
          </w:p>
        </w:tc>
      </w:tr>
      <w:tr w14:paraId="0F8339AC">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2B5037DC">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5CE73CDE">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14E913BC">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F33E9C">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D6AE2C">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ECB6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22E702">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7255A">
            <w:pPr>
              <w:widowControl/>
              <w:jc w:val="center"/>
              <w:textAlignment w:val="center"/>
              <w:rPr>
                <w:rFonts w:hint="eastAsia" w:ascii="宋体" w:hAnsi="宋体" w:cs="宋体"/>
                <w:sz w:val="20"/>
                <w:szCs w:val="20"/>
                <w:lang w:val="en-US" w:eastAsia="zh-CN"/>
              </w:rPr>
            </w:pPr>
          </w:p>
        </w:tc>
      </w:tr>
      <w:tr w14:paraId="02A54EAA">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3341E82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67" w:type="dxa"/>
            <w:vMerge w:val="continue"/>
            <w:tcBorders>
              <w:left w:val="single" w:color="000000" w:sz="4" w:space="0"/>
              <w:bottom w:val="single" w:color="000000" w:sz="4" w:space="0"/>
              <w:right w:val="single" w:color="000000" w:sz="4" w:space="0"/>
            </w:tcBorders>
            <w:noWrap/>
            <w:vAlign w:val="center"/>
          </w:tcPr>
          <w:p w14:paraId="1EEF9E21">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154B2EE">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76D82">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C2E8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2657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7CC2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090517">
            <w:pPr>
              <w:widowControl/>
              <w:jc w:val="center"/>
              <w:textAlignment w:val="center"/>
              <w:rPr>
                <w:rFonts w:hint="eastAsia" w:ascii="宋体" w:hAnsi="宋体" w:cs="宋体"/>
                <w:sz w:val="20"/>
                <w:szCs w:val="20"/>
                <w:lang w:val="en-US" w:eastAsia="zh-CN"/>
              </w:rPr>
            </w:pPr>
          </w:p>
        </w:tc>
      </w:tr>
      <w:tr w14:paraId="6709FFBA">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19AF2633">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5D4D12DD">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420F200">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C35A0E">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37D727">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4C05455">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345B95">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D4B71">
            <w:pPr>
              <w:widowControl/>
              <w:jc w:val="center"/>
              <w:textAlignment w:val="center"/>
              <w:rPr>
                <w:rFonts w:hint="eastAsia" w:ascii="宋体" w:hAnsi="宋体" w:cs="宋体"/>
                <w:sz w:val="20"/>
                <w:szCs w:val="20"/>
                <w:lang w:val="en-US" w:eastAsia="zh-CN"/>
              </w:rPr>
            </w:pPr>
          </w:p>
        </w:tc>
      </w:tr>
      <w:tr w14:paraId="28FE6F68">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716A2CF9">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6479D914">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8340DCA">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37C2A8">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9CFC751">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D647B43">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9289A9">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6EB752">
            <w:pPr>
              <w:widowControl/>
              <w:jc w:val="center"/>
              <w:textAlignment w:val="center"/>
              <w:rPr>
                <w:rFonts w:hint="eastAsia" w:ascii="宋体" w:hAnsi="宋体" w:cs="宋体"/>
                <w:sz w:val="20"/>
                <w:szCs w:val="20"/>
                <w:lang w:val="en-US" w:eastAsia="zh-CN"/>
              </w:rPr>
            </w:pPr>
          </w:p>
        </w:tc>
      </w:tr>
    </w:tbl>
    <w:p w14:paraId="3FD697A1">
      <w:pPr>
        <w:pStyle w:val="24"/>
        <w:spacing w:before="0" w:beforeAutospacing="0" w:after="0" w:afterAutospacing="0" w:line="360" w:lineRule="auto"/>
        <w:ind w:firstLine="480" w:firstLineChars="200"/>
        <w:rPr>
          <w:rFonts w:hint="eastAsia"/>
        </w:rPr>
      </w:pPr>
      <w:bookmarkStart w:id="384" w:name="_Toc22618"/>
      <w:bookmarkStart w:id="385" w:name="_Toc1814"/>
      <w:bookmarkStart w:id="386" w:name="_Toc10340"/>
      <w:bookmarkStart w:id="387" w:name="_Toc8772"/>
      <w:bookmarkStart w:id="388" w:name="_Toc4760"/>
      <w:bookmarkStart w:id="389" w:name="_Toc31421"/>
      <w:bookmarkStart w:id="390" w:name="_Toc11108"/>
      <w:bookmarkStart w:id="391" w:name="_Toc3625"/>
    </w:p>
    <w:p w14:paraId="1ADF9957">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①常规保养内容（以下为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38DA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6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B8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551D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E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1EC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64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4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0EF8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3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3125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2126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4829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6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5375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5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09EE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2BC2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8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4CFC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14AD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0F0C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334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26D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B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0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4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8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2905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A12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6A29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5CED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1274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72D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B6E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D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788D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0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129E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9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2DD1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0630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6214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5DDF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05E4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F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2B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53C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3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6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6F4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12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3AAF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06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1B5B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6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5B56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14D0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40FA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7BDD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E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2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79B8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0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6885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4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A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5D4E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33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F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9A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C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7885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4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5E2EE3C2">
      <w:pPr>
        <w:pStyle w:val="2"/>
        <w:ind w:firstLine="480" w:firstLineChars="200"/>
        <w:rPr>
          <w:rFonts w:hint="default"/>
          <w:lang w:val="en-US" w:eastAsia="zh-CN"/>
        </w:rPr>
      </w:pPr>
    </w:p>
    <w:p w14:paraId="5433D66D">
      <w:pPr>
        <w:pStyle w:val="3"/>
        <w:rPr>
          <w:rFonts w:hint="default"/>
          <w:color w:val="auto"/>
          <w:lang w:val="en-US" w:eastAsia="zh-CN"/>
        </w:rPr>
      </w:pPr>
      <w:r>
        <w:rPr>
          <w:rFonts w:hint="eastAsia"/>
          <w:color w:val="auto"/>
          <w:lang w:val="en-US" w:eastAsia="zh-CN"/>
        </w:rPr>
        <w:t>②</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7B1F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86B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3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EE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A6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FD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E2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AD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92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3D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39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AC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15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E2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84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70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8D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6B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71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1D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7D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42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E0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72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50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46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FA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8F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3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18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C9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EF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7A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9C1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D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85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8C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40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93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0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6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7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68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44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FC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C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B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0B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4D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E5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EC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A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D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E2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0B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50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A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46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77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AF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94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DA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8E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2B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49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75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50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21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07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1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9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C6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8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3D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0E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F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3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C5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70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34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5F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A6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AB9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B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F9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7563EC3">
      <w:pPr>
        <w:pStyle w:val="2"/>
        <w:numPr>
          <w:ilvl w:val="0"/>
          <w:numId w:val="0"/>
        </w:numPr>
        <w:ind w:firstLine="482" w:firstLineChars="200"/>
        <w:rPr>
          <w:rFonts w:hint="eastAsia"/>
          <w:b/>
          <w:bCs/>
          <w:color w:val="auto"/>
          <w:lang w:val="en-US" w:eastAsia="zh-CN"/>
        </w:rPr>
      </w:pPr>
    </w:p>
    <w:p w14:paraId="2EAF20E7">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③</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482E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7D4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58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333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9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A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3016">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CB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58AC">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0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F8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9F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D4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BD0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A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F1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BD3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9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9FD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8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48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92B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3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AE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A0D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A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4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3E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9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2E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2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A7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71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86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D1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7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8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130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29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91A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54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1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4B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1D3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05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F5F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96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0368">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68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20E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C0E6BB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7AE4C1E5">
      <w:pPr>
        <w:pStyle w:val="24"/>
        <w:spacing w:before="0" w:beforeAutospacing="0" w:after="0" w:afterAutospacing="0" w:line="360" w:lineRule="auto"/>
        <w:ind w:firstLine="480" w:firstLineChars="200"/>
        <w:rPr>
          <w:rFonts w:hint="eastAsia"/>
        </w:rPr>
      </w:pPr>
    </w:p>
    <w:p w14:paraId="3FEEF9DB">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14:paraId="5547C46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98ED02D">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1530"/>
        <w:gridCol w:w="1400"/>
        <w:gridCol w:w="1000"/>
        <w:gridCol w:w="1000"/>
        <w:gridCol w:w="1000"/>
      </w:tblGrid>
      <w:tr w14:paraId="7B85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E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D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150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70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4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82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1ED9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4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A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6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C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A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E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8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E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7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6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A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F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8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3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D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2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9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0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6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8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C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86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3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6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1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5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56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7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1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E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2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1D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6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C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3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C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9F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B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5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1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F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CA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0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B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A7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B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1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E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9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E2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87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2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6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0C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D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1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8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9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F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7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7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A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E5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D6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B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6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D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8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C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1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6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E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D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99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8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4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5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8A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7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9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5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4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35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5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6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C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A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F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8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B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4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C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D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7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3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7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2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4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6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4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16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0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D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0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7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8E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B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7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3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5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8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1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F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3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E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1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4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8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4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D8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0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3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2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3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1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7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9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B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9C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A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9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A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4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B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68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2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C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C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8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1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10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16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C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C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1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9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DC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F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9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E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7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6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D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7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6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A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D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4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8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EC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C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B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C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B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8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7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4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C0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EB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5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D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1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6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1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D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F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2E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5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C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6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0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E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B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7B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2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0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9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1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E3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7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1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5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B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1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B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4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8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79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B1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A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4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B5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B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D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9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2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4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4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3D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D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E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0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2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24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D6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B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6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9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F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6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7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B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8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6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0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F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A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6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0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5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0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6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B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B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4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4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D3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3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1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A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9F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E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D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2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0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7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7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8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5B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A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A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D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9A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5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E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3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E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2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41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F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2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7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4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F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7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2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0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2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C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9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8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3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0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D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C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83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E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3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0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13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7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6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8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B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A8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4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F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4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5A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96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0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51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5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7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A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F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E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A2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0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8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2F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F4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89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C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3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FB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5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D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7A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FB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6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2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9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B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88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D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8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5F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8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FB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B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2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A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8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A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9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34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9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1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E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7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F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B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92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6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0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C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23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D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D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2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5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7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0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0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8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D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D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5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C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9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1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8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3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7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9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2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5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5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B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F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E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4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1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2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4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B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6B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94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BB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8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B7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8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5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43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1D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4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C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32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9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DE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2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6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B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1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D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55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A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E4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2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8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C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A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9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82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B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B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0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0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B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D3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05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B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E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7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F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6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6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A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2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3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0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3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45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E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0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1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6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5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C18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A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F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6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5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C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A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2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5C4D">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99CF">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9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6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7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CE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1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E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0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F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4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4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C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9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7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6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D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4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25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0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B58B">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AF03">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9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8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C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4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C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5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5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1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67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ED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3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C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66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3D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A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9C39">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C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E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1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A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E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2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1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1B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6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2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1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D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8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34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D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4A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4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D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7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9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4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3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2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C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0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C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2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5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C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C4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D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7B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9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7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A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6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5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2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C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B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4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1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7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4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1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A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2B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4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7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87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C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B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42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9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A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F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CD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4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5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5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D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88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0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9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6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1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1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4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4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0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C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E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42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1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1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1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6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8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DF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0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6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3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6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A8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9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B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C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1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2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4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C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7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5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5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8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B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B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5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B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11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B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D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6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3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C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C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D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B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87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6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0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C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1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9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0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9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3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D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8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5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C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C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8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C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3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8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04E06BF">
      <w:pPr>
        <w:spacing w:line="360" w:lineRule="auto"/>
        <w:ind w:firstLine="482" w:firstLineChars="200"/>
        <w:outlineLvl w:val="0"/>
        <w:rPr>
          <w:rFonts w:hint="eastAsia" w:ascii="宋体" w:hAnsi="宋体"/>
          <w:b/>
          <w:sz w:val="24"/>
        </w:rPr>
      </w:pPr>
    </w:p>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447258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3.1乙方负责对轮式、履带式挖机各三次常规检查保养，保养配件清单详见《挖机常规保养配件清单》；</w:t>
      </w:r>
    </w:p>
    <w:p w14:paraId="0797A3B7">
      <w:pPr>
        <w:pStyle w:val="3"/>
        <w:numPr>
          <w:ilvl w:val="0"/>
          <w:numId w:val="0"/>
        </w:numPr>
        <w:ind w:firstLine="480" w:firstLineChars="200"/>
        <w:rPr>
          <w:rFonts w:hint="eastAsia"/>
          <w:color w:val="auto"/>
          <w:lang w:val="en-US" w:eastAsia="zh-CN"/>
        </w:rPr>
      </w:pPr>
      <w:r>
        <w:rPr>
          <w:rFonts w:hint="eastAsia"/>
          <w:color w:val="auto"/>
          <w:lang w:val="en-US" w:eastAsia="zh-CN"/>
        </w:rPr>
        <w:t>3.2乙方负责挖机的故障处理，</w:t>
      </w:r>
      <w:r>
        <w:rPr>
          <w:rFonts w:hint="eastAsia" w:ascii="宋体" w:hAnsi="宋体" w:eastAsia="宋体" w:cs="宋体"/>
          <w:sz w:val="24"/>
          <w:szCs w:val="24"/>
          <w:highlight w:val="none"/>
          <w:lang w:val="en-US" w:eastAsia="zh-CN"/>
        </w:rPr>
        <w:t>维修配件详见《挖机维修配件清单》</w:t>
      </w:r>
      <w:r>
        <w:rPr>
          <w:rFonts w:hint="eastAsia" w:hAnsi="宋体" w:eastAsia="宋体" w:cs="宋体"/>
          <w:sz w:val="24"/>
          <w:szCs w:val="24"/>
          <w:highlight w:val="none"/>
          <w:lang w:val="en-US" w:eastAsia="zh-CN"/>
        </w:rPr>
        <w:t>。</w:t>
      </w:r>
      <w:r>
        <w:rPr>
          <w:rFonts w:hint="eastAsia"/>
          <w:color w:val="auto"/>
          <w:lang w:val="en-US" w:eastAsia="zh-CN"/>
        </w:rPr>
        <w:t>更换前跟甲方进行《维修保养记录单》确认，配件的更换在维修保养记录中需体现；</w:t>
      </w:r>
    </w:p>
    <w:p w14:paraId="5D3AB20D">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3.3乙方</w:t>
      </w:r>
      <w:r>
        <w:rPr>
          <w:rFonts w:hint="eastAsia" w:ascii="宋体" w:hAnsi="宋体" w:eastAsia="宋体" w:cs="宋体"/>
          <w:sz w:val="24"/>
          <w:highlight w:val="none"/>
          <w:lang w:val="en-US" w:eastAsia="zh-CN"/>
        </w:rPr>
        <w:t>应在接到</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要积极响应，需12小时内到达现场处理。</w:t>
      </w:r>
    </w:p>
    <w:p w14:paraId="1E2EA714">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4A8DC34A">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4.1挖机保养维修配件由乙方提供，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1C27377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4.2维修配</w:t>
      </w:r>
      <w:r>
        <w:rPr>
          <w:rFonts w:hint="eastAsia" w:ascii="宋体" w:hAnsi="宋体" w:eastAsia="宋体" w:cs="宋体"/>
          <w:sz w:val="24"/>
          <w:szCs w:val="24"/>
          <w:highlight w:val="none"/>
          <w:lang w:val="en-US" w:eastAsia="zh-CN"/>
        </w:rPr>
        <w:t>件质保期为自验收合格后12个月，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故障或损坏，乙方应立即提供全新的备件并进行更换，更换过的备件质保期重新计算。</w:t>
      </w:r>
    </w:p>
    <w:p w14:paraId="489C967B">
      <w:pPr>
        <w:pStyle w:val="2"/>
        <w:numPr>
          <w:ilvl w:val="0"/>
          <w:numId w:val="0"/>
        </w:numPr>
        <w:ind w:firstLine="480" w:firstLineChars="200"/>
        <w:rPr>
          <w:rFonts w:hint="eastAsia" w:hAnsi="宋体" w:eastAsia="宋体" w:cs="宋体"/>
          <w:b/>
          <w:bCs/>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4.</w:t>
      </w:r>
      <w:r>
        <w:rPr>
          <w:rFonts w:hint="eastAsia" w:hAnsi="宋体" w:eastAsia="宋体" w:cs="宋体"/>
          <w:snapToGrid w:val="0"/>
          <w:color w:val="auto"/>
          <w:kern w:val="2"/>
          <w:sz w:val="24"/>
          <w:szCs w:val="21"/>
          <w:highlight w:val="none"/>
          <w:lang w:val="en-US" w:eastAsia="zh-CN" w:bidi="ar-SA"/>
        </w:rPr>
        <w:t>3</w:t>
      </w:r>
      <w:r>
        <w:rPr>
          <w:rFonts w:hint="eastAsia" w:ascii="宋体" w:hAnsi="宋体" w:eastAsia="宋体" w:cs="宋体"/>
          <w:snapToGrid w:val="0"/>
          <w:color w:val="auto"/>
          <w:kern w:val="2"/>
          <w:sz w:val="24"/>
          <w:szCs w:val="21"/>
          <w:highlight w:val="none"/>
          <w:lang w:val="en-US" w:eastAsia="zh-CN" w:bidi="ar-SA"/>
        </w:rPr>
        <w:t>挖机发生故障或损坏，需更换配件时，</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应向</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报送需更换的</w:t>
      </w:r>
      <w:r>
        <w:rPr>
          <w:rFonts w:hint="eastAsia" w:hAnsi="宋体" w:eastAsia="宋体" w:cs="宋体"/>
          <w:snapToGrid w:val="0"/>
          <w:color w:val="auto"/>
          <w:kern w:val="2"/>
          <w:sz w:val="24"/>
          <w:szCs w:val="21"/>
          <w:highlight w:val="none"/>
          <w:lang w:val="en-US" w:eastAsia="zh-CN" w:bidi="ar-SA"/>
        </w:rPr>
        <w:t>配件</w:t>
      </w:r>
      <w:r>
        <w:rPr>
          <w:rFonts w:hint="eastAsia" w:ascii="宋体" w:hAnsi="宋体" w:eastAsia="宋体" w:cs="宋体"/>
          <w:snapToGrid w:val="0"/>
          <w:color w:val="auto"/>
          <w:kern w:val="2"/>
          <w:sz w:val="24"/>
          <w:szCs w:val="21"/>
          <w:highlight w:val="none"/>
          <w:lang w:val="en-US" w:eastAsia="zh-CN" w:bidi="ar-SA"/>
        </w:rPr>
        <w:t>清单，经</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同意批准后方可更换。配件的安装、维修均由</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承担，一般情况下工时费不另外支付，但若因维修工时超过24个工时，工时费双方协商解决。</w:t>
      </w:r>
    </w:p>
    <w:p w14:paraId="1A58DA00">
      <w:pPr>
        <w:pStyle w:val="2"/>
        <w:ind w:firstLine="480" w:firstLineChars="200"/>
        <w:rPr>
          <w:rFonts w:hint="eastAsia" w:ascii="宋体"/>
          <w:lang w:val="en-US"/>
        </w:rPr>
      </w:pPr>
      <w:r>
        <w:rPr>
          <w:rFonts w:hint="eastAsia"/>
          <w:highlight w:val="none"/>
          <w:lang w:val="en-US" w:eastAsia="zh-CN"/>
        </w:rPr>
        <w:t>5.乙方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92" w:name="_Toc14563"/>
      <w:bookmarkStart w:id="393" w:name="_Toc6596"/>
      <w:bookmarkStart w:id="394" w:name="_Toc1125"/>
      <w:r>
        <w:rPr>
          <w:rFonts w:hint="eastAsia" w:ascii="宋体" w:hAnsi="宋体" w:eastAsia="宋体" w:cs="宋体"/>
          <w:color w:val="auto"/>
          <w:sz w:val="24"/>
          <w:szCs w:val="24"/>
          <w:highlight w:val="none"/>
          <w:lang w:val="en-US" w:eastAsia="zh-CN"/>
        </w:rPr>
        <w:t>7.安全要求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E16CF1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1.乙方在每次进行保养或维修服务时需要有甲方陪同，甲方对照维保方案现场检查项目是否符合甲方要求，双方在维保确认单上签字确认后验收合格。</w:t>
      </w:r>
    </w:p>
    <w:p w14:paraId="760F640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2.双方组织各自技术人员共同现场验收。</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color w:val="auto"/>
          <w:sz w:val="24"/>
          <w:lang w:val="en-US" w:eastAsia="zh-CN"/>
        </w:rPr>
        <w:t>5.甲</w:t>
      </w:r>
      <w:r>
        <w:rPr>
          <w:rFonts w:hint="eastAsia" w:ascii="宋体" w:hAnsi="宋体"/>
          <w:color w:val="auto"/>
          <w:sz w:val="24"/>
          <w:highlight w:val="none"/>
          <w:lang w:val="en-US" w:eastAsia="zh-CN"/>
        </w:rPr>
        <w:t>方在</w:t>
      </w:r>
      <w:r>
        <w:rPr>
          <w:rFonts w:hint="eastAsia" w:ascii="宋体" w:hAnsi="宋体"/>
          <w:color w:val="auto"/>
          <w:sz w:val="24"/>
          <w:highlight w:val="none"/>
          <w:u w:val="single"/>
          <w:lang w:val="en-US" w:eastAsia="zh-CN"/>
        </w:rPr>
        <w:t>更换的维修配件质保期结束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w:t>
      </w:r>
      <w:r>
        <w:rPr>
          <w:rFonts w:hint="eastAsia"/>
          <w:color w:val="auto"/>
          <w:lang w:val="en-US" w:eastAsia="zh-CN"/>
        </w:rPr>
        <w:t>限：维修配件</w:t>
      </w:r>
      <w:r>
        <w:rPr>
          <w:rFonts w:hint="eastAsia"/>
          <w:color w:val="auto"/>
          <w:u w:val="none"/>
          <w:lang w:val="en-US" w:eastAsia="zh-CN"/>
        </w:rPr>
        <w:t>自</w:t>
      </w:r>
      <w:r>
        <w:rPr>
          <w:rFonts w:hint="eastAsia"/>
          <w:u w:val="none"/>
          <w:lang w:val="en-US" w:eastAsia="zh-CN"/>
        </w:rPr>
        <w:t>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5165315">
      <w:pPr>
        <w:pStyle w:val="24"/>
        <w:spacing w:before="0" w:beforeAutospacing="0" w:after="0" w:afterAutospacing="0" w:line="360" w:lineRule="auto"/>
        <w:ind w:firstLine="480"/>
        <w:rPr>
          <w:rFonts w:hint="eastAsia" w:ascii="宋体" w:hAnsi="宋体" w:cs="宋体" w:eastAsiaTheme="minorEastAsia"/>
          <w:kern w:val="0"/>
          <w:sz w:val="24"/>
          <w:szCs w:val="24"/>
          <w:u w:val="single"/>
          <w:lang w:val="en-US" w:eastAsia="zh-CN" w:bidi="ar-SA"/>
        </w:rPr>
      </w:pPr>
      <w:r>
        <w:rPr>
          <w:rFonts w:hint="eastAsia"/>
          <w:u w:val="single"/>
        </w:rPr>
        <w:t>（2）</w:t>
      </w:r>
      <w:r>
        <w:rPr>
          <w:rFonts w:hint="eastAsia"/>
          <w:u w:val="single"/>
          <w:lang w:val="en-US" w:eastAsia="zh-CN"/>
        </w:rPr>
        <w:t>维保</w:t>
      </w:r>
      <w:r>
        <w:rPr>
          <w:rFonts w:hint="eastAsia"/>
          <w:color w:val="auto"/>
          <w:u w:val="single"/>
          <w:lang w:val="en-US" w:eastAsia="zh-CN"/>
        </w:rPr>
        <w:t>费</w:t>
      </w:r>
      <w:r>
        <w:rPr>
          <w:rFonts w:hint="eastAsia"/>
          <w:color w:val="auto"/>
          <w:u w:val="single"/>
        </w:rPr>
        <w:t>按</w:t>
      </w:r>
      <w:r>
        <w:rPr>
          <w:rFonts w:hint="eastAsia"/>
          <w:color w:val="auto"/>
          <w:u w:val="single"/>
          <w:lang w:val="en-US" w:eastAsia="zh-CN"/>
        </w:rPr>
        <w:t>次</w:t>
      </w:r>
      <w:r>
        <w:rPr>
          <w:rFonts w:hint="eastAsia"/>
          <w:color w:val="auto"/>
          <w:u w:val="single"/>
        </w:rPr>
        <w:t>支付，</w:t>
      </w:r>
      <w:r>
        <w:rPr>
          <w:rFonts w:hint="eastAsia"/>
          <w:u w:val="single"/>
        </w:rPr>
        <w:t>甲方每</w:t>
      </w:r>
      <w:r>
        <w:rPr>
          <w:rFonts w:hint="eastAsia"/>
          <w:u w:val="single"/>
          <w:lang w:val="en-US" w:eastAsia="zh-CN"/>
        </w:rPr>
        <w:t>次</w:t>
      </w:r>
      <w:r>
        <w:rPr>
          <w:rFonts w:hint="eastAsia"/>
          <w:u w:val="single"/>
        </w:rPr>
        <w:t>对乙方服务质量进行考核，经考核合格的，甲方收到乙方提供的增值税专用发票后，甲方在本合同约定时间内完成支付 ；经考核不合格的，按本合同约定的考核标准扣除相应费用；考核要求、标准</w:t>
      </w:r>
      <w:r>
        <w:rPr>
          <w:rFonts w:hint="eastAsia"/>
          <w:b/>
          <w:bCs/>
          <w:lang w:eastAsia="zh-CN"/>
        </w:rPr>
        <w:t>；</w:t>
      </w:r>
      <w:r>
        <w:rPr>
          <w:rFonts w:hint="eastAsia" w:ascii="宋体" w:hAnsi="宋体" w:cs="宋体" w:eastAsiaTheme="minorEastAsia"/>
          <w:b/>
          <w:bCs/>
          <w:kern w:val="0"/>
          <w:sz w:val="24"/>
          <w:szCs w:val="24"/>
          <w:u w:val="single"/>
          <w:lang w:val="en-US" w:eastAsia="zh-CN" w:bidi="ar-SA"/>
        </w:rPr>
        <w:t>维修</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费用以</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单项单价为结算依据，</w:t>
      </w:r>
      <w:r>
        <w:rPr>
          <w:rFonts w:hint="eastAsia" w:cs="宋体"/>
          <w:b/>
          <w:bCs/>
          <w:kern w:val="0"/>
          <w:sz w:val="24"/>
          <w:szCs w:val="24"/>
          <w:u w:val="single"/>
          <w:lang w:val="en-US" w:eastAsia="zh-CN" w:bidi="ar-SA"/>
        </w:rPr>
        <w:t>每月</w:t>
      </w:r>
      <w:r>
        <w:rPr>
          <w:rFonts w:hint="eastAsia" w:ascii="宋体" w:hAnsi="宋体" w:cs="宋体" w:eastAsiaTheme="minorEastAsia"/>
          <w:b/>
          <w:bCs/>
          <w:kern w:val="0"/>
          <w:sz w:val="24"/>
          <w:szCs w:val="24"/>
          <w:u w:val="single"/>
          <w:lang w:val="en-US" w:eastAsia="zh-CN" w:bidi="ar-SA"/>
        </w:rPr>
        <w:t>按实结算</w:t>
      </w:r>
      <w:r>
        <w:rPr>
          <w:rFonts w:hint="eastAsia" w:ascii="宋体" w:hAnsi="宋体" w:cs="宋体"/>
          <w:b/>
          <w:bCs/>
          <w:kern w:val="0"/>
          <w:sz w:val="24"/>
          <w:szCs w:val="24"/>
          <w:u w:val="single"/>
          <w:lang w:val="en-US" w:eastAsia="zh-CN" w:bidi="ar-SA"/>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2"/>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3"/>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5228"/>
      <w:bookmarkStart w:id="396" w:name="_Toc25079"/>
      <w:bookmarkStart w:id="397" w:name="_Toc31297"/>
      <w:bookmarkStart w:id="398" w:name="_Toc14021"/>
      <w:bookmarkStart w:id="399" w:name="_Toc19680"/>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3769"/>
      <w:bookmarkStart w:id="402" w:name="_Toc31402"/>
      <w:bookmarkStart w:id="403" w:name="_Toc19539"/>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4133"/>
      <w:bookmarkStart w:id="406" w:name="_Toc12412"/>
      <w:bookmarkStart w:id="407" w:name="_Toc27945"/>
      <w:bookmarkStart w:id="408" w:name="_Toc9161"/>
      <w:bookmarkStart w:id="409" w:name="_Toc1367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1233"/>
      <w:bookmarkStart w:id="411" w:name="_Toc32670"/>
      <w:bookmarkStart w:id="412" w:name="_Toc15447"/>
      <w:bookmarkStart w:id="413" w:name="_Toc22011"/>
      <w:bookmarkStart w:id="414" w:name="_Toc26555"/>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8990"/>
      <w:bookmarkStart w:id="416" w:name="_Toc16163"/>
      <w:bookmarkStart w:id="417" w:name="_Toc13154"/>
      <w:bookmarkStart w:id="418" w:name="_Toc13467"/>
      <w:bookmarkStart w:id="419"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3368"/>
      <w:bookmarkStart w:id="424" w:name="_Toc26689"/>
      <w:bookmarkStart w:id="425" w:name="_Toc10663"/>
      <w:bookmarkStart w:id="426" w:name="_Toc42"/>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26633"/>
      <w:bookmarkStart w:id="430" w:name="_Toc25571"/>
      <w:bookmarkStart w:id="431" w:name="_Toc4720"/>
      <w:bookmarkStart w:id="432" w:name="_Toc143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3854"/>
      <w:bookmarkStart w:id="434" w:name="_Toc25783"/>
      <w:bookmarkStart w:id="435" w:name="_Toc14115"/>
      <w:bookmarkStart w:id="436" w:name="_Toc3638"/>
      <w:bookmarkStart w:id="437" w:name="_Toc2446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14814"/>
      <w:bookmarkStart w:id="439" w:name="_Toc30105"/>
      <w:bookmarkStart w:id="440" w:name="_Toc25525"/>
      <w:bookmarkStart w:id="441" w:name="_Toc7315"/>
      <w:bookmarkStart w:id="442" w:name="_Toc26883"/>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33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969"/>
      <w:bookmarkStart w:id="44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12666"/>
      <w:bookmarkStart w:id="450" w:name="_Toc2308"/>
      <w:bookmarkStart w:id="451" w:name="_Toc31892"/>
      <w:bookmarkStart w:id="452" w:name="_Toc9808"/>
      <w:bookmarkStart w:id="453" w:name="_Toc2519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7644"/>
      <w:bookmarkStart w:id="455" w:name="_Toc12254"/>
      <w:bookmarkStart w:id="456" w:name="_Toc28906"/>
      <w:bookmarkStart w:id="457" w:name="_Toc5063"/>
      <w:bookmarkStart w:id="458"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2025年-2026年三固运行中心挖机维保服务采购项目（第三次）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2025年-2026年三固运行中心挖机维保服务采购项目（第三次）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3"/>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2"/>
        <w:rPr>
          <w:color w:val="auto"/>
        </w:rPr>
      </w:pPr>
    </w:p>
    <w:p w14:paraId="0DD8DDC7">
      <w:pPr>
        <w:pStyle w:val="14"/>
      </w:pPr>
    </w:p>
    <w:p w14:paraId="5F4E7760">
      <w:pPr>
        <w:pStyle w:val="3"/>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7"/>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2025年-2026年三固运行中心挖机维保服务采购项目（第三次）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2"/>
        <w:rPr>
          <w:color w:val="auto"/>
        </w:rPr>
      </w:pPr>
    </w:p>
    <w:p w14:paraId="05748400">
      <w:pPr>
        <w:pStyle w:val="3"/>
        <w:rPr>
          <w:color w:val="auto"/>
        </w:rPr>
      </w:pPr>
    </w:p>
    <w:p w14:paraId="5BD807E8">
      <w:pPr>
        <w:rPr>
          <w:color w:val="auto"/>
        </w:rPr>
      </w:pPr>
    </w:p>
    <w:p w14:paraId="631F1A0B">
      <w:pPr>
        <w:pStyle w:val="2"/>
      </w:pPr>
    </w:p>
    <w:p w14:paraId="568FE681">
      <w:pPr>
        <w:pStyle w:val="2"/>
        <w:rPr>
          <w:color w:val="auto"/>
        </w:rPr>
      </w:pPr>
    </w:p>
    <w:p w14:paraId="37160157">
      <w:pPr>
        <w:pStyle w:val="3"/>
        <w:rPr>
          <w:color w:val="auto"/>
        </w:rPr>
      </w:pPr>
    </w:p>
    <w:p w14:paraId="18510655">
      <w:pPr>
        <w:rPr>
          <w:color w:val="auto"/>
        </w:rPr>
      </w:pPr>
    </w:p>
    <w:p w14:paraId="03CD803D">
      <w:pPr>
        <w:pStyle w:val="2"/>
        <w:rPr>
          <w:color w:val="auto"/>
        </w:rPr>
      </w:pPr>
    </w:p>
    <w:p w14:paraId="7C6A2F1D">
      <w:pPr>
        <w:pStyle w:val="3"/>
        <w:rPr>
          <w:color w:val="auto"/>
        </w:rPr>
      </w:pPr>
    </w:p>
    <w:p w14:paraId="2A1EAFA4">
      <w:pPr>
        <w:rPr>
          <w:color w:val="auto"/>
        </w:rPr>
      </w:pPr>
    </w:p>
    <w:p w14:paraId="2300D32D">
      <w:pPr>
        <w:pStyle w:val="2"/>
        <w:rPr>
          <w:color w:val="auto"/>
        </w:rPr>
      </w:pPr>
    </w:p>
    <w:p w14:paraId="4CBC95AE">
      <w:pPr>
        <w:pStyle w:val="3"/>
        <w:rPr>
          <w:color w:val="auto"/>
        </w:rPr>
      </w:pPr>
    </w:p>
    <w:p w14:paraId="798392CC">
      <w:pPr>
        <w:rPr>
          <w:color w:val="auto"/>
        </w:rPr>
      </w:pPr>
    </w:p>
    <w:p w14:paraId="673A965D">
      <w:pPr>
        <w:pStyle w:val="2"/>
        <w:rPr>
          <w:color w:val="auto"/>
        </w:rPr>
      </w:pPr>
    </w:p>
    <w:p w14:paraId="7AF1798F">
      <w:pPr>
        <w:pStyle w:val="3"/>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2025年-2026年三固运行中心挖机维保服务采购项目（第三次）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2"/>
        <w:rPr>
          <w:color w:val="auto"/>
        </w:rPr>
      </w:pPr>
    </w:p>
    <w:p w14:paraId="705692CB">
      <w:pPr>
        <w:pStyle w:val="3"/>
        <w:rPr>
          <w:color w:val="auto"/>
        </w:rPr>
      </w:pPr>
    </w:p>
    <w:p w14:paraId="437E8B68">
      <w:pPr>
        <w:rPr>
          <w:color w:val="auto"/>
        </w:rPr>
      </w:pPr>
    </w:p>
    <w:p w14:paraId="33A065AF">
      <w:pPr>
        <w:pStyle w:val="2"/>
        <w:rPr>
          <w:color w:val="auto"/>
        </w:rPr>
      </w:pPr>
    </w:p>
    <w:p w14:paraId="390524D3">
      <w:pPr>
        <w:pStyle w:val="3"/>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6"/>
              <w:adjustRightInd w:val="0"/>
              <w:spacing w:line="360" w:lineRule="auto"/>
              <w:jc w:val="center"/>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w:t>
            </w:r>
            <w:r>
              <w:rPr>
                <w:rFonts w:hint="eastAsia" w:cs="仿宋" w:asciiTheme="minorEastAsia" w:hAnsiTheme="minorEastAsia"/>
                <w:bCs/>
                <w:color w:val="auto"/>
                <w:sz w:val="24"/>
                <w:highlight w:val="none"/>
                <w:u w:val="single"/>
                <w:lang w:val="en-US" w:eastAsia="zh-CN"/>
              </w:rPr>
              <w:t>完成过</w:t>
            </w:r>
            <w:r>
              <w:rPr>
                <w:rFonts w:hint="eastAsia" w:cs="仿宋" w:asciiTheme="minorEastAsia" w:hAnsiTheme="minorEastAsia"/>
                <w:bCs/>
                <w:color w:val="auto"/>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color w:val="auto"/>
                <w:sz w:val="24"/>
                <w:highlight w:val="none"/>
                <w:u w:val="single"/>
              </w:rPr>
              <w:t>（提供合同复印件作为业绩证明材料</w:t>
            </w:r>
            <w:r>
              <w:rPr>
                <w:rFonts w:hint="eastAsia" w:cs="仿宋" w:asciiTheme="minorEastAsia" w:hAnsiTheme="minorEastAsia"/>
                <w:bCs/>
                <w:color w:val="auto"/>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2"/>
        <w:rPr>
          <w:color w:val="auto"/>
        </w:rPr>
      </w:pPr>
    </w:p>
    <w:p w14:paraId="7051BD90">
      <w:pPr>
        <w:pStyle w:val="3"/>
        <w:rPr>
          <w:color w:val="auto"/>
        </w:rPr>
      </w:pPr>
    </w:p>
    <w:p w14:paraId="15ED29BF">
      <w:pPr>
        <w:rPr>
          <w:color w:val="auto"/>
        </w:rPr>
      </w:pPr>
    </w:p>
    <w:p w14:paraId="2DD7C309">
      <w:pPr>
        <w:pStyle w:val="2"/>
        <w:rPr>
          <w:color w:val="auto"/>
        </w:rPr>
      </w:pPr>
    </w:p>
    <w:p w14:paraId="01842F0E">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3"/>
        <w:rPr>
          <w:color w:val="auto"/>
        </w:rPr>
      </w:pPr>
    </w:p>
    <w:p w14:paraId="50ED184E">
      <w:pPr>
        <w:rPr>
          <w:color w:val="auto"/>
        </w:rPr>
      </w:pPr>
    </w:p>
    <w:p w14:paraId="1A6F3E74">
      <w:pPr>
        <w:pStyle w:val="2"/>
        <w:rPr>
          <w:color w:val="auto"/>
        </w:rPr>
      </w:pPr>
    </w:p>
    <w:p w14:paraId="464D47F2">
      <w:pPr>
        <w:pStyle w:val="3"/>
        <w:rPr>
          <w:color w:val="auto"/>
        </w:rPr>
      </w:pPr>
    </w:p>
    <w:p w14:paraId="6B511750">
      <w:pPr>
        <w:rPr>
          <w:color w:val="auto"/>
        </w:rPr>
      </w:pPr>
    </w:p>
    <w:p w14:paraId="1BE2D6FF">
      <w:pPr>
        <w:pStyle w:val="2"/>
        <w:rPr>
          <w:color w:val="auto"/>
        </w:rPr>
      </w:pPr>
    </w:p>
    <w:p w14:paraId="151F0F7B">
      <w:pPr>
        <w:pStyle w:val="3"/>
      </w:pPr>
    </w:p>
    <w:p w14:paraId="0CC1C1AF">
      <w:pPr>
        <w:pStyle w:val="2"/>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3"/>
        <w:rPr>
          <w:color w:val="auto"/>
        </w:rPr>
      </w:pPr>
    </w:p>
    <w:p w14:paraId="1AF3AAEA">
      <w:pPr>
        <w:rPr>
          <w:color w:val="auto"/>
        </w:rPr>
      </w:pPr>
    </w:p>
    <w:p w14:paraId="3DAA4E90">
      <w:pPr>
        <w:pStyle w:val="2"/>
        <w:rPr>
          <w:color w:val="auto"/>
        </w:rPr>
      </w:pPr>
    </w:p>
    <w:p w14:paraId="150574DA">
      <w:pPr>
        <w:pStyle w:val="3"/>
        <w:rPr>
          <w:color w:val="auto"/>
        </w:rPr>
      </w:pPr>
    </w:p>
    <w:p w14:paraId="0FCCF493">
      <w:pPr>
        <w:rPr>
          <w:color w:val="auto"/>
        </w:rPr>
      </w:pPr>
    </w:p>
    <w:p w14:paraId="51228414">
      <w:pPr>
        <w:pStyle w:val="2"/>
        <w:rPr>
          <w:color w:val="auto"/>
        </w:rPr>
      </w:pPr>
    </w:p>
    <w:p w14:paraId="13BDD14E">
      <w:pPr>
        <w:pStyle w:val="3"/>
        <w:rPr>
          <w:color w:val="auto"/>
        </w:rPr>
      </w:pPr>
    </w:p>
    <w:p w14:paraId="10ADC365">
      <w:pPr>
        <w:rPr>
          <w:color w:val="auto"/>
        </w:rPr>
      </w:pPr>
    </w:p>
    <w:p w14:paraId="52796060">
      <w:pPr>
        <w:pStyle w:val="2"/>
        <w:rPr>
          <w:color w:val="auto"/>
        </w:rPr>
      </w:pPr>
    </w:p>
    <w:p w14:paraId="167C8E6F">
      <w:pPr>
        <w:pStyle w:val="3"/>
        <w:rPr>
          <w:color w:val="auto"/>
        </w:rPr>
      </w:pPr>
    </w:p>
    <w:p w14:paraId="48F033E4">
      <w:pPr>
        <w:rPr>
          <w:color w:val="auto"/>
        </w:rPr>
      </w:pPr>
    </w:p>
    <w:p w14:paraId="0979F993">
      <w:pPr>
        <w:pStyle w:val="2"/>
        <w:rPr>
          <w:color w:val="auto"/>
        </w:rPr>
      </w:pPr>
    </w:p>
    <w:p w14:paraId="22F6FCB8">
      <w:pPr>
        <w:pStyle w:val="3"/>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3"/>
        <w:rPr>
          <w:color w:val="auto"/>
        </w:rPr>
      </w:pPr>
    </w:p>
    <w:p w14:paraId="70007663">
      <w:pPr>
        <w:rPr>
          <w:color w:val="auto"/>
        </w:rPr>
      </w:pPr>
    </w:p>
    <w:p w14:paraId="6385A43C">
      <w:pPr>
        <w:pStyle w:val="3"/>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2"/>
        <w:rPr>
          <w:rFonts w:hint="eastAsia" w:cs="仿宋" w:asciiTheme="minorEastAsia" w:hAnsiTheme="minorEastAsia"/>
          <w:b/>
          <w:color w:val="auto"/>
          <w:kern w:val="0"/>
          <w:sz w:val="32"/>
          <w:szCs w:val="32"/>
          <w:lang w:val="zh-CN"/>
        </w:rPr>
      </w:pPr>
    </w:p>
    <w:p w14:paraId="188AB74D">
      <w:pPr>
        <w:pStyle w:val="3"/>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2"/>
        <w:rPr>
          <w:rFonts w:hint="eastAsia" w:cs="仿宋" w:asciiTheme="minorEastAsia" w:hAnsiTheme="minorEastAsia"/>
          <w:b/>
          <w:color w:val="auto"/>
          <w:kern w:val="0"/>
          <w:sz w:val="32"/>
          <w:szCs w:val="32"/>
          <w:lang w:val="zh-CN"/>
        </w:rPr>
      </w:pPr>
    </w:p>
    <w:p w14:paraId="3485162C">
      <w:pPr>
        <w:pStyle w:val="3"/>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2"/>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7"/>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2"/>
        <w:adjustRightInd w:val="0"/>
        <w:spacing w:after="0" w:line="360" w:lineRule="auto"/>
        <w:ind w:firstLine="480" w:firstLineChars="200"/>
        <w:jc w:val="left"/>
        <w:rPr>
          <w:rFonts w:hint="eastAsia" w:ascii="宋体" w:hAnsi="宋体" w:cs="宋体"/>
          <w:color w:val="auto"/>
          <w:szCs w:val="21"/>
        </w:rPr>
      </w:pPr>
    </w:p>
    <w:p w14:paraId="5E728812">
      <w:pPr>
        <w:pStyle w:val="2"/>
        <w:adjustRightInd w:val="0"/>
        <w:spacing w:after="0" w:line="360" w:lineRule="auto"/>
        <w:ind w:firstLine="480" w:firstLineChars="200"/>
        <w:jc w:val="left"/>
        <w:rPr>
          <w:rFonts w:hint="eastAsia" w:ascii="宋体" w:hAnsi="宋体" w:cs="宋体"/>
          <w:color w:val="auto"/>
          <w:szCs w:val="21"/>
        </w:rPr>
      </w:pPr>
    </w:p>
    <w:p w14:paraId="1D5052E0">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63"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017"/>
        <w:gridCol w:w="923"/>
        <w:gridCol w:w="1264"/>
        <w:gridCol w:w="1276"/>
        <w:gridCol w:w="1260"/>
        <w:gridCol w:w="1500"/>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服务类别</w:t>
            </w:r>
          </w:p>
        </w:tc>
        <w:tc>
          <w:tcPr>
            <w:tcW w:w="6017"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923"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126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暂定数量</w:t>
            </w:r>
          </w:p>
        </w:tc>
        <w:tc>
          <w:tcPr>
            <w:tcW w:w="1276"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260"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500"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restart"/>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vMerge w:val="restart"/>
            <w:noWrap/>
            <w:vAlign w:val="center"/>
          </w:tcPr>
          <w:p w14:paraId="006F3E4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常规保养</w:t>
            </w:r>
          </w:p>
        </w:tc>
        <w:tc>
          <w:tcPr>
            <w:tcW w:w="6017" w:type="dxa"/>
            <w:shd w:val="clear" w:color="auto" w:fill="auto"/>
            <w:noWrap/>
            <w:vAlign w:val="center"/>
          </w:tcPr>
          <w:p w14:paraId="48415E1D">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697500F">
            <w:pPr>
              <w:widowControl/>
              <w:jc w:val="center"/>
              <w:textAlignment w:val="center"/>
              <w:rPr>
                <w:rFonts w:ascii="宋体" w:hAnsi="宋体" w:cs="宋体"/>
                <w:kern w:val="0"/>
                <w:sz w:val="20"/>
                <w:szCs w:val="20"/>
                <w:highlight w:val="none"/>
                <w:lang w:bidi="ar"/>
              </w:rPr>
            </w:pPr>
          </w:p>
        </w:tc>
        <w:tc>
          <w:tcPr>
            <w:tcW w:w="1260"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71024F70">
            <w:pPr>
              <w:widowControl/>
              <w:jc w:val="center"/>
              <w:textAlignment w:val="center"/>
              <w:rPr>
                <w:rFonts w:hint="default" w:ascii="宋体" w:hAnsi="宋体" w:eastAsia="宋体" w:cs="宋体"/>
                <w:sz w:val="21"/>
                <w:szCs w:val="21"/>
                <w:highlight w:val="none"/>
                <w:lang w:val="en-US" w:eastAsia="zh-CN"/>
              </w:rPr>
            </w:pPr>
          </w:p>
        </w:tc>
      </w:tr>
      <w:tr w14:paraId="103A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3BB6C1EB">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221591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279BCDF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5751097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7BA17DE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BB47E6D">
            <w:pPr>
              <w:widowControl/>
              <w:jc w:val="center"/>
              <w:textAlignment w:val="center"/>
              <w:rPr>
                <w:rFonts w:ascii="宋体" w:hAnsi="宋体" w:cs="宋体"/>
                <w:kern w:val="0"/>
                <w:sz w:val="20"/>
                <w:szCs w:val="20"/>
                <w:highlight w:val="none"/>
                <w:lang w:bidi="ar"/>
              </w:rPr>
            </w:pPr>
          </w:p>
        </w:tc>
        <w:tc>
          <w:tcPr>
            <w:tcW w:w="1260" w:type="dxa"/>
            <w:noWrap/>
            <w:vAlign w:val="center"/>
          </w:tcPr>
          <w:p w14:paraId="3165AC5C">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38AA45F9">
            <w:pPr>
              <w:widowControl/>
              <w:jc w:val="center"/>
              <w:textAlignment w:val="center"/>
              <w:rPr>
                <w:rFonts w:hint="eastAsia" w:ascii="宋体" w:hAnsi="宋体" w:eastAsia="宋体" w:cs="宋体"/>
                <w:sz w:val="21"/>
                <w:szCs w:val="21"/>
                <w:highlight w:val="none"/>
                <w:lang w:val="en-US" w:eastAsia="zh-CN"/>
              </w:rPr>
            </w:pPr>
          </w:p>
        </w:tc>
      </w:tr>
      <w:tr w14:paraId="1B5C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2E94B4C3">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324B4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3BD48ED3">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923" w:type="dxa"/>
            <w:noWrap w:val="0"/>
            <w:vAlign w:val="center"/>
          </w:tcPr>
          <w:p w14:paraId="0B9298F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24CA55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6F06629">
            <w:pPr>
              <w:widowControl/>
              <w:jc w:val="center"/>
              <w:textAlignment w:val="center"/>
              <w:rPr>
                <w:rFonts w:ascii="宋体" w:hAnsi="宋体" w:cs="宋体"/>
                <w:kern w:val="0"/>
                <w:sz w:val="20"/>
                <w:szCs w:val="20"/>
                <w:highlight w:val="none"/>
                <w:lang w:bidi="ar"/>
              </w:rPr>
            </w:pPr>
          </w:p>
        </w:tc>
        <w:tc>
          <w:tcPr>
            <w:tcW w:w="1260" w:type="dxa"/>
            <w:noWrap/>
            <w:vAlign w:val="center"/>
          </w:tcPr>
          <w:p w14:paraId="6C5D06B9">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A75F765">
            <w:pPr>
              <w:widowControl/>
              <w:jc w:val="center"/>
              <w:textAlignment w:val="center"/>
              <w:rPr>
                <w:rFonts w:hint="eastAsia" w:ascii="宋体" w:hAnsi="宋体" w:eastAsia="宋体" w:cs="宋体"/>
                <w:sz w:val="21"/>
                <w:szCs w:val="21"/>
                <w:highlight w:val="none"/>
                <w:lang w:val="en-US" w:eastAsia="zh-CN"/>
              </w:rPr>
            </w:pPr>
          </w:p>
        </w:tc>
      </w:tr>
      <w:tr w14:paraId="38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restart"/>
            <w:noWrap/>
            <w:vAlign w:val="center"/>
          </w:tcPr>
          <w:p w14:paraId="2D47C4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31" w:type="dxa"/>
            <w:vMerge w:val="continue"/>
            <w:noWrap/>
            <w:vAlign w:val="center"/>
          </w:tcPr>
          <w:p w14:paraId="23EC8D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150A5104">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923" w:type="dxa"/>
            <w:noWrap w:val="0"/>
            <w:vAlign w:val="center"/>
          </w:tcPr>
          <w:p w14:paraId="11ADB6F8">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98F58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AA03910">
            <w:pPr>
              <w:widowControl/>
              <w:jc w:val="center"/>
              <w:textAlignment w:val="center"/>
              <w:rPr>
                <w:rFonts w:ascii="宋体" w:hAnsi="宋体" w:cs="宋体"/>
                <w:kern w:val="0"/>
                <w:sz w:val="20"/>
                <w:szCs w:val="20"/>
                <w:highlight w:val="none"/>
                <w:lang w:bidi="ar"/>
              </w:rPr>
            </w:pPr>
          </w:p>
        </w:tc>
        <w:tc>
          <w:tcPr>
            <w:tcW w:w="1260" w:type="dxa"/>
            <w:noWrap/>
            <w:vAlign w:val="center"/>
          </w:tcPr>
          <w:p w14:paraId="627E4E94">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7CA65C9">
            <w:pPr>
              <w:widowControl/>
              <w:jc w:val="center"/>
              <w:textAlignment w:val="center"/>
              <w:rPr>
                <w:rFonts w:hint="eastAsia" w:ascii="宋体" w:hAnsi="宋体" w:eastAsia="宋体" w:cs="宋体"/>
                <w:sz w:val="21"/>
                <w:szCs w:val="21"/>
                <w:highlight w:val="none"/>
                <w:lang w:val="en-US" w:eastAsia="zh-CN"/>
              </w:rPr>
            </w:pPr>
          </w:p>
        </w:tc>
      </w:tr>
      <w:tr w14:paraId="66C8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2147E7CA">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71B5F3A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48CA6D7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D97CF3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5E5368EA">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EC4CFF9">
            <w:pPr>
              <w:widowControl/>
              <w:jc w:val="center"/>
              <w:textAlignment w:val="center"/>
              <w:rPr>
                <w:rFonts w:ascii="宋体" w:hAnsi="宋体" w:cs="宋体"/>
                <w:kern w:val="0"/>
                <w:sz w:val="20"/>
                <w:szCs w:val="20"/>
                <w:highlight w:val="none"/>
                <w:lang w:bidi="ar"/>
              </w:rPr>
            </w:pPr>
          </w:p>
        </w:tc>
        <w:tc>
          <w:tcPr>
            <w:tcW w:w="1260" w:type="dxa"/>
            <w:noWrap/>
            <w:vAlign w:val="center"/>
          </w:tcPr>
          <w:p w14:paraId="14BC1262">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CCA50B1">
            <w:pPr>
              <w:widowControl/>
              <w:jc w:val="center"/>
              <w:textAlignment w:val="center"/>
              <w:rPr>
                <w:rFonts w:hint="eastAsia" w:ascii="宋体" w:hAnsi="宋体" w:eastAsia="宋体" w:cs="宋体"/>
                <w:sz w:val="21"/>
                <w:szCs w:val="21"/>
                <w:highlight w:val="none"/>
                <w:lang w:val="en-US" w:eastAsia="zh-CN"/>
              </w:rPr>
            </w:pPr>
          </w:p>
        </w:tc>
      </w:tr>
      <w:tr w14:paraId="10B8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4D51513C">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EE7294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78A043DD">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640CAF5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61BAF47">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2ED6A6C">
            <w:pPr>
              <w:widowControl/>
              <w:jc w:val="center"/>
              <w:textAlignment w:val="center"/>
              <w:rPr>
                <w:rFonts w:ascii="宋体" w:hAnsi="宋体" w:cs="宋体"/>
                <w:kern w:val="0"/>
                <w:sz w:val="20"/>
                <w:szCs w:val="20"/>
                <w:highlight w:val="none"/>
                <w:lang w:bidi="ar"/>
              </w:rPr>
            </w:pPr>
          </w:p>
        </w:tc>
        <w:tc>
          <w:tcPr>
            <w:tcW w:w="1260" w:type="dxa"/>
            <w:noWrap/>
            <w:vAlign w:val="center"/>
          </w:tcPr>
          <w:p w14:paraId="3E42DBE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77BA10C">
            <w:pPr>
              <w:widowControl/>
              <w:jc w:val="center"/>
              <w:textAlignment w:val="center"/>
              <w:rPr>
                <w:rFonts w:hint="eastAsia" w:ascii="宋体" w:hAnsi="宋体" w:eastAsia="宋体" w:cs="宋体"/>
                <w:sz w:val="21"/>
                <w:szCs w:val="21"/>
                <w:highlight w:val="none"/>
                <w:lang w:val="en-US" w:eastAsia="zh-CN"/>
              </w:rPr>
            </w:pPr>
          </w:p>
        </w:tc>
      </w:tr>
      <w:tr w14:paraId="251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2" w:type="dxa"/>
            <w:noWrap/>
            <w:vAlign w:val="center"/>
          </w:tcPr>
          <w:p w14:paraId="2819C9D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31" w:type="dxa"/>
            <w:noWrap/>
            <w:vAlign w:val="center"/>
          </w:tcPr>
          <w:p w14:paraId="1CF5F01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维修配件</w:t>
            </w:r>
          </w:p>
        </w:tc>
        <w:tc>
          <w:tcPr>
            <w:tcW w:w="6017" w:type="dxa"/>
            <w:shd w:val="clear" w:color="auto" w:fill="auto"/>
            <w:noWrap/>
            <w:vAlign w:val="center"/>
          </w:tcPr>
          <w:p w14:paraId="512C8F6A">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沃尔沃EW145B轮挖</w:t>
            </w:r>
            <w:r>
              <w:rPr>
                <w:rFonts w:hint="eastAsia" w:ascii="宋体" w:hAnsi="宋体" w:cs="宋体"/>
                <w:color w:val="auto"/>
                <w:kern w:val="2"/>
                <w:sz w:val="20"/>
                <w:szCs w:val="20"/>
                <w:lang w:val="en-US" w:eastAsia="zh-CN" w:bidi="ar-SA"/>
              </w:rPr>
              <w:t>维修配件，详见清单明细表</w:t>
            </w:r>
          </w:p>
        </w:tc>
        <w:tc>
          <w:tcPr>
            <w:tcW w:w="923" w:type="dxa"/>
            <w:noWrap w:val="0"/>
            <w:vAlign w:val="center"/>
          </w:tcPr>
          <w:p w14:paraId="1296BFE1">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批</w:t>
            </w:r>
          </w:p>
        </w:tc>
        <w:tc>
          <w:tcPr>
            <w:tcW w:w="1264" w:type="dxa"/>
            <w:noWrap/>
            <w:vAlign w:val="center"/>
          </w:tcPr>
          <w:p w14:paraId="356E19F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8AC937C">
            <w:pPr>
              <w:widowControl/>
              <w:jc w:val="center"/>
              <w:textAlignment w:val="center"/>
              <w:rPr>
                <w:rFonts w:ascii="宋体" w:hAnsi="宋体" w:cs="宋体"/>
                <w:kern w:val="0"/>
                <w:sz w:val="20"/>
                <w:szCs w:val="20"/>
                <w:highlight w:val="none"/>
                <w:lang w:bidi="ar"/>
              </w:rPr>
            </w:pPr>
          </w:p>
        </w:tc>
        <w:tc>
          <w:tcPr>
            <w:tcW w:w="1260" w:type="dxa"/>
            <w:noWrap/>
            <w:vAlign w:val="center"/>
          </w:tcPr>
          <w:p w14:paraId="745A7965">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53C3B5E4">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5300"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5300"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6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300"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0D222F09">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3"/>
        <w:rPr>
          <w:color w:val="auto"/>
        </w:rPr>
      </w:pPr>
    </w:p>
    <w:p w14:paraId="6C378D68">
      <w:pPr>
        <w:rPr>
          <w:color w:val="auto"/>
        </w:rPr>
      </w:pPr>
    </w:p>
    <w:p w14:paraId="13FD2B87">
      <w:pPr>
        <w:pStyle w:val="2"/>
        <w:rPr>
          <w:color w:val="auto"/>
        </w:rPr>
      </w:pPr>
    </w:p>
    <w:p w14:paraId="4BF62D37">
      <w:pPr>
        <w:pStyle w:val="3"/>
        <w:rPr>
          <w:color w:val="auto"/>
        </w:rPr>
      </w:pPr>
    </w:p>
    <w:p w14:paraId="5D81596C">
      <w:pPr>
        <w:rPr>
          <w:color w:val="auto"/>
        </w:rPr>
      </w:pPr>
    </w:p>
    <w:p w14:paraId="75427C80">
      <w:pPr>
        <w:pStyle w:val="2"/>
        <w:rPr>
          <w:color w:val="auto"/>
        </w:rPr>
      </w:pPr>
    </w:p>
    <w:p w14:paraId="48CF8DFF">
      <w:pPr>
        <w:pStyle w:val="3"/>
        <w:rPr>
          <w:color w:val="auto"/>
        </w:rPr>
      </w:pPr>
    </w:p>
    <w:p w14:paraId="2576C20D">
      <w:pPr>
        <w:rPr>
          <w:color w:val="auto"/>
        </w:rPr>
      </w:pPr>
    </w:p>
    <w:p w14:paraId="635BDA45">
      <w:pPr>
        <w:pStyle w:val="3"/>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6DD27192">
      <w:pPr>
        <w:pStyle w:val="9"/>
        <w:spacing w:before="100" w:beforeAutospacing="1" w:after="100" w:afterAutospacing="1" w:line="360" w:lineRule="auto"/>
        <w:jc w:val="center"/>
        <w:rPr>
          <w:rFonts w:hint="default" w:hAnsi="宋体" w:cs="宋体"/>
          <w:b/>
          <w:sz w:val="32"/>
          <w:szCs w:val="32"/>
          <w:lang w:val="en-US" w:eastAsia="zh-CN"/>
        </w:rPr>
      </w:pPr>
      <w:r>
        <w:rPr>
          <w:rFonts w:hint="eastAsia" w:hAnsi="宋体" w:cs="宋体"/>
          <w:b/>
          <w:sz w:val="32"/>
          <w:szCs w:val="32"/>
          <w:lang w:val="en-US" w:eastAsia="zh-CN"/>
        </w:rPr>
        <w:t>配件清单明细表</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717"/>
        <w:gridCol w:w="1853"/>
        <w:gridCol w:w="1400"/>
        <w:gridCol w:w="1000"/>
        <w:gridCol w:w="1000"/>
        <w:gridCol w:w="1000"/>
      </w:tblGrid>
      <w:tr w14:paraId="6163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0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96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0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23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0289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1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D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6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1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8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8C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1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2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6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3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8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9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3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0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D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6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F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1B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1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5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4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17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C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3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1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5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2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5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4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5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C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9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9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5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4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16C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6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7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9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F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0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C9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1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F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E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7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8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6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C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9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7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7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83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A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A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D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1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B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D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1A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B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67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C5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2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0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1E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3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3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F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B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E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E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DF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D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A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5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E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B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9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9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B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3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6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4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E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A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69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7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4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A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B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6F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5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3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5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4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3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4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D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0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2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B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7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E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7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B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C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EA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8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B5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3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F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C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0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4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4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8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F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E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1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4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4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3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7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9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8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5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1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00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9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D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C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8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A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6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9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A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1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3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F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4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7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8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C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9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E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9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6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8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5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0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B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E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50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C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4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7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7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3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E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A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B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A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C7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A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6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F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1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D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7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E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26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E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87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A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5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B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5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6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3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2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E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6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9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8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44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C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4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6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4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D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E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9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D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C1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D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2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C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6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A3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6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C8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F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9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9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52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7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3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F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4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5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B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F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7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E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3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0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2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2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B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4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8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B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2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9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A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E6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2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5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A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B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1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2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E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7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B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8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30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5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62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0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0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E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5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F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0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F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8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1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E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C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9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A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2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A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02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D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B4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D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2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7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C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0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1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1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D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E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0A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4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92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E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D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B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2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C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A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4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C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9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A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D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1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F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7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7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0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B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4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1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35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F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B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C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0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CF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6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6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58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06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7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4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0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9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0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6E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4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A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F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79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80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5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1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47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E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E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0D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5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A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A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C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B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1D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A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1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93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3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4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34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D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9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B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6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9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7A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DB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E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8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E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0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F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24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7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8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5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5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2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C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A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E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4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9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D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C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0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8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9A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C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CE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7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6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BA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9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0C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9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D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D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6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2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D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D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A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C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1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B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C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3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8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E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4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2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E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B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F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0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4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B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4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2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C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3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F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D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A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5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F3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C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A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7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7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C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3F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F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5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E0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7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00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2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63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A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1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B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3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98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C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E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6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F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A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3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A9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E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3E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02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B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2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513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43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A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0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C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D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E2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4246">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9A2E">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E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8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C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7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EF9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C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7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1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7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3C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6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0F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8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B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6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A9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10A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8D2A">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1877">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9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8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6A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E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85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F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F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5C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D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C2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85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3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7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D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9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8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95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8C91">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9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A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FA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25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1A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A7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0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5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A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8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89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1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F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3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CF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91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E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E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E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E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1B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3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F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4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4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04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2D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2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7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5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E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4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81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6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50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D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5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B9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4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A5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C3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A0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B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B3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A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5F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F0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3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7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D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4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20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9E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B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2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D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D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D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8E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06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8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3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9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E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17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2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09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4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1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7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C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6F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82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0F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8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4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A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A3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72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D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B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1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4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6D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82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3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8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B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B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2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AB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6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C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D9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4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B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0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2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1E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7A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2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C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D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B1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F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A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EB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0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B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1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2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0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3B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3E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E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F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F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D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CF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CD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3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9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1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4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01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6E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B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1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A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5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3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9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98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9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C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7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E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B7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E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C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0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2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8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E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E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3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2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5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8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613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8B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4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C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7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A5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5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BCC3F50">
      <w:pPr>
        <w:pStyle w:val="9"/>
        <w:spacing w:before="100" w:beforeAutospacing="1" w:after="100" w:afterAutospacing="1" w:line="360" w:lineRule="auto"/>
        <w:jc w:val="both"/>
        <w:rPr>
          <w:rFonts w:hint="eastAsia" w:hAnsi="宋体" w:cs="宋体"/>
          <w:b/>
          <w:sz w:val="32"/>
          <w:szCs w:val="32"/>
          <w:lang w:val="en-US" w:eastAsia="zh-CN"/>
        </w:rPr>
      </w:pPr>
    </w:p>
    <w:p w14:paraId="1D3C2DF7">
      <w:pPr>
        <w:pStyle w:val="9"/>
        <w:spacing w:before="100" w:beforeAutospacing="1" w:after="100" w:afterAutospacing="1" w:line="360" w:lineRule="auto"/>
        <w:jc w:val="both"/>
        <w:rPr>
          <w:rFonts w:hint="eastAsia" w:hAnsi="宋体" w:cs="宋体"/>
          <w:b/>
          <w:sz w:val="32"/>
          <w:szCs w:val="32"/>
          <w:lang w:val="en-US" w:eastAsia="zh-CN"/>
        </w:rPr>
      </w:pPr>
    </w:p>
    <w:p w14:paraId="6C2EF308">
      <w:pPr>
        <w:pStyle w:val="9"/>
        <w:spacing w:before="100" w:beforeAutospacing="1" w:after="100" w:afterAutospacing="1" w:line="360" w:lineRule="auto"/>
        <w:jc w:val="both"/>
        <w:rPr>
          <w:rFonts w:hint="eastAsia" w:hAnsi="宋体" w:cs="宋体"/>
          <w:b/>
          <w:sz w:val="32"/>
          <w:szCs w:val="32"/>
          <w:lang w:val="en-US" w:eastAsia="zh-CN"/>
        </w:r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2"/>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2025年-2026年三固运行中心挖机维保服务采购项目（第三次）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38E4AB3D">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CC011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3064D3F"/>
    <w:rsid w:val="1399374C"/>
    <w:rsid w:val="13BF1AD6"/>
    <w:rsid w:val="13FF5068"/>
    <w:rsid w:val="14521AA0"/>
    <w:rsid w:val="146C41CB"/>
    <w:rsid w:val="15003014"/>
    <w:rsid w:val="15506B2A"/>
    <w:rsid w:val="15BE749A"/>
    <w:rsid w:val="15E02F18"/>
    <w:rsid w:val="166F3635"/>
    <w:rsid w:val="185A544F"/>
    <w:rsid w:val="18890233"/>
    <w:rsid w:val="18CF230C"/>
    <w:rsid w:val="18E66EE1"/>
    <w:rsid w:val="19106352"/>
    <w:rsid w:val="19711A8B"/>
    <w:rsid w:val="198737C7"/>
    <w:rsid w:val="19DC6BDA"/>
    <w:rsid w:val="19E026C8"/>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0984492"/>
    <w:rsid w:val="212608CC"/>
    <w:rsid w:val="215F709E"/>
    <w:rsid w:val="21677697"/>
    <w:rsid w:val="229536BA"/>
    <w:rsid w:val="22A244DC"/>
    <w:rsid w:val="22E372E3"/>
    <w:rsid w:val="235E195C"/>
    <w:rsid w:val="2378337E"/>
    <w:rsid w:val="23A42F3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9B5E5B"/>
    <w:rsid w:val="2BDA5141"/>
    <w:rsid w:val="2C270527"/>
    <w:rsid w:val="2C4141D8"/>
    <w:rsid w:val="2D0347D2"/>
    <w:rsid w:val="2D682F2F"/>
    <w:rsid w:val="2E543475"/>
    <w:rsid w:val="2E8F1D1F"/>
    <w:rsid w:val="2EA152A3"/>
    <w:rsid w:val="2F1F33A8"/>
    <w:rsid w:val="2F5836E9"/>
    <w:rsid w:val="2F7610B9"/>
    <w:rsid w:val="2F7A10AB"/>
    <w:rsid w:val="30123142"/>
    <w:rsid w:val="302169BE"/>
    <w:rsid w:val="304A7E50"/>
    <w:rsid w:val="314B6E80"/>
    <w:rsid w:val="31797964"/>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4E34AF"/>
    <w:rsid w:val="50772E11"/>
    <w:rsid w:val="50886E1D"/>
    <w:rsid w:val="50D545B6"/>
    <w:rsid w:val="513B5867"/>
    <w:rsid w:val="51454B8D"/>
    <w:rsid w:val="514563A8"/>
    <w:rsid w:val="523875F5"/>
    <w:rsid w:val="52506204"/>
    <w:rsid w:val="52B35FD7"/>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BE96AEB"/>
    <w:rsid w:val="6C6053D7"/>
    <w:rsid w:val="6CE71AE0"/>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6"/>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6">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37452</Words>
  <Characters>43560</Characters>
  <Lines>0</Lines>
  <Paragraphs>0</Paragraphs>
  <TotalTime>4</TotalTime>
  <ScaleCrop>false</ScaleCrop>
  <LinksUpToDate>false</LinksUpToDate>
  <CharactersWithSpaces>46329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2025-09-02T05:12:03Z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