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2025年-2026年高压变频器维修服务采购项目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202509033</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12627D43">
      <w:pPr>
        <w:spacing w:line="360" w:lineRule="auto"/>
        <w:ind w:firstLine="640" w:firstLineChars="200"/>
        <w:jc w:val="center"/>
        <w:rPr>
          <w:rFonts w:hint="eastAsia" w:cs="仿宋" w:asciiTheme="minorEastAsia" w:hAnsiTheme="minorEastAsia" w:eastAsiaTheme="minorEastAsia"/>
          <w:b/>
          <w:color w:val="auto"/>
          <w:sz w:val="30"/>
          <w:szCs w:val="30"/>
          <w:lang w:eastAsia="zh-CN"/>
        </w:rPr>
      </w:pPr>
      <w:r>
        <w:rPr>
          <w:rFonts w:hint="eastAsia" w:cs="仿宋" w:asciiTheme="minorEastAsia" w:hAnsiTheme="minorEastAsia"/>
          <w:color w:val="auto"/>
          <w:sz w:val="32"/>
          <w:szCs w:val="32"/>
          <w:lang w:val="en-US" w:eastAsia="zh-CN"/>
        </w:rPr>
        <w:t>2025年9月29日</w:t>
      </w: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2025年-2026年高压变频器维修服务采购项目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202509033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2025年-2026年高压变频器维修服务采购项目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19.2万元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color w:val="auto"/>
          <w:sz w:val="24"/>
        </w:rPr>
        <w:t>杭州临江环境能源有限公司</w:t>
      </w:r>
      <w:r>
        <w:rPr>
          <w:rFonts w:hint="eastAsia" w:hAnsi="宋体" w:cs="宋体"/>
          <w:bCs/>
          <w:color w:val="auto"/>
          <w:sz w:val="24"/>
          <w:lang w:val="en-US" w:eastAsia="zh-CN"/>
        </w:rPr>
        <w:t>的</w:t>
      </w:r>
      <w:r>
        <w:rPr>
          <w:rFonts w:hint="eastAsia" w:cs="仿宋" w:asciiTheme="minorEastAsia" w:hAnsiTheme="minorEastAsia"/>
          <w:color w:val="auto"/>
          <w:sz w:val="24"/>
          <w:u w:val="single"/>
          <w:lang w:val="en-US" w:eastAsia="zh-CN"/>
        </w:rPr>
        <w:t>高压变频器</w:t>
      </w:r>
      <w:r>
        <w:rPr>
          <w:rFonts w:hint="eastAsia" w:hAnsi="宋体" w:cs="宋体"/>
          <w:bCs/>
          <w:color w:val="auto"/>
          <w:sz w:val="24"/>
          <w:lang w:val="en-US" w:eastAsia="zh-CN"/>
        </w:rPr>
        <w:t>需要采购</w:t>
      </w:r>
      <w:r>
        <w:rPr>
          <w:rFonts w:hint="eastAsia" w:hAnsi="宋体" w:cs="宋体"/>
          <w:bCs/>
          <w:color w:val="auto"/>
          <w:sz w:val="24"/>
          <w:lang w:eastAsia="zh-CN"/>
        </w:rPr>
        <w:t>委外维修服务</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35393623"/>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3.业绩要求： 供应商提供自2023年1月1日起至少完成过1例SIEMENS（西门子）6SR55002系列高压变频器维修的业绩（同时提供合同复印件）。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w:t>
      </w:r>
      <w:r>
        <w:rPr>
          <w:rFonts w:hint="eastAsia" w:cs="仿宋" w:asciiTheme="minorEastAsia" w:hAnsiTheme="minorEastAsia"/>
          <w:bCs/>
          <w:color w:val="auto"/>
          <w:sz w:val="24"/>
          <w:highlight w:val="none"/>
        </w:rPr>
        <w:t>人提供的名单为准</w:t>
      </w:r>
      <w:r>
        <w:rPr>
          <w:rFonts w:hint="eastAsia" w:cs="仿宋" w:asciiTheme="minorEastAsia" w:hAnsiTheme="minorEastAsia"/>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14:paraId="6DD5E25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w:t>
      </w:r>
      <w:r>
        <w:rPr>
          <w:rFonts w:hint="eastAsia" w:cs="仿宋" w:asciiTheme="minorEastAsia" w:hAnsiTheme="minorEastAsia"/>
          <w:color w:val="auto"/>
          <w:sz w:val="24"/>
          <w:u w:val="single"/>
          <w:lang w:val="en-US" w:eastAsia="zh-CN"/>
        </w:rPr>
        <w:t>10</w:t>
      </w:r>
      <w:r>
        <w:rPr>
          <w:rFonts w:hint="eastAsia" w:cs="仿宋" w:asciiTheme="minorEastAsia" w:hAnsiTheme="minorEastAsia"/>
          <w:color w:val="auto"/>
          <w:sz w:val="24"/>
          <w:u w:val="single"/>
          <w:lang w:eastAsia="zh-CN"/>
        </w:rPr>
        <w:t>月</w:t>
      </w:r>
      <w:r>
        <w:rPr>
          <w:rFonts w:hint="eastAsia" w:cs="仿宋" w:asciiTheme="minorEastAsia" w:hAnsiTheme="minorEastAsia"/>
          <w:color w:val="auto"/>
          <w:sz w:val="24"/>
          <w:u w:val="single"/>
          <w:lang w:val="en-US" w:eastAsia="zh-CN"/>
        </w:rPr>
        <w:t>14</w:t>
      </w:r>
      <w:bookmarkStart w:id="464" w:name="_GoBack"/>
      <w:bookmarkEnd w:id="464"/>
      <w:r>
        <w:rPr>
          <w:rFonts w:hint="eastAsia" w:cs="仿宋" w:asciiTheme="minorEastAsia" w:hAnsiTheme="minorEastAsia"/>
          <w:color w:val="auto"/>
          <w:sz w:val="24"/>
          <w:u w:val="single"/>
          <w:lang w:eastAsia="zh-CN"/>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14:paraId="3B2B388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32FC273E">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3F33BB4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14:paraId="4019FF79">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color w:val="auto"/>
          <w:sz w:val="24"/>
        </w:rPr>
        <w:t>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华</w:t>
      </w:r>
      <w:r>
        <w:rPr>
          <w:rFonts w:hint="eastAsia" w:cs="仿宋" w:asciiTheme="minorEastAsia" w:hAnsiTheme="minorEastAsia"/>
          <w:color w:val="auto"/>
          <w:sz w:val="24"/>
        </w:rPr>
        <w:t>工 15</w:t>
      </w:r>
      <w:r>
        <w:rPr>
          <w:rFonts w:hint="eastAsia" w:cs="仿宋" w:asciiTheme="minorEastAsia" w:hAnsiTheme="minorEastAsia"/>
          <w:color w:val="auto"/>
          <w:sz w:val="24"/>
          <w:lang w:val="en-US" w:eastAsia="zh-CN"/>
        </w:rPr>
        <w:t>857174171</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54C8D7E">
      <w:pPr>
        <w:spacing w:line="460" w:lineRule="exact"/>
        <w:jc w:val="right"/>
        <w:rPr>
          <w:rFonts w:cs="仿宋" w:asciiTheme="minorEastAsia" w:hAnsiTheme="minorEastAsia"/>
          <w:b/>
          <w:bCs/>
          <w:color w:val="auto"/>
          <w:sz w:val="36"/>
          <w:szCs w:val="36"/>
        </w:rPr>
      </w:pPr>
      <w:r>
        <w:rPr>
          <w:rFonts w:hint="eastAsia" w:cs="仿宋" w:asciiTheme="minorEastAsia" w:hAnsiTheme="minorEastAsia"/>
          <w:color w:val="auto"/>
          <w:sz w:val="24"/>
          <w:lang w:val="en-US" w:eastAsia="zh-CN"/>
        </w:rPr>
        <w:t>2025年9月29日</w:t>
      </w:r>
    </w:p>
    <w:p w14:paraId="107CDCA5">
      <w:pPr>
        <w:spacing w:line="460" w:lineRule="exact"/>
        <w:jc w:val="center"/>
        <w:rPr>
          <w:rFonts w:cs="仿宋" w:asciiTheme="minorEastAsia" w:hAnsiTheme="minorEastAsia"/>
          <w:b/>
          <w:bCs/>
          <w:color w:val="auto"/>
          <w:sz w:val="36"/>
          <w:szCs w:val="36"/>
        </w:rPr>
      </w:pPr>
    </w:p>
    <w:p w14:paraId="0F366541">
      <w:pPr>
        <w:spacing w:line="460" w:lineRule="exact"/>
        <w:jc w:val="center"/>
        <w:rPr>
          <w:rFonts w:cs="仿宋" w:asciiTheme="minorEastAsia" w:hAnsiTheme="minorEastAsia"/>
          <w:b/>
          <w:bCs/>
          <w:color w:val="auto"/>
          <w:sz w:val="36"/>
          <w:szCs w:val="36"/>
        </w:rPr>
      </w:pPr>
    </w:p>
    <w:p w14:paraId="37E3805F">
      <w:pPr>
        <w:spacing w:line="460" w:lineRule="exact"/>
        <w:jc w:val="center"/>
        <w:rPr>
          <w:rFonts w:cs="仿宋" w:asciiTheme="minorEastAsia" w:hAnsiTheme="minorEastAsia"/>
          <w:b/>
          <w:bCs/>
          <w:color w:val="auto"/>
          <w:sz w:val="36"/>
          <w:szCs w:val="36"/>
        </w:rPr>
      </w:pPr>
    </w:p>
    <w:p w14:paraId="37F13639">
      <w:pPr>
        <w:pStyle w:val="15"/>
        <w:rPr>
          <w:rFonts w:cs="仿宋" w:asciiTheme="minorEastAsia" w:hAnsiTheme="minorEastAsia"/>
          <w:b/>
          <w:bCs/>
          <w:color w:val="auto"/>
          <w:sz w:val="36"/>
          <w:szCs w:val="36"/>
        </w:rPr>
      </w:pPr>
    </w:p>
    <w:p w14:paraId="26AC4FD9">
      <w:pPr>
        <w:rPr>
          <w:rFonts w:cs="仿宋" w:asciiTheme="minorEastAsia" w:hAnsiTheme="minorEastAsia"/>
          <w:b/>
          <w:bCs/>
          <w:color w:val="auto"/>
          <w:sz w:val="36"/>
          <w:szCs w:val="36"/>
        </w:rPr>
      </w:pPr>
    </w:p>
    <w:p w14:paraId="2E1D159A">
      <w:pPr>
        <w:pStyle w:val="15"/>
        <w:rPr>
          <w:rFonts w:cs="仿宋" w:asciiTheme="minorEastAsia" w:hAnsiTheme="minorEastAsia"/>
          <w:b/>
          <w:bCs/>
          <w:color w:val="auto"/>
          <w:sz w:val="36"/>
          <w:szCs w:val="36"/>
        </w:rPr>
      </w:pPr>
    </w:p>
    <w:p w14:paraId="2701E0C5">
      <w:pPr>
        <w:rPr>
          <w:rFonts w:cs="仿宋" w:asciiTheme="minorEastAsia" w:hAnsiTheme="minorEastAsia"/>
          <w:b/>
          <w:bCs/>
          <w:color w:val="auto"/>
          <w:sz w:val="36"/>
          <w:szCs w:val="36"/>
        </w:rPr>
      </w:pPr>
    </w:p>
    <w:p w14:paraId="36468092">
      <w:pPr>
        <w:pStyle w:val="15"/>
        <w:rPr>
          <w:rFonts w:cs="仿宋" w:asciiTheme="minorEastAsia" w:hAnsiTheme="minorEastAsia"/>
          <w:b/>
          <w:bCs/>
          <w:color w:val="auto"/>
          <w:sz w:val="36"/>
          <w:szCs w:val="36"/>
        </w:rPr>
      </w:pPr>
    </w:p>
    <w:p w14:paraId="59709AAE">
      <w:pPr>
        <w:rPr>
          <w:rFonts w:cs="仿宋" w:asciiTheme="minorEastAsia" w:hAnsiTheme="minorEastAsia"/>
          <w:b/>
          <w:bCs/>
          <w:color w:val="auto"/>
          <w:sz w:val="36"/>
          <w:szCs w:val="36"/>
        </w:rPr>
      </w:pPr>
    </w:p>
    <w:p w14:paraId="23E8EC61">
      <w:pPr>
        <w:rPr>
          <w:rFonts w:cs="仿宋" w:asciiTheme="minorEastAsia" w:hAnsiTheme="minorEastAsia"/>
          <w:b/>
          <w:bCs/>
          <w:color w:val="auto"/>
          <w:sz w:val="36"/>
          <w:szCs w:val="36"/>
        </w:rPr>
      </w:pPr>
    </w:p>
    <w:p w14:paraId="59201760">
      <w:pPr>
        <w:pStyle w:val="15"/>
        <w:rPr>
          <w:rFonts w:cs="仿宋" w:asciiTheme="minorEastAsia" w:hAnsiTheme="minorEastAsia"/>
          <w:b/>
          <w:bCs/>
          <w:color w:val="auto"/>
          <w:sz w:val="36"/>
          <w:szCs w:val="36"/>
        </w:rPr>
      </w:pPr>
    </w:p>
    <w:p w14:paraId="1B14E8E3">
      <w:pPr>
        <w:rPr>
          <w:rFonts w:cs="仿宋" w:asciiTheme="minorEastAsia" w:hAnsiTheme="minorEastAsia"/>
          <w:b/>
          <w:bCs/>
          <w:color w:val="auto"/>
          <w:sz w:val="36"/>
          <w:szCs w:val="36"/>
        </w:rPr>
      </w:pPr>
    </w:p>
    <w:p w14:paraId="1FC0302B">
      <w:pPr>
        <w:rPr>
          <w:rFonts w:cs="仿宋" w:asciiTheme="minorEastAsia" w:hAnsiTheme="minorEastAsia"/>
          <w:b/>
          <w:bCs/>
          <w:color w:val="auto"/>
          <w:sz w:val="36"/>
          <w:szCs w:val="36"/>
        </w:rPr>
      </w:pPr>
    </w:p>
    <w:p w14:paraId="3E90E591">
      <w:pPr>
        <w:rPr>
          <w:rFonts w:cs="仿宋" w:asciiTheme="minorEastAsia" w:hAnsiTheme="minorEastAsia"/>
          <w:b/>
          <w:bCs/>
          <w:color w:val="auto"/>
          <w:sz w:val="36"/>
          <w:szCs w:val="36"/>
        </w:rPr>
      </w:pPr>
    </w:p>
    <w:p w14:paraId="67B10812">
      <w:pPr>
        <w:rPr>
          <w:rFonts w:cs="仿宋" w:asciiTheme="minorEastAsia" w:hAnsiTheme="minorEastAsia"/>
          <w:b/>
          <w:bCs/>
          <w:color w:val="auto"/>
          <w:sz w:val="36"/>
          <w:szCs w:val="36"/>
        </w:rPr>
      </w:pPr>
    </w:p>
    <w:p w14:paraId="6B52CDED">
      <w:pPr>
        <w:rPr>
          <w:rFonts w:cs="仿宋" w:asciiTheme="minorEastAsia" w:hAnsiTheme="minorEastAsia"/>
          <w:b/>
          <w:bCs/>
          <w:color w:val="auto"/>
          <w:sz w:val="36"/>
          <w:szCs w:val="36"/>
        </w:rPr>
      </w:pPr>
    </w:p>
    <w:p w14:paraId="21267DBD">
      <w:pPr>
        <w:rPr>
          <w:rFonts w:cs="仿宋" w:asciiTheme="minorEastAsia" w:hAnsiTheme="minorEastAsia"/>
          <w:b/>
          <w:bCs/>
          <w:color w:val="auto"/>
          <w:sz w:val="36"/>
          <w:szCs w:val="36"/>
        </w:rPr>
      </w:pPr>
    </w:p>
    <w:p w14:paraId="3684A450">
      <w:pPr>
        <w:rPr>
          <w:rFonts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6"/>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color w:val="auto"/>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23A968B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7EDFE5A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D6AFC1E">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3"/>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3"/>
        <w:spacing w:before="0"/>
        <w:ind w:firstLine="0" w:firstLineChars="0"/>
        <w:jc w:val="center"/>
        <w:rPr>
          <w:rFonts w:cs="仿宋" w:asciiTheme="minorEastAsia" w:hAnsiTheme="minorEastAsia"/>
          <w:b/>
          <w:color w:val="auto"/>
          <w:sz w:val="32"/>
        </w:rPr>
      </w:pPr>
    </w:p>
    <w:p w14:paraId="6D3BDBEA">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4"/>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4"/>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3"/>
        <w:spacing w:before="0"/>
        <w:ind w:firstLine="495" w:firstLineChars="0"/>
        <w:rPr>
          <w:rFonts w:cs="仿宋" w:asciiTheme="minorEastAsia" w:hAnsiTheme="minorEastAsia"/>
          <w:color w:val="auto"/>
          <w:kern w:val="0"/>
          <w:szCs w:val="24"/>
        </w:rPr>
      </w:pPr>
    </w:p>
    <w:p w14:paraId="71637C61">
      <w:pPr>
        <w:pStyle w:val="23"/>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3"/>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3"/>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3"/>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0667BEE">
      <w:pPr>
        <w:pStyle w:val="7"/>
        <w:keepNext w:val="0"/>
        <w:keepLines w:val="0"/>
        <w:pageBreakBefore w:val="0"/>
        <w:widowControl w:val="0"/>
        <w:numPr>
          <w:ilvl w:val="0"/>
          <w:numId w:val="0"/>
        </w:numPr>
        <w:kinsoku w:val="0"/>
        <w:wordWrap w:val="0"/>
        <w:overflowPunct w:val="0"/>
        <w:topLinePunct w:val="0"/>
        <w:autoSpaceDE w:val="0"/>
        <w:autoSpaceDN w:val="0"/>
        <w:bidi w:val="0"/>
        <w:adjustRightInd w:val="0"/>
        <w:snapToGrid w:val="0"/>
        <w:ind w:firstLine="480" w:firstLineChars="200"/>
        <w:jc w:val="left"/>
        <w:textAlignment w:val="auto"/>
        <w:rPr>
          <w:rFonts w:hint="default"/>
          <w:color w:val="auto"/>
          <w:highlight w:val="none"/>
          <w:lang w:val="en-US" w:eastAsia="zh-CN"/>
        </w:rPr>
      </w:pPr>
      <w:r>
        <w:rPr>
          <w:rFonts w:hint="eastAsia" w:ascii="宋体"/>
          <w:color w:val="auto"/>
          <w:highlight w:val="none"/>
          <w:lang w:val="en-US" w:eastAsia="zh-CN"/>
        </w:rPr>
        <w:t>杭州临江环境能源有限公司现有3台SIEMENS（西门子</w:t>
      </w:r>
      <w:r>
        <w:rPr>
          <w:rFonts w:hint="eastAsia"/>
          <w:color w:val="auto"/>
          <w:highlight w:val="none"/>
          <w:lang w:val="en-US" w:eastAsia="zh-CN"/>
        </w:rPr>
        <w:t>）</w:t>
      </w:r>
      <w:r>
        <w:rPr>
          <w:rFonts w:hint="eastAsia" w:ascii="宋体"/>
          <w:color w:val="auto"/>
          <w:highlight w:val="none"/>
          <w:lang w:val="en-US" w:eastAsia="zh-CN"/>
        </w:rPr>
        <w:t>高压变频器型号分别为6SR55002-4MA35-6BF1-Z-31A、6SR55002-4ME42-7BF1-Z-153A、6SR55002-4MB41-0BF1-Z-56A，现在需要采购高压变频器维修服务。</w:t>
      </w:r>
      <w:r>
        <w:rPr>
          <w:rFonts w:hint="eastAsia"/>
          <w:color w:val="auto"/>
          <w:highlight w:val="none"/>
          <w:lang w:val="en-US" w:eastAsia="zh-CN"/>
        </w:rPr>
        <w:t>供应商对采购人现场的高压变频器提供故障排除、配件更换、调试服务，维修内容如下：</w:t>
      </w:r>
    </w:p>
    <w:tbl>
      <w:tblPr>
        <w:tblStyle w:val="17"/>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65"/>
        <w:gridCol w:w="1905"/>
        <w:gridCol w:w="2205"/>
        <w:gridCol w:w="705"/>
        <w:gridCol w:w="660"/>
        <w:gridCol w:w="2502"/>
      </w:tblGrid>
      <w:tr w14:paraId="0813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36BF">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 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2029">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维修</w:t>
            </w:r>
            <w:r>
              <w:rPr>
                <w:rFonts w:hint="eastAsia" w:asciiTheme="minorEastAsia" w:hAnsiTheme="minorEastAsia" w:cstheme="minorEastAsia"/>
                <w:b/>
                <w:bCs/>
                <w:i w:val="0"/>
                <w:iCs w:val="0"/>
                <w:color w:val="auto"/>
                <w:kern w:val="0"/>
                <w:sz w:val="21"/>
                <w:szCs w:val="21"/>
                <w:u w:val="none"/>
                <w:lang w:val="en-US" w:eastAsia="zh-CN" w:bidi="ar"/>
              </w:rPr>
              <w:t>内容</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AD0">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品牌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E7F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728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暂定</w:t>
            </w: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BDF">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FC0">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1168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8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0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F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ZLJM-400D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4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9DD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1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9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F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ZLJM-200D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C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A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C40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9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功率单元45A有旁路</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9LD9000-0AE01-0AAD</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8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A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1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545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6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8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B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1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65R0960-0LM11-0AM0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A91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8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65R0960-0LM12-0AM0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3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B61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2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1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5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6SR0960-0LM14-0AM0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F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0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DB4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2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E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6SR0960-0LM15-0AM0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E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5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0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DC3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6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7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3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65R0960-0LM10-0AM0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3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2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F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D7E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9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E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1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6SR0960-0LM13-0AM0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3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0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7F1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9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1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65R0960-0LM16-0AM0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9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F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2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D33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F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C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I/0板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5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6SR0960-0CC07-1ADO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7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4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F90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C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系统接口板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A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0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65R0960-0CC16-0AD0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F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6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43B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A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触摸屏</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6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6AV2143-6GAD0-0SNO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1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8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4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2FEA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85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cstheme="minorEastAsia"/>
                <w:i w:val="0"/>
                <w:iCs w:val="0"/>
                <w:color w:val="auto"/>
                <w:kern w:val="0"/>
                <w:sz w:val="21"/>
                <w:szCs w:val="21"/>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控制电源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4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K40153A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7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0322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7B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137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维修工时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A5D">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2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2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cstheme="minorEastAsia"/>
                <w:i w:val="0"/>
                <w:iCs w:val="0"/>
                <w:color w:val="auto"/>
                <w:sz w:val="21"/>
                <w:szCs w:val="21"/>
                <w:u w:val="none"/>
                <w:lang w:val="en-US" w:eastAsia="zh-CN"/>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19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天</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C5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color w:val="auto"/>
                <w:sz w:val="21"/>
                <w:szCs w:val="21"/>
                <w:highlight w:val="none"/>
                <w:lang w:val="en-US" w:eastAsia="zh-CN"/>
              </w:rPr>
              <w:t>为故障排除、旧配件更换、新配件调试服务</w:t>
            </w:r>
            <w:r>
              <w:rPr>
                <w:rFonts w:hint="eastAsia" w:asciiTheme="minorEastAsia" w:hAnsiTheme="minorEastAsia" w:eastAsiaTheme="minorEastAsia" w:cstheme="minorEastAsia"/>
                <w:i w:val="0"/>
                <w:iCs w:val="0"/>
                <w:color w:val="auto"/>
                <w:kern w:val="0"/>
                <w:sz w:val="21"/>
                <w:szCs w:val="21"/>
                <w:u w:val="none"/>
                <w:lang w:val="en-US" w:eastAsia="zh-CN" w:bidi="ar"/>
              </w:rPr>
              <w:t>费用</w:t>
            </w:r>
            <w:r>
              <w:rPr>
                <w:rFonts w:hint="eastAsia" w:asciiTheme="minorEastAsia" w:hAnsiTheme="minorEastAsia" w:cstheme="minorEastAsia"/>
                <w:i w:val="0"/>
                <w:iCs w:val="0"/>
                <w:color w:val="auto"/>
                <w:kern w:val="0"/>
                <w:sz w:val="21"/>
                <w:szCs w:val="21"/>
                <w:u w:val="none"/>
                <w:lang w:val="en-US" w:eastAsia="zh-CN" w:bidi="ar"/>
              </w:rPr>
              <w:t>，不足半天按半天计算，超过半天不足1天，按1天计算。</w:t>
            </w:r>
          </w:p>
        </w:tc>
      </w:tr>
    </w:tbl>
    <w:p w14:paraId="3BCD56D4">
      <w:pPr>
        <w:pStyle w:val="7"/>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7"/>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12个月（以采购人委托的时间为准），按需提供</w:t>
      </w:r>
      <w:r>
        <w:rPr>
          <w:rFonts w:hint="eastAsia" w:ascii="宋体"/>
          <w:color w:val="auto"/>
          <w:highlight w:val="none"/>
          <w:lang w:val="en-US" w:eastAsia="zh-CN"/>
        </w:rPr>
        <w:t>高压变频器</w:t>
      </w:r>
      <w:r>
        <w:rPr>
          <w:rFonts w:hint="eastAsia"/>
          <w:color w:val="auto"/>
          <w:highlight w:val="none"/>
          <w:u w:val="single"/>
          <w:lang w:val="en-US" w:eastAsia="zh-CN"/>
        </w:rPr>
        <w:t>维修服务</w:t>
      </w:r>
      <w:r>
        <w:rPr>
          <w:rFonts w:hint="eastAsia"/>
          <w:color w:val="auto"/>
          <w:highlight w:val="none"/>
          <w:lang w:val="en-US"/>
        </w:rPr>
        <w:t>；</w:t>
      </w:r>
    </w:p>
    <w:p w14:paraId="0CBF3655">
      <w:pPr>
        <w:pStyle w:val="7"/>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三、技术要求</w:t>
      </w:r>
    </w:p>
    <w:p w14:paraId="25A3FDAA">
      <w:pPr>
        <w:pStyle w:val="7"/>
        <w:numPr>
          <w:ilvl w:val="0"/>
          <w:numId w:val="0"/>
        </w:numPr>
        <w:shd w:val="clear"/>
        <w:ind w:firstLine="480" w:firstLineChars="200"/>
        <w:rPr>
          <w:rFonts w:hint="eastAsia"/>
          <w:color w:val="auto"/>
          <w:highlight w:val="none"/>
          <w:lang w:val="en-US" w:eastAsia="zh-CN"/>
        </w:rPr>
      </w:pPr>
      <w:r>
        <w:rPr>
          <w:rFonts w:hint="eastAsia"/>
          <w:color w:val="auto"/>
          <w:highlight w:val="none"/>
          <w:lang w:val="en-US" w:eastAsia="zh-CN"/>
        </w:rPr>
        <w:t>1.供应商维修标准满足SIEMENS（西门子）高压变频器的技术说明书。</w:t>
      </w:r>
    </w:p>
    <w:p w14:paraId="394DE497">
      <w:pPr>
        <w:pStyle w:val="7"/>
        <w:numPr>
          <w:ilvl w:val="0"/>
          <w:numId w:val="0"/>
        </w:numPr>
        <w:shd w:val="clear"/>
        <w:ind w:firstLine="480" w:firstLineChars="200"/>
        <w:rPr>
          <w:rFonts w:hint="default" w:ascii="宋体"/>
          <w:color w:val="auto"/>
          <w:highlight w:val="none"/>
          <w:lang w:val="en-US" w:eastAsia="zh-CN"/>
        </w:rPr>
      </w:pPr>
      <w:r>
        <w:rPr>
          <w:rFonts w:hint="eastAsia"/>
          <w:color w:val="auto"/>
          <w:highlight w:val="none"/>
          <w:lang w:val="en-US" w:eastAsia="zh-CN"/>
        </w:rPr>
        <w:t>2.</w:t>
      </w:r>
      <w:r>
        <w:rPr>
          <w:rFonts w:hint="eastAsia"/>
          <w:color w:val="auto"/>
          <w:highlight w:val="none"/>
          <w:lang w:val="en-US"/>
        </w:rPr>
        <w:t>供应商提供</w:t>
      </w:r>
      <w:r>
        <w:rPr>
          <w:rFonts w:hint="eastAsia"/>
          <w:color w:val="auto"/>
          <w:highlight w:val="none"/>
          <w:lang w:val="en-US" w:eastAsia="zh-CN"/>
        </w:rPr>
        <w:t>备件必须为SIEMENS（西门子）原厂正品，</w:t>
      </w:r>
      <w:r>
        <w:rPr>
          <w:rFonts w:hint="eastAsia"/>
          <w:color w:val="auto"/>
          <w:highlight w:val="none"/>
          <w:lang w:val="en-US"/>
        </w:rPr>
        <w:t>不得为假冒伪劣产品</w:t>
      </w:r>
      <w:r>
        <w:rPr>
          <w:rFonts w:hint="eastAsia" w:ascii="宋体"/>
          <w:color w:val="auto"/>
          <w:highlight w:val="none"/>
          <w:lang w:val="en-US" w:eastAsia="zh-CN"/>
        </w:rPr>
        <w:t>。</w:t>
      </w:r>
      <w:r>
        <w:rPr>
          <w:rFonts w:hint="eastAsia"/>
          <w:color w:val="auto"/>
          <w:highlight w:val="none"/>
          <w:lang w:val="en-US" w:eastAsia="zh-CN"/>
        </w:rPr>
        <w:t>若有防伪标识，支持防伪查询。</w:t>
      </w:r>
    </w:p>
    <w:p w14:paraId="09E5994A">
      <w:pPr>
        <w:pStyle w:val="7"/>
        <w:numPr>
          <w:ilvl w:val="0"/>
          <w:numId w:val="0"/>
        </w:numPr>
        <w:shd w:val="clear"/>
        <w:ind w:firstLine="480" w:firstLineChars="200"/>
        <w:rPr>
          <w:rFonts w:hint="default" w:eastAsiaTheme="majorEastAsia"/>
          <w:color w:val="auto"/>
          <w:lang w:val="en-US" w:eastAsia="zh-CN"/>
        </w:rPr>
      </w:pPr>
      <w:r>
        <w:rPr>
          <w:rFonts w:hint="eastAsia"/>
          <w:color w:val="auto"/>
          <w:highlight w:val="none"/>
          <w:lang w:val="en-US" w:eastAsia="zh-CN"/>
        </w:rPr>
        <w:t>3.</w:t>
      </w:r>
      <w:r>
        <w:rPr>
          <w:rFonts w:hint="eastAsia"/>
          <w:color w:val="auto"/>
          <w:highlight w:val="none"/>
          <w:lang w:val="en-US"/>
        </w:rPr>
        <w:t>供应商</w:t>
      </w:r>
      <w:r>
        <w:rPr>
          <w:rFonts w:hint="eastAsia"/>
          <w:color w:val="auto"/>
          <w:highlight w:val="none"/>
          <w:lang w:val="en-US" w:eastAsia="zh-CN"/>
        </w:rPr>
        <w:t>维修质保期</w:t>
      </w:r>
      <w:r>
        <w:rPr>
          <w:rFonts w:hint="eastAsia" w:cs="仿宋_GB2312" w:asciiTheme="majorEastAsia" w:hAnsiTheme="majorEastAsia" w:eastAsiaTheme="majorEastAsia"/>
          <w:color w:val="auto"/>
          <w:sz w:val="24"/>
          <w:szCs w:val="24"/>
          <w:highlight w:val="none"/>
        </w:rPr>
        <w:t>为</w:t>
      </w:r>
      <w:r>
        <w:rPr>
          <w:rFonts w:hint="eastAsia" w:cs="仿宋_GB2312" w:asciiTheme="majorEastAsia" w:hAnsiTheme="majorEastAsia" w:eastAsiaTheme="majorEastAsia"/>
          <w:color w:val="auto"/>
          <w:sz w:val="24"/>
          <w:szCs w:val="24"/>
          <w:highlight w:val="none"/>
          <w:lang w:val="en-US" w:eastAsia="zh-CN"/>
        </w:rPr>
        <w:t>自验收合格后</w:t>
      </w:r>
      <w:r>
        <w:rPr>
          <w:rFonts w:hint="eastAsia" w:cs="仿宋_GB2312" w:asciiTheme="majorEastAsia" w:hAnsiTheme="majorEastAsia" w:eastAsiaTheme="majorEastAsia"/>
          <w:color w:val="auto"/>
          <w:sz w:val="24"/>
          <w:szCs w:val="24"/>
          <w:highlight w:val="none"/>
        </w:rPr>
        <w:t>12个月，在质保期内，若</w:t>
      </w:r>
      <w:r>
        <w:rPr>
          <w:rFonts w:hint="eastAsia" w:cs="仿宋_GB2312" w:asciiTheme="majorEastAsia" w:hAnsiTheme="majorEastAsia" w:eastAsiaTheme="majorEastAsia"/>
          <w:color w:val="auto"/>
          <w:sz w:val="24"/>
          <w:szCs w:val="24"/>
          <w:highlight w:val="none"/>
          <w:lang w:val="en-US" w:eastAsia="zh-CN"/>
        </w:rPr>
        <w:t>发生</w:t>
      </w:r>
      <w:r>
        <w:rPr>
          <w:rFonts w:hint="eastAsia" w:cs="仿宋_GB2312" w:asciiTheme="majorEastAsia" w:hAnsiTheme="majorEastAsia" w:eastAsiaTheme="majorEastAsia"/>
          <w:color w:val="auto"/>
          <w:sz w:val="24"/>
          <w:szCs w:val="24"/>
          <w:highlight w:val="none"/>
        </w:rPr>
        <w:t>质量问题</w:t>
      </w:r>
      <w:r>
        <w:rPr>
          <w:rFonts w:hint="eastAsia" w:cs="仿宋_GB2312" w:asciiTheme="majorEastAsia" w:hAnsiTheme="majorEastAsia" w:eastAsiaTheme="majorEastAsia"/>
          <w:color w:val="auto"/>
          <w:sz w:val="24"/>
          <w:szCs w:val="24"/>
          <w:highlight w:val="none"/>
          <w:lang w:eastAsia="zh-CN"/>
        </w:rPr>
        <w:t>（</w:t>
      </w:r>
      <w:r>
        <w:rPr>
          <w:rFonts w:hint="eastAsia" w:cs="仿宋_GB2312" w:asciiTheme="majorEastAsia" w:hAnsiTheme="majorEastAsia" w:eastAsiaTheme="majorEastAsia"/>
          <w:color w:val="auto"/>
          <w:sz w:val="24"/>
          <w:szCs w:val="24"/>
          <w:highlight w:val="none"/>
          <w:lang w:val="en-US" w:eastAsia="zh-CN"/>
        </w:rPr>
        <w:t>若因采购人提供的配件质量问题除外</w:t>
      </w:r>
      <w:r>
        <w:rPr>
          <w:rFonts w:hint="eastAsia" w:cs="仿宋_GB2312" w:asciiTheme="majorEastAsia" w:hAnsiTheme="majorEastAsia" w:eastAsiaTheme="majorEastAsia"/>
          <w:color w:val="auto"/>
          <w:sz w:val="24"/>
          <w:szCs w:val="24"/>
          <w:highlight w:val="none"/>
          <w:lang w:eastAsia="zh-CN"/>
        </w:rPr>
        <w:t>）</w:t>
      </w:r>
      <w:r>
        <w:rPr>
          <w:rFonts w:hint="eastAsia" w:cs="仿宋_GB2312" w:asciiTheme="majorEastAsia" w:hAnsiTheme="majorEastAsia" w:eastAsiaTheme="majorEastAsia"/>
          <w:color w:val="auto"/>
          <w:sz w:val="24"/>
          <w:szCs w:val="24"/>
          <w:highlight w:val="none"/>
        </w:rPr>
        <w:t>，由</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负责免费维修或更换，产生的费用全部由</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承担，质保期重新计算。</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608F2F49">
      <w:pPr>
        <w:pStyle w:val="16"/>
        <w:numPr>
          <w:ilvl w:val="0"/>
          <w:numId w:val="0"/>
        </w:numPr>
        <w:ind w:firstLine="480" w:firstLineChars="200"/>
        <w:rPr>
          <w:rFonts w:hint="eastAsia"/>
          <w:color w:val="auto"/>
          <w:highlight w:val="none"/>
          <w:lang w:val="en-US" w:eastAsia="zh-CN"/>
        </w:rPr>
      </w:pPr>
      <w:r>
        <w:rPr>
          <w:rFonts w:hint="eastAsia" w:hAnsi="宋体"/>
          <w:color w:val="auto"/>
          <w:sz w:val="24"/>
          <w:highlight w:val="none"/>
          <w:lang w:val="en-US" w:eastAsia="zh-CN"/>
        </w:rPr>
        <w:t>1.采购人对供应商提供的配件进行验收，验收合格后方可更换，若验收不合格的，供应商无条件予以更换至满足要求为止。</w:t>
      </w:r>
    </w:p>
    <w:p w14:paraId="5945764F">
      <w:pPr>
        <w:pStyle w:val="1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olor w:val="auto"/>
          <w:highlight w:val="none"/>
          <w:lang w:val="en-US" w:eastAsia="zh-CN"/>
        </w:rPr>
        <w:t>2.</w:t>
      </w:r>
      <w:r>
        <w:rPr>
          <w:rFonts w:hint="eastAsia" w:ascii="宋体"/>
          <w:color w:val="auto"/>
          <w:highlight w:val="none"/>
          <w:lang w:val="en-US" w:eastAsia="zh-CN"/>
        </w:rPr>
        <w:t>高压变频器</w:t>
      </w:r>
      <w:r>
        <w:rPr>
          <w:rFonts w:hint="eastAsia"/>
          <w:color w:val="auto"/>
          <w:highlight w:val="none"/>
          <w:lang w:val="en-US" w:eastAsia="zh-CN"/>
        </w:rPr>
        <w:t>维修后供应商需出具维修报告和维修明细单。</w:t>
      </w:r>
    </w:p>
    <w:p w14:paraId="2E0E8F7F">
      <w:pPr>
        <w:pStyle w:val="16"/>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3.</w:t>
      </w:r>
      <w:r>
        <w:rPr>
          <w:rFonts w:hint="eastAsia" w:ascii="宋体"/>
          <w:color w:val="auto"/>
          <w:highlight w:val="none"/>
          <w:lang w:val="en-US" w:eastAsia="zh-CN"/>
        </w:rPr>
        <w:t>高压变频器</w:t>
      </w:r>
      <w:r>
        <w:rPr>
          <w:rFonts w:hint="eastAsia" w:hAnsi="Arial" w:cs="Arial"/>
          <w:snapToGrid w:val="0"/>
          <w:color w:val="auto"/>
          <w:kern w:val="2"/>
          <w:sz w:val="24"/>
          <w:szCs w:val="21"/>
          <w:highlight w:val="none"/>
          <w:lang w:val="en-US" w:eastAsia="zh-CN" w:bidi="ar-SA"/>
        </w:rPr>
        <w:t>维修完成后双方需对</w:t>
      </w:r>
      <w:r>
        <w:rPr>
          <w:rFonts w:hint="eastAsia" w:ascii="宋体"/>
          <w:color w:val="auto"/>
          <w:highlight w:val="none"/>
          <w:lang w:val="en-US" w:eastAsia="zh-CN"/>
        </w:rPr>
        <w:t>高压变频器</w:t>
      </w:r>
      <w:r>
        <w:rPr>
          <w:rFonts w:hint="eastAsia" w:hAnsi="Arial" w:cs="Arial"/>
          <w:snapToGrid w:val="0"/>
          <w:color w:val="auto"/>
          <w:kern w:val="2"/>
          <w:sz w:val="24"/>
          <w:szCs w:val="21"/>
          <w:highlight w:val="none"/>
          <w:lang w:val="en-US" w:eastAsia="zh-CN" w:bidi="ar-SA"/>
        </w:rPr>
        <w:t>设备进行“72+24”运行试验，试验合格视为验收合格</w:t>
      </w:r>
      <w:r>
        <w:rPr>
          <w:rFonts w:hint="eastAsia" w:ascii="宋体" w:hAnsi="Arial" w:cs="Arial" w:eastAsiaTheme="minorEastAsia"/>
          <w:snapToGrid w:val="0"/>
          <w:color w:val="auto"/>
          <w:kern w:val="2"/>
          <w:sz w:val="24"/>
          <w:szCs w:val="21"/>
          <w:highlight w:val="none"/>
          <w:lang w:val="en-US" w:eastAsia="zh-CN" w:bidi="ar-SA"/>
        </w:rPr>
        <w:t>。</w:t>
      </w:r>
    </w:p>
    <w:p w14:paraId="609F6597">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2C38CC12">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highlight w:val="none"/>
          <w:lang w:val="en-US" w:eastAsia="zh-CN" w:bidi="ar-SA"/>
        </w:rPr>
        <w:t>供应商</w:t>
      </w:r>
      <w:r>
        <w:rPr>
          <w:rFonts w:hint="eastAsia"/>
          <w:color w:val="auto"/>
          <w:highlight w:val="none"/>
          <w:lang w:val="en-US" w:eastAsia="zh-CN"/>
        </w:rPr>
        <w:t>应指派专人人员与采购人进行技术对接，技术人员应保持手机24小时开机，供应商</w:t>
      </w:r>
      <w:r>
        <w:rPr>
          <w:rFonts w:hint="eastAsia" w:cs="仿宋" w:asciiTheme="minorEastAsia" w:hAnsiTheme="minorEastAsia"/>
          <w:color w:val="auto"/>
          <w:sz w:val="24"/>
          <w:lang w:val="en-US" w:eastAsia="zh-CN"/>
        </w:rPr>
        <w:t>接到维修要求时，供应商需在接到通知后12小时内做出回复，24小时内赶到现场进行维修处理，重大故障需在72小时内处理完毕，特大故障双方协商处理。</w:t>
      </w:r>
      <w:r>
        <w:rPr>
          <w:rFonts w:hint="eastAsia"/>
          <w:color w:val="auto"/>
          <w:highlight w:val="none"/>
          <w:lang w:val="en-US" w:eastAsia="zh-CN"/>
        </w:rPr>
        <w:t>如需更换技术人员，需提前与采购人沟通；供应商服务人员必须熟悉高压变频器及相关硬件，具有操作维护经验。</w:t>
      </w:r>
    </w:p>
    <w:p w14:paraId="4725C1F6">
      <w:pPr>
        <w:spacing w:line="360" w:lineRule="auto"/>
        <w:ind w:firstLine="520" w:firstLineChars="217"/>
        <w:rPr>
          <w:rFonts w:hint="default"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w:t>
      </w:r>
      <w:r>
        <w:rPr>
          <w:rFonts w:hint="eastAsia" w:cs="Arial"/>
          <w:snapToGrid w:val="0"/>
          <w:color w:val="auto"/>
          <w:kern w:val="2"/>
          <w:sz w:val="24"/>
          <w:szCs w:val="21"/>
          <w:highlight w:val="none"/>
          <w:lang w:val="en-US" w:eastAsia="zh-CN" w:bidi="ar-SA"/>
        </w:rPr>
        <w:t>供应商</w:t>
      </w:r>
      <w:r>
        <w:rPr>
          <w:rFonts w:hint="eastAsia" w:ascii="宋体" w:hAnsi="Times New Roman" w:cs="Times New Roman"/>
          <w:snapToGrid/>
          <w:color w:val="auto"/>
          <w:kern w:val="2"/>
          <w:sz w:val="24"/>
          <w:szCs w:val="20"/>
          <w:lang w:val="en-US" w:eastAsia="zh-CN" w:bidi="ar-SA"/>
        </w:rPr>
        <w:t>每次维修服务时需要有采购人技术人员陪同，供应商</w:t>
      </w:r>
      <w:r>
        <w:rPr>
          <w:rFonts w:hint="default" w:ascii="宋体" w:hAnsi="Times New Roman" w:cs="Times New Roman"/>
          <w:snapToGrid/>
          <w:color w:val="auto"/>
          <w:kern w:val="2"/>
          <w:sz w:val="24"/>
          <w:szCs w:val="20"/>
          <w:lang w:val="en-US" w:eastAsia="zh-CN" w:bidi="ar-SA"/>
        </w:rPr>
        <w:t>作业人员</w:t>
      </w:r>
      <w:r>
        <w:rPr>
          <w:rFonts w:hint="eastAsia" w:ascii="宋体" w:hAnsi="Times New Roman" w:cs="Times New Roman"/>
          <w:snapToGrid/>
          <w:color w:val="auto"/>
          <w:kern w:val="2"/>
          <w:sz w:val="24"/>
          <w:szCs w:val="20"/>
          <w:lang w:val="en-US" w:eastAsia="zh-CN" w:bidi="ar-SA"/>
        </w:rPr>
        <w:t>需要持证上岗，如</w:t>
      </w:r>
      <w:r>
        <w:rPr>
          <w:rFonts w:hint="default" w:ascii="宋体" w:hAnsi="Times New Roman" w:cs="Times New Roman"/>
          <w:snapToGrid/>
          <w:color w:val="auto"/>
          <w:kern w:val="2"/>
          <w:sz w:val="24"/>
          <w:szCs w:val="20"/>
          <w:lang w:val="en-US" w:eastAsia="zh-CN" w:bidi="ar-SA"/>
        </w:rPr>
        <w:t>高压电工作业、登高作业证等，</w:t>
      </w:r>
      <w:r>
        <w:rPr>
          <w:rFonts w:hint="eastAsia" w:ascii="宋体" w:hAnsi="Times New Roman" w:cs="Times New Roman"/>
          <w:snapToGrid/>
          <w:color w:val="auto"/>
          <w:kern w:val="2"/>
          <w:sz w:val="24"/>
          <w:szCs w:val="20"/>
          <w:lang w:val="en-US" w:eastAsia="zh-CN" w:bidi="ar-SA"/>
        </w:rPr>
        <w:t>严禁无证作业</w:t>
      </w:r>
      <w:r>
        <w:rPr>
          <w:rFonts w:hint="default" w:ascii="宋体" w:hAnsi="Times New Roman" w:cs="Times New Roman"/>
          <w:snapToGrid/>
          <w:color w:val="auto"/>
          <w:kern w:val="2"/>
          <w:sz w:val="24"/>
          <w:szCs w:val="20"/>
          <w:lang w:val="en-US" w:eastAsia="zh-CN" w:bidi="ar-SA"/>
        </w:rPr>
        <w:t>；</w:t>
      </w:r>
      <w:r>
        <w:rPr>
          <w:rFonts w:hint="eastAsia" w:ascii="宋体" w:hAnsi="Times New Roman" w:cs="Times New Roman"/>
          <w:snapToGrid/>
          <w:color w:val="auto"/>
          <w:kern w:val="2"/>
          <w:sz w:val="24"/>
          <w:szCs w:val="20"/>
          <w:lang w:val="en-US" w:eastAsia="zh-CN" w:bidi="ar-SA"/>
        </w:rPr>
        <w:t>每次作业前办理作业票</w:t>
      </w:r>
    </w:p>
    <w:p w14:paraId="60796970">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3.供应商工作地点位于杭州钱塘区临江街道红十五线与观十五线交叉口杭州临江环境能源有限公司，交通食宿费、人工费等需要服务供应商自理。</w:t>
      </w:r>
    </w:p>
    <w:p w14:paraId="2472DF70">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4.供应商对实施工作人员安全负有全部责任，供应商须为工作人员购买保险，如工伤保险、意外保险等，具体由供应商自行与员工确定，若因此而引起的法律或者经济纠纷，由供应商负全责，采购人不承担任何责任。</w:t>
      </w:r>
    </w:p>
    <w:p w14:paraId="7943023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5.供应商应遵守采购人的现场管理制度要求，遵守国家、行业、地方法律法规，不得违章作业，接受采购人的安全教育，出现任何人员安全事故由供应商自行承担。</w:t>
      </w:r>
    </w:p>
    <w:p w14:paraId="248F8443">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6.供应商在实施过程中应负责对采购人生产场地的保护，与作业无关区域进行必要隔离，若造成损坏应负责修复或赔偿。</w:t>
      </w:r>
    </w:p>
    <w:p w14:paraId="2564A361">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7.高压变频器设备零部件发生故障或损坏，需更换新的配件时,供应商应向采购人报送需更换的配件清单,经采购人同意批准后方可更换，按以下情形执行。</w:t>
      </w:r>
    </w:p>
    <w:p w14:paraId="67A2439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（1）若更换配件采购人没有库存但在合同清单内，按合同清单价格支付配件费和维修工时费；</w:t>
      </w:r>
    </w:p>
    <w:p w14:paraId="3B6227A0">
      <w:pPr>
        <w:snapToGrid w:val="0"/>
        <w:spacing w:line="460" w:lineRule="exact"/>
        <w:ind w:firstLine="480" w:firstLineChars="200"/>
        <w:rPr>
          <w:rFonts w:hint="eastAsia" w:cs="仿宋" w:asciiTheme="minorEastAsia" w:hAnsiTheme="minorEastAsia"/>
          <w:color w:val="auto"/>
          <w:kern w:val="0"/>
        </w:rPr>
      </w:pPr>
      <w:r>
        <w:rPr>
          <w:rFonts w:hint="eastAsia" w:cs="仿宋" w:asciiTheme="minorEastAsia" w:hAnsiTheme="minorEastAsia"/>
          <w:color w:val="auto"/>
          <w:sz w:val="24"/>
          <w:lang w:val="en-US" w:eastAsia="zh-CN"/>
        </w:rPr>
        <w:t>（3）若更换配件采购人没有库存也不在合同清单内，采购人另外提供配件，供应商完成维修工作，采购人仅支付维修工时费。</w:t>
      </w:r>
    </w:p>
    <w:p w14:paraId="02FED67A">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lang w:val="en-US" w:eastAsia="zh-CN"/>
        </w:rPr>
        <w:t>8.供应商</w:t>
      </w:r>
      <w:r>
        <w:rPr>
          <w:rFonts w:hint="eastAsia" w:ascii="宋体" w:hAnsi="宋体" w:cs="宋体"/>
          <w:color w:val="auto"/>
          <w:kern w:val="0"/>
          <w:sz w:val="24"/>
          <w:szCs w:val="24"/>
        </w:rPr>
        <w:t>在服务过程中涉及第三方产品（</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提供的），若出现技术、经济或法律上的纠纷，应由</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全面承担并解决，确保不影响项目的进度。</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应严格遵守招标人关于保密方面的规定，自觉保守</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的商业秘密。</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为方便项目实施所提供给</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的工作流程、管理模式、规程、程序等相关文档资料、文档、数据均属于招标人所有。未经</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授权同意，</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不得另作他用。因</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原因导致上述资料、文档、数据或招标人商业秘密泄露的，</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有权要求</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采取措施消除影响并赔偿</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损失。</w:t>
      </w:r>
    </w:p>
    <w:p w14:paraId="1672E0A7">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ADD314A">
      <w:pPr>
        <w:pStyle w:val="16"/>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7A434FEE">
      <w:pPr>
        <w:pStyle w:val="7"/>
        <w:numPr>
          <w:ilvl w:val="0"/>
          <w:numId w:val="0"/>
        </w:numPr>
        <w:ind w:firstLine="482" w:firstLineChars="200"/>
        <w:rPr>
          <w:rFonts w:hint="default"/>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18"/>
      <w:bookmarkEnd w:id="19"/>
      <w:bookmarkStart w:id="20" w:name="_Toc184313279"/>
      <w:bookmarkEnd w:id="20"/>
      <w:bookmarkStart w:id="21" w:name="_Toc184310337"/>
      <w:bookmarkEnd w:id="21"/>
      <w:bookmarkStart w:id="22" w:name="_Toc184308102"/>
      <w:bookmarkEnd w:id="22"/>
      <w:bookmarkStart w:id="23" w:name="_Toc184312109"/>
      <w:bookmarkEnd w:id="23"/>
      <w:bookmarkStart w:id="24" w:name="_Toc184313304"/>
      <w:bookmarkEnd w:id="24"/>
      <w:bookmarkStart w:id="25" w:name="_Toc184312127"/>
      <w:bookmarkEnd w:id="25"/>
      <w:bookmarkStart w:id="26" w:name="_Toc184310274"/>
      <w:bookmarkEnd w:id="26"/>
      <w:bookmarkStart w:id="27" w:name="_Toc184314466"/>
      <w:bookmarkEnd w:id="27"/>
      <w:bookmarkStart w:id="28" w:name="_Toc184313291"/>
      <w:bookmarkEnd w:id="28"/>
      <w:bookmarkStart w:id="29" w:name="_Toc184313276"/>
      <w:bookmarkEnd w:id="29"/>
      <w:bookmarkStart w:id="30" w:name="_Toc184312090"/>
      <w:bookmarkEnd w:id="30"/>
      <w:bookmarkStart w:id="31" w:name="_Toc184310323"/>
      <w:bookmarkEnd w:id="31"/>
      <w:bookmarkStart w:id="32" w:name="_Toc184313277"/>
      <w:bookmarkEnd w:id="32"/>
      <w:bookmarkStart w:id="33" w:name="_Toc184312115"/>
      <w:bookmarkEnd w:id="33"/>
      <w:bookmarkStart w:id="34" w:name="_Toc184313288"/>
      <w:bookmarkEnd w:id="34"/>
      <w:bookmarkStart w:id="35" w:name="_Toc184313293"/>
      <w:bookmarkEnd w:id="35"/>
      <w:bookmarkStart w:id="36" w:name="_Toc184314470"/>
      <w:bookmarkEnd w:id="36"/>
      <w:bookmarkStart w:id="37" w:name="_Toc184312132"/>
      <w:bookmarkEnd w:id="37"/>
      <w:bookmarkStart w:id="38" w:name="_Toc184308037"/>
      <w:bookmarkEnd w:id="38"/>
      <w:bookmarkStart w:id="39" w:name="_Toc184314452"/>
      <w:bookmarkEnd w:id="39"/>
      <w:bookmarkStart w:id="40" w:name="_Toc184310286"/>
      <w:bookmarkEnd w:id="40"/>
      <w:bookmarkStart w:id="41" w:name="_Toc184313241"/>
      <w:bookmarkEnd w:id="41"/>
      <w:bookmarkStart w:id="42" w:name="_Toc184310288"/>
      <w:bookmarkEnd w:id="42"/>
      <w:bookmarkStart w:id="43" w:name="_Toc184312136"/>
      <w:bookmarkEnd w:id="43"/>
      <w:bookmarkStart w:id="44" w:name="_Toc184314459"/>
      <w:bookmarkEnd w:id="44"/>
      <w:bookmarkStart w:id="45" w:name="_Toc184314421"/>
      <w:bookmarkEnd w:id="45"/>
      <w:bookmarkStart w:id="46" w:name="_Toc184308067"/>
      <w:bookmarkEnd w:id="46"/>
      <w:bookmarkStart w:id="47" w:name="_Toc184310343"/>
      <w:bookmarkEnd w:id="47"/>
      <w:bookmarkStart w:id="48" w:name="_Toc184308040"/>
      <w:bookmarkEnd w:id="48"/>
      <w:bookmarkStart w:id="49" w:name="_Toc184310320"/>
      <w:bookmarkEnd w:id="49"/>
      <w:bookmarkStart w:id="50" w:name="_Toc184314415"/>
      <w:bookmarkEnd w:id="50"/>
      <w:bookmarkStart w:id="51" w:name="_Toc184313258"/>
      <w:bookmarkEnd w:id="51"/>
      <w:bookmarkStart w:id="52" w:name="_Toc184313248"/>
      <w:bookmarkEnd w:id="52"/>
      <w:bookmarkStart w:id="53" w:name="_Toc184310285"/>
      <w:bookmarkEnd w:id="53"/>
      <w:bookmarkStart w:id="54" w:name="_Toc184314419"/>
      <w:bookmarkEnd w:id="54"/>
      <w:bookmarkStart w:id="55" w:name="_Toc184313296"/>
      <w:bookmarkEnd w:id="55"/>
      <w:bookmarkStart w:id="56" w:name="_Toc184312126"/>
      <w:bookmarkEnd w:id="56"/>
      <w:bookmarkStart w:id="57" w:name="_Toc184313249"/>
      <w:bookmarkEnd w:id="57"/>
      <w:bookmarkStart w:id="58" w:name="_Toc184313289"/>
      <w:bookmarkEnd w:id="58"/>
      <w:bookmarkStart w:id="59" w:name="_Toc184308061"/>
      <w:bookmarkEnd w:id="59"/>
      <w:bookmarkStart w:id="60" w:name="_Toc184313260"/>
      <w:bookmarkEnd w:id="60"/>
      <w:bookmarkStart w:id="61" w:name="_Toc184308100"/>
      <w:bookmarkEnd w:id="61"/>
      <w:bookmarkStart w:id="62" w:name="_Toc184310291"/>
      <w:bookmarkEnd w:id="62"/>
      <w:bookmarkStart w:id="63" w:name="_Toc184308088"/>
      <w:bookmarkEnd w:id="63"/>
      <w:bookmarkStart w:id="64" w:name="_Toc184314473"/>
      <w:bookmarkEnd w:id="64"/>
      <w:bookmarkStart w:id="65" w:name="_Toc184313262"/>
      <w:bookmarkEnd w:id="65"/>
      <w:bookmarkStart w:id="66" w:name="_Toc184313255"/>
      <w:bookmarkEnd w:id="66"/>
      <w:bookmarkStart w:id="67" w:name="_Toc184312105"/>
      <w:bookmarkEnd w:id="67"/>
      <w:bookmarkStart w:id="68" w:name="_Toc184314469"/>
      <w:bookmarkEnd w:id="68"/>
      <w:bookmarkStart w:id="69" w:name="_Toc184314476"/>
      <w:bookmarkEnd w:id="69"/>
      <w:bookmarkStart w:id="70" w:name="_Toc184310308"/>
      <w:bookmarkEnd w:id="70"/>
      <w:bookmarkStart w:id="71" w:name="_Toc184314431"/>
      <w:bookmarkEnd w:id="71"/>
      <w:bookmarkStart w:id="72" w:name="_Toc184312089"/>
      <w:bookmarkEnd w:id="72"/>
      <w:bookmarkStart w:id="73" w:name="_Toc184314446"/>
      <w:bookmarkEnd w:id="73"/>
      <w:bookmarkStart w:id="74" w:name="_Toc184314474"/>
      <w:bookmarkEnd w:id="74"/>
      <w:bookmarkStart w:id="75" w:name="_Toc184308108"/>
      <w:bookmarkEnd w:id="75"/>
      <w:bookmarkStart w:id="76" w:name="_Toc184313272"/>
      <w:bookmarkEnd w:id="76"/>
      <w:bookmarkStart w:id="77" w:name="_Toc184312095"/>
      <w:bookmarkEnd w:id="77"/>
      <w:bookmarkStart w:id="78" w:name="_Toc184312100"/>
      <w:bookmarkEnd w:id="78"/>
      <w:bookmarkStart w:id="79" w:name="_Toc184312072"/>
      <w:bookmarkEnd w:id="79"/>
      <w:bookmarkStart w:id="80" w:name="_Toc184314436"/>
      <w:bookmarkEnd w:id="80"/>
      <w:bookmarkStart w:id="81" w:name="_Toc184312130"/>
      <w:bookmarkEnd w:id="81"/>
      <w:bookmarkStart w:id="82" w:name="_Toc184312079"/>
      <w:bookmarkEnd w:id="82"/>
      <w:bookmarkStart w:id="83" w:name="_Toc184310299"/>
      <w:bookmarkEnd w:id="83"/>
      <w:bookmarkStart w:id="84" w:name="_Toc184308070"/>
      <w:bookmarkEnd w:id="84"/>
      <w:bookmarkStart w:id="85" w:name="_Toc184308047"/>
      <w:bookmarkEnd w:id="85"/>
      <w:bookmarkStart w:id="86" w:name="_Toc184314410"/>
      <w:bookmarkEnd w:id="86"/>
      <w:bookmarkStart w:id="87" w:name="_Toc184312113"/>
      <w:bookmarkEnd w:id="87"/>
      <w:bookmarkStart w:id="88" w:name="_Toc184310333"/>
      <w:bookmarkEnd w:id="88"/>
      <w:bookmarkStart w:id="89" w:name="_Toc184310313"/>
      <w:bookmarkEnd w:id="89"/>
      <w:bookmarkStart w:id="90" w:name="_Toc184308045"/>
      <w:bookmarkEnd w:id="90"/>
      <w:bookmarkStart w:id="91" w:name="_Toc184314428"/>
      <w:bookmarkEnd w:id="91"/>
      <w:bookmarkStart w:id="92" w:name="_Toc184308081"/>
      <w:bookmarkEnd w:id="92"/>
      <w:bookmarkStart w:id="93" w:name="_Toc184308069"/>
      <w:bookmarkEnd w:id="93"/>
      <w:bookmarkStart w:id="94" w:name="_Toc184312131"/>
      <w:bookmarkEnd w:id="94"/>
      <w:bookmarkStart w:id="95" w:name="_Toc184313268"/>
      <w:bookmarkEnd w:id="95"/>
      <w:bookmarkStart w:id="96" w:name="_Toc184314472"/>
      <w:bookmarkEnd w:id="96"/>
      <w:bookmarkStart w:id="97" w:name="_Toc184313245"/>
      <w:bookmarkEnd w:id="97"/>
      <w:bookmarkStart w:id="98" w:name="_Toc184312088"/>
      <w:bookmarkEnd w:id="98"/>
      <w:bookmarkStart w:id="99" w:name="_Toc184314439"/>
      <w:bookmarkEnd w:id="99"/>
      <w:bookmarkStart w:id="100" w:name="_Toc184312116"/>
      <w:bookmarkEnd w:id="100"/>
      <w:bookmarkStart w:id="101" w:name="_Toc184310282"/>
      <w:bookmarkEnd w:id="101"/>
      <w:bookmarkStart w:id="102" w:name="_Toc184310296"/>
      <w:bookmarkEnd w:id="102"/>
      <w:bookmarkStart w:id="103" w:name="_Toc184308059"/>
      <w:bookmarkEnd w:id="103"/>
      <w:bookmarkStart w:id="104" w:name="_Toc184308039"/>
      <w:bookmarkEnd w:id="104"/>
      <w:bookmarkStart w:id="105" w:name="_Toc184308091"/>
      <w:bookmarkEnd w:id="105"/>
      <w:bookmarkStart w:id="106" w:name="_Toc184312082"/>
      <w:bookmarkEnd w:id="106"/>
      <w:bookmarkStart w:id="107" w:name="_Toc184308071"/>
      <w:bookmarkEnd w:id="107"/>
      <w:bookmarkStart w:id="108" w:name="_Toc184310331"/>
      <w:bookmarkEnd w:id="108"/>
      <w:bookmarkStart w:id="109" w:name="_Toc184310309"/>
      <w:bookmarkEnd w:id="109"/>
      <w:bookmarkStart w:id="110" w:name="_Toc184312134"/>
      <w:bookmarkEnd w:id="110"/>
      <w:bookmarkStart w:id="111" w:name="_Toc184308079"/>
      <w:bookmarkEnd w:id="111"/>
      <w:bookmarkStart w:id="112" w:name="_Toc184314426"/>
      <w:bookmarkEnd w:id="112"/>
      <w:bookmarkStart w:id="113" w:name="_Toc184312071"/>
      <w:bookmarkEnd w:id="113"/>
      <w:bookmarkStart w:id="114" w:name="_Toc184308077"/>
      <w:bookmarkEnd w:id="114"/>
      <w:bookmarkStart w:id="115" w:name="_Toc184312084"/>
      <w:bookmarkEnd w:id="115"/>
      <w:bookmarkStart w:id="116" w:name="_Toc184314482"/>
      <w:bookmarkEnd w:id="116"/>
      <w:bookmarkStart w:id="117" w:name="_Toc184308096"/>
      <w:bookmarkEnd w:id="117"/>
      <w:bookmarkStart w:id="118" w:name="_Toc184314447"/>
      <w:bookmarkEnd w:id="118"/>
      <w:bookmarkStart w:id="119" w:name="_Toc184313259"/>
      <w:bookmarkEnd w:id="119"/>
      <w:bookmarkStart w:id="120" w:name="_Toc184308103"/>
      <w:bookmarkEnd w:id="120"/>
      <w:bookmarkStart w:id="121" w:name="_Toc184312099"/>
      <w:bookmarkEnd w:id="121"/>
      <w:bookmarkStart w:id="122" w:name="_Toc184310335"/>
      <w:bookmarkEnd w:id="122"/>
      <w:bookmarkStart w:id="123" w:name="_Toc184314480"/>
      <w:bookmarkEnd w:id="123"/>
      <w:bookmarkStart w:id="124" w:name="_Toc184313303"/>
      <w:bookmarkEnd w:id="124"/>
      <w:bookmarkStart w:id="125" w:name="_Toc184314461"/>
      <w:bookmarkEnd w:id="125"/>
      <w:bookmarkStart w:id="126" w:name="_Toc184313254"/>
      <w:bookmarkEnd w:id="126"/>
      <w:bookmarkStart w:id="127" w:name="_Toc184308106"/>
      <w:bookmarkEnd w:id="127"/>
      <w:bookmarkStart w:id="128" w:name="_Toc184310284"/>
      <w:bookmarkEnd w:id="128"/>
      <w:bookmarkStart w:id="129" w:name="_Toc184310324"/>
      <w:bookmarkEnd w:id="129"/>
      <w:bookmarkStart w:id="130" w:name="_Toc184313273"/>
      <w:bookmarkEnd w:id="130"/>
      <w:bookmarkStart w:id="131" w:name="_Toc184308048"/>
      <w:bookmarkEnd w:id="131"/>
      <w:bookmarkStart w:id="132" w:name="_Toc184313244"/>
      <w:bookmarkEnd w:id="132"/>
      <w:bookmarkStart w:id="133" w:name="_Toc184312117"/>
      <w:bookmarkEnd w:id="133"/>
      <w:bookmarkStart w:id="134" w:name="_Toc184308056"/>
      <w:bookmarkEnd w:id="134"/>
      <w:bookmarkStart w:id="135" w:name="_Toc184313300"/>
      <w:bookmarkEnd w:id="135"/>
      <w:bookmarkStart w:id="136" w:name="_Toc184313238"/>
      <w:bookmarkEnd w:id="136"/>
      <w:bookmarkStart w:id="137" w:name="_Toc184308057"/>
      <w:bookmarkEnd w:id="137"/>
      <w:bookmarkStart w:id="138" w:name="_Toc184313246"/>
      <w:bookmarkEnd w:id="138"/>
      <w:bookmarkStart w:id="139" w:name="_Toc184310342"/>
      <w:bookmarkEnd w:id="139"/>
      <w:bookmarkStart w:id="140" w:name="_Toc184308049"/>
      <w:bookmarkEnd w:id="140"/>
      <w:bookmarkStart w:id="141" w:name="_Toc184310339"/>
      <w:bookmarkEnd w:id="141"/>
      <w:bookmarkStart w:id="142" w:name="_Toc184314468"/>
      <w:bookmarkEnd w:id="142"/>
      <w:bookmarkStart w:id="143" w:name="_Toc184308042"/>
      <w:bookmarkEnd w:id="143"/>
      <w:bookmarkStart w:id="144" w:name="_Toc184308064"/>
      <w:bookmarkEnd w:id="144"/>
      <w:bookmarkStart w:id="145" w:name="_Toc184312077"/>
      <w:bookmarkEnd w:id="145"/>
      <w:bookmarkStart w:id="146" w:name="_Toc184313282"/>
      <w:bookmarkEnd w:id="146"/>
      <w:bookmarkStart w:id="147" w:name="_Toc184314477"/>
      <w:bookmarkEnd w:id="147"/>
      <w:bookmarkStart w:id="148" w:name="_Toc184313302"/>
      <w:bookmarkEnd w:id="148"/>
      <w:bookmarkStart w:id="149" w:name="_Toc184310297"/>
      <w:bookmarkEnd w:id="149"/>
      <w:bookmarkStart w:id="150" w:name="_Toc184314467"/>
      <w:bookmarkEnd w:id="150"/>
      <w:bookmarkStart w:id="151" w:name="_Toc184308038"/>
      <w:bookmarkEnd w:id="151"/>
      <w:bookmarkStart w:id="152" w:name="_Toc184314432"/>
      <w:bookmarkEnd w:id="152"/>
      <w:bookmarkStart w:id="153" w:name="_Toc184313278"/>
      <w:bookmarkEnd w:id="153"/>
      <w:bookmarkStart w:id="154" w:name="_Toc184308105"/>
      <w:bookmarkEnd w:id="154"/>
      <w:bookmarkStart w:id="155" w:name="_Toc184313252"/>
      <w:bookmarkEnd w:id="155"/>
      <w:bookmarkStart w:id="156" w:name="_Toc184314464"/>
      <w:bookmarkEnd w:id="156"/>
      <w:bookmarkStart w:id="157" w:name="_Toc184310322"/>
      <w:bookmarkEnd w:id="157"/>
      <w:bookmarkStart w:id="158" w:name="_Toc184310276"/>
      <w:bookmarkEnd w:id="158"/>
      <w:bookmarkStart w:id="159" w:name="_Toc184314423"/>
      <w:bookmarkEnd w:id="159"/>
      <w:bookmarkStart w:id="160" w:name="_Toc184314449"/>
      <w:bookmarkEnd w:id="160"/>
      <w:bookmarkStart w:id="161" w:name="_Toc184314434"/>
      <w:bookmarkEnd w:id="161"/>
      <w:bookmarkStart w:id="162" w:name="_Toc184314481"/>
      <w:bookmarkEnd w:id="162"/>
      <w:bookmarkStart w:id="163" w:name="_Toc184313250"/>
      <w:bookmarkEnd w:id="163"/>
      <w:bookmarkStart w:id="164" w:name="_Toc184314478"/>
      <w:bookmarkEnd w:id="164"/>
      <w:bookmarkStart w:id="165" w:name="_Toc184308094"/>
      <w:bookmarkEnd w:id="165"/>
      <w:bookmarkStart w:id="166" w:name="_Toc184312076"/>
      <w:bookmarkEnd w:id="166"/>
      <w:bookmarkStart w:id="167" w:name="_Toc184314442"/>
      <w:bookmarkEnd w:id="167"/>
      <w:bookmarkStart w:id="168" w:name="_Toc184310298"/>
      <w:bookmarkEnd w:id="168"/>
      <w:bookmarkStart w:id="169" w:name="_Toc184312069"/>
      <w:bookmarkEnd w:id="169"/>
      <w:bookmarkStart w:id="170" w:name="_Toc184308090"/>
      <w:bookmarkEnd w:id="170"/>
      <w:bookmarkStart w:id="171" w:name="_Toc184314417"/>
      <w:bookmarkEnd w:id="171"/>
      <w:bookmarkStart w:id="172" w:name="_Toc184313257"/>
      <w:bookmarkEnd w:id="172"/>
      <w:bookmarkStart w:id="173" w:name="_Toc184312106"/>
      <w:bookmarkEnd w:id="173"/>
      <w:bookmarkStart w:id="174" w:name="_Toc184310292"/>
      <w:bookmarkEnd w:id="174"/>
      <w:bookmarkStart w:id="175" w:name="_Toc184313274"/>
      <w:bookmarkEnd w:id="175"/>
      <w:bookmarkStart w:id="176" w:name="_Toc184312096"/>
      <w:bookmarkEnd w:id="176"/>
      <w:bookmarkStart w:id="177" w:name="_Toc184310307"/>
      <w:bookmarkEnd w:id="177"/>
      <w:bookmarkStart w:id="178" w:name="_Toc184314429"/>
      <w:bookmarkEnd w:id="178"/>
      <w:bookmarkStart w:id="179" w:name="_Toc184313287"/>
      <w:bookmarkEnd w:id="179"/>
      <w:bookmarkStart w:id="180" w:name="_Toc184314424"/>
      <w:bookmarkEnd w:id="180"/>
      <w:bookmarkStart w:id="181" w:name="_Toc184308044"/>
      <w:bookmarkEnd w:id="181"/>
      <w:bookmarkStart w:id="182" w:name="_Toc184313242"/>
      <w:bookmarkEnd w:id="182"/>
      <w:bookmarkStart w:id="183" w:name="_Toc184308041"/>
      <w:bookmarkEnd w:id="183"/>
      <w:bookmarkStart w:id="184" w:name="_Toc184313286"/>
      <w:bookmarkEnd w:id="184"/>
      <w:bookmarkStart w:id="185" w:name="_Toc184310283"/>
      <w:bookmarkEnd w:id="185"/>
      <w:bookmarkStart w:id="186" w:name="_Toc184310326"/>
      <w:bookmarkEnd w:id="186"/>
      <w:bookmarkStart w:id="187" w:name="_Toc184312086"/>
      <w:bookmarkEnd w:id="187"/>
      <w:bookmarkStart w:id="188" w:name="_Toc184314463"/>
      <w:bookmarkEnd w:id="188"/>
      <w:bookmarkStart w:id="189" w:name="_Toc184310310"/>
      <w:bookmarkEnd w:id="189"/>
      <w:bookmarkStart w:id="190" w:name="_Toc184308063"/>
      <w:bookmarkEnd w:id="190"/>
      <w:bookmarkStart w:id="191" w:name="_Toc184312118"/>
      <w:bookmarkEnd w:id="191"/>
      <w:bookmarkStart w:id="192" w:name="_Toc184308082"/>
      <w:bookmarkEnd w:id="192"/>
      <w:bookmarkStart w:id="193" w:name="_Toc184308068"/>
      <w:bookmarkEnd w:id="193"/>
      <w:bookmarkStart w:id="194" w:name="_Toc184310303"/>
      <w:bookmarkEnd w:id="194"/>
      <w:bookmarkStart w:id="195" w:name="_Toc184310287"/>
      <w:bookmarkEnd w:id="195"/>
      <w:bookmarkStart w:id="196" w:name="_Toc184314430"/>
      <w:bookmarkEnd w:id="196"/>
      <w:bookmarkStart w:id="197" w:name="_Toc184313264"/>
      <w:bookmarkEnd w:id="197"/>
      <w:bookmarkStart w:id="198" w:name="_Toc184312080"/>
      <w:bookmarkEnd w:id="198"/>
      <w:bookmarkStart w:id="199" w:name="_Toc184308083"/>
      <w:bookmarkEnd w:id="199"/>
      <w:bookmarkStart w:id="200" w:name="_Toc184313271"/>
      <w:bookmarkEnd w:id="200"/>
      <w:bookmarkStart w:id="201" w:name="_Toc184310294"/>
      <w:bookmarkEnd w:id="201"/>
      <w:bookmarkStart w:id="202" w:name="_Toc184314413"/>
      <w:bookmarkEnd w:id="202"/>
      <w:bookmarkStart w:id="203" w:name="_Toc184310290"/>
      <w:bookmarkEnd w:id="203"/>
      <w:bookmarkStart w:id="204" w:name="_Toc184308065"/>
      <w:bookmarkEnd w:id="204"/>
      <w:bookmarkStart w:id="205" w:name="_Toc184314456"/>
      <w:bookmarkEnd w:id="205"/>
      <w:bookmarkStart w:id="206" w:name="_Toc184314448"/>
      <w:bookmarkEnd w:id="206"/>
      <w:bookmarkStart w:id="207" w:name="_Toc184313269"/>
      <w:bookmarkEnd w:id="207"/>
      <w:bookmarkStart w:id="208" w:name="_Toc184310280"/>
      <w:bookmarkEnd w:id="208"/>
      <w:bookmarkStart w:id="209" w:name="_Toc184312112"/>
      <w:bookmarkEnd w:id="209"/>
      <w:bookmarkStart w:id="210" w:name="_Toc184314462"/>
      <w:bookmarkEnd w:id="210"/>
      <w:bookmarkStart w:id="211" w:name="_Toc184312068"/>
      <w:bookmarkEnd w:id="211"/>
      <w:bookmarkStart w:id="212" w:name="_Toc184314425"/>
      <w:bookmarkEnd w:id="212"/>
      <w:bookmarkStart w:id="213" w:name="_Toc184313265"/>
      <w:bookmarkEnd w:id="213"/>
      <w:bookmarkStart w:id="214" w:name="_Toc184310340"/>
      <w:bookmarkEnd w:id="214"/>
      <w:bookmarkStart w:id="215" w:name="_Toc184313298"/>
      <w:bookmarkEnd w:id="215"/>
      <w:bookmarkStart w:id="216" w:name="_Toc184308073"/>
      <w:bookmarkEnd w:id="216"/>
      <w:bookmarkStart w:id="217" w:name="_Toc184313295"/>
      <w:bookmarkEnd w:id="217"/>
      <w:bookmarkStart w:id="218" w:name="_Toc184308053"/>
      <w:bookmarkEnd w:id="218"/>
      <w:bookmarkStart w:id="219" w:name="_Toc184313281"/>
      <w:bookmarkEnd w:id="219"/>
      <w:bookmarkStart w:id="220" w:name="_Toc184308043"/>
      <w:bookmarkEnd w:id="220"/>
      <w:bookmarkStart w:id="221" w:name="_Toc184310277"/>
      <w:bookmarkEnd w:id="221"/>
      <w:bookmarkStart w:id="222" w:name="_Toc184313275"/>
      <w:bookmarkEnd w:id="222"/>
      <w:bookmarkStart w:id="223" w:name="_Toc184314412"/>
      <w:bookmarkEnd w:id="223"/>
      <w:bookmarkStart w:id="224" w:name="_Toc184310319"/>
      <w:bookmarkEnd w:id="224"/>
      <w:bookmarkStart w:id="225" w:name="_Toc184312098"/>
      <w:bookmarkEnd w:id="225"/>
      <w:bookmarkStart w:id="226" w:name="_Toc184314479"/>
      <w:bookmarkEnd w:id="226"/>
      <w:bookmarkStart w:id="227" w:name="_Toc184314450"/>
      <w:bookmarkEnd w:id="227"/>
      <w:bookmarkStart w:id="228" w:name="_Toc184314414"/>
      <w:bookmarkEnd w:id="228"/>
      <w:bookmarkStart w:id="229" w:name="_Toc184312087"/>
      <w:bookmarkEnd w:id="229"/>
      <w:bookmarkStart w:id="230" w:name="_Toc184308095"/>
      <w:bookmarkEnd w:id="230"/>
      <w:bookmarkStart w:id="231" w:name="_Toc184313290"/>
      <w:bookmarkEnd w:id="231"/>
      <w:bookmarkStart w:id="232" w:name="_Toc184310344"/>
      <w:bookmarkEnd w:id="232"/>
      <w:bookmarkStart w:id="233" w:name="_Toc184310304"/>
      <w:bookmarkEnd w:id="233"/>
      <w:bookmarkStart w:id="234" w:name="_Toc184308054"/>
      <w:bookmarkEnd w:id="234"/>
      <w:bookmarkStart w:id="235" w:name="_Toc184312092"/>
      <w:bookmarkEnd w:id="235"/>
      <w:bookmarkStart w:id="236" w:name="_Toc184308046"/>
      <w:bookmarkEnd w:id="236"/>
      <w:bookmarkStart w:id="237" w:name="_Toc184314458"/>
      <w:bookmarkEnd w:id="237"/>
      <w:bookmarkStart w:id="238" w:name="_Toc184314465"/>
      <w:bookmarkEnd w:id="238"/>
      <w:bookmarkStart w:id="239" w:name="_Toc184312078"/>
      <w:bookmarkEnd w:id="239"/>
      <w:bookmarkStart w:id="240" w:name="_Toc184314460"/>
      <w:bookmarkEnd w:id="240"/>
      <w:bookmarkStart w:id="241" w:name="_Toc184313266"/>
      <w:bookmarkEnd w:id="241"/>
      <w:bookmarkStart w:id="242" w:name="_Toc184313309"/>
      <w:bookmarkEnd w:id="242"/>
      <w:bookmarkStart w:id="243" w:name="_Toc184313263"/>
      <w:bookmarkEnd w:id="243"/>
      <w:bookmarkStart w:id="244" w:name="_Toc184312110"/>
      <w:bookmarkEnd w:id="244"/>
      <w:bookmarkStart w:id="245" w:name="_Toc184310293"/>
      <w:bookmarkEnd w:id="245"/>
      <w:bookmarkStart w:id="246" w:name="_Toc184310272"/>
      <w:bookmarkEnd w:id="246"/>
      <w:bookmarkStart w:id="247" w:name="_Toc184308036"/>
      <w:bookmarkEnd w:id="247"/>
      <w:bookmarkStart w:id="248" w:name="_Toc184313292"/>
      <w:bookmarkEnd w:id="248"/>
      <w:bookmarkStart w:id="249" w:name="_Toc184314445"/>
      <w:bookmarkEnd w:id="249"/>
      <w:bookmarkStart w:id="250" w:name="_Toc184314441"/>
      <w:bookmarkEnd w:id="250"/>
      <w:bookmarkStart w:id="251" w:name="_Toc184308099"/>
      <w:bookmarkEnd w:id="251"/>
      <w:bookmarkStart w:id="252" w:name="_Toc184310312"/>
      <w:bookmarkEnd w:id="252"/>
      <w:bookmarkStart w:id="253" w:name="_Toc184313253"/>
      <w:bookmarkEnd w:id="253"/>
      <w:bookmarkStart w:id="254" w:name="_Toc184314457"/>
      <w:bookmarkEnd w:id="254"/>
      <w:bookmarkStart w:id="255" w:name="_Toc184312125"/>
      <w:bookmarkEnd w:id="255"/>
      <w:bookmarkStart w:id="256" w:name="_Toc184312102"/>
      <w:bookmarkEnd w:id="256"/>
      <w:bookmarkStart w:id="257" w:name="_Toc184310336"/>
      <w:bookmarkEnd w:id="257"/>
      <w:bookmarkStart w:id="258" w:name="_Toc184313284"/>
      <w:bookmarkEnd w:id="258"/>
      <w:bookmarkStart w:id="259" w:name="_Toc184312073"/>
      <w:bookmarkEnd w:id="259"/>
      <w:bookmarkStart w:id="260" w:name="_Toc184313261"/>
      <w:bookmarkEnd w:id="260"/>
      <w:bookmarkStart w:id="261" w:name="_Toc184310330"/>
      <w:bookmarkEnd w:id="261"/>
      <w:bookmarkStart w:id="262" w:name="_Toc184313305"/>
      <w:bookmarkEnd w:id="262"/>
      <w:bookmarkStart w:id="263" w:name="_Toc184308104"/>
      <w:bookmarkEnd w:id="263"/>
      <w:bookmarkStart w:id="264" w:name="_Toc184312067"/>
      <w:bookmarkEnd w:id="264"/>
      <w:bookmarkStart w:id="265" w:name="_Toc184308050"/>
      <w:bookmarkEnd w:id="265"/>
      <w:bookmarkStart w:id="266" w:name="_Toc184308089"/>
      <w:bookmarkEnd w:id="266"/>
      <w:bookmarkStart w:id="267" w:name="_Toc184310325"/>
      <w:bookmarkEnd w:id="267"/>
      <w:bookmarkStart w:id="268" w:name="_Toc184308086"/>
      <w:bookmarkEnd w:id="268"/>
      <w:bookmarkStart w:id="269" w:name="_Toc184312083"/>
      <w:bookmarkEnd w:id="269"/>
      <w:bookmarkStart w:id="270" w:name="_Toc184314411"/>
      <w:bookmarkEnd w:id="270"/>
      <w:bookmarkStart w:id="271" w:name="_Toc184308074"/>
      <w:bookmarkEnd w:id="271"/>
      <w:bookmarkStart w:id="272" w:name="_Toc184313239"/>
      <w:bookmarkEnd w:id="272"/>
      <w:bookmarkStart w:id="273" w:name="_Toc184310332"/>
      <w:bookmarkEnd w:id="273"/>
      <w:bookmarkStart w:id="274" w:name="_Toc184313308"/>
      <w:bookmarkEnd w:id="274"/>
      <w:bookmarkStart w:id="275" w:name="_Toc184314438"/>
      <w:bookmarkEnd w:id="275"/>
      <w:bookmarkStart w:id="276" w:name="_Toc184312138"/>
      <w:bookmarkEnd w:id="276"/>
      <w:bookmarkStart w:id="277" w:name="_Toc184312081"/>
      <w:bookmarkEnd w:id="277"/>
      <w:bookmarkStart w:id="278" w:name="_Toc184314454"/>
      <w:bookmarkEnd w:id="278"/>
      <w:bookmarkStart w:id="279" w:name="_Toc184312107"/>
      <w:bookmarkEnd w:id="279"/>
      <w:bookmarkStart w:id="280" w:name="_Toc184310281"/>
      <w:bookmarkEnd w:id="280"/>
      <w:bookmarkStart w:id="281" w:name="_Toc184310314"/>
      <w:bookmarkEnd w:id="281"/>
      <w:bookmarkStart w:id="282" w:name="_Toc184314437"/>
      <w:bookmarkEnd w:id="282"/>
      <w:bookmarkStart w:id="283" w:name="_Toc184313301"/>
      <w:bookmarkEnd w:id="283"/>
      <w:bookmarkStart w:id="284" w:name="_Toc184310278"/>
      <w:bookmarkEnd w:id="284"/>
      <w:bookmarkStart w:id="285" w:name="_Toc184314416"/>
      <w:bookmarkEnd w:id="285"/>
      <w:bookmarkStart w:id="286" w:name="_Toc184308084"/>
      <w:bookmarkEnd w:id="286"/>
      <w:bookmarkStart w:id="287" w:name="_Toc184312097"/>
      <w:bookmarkEnd w:id="287"/>
      <w:bookmarkStart w:id="288" w:name="_Toc184312074"/>
      <w:bookmarkEnd w:id="288"/>
      <w:bookmarkStart w:id="289" w:name="_Toc184308060"/>
      <w:bookmarkEnd w:id="289"/>
      <w:bookmarkStart w:id="290" w:name="_Toc184310328"/>
      <w:bookmarkEnd w:id="290"/>
      <w:bookmarkStart w:id="291" w:name="_Toc184312101"/>
      <w:bookmarkEnd w:id="291"/>
      <w:bookmarkStart w:id="292" w:name="_Toc184308055"/>
      <w:bookmarkEnd w:id="292"/>
      <w:bookmarkStart w:id="293" w:name="_Toc184310338"/>
      <w:bookmarkEnd w:id="293"/>
      <w:bookmarkStart w:id="294" w:name="_Toc184313307"/>
      <w:bookmarkEnd w:id="294"/>
      <w:bookmarkStart w:id="295" w:name="_Toc184313256"/>
      <w:bookmarkEnd w:id="295"/>
      <w:bookmarkStart w:id="296" w:name="_Toc184314471"/>
      <w:bookmarkEnd w:id="296"/>
      <w:bookmarkStart w:id="297" w:name="_Toc184313310"/>
      <w:bookmarkEnd w:id="297"/>
      <w:bookmarkStart w:id="298" w:name="_Toc184312137"/>
      <w:bookmarkEnd w:id="298"/>
      <w:bookmarkStart w:id="299" w:name="_Toc184312091"/>
      <w:bookmarkEnd w:id="299"/>
      <w:bookmarkStart w:id="300" w:name="_Toc184310305"/>
      <w:bookmarkEnd w:id="300"/>
      <w:bookmarkStart w:id="301" w:name="_Toc184312128"/>
      <w:bookmarkEnd w:id="301"/>
      <w:bookmarkStart w:id="302" w:name="_Toc184312123"/>
      <w:bookmarkEnd w:id="302"/>
      <w:bookmarkStart w:id="303" w:name="_Toc184314420"/>
      <w:bookmarkEnd w:id="303"/>
      <w:bookmarkStart w:id="304" w:name="_Toc184310329"/>
      <w:bookmarkEnd w:id="304"/>
      <w:bookmarkStart w:id="305" w:name="_Toc184313306"/>
      <w:bookmarkEnd w:id="305"/>
      <w:bookmarkStart w:id="306" w:name="_Toc184313299"/>
      <w:bookmarkEnd w:id="306"/>
      <w:bookmarkStart w:id="307" w:name="_Toc184312103"/>
      <w:bookmarkEnd w:id="307"/>
      <w:bookmarkStart w:id="308" w:name="_Toc184310302"/>
      <w:bookmarkEnd w:id="308"/>
      <w:bookmarkStart w:id="309" w:name="_Toc184314475"/>
      <w:bookmarkEnd w:id="309"/>
      <w:bookmarkStart w:id="310" w:name="_Toc184313280"/>
      <w:bookmarkEnd w:id="310"/>
      <w:bookmarkStart w:id="311" w:name="_Toc184308062"/>
      <w:bookmarkEnd w:id="311"/>
      <w:bookmarkStart w:id="312" w:name="_Toc184308052"/>
      <w:bookmarkEnd w:id="312"/>
      <w:bookmarkStart w:id="313" w:name="_Toc184310273"/>
      <w:bookmarkEnd w:id="313"/>
      <w:bookmarkStart w:id="314" w:name="_Toc184308075"/>
      <w:bookmarkEnd w:id="314"/>
      <w:bookmarkStart w:id="315" w:name="_Toc184308058"/>
      <w:bookmarkEnd w:id="315"/>
      <w:bookmarkStart w:id="316" w:name="_Toc184310341"/>
      <w:bookmarkEnd w:id="316"/>
      <w:bookmarkStart w:id="317" w:name="_Toc184310318"/>
      <w:bookmarkEnd w:id="317"/>
      <w:bookmarkStart w:id="318" w:name="_Toc184310315"/>
      <w:bookmarkEnd w:id="318"/>
      <w:bookmarkStart w:id="319" w:name="_Toc184314427"/>
      <w:bookmarkEnd w:id="319"/>
      <w:bookmarkStart w:id="320" w:name="_Toc184312129"/>
      <w:bookmarkEnd w:id="320"/>
      <w:bookmarkStart w:id="321" w:name="_Toc184313251"/>
      <w:bookmarkEnd w:id="321"/>
      <w:bookmarkStart w:id="322" w:name="_Toc184308097"/>
      <w:bookmarkEnd w:id="322"/>
      <w:bookmarkStart w:id="323" w:name="_Toc184314455"/>
      <w:bookmarkEnd w:id="323"/>
      <w:bookmarkStart w:id="324" w:name="_Toc184310279"/>
      <w:bookmarkEnd w:id="324"/>
      <w:bookmarkStart w:id="325" w:name="_Toc184310317"/>
      <w:bookmarkEnd w:id="325"/>
      <w:bookmarkStart w:id="326" w:name="_Toc184314435"/>
      <w:bookmarkEnd w:id="326"/>
      <w:bookmarkStart w:id="327" w:name="_Toc184308098"/>
      <w:bookmarkEnd w:id="327"/>
      <w:bookmarkStart w:id="328" w:name="_Toc184310327"/>
      <w:bookmarkEnd w:id="328"/>
      <w:bookmarkStart w:id="329" w:name="_Toc184308087"/>
      <w:bookmarkEnd w:id="329"/>
      <w:bookmarkStart w:id="330" w:name="_Toc184310334"/>
      <w:bookmarkEnd w:id="330"/>
      <w:bookmarkStart w:id="331" w:name="_Toc184308076"/>
      <w:bookmarkEnd w:id="331"/>
      <w:bookmarkStart w:id="332" w:name="_Toc184308107"/>
      <w:bookmarkEnd w:id="332"/>
      <w:bookmarkStart w:id="333" w:name="_Toc184310311"/>
      <w:bookmarkEnd w:id="333"/>
      <w:bookmarkStart w:id="334" w:name="_Toc184314444"/>
      <w:bookmarkEnd w:id="334"/>
      <w:bookmarkStart w:id="335" w:name="_Toc184314451"/>
      <w:bookmarkEnd w:id="335"/>
      <w:bookmarkStart w:id="336" w:name="_Toc184312114"/>
      <w:bookmarkEnd w:id="336"/>
      <w:bookmarkStart w:id="337" w:name="_Toc184308101"/>
      <w:bookmarkEnd w:id="337"/>
      <w:bookmarkStart w:id="338" w:name="_Toc184314422"/>
      <w:bookmarkEnd w:id="338"/>
      <w:bookmarkStart w:id="339" w:name="_Toc184312135"/>
      <w:bookmarkEnd w:id="339"/>
      <w:bookmarkStart w:id="340" w:name="_Toc184310295"/>
      <w:bookmarkEnd w:id="340"/>
      <w:bookmarkStart w:id="341" w:name="_Toc184313283"/>
      <w:bookmarkEnd w:id="341"/>
      <w:bookmarkStart w:id="342" w:name="_Toc184314433"/>
      <w:bookmarkEnd w:id="342"/>
      <w:bookmarkStart w:id="343" w:name="_Toc184308092"/>
      <w:bookmarkEnd w:id="343"/>
      <w:bookmarkStart w:id="344" w:name="_Toc184310301"/>
      <w:bookmarkEnd w:id="344"/>
      <w:bookmarkStart w:id="345" w:name="_Toc184312104"/>
      <w:bookmarkEnd w:id="345"/>
      <w:bookmarkStart w:id="346" w:name="_Toc184314453"/>
      <w:bookmarkEnd w:id="346"/>
      <w:bookmarkStart w:id="347" w:name="_Toc184312139"/>
      <w:bookmarkEnd w:id="347"/>
      <w:bookmarkStart w:id="348" w:name="_Toc184310321"/>
      <w:bookmarkEnd w:id="348"/>
      <w:bookmarkStart w:id="349" w:name="_Toc184313243"/>
      <w:bookmarkEnd w:id="349"/>
      <w:bookmarkStart w:id="350" w:name="_Toc184312070"/>
      <w:bookmarkEnd w:id="350"/>
      <w:bookmarkStart w:id="351" w:name="_Toc184312120"/>
      <w:bookmarkEnd w:id="351"/>
      <w:bookmarkStart w:id="352" w:name="_Toc184313294"/>
      <w:bookmarkEnd w:id="352"/>
      <w:bookmarkStart w:id="353" w:name="_Toc184310306"/>
      <w:bookmarkEnd w:id="353"/>
      <w:bookmarkStart w:id="354" w:name="_Toc184308080"/>
      <w:bookmarkEnd w:id="354"/>
      <w:bookmarkStart w:id="355" w:name="_Toc184312108"/>
      <w:bookmarkEnd w:id="355"/>
      <w:bookmarkStart w:id="356" w:name="_Toc184312119"/>
      <w:bookmarkEnd w:id="356"/>
      <w:bookmarkStart w:id="357" w:name="_Toc184313247"/>
      <w:bookmarkEnd w:id="357"/>
      <w:bookmarkStart w:id="358" w:name="_Toc184313267"/>
      <w:bookmarkEnd w:id="358"/>
      <w:bookmarkStart w:id="359" w:name="_Toc184313270"/>
      <w:bookmarkEnd w:id="359"/>
      <w:bookmarkStart w:id="360" w:name="_Toc184313297"/>
      <w:bookmarkEnd w:id="360"/>
      <w:bookmarkStart w:id="361" w:name="_Toc184312121"/>
      <w:bookmarkEnd w:id="361"/>
      <w:bookmarkStart w:id="362" w:name="_Toc184313285"/>
      <w:bookmarkEnd w:id="362"/>
      <w:bookmarkStart w:id="363" w:name="_Toc184310275"/>
      <w:bookmarkEnd w:id="363"/>
      <w:bookmarkStart w:id="364" w:name="_Toc184312133"/>
      <w:bookmarkEnd w:id="364"/>
      <w:bookmarkStart w:id="365" w:name="_Toc184310316"/>
      <w:bookmarkEnd w:id="365"/>
      <w:bookmarkStart w:id="366" w:name="_Toc184310289"/>
      <w:bookmarkEnd w:id="366"/>
      <w:bookmarkStart w:id="367" w:name="_Toc184308093"/>
      <w:bookmarkEnd w:id="367"/>
      <w:bookmarkStart w:id="368" w:name="_Toc184313240"/>
      <w:bookmarkEnd w:id="368"/>
      <w:bookmarkStart w:id="369" w:name="_Toc184308078"/>
      <w:bookmarkEnd w:id="369"/>
      <w:bookmarkStart w:id="370" w:name="_Toc184312122"/>
      <w:bookmarkEnd w:id="370"/>
      <w:bookmarkStart w:id="371" w:name="_Toc184308072"/>
      <w:bookmarkEnd w:id="371"/>
      <w:bookmarkStart w:id="372" w:name="_Toc184314440"/>
      <w:bookmarkEnd w:id="372"/>
      <w:bookmarkStart w:id="373" w:name="_Toc184314443"/>
      <w:bookmarkEnd w:id="373"/>
      <w:bookmarkStart w:id="374" w:name="_Toc184312124"/>
      <w:bookmarkEnd w:id="374"/>
      <w:bookmarkStart w:id="375" w:name="_Toc184312093"/>
      <w:bookmarkEnd w:id="375"/>
      <w:bookmarkStart w:id="376" w:name="_Toc184308085"/>
      <w:bookmarkEnd w:id="376"/>
      <w:bookmarkStart w:id="377" w:name="_Toc184312111"/>
      <w:bookmarkEnd w:id="377"/>
      <w:bookmarkStart w:id="378" w:name="_Toc184312085"/>
      <w:bookmarkEnd w:id="378"/>
      <w:bookmarkStart w:id="379" w:name="_Toc184308066"/>
      <w:bookmarkEnd w:id="379"/>
      <w:bookmarkStart w:id="380" w:name="_Toc184312094"/>
      <w:bookmarkEnd w:id="380"/>
      <w:bookmarkStart w:id="381" w:name="_Toc184310300"/>
      <w:bookmarkEnd w:id="381"/>
      <w:bookmarkStart w:id="382" w:name="_Toc184308051"/>
      <w:bookmarkEnd w:id="382"/>
      <w:bookmarkStart w:id="383" w:name="_Toc18431207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2DC85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auto"/>
          <w:sz w:val="48"/>
          <w:szCs w:val="48"/>
          <w:lang w:val="en-US" w:eastAsia="zh-CN"/>
        </w:rPr>
      </w:pPr>
    </w:p>
    <w:p w14:paraId="5506A536">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5</w:t>
      </w:r>
      <w:r>
        <w:rPr>
          <w:rFonts w:hint="eastAsia" w:ascii="宋体" w:hAnsi="宋体" w:cs="宋体"/>
          <w:color w:val="auto"/>
          <w:sz w:val="24"/>
          <w:u w:val="single"/>
        </w:rPr>
        <w:t xml:space="preserve">-          </w:t>
      </w:r>
    </w:p>
    <w:p w14:paraId="71E3AA10">
      <w:pPr>
        <w:spacing w:line="480" w:lineRule="auto"/>
        <w:jc w:val="center"/>
        <w:rPr>
          <w:rFonts w:ascii="宋体" w:hAnsi="宋体" w:cs="宋体"/>
          <w:b/>
          <w:color w:val="auto"/>
          <w:sz w:val="28"/>
          <w:szCs w:val="28"/>
        </w:rPr>
      </w:pPr>
    </w:p>
    <w:p w14:paraId="293CF7A2">
      <w:pPr>
        <w:spacing w:line="480" w:lineRule="auto"/>
        <w:jc w:val="center"/>
        <w:rPr>
          <w:rFonts w:ascii="宋体" w:hAnsi="宋体" w:cs="宋体"/>
          <w:b/>
          <w:color w:val="auto"/>
          <w:sz w:val="24"/>
        </w:rPr>
      </w:pPr>
    </w:p>
    <w:p w14:paraId="29BEEE4C">
      <w:pPr>
        <w:spacing w:line="480" w:lineRule="auto"/>
        <w:jc w:val="center"/>
        <w:rPr>
          <w:rFonts w:ascii="宋体" w:hAnsi="宋体" w:cs="宋体"/>
          <w:b/>
          <w:color w:val="auto"/>
          <w:sz w:val="24"/>
        </w:rPr>
      </w:pPr>
    </w:p>
    <w:p w14:paraId="19FC6F51">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14:paraId="7E413026">
      <w:pPr>
        <w:spacing w:before="120" w:line="22" w:lineRule="atLeast"/>
        <w:rPr>
          <w:rFonts w:ascii="宋体" w:hAnsi="宋体" w:cs="宋体"/>
          <w:color w:val="auto"/>
          <w:sz w:val="24"/>
        </w:rPr>
      </w:pPr>
    </w:p>
    <w:p w14:paraId="4647992F">
      <w:pPr>
        <w:pStyle w:val="4"/>
        <w:tabs>
          <w:tab w:val="left" w:pos="432"/>
        </w:tabs>
        <w:rPr>
          <w:rFonts w:hint="default" w:eastAsia="黑体"/>
          <w:color w:val="auto"/>
          <w:lang w:val="en-US" w:eastAsia="zh-CN"/>
        </w:rPr>
      </w:pPr>
      <w:r>
        <w:rPr>
          <w:rFonts w:hint="eastAsia"/>
          <w:color w:val="auto"/>
          <w:lang w:val="en-US" w:eastAsia="zh-CN"/>
        </w:rPr>
        <w:t xml:space="preserve">              </w:t>
      </w:r>
    </w:p>
    <w:p w14:paraId="373AC360">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2025年-2026年高压变频器维修服务采购项目</w:t>
      </w:r>
    </w:p>
    <w:p w14:paraId="629633A3">
      <w:pPr>
        <w:rPr>
          <w:rFonts w:ascii="宋体" w:hAnsi="宋体" w:cs="宋体"/>
          <w:color w:val="auto"/>
          <w:sz w:val="24"/>
        </w:rPr>
      </w:pPr>
    </w:p>
    <w:p w14:paraId="60C3F9A9">
      <w:pPr>
        <w:spacing w:before="120" w:line="22" w:lineRule="atLeast"/>
        <w:ind w:left="960"/>
        <w:rPr>
          <w:rFonts w:ascii="宋体" w:hAnsi="宋体" w:cs="宋体"/>
          <w:color w:val="auto"/>
          <w:sz w:val="24"/>
          <w:u w:val="single"/>
        </w:rPr>
      </w:pPr>
      <w:r>
        <w:rPr>
          <w:rFonts w:hint="eastAsia" w:ascii="宋体" w:hAnsi="宋体" w:cs="宋体"/>
          <w:color w:val="auto"/>
          <w:sz w:val="24"/>
        </w:rPr>
        <w:t>甲    方：</w:t>
      </w:r>
      <w:r>
        <w:rPr>
          <w:rFonts w:hint="eastAsia" w:ascii="宋体" w:hAnsi="宋体" w:cs="宋体"/>
          <w:color w:val="auto"/>
          <w:sz w:val="24"/>
          <w:u w:val="single"/>
        </w:rPr>
        <w:t xml:space="preserve">  杭州临江环境能源有限公司         </w:t>
      </w:r>
    </w:p>
    <w:p w14:paraId="6DD5A8E6">
      <w:pPr>
        <w:spacing w:before="120" w:line="22" w:lineRule="atLeast"/>
        <w:rPr>
          <w:rFonts w:ascii="宋体" w:hAnsi="宋体" w:cs="宋体"/>
          <w:color w:val="auto"/>
          <w:sz w:val="24"/>
        </w:rPr>
      </w:pPr>
    </w:p>
    <w:p w14:paraId="30BF7DA6">
      <w:pPr>
        <w:spacing w:before="120" w:line="22" w:lineRule="atLeast"/>
        <w:ind w:left="960"/>
        <w:rPr>
          <w:rFonts w:ascii="宋体" w:hAnsi="宋体" w:cs="宋体"/>
          <w:color w:val="auto"/>
          <w:sz w:val="24"/>
          <w:u w:val="single"/>
        </w:rPr>
      </w:pPr>
      <w:r>
        <w:rPr>
          <w:rFonts w:hint="eastAsia" w:ascii="宋体" w:hAnsi="宋体" w:cs="宋体"/>
          <w:color w:val="auto"/>
          <w:sz w:val="24"/>
        </w:rPr>
        <w:t>乙    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7CABB169">
      <w:pPr>
        <w:spacing w:before="120" w:line="22" w:lineRule="atLeast"/>
        <w:rPr>
          <w:rFonts w:ascii="宋体" w:hAnsi="宋体" w:cs="宋体"/>
          <w:color w:val="auto"/>
          <w:sz w:val="24"/>
        </w:rPr>
      </w:pPr>
    </w:p>
    <w:p w14:paraId="61617EEB">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0D35F34E">
      <w:pPr>
        <w:spacing w:before="120" w:line="22" w:lineRule="atLeast"/>
        <w:rPr>
          <w:rFonts w:ascii="宋体" w:hAnsi="宋体" w:cs="宋体"/>
          <w:color w:val="auto"/>
          <w:sz w:val="24"/>
        </w:rPr>
      </w:pPr>
    </w:p>
    <w:p w14:paraId="09B19246">
      <w:pPr>
        <w:spacing w:before="120" w:line="22" w:lineRule="atLeast"/>
        <w:ind w:firstLine="960" w:firstLineChars="400"/>
        <w:rPr>
          <w:rFonts w:ascii="宋体" w:hAnsi="宋体" w:cs="宋体"/>
          <w:color w:val="auto"/>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AD39AA">
      <w:pPr>
        <w:pStyle w:val="16"/>
        <w:ind w:firstLine="214"/>
        <w:jc w:val="center"/>
        <w:rPr>
          <w:rFonts w:hint="eastAsia"/>
          <w:b/>
          <w:bCs/>
          <w:color w:val="auto"/>
        </w:rPr>
      </w:pPr>
      <w:r>
        <w:rPr>
          <w:rFonts w:hint="eastAsia"/>
          <w:b/>
          <w:bCs/>
          <w:color w:val="auto"/>
        </w:rPr>
        <w:t>目录</w:t>
      </w:r>
    </w:p>
    <w:p w14:paraId="0AB018B5">
      <w:pPr>
        <w:pStyle w:val="8"/>
        <w:spacing w:line="360" w:lineRule="auto"/>
        <w:ind w:firstLine="240" w:firstLineChars="100"/>
        <w:rPr>
          <w:color w:val="auto"/>
        </w:rPr>
      </w:pPr>
      <w:r>
        <w:rPr>
          <w:rFonts w:hint="eastAsia"/>
          <w:color w:val="auto"/>
        </w:rPr>
        <w:t>第一章 合同书  …………………………………………………………（页码）</w:t>
      </w:r>
    </w:p>
    <w:p w14:paraId="61B39EFC">
      <w:pPr>
        <w:pStyle w:val="8"/>
        <w:spacing w:line="360" w:lineRule="auto"/>
        <w:ind w:firstLine="240" w:firstLineChars="100"/>
        <w:rPr>
          <w:rFonts w:hint="eastAsia"/>
          <w:color w:val="auto"/>
        </w:rPr>
      </w:pPr>
      <w:r>
        <w:rPr>
          <w:rFonts w:hint="eastAsia"/>
          <w:color w:val="auto"/>
        </w:rPr>
        <w:t>第二章 合同一般条款……………………………………………………（页码）</w:t>
      </w:r>
    </w:p>
    <w:p w14:paraId="2C41F9F7">
      <w:pPr>
        <w:pStyle w:val="8"/>
        <w:spacing w:line="360" w:lineRule="auto"/>
        <w:ind w:firstLine="240" w:firstLineChars="100"/>
        <w:rPr>
          <w:rFonts w:hint="eastAsia"/>
          <w:color w:val="auto"/>
        </w:rPr>
      </w:pPr>
      <w:r>
        <w:rPr>
          <w:rFonts w:hint="eastAsia"/>
          <w:color w:val="auto"/>
        </w:rPr>
        <w:t>第三章 安全协议…………………………………………………………（页码）</w:t>
      </w:r>
    </w:p>
    <w:p w14:paraId="6B79F37E">
      <w:pPr>
        <w:pStyle w:val="8"/>
        <w:spacing w:line="360" w:lineRule="auto"/>
        <w:ind w:firstLine="240" w:firstLineChars="100"/>
        <w:rPr>
          <w:color w:val="auto"/>
        </w:rPr>
      </w:pPr>
      <w:r>
        <w:rPr>
          <w:rFonts w:hint="eastAsia"/>
          <w:color w:val="auto"/>
        </w:rPr>
        <w:t>第四章 廉洁协议…………………………………………………………（页码）</w:t>
      </w:r>
    </w:p>
    <w:p w14:paraId="19959D64">
      <w:pPr>
        <w:spacing w:line="360" w:lineRule="auto"/>
        <w:ind w:firstLine="480" w:firstLineChars="200"/>
        <w:rPr>
          <w:rFonts w:ascii="宋体" w:hAnsi="宋体"/>
          <w:color w:val="auto"/>
          <w:sz w:val="24"/>
          <w:u w:val="single"/>
          <w:lang w:val="zh-CN"/>
        </w:rPr>
      </w:pPr>
    </w:p>
    <w:p w14:paraId="7E6B8CA4">
      <w:pPr>
        <w:spacing w:line="360" w:lineRule="auto"/>
        <w:ind w:firstLine="480" w:firstLineChars="200"/>
        <w:rPr>
          <w:rFonts w:ascii="宋体" w:hAnsi="宋体"/>
          <w:color w:val="auto"/>
          <w:sz w:val="24"/>
          <w:u w:val="single"/>
          <w:lang w:val="zh-CN"/>
        </w:rPr>
      </w:pPr>
    </w:p>
    <w:p w14:paraId="77227986">
      <w:pPr>
        <w:spacing w:line="360" w:lineRule="auto"/>
        <w:ind w:firstLine="480" w:firstLineChars="200"/>
        <w:rPr>
          <w:rFonts w:ascii="宋体" w:hAnsi="宋体"/>
          <w:color w:val="auto"/>
          <w:sz w:val="24"/>
          <w:u w:val="single"/>
          <w:lang w:val="zh-CN"/>
        </w:rPr>
      </w:pPr>
    </w:p>
    <w:p w14:paraId="26018D7F">
      <w:pPr>
        <w:spacing w:line="360" w:lineRule="auto"/>
        <w:ind w:firstLine="480" w:firstLineChars="200"/>
        <w:rPr>
          <w:rFonts w:ascii="宋体" w:hAnsi="宋体"/>
          <w:color w:val="auto"/>
          <w:sz w:val="24"/>
          <w:u w:val="single"/>
          <w:lang w:val="zh-CN"/>
        </w:rPr>
      </w:pPr>
    </w:p>
    <w:p w14:paraId="09EEC25D">
      <w:pPr>
        <w:spacing w:line="360" w:lineRule="auto"/>
        <w:ind w:firstLine="480" w:firstLineChars="200"/>
        <w:rPr>
          <w:rFonts w:ascii="宋体" w:hAnsi="宋体"/>
          <w:color w:val="auto"/>
          <w:sz w:val="24"/>
          <w:u w:val="single"/>
          <w:lang w:val="zh-CN"/>
        </w:rPr>
      </w:pPr>
    </w:p>
    <w:p w14:paraId="16EEC51D">
      <w:pPr>
        <w:spacing w:line="360" w:lineRule="auto"/>
        <w:ind w:firstLine="480" w:firstLineChars="200"/>
        <w:rPr>
          <w:rFonts w:ascii="宋体" w:hAnsi="宋体"/>
          <w:color w:val="auto"/>
          <w:sz w:val="24"/>
          <w:u w:val="single"/>
          <w:lang w:val="zh-CN"/>
        </w:rPr>
      </w:pPr>
    </w:p>
    <w:p w14:paraId="44E415B4">
      <w:pPr>
        <w:spacing w:line="360" w:lineRule="auto"/>
        <w:ind w:firstLine="480" w:firstLineChars="200"/>
        <w:rPr>
          <w:rFonts w:ascii="宋体" w:hAnsi="宋体"/>
          <w:color w:val="auto"/>
          <w:sz w:val="24"/>
          <w:u w:val="single"/>
          <w:lang w:val="zh-CN"/>
        </w:rPr>
      </w:pPr>
    </w:p>
    <w:p w14:paraId="05652D94">
      <w:pPr>
        <w:spacing w:line="360" w:lineRule="auto"/>
        <w:ind w:firstLine="480" w:firstLineChars="200"/>
        <w:rPr>
          <w:rFonts w:ascii="宋体" w:hAnsi="宋体"/>
          <w:color w:val="auto"/>
          <w:sz w:val="24"/>
          <w:u w:val="single"/>
          <w:lang w:val="zh-CN"/>
        </w:rPr>
      </w:pPr>
    </w:p>
    <w:p w14:paraId="76457F7A">
      <w:pPr>
        <w:spacing w:line="360" w:lineRule="auto"/>
        <w:ind w:firstLine="480" w:firstLineChars="200"/>
        <w:rPr>
          <w:rFonts w:ascii="宋体" w:hAnsi="宋体"/>
          <w:color w:val="auto"/>
          <w:sz w:val="24"/>
          <w:u w:val="single"/>
          <w:lang w:val="zh-CN"/>
        </w:rPr>
      </w:pPr>
    </w:p>
    <w:p w14:paraId="623070DA">
      <w:pPr>
        <w:spacing w:line="360" w:lineRule="auto"/>
        <w:ind w:firstLine="480" w:firstLineChars="200"/>
        <w:rPr>
          <w:rFonts w:ascii="宋体" w:hAnsi="宋体"/>
          <w:color w:val="auto"/>
          <w:sz w:val="24"/>
          <w:u w:val="single"/>
          <w:lang w:val="zh-CN"/>
        </w:rPr>
      </w:pPr>
    </w:p>
    <w:p w14:paraId="641CC2C3">
      <w:pPr>
        <w:spacing w:line="360" w:lineRule="auto"/>
        <w:ind w:firstLine="480" w:firstLineChars="200"/>
        <w:rPr>
          <w:rFonts w:ascii="宋体" w:hAnsi="宋体"/>
          <w:color w:val="auto"/>
          <w:sz w:val="24"/>
          <w:u w:val="single"/>
          <w:lang w:val="zh-CN"/>
        </w:rPr>
      </w:pPr>
    </w:p>
    <w:p w14:paraId="095993B7">
      <w:pPr>
        <w:spacing w:line="360" w:lineRule="auto"/>
        <w:ind w:firstLine="480" w:firstLineChars="200"/>
        <w:rPr>
          <w:rFonts w:ascii="宋体" w:hAnsi="宋体"/>
          <w:color w:val="auto"/>
          <w:sz w:val="24"/>
          <w:u w:val="single"/>
          <w:lang w:val="zh-CN"/>
        </w:rPr>
      </w:pPr>
    </w:p>
    <w:p w14:paraId="4B9F948A">
      <w:pPr>
        <w:spacing w:line="360" w:lineRule="auto"/>
        <w:ind w:firstLine="480" w:firstLineChars="200"/>
        <w:rPr>
          <w:rFonts w:ascii="宋体" w:hAnsi="宋体"/>
          <w:color w:val="auto"/>
          <w:sz w:val="24"/>
          <w:u w:val="single"/>
          <w:lang w:val="zh-CN"/>
        </w:rPr>
      </w:pPr>
    </w:p>
    <w:p w14:paraId="2A52CB7C">
      <w:pPr>
        <w:spacing w:line="360" w:lineRule="auto"/>
        <w:ind w:firstLine="480" w:firstLineChars="200"/>
        <w:rPr>
          <w:rFonts w:ascii="宋体" w:hAnsi="宋体"/>
          <w:color w:val="auto"/>
          <w:sz w:val="24"/>
          <w:u w:val="single"/>
          <w:lang w:val="zh-CN"/>
        </w:rPr>
      </w:pPr>
    </w:p>
    <w:p w14:paraId="7F01E841">
      <w:pPr>
        <w:spacing w:line="360" w:lineRule="auto"/>
        <w:ind w:firstLine="480" w:firstLineChars="200"/>
        <w:rPr>
          <w:rFonts w:ascii="宋体" w:hAnsi="宋体"/>
          <w:color w:val="auto"/>
          <w:sz w:val="24"/>
          <w:u w:val="single"/>
          <w:lang w:val="zh-CN"/>
        </w:rPr>
      </w:pPr>
    </w:p>
    <w:p w14:paraId="430EAE6E">
      <w:pPr>
        <w:spacing w:line="360" w:lineRule="auto"/>
        <w:ind w:firstLine="480" w:firstLineChars="200"/>
        <w:rPr>
          <w:rFonts w:ascii="宋体" w:hAnsi="宋体"/>
          <w:color w:val="auto"/>
          <w:sz w:val="24"/>
          <w:u w:val="single"/>
          <w:lang w:val="zh-CN"/>
        </w:rPr>
      </w:pPr>
    </w:p>
    <w:p w14:paraId="32DAB617">
      <w:pPr>
        <w:spacing w:line="360" w:lineRule="auto"/>
        <w:ind w:firstLine="480" w:firstLineChars="200"/>
        <w:rPr>
          <w:rFonts w:ascii="宋体" w:hAnsi="宋体"/>
          <w:color w:val="auto"/>
          <w:sz w:val="24"/>
          <w:u w:val="single"/>
          <w:lang w:val="zh-CN"/>
        </w:rPr>
      </w:pPr>
    </w:p>
    <w:p w14:paraId="76A36C68">
      <w:pPr>
        <w:spacing w:line="360" w:lineRule="auto"/>
        <w:ind w:firstLine="480" w:firstLineChars="200"/>
        <w:rPr>
          <w:rFonts w:ascii="宋体" w:hAnsi="宋体"/>
          <w:color w:val="auto"/>
          <w:sz w:val="24"/>
          <w:u w:val="single"/>
          <w:lang w:val="zh-CN"/>
        </w:rPr>
      </w:pPr>
    </w:p>
    <w:p w14:paraId="48477FA4">
      <w:pPr>
        <w:spacing w:line="360" w:lineRule="auto"/>
        <w:ind w:firstLine="480" w:firstLineChars="200"/>
        <w:rPr>
          <w:rFonts w:ascii="宋体" w:hAnsi="宋体"/>
          <w:color w:val="auto"/>
          <w:sz w:val="24"/>
          <w:u w:val="single"/>
          <w:lang w:val="zh-CN"/>
        </w:rPr>
      </w:pPr>
    </w:p>
    <w:p w14:paraId="14C7A51E">
      <w:pPr>
        <w:spacing w:line="360" w:lineRule="auto"/>
        <w:ind w:firstLine="480" w:firstLineChars="200"/>
        <w:rPr>
          <w:rFonts w:ascii="宋体" w:hAnsi="宋体"/>
          <w:color w:val="auto"/>
          <w:sz w:val="24"/>
          <w:u w:val="single"/>
          <w:lang w:val="zh-CN"/>
        </w:rPr>
      </w:pPr>
    </w:p>
    <w:p w14:paraId="77428791">
      <w:pPr>
        <w:spacing w:line="360" w:lineRule="auto"/>
        <w:ind w:firstLine="480" w:firstLineChars="200"/>
        <w:rPr>
          <w:rFonts w:ascii="宋体" w:hAnsi="宋体"/>
          <w:color w:val="auto"/>
          <w:sz w:val="24"/>
          <w:u w:val="single"/>
          <w:lang w:val="zh-CN"/>
        </w:rPr>
      </w:pPr>
    </w:p>
    <w:p w14:paraId="50D1F6CB">
      <w:pPr>
        <w:spacing w:line="360" w:lineRule="auto"/>
        <w:ind w:firstLine="480" w:firstLineChars="200"/>
        <w:rPr>
          <w:rFonts w:ascii="宋体" w:hAnsi="宋体"/>
          <w:color w:val="auto"/>
          <w:sz w:val="24"/>
          <w:u w:val="single"/>
          <w:lang w:val="zh-CN"/>
        </w:rPr>
      </w:pPr>
    </w:p>
    <w:p w14:paraId="1DB6FFAA">
      <w:pPr>
        <w:pStyle w:val="7"/>
        <w:rPr>
          <w:color w:val="auto"/>
          <w:lang w:val="zh-CN"/>
        </w:rPr>
      </w:pPr>
    </w:p>
    <w:p w14:paraId="614B1F4A">
      <w:pPr>
        <w:spacing w:line="360" w:lineRule="auto"/>
        <w:ind w:firstLine="480" w:firstLineChars="200"/>
        <w:rPr>
          <w:rFonts w:ascii="宋体" w:hAnsi="宋体"/>
          <w:color w:val="auto"/>
          <w:sz w:val="24"/>
          <w:u w:val="single"/>
          <w:lang w:val="zh-CN"/>
        </w:rPr>
      </w:pPr>
    </w:p>
    <w:p w14:paraId="103CCB60">
      <w:pPr>
        <w:spacing w:line="360" w:lineRule="auto"/>
        <w:ind w:firstLine="480" w:firstLineChars="200"/>
        <w:rPr>
          <w:rFonts w:ascii="宋体" w:hAnsi="宋体"/>
          <w:color w:val="auto"/>
          <w:sz w:val="24"/>
          <w:u w:val="single"/>
          <w:lang w:val="zh-CN"/>
        </w:rPr>
      </w:pPr>
    </w:p>
    <w:p w14:paraId="7065DB00">
      <w:pPr>
        <w:pStyle w:val="25"/>
        <w:ind w:left="0" w:leftChars="0" w:firstLine="0" w:firstLineChars="0"/>
        <w:jc w:val="center"/>
        <w:rPr>
          <w:rFonts w:ascii="宋体" w:hAnsi="宋体"/>
          <w:color w:val="auto"/>
          <w:u w:val="single"/>
          <w:lang w:val="zh-CN"/>
        </w:rPr>
      </w:pPr>
      <w:r>
        <w:rPr>
          <w:rFonts w:hint="eastAsia" w:ascii="宋体" w:hAnsi="宋体" w:cs="宋体"/>
          <w:b/>
          <w:color w:val="auto"/>
          <w:szCs w:val="24"/>
        </w:rPr>
        <w:t>第一章 合同书</w:t>
      </w:r>
    </w:p>
    <w:p w14:paraId="5844C4DD">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val="en-US" w:eastAsia="zh-CN"/>
        </w:rPr>
        <w:t>询价</w:t>
      </w:r>
      <w:r>
        <w:rPr>
          <w:rFonts w:hint="eastAsia" w:ascii="宋体" w:hAnsi="宋体"/>
          <w:color w:val="auto"/>
          <w:sz w:val="24"/>
          <w:u w:val="single"/>
        </w:rPr>
        <w:t xml:space="preserve"> </w:t>
      </w:r>
      <w:r>
        <w:rPr>
          <w:rFonts w:hint="eastAsia" w:ascii="宋体" w:hAnsi="宋体"/>
          <w:color w:val="auto"/>
          <w:sz w:val="24"/>
        </w:rPr>
        <w:t>形式对</w:t>
      </w:r>
      <w:r>
        <w:rPr>
          <w:rFonts w:hint="eastAsia" w:ascii="宋体" w:hAnsi="宋体"/>
          <w:color w:val="auto"/>
          <w:sz w:val="24"/>
          <w:lang w:val="en-US" w:eastAsia="zh-CN"/>
        </w:rPr>
        <w:t xml:space="preserve"> </w:t>
      </w:r>
      <w:r>
        <w:rPr>
          <w:rFonts w:hint="eastAsia" w:ascii="宋体" w:hAnsi="宋体" w:cs="宋体"/>
          <w:color w:val="auto"/>
          <w:sz w:val="24"/>
          <w:u w:val="single"/>
          <w:lang w:val="en-US" w:eastAsia="zh-CN"/>
        </w:rPr>
        <w:t xml:space="preserve"> 2025年-2026年高压变频器维修服务采购项目  </w:t>
      </w:r>
      <w:r>
        <w:rPr>
          <w:rFonts w:hint="eastAsia" w:ascii="宋体" w:hAnsi="宋体"/>
          <w:color w:val="auto"/>
          <w:sz w:val="24"/>
        </w:rPr>
        <w:t>项目进行了采购。经</w:t>
      </w:r>
      <w:r>
        <w:rPr>
          <w:rFonts w:ascii="宋体" w:hAnsi="宋体"/>
          <w:color w:val="auto"/>
          <w:sz w:val="24"/>
          <w:u w:val="single"/>
        </w:rPr>
        <w:t xml:space="preserve"> </w:t>
      </w:r>
      <w:r>
        <w:rPr>
          <w:rFonts w:hint="eastAsia" w:ascii="宋体" w:hAnsi="宋体"/>
          <w:color w:val="auto"/>
          <w:sz w:val="24"/>
          <w:u w:val="single"/>
          <w:lang w:val="en-US" w:eastAsia="zh-CN"/>
        </w:rPr>
        <w:t xml:space="preserve"> 评审小组 </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lang w:eastAsia="zh-CN"/>
        </w:rPr>
        <w:t xml:space="preserve"> </w:t>
      </w:r>
      <w:r>
        <w:rPr>
          <w:rFonts w:hint="eastAsia" w:ascii="宋体" w:hAnsi="宋体"/>
          <w:color w:val="auto"/>
          <w:sz w:val="24"/>
          <w:u w:val="single"/>
          <w:lang w:val="en-US" w:eastAsia="zh-CN"/>
        </w:rPr>
        <w:t xml:space="preserve"> ***有限公司  </w:t>
      </w:r>
      <w:r>
        <w:rPr>
          <w:rFonts w:hint="eastAsia" w:ascii="宋体" w:hAnsi="宋体"/>
          <w:color w:val="auto"/>
          <w:sz w:val="24"/>
          <w:u w:val="single"/>
          <w:lang w:eastAsia="zh-CN"/>
        </w:rPr>
        <w:t xml:space="preserve">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发出之日起30</w:t>
      </w:r>
      <w:r>
        <w:rPr>
          <w:rFonts w:hint="eastAsia" w:ascii="宋体" w:hAnsi="宋体"/>
          <w:color w:val="auto"/>
          <w:sz w:val="24"/>
          <w:lang w:val="en-US" w:eastAsia="zh-CN"/>
        </w:rPr>
        <w:t>天</w:t>
      </w:r>
      <w:r>
        <w:rPr>
          <w:rFonts w:hint="eastAsia" w:ascii="宋体" w:hAnsi="宋体"/>
          <w:color w:val="auto"/>
          <w:sz w:val="24"/>
        </w:rPr>
        <w:t>内，按照采购文件确定的事项签订本合同。</w:t>
      </w:r>
    </w:p>
    <w:p w14:paraId="77216CE2">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 xml:space="preserve">***有限公司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42D41D2">
      <w:pPr>
        <w:spacing w:line="360" w:lineRule="auto"/>
        <w:ind w:firstLine="482" w:firstLineChars="200"/>
        <w:outlineLvl w:val="0"/>
        <w:rPr>
          <w:rFonts w:ascii="宋体" w:hAnsi="宋体"/>
          <w:color w:val="auto"/>
          <w:sz w:val="24"/>
        </w:rPr>
      </w:pPr>
      <w:r>
        <w:rPr>
          <w:rFonts w:hint="eastAsia" w:ascii="宋体" w:hAnsi="宋体"/>
          <w:b/>
          <w:color w:val="auto"/>
          <w:sz w:val="24"/>
        </w:rPr>
        <w:t>一、</w:t>
      </w:r>
      <w:r>
        <w:rPr>
          <w:rFonts w:ascii="宋体" w:hAnsi="宋体"/>
          <w:b/>
          <w:color w:val="auto"/>
          <w:sz w:val="24"/>
        </w:rPr>
        <w:t xml:space="preserve"> </w:t>
      </w:r>
      <w:r>
        <w:rPr>
          <w:rFonts w:hint="eastAsia" w:ascii="宋体" w:hAnsi="宋体"/>
          <w:b/>
          <w:color w:val="auto"/>
          <w:sz w:val="24"/>
        </w:rPr>
        <w:t>合同组成部分</w:t>
      </w:r>
    </w:p>
    <w:p w14:paraId="27996D51">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lang w:eastAsia="zh-CN"/>
        </w:rPr>
        <w:t>份文件</w:t>
      </w:r>
      <w:r>
        <w:rPr>
          <w:rFonts w:hint="eastAsia" w:ascii="宋体" w:hAnsi="宋体"/>
          <w:color w:val="auto"/>
          <w:sz w:val="24"/>
        </w:rPr>
        <w:t>的优先适用顺序如下：</w:t>
      </w:r>
    </w:p>
    <w:p w14:paraId="5E5ABF28">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本合同及其补充合同、变更协议；</w:t>
      </w:r>
    </w:p>
    <w:p w14:paraId="2C750A76">
      <w:pPr>
        <w:spacing w:line="360" w:lineRule="auto"/>
        <w:ind w:firstLine="480" w:firstLineChars="200"/>
        <w:rPr>
          <w:rFonts w:ascii="宋体" w:hAnsi="宋体"/>
          <w:color w:val="auto"/>
          <w:sz w:val="24"/>
        </w:rPr>
      </w:pPr>
      <w:r>
        <w:rPr>
          <w:rFonts w:hint="eastAsia" w:ascii="宋体" w:hAnsi="宋体"/>
          <w:color w:val="auto"/>
          <w:sz w:val="24"/>
        </w:rPr>
        <w:t>2.中标或者成交通知书；</w:t>
      </w:r>
    </w:p>
    <w:p w14:paraId="5C88DD6A">
      <w:pPr>
        <w:spacing w:line="360" w:lineRule="auto"/>
        <w:ind w:firstLine="480" w:firstLineChars="200"/>
        <w:rPr>
          <w:rFonts w:ascii="宋体" w:hAnsi="宋体"/>
          <w:color w:val="auto"/>
          <w:sz w:val="24"/>
        </w:rPr>
      </w:pPr>
      <w:r>
        <w:rPr>
          <w:rFonts w:hint="eastAsia" w:ascii="宋体" w:hAnsi="宋体"/>
          <w:color w:val="auto"/>
          <w:sz w:val="24"/>
        </w:rPr>
        <w:t>3.投标或者响应文件（含澄清或者说明文件）；</w:t>
      </w:r>
    </w:p>
    <w:p w14:paraId="70B949E3">
      <w:pPr>
        <w:spacing w:line="360" w:lineRule="auto"/>
        <w:ind w:firstLine="480" w:firstLineChars="200"/>
        <w:rPr>
          <w:rFonts w:ascii="宋体" w:hAnsi="宋体"/>
          <w:color w:val="auto"/>
          <w:sz w:val="24"/>
        </w:rPr>
      </w:pPr>
      <w:r>
        <w:rPr>
          <w:rFonts w:hint="eastAsia" w:ascii="宋体" w:hAnsi="宋体"/>
          <w:color w:val="auto"/>
          <w:sz w:val="24"/>
        </w:rPr>
        <w:t>4.采购文件（含澄清或者修改文件）；</w:t>
      </w:r>
    </w:p>
    <w:p w14:paraId="693C4B30">
      <w:pPr>
        <w:spacing w:line="360" w:lineRule="auto"/>
        <w:ind w:firstLine="480" w:firstLineChars="200"/>
        <w:rPr>
          <w:rFonts w:ascii="宋体" w:hAnsi="宋体"/>
          <w:color w:val="auto"/>
          <w:sz w:val="24"/>
        </w:rPr>
      </w:pPr>
      <w:r>
        <w:rPr>
          <w:rFonts w:hint="eastAsia" w:ascii="宋体" w:hAnsi="宋体"/>
          <w:color w:val="auto"/>
          <w:sz w:val="24"/>
        </w:rPr>
        <w:t>5.其他相关采购文件。</w:t>
      </w:r>
    </w:p>
    <w:p w14:paraId="17E62C4D">
      <w:pPr>
        <w:spacing w:line="360" w:lineRule="auto"/>
        <w:ind w:firstLine="482" w:firstLineChars="200"/>
        <w:outlineLvl w:val="0"/>
        <w:rPr>
          <w:rFonts w:hint="eastAsia" w:ascii="宋体" w:hAnsi="宋体"/>
          <w:b/>
          <w:color w:val="auto"/>
          <w:sz w:val="24"/>
        </w:rPr>
      </w:pPr>
      <w:r>
        <w:rPr>
          <w:rFonts w:hint="eastAsia" w:ascii="宋体" w:hAnsi="宋体"/>
          <w:b/>
          <w:color w:val="auto"/>
          <w:sz w:val="24"/>
        </w:rPr>
        <w:t>二、合同标的及价款</w:t>
      </w:r>
    </w:p>
    <w:p w14:paraId="1B7141A9">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D207E4C">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63F9ADDE">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hint="eastAsia" w:ascii="宋体" w:hAnsi="宋体"/>
          <w:bCs/>
          <w:color w:val="auto"/>
          <w:sz w:val="24"/>
          <w:highlight w:val="none"/>
        </w:rPr>
        <w:t>）单价合同，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w:t>
      </w:r>
      <w:r>
        <w:rPr>
          <w:rFonts w:hint="eastAsia" w:ascii="宋体" w:hAnsi="宋体"/>
          <w:color w:val="auto"/>
          <w:sz w:val="24"/>
          <w:highlight w:val="none"/>
          <w:lang w:eastAsia="zh-CN"/>
        </w:rPr>
        <w:t>，</w:t>
      </w:r>
      <w:r>
        <w:rPr>
          <w:rFonts w:hint="eastAsia" w:ascii="宋体" w:hAnsi="宋体"/>
          <w:color w:val="auto"/>
          <w:sz w:val="24"/>
          <w:highlight w:val="none"/>
        </w:rPr>
        <w:t>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7"/>
        <w:tblW w:w="8890" w:type="dxa"/>
        <w:tblInd w:w="96" w:type="dxa"/>
        <w:tblLayout w:type="fixed"/>
        <w:tblCellMar>
          <w:top w:w="0" w:type="dxa"/>
          <w:left w:w="108" w:type="dxa"/>
          <w:bottom w:w="0" w:type="dxa"/>
          <w:right w:w="108" w:type="dxa"/>
        </w:tblCellMar>
      </w:tblPr>
      <w:tblGrid>
        <w:gridCol w:w="578"/>
        <w:gridCol w:w="1227"/>
        <w:gridCol w:w="1485"/>
        <w:gridCol w:w="945"/>
        <w:gridCol w:w="705"/>
        <w:gridCol w:w="990"/>
        <w:gridCol w:w="1185"/>
        <w:gridCol w:w="1775"/>
      </w:tblGrid>
      <w:tr w14:paraId="2501565B">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902B7D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8107D4C">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DF54C3E">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1A231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C6743D">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6FCA1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B18DFB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1775" w:type="dxa"/>
            <w:tcBorders>
              <w:top w:val="single" w:color="000000" w:sz="4" w:space="0"/>
              <w:left w:val="single" w:color="000000" w:sz="4" w:space="0"/>
              <w:bottom w:val="single" w:color="000000" w:sz="4" w:space="0"/>
              <w:right w:val="single" w:color="000000" w:sz="4" w:space="0"/>
            </w:tcBorders>
            <w:noWrap/>
            <w:vAlign w:val="center"/>
          </w:tcPr>
          <w:p w14:paraId="149F266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B5BB0E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BDFDD07">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6D5FE7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维修费</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9CDE859">
            <w:pPr>
              <w:widowControl/>
              <w:jc w:val="center"/>
              <w:textAlignment w:val="center"/>
              <w:rPr>
                <w:rFonts w:hint="eastAsia" w:ascii="宋体" w:hAnsi="宋体" w:cs="宋体" w:eastAsiaTheme="minorEastAsia"/>
                <w:sz w:val="20"/>
                <w:szCs w:val="20"/>
                <w:lang w:val="en-US" w:eastAsia="zh-CN"/>
              </w:rPr>
            </w:pPr>
            <w:r>
              <w:rPr>
                <w:rFonts w:hint="eastAsia"/>
                <w:color w:val="auto"/>
                <w:sz w:val="21"/>
                <w:szCs w:val="21"/>
                <w:highlight w:val="none"/>
                <w:lang w:val="en-US" w:eastAsia="zh-CN"/>
              </w:rPr>
              <w:t>故障排除、旧配件更换、新配件调试服务</w:t>
            </w:r>
            <w:r>
              <w:rPr>
                <w:rFonts w:hint="eastAsia" w:asciiTheme="minorEastAsia" w:hAnsiTheme="minorEastAsia" w:eastAsiaTheme="minorEastAsia" w:cstheme="minorEastAsia"/>
                <w:i w:val="0"/>
                <w:iCs w:val="0"/>
                <w:color w:val="auto"/>
                <w:kern w:val="0"/>
                <w:sz w:val="21"/>
                <w:szCs w:val="21"/>
                <w:u w:val="none"/>
                <w:lang w:val="en-US" w:eastAsia="zh-CN" w:bidi="ar"/>
              </w:rPr>
              <w:t>费用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488BD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天</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4BEB7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3B2302A">
            <w:pPr>
              <w:widowControl/>
              <w:jc w:val="center"/>
              <w:textAlignment w:val="center"/>
              <w:rPr>
                <w:rFonts w:ascii="宋体" w:hAnsi="宋体" w:cs="宋体"/>
                <w:kern w:val="0"/>
                <w:sz w:val="20"/>
                <w:szCs w:val="20"/>
                <w:lang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90467A0">
            <w:pPr>
              <w:widowControl/>
              <w:jc w:val="center"/>
              <w:textAlignment w:val="center"/>
              <w:rPr>
                <w:rFonts w:hint="eastAsia" w:ascii="宋体" w:hAnsi="宋体" w:cs="宋体"/>
                <w:kern w:val="0"/>
                <w:sz w:val="20"/>
                <w:szCs w:val="20"/>
                <w:lang w:bidi="ar"/>
              </w:rPr>
            </w:pPr>
          </w:p>
        </w:tc>
        <w:tc>
          <w:tcPr>
            <w:tcW w:w="1775" w:type="dxa"/>
            <w:tcBorders>
              <w:top w:val="single" w:color="000000" w:sz="4" w:space="0"/>
              <w:left w:val="single" w:color="000000" w:sz="4" w:space="0"/>
              <w:bottom w:val="single" w:color="000000" w:sz="4" w:space="0"/>
              <w:right w:val="single" w:color="000000" w:sz="4" w:space="0"/>
            </w:tcBorders>
            <w:noWrap/>
            <w:vAlign w:val="center"/>
          </w:tcPr>
          <w:p w14:paraId="4EAF5612">
            <w:pPr>
              <w:widowControl/>
              <w:jc w:val="center"/>
              <w:textAlignment w:val="center"/>
              <w:rPr>
                <w:rFonts w:ascii="宋体" w:hAnsi="宋体" w:cs="宋体"/>
                <w:kern w:val="0"/>
                <w:sz w:val="20"/>
                <w:szCs w:val="20"/>
                <w:lang w:bidi="ar"/>
              </w:rPr>
            </w:pPr>
            <w:r>
              <w:rPr>
                <w:rFonts w:hint="eastAsia" w:asciiTheme="minorEastAsia" w:hAnsiTheme="minorEastAsia" w:cstheme="minorEastAsia"/>
                <w:i w:val="0"/>
                <w:iCs w:val="0"/>
                <w:color w:val="auto"/>
                <w:kern w:val="0"/>
                <w:sz w:val="21"/>
                <w:szCs w:val="21"/>
                <w:u w:val="none"/>
                <w:lang w:val="en-US" w:eastAsia="zh-CN" w:bidi="ar"/>
              </w:rPr>
              <w:t>不</w:t>
            </w:r>
            <w:r>
              <w:rPr>
                <w:rFonts w:hint="eastAsia"/>
                <w:color w:val="auto"/>
                <w:sz w:val="21"/>
                <w:szCs w:val="21"/>
                <w:highlight w:val="none"/>
                <w:lang w:val="en-US" w:eastAsia="zh-CN"/>
              </w:rPr>
              <w:t>足半天按半天计算，超过半天不足1天，按</w:t>
            </w:r>
            <w:r>
              <w:rPr>
                <w:rFonts w:hint="eastAsia" w:asciiTheme="minorEastAsia" w:hAnsiTheme="minorEastAsia" w:cstheme="minorEastAsia"/>
                <w:i w:val="0"/>
                <w:iCs w:val="0"/>
                <w:color w:val="auto"/>
                <w:kern w:val="0"/>
                <w:sz w:val="21"/>
                <w:szCs w:val="21"/>
                <w:u w:val="none"/>
                <w:lang w:val="en-US" w:eastAsia="zh-CN" w:bidi="ar"/>
              </w:rPr>
              <w:t>1天计算。</w:t>
            </w:r>
          </w:p>
        </w:tc>
      </w:tr>
    </w:tbl>
    <w:p w14:paraId="595475A0">
      <w:pPr>
        <w:pStyle w:val="26"/>
        <w:spacing w:before="0" w:beforeAutospacing="0" w:after="0" w:afterAutospacing="0" w:line="360" w:lineRule="auto"/>
        <w:ind w:firstLine="960" w:firstLineChars="400"/>
        <w:rPr>
          <w:rFonts w:hint="eastAsia"/>
        </w:rPr>
      </w:pPr>
    </w:p>
    <w:p w14:paraId="3EA285C8">
      <w:pPr>
        <w:pStyle w:val="26"/>
        <w:spacing w:before="0" w:beforeAutospacing="0" w:after="0" w:afterAutospacing="0" w:line="360" w:lineRule="auto"/>
        <w:ind w:firstLine="480" w:firstLineChars="200"/>
        <w:rPr>
          <w:rFonts w:hint="eastAsia"/>
        </w:rPr>
      </w:pPr>
      <w:r>
        <w:rPr>
          <w:rFonts w:hint="eastAsia" w:ascii="宋体" w:hAnsi="宋体" w:cs="宋体" w:eastAsiaTheme="minorEastAsia"/>
          <w:color w:val="auto"/>
          <w:kern w:val="2"/>
          <w:sz w:val="24"/>
          <w:szCs w:val="24"/>
          <w:highlight w:val="none"/>
          <w:lang w:val="en-US" w:eastAsia="zh-CN" w:bidi="ar-SA"/>
        </w:rPr>
        <w:t>2.合同涉及货物采</w:t>
      </w:r>
      <w:r>
        <w:rPr>
          <w:rFonts w:hint="eastAsia" w:cs="Times New Roman"/>
          <w:kern w:val="2"/>
        </w:rPr>
        <w:t xml:space="preserve">用以下第 </w:t>
      </w:r>
      <w:r>
        <w:rPr>
          <w:rFonts w:hint="eastAsia" w:cs="Times New Roman"/>
          <w:kern w:val="2"/>
          <w:u w:val="single"/>
          <w:lang w:val="en-US" w:eastAsia="zh-CN"/>
        </w:rPr>
        <w:t xml:space="preserve">  </w:t>
      </w:r>
      <w:r>
        <w:rPr>
          <w:rFonts w:hint="eastAsia" w:ascii="宋体" w:hAnsi="宋体" w:cs="宋体"/>
          <w:color w:val="auto"/>
          <w:sz w:val="24"/>
          <w:highlight w:val="none"/>
          <w:u w:val="single"/>
          <w:lang w:val="en-US" w:eastAsia="zh-CN"/>
        </w:rPr>
        <w:t>（2）</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7E71E3A0">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7"/>
        <w:tblW w:w="9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65"/>
        <w:gridCol w:w="1905"/>
        <w:gridCol w:w="2205"/>
        <w:gridCol w:w="705"/>
        <w:gridCol w:w="660"/>
        <w:gridCol w:w="730"/>
        <w:gridCol w:w="730"/>
      </w:tblGrid>
      <w:tr w14:paraId="7FC0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4312">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bookmarkStart w:id="384" w:name="_Toc5635"/>
            <w:bookmarkStart w:id="385" w:name="_Toc1386"/>
            <w:bookmarkStart w:id="386" w:name="_Toc4929"/>
            <w:bookmarkStart w:id="387" w:name="_Toc13918"/>
            <w:bookmarkStart w:id="388" w:name="_Toc21124"/>
            <w:r>
              <w:rPr>
                <w:rFonts w:hint="eastAsia" w:asciiTheme="minorEastAsia" w:hAnsiTheme="minorEastAsia" w:eastAsiaTheme="minorEastAsia" w:cstheme="minorEastAsia"/>
                <w:b/>
                <w:bCs/>
                <w:i w:val="0"/>
                <w:iCs w:val="0"/>
                <w:color w:val="auto"/>
                <w:kern w:val="0"/>
                <w:sz w:val="21"/>
                <w:szCs w:val="21"/>
                <w:u w:val="none"/>
                <w:lang w:val="en-US" w:eastAsia="zh-CN" w:bidi="ar"/>
              </w:rPr>
              <w:t>序 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CDC">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sz w:val="21"/>
                <w:szCs w:val="21"/>
                <w:u w:val="none"/>
                <w:lang w:val="en-US"/>
              </w:rPr>
            </w:pPr>
            <w:r>
              <w:rPr>
                <w:rFonts w:hint="eastAsia" w:asciiTheme="minorEastAsia" w:hAnsiTheme="minorEastAsia" w:cstheme="minorEastAsia"/>
                <w:b/>
                <w:bCs/>
                <w:i w:val="0"/>
                <w:iCs w:val="0"/>
                <w:color w:val="auto"/>
                <w:kern w:val="0"/>
                <w:sz w:val="21"/>
                <w:szCs w:val="21"/>
                <w:u w:val="none"/>
                <w:lang w:val="en-US" w:eastAsia="zh-CN" w:bidi="ar"/>
              </w:rPr>
              <w:t>配件名称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317">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品牌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60EB">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045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暂定</w:t>
            </w: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CA99">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D4F">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单价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A13C">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金额</w:t>
            </w:r>
          </w:p>
        </w:tc>
      </w:tr>
      <w:tr w14:paraId="03C6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7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E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5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8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ZLJM-400D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0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D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0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B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1BB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5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E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5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B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ZLJM-200D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7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1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5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2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60D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2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功率单元45A有旁路</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E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3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9LD9000-0AE01-0AAD</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2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6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CE8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D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C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2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1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65R0960-0LM11-0AM0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7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1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1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D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ABA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C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F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3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F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65R0960-0LM12-0AM0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5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7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6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3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7941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0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F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8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8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6SR0960-0LM14-0AM0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7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B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6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2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BF0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0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5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6SR0960-0LM15-0AM0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2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6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F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A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63C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0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A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65R0960-0LM10-0AM0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0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3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0A9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6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E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3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6SR0960-0LM13-0AM0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8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D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B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F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51D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7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3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65R0960-0LM16-0AM0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5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B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9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B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324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4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8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I/0板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6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6SR0960-0CC07-1ADO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8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6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B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153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6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系统接口板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65R0960-0CC16-0AD0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B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1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3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F0A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8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F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触摸屏</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E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7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6AV2143-6GAD0-0SNO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0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C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2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0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3371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6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1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控制电源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D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1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K40153A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D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3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4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598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59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AF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合计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2744">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A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F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3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bookmarkEnd w:id="384"/>
      <w:bookmarkEnd w:id="385"/>
      <w:bookmarkEnd w:id="386"/>
      <w:bookmarkEnd w:id="387"/>
      <w:bookmarkEnd w:id="388"/>
    </w:tbl>
    <w:p w14:paraId="608EEFE6">
      <w:pPr>
        <w:spacing w:line="360" w:lineRule="auto"/>
        <w:ind w:firstLine="480" w:firstLineChars="200"/>
        <w:rPr>
          <w:rFonts w:hint="eastAsia" w:ascii="宋体" w:hAnsi="宋体" w:cs="宋体"/>
          <w:color w:val="auto"/>
          <w:sz w:val="24"/>
          <w:highlight w:val="none"/>
        </w:rPr>
      </w:pPr>
    </w:p>
    <w:p w14:paraId="5E963DDB">
      <w:pPr>
        <w:spacing w:line="360" w:lineRule="auto"/>
        <w:ind w:firstLine="482" w:firstLineChars="200"/>
        <w:outlineLvl w:val="0"/>
        <w:rPr>
          <w:rFonts w:ascii="宋体" w:hAnsi="宋体"/>
          <w:b/>
          <w:color w:val="auto"/>
          <w:sz w:val="24"/>
        </w:rPr>
      </w:pPr>
      <w:bookmarkStart w:id="389" w:name="_Toc10340"/>
      <w:bookmarkStart w:id="390" w:name="_Toc22618"/>
      <w:bookmarkStart w:id="391" w:name="_Toc1814"/>
      <w:bookmarkStart w:id="392" w:name="_Toc4760"/>
      <w:bookmarkStart w:id="393" w:name="_Toc3625"/>
      <w:bookmarkStart w:id="394" w:name="_Toc8772"/>
      <w:bookmarkStart w:id="395" w:name="_Toc31421"/>
      <w:bookmarkStart w:id="396" w:name="_Toc11108"/>
      <w:r>
        <w:rPr>
          <w:rFonts w:hint="eastAsia" w:ascii="宋体" w:hAnsi="宋体"/>
          <w:b/>
          <w:color w:val="auto"/>
          <w:sz w:val="24"/>
        </w:rPr>
        <w:t>三、</w:t>
      </w:r>
      <w:r>
        <w:rPr>
          <w:rFonts w:hint="eastAsia" w:ascii="宋体" w:hAnsi="宋体"/>
          <w:b/>
          <w:color w:val="auto"/>
          <w:sz w:val="24"/>
          <w:lang w:val="en-US" w:eastAsia="zh-CN"/>
        </w:rPr>
        <w:t>合同</w:t>
      </w:r>
      <w:r>
        <w:rPr>
          <w:rFonts w:ascii="宋体" w:hAnsi="宋体"/>
          <w:b/>
          <w:color w:val="auto"/>
          <w:sz w:val="24"/>
        </w:rPr>
        <w:t>期限</w:t>
      </w:r>
      <w:r>
        <w:rPr>
          <w:rFonts w:hint="eastAsia" w:ascii="宋体" w:hAnsi="宋体"/>
          <w:b/>
          <w:color w:val="auto"/>
          <w:sz w:val="24"/>
        </w:rPr>
        <w:t>、地点、联系方式、交付方式</w:t>
      </w:r>
    </w:p>
    <w:p w14:paraId="03C006B7">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 xml:space="preserve"> 自合同签订后</w:t>
      </w:r>
      <w:r>
        <w:rPr>
          <w:rFonts w:hint="eastAsia" w:ascii="宋体" w:hAnsi="宋体"/>
          <w:b/>
          <w:bCs/>
          <w:color w:val="auto"/>
          <w:sz w:val="24"/>
          <w:highlight w:val="none"/>
          <w:u w:val="single"/>
        </w:rPr>
        <w:t>12个月</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以甲方实际委托时间为准</w:t>
      </w:r>
      <w:r>
        <w:rPr>
          <w:rFonts w:hint="eastAsia" w:ascii="宋体" w:hAnsi="宋体"/>
          <w:b/>
          <w:bCs/>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p>
    <w:p w14:paraId="409BDD9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14:paraId="7D0B42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color w:val="auto"/>
          <w:sz w:val="24"/>
          <w:highlight w:val="none"/>
          <w:u w:val="single"/>
          <w:lang w:val="en-US" w:eastAsia="zh-CN"/>
        </w:rPr>
        <w:t xml:space="preserve">乙方完成甲方高压变频器的故障修复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194E63DF">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D83A524">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0C9D9AD6">
      <w:pPr>
        <w:spacing w:line="360" w:lineRule="auto"/>
        <w:ind w:firstLine="482" w:firstLineChars="200"/>
        <w:outlineLvl w:val="0"/>
        <w:rPr>
          <w:rFonts w:hint="eastAsia" w:ascii="宋体" w:hAnsi="宋体" w:cs="宋体"/>
          <w:b/>
          <w:color w:val="auto"/>
          <w:kern w:val="0"/>
          <w:sz w:val="24"/>
        </w:rPr>
      </w:pPr>
      <w:r>
        <w:rPr>
          <w:rFonts w:hint="eastAsia" w:ascii="宋体" w:hAnsi="宋体" w:cs="宋体"/>
          <w:b/>
          <w:color w:val="auto"/>
          <w:kern w:val="0"/>
          <w:sz w:val="24"/>
        </w:rPr>
        <w:t>四、质量和服务要求</w:t>
      </w:r>
    </w:p>
    <w:p w14:paraId="231466EE">
      <w:pPr>
        <w:spacing w:line="360" w:lineRule="auto"/>
        <w:ind w:firstLine="480" w:firstLineChars="200"/>
        <w:rPr>
          <w:rFonts w:hint="eastAsia" w:ascii="宋体" w:hAnsi="宋体" w:cs="宋体"/>
          <w:sz w:val="24"/>
          <w:lang w:val="en-US" w:eastAsia="zh-CN"/>
        </w:rPr>
      </w:pPr>
      <w:bookmarkStart w:id="397" w:name="_Toc1125"/>
      <w:bookmarkStart w:id="398" w:name="_Toc6596"/>
      <w:bookmarkStart w:id="399" w:name="_Toc14563"/>
      <w:r>
        <w:rPr>
          <w:rFonts w:hint="eastAsia" w:ascii="宋体" w:hAnsi="宋体" w:cs="宋体"/>
          <w:sz w:val="24"/>
          <w:lang w:val="en-US" w:eastAsia="zh-CN"/>
        </w:rPr>
        <w:t>1.乙方维修标准满足SIEMENS（西门子）高压变频器的技术说明书。</w:t>
      </w:r>
    </w:p>
    <w:p w14:paraId="1415604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2.乙方提供备件必须为SIEMENS（西门子）原厂正品，不得为假冒伪劣产品。若有防伪标识，支持防伪查询。</w:t>
      </w:r>
    </w:p>
    <w:p w14:paraId="100CFE16">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3.乙方维修质保期为自验收合格后12个月，在质保期内，若发生质量问题（若因甲方提供的配件质量问题除外），由乙方负责免费维修或更换，产生的费用全部由乙方承担，质保期重新计算。</w:t>
      </w:r>
    </w:p>
    <w:p w14:paraId="1D97D55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乙方应指派专人人员与甲方进行技术对接，技术人员应保持手机24小时开机，乙方接到维修要求时，乙方需在接到通知后12小时内做出回复，24小时内赶到现场进行维修处理，重大故障需在72小时内处理完毕，特大故障双方协商处理。如需更换技术人员，需提前与甲方沟通；乙方服务人员必须熟悉高压变频器及相关硬件，具有操作维护经验。</w:t>
      </w:r>
    </w:p>
    <w:p w14:paraId="1CA5C24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5.乙方每次维修服务时需要有甲方技术人员陪同，乙方作业人员需要持证上岗，如高压电工作业、登高作业证等，严禁无证作业；每次作业前办理作业票</w:t>
      </w:r>
    </w:p>
    <w:p w14:paraId="6BC74E7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6.乙方维修人员的交通食宿费、人工费等乙方自理。</w:t>
      </w:r>
    </w:p>
    <w:p w14:paraId="02EFC12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7.乙方对实施工作人员安全负有全部责任，乙方须为工作人员购买保险，如工伤保险、意外保险等，具体由乙方自行与员工确定，若因此而引起的法律或者经济纠纷，由乙方负全责，甲方不承担任何责任。</w:t>
      </w:r>
    </w:p>
    <w:p w14:paraId="63EB03E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8.乙方应遵守甲方的现场管理制度要求，遵守国家、行业、地方法律法规，不得违章作业，接受甲方的安全教育，出现任何人员安全事故由乙方自行承担。</w:t>
      </w:r>
    </w:p>
    <w:p w14:paraId="4ADB381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9.乙方在实施过程中应负责对甲方生产场地的保护，与作业无关区域进行必要隔离，若造成损坏应负责修复或赔偿。</w:t>
      </w:r>
    </w:p>
    <w:p w14:paraId="00D1A83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10.高压变频器设备零部件发生故障或损坏，需更换新的配件时,乙方应向甲方报送需更换的配件清单,经甲方同意批准后方可更换，按以下情形执行。</w:t>
      </w:r>
    </w:p>
    <w:p w14:paraId="2950EB9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（1）若更换配件甲方没有库存但在合同清单内，按合同清单价格支付配件费和维修工时费；</w:t>
      </w:r>
    </w:p>
    <w:p w14:paraId="5F9FBD4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（2）若更换配件甲方没有库存也不在合同清单内，甲方另外提供配件，乙方完成维修工作，甲方仅支付维修工时费。</w:t>
      </w:r>
    </w:p>
    <w:p w14:paraId="2B5F181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乙方在服务过程中涉及第三方产品（乙方提供的），若出现技术、经济或法律上的纠纷，应由乙方全面承担并解决，确保不影响项目的进度。乙方应严格遵守招标人关于保密方面的规定，自觉保守甲方的商业秘密。甲方为方便项目实施所提供给乙方的工作流程、管理模式、规程、程序等相关文档资料、文档、数据均属于招标人所有。未经甲方授权同意，乙方不得另作他用。因乙方原因导致上述资料、文档、数据或招标人商业秘密泄露的，甲方有权要求乙方采取措施消除影响并赔偿甲方损失。</w:t>
      </w:r>
    </w:p>
    <w:p w14:paraId="23943A9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397"/>
      <w:bookmarkEnd w:id="398"/>
      <w:bookmarkEnd w:id="399"/>
    </w:p>
    <w:p w14:paraId="2DB203DD">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65BF7050">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6D937A65">
      <w:pPr>
        <w:pStyle w:val="16"/>
        <w:numPr>
          <w:ilvl w:val="0"/>
          <w:numId w:val="0"/>
        </w:numPr>
        <w:ind w:firstLine="480" w:firstLineChars="200"/>
        <w:rPr>
          <w:rFonts w:hint="default" w:ascii="宋体" w:hAnsi="宋体"/>
          <w:color w:val="auto"/>
          <w:sz w:val="24"/>
          <w:highlight w:val="none"/>
          <w:lang w:val="en-US" w:eastAsia="zh-CN"/>
        </w:rPr>
      </w:pPr>
      <w:r>
        <w:rPr>
          <w:rFonts w:hint="eastAsia" w:hAnsi="宋体"/>
          <w:color w:val="auto"/>
          <w:sz w:val="24"/>
          <w:highlight w:val="none"/>
          <w:lang w:val="en-US" w:eastAsia="zh-CN"/>
        </w:rPr>
        <w:t>3.甲方对乙方提供的配件进行验收，验收合格后方可更换，若验收不合格的，乙方无条件予以更换至满足要求为止。</w:t>
      </w:r>
    </w:p>
    <w:p w14:paraId="236C0451">
      <w:pPr>
        <w:pStyle w:val="1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宋体"/>
          <w:color w:val="auto"/>
          <w:sz w:val="24"/>
          <w:highlight w:val="none"/>
          <w:lang w:val="en-US" w:eastAsia="zh-CN"/>
        </w:rPr>
        <w:t>4</w:t>
      </w:r>
      <w:r>
        <w:rPr>
          <w:rFonts w:hint="eastAsia" w:ascii="宋体" w:hAnsi="宋体"/>
          <w:color w:val="auto"/>
          <w:sz w:val="24"/>
          <w:highlight w:val="none"/>
          <w:lang w:val="en-US" w:eastAsia="zh-CN"/>
        </w:rPr>
        <w:t>.</w:t>
      </w:r>
      <w:r>
        <w:rPr>
          <w:rFonts w:hint="eastAsia"/>
          <w:color w:val="auto"/>
          <w:highlight w:val="none"/>
          <w:lang w:val="en-US" w:eastAsia="zh-CN"/>
        </w:rPr>
        <w:t>维修后乙方需出具维修报告和维修明细单。</w:t>
      </w:r>
    </w:p>
    <w:p w14:paraId="697FEEC5">
      <w:pPr>
        <w:pStyle w:val="16"/>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5.维修完成后需双方对设备进行“72+24”运行试验，试验合格视为验收合格</w:t>
      </w:r>
      <w:r>
        <w:rPr>
          <w:rFonts w:hint="eastAsia" w:ascii="宋体" w:hAnsi="Arial" w:cs="Arial" w:eastAsiaTheme="minorEastAsia"/>
          <w:snapToGrid w:val="0"/>
          <w:color w:val="auto"/>
          <w:kern w:val="2"/>
          <w:sz w:val="24"/>
          <w:szCs w:val="21"/>
          <w:highlight w:val="none"/>
          <w:lang w:val="en-US" w:eastAsia="zh-CN" w:bidi="ar-SA"/>
        </w:rPr>
        <w:t>。</w:t>
      </w:r>
    </w:p>
    <w:p w14:paraId="0A200326">
      <w:pPr>
        <w:pStyle w:val="7"/>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67FABAC3">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rPr>
      </w:pPr>
      <w:r>
        <w:rPr>
          <w:rFonts w:hint="eastAsia" w:ascii="宋体" w:hAnsi="宋体" w:cs="宋体"/>
          <w:color w:val="auto"/>
          <w:sz w:val="24"/>
          <w:highlight w:val="none"/>
          <w:u w:val="single"/>
          <w:lang w:val="en-US" w:eastAsia="zh-CN"/>
        </w:rPr>
        <w:t xml:space="preserve">  / 。</w:t>
      </w:r>
    </w:p>
    <w:p w14:paraId="3F5C3D2D">
      <w:pPr>
        <w:pStyle w:val="26"/>
        <w:spacing w:before="0" w:beforeAutospacing="0" w:after="0" w:afterAutospacing="0" w:line="360" w:lineRule="auto"/>
        <w:ind w:firstLine="480"/>
        <w:rPr>
          <w:b/>
          <w:color w:val="auto"/>
        </w:rPr>
      </w:pPr>
      <w:r>
        <w:rPr>
          <w:rFonts w:hint="eastAsia"/>
          <w:b/>
          <w:color w:val="auto"/>
        </w:rPr>
        <w:t>七、履约保证金</w:t>
      </w:r>
    </w:p>
    <w:p w14:paraId="078341DC">
      <w:pPr>
        <w:pStyle w:val="26"/>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5DA544AF">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578524AA">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14:paraId="37745376">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税号：91330100MA2B02NX2L</w:t>
      </w:r>
    </w:p>
    <w:p w14:paraId="1BE0C4E0">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73840FF6">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5.甲方在</w:t>
      </w:r>
      <w:r>
        <w:rPr>
          <w:rFonts w:hint="eastAsia" w:ascii="宋体" w:hAnsi="宋体" w:cs="宋体"/>
          <w:color w:val="auto"/>
          <w:kern w:val="0"/>
          <w:sz w:val="24"/>
          <w:highlight w:val="none"/>
          <w:u w:val="single"/>
          <w:lang w:val="en-US" w:eastAsia="zh-CN"/>
        </w:rPr>
        <w:t>合同涉及质保期结束后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lang w:val="en-US" w:eastAsia="zh-CN"/>
        </w:rPr>
        <w:t>30个工作日内将履约保证金无息退还乙方。</w:t>
      </w:r>
    </w:p>
    <w:p w14:paraId="49CE877A">
      <w:pPr>
        <w:spacing w:line="360" w:lineRule="auto"/>
        <w:ind w:firstLine="480" w:firstLineChars="200"/>
        <w:outlineLvl w:val="0"/>
        <w:rPr>
          <w:rFonts w:hint="eastAsia"/>
          <w:color w:val="auto"/>
          <w:lang w:val="en-US" w:eastAsia="zh-CN"/>
        </w:rPr>
      </w:pPr>
      <w:r>
        <w:rPr>
          <w:rFonts w:hint="eastAsia" w:ascii="宋体" w:hAnsi="宋体"/>
          <w:color w:val="auto"/>
          <w:sz w:val="24"/>
          <w:lang w:val="en-US" w:eastAsia="zh-CN"/>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9"/>
    <w:bookmarkEnd w:id="390"/>
    <w:bookmarkEnd w:id="391"/>
    <w:p w14:paraId="7B6DA3E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八、预付款</w:t>
      </w:r>
    </w:p>
    <w:p w14:paraId="1BA2BA7D">
      <w:pPr>
        <w:pStyle w:val="26"/>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7B7923F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22762F72">
      <w:pPr>
        <w:pStyle w:val="26"/>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27D10D62">
      <w:pPr>
        <w:pStyle w:val="26"/>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215472AC">
      <w:pPr>
        <w:pStyle w:val="26"/>
        <w:spacing w:before="0" w:beforeAutospacing="0" w:after="0" w:afterAutospacing="0" w:line="360" w:lineRule="auto"/>
        <w:ind w:firstLine="480"/>
        <w:rPr>
          <w:b/>
          <w:bCs/>
          <w:color w:val="auto"/>
        </w:rPr>
      </w:pPr>
      <w:r>
        <w:rPr>
          <w:rFonts w:hint="eastAsia"/>
          <w:b/>
          <w:bCs/>
          <w:color w:val="auto"/>
        </w:rPr>
        <w:t>九、资金支付</w:t>
      </w:r>
    </w:p>
    <w:p w14:paraId="179BB8F5">
      <w:pPr>
        <w:pStyle w:val="26"/>
        <w:spacing w:before="0" w:beforeAutospacing="0" w:after="0" w:afterAutospacing="0" w:line="360" w:lineRule="auto"/>
        <w:ind w:firstLine="480"/>
        <w:rPr>
          <w:rFonts w:hint="eastAsia"/>
          <w:color w:val="auto"/>
        </w:rPr>
      </w:pPr>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14:paraId="281B29D4">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single"/>
          <w:lang w:val="en-US" w:eastAsia="zh-CN"/>
        </w:rPr>
        <w:t>自验收后</w:t>
      </w:r>
      <w:r>
        <w:rPr>
          <w:rFonts w:hint="eastAsia" w:ascii="宋体" w:hAnsi="宋体" w:cs="宋体"/>
          <w:sz w:val="24"/>
          <w:u w:val="single"/>
          <w:lang w:val="en-US" w:eastAsia="zh-CN"/>
        </w:rPr>
        <w:t>12个月</w:t>
      </w:r>
      <w:r>
        <w:rPr>
          <w:rFonts w:hint="eastAsia"/>
          <w:color w:val="auto"/>
          <w:u w:val="singl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14:paraId="1F5640EB">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14:paraId="1E9ADDF3">
      <w:pPr>
        <w:pStyle w:val="26"/>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7FBAA925">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w:t>
      </w:r>
      <w:r>
        <w:rPr>
          <w:rFonts w:hint="eastAsia" w:cs="Times New Roman" w:asciiTheme="majorEastAsia" w:hAnsiTheme="majorEastAsia" w:eastAsiaTheme="majorEastAsia"/>
          <w:color w:val="auto"/>
          <w:sz w:val="24"/>
          <w:highlight w:val="none"/>
          <w:u w:val="single"/>
          <w:lang w:val="en-US" w:eastAsia="zh-CN"/>
        </w:rPr>
        <w:t xml:space="preserve"> 按月支付，甲方根据乙方上月服务按实进行结算和支付；经检验、验收合格的，甲方收到乙方提供的增值税专用发票后，甲方在本合同约定时间内完成支付（但扣留的质保金除外）；经检验、验收不合格的，按本合同约定处理。</w:t>
      </w:r>
    </w:p>
    <w:p w14:paraId="23159793">
      <w:pPr>
        <w:spacing w:line="360" w:lineRule="auto"/>
        <w:ind w:firstLine="482" w:firstLineChars="200"/>
        <w:rPr>
          <w:rFonts w:ascii="宋体" w:hAnsi="宋体"/>
          <w:color w:val="auto"/>
          <w:sz w:val="24"/>
          <w:u w:val="single"/>
        </w:rPr>
      </w:pPr>
      <w:r>
        <w:rPr>
          <w:rFonts w:hint="eastAsia" w:ascii="宋体" w:hAnsi="宋体"/>
          <w:b/>
          <w:color w:val="auto"/>
          <w:sz w:val="24"/>
        </w:rPr>
        <w:t>十、</w:t>
      </w:r>
      <w:bookmarkEnd w:id="392"/>
      <w:bookmarkEnd w:id="393"/>
      <w:bookmarkEnd w:id="394"/>
      <w:bookmarkEnd w:id="395"/>
      <w:bookmarkEnd w:id="396"/>
      <w:r>
        <w:rPr>
          <w:rFonts w:hint="eastAsia" w:ascii="宋体" w:hAnsi="宋体"/>
          <w:b/>
          <w:color w:val="auto"/>
          <w:sz w:val="24"/>
        </w:rPr>
        <w:t>违约责任</w:t>
      </w:r>
    </w:p>
    <w:p w14:paraId="649518B1">
      <w:pPr>
        <w:spacing w:line="360" w:lineRule="auto"/>
        <w:ind w:firstLine="480" w:firstLineChars="200"/>
        <w:rPr>
          <w:rFonts w:hint="eastAsia" w:ascii="宋体" w:hAnsi="宋体" w:cs="宋体"/>
          <w:color w:val="auto"/>
          <w:sz w:val="24"/>
        </w:rPr>
      </w:pPr>
      <w:r>
        <w:rPr>
          <w:rFonts w:hint="eastAsia" w:ascii="宋体" w:hAnsi="宋体" w:cs="宋体"/>
          <w:color w:val="auto"/>
          <w:sz w:val="24"/>
        </w:rPr>
        <w:t>1.对于验收不合格的货物，双方按照以下方式处理：</w:t>
      </w:r>
    </w:p>
    <w:p w14:paraId="40F392DB">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甲方尚未使用的，乙方应</w:t>
      </w:r>
      <w:r>
        <w:rPr>
          <w:rFonts w:hint="eastAsia" w:ascii="宋体" w:hAnsi="宋体" w:cs="宋体"/>
          <w:color w:val="auto"/>
          <w:sz w:val="24"/>
          <w:highlight w:val="none"/>
        </w:rPr>
        <w:t>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lang w:val="en-US" w:eastAsia="zh-CN"/>
        </w:rPr>
        <w:t>在乙方更换后的货物验收合格前，相应货款暂不予支付。</w:t>
      </w:r>
    </w:p>
    <w:p w14:paraId="7517BAED">
      <w:pPr>
        <w:spacing w:line="360" w:lineRule="auto"/>
        <w:ind w:firstLine="480" w:firstLineChars="200"/>
        <w:rPr>
          <w:rFonts w:hint="eastAsia" w:ascii="宋体" w:hAnsi="宋体"/>
          <w:color w:val="auto"/>
          <w:sz w:val="24"/>
          <w:lang w:val="en-US" w:eastAsia="zh-CN"/>
        </w:rPr>
      </w:pPr>
      <w:r>
        <w:rPr>
          <w:rFonts w:hint="eastAsia" w:ascii="宋体" w:hAnsi="宋体" w:cs="宋体"/>
          <w:color w:val="auto"/>
          <w:sz w:val="24"/>
          <w:lang w:val="en-US" w:eastAsia="zh-CN"/>
        </w:rPr>
        <w:t>为免争议，乙方确认其已明确知晓本合同下服务系用于</w:t>
      </w:r>
      <w:r>
        <w:rPr>
          <w:rFonts w:hint="eastAsia" w:ascii="宋体" w:hAnsi="宋体" w:cs="宋体"/>
          <w:color w:val="auto"/>
          <w:sz w:val="24"/>
          <w:u w:val="single"/>
          <w:lang w:val="en-US" w:eastAsia="zh-CN"/>
        </w:rPr>
        <w:t xml:space="preserve"> PLC 、DCS系统 </w:t>
      </w:r>
      <w:r>
        <w:rPr>
          <w:rFonts w:hint="eastAsia" w:ascii="宋体" w:hAnsi="宋体" w:cs="宋体"/>
          <w:color w:val="auto"/>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olor w:val="auto"/>
          <w:sz w:val="24"/>
        </w:rPr>
        <w:t>.</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w:t>
      </w:r>
      <w:r>
        <w:rPr>
          <w:rFonts w:hint="eastAsia" w:ascii="宋体" w:hAnsi="宋体" w:cs="宋体"/>
          <w:color w:val="auto"/>
          <w:sz w:val="24"/>
          <w:highlight w:val="none"/>
          <w:lang w:val="en-US" w:eastAsia="zh-CN"/>
        </w:rPr>
        <w:t>合同未完成部分的总金额</w:t>
      </w:r>
      <w:r>
        <w:rPr>
          <w:rFonts w:ascii="宋体" w:hAnsi="宋体"/>
          <w:color w:val="auto"/>
          <w:sz w:val="24"/>
        </w:rPr>
        <w:t>的</w:t>
      </w:r>
      <w:r>
        <w:rPr>
          <w:rFonts w:hint="eastAsia" w:ascii="宋体" w:hAnsi="宋体"/>
          <w:b/>
          <w:bCs/>
          <w:color w:val="auto"/>
          <w:sz w:val="24"/>
          <w:u w:val="single"/>
        </w:rPr>
        <w:t>0.1</w:t>
      </w:r>
      <w:r>
        <w:rPr>
          <w:rFonts w:ascii="宋体" w:hAnsi="宋体"/>
          <w:b/>
          <w:bCs/>
          <w:color w:val="auto"/>
          <w:sz w:val="24"/>
        </w:rPr>
        <w:t>%</w:t>
      </w:r>
      <w:r>
        <w:rPr>
          <w:rFonts w:ascii="宋体" w:hAnsi="宋体"/>
          <w:color w:val="auto"/>
          <w:sz w:val="24"/>
        </w:rPr>
        <w:t>计算</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履行达到15天</w:t>
      </w:r>
      <w:r>
        <w:rPr>
          <w:rFonts w:ascii="宋体" w:hAnsi="宋体"/>
          <w:color w:val="auto"/>
          <w:sz w:val="24"/>
        </w:rPr>
        <w:t>的</w:t>
      </w:r>
      <w:r>
        <w:rPr>
          <w:rFonts w:hint="eastAsia" w:ascii="宋体" w:hAnsi="宋体"/>
          <w:color w:val="auto"/>
          <w:sz w:val="24"/>
        </w:rPr>
        <w:t>，</w:t>
      </w:r>
      <w:r>
        <w:rPr>
          <w:rFonts w:ascii="宋体" w:hAnsi="宋体"/>
          <w:color w:val="auto"/>
          <w:sz w:val="24"/>
        </w:rPr>
        <w:t>甲方有权</w:t>
      </w:r>
      <w:r>
        <w:rPr>
          <w:rFonts w:hint="eastAsia" w:ascii="宋体" w:hAnsi="宋体"/>
          <w:color w:val="auto"/>
          <w:sz w:val="24"/>
        </w:rPr>
        <w:t>单方</w:t>
      </w:r>
      <w:r>
        <w:rPr>
          <w:rFonts w:ascii="宋体" w:hAnsi="宋体"/>
          <w:color w:val="auto"/>
          <w:sz w:val="24"/>
        </w:rPr>
        <w:t>解除本合同</w:t>
      </w:r>
      <w:r>
        <w:rPr>
          <w:rFonts w:hint="eastAsia" w:ascii="宋体" w:hAnsi="宋体"/>
          <w:color w:val="auto"/>
          <w:sz w:val="24"/>
        </w:rPr>
        <w:t>，并要求乙方一次性承担</w:t>
      </w:r>
      <w:r>
        <w:rPr>
          <w:rFonts w:hint="eastAsia" w:ascii="宋体" w:hAnsi="宋体"/>
          <w:color w:val="auto"/>
          <w:sz w:val="24"/>
          <w:u w:val="single"/>
        </w:rPr>
        <w:t>（□本合同累计已发生金额/</w:t>
      </w:r>
      <w:r>
        <w:rPr>
          <w:rFonts w:hint="eastAsia" w:ascii="宋体" w:hAnsi="宋体"/>
          <w:color w:val="auto"/>
          <w:sz w:val="24"/>
          <w:u w:val="single"/>
          <w:lang w:eastAsia="zh-CN"/>
        </w:rPr>
        <w:t>□</w:t>
      </w:r>
      <w:r>
        <w:rPr>
          <w:rFonts w:hint="eastAsia" w:ascii="宋体" w:hAnsi="宋体"/>
          <w:color w:val="auto"/>
          <w:sz w:val="24"/>
          <w:u w:val="single"/>
        </w:rPr>
        <w:t>合同约定总金额</w:t>
      </w:r>
      <w:r>
        <w:rPr>
          <w:rFonts w:hint="eastAsia" w:ascii="宋体" w:hAnsi="宋体"/>
          <w:color w:val="auto"/>
          <w:sz w:val="24"/>
          <w:u w:val="single"/>
          <w:lang w:val="en-US" w:eastAsia="zh-CN"/>
        </w:rPr>
        <w:t>/</w:t>
      </w:r>
      <w:r>
        <w:rPr>
          <w:rFonts w:hint="eastAsia" w:ascii="宋体" w:hAnsi="宋体"/>
          <w:color w:val="auto"/>
          <w:sz w:val="24"/>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rPr>
        <w:t>30%的违约</w:t>
      </w:r>
      <w:r>
        <w:rPr>
          <w:rFonts w:hint="eastAsia" w:ascii="宋体" w:hAnsi="宋体" w:cs="宋体"/>
          <w:color w:val="auto"/>
          <w:sz w:val="24"/>
          <w:lang w:val="en-US" w:eastAsia="zh-CN"/>
        </w:rPr>
        <w:t>金</w:t>
      </w:r>
      <w:r>
        <w:rPr>
          <w:rFonts w:hint="eastAsia" w:ascii="宋体" w:hAnsi="宋体" w:cs="宋体"/>
          <w:color w:val="auto"/>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696632FF">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4DFF6BB">
      <w:pPr>
        <w:spacing w:line="360" w:lineRule="auto"/>
        <w:ind w:firstLine="480" w:firstLineChars="200"/>
        <w:rPr>
          <w:rFonts w:hint="eastAsia" w:ascii="宋体" w:hAnsi="宋体" w:cs="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.服务中涉及的货物，除不可抗力外，如果乙方没有按照本合同约定的期限、地点和方式交付货物，那么甲方可要求乙方支付违约金，迟延履行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olor w:val="auto"/>
          <w:sz w:val="24"/>
          <w:u w:val="single"/>
        </w:rPr>
        <w:t>合同约定</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lang w:eastAsia="zh-CN"/>
        </w:rPr>
        <w:t>。经双方同意延期的情形不在此列。</w:t>
      </w:r>
    </w:p>
    <w:p w14:paraId="2D74688E">
      <w:pPr>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0.0</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%计算</w:t>
      </w:r>
      <w:r>
        <w:rPr>
          <w:rFonts w:hint="eastAsia" w:ascii="宋体" w:hAnsi="宋体"/>
          <w:color w:val="auto"/>
          <w:sz w:val="24"/>
        </w:rPr>
        <w:t>；</w:t>
      </w:r>
    </w:p>
    <w:p w14:paraId="63B07AF9">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同时甲方有权要求退货，不再接受逾期交付的成果</w:t>
      </w:r>
      <w:r>
        <w:rPr>
          <w:rFonts w:hint="eastAsia" w:ascii="宋体" w:hAnsi="宋体" w:cs="宋体"/>
          <w:color w:val="auto"/>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4A5165D0">
      <w:pPr>
        <w:pStyle w:val="7"/>
        <w:spacing w:line="360" w:lineRule="auto"/>
        <w:ind w:right="-420" w:rightChars="-200" w:firstLine="480" w:firstLineChars="200"/>
        <w:rPr>
          <w:rFonts w:hint="eastAsia" w:hAnsi="宋体" w:cs="宋体"/>
          <w:snapToGrid/>
          <w:color w:val="auto"/>
          <w:kern w:val="2"/>
          <w:sz w:val="24"/>
          <w:szCs w:val="24"/>
          <w:lang w:val="en-US" w:eastAsia="zh-CN" w:bidi="ar-SA"/>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7"/>
        <w:ind w:firstLine="480" w:firstLineChars="200"/>
        <w:rPr>
          <w:rFonts w:hint="eastAsia" w:ascii="宋体" w:hAnsi="宋体" w:eastAsia="宋体" w:cs="宋体"/>
          <w:snapToGrid/>
          <w:color w:val="auto"/>
          <w:kern w:val="2"/>
          <w:sz w:val="24"/>
          <w:szCs w:val="24"/>
          <w:lang w:val="en-US" w:eastAsia="zh-CN" w:bidi="ar-SA"/>
        </w:rPr>
      </w:pPr>
      <w:r>
        <w:rPr>
          <w:rFonts w:hint="eastAsia" w:hAnsi="宋体" w:cs="宋体"/>
          <w:snapToGrid/>
          <w:color w:val="auto"/>
          <w:kern w:val="2"/>
          <w:sz w:val="24"/>
          <w:szCs w:val="24"/>
          <w:lang w:val="en-US" w:eastAsia="zh-CN" w:bidi="ar-SA"/>
        </w:rPr>
        <w:t>9</w:t>
      </w:r>
      <w:r>
        <w:rPr>
          <w:rFonts w:hint="eastAsia" w:ascii="宋体" w:hAnsi="宋体" w:eastAsia="宋体" w:cs="宋体"/>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eastAsia="宋体" w:cs="宋体"/>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eastAsia="宋体" w:cs="宋体"/>
          <w:snapToGrid/>
          <w:color w:val="auto"/>
          <w:kern w:val="2"/>
          <w:sz w:val="24"/>
          <w:szCs w:val="24"/>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eastAsia="宋体" w:cs="宋体"/>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eastAsia="宋体" w:cs="宋体"/>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eastAsia="宋体" w:cs="宋体"/>
          <w:snapToGrid/>
          <w:color w:val="auto"/>
          <w:kern w:val="2"/>
          <w:sz w:val="24"/>
          <w:szCs w:val="24"/>
          <w:lang w:val="en-US" w:eastAsia="zh-CN" w:bidi="ar-SA"/>
        </w:rPr>
        <w:t>的一切损失，包括直接和间接损失。</w:t>
      </w:r>
    </w:p>
    <w:p w14:paraId="4E590B5A">
      <w:pPr>
        <w:pStyle w:val="16"/>
        <w:rPr>
          <w:rFonts w:hint="default"/>
          <w:color w:val="auto"/>
          <w:lang w:val="en-US"/>
        </w:rPr>
      </w:pPr>
      <w:r>
        <w:rPr>
          <w:rFonts w:hint="eastAsia" w:hAnsi="宋体" w:cs="宋体"/>
          <w:snapToGrid/>
          <w:color w:val="auto"/>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p>
    <w:p w14:paraId="79B49822">
      <w:pPr>
        <w:spacing w:line="360" w:lineRule="auto"/>
        <w:ind w:left="-420" w:leftChars="-200" w:right="-420" w:rightChars="-200" w:firstLine="840" w:firstLineChars="35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本合同履行过程中发生的任何争议，双方当事人均可通过和解或者调解解决；不愿和解、调解或者和解、调解不成的，向</w:t>
      </w:r>
      <w:r>
        <w:rPr>
          <w:rFonts w:hint="eastAsia" w:ascii="宋体" w:hAnsi="宋体" w:cs="宋体"/>
          <w:b/>
          <w:iCs/>
          <w:color w:val="auto"/>
          <w:sz w:val="24"/>
          <w:u w:val="single"/>
        </w:rPr>
        <w:t>甲方所在地人</w:t>
      </w:r>
      <w:r>
        <w:rPr>
          <w:rFonts w:hint="eastAsia" w:ascii="宋体" w:hAnsi="宋体" w:cs="宋体"/>
          <w:color w:val="auto"/>
          <w:sz w:val="24"/>
        </w:rPr>
        <w:t>民法院起诉。</w:t>
      </w:r>
    </w:p>
    <w:p w14:paraId="1A7D767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十二、合同生效</w:t>
      </w:r>
    </w:p>
    <w:p w14:paraId="16A99B1E">
      <w:pPr>
        <w:pStyle w:val="25"/>
        <w:ind w:left="0" w:leftChars="0"/>
        <w:jc w:val="left"/>
        <w:rPr>
          <w:rFonts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lang w:eastAsia="zh-CN"/>
        </w:rPr>
        <w:t>，</w:t>
      </w:r>
      <w:r>
        <w:rPr>
          <w:rFonts w:hint="eastAsia" w:ascii="宋体" w:hAnsi="宋体"/>
          <w:color w:val="auto"/>
          <w:lang w:val="en-US" w:eastAsia="zh-CN"/>
        </w:rPr>
        <w:t>甲方三份，乙方一份</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、第三章安全协议、第四章廉洁协议为本合同不可分割的一部分，</w:t>
      </w:r>
      <w:r>
        <w:rPr>
          <w:rFonts w:ascii="宋体" w:hAnsi="宋体"/>
          <w:color w:val="auto"/>
        </w:rPr>
        <w:t>均具有同等法律效力</w:t>
      </w:r>
      <w:r>
        <w:rPr>
          <w:rFonts w:hint="eastAsia" w:ascii="宋体" w:hAnsi="宋体"/>
          <w:color w:val="auto"/>
        </w:rPr>
        <w:t>。</w:t>
      </w:r>
    </w:p>
    <w:p w14:paraId="3941F0D7">
      <w:pPr>
        <w:spacing w:line="360" w:lineRule="auto"/>
        <w:ind w:firstLine="480" w:firstLineChars="200"/>
        <w:rPr>
          <w:rFonts w:hint="eastAsia" w:ascii="宋体" w:hAnsi="宋体" w:cs="宋体"/>
          <w:color w:val="auto"/>
          <w:sz w:val="24"/>
        </w:rPr>
      </w:pPr>
    </w:p>
    <w:p w14:paraId="5D1EDD33">
      <w:pPr>
        <w:pStyle w:val="25"/>
        <w:ind w:left="0" w:leftChars="0" w:firstLine="0" w:firstLineChars="0"/>
        <w:jc w:val="center"/>
        <w:rPr>
          <w:rFonts w:hint="eastAsia" w:ascii="宋体" w:hAnsi="宋体"/>
          <w:b/>
          <w:color w:val="auto"/>
          <w:szCs w:val="24"/>
        </w:rPr>
      </w:pPr>
    </w:p>
    <w:p w14:paraId="42451AEE">
      <w:pPr>
        <w:pStyle w:val="25"/>
        <w:ind w:left="0" w:leftChars="0" w:firstLine="0" w:firstLineChars="0"/>
        <w:jc w:val="center"/>
        <w:rPr>
          <w:rFonts w:ascii="宋体" w:hAnsi="宋体"/>
          <w:b/>
          <w:color w:val="auto"/>
          <w:szCs w:val="24"/>
        </w:rPr>
      </w:pPr>
      <w:r>
        <w:rPr>
          <w:rFonts w:hint="eastAsia" w:ascii="宋体" w:hAnsi="宋体"/>
          <w:b/>
          <w:color w:val="auto"/>
          <w:szCs w:val="24"/>
        </w:rPr>
        <w:t>第二章</w:t>
      </w:r>
      <w:r>
        <w:rPr>
          <w:rFonts w:ascii="宋体" w:hAnsi="宋体"/>
          <w:b/>
          <w:color w:val="auto"/>
          <w:szCs w:val="24"/>
        </w:rPr>
        <w:t xml:space="preserve"> </w:t>
      </w:r>
      <w:r>
        <w:rPr>
          <w:rFonts w:hint="eastAsia" w:ascii="宋体" w:hAnsi="宋体"/>
          <w:b/>
          <w:color w:val="auto"/>
          <w:szCs w:val="24"/>
        </w:rPr>
        <w:t>合同一般条款</w:t>
      </w:r>
    </w:p>
    <w:p w14:paraId="31305759">
      <w:pPr>
        <w:spacing w:line="360" w:lineRule="auto"/>
        <w:ind w:firstLine="482" w:firstLineChars="200"/>
        <w:outlineLvl w:val="0"/>
        <w:rPr>
          <w:rFonts w:ascii="宋体" w:hAnsi="宋体"/>
          <w:b/>
          <w:color w:val="auto"/>
          <w:sz w:val="24"/>
        </w:rPr>
      </w:pPr>
      <w:bookmarkStart w:id="400" w:name="_Toc5228"/>
      <w:bookmarkStart w:id="401" w:name="_Toc31297"/>
      <w:bookmarkStart w:id="402" w:name="_Toc19680"/>
      <w:bookmarkStart w:id="403" w:name="_Toc14021"/>
      <w:bookmarkStart w:id="404" w:name="_Toc25079"/>
      <w:r>
        <w:rPr>
          <w:rFonts w:hint="eastAsia" w:ascii="宋体" w:hAnsi="宋体"/>
          <w:b/>
          <w:color w:val="auto"/>
          <w:sz w:val="24"/>
        </w:rPr>
        <w:t>一、</w:t>
      </w:r>
      <w:r>
        <w:rPr>
          <w:rFonts w:ascii="宋体" w:hAnsi="宋体"/>
          <w:b/>
          <w:color w:val="auto"/>
          <w:sz w:val="24"/>
        </w:rPr>
        <w:t>定义</w:t>
      </w:r>
      <w:bookmarkEnd w:id="400"/>
      <w:bookmarkEnd w:id="401"/>
      <w:bookmarkEnd w:id="402"/>
      <w:bookmarkEnd w:id="403"/>
      <w:bookmarkEnd w:id="404"/>
    </w:p>
    <w:p w14:paraId="282EC62D">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0F4823FE">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71D65392">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hint="eastAsia" w:ascii="宋体" w:hAnsi="宋体"/>
          <w:color w:val="auto"/>
          <w:sz w:val="24"/>
          <w:lang w:val="en-US" w:eastAsia="zh-CN"/>
        </w:rPr>
        <w:t>的</w:t>
      </w:r>
      <w:r>
        <w:rPr>
          <w:rFonts w:hint="eastAsia" w:ascii="宋体" w:hAnsi="宋体"/>
          <w:color w:val="auto"/>
          <w:sz w:val="24"/>
        </w:rPr>
        <w:t>服务。</w:t>
      </w:r>
    </w:p>
    <w:p w14:paraId="33F8DD93">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3F8A1F39">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“现场”系指合同约定提供服务的地点。</w:t>
      </w:r>
    </w:p>
    <w:p w14:paraId="61341E62">
      <w:pPr>
        <w:spacing w:line="360" w:lineRule="auto"/>
        <w:ind w:firstLine="480" w:firstLineChars="200"/>
        <w:rPr>
          <w:rFonts w:hint="default" w:ascii="宋体" w:hAnsi="宋体" w:eastAsia="宋体" w:cs="宋体"/>
          <w:color w:val="auto"/>
          <w:sz w:val="24"/>
          <w:lang w:val="en-US" w:eastAsia="zh-CN"/>
        </w:rPr>
      </w:pPr>
      <w:bookmarkStart w:id="405" w:name="_Toc3769"/>
      <w:bookmarkStart w:id="406" w:name="_Toc23289"/>
      <w:bookmarkStart w:id="407" w:name="_Toc19539"/>
      <w:bookmarkStart w:id="408" w:name="_Toc31402"/>
      <w:bookmarkStart w:id="409" w:name="_Toc16752"/>
      <w:r>
        <w:rPr>
          <w:rFonts w:hint="eastAsia" w:ascii="宋体" w:hAnsi="宋体" w:cs="宋体"/>
          <w:color w:val="auto"/>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color w:val="auto"/>
          <w:sz w:val="24"/>
        </w:rPr>
      </w:pPr>
      <w:r>
        <w:rPr>
          <w:rFonts w:hint="eastAsia" w:ascii="宋体" w:hAnsi="宋体"/>
          <w:b/>
          <w:color w:val="auto"/>
          <w:sz w:val="24"/>
        </w:rPr>
        <w:t>二、</w:t>
      </w:r>
      <w:r>
        <w:rPr>
          <w:rFonts w:ascii="宋体" w:hAnsi="宋体"/>
          <w:b/>
          <w:color w:val="auto"/>
          <w:sz w:val="24"/>
        </w:rPr>
        <w:t xml:space="preserve"> 技术规范</w:t>
      </w:r>
      <w:bookmarkEnd w:id="405"/>
      <w:bookmarkEnd w:id="406"/>
      <w:bookmarkEnd w:id="407"/>
      <w:bookmarkEnd w:id="408"/>
      <w:bookmarkEnd w:id="409"/>
    </w:p>
    <w:p w14:paraId="4C76A810">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w:t>
      </w:r>
      <w:r>
        <w:rPr>
          <w:rFonts w:ascii="宋体" w:hAnsi="宋体"/>
          <w:color w:val="auto"/>
          <w:sz w:val="24"/>
          <w:u w:val="single"/>
        </w:rPr>
        <w:t>(</w:t>
      </w:r>
      <w:r>
        <w:rPr>
          <w:rFonts w:ascii="宋体" w:hAnsi="宋体"/>
          <w:b/>
          <w:bCs/>
          <w:color w:val="auto"/>
          <w:sz w:val="24"/>
          <w:u w:val="single"/>
        </w:rPr>
        <w:t>如果有的话</w:t>
      </w:r>
      <w:r>
        <w:rPr>
          <w:rFonts w:ascii="宋体" w:hAnsi="宋体"/>
          <w:color w:val="auto"/>
          <w:sz w:val="24"/>
          <w:u w:val="single"/>
        </w:rPr>
        <w:t>)</w:t>
      </w:r>
      <w:r>
        <w:rPr>
          <w:rFonts w:ascii="宋体" w:hAnsi="宋体"/>
          <w:color w:val="auto"/>
          <w:sz w:val="24"/>
        </w:rPr>
        <w:t>及其技术规范偏差表</w:t>
      </w:r>
      <w:r>
        <w:rPr>
          <w:rFonts w:ascii="宋体" w:hAnsi="宋体"/>
          <w:b/>
          <w:bCs/>
          <w:color w:val="auto"/>
          <w:sz w:val="24"/>
          <w:u w:val="single"/>
        </w:rPr>
        <w:t>(如果被甲方接受的话)</w:t>
      </w:r>
      <w:r>
        <w:rPr>
          <w:rFonts w:ascii="宋体" w:hAnsi="宋体"/>
          <w:color w:val="auto"/>
          <w:sz w:val="24"/>
        </w:rPr>
        <w:t>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44684AE8">
      <w:pPr>
        <w:spacing w:line="360" w:lineRule="auto"/>
        <w:ind w:firstLine="482" w:firstLineChars="200"/>
        <w:outlineLvl w:val="0"/>
        <w:rPr>
          <w:rFonts w:ascii="宋体" w:hAnsi="宋体"/>
          <w:b/>
          <w:color w:val="auto"/>
          <w:sz w:val="24"/>
        </w:rPr>
      </w:pPr>
      <w:bookmarkStart w:id="410" w:name="_Toc13673"/>
      <w:bookmarkStart w:id="411" w:name="_Toc4133"/>
      <w:bookmarkStart w:id="412" w:name="_Toc27945"/>
      <w:bookmarkStart w:id="413" w:name="_Toc9161"/>
      <w:bookmarkStart w:id="414" w:name="_Toc12412"/>
      <w:r>
        <w:rPr>
          <w:rFonts w:hint="eastAsia" w:ascii="宋体" w:hAnsi="宋体"/>
          <w:b/>
          <w:color w:val="auto"/>
          <w:sz w:val="24"/>
        </w:rPr>
        <w:t>三、</w:t>
      </w:r>
      <w:r>
        <w:rPr>
          <w:rFonts w:ascii="宋体" w:hAnsi="宋体"/>
          <w:b/>
          <w:color w:val="auto"/>
          <w:sz w:val="24"/>
        </w:rPr>
        <w:t xml:space="preserve"> 知识产权</w:t>
      </w:r>
      <w:bookmarkEnd w:id="410"/>
      <w:bookmarkEnd w:id="411"/>
      <w:bookmarkEnd w:id="412"/>
      <w:bookmarkEnd w:id="413"/>
      <w:bookmarkEnd w:id="414"/>
    </w:p>
    <w:p w14:paraId="7945088A">
      <w:pPr>
        <w:spacing w:line="360" w:lineRule="auto"/>
        <w:ind w:firstLine="480" w:firstLineChars="200"/>
        <w:rPr>
          <w:rFonts w:ascii="宋体" w:hAnsi="宋体"/>
          <w:color w:val="auto"/>
          <w:sz w:val="24"/>
        </w:rPr>
      </w:pPr>
      <w:r>
        <w:rPr>
          <w:rFonts w:hint="eastAsia" w:ascii="宋体" w:hAnsi="宋体"/>
          <w:color w:val="auto"/>
          <w:sz w:val="24"/>
        </w:rPr>
        <w:t>1.乙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20BB800A">
      <w:pPr>
        <w:spacing w:line="360" w:lineRule="auto"/>
        <w:ind w:firstLine="480" w:firstLineChars="200"/>
        <w:rPr>
          <w:rFonts w:ascii="宋体" w:hAnsi="宋体"/>
          <w:color w:val="auto"/>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如双方未另行签订书面协议的，乙方为履行本合同下义务所形成的各项成果文件之所有权、知识产权均归属于甲方所有，</w:t>
      </w:r>
      <w:r>
        <w:rPr>
          <w:rFonts w:hint="eastAsia" w:ascii="宋体" w:hAnsi="宋体"/>
          <w:color w:val="auto"/>
          <w:sz w:val="24"/>
          <w:lang w:val="en-US" w:eastAsia="zh-CN"/>
        </w:rPr>
        <w:t>乙方应当根据甲方要求提供项目成果原始文件，</w:t>
      </w:r>
      <w:r>
        <w:rPr>
          <w:rFonts w:hint="eastAsia" w:ascii="宋体" w:hAnsi="宋体"/>
          <w:color w:val="auto"/>
          <w:sz w:val="24"/>
        </w:rPr>
        <w:t>且甲方有权自行或委托第三方进行修改。</w:t>
      </w:r>
    </w:p>
    <w:p w14:paraId="524BB48D">
      <w:pPr>
        <w:spacing w:line="360" w:lineRule="auto"/>
        <w:ind w:firstLine="482" w:firstLineChars="200"/>
        <w:rPr>
          <w:rFonts w:ascii="宋体" w:hAnsi="宋体"/>
          <w:b/>
          <w:color w:val="auto"/>
          <w:sz w:val="24"/>
        </w:rPr>
      </w:pPr>
      <w:r>
        <w:rPr>
          <w:rFonts w:hint="eastAsia" w:ascii="宋体" w:hAnsi="宋体"/>
          <w:b/>
          <w:color w:val="auto"/>
          <w:sz w:val="24"/>
        </w:rPr>
        <w:t>四、履约检查和问题反馈</w:t>
      </w:r>
    </w:p>
    <w:p w14:paraId="0F49829D">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color w:val="auto"/>
          <w:sz w:val="24"/>
        </w:rPr>
      </w:pPr>
      <w:r>
        <w:rPr>
          <w:rFonts w:hint="eastAsia" w:ascii="宋体" w:hAnsi="宋体"/>
          <w:color w:val="auto"/>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color w:val="auto"/>
          <w:sz w:val="24"/>
        </w:rPr>
      </w:pPr>
      <w:bookmarkStart w:id="415" w:name="_Toc26555"/>
      <w:bookmarkStart w:id="416" w:name="_Toc15447"/>
      <w:bookmarkStart w:id="417" w:name="_Toc22011"/>
      <w:bookmarkStart w:id="418" w:name="_Toc31233"/>
      <w:bookmarkStart w:id="419" w:name="_Toc32670"/>
      <w:r>
        <w:rPr>
          <w:rFonts w:hint="eastAsia" w:ascii="宋体" w:hAnsi="宋体"/>
          <w:b/>
          <w:color w:val="auto"/>
          <w:sz w:val="24"/>
        </w:rPr>
        <w:t>五、</w:t>
      </w:r>
      <w:r>
        <w:rPr>
          <w:rFonts w:ascii="宋体" w:hAnsi="宋体"/>
          <w:b/>
          <w:color w:val="auto"/>
          <w:sz w:val="24"/>
        </w:rPr>
        <w:t>结算方式和付款条件</w:t>
      </w:r>
      <w:bookmarkEnd w:id="415"/>
      <w:bookmarkEnd w:id="416"/>
      <w:bookmarkEnd w:id="417"/>
      <w:bookmarkEnd w:id="418"/>
      <w:bookmarkEnd w:id="419"/>
    </w:p>
    <w:p w14:paraId="58708174">
      <w:pPr>
        <w:spacing w:line="360" w:lineRule="auto"/>
        <w:ind w:firstLine="480" w:firstLineChars="200"/>
        <w:outlineLvl w:val="0"/>
        <w:rPr>
          <w:rFonts w:hint="eastAsia" w:ascii="宋体" w:hAnsi="宋体"/>
          <w:bCs/>
          <w:color w:val="auto"/>
          <w:sz w:val="24"/>
        </w:rPr>
      </w:pPr>
      <w:bookmarkStart w:id="420" w:name="_Toc13467"/>
      <w:bookmarkStart w:id="421" w:name="_Toc13154"/>
      <w:bookmarkStart w:id="422" w:name="_Toc18990"/>
      <w:bookmarkStart w:id="423" w:name="_Toc30507"/>
      <w:bookmarkStart w:id="424" w:name="_Toc16163"/>
      <w:r>
        <w:rPr>
          <w:rFonts w:hint="eastAsia" w:ascii="宋体" w:hAnsi="宋体"/>
          <w:bCs/>
          <w:color w:val="auto"/>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color w:val="auto"/>
          <w:sz w:val="24"/>
        </w:rPr>
      </w:pPr>
      <w:r>
        <w:rPr>
          <w:rFonts w:hint="eastAsia" w:ascii="宋体" w:hAnsi="宋体"/>
          <w:bCs/>
          <w:color w:val="auto"/>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color w:val="auto"/>
          <w:sz w:val="24"/>
        </w:rPr>
      </w:pPr>
      <w:r>
        <w:rPr>
          <w:rFonts w:hint="eastAsia" w:ascii="宋体" w:hAnsi="宋体"/>
          <w:b/>
          <w:color w:val="auto"/>
          <w:sz w:val="24"/>
        </w:rPr>
        <w:t>六、</w:t>
      </w:r>
      <w:r>
        <w:rPr>
          <w:rFonts w:ascii="宋体" w:hAnsi="宋体"/>
          <w:b/>
          <w:color w:val="auto"/>
          <w:sz w:val="24"/>
        </w:rPr>
        <w:t>技术资料和保密义务</w:t>
      </w:r>
      <w:bookmarkEnd w:id="420"/>
      <w:bookmarkEnd w:id="421"/>
      <w:bookmarkEnd w:id="422"/>
      <w:bookmarkEnd w:id="423"/>
      <w:bookmarkEnd w:id="424"/>
    </w:p>
    <w:p w14:paraId="4CF91A31">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14:paraId="0483A39F">
      <w:pPr>
        <w:spacing w:line="360" w:lineRule="auto"/>
        <w:ind w:firstLine="480" w:firstLineChars="200"/>
        <w:rPr>
          <w:rFonts w:ascii="宋体" w:hAnsi="宋体"/>
          <w:color w:val="auto"/>
          <w:sz w:val="24"/>
        </w:rPr>
      </w:pPr>
      <w:r>
        <w:rPr>
          <w:rFonts w:hint="eastAsia" w:ascii="宋体" w:hAnsi="宋体"/>
          <w:color w:val="auto"/>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color w:val="auto"/>
          <w:sz w:val="24"/>
        </w:rPr>
      </w:pPr>
      <w:bookmarkStart w:id="425" w:name="_Toc19069"/>
      <w:r>
        <w:rPr>
          <w:rFonts w:hint="eastAsia" w:ascii="宋体" w:hAnsi="宋体"/>
          <w:b/>
          <w:color w:val="auto"/>
          <w:sz w:val="24"/>
        </w:rPr>
        <w:t>七、质量保证</w:t>
      </w:r>
      <w:bookmarkEnd w:id="425"/>
    </w:p>
    <w:p w14:paraId="4543D2B3">
      <w:pPr>
        <w:spacing w:line="360" w:lineRule="auto"/>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color w:val="auto"/>
          <w:sz w:val="24"/>
        </w:rPr>
      </w:pPr>
      <w:bookmarkStart w:id="426" w:name="_Toc22267"/>
      <w:r>
        <w:rPr>
          <w:rFonts w:hint="eastAsia" w:ascii="宋体" w:hAnsi="宋体"/>
          <w:b/>
          <w:color w:val="auto"/>
          <w:sz w:val="24"/>
        </w:rPr>
        <w:t>八、</w:t>
      </w:r>
      <w:r>
        <w:rPr>
          <w:rFonts w:ascii="宋体" w:hAnsi="宋体"/>
          <w:b/>
          <w:color w:val="auto"/>
          <w:sz w:val="24"/>
        </w:rPr>
        <w:t xml:space="preserve"> </w:t>
      </w:r>
      <w:r>
        <w:rPr>
          <w:rFonts w:hint="eastAsia" w:ascii="宋体" w:hAnsi="宋体"/>
          <w:b/>
          <w:color w:val="auto"/>
          <w:sz w:val="24"/>
        </w:rPr>
        <w:t>延迟履行</w:t>
      </w:r>
      <w:bookmarkEnd w:id="426"/>
    </w:p>
    <w:p w14:paraId="6E101033">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p>
    <w:p w14:paraId="374A7F6D">
      <w:pPr>
        <w:spacing w:line="360" w:lineRule="auto"/>
        <w:ind w:firstLine="482" w:firstLineChars="200"/>
        <w:outlineLvl w:val="0"/>
        <w:rPr>
          <w:rFonts w:ascii="宋体" w:hAnsi="宋体"/>
          <w:b/>
          <w:color w:val="auto"/>
          <w:sz w:val="24"/>
        </w:rPr>
      </w:pPr>
      <w:bookmarkStart w:id="427" w:name="_Toc10611"/>
      <w:r>
        <w:rPr>
          <w:rFonts w:hint="eastAsia" w:ascii="宋体" w:hAnsi="宋体"/>
          <w:b/>
          <w:color w:val="auto"/>
          <w:sz w:val="24"/>
        </w:rPr>
        <w:t>九、合同变更</w:t>
      </w:r>
      <w:bookmarkEnd w:id="427"/>
      <w:r>
        <w:rPr>
          <w:rFonts w:hint="eastAsia" w:ascii="宋体" w:hAnsi="宋体" w:cs="宋体"/>
          <w:b/>
          <w:color w:val="auto"/>
          <w:sz w:val="24"/>
        </w:rPr>
        <w:t>或补充</w:t>
      </w:r>
    </w:p>
    <w:p w14:paraId="33092868">
      <w:pPr>
        <w:spacing w:line="360" w:lineRule="auto"/>
        <w:ind w:firstLine="480" w:firstLineChars="200"/>
        <w:rPr>
          <w:rFonts w:hint="eastAsia" w:ascii="宋体" w:hAnsi="宋体"/>
          <w:color w:val="auto"/>
          <w:sz w:val="24"/>
        </w:rPr>
      </w:pPr>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color w:val="auto"/>
          <w:sz w:val="24"/>
        </w:rPr>
      </w:pPr>
      <w:bookmarkStart w:id="428" w:name="_Toc21830"/>
      <w:bookmarkStart w:id="429" w:name="_Toc26689"/>
      <w:bookmarkStart w:id="430" w:name="_Toc23368"/>
      <w:bookmarkStart w:id="431" w:name="_Toc10663"/>
      <w:bookmarkStart w:id="432" w:name="_Toc42"/>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color w:val="auto"/>
          <w:sz w:val="24"/>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4CC20B38">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ascii="宋体" w:hAnsi="宋体"/>
          <w:b/>
          <w:color w:val="auto"/>
          <w:sz w:val="24"/>
        </w:rPr>
        <w:t>合同转让和分包</w:t>
      </w:r>
      <w:bookmarkEnd w:id="428"/>
      <w:bookmarkEnd w:id="429"/>
      <w:bookmarkEnd w:id="430"/>
      <w:bookmarkEnd w:id="431"/>
      <w:bookmarkEnd w:id="432"/>
    </w:p>
    <w:p w14:paraId="454E2BBA">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61F714DC">
      <w:pPr>
        <w:spacing w:line="360" w:lineRule="auto"/>
        <w:ind w:firstLine="482" w:firstLineChars="200"/>
        <w:outlineLvl w:val="0"/>
        <w:rPr>
          <w:rFonts w:ascii="宋体" w:hAnsi="宋体"/>
          <w:b/>
          <w:color w:val="auto"/>
          <w:sz w:val="24"/>
        </w:rPr>
      </w:pPr>
      <w:bookmarkStart w:id="433" w:name="_Toc14371"/>
      <w:bookmarkStart w:id="434" w:name="_Toc26633"/>
      <w:bookmarkStart w:id="435" w:name="_Toc32494"/>
      <w:bookmarkStart w:id="436" w:name="_Toc4720"/>
      <w:bookmarkStart w:id="437" w:name="_Toc25571"/>
      <w:r>
        <w:rPr>
          <w:rFonts w:hint="eastAsia" w:ascii="宋体" w:hAnsi="宋体"/>
          <w:b/>
          <w:color w:val="auto"/>
          <w:sz w:val="24"/>
        </w:rPr>
        <w:t>十一、</w:t>
      </w:r>
      <w:r>
        <w:rPr>
          <w:rFonts w:ascii="宋体" w:hAnsi="宋体"/>
          <w:b/>
          <w:color w:val="auto"/>
          <w:sz w:val="24"/>
        </w:rPr>
        <w:t>不可抗力</w:t>
      </w:r>
      <w:bookmarkEnd w:id="433"/>
      <w:bookmarkEnd w:id="434"/>
      <w:bookmarkEnd w:id="435"/>
      <w:bookmarkEnd w:id="436"/>
      <w:bookmarkEnd w:id="437"/>
    </w:p>
    <w:p w14:paraId="140B5864">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4D2A005C">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726FA494">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27BF354E">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768039B1">
      <w:pPr>
        <w:spacing w:line="360" w:lineRule="auto"/>
        <w:ind w:firstLine="482" w:firstLineChars="200"/>
        <w:outlineLvl w:val="0"/>
        <w:rPr>
          <w:rFonts w:ascii="宋体" w:hAnsi="宋体"/>
          <w:b/>
          <w:color w:val="auto"/>
          <w:sz w:val="24"/>
        </w:rPr>
      </w:pPr>
      <w:bookmarkStart w:id="438" w:name="_Toc25783"/>
      <w:bookmarkStart w:id="439" w:name="_Toc23854"/>
      <w:bookmarkStart w:id="440" w:name="_Toc14115"/>
      <w:bookmarkStart w:id="441" w:name="_Toc24465"/>
      <w:bookmarkStart w:id="442" w:name="_Toc3638"/>
      <w:r>
        <w:rPr>
          <w:rFonts w:hint="eastAsia" w:ascii="宋体" w:hAnsi="宋体"/>
          <w:b/>
          <w:color w:val="auto"/>
          <w:sz w:val="24"/>
        </w:rPr>
        <w:t>十二、</w:t>
      </w:r>
      <w:r>
        <w:rPr>
          <w:rFonts w:ascii="宋体" w:hAnsi="宋体"/>
          <w:b/>
          <w:color w:val="auto"/>
          <w:sz w:val="24"/>
        </w:rPr>
        <w:t>税费</w:t>
      </w:r>
      <w:bookmarkEnd w:id="438"/>
      <w:bookmarkEnd w:id="439"/>
      <w:bookmarkEnd w:id="440"/>
      <w:bookmarkEnd w:id="441"/>
      <w:bookmarkEnd w:id="442"/>
    </w:p>
    <w:p w14:paraId="7157EA0C">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7C598436">
      <w:pPr>
        <w:spacing w:line="360" w:lineRule="auto"/>
        <w:ind w:firstLine="482" w:firstLineChars="200"/>
        <w:outlineLvl w:val="0"/>
        <w:rPr>
          <w:rFonts w:ascii="宋体" w:hAnsi="宋体"/>
          <w:b/>
          <w:color w:val="auto"/>
          <w:sz w:val="24"/>
        </w:rPr>
      </w:pPr>
      <w:bookmarkStart w:id="443" w:name="_Toc7315"/>
      <w:bookmarkStart w:id="444" w:name="_Toc30105"/>
      <w:bookmarkStart w:id="445" w:name="_Toc14814"/>
      <w:bookmarkStart w:id="446" w:name="_Toc25525"/>
      <w:bookmarkStart w:id="447" w:name="_Toc26883"/>
      <w:r>
        <w:rPr>
          <w:rFonts w:hint="eastAsia" w:ascii="宋体" w:hAnsi="宋体"/>
          <w:b/>
          <w:color w:val="auto"/>
          <w:sz w:val="24"/>
        </w:rPr>
        <w:t>十三、</w:t>
      </w:r>
      <w:r>
        <w:rPr>
          <w:rFonts w:ascii="宋体" w:hAnsi="宋体"/>
          <w:b/>
          <w:color w:val="auto"/>
          <w:sz w:val="24"/>
        </w:rPr>
        <w:t>乙方破产</w:t>
      </w:r>
      <w:bookmarkEnd w:id="443"/>
      <w:bookmarkEnd w:id="444"/>
      <w:bookmarkEnd w:id="445"/>
      <w:bookmarkEnd w:id="446"/>
      <w:bookmarkEnd w:id="447"/>
    </w:p>
    <w:p w14:paraId="773B824A">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475CB8E5">
      <w:pPr>
        <w:spacing w:line="360" w:lineRule="auto"/>
        <w:ind w:firstLine="482" w:firstLineChars="200"/>
        <w:outlineLvl w:val="0"/>
        <w:rPr>
          <w:rFonts w:ascii="宋体" w:hAnsi="宋体"/>
          <w:b/>
          <w:color w:val="auto"/>
          <w:sz w:val="24"/>
        </w:rPr>
      </w:pPr>
      <w:bookmarkStart w:id="448" w:name="_Toc2016"/>
      <w:bookmarkStart w:id="449" w:name="_Toc23323"/>
      <w:bookmarkStart w:id="450" w:name="_Toc1123"/>
      <w:r>
        <w:rPr>
          <w:rFonts w:hint="eastAsia" w:ascii="宋体" w:hAnsi="宋体"/>
          <w:b/>
          <w:color w:val="auto"/>
          <w:sz w:val="24"/>
        </w:rPr>
        <w:t>十四、</w:t>
      </w:r>
      <w:r>
        <w:rPr>
          <w:rFonts w:ascii="宋体" w:hAnsi="宋体"/>
          <w:b/>
          <w:color w:val="auto"/>
          <w:sz w:val="24"/>
        </w:rPr>
        <w:t>合同中止、终止</w:t>
      </w:r>
      <w:bookmarkEnd w:id="448"/>
      <w:bookmarkEnd w:id="449"/>
      <w:bookmarkEnd w:id="450"/>
    </w:p>
    <w:p w14:paraId="4BF72D5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双方当事人不得擅自中止或者终止合同；</w:t>
      </w:r>
    </w:p>
    <w:p w14:paraId="1A7EDC1B">
      <w:pPr>
        <w:spacing w:line="360" w:lineRule="auto"/>
        <w:ind w:firstLine="480" w:firstLineChars="200"/>
        <w:rPr>
          <w:rFonts w:hint="eastAsia" w:ascii="宋体" w:hAnsi="宋体" w:cs="宋体"/>
          <w:color w:val="auto"/>
          <w:sz w:val="24"/>
        </w:rPr>
      </w:pPr>
      <w:r>
        <w:rPr>
          <w:rFonts w:hint="eastAsia" w:ascii="宋体" w:hAnsi="宋体"/>
          <w:color w:val="auto"/>
          <w:sz w:val="24"/>
        </w:rPr>
        <w:t>2.</w:t>
      </w:r>
      <w:r>
        <w:rPr>
          <w:rFonts w:hint="eastAsia" w:ascii="宋体" w:hAnsi="宋体" w:cs="宋体"/>
          <w:color w:val="auto"/>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color w:val="auto"/>
          <w:sz w:val="24"/>
        </w:rPr>
      </w:pPr>
      <w:bookmarkStart w:id="451" w:name="_Toc17363"/>
      <w:bookmarkStart w:id="452" w:name="_Toc14525"/>
      <w:bookmarkStart w:id="453" w:name="_Toc1969"/>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p w14:paraId="03991698">
      <w:pPr>
        <w:spacing w:line="360" w:lineRule="auto"/>
        <w:ind w:firstLine="482" w:firstLineChars="200"/>
        <w:outlineLvl w:val="0"/>
        <w:rPr>
          <w:rFonts w:ascii="宋体" w:hAnsi="宋体"/>
          <w:b/>
          <w:color w:val="auto"/>
          <w:sz w:val="24"/>
        </w:rPr>
      </w:pPr>
      <w:r>
        <w:rPr>
          <w:rFonts w:hint="eastAsia" w:ascii="宋体" w:hAnsi="宋体"/>
          <w:b/>
          <w:color w:val="auto"/>
          <w:sz w:val="24"/>
        </w:rPr>
        <w:t>十五</w:t>
      </w:r>
      <w:bookmarkEnd w:id="451"/>
      <w:bookmarkEnd w:id="452"/>
      <w:bookmarkEnd w:id="453"/>
      <w:bookmarkStart w:id="454" w:name="_Toc25198"/>
      <w:bookmarkStart w:id="455" w:name="_Toc9808"/>
      <w:bookmarkStart w:id="456" w:name="_Toc2308"/>
      <w:bookmarkStart w:id="457" w:name="_Toc12666"/>
      <w:bookmarkStart w:id="458" w:name="_Toc31892"/>
      <w:r>
        <w:rPr>
          <w:rFonts w:hint="eastAsia" w:ascii="宋体" w:hAnsi="宋体"/>
          <w:b/>
          <w:color w:val="auto"/>
          <w:sz w:val="24"/>
        </w:rPr>
        <w:t>、</w:t>
      </w:r>
      <w:r>
        <w:rPr>
          <w:rFonts w:ascii="宋体" w:hAnsi="宋体"/>
          <w:b/>
          <w:color w:val="auto"/>
          <w:sz w:val="24"/>
        </w:rPr>
        <w:t>通知和送达</w:t>
      </w:r>
      <w:bookmarkEnd w:id="454"/>
      <w:bookmarkEnd w:id="455"/>
      <w:bookmarkEnd w:id="456"/>
      <w:bookmarkEnd w:id="457"/>
      <w:bookmarkEnd w:id="458"/>
    </w:p>
    <w:p w14:paraId="4356921A">
      <w:pPr>
        <w:spacing w:line="360" w:lineRule="auto"/>
        <w:ind w:firstLine="480" w:firstLineChars="200"/>
        <w:rPr>
          <w:rFonts w:ascii="宋体" w:hAnsi="宋体"/>
          <w:color w:val="auto"/>
          <w:sz w:val="24"/>
        </w:rPr>
      </w:pPr>
      <w:r>
        <w:rPr>
          <w:rFonts w:hint="eastAsia" w:ascii="宋体" w:hAnsi="宋体"/>
          <w:color w:val="auto"/>
          <w:sz w:val="24"/>
        </w:rPr>
        <w:t>1.任何一方因履行合同</w:t>
      </w:r>
      <w:r>
        <w:rPr>
          <w:rFonts w:hint="eastAsia" w:ascii="宋体" w:hAnsi="宋体"/>
          <w:color w:val="auto"/>
          <w:sz w:val="24"/>
          <w:lang w:val="en-US" w:eastAsia="zh-CN"/>
        </w:rPr>
        <w:t>等问题</w:t>
      </w:r>
      <w:r>
        <w:rPr>
          <w:rFonts w:hint="eastAsia" w:ascii="宋体" w:hAnsi="宋体"/>
          <w:color w:val="auto"/>
          <w:sz w:val="24"/>
        </w:rPr>
        <w:t>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p>
    <w:p w14:paraId="7B3ACE61">
      <w:pPr>
        <w:spacing w:line="360" w:lineRule="auto"/>
        <w:ind w:firstLine="482" w:firstLineChars="200"/>
        <w:outlineLvl w:val="0"/>
        <w:rPr>
          <w:rFonts w:ascii="宋体" w:hAnsi="宋体" w:cs="宋体"/>
          <w:b/>
          <w:color w:val="auto"/>
          <w:sz w:val="24"/>
        </w:rPr>
      </w:pPr>
      <w:bookmarkStart w:id="459" w:name="_Toc20808"/>
      <w:bookmarkStart w:id="460" w:name="_Toc27644"/>
      <w:bookmarkStart w:id="461" w:name="_Toc28906"/>
      <w:bookmarkStart w:id="462" w:name="_Toc5063"/>
      <w:bookmarkStart w:id="463" w:name="_Toc12254"/>
      <w:r>
        <w:rPr>
          <w:rFonts w:hint="eastAsia" w:ascii="宋体" w:hAnsi="宋体" w:cs="宋体"/>
          <w:b/>
          <w:color w:val="auto"/>
          <w:sz w:val="24"/>
        </w:rPr>
        <w:t>十六、计量单位</w:t>
      </w:r>
    </w:p>
    <w:p w14:paraId="367CD1D0">
      <w:pPr>
        <w:spacing w:line="360" w:lineRule="auto"/>
        <w:ind w:firstLine="480" w:firstLineChars="200"/>
        <w:rPr>
          <w:rFonts w:hint="eastAsia" w:ascii="宋体" w:hAnsi="宋体"/>
          <w:b/>
          <w:color w:val="auto"/>
          <w:sz w:val="24"/>
        </w:rPr>
      </w:pPr>
      <w:r>
        <w:rPr>
          <w:rFonts w:hint="eastAsia" w:ascii="宋体" w:hAnsi="宋体" w:cs="宋体"/>
          <w:color w:val="auto"/>
          <w:sz w:val="24"/>
        </w:rPr>
        <w:t>除技术规范中另有规定外,合同的计量单位均使用国家法定计量单位。</w:t>
      </w:r>
    </w:p>
    <w:p w14:paraId="4EAAE2C5">
      <w:pPr>
        <w:spacing w:line="360" w:lineRule="auto"/>
        <w:ind w:firstLine="482" w:firstLineChars="200"/>
        <w:outlineLvl w:val="0"/>
        <w:rPr>
          <w:rFonts w:ascii="宋体" w:hAnsi="宋体"/>
          <w:b/>
          <w:color w:val="auto"/>
          <w:sz w:val="24"/>
        </w:rPr>
      </w:pPr>
      <w:r>
        <w:rPr>
          <w:rFonts w:hint="eastAsia" w:ascii="宋体" w:hAnsi="宋体"/>
          <w:b/>
          <w:color w:val="auto"/>
          <w:sz w:val="24"/>
        </w:rPr>
        <w:t>十七、合同使用的文字和</w:t>
      </w:r>
      <w:r>
        <w:rPr>
          <w:rFonts w:ascii="宋体" w:hAnsi="宋体"/>
          <w:b/>
          <w:color w:val="auto"/>
          <w:sz w:val="24"/>
        </w:rPr>
        <w:t>适用的法律</w:t>
      </w:r>
      <w:bookmarkEnd w:id="459"/>
      <w:bookmarkEnd w:id="460"/>
      <w:bookmarkEnd w:id="461"/>
      <w:bookmarkEnd w:id="462"/>
      <w:bookmarkEnd w:id="463"/>
    </w:p>
    <w:p w14:paraId="72B6323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合同使用汉语书</w:t>
      </w:r>
      <w:r>
        <w:rPr>
          <w:rFonts w:hint="eastAsia" w:ascii="宋体" w:hAnsi="宋体"/>
          <w:color w:val="auto"/>
          <w:sz w:val="24"/>
          <w:lang w:val="en-US" w:eastAsia="zh-CN"/>
        </w:rPr>
        <w:t>写</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53CCC5F3">
      <w:pPr>
        <w:spacing w:line="360" w:lineRule="auto"/>
        <w:ind w:firstLine="480" w:firstLineChars="200"/>
        <w:rPr>
          <w:rFonts w:ascii="宋体" w:hAnsi="宋体"/>
          <w:color w:val="auto"/>
          <w:sz w:val="24"/>
        </w:rPr>
      </w:pPr>
      <w:r>
        <w:rPr>
          <w:rFonts w:hint="eastAsia" w:ascii="宋体" w:hAnsi="宋体"/>
          <w:color w:val="auto"/>
          <w:sz w:val="24"/>
        </w:rPr>
        <w:t>2.合同适用</w:t>
      </w:r>
      <w:r>
        <w:rPr>
          <w:rFonts w:ascii="宋体" w:hAnsi="宋体"/>
          <w:color w:val="auto"/>
          <w:sz w:val="24"/>
        </w:rPr>
        <w:t>中华人民共和国法律。</w:t>
      </w:r>
    </w:p>
    <w:p w14:paraId="05C732AC">
      <w:pPr>
        <w:spacing w:line="360" w:lineRule="auto"/>
        <w:ind w:firstLine="482" w:firstLineChars="200"/>
        <w:outlineLvl w:val="0"/>
        <w:rPr>
          <w:rFonts w:ascii="宋体" w:hAnsi="宋体"/>
          <w:b/>
          <w:color w:val="auto"/>
          <w:sz w:val="24"/>
        </w:rPr>
      </w:pPr>
      <w:r>
        <w:rPr>
          <w:rFonts w:hint="eastAsia" w:ascii="宋体" w:hAnsi="宋体"/>
          <w:b/>
          <w:color w:val="auto"/>
          <w:sz w:val="24"/>
        </w:rPr>
        <w:t>十八、特别提示</w:t>
      </w:r>
    </w:p>
    <w:p w14:paraId="2A322E9E">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5"/>
        <w:spacing w:line="560" w:lineRule="exact"/>
        <w:ind w:left="0" w:leftChars="0" w:firstLine="0" w:firstLineChars="0"/>
        <w:jc w:val="both"/>
        <w:rPr>
          <w:rFonts w:hint="eastAsia" w:ascii="宋体" w:hAnsi="宋体"/>
          <w:b/>
          <w:color w:val="auto"/>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乙方： </w:t>
            </w:r>
            <w:r>
              <w:rPr>
                <w:rFonts w:hint="eastAsia" w:ascii="宋体" w:hAnsi="宋体" w:cs="宋体"/>
                <w:color w:val="auto"/>
                <w:sz w:val="24"/>
                <w:u w:val="single"/>
                <w:lang w:val="en-US" w:eastAsia="zh-CN"/>
              </w:rPr>
              <w:t>***有限公司</w:t>
            </w:r>
            <w:r>
              <w:rPr>
                <w:rFonts w:hint="eastAsia" w:ascii="宋体" w:hAnsi="宋体" w:cs="宋体"/>
                <w:color w:val="auto"/>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统一社会信用代码：</w:t>
            </w:r>
          </w:p>
          <w:p w14:paraId="024E3073">
            <w:pPr>
              <w:spacing w:line="360" w:lineRule="auto"/>
              <w:rPr>
                <w:rFonts w:hint="eastAsia" w:ascii="宋体" w:hAnsi="宋体" w:eastAsia="宋体" w:cs="Times New Roman"/>
                <w:color w:val="auto"/>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电子邮箱：</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开户账号：</w:t>
            </w:r>
          </w:p>
        </w:tc>
      </w:tr>
    </w:tbl>
    <w:p w14:paraId="640993DF">
      <w:pPr>
        <w:rPr>
          <w:rFonts w:hint="eastAsia"/>
          <w:color w:val="auto"/>
        </w:rPr>
      </w:pPr>
    </w:p>
    <w:p w14:paraId="12AFFF2C">
      <w:pPr>
        <w:rPr>
          <w:rFonts w:hint="eastAsia" w:ascii="宋体" w:hAnsi="宋体"/>
          <w:b/>
          <w:color w:val="auto"/>
          <w:szCs w:val="24"/>
        </w:rPr>
      </w:pPr>
    </w:p>
    <w:p w14:paraId="5D79F451">
      <w:pPr>
        <w:rPr>
          <w:rFonts w:hint="eastAsia" w:ascii="宋体" w:hAnsi="宋体"/>
          <w:b/>
          <w:color w:val="auto"/>
          <w:szCs w:val="24"/>
        </w:rPr>
      </w:pPr>
      <w:r>
        <w:rPr>
          <w:rFonts w:hint="eastAsia" w:ascii="宋体" w:hAnsi="宋体"/>
          <w:b/>
          <w:color w:val="auto"/>
          <w:szCs w:val="24"/>
        </w:rPr>
        <w:br w:type="page"/>
      </w:r>
    </w:p>
    <w:p w14:paraId="7CE97256">
      <w:pPr>
        <w:pStyle w:val="25"/>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t>第三章  安全协议</w:t>
      </w:r>
    </w:p>
    <w:p w14:paraId="1D90BBBE">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发包单位：</w:t>
      </w:r>
      <w:r>
        <w:rPr>
          <w:rFonts w:hint="eastAsia" w:ascii="宋体" w:hAnsi="宋体" w:cs="宋体"/>
          <w:color w:val="auto"/>
          <w:kern w:val="0"/>
          <w:sz w:val="24"/>
          <w:u w:val="single"/>
          <w:lang w:bidi="ar"/>
        </w:rPr>
        <w:t>杭州临江环境能源有限公司</w:t>
      </w:r>
      <w:r>
        <w:rPr>
          <w:rFonts w:hint="eastAsia" w:ascii="宋体" w:hAnsi="宋体" w:cs="宋体"/>
          <w:color w:val="auto"/>
          <w:kern w:val="0"/>
          <w:sz w:val="24"/>
          <w:lang w:bidi="ar"/>
        </w:rPr>
        <w:t xml:space="preserve">（简称甲方） </w:t>
      </w:r>
    </w:p>
    <w:p w14:paraId="053F8717">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承包单位：</w:t>
      </w:r>
      <w:r>
        <w:rPr>
          <w:rFonts w:hint="eastAsia" w:ascii="宋体" w:hAnsi="宋体" w:cs="宋体"/>
          <w:color w:val="auto"/>
          <w:kern w:val="0"/>
          <w:sz w:val="24"/>
          <w:u w:val="single"/>
          <w:lang w:eastAsia="zh-CN" w:bidi="ar"/>
        </w:rPr>
        <w:t xml:space="preserve">  ***有限公司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（简称乙方） </w:t>
      </w:r>
    </w:p>
    <w:p w14:paraId="41750E84">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甲方将</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2025年-2026年高压变频器维修服务采购项目</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一、服务项目 </w:t>
      </w:r>
    </w:p>
    <w:p w14:paraId="53928AC8">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1.项目名称： </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2025年-2026年高压变频器维修服务采购项目</w:t>
      </w:r>
      <w:r>
        <w:rPr>
          <w:rFonts w:hint="eastAsia" w:ascii="宋体" w:hAnsi="宋体" w:cs="宋体"/>
          <w:color w:val="auto"/>
          <w:kern w:val="0"/>
          <w:sz w:val="24"/>
          <w:u w:val="single"/>
          <w:lang w:bidi="ar"/>
        </w:rPr>
        <w:t xml:space="preserve">             </w:t>
      </w:r>
    </w:p>
    <w:p w14:paraId="013A43C3">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color w:val="auto"/>
          <w:sz w:val="24"/>
        </w:rPr>
      </w:pPr>
      <w:r>
        <w:rPr>
          <w:rFonts w:hint="eastAsia" w:ascii="宋体" w:hAnsi="宋体" w:cs="宋体"/>
          <w:b/>
          <w:color w:val="auto"/>
          <w:sz w:val="24"/>
        </w:rPr>
        <w:t>二、甲方职责</w:t>
      </w:r>
    </w:p>
    <w:p w14:paraId="767155F1">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1.甲方对乙方资质进行审查，确保符合要求，并为乙方正常服务场所工作提供便利，</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color w:val="auto"/>
          <w:sz w:val="24"/>
        </w:rPr>
      </w:pPr>
      <w:r>
        <w:rPr>
          <w:rFonts w:hint="eastAsia" w:ascii="宋体" w:hAnsi="宋体" w:cs="宋体"/>
          <w:color w:val="auto"/>
          <w:sz w:val="24"/>
        </w:rPr>
        <w:t>2.为本项目指定专人负责具体的联系沟通工作。</w:t>
      </w:r>
    </w:p>
    <w:p w14:paraId="18C1FCF5">
      <w:pPr>
        <w:spacing w:line="360" w:lineRule="auto"/>
        <w:ind w:firstLine="480" w:firstLineChars="200"/>
        <w:rPr>
          <w:rFonts w:hint="eastAsia" w:ascii="宋体" w:hAnsi="宋体" w:cs="宋体"/>
          <w:color w:val="auto"/>
          <w:sz w:val="24"/>
        </w:rPr>
      </w:pPr>
      <w:r>
        <w:rPr>
          <w:rFonts w:hint="eastAsia" w:ascii="宋体" w:hAnsi="宋体" w:cs="宋体"/>
          <w:color w:val="auto"/>
          <w:sz w:val="24"/>
        </w:rPr>
        <w:t>3.做好与本项目有关的其他各级单位的沟通协调工作。</w:t>
      </w:r>
    </w:p>
    <w:p w14:paraId="765DE48E">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color w:val="auto"/>
          <w:sz w:val="24"/>
        </w:rPr>
      </w:pPr>
      <w:r>
        <w:rPr>
          <w:rFonts w:hint="eastAsia" w:ascii="宋体" w:hAnsi="宋体" w:cs="宋体"/>
          <w:color w:val="auto"/>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color w:val="auto"/>
          <w:sz w:val="24"/>
        </w:rPr>
      </w:pPr>
      <w:r>
        <w:rPr>
          <w:rFonts w:hint="eastAsia" w:ascii="宋体" w:hAnsi="宋体" w:cs="宋体"/>
          <w:color w:val="auto"/>
          <w:sz w:val="24"/>
        </w:rPr>
        <w:t>7.接受甲方的监督检查。</w:t>
      </w:r>
    </w:p>
    <w:p w14:paraId="00463453">
      <w:pPr>
        <w:spacing w:line="360" w:lineRule="auto"/>
        <w:ind w:firstLine="482" w:firstLineChars="200"/>
        <w:rPr>
          <w:rFonts w:hint="eastAsia" w:ascii="宋体" w:hAnsi="宋体" w:cs="宋体"/>
          <w:color w:val="auto"/>
          <w:sz w:val="24"/>
        </w:rPr>
      </w:pPr>
      <w:r>
        <w:rPr>
          <w:rFonts w:hint="eastAsia" w:ascii="宋体" w:hAnsi="宋体" w:cs="宋体"/>
          <w:b/>
          <w:color w:val="auto"/>
          <w:sz w:val="24"/>
        </w:rPr>
        <w:t>四、违约责任</w:t>
      </w:r>
    </w:p>
    <w:p w14:paraId="76A9087F">
      <w:pPr>
        <w:spacing w:line="360" w:lineRule="auto"/>
        <w:ind w:firstLine="480" w:firstLineChars="200"/>
        <w:rPr>
          <w:rFonts w:hint="eastAsia" w:ascii="宋体" w:hAnsi="宋体" w:cs="宋体"/>
          <w:color w:val="auto"/>
          <w:sz w:val="24"/>
        </w:rPr>
      </w:pPr>
      <w:r>
        <w:rPr>
          <w:rFonts w:hint="eastAsia" w:ascii="宋体" w:hAnsi="宋体" w:cs="宋体"/>
          <w:color w:val="auto"/>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不服从甲方指挥，强令冒险作业；</w:t>
      </w:r>
    </w:p>
    <w:p w14:paraId="4D707839">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未按要求参加甲方组织的各项安全检查、会议活动；</w:t>
      </w:r>
    </w:p>
    <w:p w14:paraId="7B1746DD">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rPr>
        <w:t>工作人员在禁烟区擅自动火、吸烟；</w:t>
      </w:r>
    </w:p>
    <w:p w14:paraId="6226AAF3">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4 \* GB3 </w:instrText>
      </w:r>
      <w:r>
        <w:rPr>
          <w:rFonts w:hint="eastAsia" w:ascii="宋体" w:hAnsi="宋体" w:cs="宋体"/>
          <w:color w:val="auto"/>
          <w:sz w:val="24"/>
        </w:rPr>
        <w:fldChar w:fldCharType="separate"/>
      </w:r>
      <w:r>
        <w:rPr>
          <w:rFonts w:hint="eastAsia" w:ascii="宋体" w:hAnsi="宋体" w:cs="宋体"/>
          <w:color w:val="auto"/>
          <w:sz w:val="24"/>
        </w:rPr>
        <w:t>④</w:t>
      </w:r>
      <w:r>
        <w:rPr>
          <w:rFonts w:hint="eastAsia" w:ascii="宋体" w:hAnsi="宋体" w:cs="宋体"/>
          <w:color w:val="auto"/>
          <w:sz w:val="24"/>
        </w:rPr>
        <w:fldChar w:fldCharType="end"/>
      </w:r>
      <w:r>
        <w:rPr>
          <w:rFonts w:hint="eastAsia" w:ascii="宋体" w:hAnsi="宋体" w:cs="宋体"/>
          <w:color w:val="auto"/>
          <w:sz w:val="24"/>
        </w:rPr>
        <w:t>工作人员未按规定穿戴劳动防护用品，经劝说不听或不服从管理的；</w:t>
      </w:r>
    </w:p>
    <w:p w14:paraId="6B3A2DC7">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5 \* GB3 </w:instrText>
      </w:r>
      <w:r>
        <w:rPr>
          <w:rFonts w:hint="eastAsia" w:ascii="宋体" w:hAnsi="宋体" w:cs="宋体"/>
          <w:color w:val="auto"/>
          <w:sz w:val="24"/>
        </w:rPr>
        <w:fldChar w:fldCharType="separate"/>
      </w:r>
      <w:r>
        <w:rPr>
          <w:rFonts w:hint="eastAsia" w:ascii="宋体" w:hAnsi="宋体" w:cs="宋体"/>
          <w:color w:val="auto"/>
          <w:sz w:val="24"/>
        </w:rPr>
        <w:t>⑤</w:t>
      </w:r>
      <w:r>
        <w:rPr>
          <w:rFonts w:hint="eastAsia" w:ascii="宋体" w:hAnsi="宋体" w:cs="宋体"/>
          <w:color w:val="auto"/>
          <w:sz w:val="24"/>
        </w:rPr>
        <w:fldChar w:fldCharType="end"/>
      </w:r>
      <w:r>
        <w:rPr>
          <w:rFonts w:hint="eastAsia" w:ascii="宋体" w:hAnsi="宋体" w:cs="宋体"/>
          <w:color w:val="auto"/>
          <w:sz w:val="24"/>
        </w:rPr>
        <w:t>项目服务过程造成环境影响。</w:t>
      </w:r>
    </w:p>
    <w:p w14:paraId="27DB6D49">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2.乙方在项目服务过程中有下列行为的，扣罚履约保证金5000元/次</w:t>
      </w:r>
      <w:r>
        <w:rPr>
          <w:rFonts w:hint="eastAsia" w:ascii="宋体" w:hAnsi="宋体" w:cs="宋体"/>
          <w:color w:val="auto"/>
          <w:sz w:val="24"/>
          <w:lang w:eastAsia="zh-CN"/>
        </w:rPr>
        <w:t>，</w:t>
      </w:r>
      <w:r>
        <w:rPr>
          <w:rFonts w:hint="eastAsia" w:ascii="宋体" w:hAnsi="宋体" w:cs="宋体"/>
          <w:color w:val="auto"/>
          <w:sz w:val="24"/>
          <w:lang w:val="en-US" w:eastAsia="zh-CN"/>
        </w:rPr>
        <w:t>同时甲方有权立即解除与乙方之间的所有服务合同</w:t>
      </w:r>
      <w:r>
        <w:rPr>
          <w:rFonts w:hint="eastAsia" w:ascii="宋体" w:hAnsi="宋体" w:cs="宋体"/>
          <w:color w:val="auto"/>
          <w:sz w:val="24"/>
        </w:rPr>
        <w:t>：</w:t>
      </w:r>
    </w:p>
    <w:p w14:paraId="135210D3">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乙方未履行职责，经甲方三次书面警告的，进行停业整顿的，每次停业整顿</w:t>
      </w:r>
      <w:r>
        <w:rPr>
          <w:rFonts w:hint="eastAsia" w:ascii="宋体" w:hAnsi="宋体" w:cs="宋体"/>
          <w:color w:val="auto"/>
          <w:sz w:val="24"/>
          <w:lang w:eastAsia="zh-CN"/>
        </w:rPr>
        <w:t>；</w:t>
      </w:r>
    </w:p>
    <w:p w14:paraId="3F7C2CCF">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lang w:val="en-US" w:eastAsia="zh-CN"/>
        </w:rPr>
        <w:t>乙方或者乙方工作人员发生重大安全事故的。</w:t>
      </w:r>
    </w:p>
    <w:p w14:paraId="10759CF3">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4.乙方在项目服务过程中，对甲方的设施、绿化道路造成影响</w:t>
      </w:r>
      <w:r>
        <w:rPr>
          <w:rFonts w:hint="eastAsia" w:ascii="宋体" w:hAnsi="宋体" w:cs="宋体"/>
          <w:color w:val="auto"/>
          <w:sz w:val="24"/>
          <w:lang w:eastAsia="zh-CN"/>
        </w:rPr>
        <w:t>，</w:t>
      </w:r>
      <w:r>
        <w:rPr>
          <w:rFonts w:hint="eastAsia" w:ascii="宋体" w:hAnsi="宋体" w:cs="宋体"/>
          <w:color w:val="auto"/>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6.发生紧急情况，乙方应及时向上级主管和甲方报告，同时向相关领导或值班人员汇报。如发生人员伤亡应迅速抢救伤员，并在第一时间</w:t>
      </w:r>
      <w:r>
        <w:rPr>
          <w:rFonts w:hint="eastAsia" w:ascii="宋体" w:hAnsi="宋体" w:cs="宋体"/>
          <w:color w:val="auto"/>
          <w:sz w:val="24"/>
          <w:lang w:eastAsia="zh-CN"/>
        </w:rPr>
        <w:t>送往</w:t>
      </w:r>
      <w:r>
        <w:rPr>
          <w:rFonts w:hint="eastAsia" w:ascii="宋体" w:hAnsi="宋体" w:cs="宋体"/>
          <w:color w:val="auto"/>
          <w:sz w:val="24"/>
        </w:rPr>
        <w:t>就近医院。</w:t>
      </w:r>
    </w:p>
    <w:p w14:paraId="3F847D24">
      <w:pPr>
        <w:spacing w:line="360" w:lineRule="auto"/>
        <w:ind w:firstLine="480" w:firstLineChars="200"/>
        <w:rPr>
          <w:rFonts w:hint="eastAsia" w:ascii="宋体" w:hAnsi="宋体" w:cs="宋体"/>
          <w:color w:val="auto"/>
          <w:sz w:val="24"/>
        </w:rPr>
      </w:pPr>
      <w:r>
        <w:rPr>
          <w:rFonts w:hint="eastAsia" w:ascii="宋体" w:hAnsi="宋体" w:cs="宋体"/>
          <w:color w:val="auto"/>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color w:val="auto"/>
          <w:sz w:val="24"/>
        </w:rPr>
      </w:pPr>
      <w:r>
        <w:rPr>
          <w:rFonts w:hint="eastAsia" w:ascii="宋体" w:hAnsi="宋体" w:cs="宋体"/>
          <w:color w:val="auto"/>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五、其他</w:t>
      </w:r>
    </w:p>
    <w:p w14:paraId="23458A7E">
      <w:pPr>
        <w:widowControl/>
        <w:spacing w:line="360" w:lineRule="auto"/>
        <w:rPr>
          <w:rFonts w:hint="eastAsia" w:ascii="宋体" w:hAnsi="宋体" w:cs="宋体"/>
          <w:color w:val="auto"/>
          <w:sz w:val="24"/>
        </w:rPr>
      </w:pPr>
      <w:r>
        <w:rPr>
          <w:rFonts w:hint="eastAsia" w:ascii="宋体" w:hAnsi="宋体" w:cs="宋体"/>
          <w:color w:val="auto"/>
          <w:sz w:val="24"/>
        </w:rPr>
        <w:t xml:space="preserve">    本协议有效期为双方签署之日起至双方权利义务履行完毕为止。有效期内发生的违约事实，有效期后发现的适用本协议。</w:t>
      </w:r>
    </w:p>
    <w:p w14:paraId="18BB8F06">
      <w:pPr>
        <w:pStyle w:val="25"/>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br w:type="page"/>
      </w:r>
      <w:r>
        <w:rPr>
          <w:rFonts w:hint="eastAsia" w:ascii="宋体" w:hAnsi="宋体"/>
          <w:b/>
          <w:color w:val="auto"/>
          <w:szCs w:val="24"/>
        </w:rPr>
        <w:t>第四章 廉洁协议</w:t>
      </w:r>
    </w:p>
    <w:p w14:paraId="5C82B475">
      <w:pPr>
        <w:pStyle w:val="8"/>
        <w:ind w:firstLine="0" w:firstLineChars="0"/>
        <w:rPr>
          <w:rFonts w:hint="eastAsia"/>
          <w:color w:val="auto"/>
        </w:rPr>
      </w:pPr>
    </w:p>
    <w:p w14:paraId="072A6E72">
      <w:pPr>
        <w:spacing w:line="360" w:lineRule="auto"/>
        <w:ind w:left="1" w:right="77" w:firstLine="426"/>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02907629">
      <w:pPr>
        <w:spacing w:line="360" w:lineRule="auto"/>
        <w:ind w:left="1" w:right="77" w:firstLine="426"/>
        <w:rPr>
          <w:rFonts w:hint="default" w:ascii="宋体" w:hAnsi="宋体" w:eastAsia="宋体" w:cs="宋体"/>
          <w:color w:val="auto"/>
          <w:sz w:val="24"/>
          <w:u w:val="single"/>
          <w:lang w:val="en-US" w:eastAsia="zh-CN"/>
        </w:rPr>
      </w:pPr>
      <w:r>
        <w:rPr>
          <w:rFonts w:hint="eastAsia" w:ascii="宋体" w:hAnsi="宋体" w:cs="宋体"/>
          <w:color w:val="auto"/>
          <w:sz w:val="24"/>
        </w:rPr>
        <w:t>乙方：</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lang w:val="en-US" w:eastAsia="zh-CN"/>
        </w:rPr>
        <w:t xml:space="preserve">             </w:t>
      </w:r>
    </w:p>
    <w:p w14:paraId="4D35A883">
      <w:pPr>
        <w:spacing w:line="360" w:lineRule="auto"/>
        <w:ind w:left="1" w:right="77" w:firstLine="426"/>
        <w:rPr>
          <w:rFonts w:hint="eastAsia" w:ascii="宋体" w:hAnsi="宋体" w:cs="宋体"/>
          <w:color w:val="auto"/>
          <w:sz w:val="24"/>
        </w:rPr>
      </w:pPr>
      <w:r>
        <w:rPr>
          <w:rFonts w:hint="eastAsia" w:ascii="宋体" w:hAnsi="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一、甲、乙双方约定</w:t>
      </w:r>
    </w:p>
    <w:p w14:paraId="7A561D7D">
      <w:pPr>
        <w:spacing w:line="360" w:lineRule="auto"/>
        <w:ind w:right="115" w:firstLine="480" w:firstLineChars="200"/>
        <w:rPr>
          <w:rFonts w:hint="eastAsia" w:ascii="宋体" w:hAnsi="宋体" w:cs="宋体"/>
          <w:color w:val="auto"/>
          <w:sz w:val="24"/>
        </w:rPr>
      </w:pPr>
      <w:r>
        <w:rPr>
          <w:rFonts w:hint="eastAsia" w:ascii="宋体" w:hAnsi="宋体" w:cs="宋体"/>
          <w:color w:val="auto"/>
          <w:sz w:val="24"/>
        </w:rPr>
        <w:t>1.甲、乙双方应共同严格遵守国家和省市以及</w:t>
      </w:r>
      <w:r>
        <w:rPr>
          <w:rFonts w:hint="eastAsia" w:ascii="宋体" w:hAnsi="宋体" w:cs="宋体"/>
          <w:color w:val="auto"/>
          <w:sz w:val="24"/>
          <w:lang w:eastAsia="zh-CN"/>
        </w:rPr>
        <w:t>采购人</w:t>
      </w:r>
      <w:r>
        <w:rPr>
          <w:rFonts w:hint="eastAsia" w:ascii="宋体" w:hAnsi="宋体" w:cs="宋体"/>
          <w:color w:val="auto"/>
          <w:sz w:val="24"/>
        </w:rPr>
        <w:t>主管部门关于市场准入、项目招标投标、市场经济活动等有关</w:t>
      </w:r>
      <w:r>
        <w:rPr>
          <w:rFonts w:hint="eastAsia" w:ascii="宋体" w:hAnsi="宋体" w:cs="宋体"/>
          <w:color w:val="auto"/>
          <w:sz w:val="24"/>
          <w:lang w:eastAsia="zh-CN"/>
        </w:rPr>
        <w:t>法律法规</w:t>
      </w:r>
      <w:r>
        <w:rPr>
          <w:rFonts w:hint="eastAsia" w:ascii="宋体" w:hAnsi="宋体" w:cs="宋体"/>
          <w:color w:val="auto"/>
          <w:sz w:val="24"/>
        </w:rPr>
        <w:t>和相关政策，以及项目廉政建设的各项规定。</w:t>
      </w:r>
    </w:p>
    <w:p w14:paraId="39A94857">
      <w:pPr>
        <w:spacing w:line="360" w:lineRule="auto"/>
        <w:ind w:firstLine="482" w:firstLineChars="201"/>
        <w:rPr>
          <w:rFonts w:hint="eastAsia" w:ascii="宋体" w:hAnsi="宋体" w:cs="宋体"/>
          <w:color w:val="auto"/>
          <w:sz w:val="24"/>
        </w:rPr>
      </w:pPr>
      <w:r>
        <w:rPr>
          <w:rFonts w:hint="eastAsia" w:ascii="宋体" w:hAnsi="宋体" w:cs="宋体"/>
          <w:color w:val="auto"/>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color w:val="auto"/>
          <w:sz w:val="24"/>
        </w:rPr>
      </w:pPr>
      <w:r>
        <w:rPr>
          <w:rFonts w:hint="eastAsia" w:ascii="宋体" w:hAnsi="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color w:val="auto"/>
          <w:sz w:val="24"/>
        </w:rPr>
      </w:pPr>
      <w:r>
        <w:rPr>
          <w:rFonts w:hint="eastAsia" w:ascii="宋体" w:hAnsi="宋体" w:cs="宋体"/>
          <w:color w:val="auto"/>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color w:val="auto"/>
          <w:sz w:val="24"/>
        </w:rPr>
      </w:pPr>
      <w:r>
        <w:rPr>
          <w:rFonts w:hint="eastAsia" w:ascii="宋体" w:hAnsi="宋体" w:cs="宋体"/>
          <w:color w:val="auto"/>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color w:val="auto"/>
          <w:sz w:val="24"/>
        </w:rPr>
      </w:pPr>
      <w:r>
        <w:rPr>
          <w:rFonts w:hint="eastAsia" w:ascii="宋体" w:hAnsi="宋体" w:cs="宋体"/>
          <w:color w:val="auto"/>
          <w:sz w:val="24"/>
        </w:rPr>
        <w:t>6.甲、乙双方如发现对方人员在业务活动中有违规、违纪、违法行为的，应及时提醒对方并督促其纠正，或直接向对方</w:t>
      </w:r>
      <w:r>
        <w:rPr>
          <w:rFonts w:hint="eastAsia" w:ascii="宋体" w:hAnsi="宋体" w:cs="宋体"/>
          <w:color w:val="auto"/>
          <w:sz w:val="24"/>
          <w:lang w:eastAsia="zh-CN"/>
        </w:rPr>
        <w:t>法定代表人</w:t>
      </w:r>
      <w:r>
        <w:rPr>
          <w:rFonts w:hint="eastAsia" w:ascii="宋体" w:hAnsi="宋体" w:cs="宋体"/>
          <w:color w:val="auto"/>
          <w:sz w:val="24"/>
        </w:rPr>
        <w:t>、纪检监察部门及检察机关如实反映情况。</w:t>
      </w:r>
    </w:p>
    <w:p w14:paraId="6752CA9C">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二、甲方（含甲方人员）廉政责任</w:t>
      </w:r>
    </w:p>
    <w:p w14:paraId="032C53F1">
      <w:pPr>
        <w:spacing w:line="360" w:lineRule="auto"/>
        <w:ind w:firstLine="482" w:firstLineChars="201"/>
        <w:rPr>
          <w:rFonts w:hint="eastAsia" w:ascii="宋体" w:hAnsi="宋体" w:cs="宋体"/>
          <w:color w:val="auto"/>
          <w:sz w:val="24"/>
        </w:rPr>
      </w:pPr>
      <w:r>
        <w:rPr>
          <w:rFonts w:hint="eastAsia" w:ascii="宋体" w:hAnsi="宋体" w:cs="宋体"/>
          <w:color w:val="auto"/>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color w:val="auto"/>
          <w:sz w:val="24"/>
        </w:rPr>
      </w:pPr>
      <w:r>
        <w:rPr>
          <w:rFonts w:hint="eastAsia" w:ascii="宋体" w:hAnsi="宋体" w:cs="宋体"/>
          <w:color w:val="auto"/>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color w:val="auto"/>
          <w:sz w:val="24"/>
        </w:rPr>
      </w:pPr>
      <w:r>
        <w:rPr>
          <w:rFonts w:hint="eastAsia" w:ascii="宋体" w:hAnsi="宋体" w:cs="宋体"/>
          <w:color w:val="auto"/>
          <w:sz w:val="24"/>
        </w:rPr>
        <w:t>4.不得接受乙方购置的或长期提供的通信工具、交通工具等。</w:t>
      </w:r>
    </w:p>
    <w:p w14:paraId="55AE57D1">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color w:val="auto"/>
          <w:sz w:val="24"/>
        </w:rPr>
      </w:pPr>
      <w:r>
        <w:rPr>
          <w:rFonts w:hint="eastAsia" w:ascii="宋体" w:hAnsi="宋体" w:cs="宋体"/>
          <w:color w:val="auto"/>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color w:val="auto"/>
          <w:sz w:val="24"/>
        </w:rPr>
      </w:pPr>
      <w:r>
        <w:rPr>
          <w:rFonts w:hint="eastAsia" w:ascii="宋体" w:hAnsi="宋体" w:cs="宋体"/>
          <w:b/>
          <w:bCs/>
          <w:color w:val="auto"/>
          <w:sz w:val="24"/>
        </w:rPr>
        <w:t>三、乙方（含乙方人员）廉政责任</w:t>
      </w:r>
    </w:p>
    <w:p w14:paraId="7B1A9864">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color w:val="auto"/>
          <w:sz w:val="24"/>
        </w:rPr>
      </w:pPr>
      <w:r>
        <w:rPr>
          <w:rFonts w:hint="eastAsia" w:ascii="宋体" w:hAnsi="宋体" w:cs="宋体"/>
          <w:color w:val="auto"/>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color w:val="auto"/>
          <w:sz w:val="24"/>
        </w:rPr>
      </w:pPr>
      <w:r>
        <w:rPr>
          <w:rFonts w:hint="eastAsia" w:ascii="宋体" w:hAnsi="宋体" w:cs="宋体"/>
          <w:color w:val="auto"/>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color w:val="auto"/>
          <w:sz w:val="24"/>
        </w:rPr>
      </w:pPr>
      <w:r>
        <w:rPr>
          <w:rFonts w:hint="eastAsia" w:ascii="宋体" w:hAnsi="宋体" w:cs="宋体"/>
          <w:color w:val="auto"/>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color w:val="auto"/>
          <w:sz w:val="24"/>
        </w:rPr>
      </w:pPr>
      <w:r>
        <w:rPr>
          <w:rFonts w:hint="eastAsia" w:ascii="宋体" w:hAnsi="宋体" w:cs="宋体"/>
          <w:color w:val="auto"/>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color w:val="auto"/>
          <w:sz w:val="24"/>
        </w:rPr>
      </w:pPr>
      <w:r>
        <w:rPr>
          <w:rFonts w:hint="eastAsia" w:ascii="宋体" w:hAnsi="宋体" w:cs="宋体"/>
          <w:b/>
          <w:bCs/>
          <w:color w:val="auto"/>
          <w:sz w:val="24"/>
        </w:rPr>
        <w:t>四、违约责任</w:t>
      </w:r>
    </w:p>
    <w:p w14:paraId="6D6676AB">
      <w:pPr>
        <w:spacing w:line="360" w:lineRule="auto"/>
        <w:ind w:left="3" w:right="24" w:firstLine="506" w:firstLineChars="211"/>
        <w:rPr>
          <w:rFonts w:hint="eastAsia" w:ascii="宋体" w:hAnsi="宋体" w:cs="宋体"/>
          <w:color w:val="auto"/>
          <w:sz w:val="24"/>
        </w:rPr>
      </w:pPr>
      <w:r>
        <w:rPr>
          <w:rFonts w:hint="eastAsia" w:ascii="宋体" w:hAnsi="宋体" w:cs="宋体"/>
          <w:color w:val="auto"/>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color w:val="auto"/>
          <w:sz w:val="24"/>
        </w:rPr>
      </w:pPr>
      <w:r>
        <w:rPr>
          <w:rFonts w:hint="eastAsia" w:ascii="宋体" w:hAnsi="宋体" w:cs="宋体"/>
          <w:color w:val="auto"/>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2.乙方贿赂甲方人员的，被纪检监察部门或检察机关立案查处的，甲方有权</w:t>
      </w:r>
      <w:r>
        <w:rPr>
          <w:rFonts w:hint="eastAsia" w:ascii="宋体" w:hAnsi="宋体" w:cs="宋体"/>
          <w:color w:val="auto"/>
          <w:sz w:val="24"/>
          <w:lang w:eastAsia="zh-CN"/>
        </w:rPr>
        <w:t>终止</w:t>
      </w:r>
      <w:r>
        <w:rPr>
          <w:rFonts w:hint="eastAsia" w:ascii="宋体" w:hAnsi="宋体" w:cs="宋体"/>
          <w:color w:val="auto"/>
          <w:sz w:val="24"/>
        </w:rPr>
        <w:t>项目合同，由此造成甲方的损失以及一切费用均由乙方承担。</w:t>
      </w:r>
    </w:p>
    <w:p w14:paraId="2DFCD317">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color w:val="auto"/>
          <w:sz w:val="24"/>
        </w:rPr>
      </w:pPr>
      <w:r>
        <w:rPr>
          <w:rFonts w:hint="eastAsia" w:ascii="宋体" w:hAnsi="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color w:val="auto"/>
          <w:sz w:val="24"/>
        </w:rPr>
      </w:pPr>
      <w:r>
        <w:rPr>
          <w:rFonts w:hint="eastAsia" w:ascii="宋体" w:hAnsi="宋体" w:cs="宋体"/>
          <w:color w:val="auto"/>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color w:val="auto"/>
          <w:sz w:val="24"/>
        </w:rPr>
      </w:pPr>
      <w:r>
        <w:rPr>
          <w:rFonts w:hint="eastAsia" w:ascii="宋体" w:hAnsi="宋体" w:cs="宋体"/>
          <w:b/>
          <w:bCs/>
          <w:color w:val="auto"/>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color w:val="auto"/>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6"/>
        <w:rPr>
          <w:rFonts w:cs="仿宋" w:asciiTheme="minorEastAsia" w:hAnsiTheme="minorEastAsia"/>
          <w:color w:val="auto"/>
        </w:rPr>
      </w:pPr>
    </w:p>
    <w:p w14:paraId="7DA96E0B">
      <w:pPr>
        <w:rPr>
          <w:color w:val="auto"/>
        </w:rPr>
      </w:pPr>
    </w:p>
    <w:p w14:paraId="1B86D6A9">
      <w:pPr>
        <w:spacing w:line="360" w:lineRule="auto"/>
        <w:ind w:firstLine="32"/>
        <w:rPr>
          <w:rFonts w:hint="eastAsia" w:ascii="宋体" w:hAnsi="宋体" w:cs="宋体"/>
          <w:color w:val="auto"/>
          <w:sz w:val="24"/>
        </w:rPr>
      </w:pPr>
    </w:p>
    <w:p w14:paraId="095D3573">
      <w:pPr>
        <w:rPr>
          <w:rFonts w:hint="eastAsia"/>
          <w:color w:val="auto"/>
        </w:rPr>
      </w:pPr>
    </w:p>
    <w:p w14:paraId="0B058B88">
      <w:pPr>
        <w:rPr>
          <w:color w:val="auto"/>
        </w:rPr>
      </w:pPr>
    </w:p>
    <w:p w14:paraId="3B8E9096">
      <w:pPr>
        <w:pStyle w:val="7"/>
        <w:rPr>
          <w:color w:val="auto"/>
        </w:rPr>
      </w:pPr>
    </w:p>
    <w:p w14:paraId="0DD8DDC7">
      <w:pPr>
        <w:pStyle w:val="15"/>
        <w:rPr>
          <w:color w:val="auto"/>
        </w:rPr>
      </w:pPr>
    </w:p>
    <w:p w14:paraId="5F4E7760">
      <w:pPr>
        <w:pStyle w:val="16"/>
        <w:rPr>
          <w:color w:val="auto"/>
        </w:rPr>
      </w:pPr>
    </w:p>
    <w:p w14:paraId="3B048014">
      <w:pPr>
        <w:pStyle w:val="13"/>
        <w:rPr>
          <w:color w:val="auto"/>
        </w:rPr>
      </w:pPr>
    </w:p>
    <w:p w14:paraId="5C02A5ED">
      <w:pPr>
        <w:rPr>
          <w:color w:val="auto"/>
        </w:rPr>
      </w:pPr>
    </w:p>
    <w:p w14:paraId="557F8F3F">
      <w:pPr>
        <w:pStyle w:val="15"/>
        <w:rPr>
          <w:color w:val="auto"/>
        </w:rPr>
      </w:pPr>
    </w:p>
    <w:p w14:paraId="417C2072">
      <w:pPr>
        <w:rPr>
          <w:color w:val="auto"/>
        </w:rPr>
      </w:pPr>
    </w:p>
    <w:p w14:paraId="0AAC24FD">
      <w:pPr>
        <w:pStyle w:val="15"/>
        <w:rPr>
          <w:color w:val="auto"/>
        </w:rPr>
      </w:pPr>
    </w:p>
    <w:p w14:paraId="399D0E1E">
      <w:pPr>
        <w:rPr>
          <w:color w:val="auto"/>
        </w:rPr>
      </w:pPr>
    </w:p>
    <w:p w14:paraId="7E81C0E8">
      <w:pPr>
        <w:pStyle w:val="15"/>
        <w:rPr>
          <w:color w:val="auto"/>
        </w:rPr>
      </w:pPr>
    </w:p>
    <w:p w14:paraId="693BCFE6">
      <w:pPr>
        <w:rPr>
          <w:color w:val="auto"/>
        </w:rPr>
      </w:pPr>
    </w:p>
    <w:p w14:paraId="7797CB86">
      <w:pPr>
        <w:pStyle w:val="15"/>
        <w:jc w:val="both"/>
        <w:rPr>
          <w:color w:val="auto"/>
        </w:rPr>
      </w:pPr>
    </w:p>
    <w:p w14:paraId="17326062">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color w:val="auto"/>
          <w:sz w:val="32"/>
        </w:rPr>
      </w:pPr>
    </w:p>
    <w:p w14:paraId="4475554C">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r>
        <w:rPr>
          <w:rFonts w:hint="eastAsia" w:hAnsi="宋体" w:eastAsia="宋体" w:cs="宋体"/>
          <w:color w:val="auto"/>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color w:val="auto"/>
          <w:sz w:val="96"/>
          <w:szCs w:val="22"/>
        </w:rPr>
      </w:pPr>
    </w:p>
    <w:p w14:paraId="11C0D880">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53038DBD">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03201A77">
      <w:pPr>
        <w:spacing w:line="360" w:lineRule="auto"/>
        <w:rPr>
          <w:rFonts w:ascii="宋体" w:hAnsi="宋体" w:eastAsia="宋体" w:cs="宋体"/>
          <w:color w:val="auto"/>
          <w:sz w:val="44"/>
          <w:szCs w:val="44"/>
        </w:rPr>
      </w:pPr>
    </w:p>
    <w:p w14:paraId="4EC5A54A">
      <w:pPr>
        <w:spacing w:line="480" w:lineRule="auto"/>
        <w:ind w:firstLine="840" w:firstLineChars="300"/>
        <w:rPr>
          <w:rFonts w:ascii="宋体" w:hAnsi="宋体" w:eastAsia="宋体" w:cs="宋体"/>
          <w:color w:val="auto"/>
          <w:sz w:val="44"/>
          <w:szCs w:val="44"/>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2025年-2026年高压变频器维修服务采购项目</w:t>
      </w:r>
      <w:r>
        <w:rPr>
          <w:rFonts w:hint="eastAsia" w:ascii="宋体" w:hAnsi="宋体" w:eastAsia="宋体" w:cs="宋体"/>
          <w:color w:val="auto"/>
          <w:sz w:val="28"/>
          <w:szCs w:val="22"/>
          <w:u w:val="single"/>
        </w:rPr>
        <w:t xml:space="preserve">             </w:t>
      </w:r>
    </w:p>
    <w:p w14:paraId="2CD1F887">
      <w:pPr>
        <w:spacing w:line="480" w:lineRule="auto"/>
        <w:ind w:firstLine="840" w:firstLineChars="300"/>
        <w:rPr>
          <w:color w:val="auto"/>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202509033</w:t>
      </w:r>
      <w:r>
        <w:rPr>
          <w:rFonts w:hint="eastAsia" w:ascii="宋体" w:hAnsi="宋体" w:eastAsia="宋体" w:cs="宋体"/>
          <w:color w:val="auto"/>
          <w:sz w:val="28"/>
          <w:szCs w:val="22"/>
          <w:u w:val="single"/>
        </w:rPr>
        <w:t xml:space="preserve">           </w:t>
      </w:r>
    </w:p>
    <w:p w14:paraId="28FF634B">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27B30D64">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48D70C67">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36E865FC">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1B49927C">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061AD7D7">
      <w:pPr>
        <w:spacing w:line="360" w:lineRule="auto"/>
        <w:jc w:val="center"/>
        <w:outlineLvl w:val="0"/>
        <w:rPr>
          <w:rFonts w:cs="仿宋" w:asciiTheme="minorEastAsia" w:hAnsiTheme="minorEastAsia"/>
          <w:b/>
          <w:color w:val="auto"/>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5BC736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F62ADE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1884D5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47E18642">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5</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4B35134A">
      <w:pPr>
        <w:snapToGrid w:val="0"/>
        <w:spacing w:line="360" w:lineRule="auto"/>
        <w:rPr>
          <w:rFonts w:hint="eastAsia" w:cs="仿宋" w:asciiTheme="minorEastAsia" w:hAnsiTheme="minorEastAsia"/>
          <w:sz w:val="24"/>
        </w:rPr>
      </w:pPr>
    </w:p>
    <w:p w14:paraId="4702399B">
      <w:pPr>
        <w:pStyle w:val="7"/>
      </w:pPr>
    </w:p>
    <w:p w14:paraId="097C74BD">
      <w:pPr>
        <w:pStyle w:val="16"/>
      </w:pPr>
    </w:p>
    <w:p w14:paraId="23D6DA6A"/>
    <w:p w14:paraId="4F9109A5">
      <w:pPr>
        <w:pStyle w:val="7"/>
      </w:pPr>
    </w:p>
    <w:p w14:paraId="1F8C435C">
      <w:pPr>
        <w:pStyle w:val="16"/>
      </w:pPr>
    </w:p>
    <w:p w14:paraId="6C3C07B1"/>
    <w:p w14:paraId="486A3EFE">
      <w:pPr>
        <w:pStyle w:val="7"/>
      </w:pPr>
    </w:p>
    <w:p w14:paraId="2FF92284">
      <w:pPr>
        <w:pStyle w:val="16"/>
      </w:pPr>
    </w:p>
    <w:p w14:paraId="1754BE87"/>
    <w:p w14:paraId="4AE3BE49">
      <w:pPr>
        <w:pStyle w:val="7"/>
      </w:pPr>
    </w:p>
    <w:p w14:paraId="039C9471">
      <w:pPr>
        <w:pStyle w:val="7"/>
      </w:pPr>
    </w:p>
    <w:p w14:paraId="31C499D3">
      <w:pPr>
        <w:pStyle w:val="7"/>
      </w:pPr>
    </w:p>
    <w:p w14:paraId="00CEDDD6">
      <w:pPr>
        <w:pStyle w:val="7"/>
      </w:pPr>
    </w:p>
    <w:p w14:paraId="530FF8D9">
      <w:pPr>
        <w:pStyle w:val="7"/>
      </w:pPr>
    </w:p>
    <w:p w14:paraId="25BB239B">
      <w:pPr>
        <w:pStyle w:val="16"/>
      </w:pPr>
    </w:p>
    <w:p w14:paraId="366E2BA5">
      <w:pPr>
        <w:pStyle w:val="13"/>
      </w:pPr>
    </w:p>
    <w:p w14:paraId="68C2C9B9"/>
    <w:p w14:paraId="1B5F2D16"/>
    <w:p w14:paraId="4FC455A1"/>
    <w:p w14:paraId="4EC246BB"/>
    <w:p w14:paraId="1B9C9206"/>
    <w:p w14:paraId="6B49916C">
      <w:pPr>
        <w:pStyle w:val="7"/>
      </w:pPr>
    </w:p>
    <w:p w14:paraId="14CF5D26">
      <w:pPr>
        <w:pStyle w:val="13"/>
      </w:pPr>
    </w:p>
    <w:p w14:paraId="570FEE15"/>
    <w:p w14:paraId="38B04599">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662A7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60B8C5E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 xml:space="preserve"> 2025年-2026年高压变频器维修服务采购项目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202509033】</w:t>
      </w:r>
      <w:r>
        <w:rPr>
          <w:rFonts w:hint="eastAsia" w:cs="仿宋" w:asciiTheme="minorEastAsia" w:hAnsiTheme="minorEastAsia"/>
          <w:sz w:val="24"/>
        </w:rPr>
        <w:t>采购活动，郑重承诺：</w:t>
      </w:r>
    </w:p>
    <w:p w14:paraId="2BBFEC1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7113E1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395D51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5C902C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5A8AC3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91993A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58983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1C67D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97F185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70586A33">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7A9A6FF2">
      <w:pPr>
        <w:snapToGrid w:val="0"/>
        <w:spacing w:line="360" w:lineRule="auto"/>
        <w:ind w:firstLine="480" w:firstLineChars="200"/>
        <w:rPr>
          <w:rFonts w:hint="eastAsia" w:cs="仿宋" w:asciiTheme="minorEastAsia" w:hAnsiTheme="minorEastAsia"/>
          <w:sz w:val="24"/>
        </w:rPr>
      </w:pPr>
    </w:p>
    <w:p w14:paraId="49F6F590">
      <w:pPr>
        <w:snapToGrid w:val="0"/>
        <w:spacing w:line="360" w:lineRule="auto"/>
        <w:ind w:firstLine="480" w:firstLineChars="200"/>
        <w:rPr>
          <w:rFonts w:hint="eastAsia" w:cs="仿宋" w:asciiTheme="minorEastAsia" w:hAnsiTheme="minorEastAsia"/>
          <w:sz w:val="24"/>
        </w:rPr>
      </w:pPr>
    </w:p>
    <w:p w14:paraId="1AA7BC53">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764C50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843ABC7">
      <w:pPr>
        <w:snapToGrid w:val="0"/>
        <w:spacing w:line="360" w:lineRule="auto"/>
        <w:ind w:right="480"/>
        <w:jc w:val="center"/>
        <w:rPr>
          <w:rFonts w:cs="仿宋" w:asciiTheme="minorEastAsia" w:hAnsiTheme="minorEastAsia"/>
          <w:b/>
          <w:kern w:val="0"/>
          <w:sz w:val="32"/>
          <w:szCs w:val="32"/>
        </w:rPr>
      </w:pPr>
    </w:p>
    <w:p w14:paraId="13D823D9"/>
    <w:p w14:paraId="4F4DBC45">
      <w:pPr>
        <w:pStyle w:val="15"/>
        <w:jc w:val="both"/>
        <w:rPr>
          <w:rFonts w:hint="default" w:eastAsiaTheme="minorEastAsia"/>
          <w:lang w:val="en-US" w:eastAsia="zh-CN"/>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66693D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jc w:val="both"/>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6AF933B3">
            <w:pPr>
              <w:pStyle w:val="28"/>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bCs/>
                <w:color w:val="auto"/>
                <w:sz w:val="24"/>
                <w:u w:val="single"/>
                <w:lang w:val="en-US" w:eastAsia="zh-CN"/>
              </w:rPr>
              <w:t>供应商提供自2023年1月1日起至少完成过1例SIEMENS（西门子）6SR55002系列高压变频器维修的业绩（同时提供合同复印件）</w:t>
            </w:r>
          </w:p>
        </w:tc>
      </w:tr>
    </w:tbl>
    <w:p w14:paraId="13288DDD">
      <w:pPr>
        <w:rPr>
          <w:color w:val="auto"/>
        </w:rPr>
      </w:pPr>
    </w:p>
    <w:p w14:paraId="6327B076">
      <w:pPr>
        <w:pStyle w:val="7"/>
        <w:rPr>
          <w:color w:val="auto"/>
        </w:rPr>
      </w:pPr>
    </w:p>
    <w:p w14:paraId="47D0765C">
      <w:pPr>
        <w:pStyle w:val="16"/>
        <w:rPr>
          <w:color w:val="auto"/>
        </w:rPr>
      </w:pPr>
    </w:p>
    <w:p w14:paraId="7D27C15D">
      <w:pPr>
        <w:rPr>
          <w:color w:val="auto"/>
        </w:rPr>
      </w:pPr>
    </w:p>
    <w:p w14:paraId="0F203A3F">
      <w:pPr>
        <w:rPr>
          <w:color w:val="auto"/>
        </w:rPr>
      </w:pPr>
    </w:p>
    <w:p w14:paraId="6643C092">
      <w:pPr>
        <w:rPr>
          <w:color w:val="auto"/>
        </w:rPr>
      </w:pPr>
    </w:p>
    <w:p w14:paraId="6C1D4740">
      <w:pPr>
        <w:rPr>
          <w:color w:val="auto"/>
        </w:rPr>
      </w:pPr>
    </w:p>
    <w:p w14:paraId="36705A43">
      <w:pPr>
        <w:rPr>
          <w:color w:val="auto"/>
        </w:rPr>
      </w:pPr>
    </w:p>
    <w:p w14:paraId="16B2449E">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E6877A5">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57F7BC14">
            <w:pPr>
              <w:pStyle w:val="28"/>
              <w:adjustRightInd w:val="0"/>
              <w:spacing w:line="360" w:lineRule="auto"/>
              <w:ind w:firstLine="480" w:firstLineChars="200"/>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5D25C9E">
      <w:pPr>
        <w:pStyle w:val="7"/>
        <w:rPr>
          <w:color w:val="auto"/>
        </w:rPr>
      </w:pPr>
    </w:p>
    <w:p w14:paraId="464D47F2">
      <w:pPr>
        <w:pStyle w:val="16"/>
        <w:rPr>
          <w:color w:val="auto"/>
        </w:rPr>
      </w:pPr>
    </w:p>
    <w:p w14:paraId="6B511750">
      <w:pPr>
        <w:rPr>
          <w:color w:val="auto"/>
        </w:rPr>
      </w:pPr>
    </w:p>
    <w:p w14:paraId="05A7B796">
      <w:pPr>
        <w:pStyle w:val="7"/>
        <w:rPr>
          <w:color w:val="auto"/>
        </w:rPr>
      </w:pPr>
    </w:p>
    <w:p w14:paraId="4D799C87">
      <w:pPr>
        <w:pStyle w:val="16"/>
        <w:rPr>
          <w:color w:val="auto"/>
        </w:rPr>
      </w:pPr>
    </w:p>
    <w:p w14:paraId="13457C2E">
      <w:pPr>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6162F3A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3BDB4CD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208F23B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7436AC4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5F01CAD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214C4C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14:paraId="2723BDEF">
      <w:pPr>
        <w:pStyle w:val="16"/>
        <w:rPr>
          <w:color w:val="auto"/>
        </w:rPr>
      </w:pPr>
    </w:p>
    <w:p w14:paraId="1AF3AAEA">
      <w:pPr>
        <w:rPr>
          <w:color w:val="auto"/>
        </w:rPr>
      </w:pPr>
    </w:p>
    <w:p w14:paraId="3DAA4E90">
      <w:pPr>
        <w:pStyle w:val="7"/>
        <w:rPr>
          <w:color w:val="auto"/>
        </w:rPr>
      </w:pPr>
    </w:p>
    <w:p w14:paraId="150574DA">
      <w:pPr>
        <w:pStyle w:val="16"/>
        <w:rPr>
          <w:color w:val="auto"/>
        </w:rPr>
      </w:pPr>
    </w:p>
    <w:p w14:paraId="0FCCF493">
      <w:pPr>
        <w:rPr>
          <w:color w:val="auto"/>
        </w:rPr>
      </w:pPr>
    </w:p>
    <w:p w14:paraId="51228414">
      <w:pPr>
        <w:pStyle w:val="7"/>
        <w:rPr>
          <w:color w:val="auto"/>
        </w:rPr>
      </w:pPr>
    </w:p>
    <w:p w14:paraId="13BDD14E">
      <w:pPr>
        <w:pStyle w:val="16"/>
        <w:rPr>
          <w:color w:val="auto"/>
        </w:rPr>
      </w:pPr>
    </w:p>
    <w:p w14:paraId="10ADC365">
      <w:pPr>
        <w:rPr>
          <w:color w:val="auto"/>
        </w:rPr>
      </w:pPr>
    </w:p>
    <w:p w14:paraId="52796060">
      <w:pPr>
        <w:pStyle w:val="7"/>
        <w:rPr>
          <w:color w:val="auto"/>
        </w:rPr>
      </w:pPr>
    </w:p>
    <w:p w14:paraId="167C8E6F">
      <w:pPr>
        <w:pStyle w:val="16"/>
        <w:rPr>
          <w:color w:val="auto"/>
        </w:rPr>
      </w:pPr>
    </w:p>
    <w:p w14:paraId="48F033E4">
      <w:pPr>
        <w:rPr>
          <w:color w:val="auto"/>
        </w:rPr>
      </w:pPr>
    </w:p>
    <w:p w14:paraId="0979F993">
      <w:pPr>
        <w:pStyle w:val="7"/>
        <w:rPr>
          <w:color w:val="auto"/>
        </w:rPr>
      </w:pPr>
    </w:p>
    <w:p w14:paraId="22F6FCB8">
      <w:pPr>
        <w:pStyle w:val="16"/>
        <w:rPr>
          <w:color w:val="auto"/>
        </w:rPr>
      </w:pPr>
    </w:p>
    <w:p w14:paraId="0BF102AE">
      <w:pPr>
        <w:pStyle w:val="13"/>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6F28F61A">
      <w:pPr>
        <w:pStyle w:val="13"/>
        <w:rPr>
          <w:color w:val="auto"/>
        </w:rPr>
      </w:pPr>
    </w:p>
    <w:p w14:paraId="12E7506A">
      <w:pPr>
        <w:rPr>
          <w:color w:val="auto"/>
        </w:rPr>
      </w:pPr>
    </w:p>
    <w:p w14:paraId="4082958C">
      <w:pPr>
        <w:rPr>
          <w:color w:val="auto"/>
        </w:rPr>
      </w:pPr>
    </w:p>
    <w:p w14:paraId="2C523FF3">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w:t>
      </w:r>
      <w:r>
        <w:rPr>
          <w:rFonts w:hint="eastAsia" w:cs="仿宋" w:asciiTheme="minorEastAsia" w:hAnsiTheme="minorEastAsia"/>
          <w:color w:val="auto"/>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16"/>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16"/>
        <w:rPr>
          <w:rFonts w:hint="eastAsia"/>
          <w:color w:val="auto"/>
          <w:lang w:val="zh-CN"/>
        </w:rPr>
      </w:pPr>
    </w:p>
    <w:p w14:paraId="5991269C">
      <w:pPr>
        <w:rPr>
          <w:color w:val="auto"/>
        </w:rPr>
      </w:pPr>
    </w:p>
    <w:p w14:paraId="7C352615">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8"/>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13935CE">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8"/>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654DE0C6">
      <w:pPr>
        <w:spacing w:line="360" w:lineRule="auto"/>
        <w:jc w:val="center"/>
        <w:rPr>
          <w:rFonts w:hint="eastAsia" w:cs="仿宋" w:asciiTheme="minorEastAsia" w:hAnsiTheme="minorEastAsia"/>
          <w:b/>
          <w:color w:val="auto"/>
          <w:kern w:val="0"/>
          <w:sz w:val="24"/>
          <w:lang w:val="zh-CN"/>
        </w:rPr>
      </w:pPr>
    </w:p>
    <w:tbl>
      <w:tblPr>
        <w:tblStyle w:val="17"/>
        <w:tblW w:w="15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488"/>
        <w:gridCol w:w="2010"/>
        <w:gridCol w:w="2175"/>
        <w:gridCol w:w="795"/>
        <w:gridCol w:w="630"/>
        <w:gridCol w:w="1320"/>
        <w:gridCol w:w="2025"/>
        <w:gridCol w:w="3903"/>
      </w:tblGrid>
      <w:tr w14:paraId="40F7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8E64">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 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F28B">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维修</w:t>
            </w:r>
            <w:r>
              <w:rPr>
                <w:rFonts w:hint="eastAsia" w:asciiTheme="minorEastAsia" w:hAnsiTheme="minorEastAsia" w:cstheme="minorEastAsia"/>
                <w:b/>
                <w:bCs/>
                <w:i w:val="0"/>
                <w:iCs w:val="0"/>
                <w:color w:val="auto"/>
                <w:kern w:val="0"/>
                <w:sz w:val="21"/>
                <w:szCs w:val="21"/>
                <w:u w:val="none"/>
                <w:lang w:val="en-US" w:eastAsia="zh-CN" w:bidi="ar"/>
              </w:rPr>
              <w:t>内容</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EE57">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品牌</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BDC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1337">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暂定</w:t>
            </w: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B472">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CFCA">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单价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3F85">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金额</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620C">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6148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A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2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ZLJM-400D 1Z</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D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7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D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6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75E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10FB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4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8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ZLJM-200D 1Z</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6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9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E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9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A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0573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5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E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功率单元45A有旁路</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E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9LD9000-0AE01-0AAD</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D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2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1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D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5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A8D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E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7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8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0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65R0960-0LM11-0AM0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7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C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E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0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1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3BC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F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9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5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4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65R0960-0LM12-0AM0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5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F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0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9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1F11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C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8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A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E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6SR0960-0LM14-0AM0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7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F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6EBC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1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B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1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6SR0960-0LM15-0AM0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6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8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C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4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3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4539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3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9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D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65R0960-0LM10-0AM0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6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D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6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A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C3A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6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3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5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9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6SR0960-0LM13-0AM0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2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C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0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E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3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7724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4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0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3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3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65R0960-0LM16-0AM0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F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1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8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7BD1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7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I/0板</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4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B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6SR0960-0CC07-1ADO</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2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D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7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F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4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452D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D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6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系统接口板</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9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B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65R0960-0CC16-0AD0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9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A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9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F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439D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6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触摸屏</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C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F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6AV2143-6GAD0-0SNO</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C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D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4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C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53D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C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8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控制电源</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D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7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K40153A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8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8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B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B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836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4D3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B1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维修工时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6FD6">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AAE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0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cstheme="minorEastAsia"/>
                <w:i w:val="0"/>
                <w:iCs w:val="0"/>
                <w:color w:val="auto"/>
                <w:sz w:val="21"/>
                <w:szCs w:val="21"/>
                <w:u w:val="none"/>
                <w:lang w:val="en-US" w:eastAsia="zh-CN"/>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4F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C92C">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DC95">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A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color w:val="auto"/>
                <w:sz w:val="21"/>
                <w:szCs w:val="21"/>
                <w:highlight w:val="none"/>
                <w:lang w:val="en-US" w:eastAsia="zh-CN"/>
              </w:rPr>
              <w:t>为故障排除、旧配件更换、新配件调试服务</w:t>
            </w:r>
            <w:r>
              <w:rPr>
                <w:rFonts w:hint="eastAsia" w:asciiTheme="minorEastAsia" w:hAnsiTheme="minorEastAsia" w:eastAsiaTheme="minorEastAsia" w:cstheme="minorEastAsia"/>
                <w:i w:val="0"/>
                <w:iCs w:val="0"/>
                <w:color w:val="auto"/>
                <w:kern w:val="0"/>
                <w:sz w:val="21"/>
                <w:szCs w:val="21"/>
                <w:u w:val="none"/>
                <w:lang w:val="en-US" w:eastAsia="zh-CN" w:bidi="ar"/>
              </w:rPr>
              <w:t>费用</w:t>
            </w:r>
            <w:r>
              <w:rPr>
                <w:rFonts w:hint="eastAsia" w:asciiTheme="minorEastAsia" w:hAnsiTheme="minorEastAsia" w:cstheme="minorEastAsia"/>
                <w:i w:val="0"/>
                <w:iCs w:val="0"/>
                <w:color w:val="auto"/>
                <w:kern w:val="0"/>
                <w:sz w:val="21"/>
                <w:szCs w:val="21"/>
                <w:u w:val="none"/>
                <w:lang w:val="en-US" w:eastAsia="zh-CN" w:bidi="ar"/>
              </w:rPr>
              <w:t>，不足半天按半天计算，超过半天不足1天，按1天计算。</w:t>
            </w:r>
          </w:p>
        </w:tc>
      </w:tr>
      <w:tr w14:paraId="79B6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4C2">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r>
              <w:rPr>
                <w:rFonts w:hint="eastAsia" w:cs="仿宋" w:asciiTheme="minorEastAsia" w:hAnsiTheme="minorEastAsia"/>
                <w:b/>
                <w:sz w:val="24"/>
              </w:rPr>
              <w:t>响应报价合计（小写）</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EBD7">
            <w:pPr>
              <w:keepNext w:val="0"/>
              <w:keepLines w:val="0"/>
              <w:widowControl/>
              <w:suppressLineNumbers w:val="0"/>
              <w:jc w:val="center"/>
              <w:textAlignment w:val="center"/>
              <w:rPr>
                <w:rFonts w:hint="eastAsia"/>
                <w:color w:val="auto"/>
                <w:sz w:val="21"/>
                <w:szCs w:val="21"/>
                <w:highlight w:val="none"/>
                <w:lang w:val="en-US" w:eastAsia="zh-CN"/>
              </w:rPr>
            </w:pPr>
          </w:p>
        </w:tc>
      </w:tr>
      <w:tr w14:paraId="3032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1834">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r>
              <w:rPr>
                <w:rFonts w:hint="eastAsia" w:cs="仿宋" w:asciiTheme="minorEastAsia" w:hAnsiTheme="minorEastAsia"/>
                <w:b/>
                <w:sz w:val="24"/>
              </w:rPr>
              <w:t>响应报价合计（大写）</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F584">
            <w:pPr>
              <w:keepNext w:val="0"/>
              <w:keepLines w:val="0"/>
              <w:widowControl/>
              <w:suppressLineNumbers w:val="0"/>
              <w:jc w:val="center"/>
              <w:textAlignment w:val="center"/>
              <w:rPr>
                <w:rFonts w:hint="eastAsia"/>
                <w:color w:val="auto"/>
                <w:sz w:val="21"/>
                <w:szCs w:val="21"/>
                <w:highlight w:val="none"/>
                <w:lang w:val="en-US" w:eastAsia="zh-CN"/>
              </w:rPr>
            </w:pPr>
          </w:p>
        </w:tc>
      </w:tr>
      <w:tr w14:paraId="36C9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EC67">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r>
              <w:rPr>
                <w:rFonts w:hint="eastAsia" w:cs="仿宋" w:asciiTheme="minorEastAsia" w:hAnsiTheme="minorEastAsia"/>
                <w:b/>
                <w:sz w:val="24"/>
              </w:rPr>
              <w:t>税率</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5180">
            <w:pPr>
              <w:keepNext w:val="0"/>
              <w:keepLines w:val="0"/>
              <w:widowControl/>
              <w:suppressLineNumbers w:val="0"/>
              <w:jc w:val="center"/>
              <w:textAlignment w:val="center"/>
              <w:rPr>
                <w:rFonts w:hint="eastAsia"/>
                <w:color w:val="auto"/>
                <w:sz w:val="21"/>
                <w:szCs w:val="21"/>
                <w:highlight w:val="none"/>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税率满足税法中设备修理修配的要求</w:t>
            </w:r>
          </w:p>
        </w:tc>
      </w:tr>
    </w:tbl>
    <w:p w14:paraId="240D7432">
      <w:pPr>
        <w:spacing w:line="360" w:lineRule="auto"/>
        <w:jc w:val="both"/>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1099865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hAnsi="宋体" w:cs="宋体"/>
          <w:b/>
          <w:color w:val="auto"/>
          <w:sz w:val="32"/>
          <w:szCs w:val="32"/>
          <w:lang w:val="en-US" w:eastAsia="zh-CN"/>
        </w:rPr>
        <w:t xml:space="preserve">附件1          </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A39997A">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207B0A"/>
    <w:rsid w:val="013D6280"/>
    <w:rsid w:val="017D63B7"/>
    <w:rsid w:val="023E1286"/>
    <w:rsid w:val="03272182"/>
    <w:rsid w:val="046A1781"/>
    <w:rsid w:val="04B416F3"/>
    <w:rsid w:val="04E634F4"/>
    <w:rsid w:val="05150472"/>
    <w:rsid w:val="05155F8B"/>
    <w:rsid w:val="05171224"/>
    <w:rsid w:val="051B17AF"/>
    <w:rsid w:val="0706436A"/>
    <w:rsid w:val="074C5A77"/>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47D28"/>
    <w:rsid w:val="0C492847"/>
    <w:rsid w:val="0C554576"/>
    <w:rsid w:val="0D24423D"/>
    <w:rsid w:val="0D361BEB"/>
    <w:rsid w:val="0D41674E"/>
    <w:rsid w:val="0E8F6EF5"/>
    <w:rsid w:val="0F095788"/>
    <w:rsid w:val="0F5E496A"/>
    <w:rsid w:val="0F81598B"/>
    <w:rsid w:val="10947BCD"/>
    <w:rsid w:val="10BE08E9"/>
    <w:rsid w:val="110E365F"/>
    <w:rsid w:val="1157552B"/>
    <w:rsid w:val="11EC0AD6"/>
    <w:rsid w:val="13064D3F"/>
    <w:rsid w:val="1399374C"/>
    <w:rsid w:val="13FF5068"/>
    <w:rsid w:val="14521AA0"/>
    <w:rsid w:val="146C41CB"/>
    <w:rsid w:val="15003014"/>
    <w:rsid w:val="151C246E"/>
    <w:rsid w:val="15755BD2"/>
    <w:rsid w:val="15BE749A"/>
    <w:rsid w:val="15E02F18"/>
    <w:rsid w:val="166F3635"/>
    <w:rsid w:val="185A544F"/>
    <w:rsid w:val="18890233"/>
    <w:rsid w:val="18C36977"/>
    <w:rsid w:val="198737C7"/>
    <w:rsid w:val="19DC6BDA"/>
    <w:rsid w:val="1AA56FDE"/>
    <w:rsid w:val="1B7913A6"/>
    <w:rsid w:val="1BA20C87"/>
    <w:rsid w:val="1BEF726B"/>
    <w:rsid w:val="1C4E77C9"/>
    <w:rsid w:val="1C742A28"/>
    <w:rsid w:val="1CAA3340"/>
    <w:rsid w:val="1CC1412F"/>
    <w:rsid w:val="1CD34128"/>
    <w:rsid w:val="1CDE6781"/>
    <w:rsid w:val="1D7F577D"/>
    <w:rsid w:val="1D987ACC"/>
    <w:rsid w:val="1DB44831"/>
    <w:rsid w:val="1DEB283E"/>
    <w:rsid w:val="1DF91700"/>
    <w:rsid w:val="1E6502C0"/>
    <w:rsid w:val="1E892D3B"/>
    <w:rsid w:val="1F29161A"/>
    <w:rsid w:val="1F457921"/>
    <w:rsid w:val="20284B0B"/>
    <w:rsid w:val="21153ED8"/>
    <w:rsid w:val="215324A5"/>
    <w:rsid w:val="21677697"/>
    <w:rsid w:val="22317E84"/>
    <w:rsid w:val="229536BA"/>
    <w:rsid w:val="22A244DC"/>
    <w:rsid w:val="2315576F"/>
    <w:rsid w:val="235037EB"/>
    <w:rsid w:val="235E195C"/>
    <w:rsid w:val="2378337E"/>
    <w:rsid w:val="23AE001C"/>
    <w:rsid w:val="23AE2BED"/>
    <w:rsid w:val="23BA3CAF"/>
    <w:rsid w:val="249017C8"/>
    <w:rsid w:val="251A0B90"/>
    <w:rsid w:val="25251AF7"/>
    <w:rsid w:val="25C26B32"/>
    <w:rsid w:val="267D3E62"/>
    <w:rsid w:val="272E083D"/>
    <w:rsid w:val="284A39BF"/>
    <w:rsid w:val="28A354BE"/>
    <w:rsid w:val="28AB7B92"/>
    <w:rsid w:val="298D0BC4"/>
    <w:rsid w:val="2A1060BE"/>
    <w:rsid w:val="2A6366FF"/>
    <w:rsid w:val="2A6807FA"/>
    <w:rsid w:val="2ADC7B46"/>
    <w:rsid w:val="2B32649C"/>
    <w:rsid w:val="2B9B5E5B"/>
    <w:rsid w:val="2BDA5141"/>
    <w:rsid w:val="2C270527"/>
    <w:rsid w:val="2C4141D8"/>
    <w:rsid w:val="2D0347D2"/>
    <w:rsid w:val="2D682F2F"/>
    <w:rsid w:val="2E3C1B78"/>
    <w:rsid w:val="2EA152A3"/>
    <w:rsid w:val="2F1F33A8"/>
    <w:rsid w:val="2F451D68"/>
    <w:rsid w:val="2F5836E9"/>
    <w:rsid w:val="2F7610B9"/>
    <w:rsid w:val="2F7A10AB"/>
    <w:rsid w:val="2F7C7D05"/>
    <w:rsid w:val="30123142"/>
    <w:rsid w:val="302169BE"/>
    <w:rsid w:val="304A7E50"/>
    <w:rsid w:val="314B6E80"/>
    <w:rsid w:val="31BF0628"/>
    <w:rsid w:val="320E0F47"/>
    <w:rsid w:val="32843E96"/>
    <w:rsid w:val="3296663A"/>
    <w:rsid w:val="32C93C79"/>
    <w:rsid w:val="32D33460"/>
    <w:rsid w:val="346671FA"/>
    <w:rsid w:val="350F723F"/>
    <w:rsid w:val="351F7AFD"/>
    <w:rsid w:val="352F03C1"/>
    <w:rsid w:val="35B75F88"/>
    <w:rsid w:val="36162BCB"/>
    <w:rsid w:val="361749EF"/>
    <w:rsid w:val="363646DC"/>
    <w:rsid w:val="363B4DE8"/>
    <w:rsid w:val="36412810"/>
    <w:rsid w:val="365270C2"/>
    <w:rsid w:val="36A32180"/>
    <w:rsid w:val="36BD312A"/>
    <w:rsid w:val="36C96732"/>
    <w:rsid w:val="37396C72"/>
    <w:rsid w:val="37514AF4"/>
    <w:rsid w:val="37626EA4"/>
    <w:rsid w:val="377C0298"/>
    <w:rsid w:val="37F61CA1"/>
    <w:rsid w:val="394A64EB"/>
    <w:rsid w:val="39C31C6C"/>
    <w:rsid w:val="3B717790"/>
    <w:rsid w:val="3C283344"/>
    <w:rsid w:val="3C3420E0"/>
    <w:rsid w:val="3C485F9D"/>
    <w:rsid w:val="3C4E2A76"/>
    <w:rsid w:val="3C7C70D7"/>
    <w:rsid w:val="3CB84BBF"/>
    <w:rsid w:val="3D3879AE"/>
    <w:rsid w:val="3D9C32C8"/>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9E41602"/>
    <w:rsid w:val="4A035B02"/>
    <w:rsid w:val="4A4167FA"/>
    <w:rsid w:val="4AE27CAC"/>
    <w:rsid w:val="4B847BE2"/>
    <w:rsid w:val="4BAC2FDD"/>
    <w:rsid w:val="4BAC48C9"/>
    <w:rsid w:val="4CAA0A32"/>
    <w:rsid w:val="4D6C64F8"/>
    <w:rsid w:val="4E191EC4"/>
    <w:rsid w:val="4EA9254B"/>
    <w:rsid w:val="4EE05E69"/>
    <w:rsid w:val="4F251D5C"/>
    <w:rsid w:val="4FD65994"/>
    <w:rsid w:val="4FEB08B0"/>
    <w:rsid w:val="50247551"/>
    <w:rsid w:val="50772E11"/>
    <w:rsid w:val="50886E1D"/>
    <w:rsid w:val="50D545B6"/>
    <w:rsid w:val="50F73478"/>
    <w:rsid w:val="513B5867"/>
    <w:rsid w:val="51454B8D"/>
    <w:rsid w:val="514563A8"/>
    <w:rsid w:val="51666ED2"/>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D1252B2"/>
    <w:rsid w:val="5D57437D"/>
    <w:rsid w:val="5EA617F0"/>
    <w:rsid w:val="5EE1570B"/>
    <w:rsid w:val="5EFD2476"/>
    <w:rsid w:val="5F0279C4"/>
    <w:rsid w:val="5F8032CE"/>
    <w:rsid w:val="5F944466"/>
    <w:rsid w:val="6139287F"/>
    <w:rsid w:val="61C61218"/>
    <w:rsid w:val="61F56B7E"/>
    <w:rsid w:val="62121B84"/>
    <w:rsid w:val="62CB7D8B"/>
    <w:rsid w:val="63CF15A0"/>
    <w:rsid w:val="63EE0475"/>
    <w:rsid w:val="64CD2ABF"/>
    <w:rsid w:val="64EF09EB"/>
    <w:rsid w:val="657B7ADB"/>
    <w:rsid w:val="660E4A3F"/>
    <w:rsid w:val="673E5F91"/>
    <w:rsid w:val="679754A0"/>
    <w:rsid w:val="67D649B5"/>
    <w:rsid w:val="689618A9"/>
    <w:rsid w:val="68C66552"/>
    <w:rsid w:val="69345B52"/>
    <w:rsid w:val="697C3173"/>
    <w:rsid w:val="6A4E3ABD"/>
    <w:rsid w:val="6A800FB2"/>
    <w:rsid w:val="6A9D6924"/>
    <w:rsid w:val="6ABD4230"/>
    <w:rsid w:val="6ABF2969"/>
    <w:rsid w:val="6AE63D7E"/>
    <w:rsid w:val="6B19056F"/>
    <w:rsid w:val="6B462C2B"/>
    <w:rsid w:val="6BD746DF"/>
    <w:rsid w:val="6BDC6E7B"/>
    <w:rsid w:val="6CCE16FF"/>
    <w:rsid w:val="6CEB080D"/>
    <w:rsid w:val="6D893D5F"/>
    <w:rsid w:val="6DA6506A"/>
    <w:rsid w:val="6DD22AEB"/>
    <w:rsid w:val="6DF523F6"/>
    <w:rsid w:val="6EAC75B8"/>
    <w:rsid w:val="6ED96A34"/>
    <w:rsid w:val="6F502166"/>
    <w:rsid w:val="700D088C"/>
    <w:rsid w:val="700E4F44"/>
    <w:rsid w:val="70173239"/>
    <w:rsid w:val="70FC24C5"/>
    <w:rsid w:val="71A36DE5"/>
    <w:rsid w:val="721A5B23"/>
    <w:rsid w:val="724711E0"/>
    <w:rsid w:val="72B66A47"/>
    <w:rsid w:val="72B931C1"/>
    <w:rsid w:val="737D3686"/>
    <w:rsid w:val="738D03F5"/>
    <w:rsid w:val="7420296E"/>
    <w:rsid w:val="7431692A"/>
    <w:rsid w:val="74435A84"/>
    <w:rsid w:val="748C230F"/>
    <w:rsid w:val="75A606A0"/>
    <w:rsid w:val="764022FF"/>
    <w:rsid w:val="767E5B01"/>
    <w:rsid w:val="779944AF"/>
    <w:rsid w:val="78160310"/>
    <w:rsid w:val="785A54C0"/>
    <w:rsid w:val="78D32916"/>
    <w:rsid w:val="78FD6DDA"/>
    <w:rsid w:val="79DF4732"/>
    <w:rsid w:val="79EA0610"/>
    <w:rsid w:val="79EB254B"/>
    <w:rsid w:val="79F044D8"/>
    <w:rsid w:val="7AF4716D"/>
    <w:rsid w:val="7AF75924"/>
    <w:rsid w:val="7B2031F9"/>
    <w:rsid w:val="7B610513"/>
    <w:rsid w:val="7BA82ABD"/>
    <w:rsid w:val="7BB860EE"/>
    <w:rsid w:val="7C280AA5"/>
    <w:rsid w:val="7C662D96"/>
    <w:rsid w:val="7C821F38"/>
    <w:rsid w:val="7CFD5C38"/>
    <w:rsid w:val="7D601AD6"/>
    <w:rsid w:val="7D713C29"/>
    <w:rsid w:val="7D797C2B"/>
    <w:rsid w:val="7D810EAC"/>
    <w:rsid w:val="7D955BFE"/>
    <w:rsid w:val="7DAC6A56"/>
    <w:rsid w:val="7E0230E5"/>
    <w:rsid w:val="7E1A3F8B"/>
    <w:rsid w:val="7E5A6A7D"/>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toc 8"/>
    <w:basedOn w:val="1"/>
    <w:next w:val="1"/>
    <w:unhideWhenUsed/>
    <w:qFormat/>
    <w:uiPriority w:val="39"/>
    <w:pPr>
      <w:ind w:left="1680"/>
      <w:jc w:val="left"/>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3"/>
    <w:autoRedefine/>
    <w:qFormat/>
    <w:uiPriority w:val="0"/>
  </w:style>
  <w:style w:type="character" w:customStyle="1" w:styleId="33">
    <w:name w:val="font21"/>
    <w:basedOn w:val="19"/>
    <w:qFormat/>
    <w:uiPriority w:val="0"/>
    <w:rPr>
      <w:rFonts w:hint="eastAsia" w:ascii="宋体" w:hAnsi="宋体" w:eastAsia="宋体" w:cs="宋体"/>
      <w:color w:val="000000"/>
      <w:sz w:val="21"/>
      <w:szCs w:val="21"/>
      <w:u w:val="none"/>
    </w:rPr>
  </w:style>
  <w:style w:type="character" w:customStyle="1" w:styleId="34">
    <w:name w:val="font31"/>
    <w:basedOn w:val="19"/>
    <w:qFormat/>
    <w:uiPriority w:val="0"/>
    <w:rPr>
      <w:rFonts w:hint="eastAsia" w:ascii="宋体" w:hAnsi="宋体" w:eastAsia="宋体" w:cs="宋体"/>
      <w:color w:val="000000"/>
      <w:sz w:val="22"/>
      <w:szCs w:val="22"/>
      <w:u w:val="none"/>
    </w:rPr>
  </w:style>
  <w:style w:type="character" w:customStyle="1" w:styleId="35">
    <w:name w:val="font51"/>
    <w:basedOn w:val="19"/>
    <w:qFormat/>
    <w:uiPriority w:val="0"/>
    <w:rPr>
      <w:rFonts w:hint="default" w:ascii="Arial" w:hAnsi="Arial" w:cs="Arial"/>
      <w:color w:val="000000"/>
      <w:sz w:val="22"/>
      <w:szCs w:val="22"/>
      <w:u w:val="none"/>
    </w:rPr>
  </w:style>
  <w:style w:type="character" w:customStyle="1" w:styleId="36">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5109</Words>
  <Characters>5670</Characters>
  <Lines>0</Lines>
  <Paragraphs>0</Paragraphs>
  <TotalTime>2</TotalTime>
  <ScaleCrop>false</ScaleCrop>
  <LinksUpToDate>false</LinksUpToDate>
  <CharactersWithSpaces>5791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2025-09-29T03:17:35Z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4AA2F08862FA4CE3915A8DBC408A7B67_13</vt:lpwstr>
  </property>
  <property fmtid="{D5CDD505-2E9C-101B-9397-08002B2CF9AE}" pid="4" name="KSOTemplateDocerSaveRecord">
    <vt:lpwstr>eyJoZGlkIjoiNjkxYzBlMWM5MmQ4YTg5MjNmOTgyNWE1ODY2ZmJkNmIiLCJ1c2VySWQiOiI2NjM1OTQ2NjkifQ==</vt:lpwstr>
  </property>
</Properties>
</file>