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2025-2026年蓄能器等液压备件采购项目（第二次）</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202509034</w:t>
      </w:r>
    </w:p>
    <w:p>
      <w:pPr>
        <w:spacing w:line="360" w:lineRule="auto"/>
        <w:jc w:val="center"/>
        <w:rPr>
          <w:rFonts w:cs="仿宋" w:asciiTheme="minorEastAsia" w:hAnsiTheme="minorEastAsia"/>
          <w:b/>
          <w:bCs/>
          <w:sz w:val="72"/>
          <w:szCs w:val="72"/>
        </w:rPr>
      </w:pPr>
    </w:p>
    <w:p>
      <w:pPr>
        <w:pStyle w:val="8"/>
        <w:rPr>
          <w:rFonts w:asciiTheme="minorEastAsia" w:hAnsiTheme="minorEastAsia"/>
        </w:rPr>
      </w:pPr>
    </w:p>
    <w:p>
      <w:pPr>
        <w:spacing w:line="360" w:lineRule="auto"/>
        <w:jc w:val="center"/>
        <w:rPr>
          <w:rFonts w:cs="仿宋" w:asciiTheme="minorEastAsia" w:hAnsiTheme="minorEastAsia"/>
          <w:b/>
          <w:bCs/>
          <w:sz w:val="72"/>
          <w:szCs w:val="72"/>
        </w:rPr>
      </w:pPr>
    </w:p>
    <w:p>
      <w:pPr>
        <w:pStyle w:val="11"/>
      </w:pPr>
    </w:p>
    <w:p/>
    <w:p>
      <w:pPr>
        <w:pStyle w:val="11"/>
      </w:pPr>
    </w:p>
    <w:p/>
    <w:p>
      <w:pPr>
        <w:spacing w:line="360" w:lineRule="auto"/>
        <w:rPr>
          <w:rFonts w:cs="仿宋" w:asciiTheme="minorEastAsia" w:hAnsiTheme="minorEastAsia"/>
          <w:sz w:val="24"/>
        </w:rPr>
      </w:pPr>
    </w:p>
    <w:p>
      <w:pPr>
        <w:pStyle w:val="11"/>
        <w:rPr>
          <w:rFonts w:cs="仿宋" w:asciiTheme="minorEastAsia" w:hAnsiTheme="minorEastAsia"/>
          <w:sz w:val="24"/>
          <w:szCs w:val="24"/>
        </w:rPr>
      </w:pPr>
    </w:p>
    <w:p>
      <w:pPr>
        <w:pStyle w:val="11"/>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10</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11</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02"/>
      <w:bookmarkStart w:id="3" w:name="_Toc35393790"/>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2025-2026年蓄能器等液压备件采购项目（第二次）</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cs="仿宋" w:asciiTheme="minorEastAsia" w:hAnsiTheme="minorEastAsia"/>
          <w:sz w:val="24"/>
          <w:lang w:eastAsia="zh-CN"/>
        </w:rPr>
        <w:t>）</w:t>
      </w:r>
      <w:r>
        <w:rPr>
          <w:rFonts w:hint="eastAsia" w:cs="仿宋" w:asciiTheme="minorEastAsia" w:hAnsiTheme="minorEastAsia"/>
          <w:sz w:val="24"/>
        </w:rPr>
        <w:t>、浙江政府采购网（http://zfcg.czt.zj.gov.cn</w:t>
      </w:r>
      <w:r>
        <w:rPr>
          <w:rFonts w:hint="eastAsia" w:cs="仿宋" w:asciiTheme="minorEastAsia" w:hAnsiTheme="minorEastAsia"/>
          <w:sz w:val="24"/>
          <w:lang w:eastAsia="zh-CN"/>
        </w:rPr>
        <w:t>）</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202509034</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2025-2026年蓄能器等液压备件采购项目（第二次）</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bookmarkEnd w:id="5"/>
      <w:r>
        <w:rPr>
          <w:rFonts w:hint="eastAsia" w:cs="仿宋" w:asciiTheme="minorEastAsia" w:hAnsiTheme="minorEastAsia"/>
          <w:sz w:val="24"/>
          <w:u w:val="single"/>
          <w:lang w:val="en-US" w:eastAsia="zh-CN"/>
        </w:rPr>
        <w:t>16.9</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eastAsia="zh-CN"/>
        </w:rPr>
        <w:t>蓄能器等液压备件1批</w:t>
      </w:r>
      <w:r>
        <w:rPr>
          <w:rFonts w:hint="eastAsia" w:hAnsi="宋体" w:cs="宋体"/>
          <w:bCs/>
          <w:sz w:val="24"/>
        </w:rPr>
        <w:t>。</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color w:val="auto"/>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合同期限为自合同签订后12个月（以采购人的下达采购订单时间为准）</w:t>
      </w:r>
      <w:r>
        <w:rPr>
          <w:rFonts w:hint="eastAsia" w:cs="仿宋" w:asciiTheme="minorEastAsia" w:hAnsiTheme="minorEastAsia"/>
          <w:color w:val="auto"/>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791"/>
      <w:bookmarkStart w:id="7" w:name="_Toc28359080"/>
      <w:bookmarkStart w:id="8" w:name="_Toc35393622"/>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28359081"/>
      <w:bookmarkStart w:id="12" w:name="_Toc35393623"/>
      <w:bookmarkStart w:id="13" w:name="_Toc35393792"/>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pPr>
        <w:spacing w:line="360" w:lineRule="auto"/>
        <w:ind w:firstLine="480" w:firstLineChars="200"/>
        <w:rPr>
          <w:rFonts w:hint="default" w:cs="仿宋" w:asciiTheme="minorEastAsia" w:hAnsiTheme="minorEastAsia" w:eastAsiaTheme="minorEastAsia"/>
          <w:b w:val="0"/>
          <w:bCs/>
          <w:color w:val="auto"/>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color w:val="0000FF"/>
          <w:sz w:val="24"/>
        </w:rPr>
        <w:t>：</w:t>
      </w:r>
      <w:r>
        <w:rPr>
          <w:rFonts w:hint="eastAsia" w:cs="仿宋" w:asciiTheme="minorEastAsia" w:hAnsiTheme="minorEastAsia"/>
          <w:bCs/>
          <w:color w:val="0000FF"/>
          <w:sz w:val="24"/>
          <w:highlight w:val="none"/>
          <w:u w:val="single"/>
          <w:lang w:val="en-US" w:eastAsia="zh-CN"/>
        </w:rPr>
        <w:t xml:space="preserve"> </w:t>
      </w:r>
      <w:r>
        <w:rPr>
          <w:rFonts w:hint="eastAsia" w:cs="仿宋" w:asciiTheme="minorEastAsia" w:hAnsiTheme="minorEastAsia"/>
          <w:b w:val="0"/>
          <w:bCs/>
          <w:color w:val="auto"/>
          <w:sz w:val="24"/>
          <w:highlight w:val="none"/>
          <w:u w:val="single"/>
          <w:lang w:val="en-US"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35393624"/>
      <w:bookmarkStart w:id="16" w:name="_Toc28359005"/>
      <w:bookmarkStart w:id="17" w:name="_Toc28359082"/>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缴纳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u w:val="single"/>
          <w:lang w:val="en-US" w:eastAsia="zh-CN" w:bidi="ar-SA"/>
        </w:rPr>
        <w:t xml:space="preserve">   /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kern w:val="2"/>
          <w:sz w:val="24"/>
          <w:szCs w:val="24"/>
          <w:u w:val="single"/>
          <w:lang w:val="en-US" w:eastAsia="zh-CN" w:bidi="ar-SA"/>
        </w:rPr>
        <w:t xml:space="preserve"> </w:t>
      </w:r>
      <w:r>
        <w:rPr>
          <w:rFonts w:hint="eastAsia" w:cs="仿宋" w:asciiTheme="minorEastAsia" w:hAnsiTheme="minorEastAsia" w:eastAsiaTheme="minorEastAsia"/>
          <w:b/>
          <w:bCs w:val="0"/>
          <w:kern w:val="2"/>
          <w:sz w:val="24"/>
          <w:szCs w:val="24"/>
          <w:u w:val="single"/>
          <w:lang w:val="en-US" w:eastAsia="zh-CN" w:bidi="ar-SA"/>
        </w:rPr>
        <w:t xml:space="preserve">/ </w:t>
      </w:r>
      <w:r>
        <w:rPr>
          <w:rFonts w:hint="eastAsia" w:cs="仿宋" w:asciiTheme="minorEastAsia" w:hAnsiTheme="minorEastAsia" w:eastAsiaTheme="minorEastAsia"/>
          <w:b w:val="0"/>
          <w:bCs/>
          <w:strike w:val="0"/>
          <w:dstrike w:val="0"/>
          <w:kern w:val="2"/>
          <w:sz w:val="24"/>
          <w:szCs w:val="24"/>
          <w:u w:val="single"/>
          <w:lang w:val="en-US" w:eastAsia="zh-CN" w:bidi="ar-SA"/>
        </w:rPr>
        <w:t>询价保证金</w:t>
      </w:r>
      <w:r>
        <w:rPr>
          <w:rFonts w:hint="eastAsia" w:cs="仿宋" w:asciiTheme="minorEastAsia" w:hAnsiTheme="minorEastAsia" w:eastAsiaTheme="minorEastAsia"/>
          <w:b w:val="0"/>
          <w:bCs/>
          <w:kern w:val="2"/>
          <w:sz w:val="24"/>
          <w:szCs w:val="24"/>
          <w:lang w:val="en-US" w:eastAsia="zh-CN" w:bidi="ar-SA"/>
        </w:rPr>
        <w:t>。</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账    号：</w:t>
      </w:r>
      <w:r>
        <w:rPr>
          <w:rFonts w:hint="eastAsia" w:cs="仿宋" w:asciiTheme="minorEastAsia" w:hAnsiTheme="minorEastAsia" w:eastAsiaTheme="minorEastAsia"/>
          <w:b w:val="0"/>
          <w:bCs/>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10</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17</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w:t>
      </w:r>
      <w:bookmarkStart w:id="516" w:name="_GoBack"/>
      <w:bookmarkEnd w:id="516"/>
      <w:r>
        <w:rPr>
          <w:rFonts w:hint="eastAsia" w:cs="仿宋" w:asciiTheme="minorEastAsia" w:hAnsiTheme="minorEastAsia"/>
          <w:sz w:val="24"/>
        </w:rPr>
        <w:t>任何一种方式。</w:t>
      </w:r>
    </w:p>
    <w:p>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w:t>
      </w:r>
      <w:r>
        <w:rPr>
          <w:rFonts w:hint="eastAsia" w:cs="仿宋" w:asciiTheme="minorEastAsia" w:hAnsiTheme="minorEastAsia"/>
          <w:color w:val="auto"/>
          <w:sz w:val="24"/>
          <w:lang w:val="en-US" w:eastAsia="zh-CN"/>
        </w:rPr>
        <w:t xml:space="preserve"> 陈</w:t>
      </w:r>
      <w:r>
        <w:rPr>
          <w:rFonts w:hint="eastAsia" w:cs="仿宋" w:asciiTheme="minorEastAsia" w:hAnsiTheme="minorEastAsia"/>
          <w:color w:val="auto"/>
          <w:sz w:val="24"/>
        </w:rPr>
        <w:t>工 152</w:t>
      </w:r>
      <w:r>
        <w:rPr>
          <w:rFonts w:hint="eastAsia" w:cs="仿宋" w:asciiTheme="minorEastAsia" w:hAnsiTheme="minorEastAsia"/>
          <w:color w:val="auto"/>
          <w:sz w:val="24"/>
          <w:lang w:val="en-US" w:eastAsia="zh-CN"/>
        </w:rPr>
        <w:t>58849018</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10月11</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pPr>
    </w:p>
    <w:p>
      <w:pPr>
        <w:rPr>
          <w:rFonts w:cs="仿宋" w:asciiTheme="minorEastAsia" w:hAnsiTheme="minorEastAsia"/>
          <w:b/>
          <w:bCs/>
          <w:sz w:val="36"/>
          <w:szCs w:val="36"/>
        </w:rPr>
      </w:pPr>
    </w:p>
    <w:p>
      <w:pPr>
        <w:pStyle w:val="2"/>
        <w:jc w:val="both"/>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21"/>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3"/>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snapToGrid w:val="0"/>
                <w:color w:val="auto"/>
                <w:szCs w:val="21"/>
              </w:rPr>
              <w:t>是否分册装订：</w:t>
            </w:r>
          </w:p>
          <w:p>
            <w:pPr>
              <w:pStyle w:val="21"/>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1"/>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1"/>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8"/>
        <w:rPr>
          <w:rFonts w:cs="仿宋" w:asciiTheme="minorEastAsia" w:hAnsiTheme="minorEastAsia"/>
          <w:b/>
          <w:sz w:val="32"/>
          <w:szCs w:val="20"/>
        </w:rPr>
      </w:pPr>
    </w:p>
    <w:p>
      <w:pPr>
        <w:pStyle w:val="9"/>
        <w:rPr>
          <w:rFonts w:cs="仿宋" w:asciiTheme="minorEastAsia" w:hAnsiTheme="minorEastAsia"/>
          <w:b/>
          <w:sz w:val="32"/>
          <w:szCs w:val="20"/>
        </w:rPr>
      </w:pPr>
    </w:p>
    <w:p>
      <w:pPr>
        <w:pStyle w:val="15"/>
        <w:rPr>
          <w:rFonts w:cs="仿宋" w:asciiTheme="minorEastAsia" w:hAnsiTheme="minorEastAsia"/>
          <w:b/>
          <w:sz w:val="32"/>
          <w:szCs w:val="20"/>
        </w:rPr>
      </w:pPr>
    </w:p>
    <w:p/>
    <w:p>
      <w:pPr>
        <w:pStyle w:val="2"/>
      </w:pPr>
    </w:p>
    <w:p/>
    <w:p>
      <w:pPr>
        <w:pStyle w:val="2"/>
      </w:pPr>
    </w:p>
    <w:p/>
    <w:p>
      <w:pPr>
        <w:pStyle w:val="2"/>
      </w:pPr>
    </w:p>
    <w:p/>
    <w:p>
      <w:pPr>
        <w:pStyle w:val="15"/>
        <w:rPr>
          <w:rFonts w:cs="仿宋" w:asciiTheme="minorEastAsia" w:hAnsiTheme="minorEastAsia"/>
          <w:b/>
          <w:sz w:val="32"/>
          <w:szCs w:val="20"/>
        </w:rPr>
      </w:pPr>
    </w:p>
    <w:p>
      <w:pPr>
        <w:rPr>
          <w:rFonts w:cs="仿宋" w:asciiTheme="minorEastAsia" w:hAnsiTheme="minorEastAsia"/>
          <w:b/>
          <w:sz w:val="32"/>
          <w:szCs w:val="20"/>
        </w:rPr>
      </w:pPr>
    </w:p>
    <w:p>
      <w:pPr>
        <w:pStyle w:val="2"/>
        <w:rPr>
          <w:rFonts w:cs="仿宋" w:asciiTheme="minorEastAsia" w:hAnsiTheme="minorEastAsia"/>
          <w:b/>
          <w:sz w:val="32"/>
          <w:szCs w:val="20"/>
        </w:rPr>
      </w:pPr>
    </w:p>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4"/>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4"/>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8"/>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4"/>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4"/>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4"/>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4"/>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4"/>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4"/>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4"/>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4"/>
        <w:spacing w:before="0"/>
        <w:ind w:firstLine="0" w:firstLineChars="0"/>
        <w:jc w:val="center"/>
        <w:rPr>
          <w:rFonts w:cs="仿宋" w:asciiTheme="minorEastAsia" w:hAnsiTheme="minorEastAsia"/>
          <w:b/>
          <w:sz w:val="32"/>
        </w:rPr>
      </w:pPr>
    </w:p>
    <w:p>
      <w:pPr>
        <w:pStyle w:val="24"/>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5"/>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5"/>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5"/>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pPr>
        <w:pStyle w:val="24"/>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4"/>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4"/>
        <w:spacing w:before="0"/>
        <w:ind w:firstLine="495" w:firstLineChars="0"/>
        <w:rPr>
          <w:rFonts w:cs="仿宋" w:asciiTheme="minorEastAsia" w:hAnsiTheme="minorEastAsia"/>
          <w:kern w:val="0"/>
          <w:szCs w:val="24"/>
        </w:rPr>
      </w:pPr>
    </w:p>
    <w:p>
      <w:pPr>
        <w:pStyle w:val="24"/>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4"/>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4"/>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4"/>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4"/>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4"/>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4"/>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8"/>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全额无息退还。退保证金前，供应商必须提供加盖公章或财务专用章的收款收据。</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10"/>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8"/>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8"/>
        <w:ind w:firstLine="480" w:firstLineChars="200"/>
        <w:rPr>
          <w:rFonts w:hint="eastAsia"/>
          <w:lang w:val="en-US"/>
        </w:rPr>
      </w:pPr>
      <w:r>
        <w:rPr>
          <w:rFonts w:hint="eastAsia"/>
          <w:lang w:val="en-US"/>
        </w:rPr>
        <w:t>杭州临江环境能源有限公司因日常生产需要，需采购</w:t>
      </w:r>
      <w:r>
        <w:rPr>
          <w:rFonts w:hint="eastAsia" w:hAnsi="宋体" w:cs="宋体"/>
          <w:bCs/>
          <w:sz w:val="24"/>
        </w:rPr>
        <w:t>需采购</w:t>
      </w:r>
      <w:r>
        <w:rPr>
          <w:rFonts w:hint="eastAsia" w:hAnsi="宋体" w:cs="宋体"/>
          <w:bCs/>
          <w:sz w:val="24"/>
          <w:lang w:eastAsia="zh-CN"/>
        </w:rPr>
        <w:t>蓄能器等液压备件</w:t>
      </w:r>
      <w:r>
        <w:rPr>
          <w:rFonts w:hint="eastAsia" w:hAnsi="宋体" w:cs="宋体"/>
          <w:bCs/>
          <w:sz w:val="24"/>
          <w:lang w:val="en-US" w:eastAsia="zh-CN"/>
        </w:rPr>
        <w:t>一</w:t>
      </w:r>
      <w:r>
        <w:rPr>
          <w:rFonts w:hint="eastAsia" w:hAnsi="宋体" w:cs="宋体"/>
          <w:bCs/>
          <w:sz w:val="24"/>
          <w:lang w:eastAsia="zh-CN"/>
        </w:rPr>
        <w:t>批</w:t>
      </w:r>
      <w:r>
        <w:rPr>
          <w:rFonts w:hint="eastAsia"/>
          <w:lang w:val="en-US"/>
        </w:rPr>
        <w:t>，具体</w:t>
      </w:r>
      <w:r>
        <w:rPr>
          <w:rFonts w:hint="eastAsia"/>
          <w:lang w:val="en-US" w:eastAsia="zh-CN"/>
        </w:rPr>
        <w:t>清单</w:t>
      </w:r>
      <w:r>
        <w:rPr>
          <w:rFonts w:hint="eastAsia"/>
          <w:lang w:val="en-US"/>
        </w:rPr>
        <w:t>如下：</w:t>
      </w:r>
    </w:p>
    <w:tbl>
      <w:tblPr>
        <w:tblStyle w:val="17"/>
        <w:tblW w:w="83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3"/>
        <w:gridCol w:w="1316"/>
        <w:gridCol w:w="658"/>
        <w:gridCol w:w="4480"/>
        <w:gridCol w:w="592"/>
        <w:gridCol w:w="6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物资名称</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推荐品牌</w:t>
            </w:r>
          </w:p>
        </w:tc>
        <w:tc>
          <w:tcPr>
            <w:tcW w:w="4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规格型号</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卸料门油缸</w:t>
            </w:r>
          </w:p>
        </w:tc>
        <w:tc>
          <w:tcPr>
            <w:tcW w:w="65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型号：D63/d40/S420 缸径63mm，活塞杆外径40mm，全行程420mm，双作用双杆拉杆缸，密封圈材质氟橡胶；工作压力100bar，最高压力210bar，工作温度-10℃-100℃</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3"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出渣机油缸</w:t>
            </w:r>
          </w:p>
        </w:tc>
        <w:tc>
          <w:tcPr>
            <w:tcW w:w="65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HZ2TC200B140B600-CATKJN-X缸径200mm，杆径112mm，全行程600m，双作用双杆拉杆缸，密封圈材质氟橡胶；工作压力140bar，最高压力210bar，工作温度-10℃-100℃，含油缸接头、出渣机液压缸保护套、液压缸导轨及行程开关等（原厂家派克汉尼汾）</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9"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3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出渣机油缸油管</w:t>
            </w:r>
          </w:p>
        </w:tc>
        <w:tc>
          <w:tcPr>
            <w:tcW w:w="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型号：接头1分接头螺纹，胶管长度1.5米，压力32MPA，不锈钢金属防护网，双层扣押；含对应接头RC螺纹接头(原型号：G1/C-L1500)；工作温度-20℃~100℃（原厂家派克汉尼汾）</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3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料斗油缸油管</w:t>
            </w:r>
          </w:p>
        </w:tc>
        <w:tc>
          <w:tcPr>
            <w:tcW w:w="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型号：RC3/4 D-1500，胶管长度1.5米，压力32MPA，不锈钢金属防护网，双层扣押；含对应RC螺纹接头：RC3/4 ，工作温度-20℃~100℃（原厂家派克汉尼汾）</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3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出渣机活塞杆吊耳铜套</w:t>
            </w:r>
          </w:p>
        </w:tc>
        <w:tc>
          <w:tcPr>
            <w:tcW w:w="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型号：200TAP  石墨铜套外径120mm，内径100.3mm（用于外径100mm的销轴），高度140mm，含注油槽（原厂家派克汉尼汾）</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3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出渣机活塞杆吊耳销轴</w:t>
            </w:r>
          </w:p>
        </w:tc>
        <w:tc>
          <w:tcPr>
            <w:tcW w:w="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型号：200 TT；销轴长度350mm，外径100mm，含止推槽；材质#45钢（原厂家派克汉尼汾）</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3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油缸双侧耳轴铜套</w:t>
            </w:r>
          </w:p>
        </w:tc>
        <w:tc>
          <w:tcPr>
            <w:tcW w:w="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型号：DHZ200TT；石墨铜套内径90.2mm，外径110mm，高度90mm</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3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料斗挡板门防尘罩</w:t>
            </w:r>
          </w:p>
        </w:tc>
        <w:tc>
          <w:tcPr>
            <w:tcW w:w="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伸缩长度1.4米，双头碳钢法兰外径770mm，内径640mm；防尘罩本体采用2层布料，外层使用耐温材质需达1000℃以上（朝外），内层使用双面布料需达200℃以上</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3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90°弯头</w:t>
            </w:r>
          </w:p>
        </w:tc>
        <w:tc>
          <w:tcPr>
            <w:tcW w:w="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304承插焊弯头，耐压210KG；304 RC3/4 6分 DN20 承插孔28mm</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3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304无缝钢管</w:t>
            </w:r>
          </w:p>
        </w:tc>
        <w:tc>
          <w:tcPr>
            <w:tcW w:w="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规格：φ28*4；材质304</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3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304无缝钢管</w:t>
            </w:r>
          </w:p>
        </w:tc>
        <w:tc>
          <w:tcPr>
            <w:tcW w:w="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规格：φ42*4；材质304</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3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囊式蓄能器</w:t>
            </w:r>
          </w:p>
        </w:tc>
        <w:tc>
          <w:tcPr>
            <w:tcW w:w="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型号：NXQ-10/31.5-L-ZD  主体材料：35CrMo，公称容积10L，工作压力：31.5MPa，介质：石油基液压油、氮气，试验压力40MPa，出厂氮气压力：9.1MPa</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3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囊式蓄能器</w:t>
            </w:r>
          </w:p>
        </w:tc>
        <w:tc>
          <w:tcPr>
            <w:tcW w:w="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规格型号：NXQ-25/31.5-L-ZD  主体材料：35CrMo， 公称容积25L，工作压力：31.5MPa，介质：石油基液压油、氮气，试验压力40MPa，出厂氮气压力：9.2MPa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bl>
    <w:p>
      <w:pPr>
        <w:rPr>
          <w:rFonts w:hint="eastAsia"/>
          <w:lang w:val="en-US"/>
        </w:rPr>
      </w:pPr>
    </w:p>
    <w:p>
      <w:pPr>
        <w:spacing w:line="360" w:lineRule="auto"/>
        <w:ind w:firstLine="482" w:firstLineChars="200"/>
        <w:rPr>
          <w:rFonts w:ascii="宋体" w:hAnsi="宋体" w:cs="宋体"/>
          <w:color w:val="auto"/>
          <w:sz w:val="24"/>
        </w:rPr>
      </w:pPr>
      <w:r>
        <w:rPr>
          <w:rFonts w:hint="eastAsia" w:cs="仿宋" w:asciiTheme="minorEastAsia" w:hAnsiTheme="minorEastAsia" w:eastAsiaTheme="minorEastAsia"/>
          <w:b/>
          <w:bCs/>
          <w:snapToGrid w:val="0"/>
          <w:color w:val="auto"/>
          <w:kern w:val="0"/>
          <w:sz w:val="24"/>
          <w:szCs w:val="21"/>
          <w:lang w:val="en-US" w:eastAsia="zh-CN" w:bidi="ar-SA"/>
        </w:rPr>
        <w:t>二、合同期限：</w:t>
      </w:r>
      <w:r>
        <w:rPr>
          <w:rFonts w:hint="eastAsia" w:cs="仿宋" w:asciiTheme="minorEastAsia" w:hAnsiTheme="minorEastAsia"/>
          <w:color w:val="auto"/>
          <w:sz w:val="24"/>
          <w:u w:val="single"/>
          <w:lang w:val="en-US" w:eastAsia="zh-CN"/>
        </w:rPr>
        <w:t>合同期限为自合同签订后12个月（以采购人的下达采购订单时间为准）</w:t>
      </w:r>
      <w:r>
        <w:rPr>
          <w:rFonts w:hint="eastAsia" w:cs="仿宋" w:asciiTheme="minorEastAsia" w:hAnsiTheme="minorEastAsia"/>
          <w:color w:val="auto"/>
          <w:sz w:val="24"/>
          <w:u w:val="single"/>
        </w:rPr>
        <w:t>。</w:t>
      </w:r>
      <w:r>
        <w:rPr>
          <w:rFonts w:hint="eastAsia" w:ascii="宋体" w:hAnsi="宋体" w:cs="宋体"/>
          <w:color w:val="auto"/>
          <w:sz w:val="24"/>
          <w:u w:val="single"/>
          <w:lang w:val="en-US" w:eastAsia="zh-CN"/>
        </w:rPr>
        <w:t xml:space="preserve"> </w:t>
      </w:r>
    </w:p>
    <w:p>
      <w:pPr>
        <w:pStyle w:val="8"/>
        <w:ind w:firstLine="480" w:firstLineChars="200"/>
        <w:rPr>
          <w:rFonts w:hint="default" w:cs="仿宋" w:asciiTheme="minorEastAsia" w:hAnsiTheme="minorEastAsia" w:eastAsiaTheme="minorEastAsia"/>
          <w:color w:val="auto"/>
          <w:kern w:val="0"/>
          <w:lang w:val="en-US" w:eastAsia="zh-CN"/>
        </w:rPr>
      </w:pPr>
      <w:r>
        <w:rPr>
          <w:rFonts w:hint="eastAsia" w:cs="仿宋" w:asciiTheme="minorEastAsia" w:hAnsiTheme="minorEastAsia"/>
          <w:color w:val="auto"/>
          <w:kern w:val="0"/>
        </w:rPr>
        <w:t>▲</w:t>
      </w:r>
      <w:r>
        <w:rPr>
          <w:rFonts w:hint="eastAsia"/>
          <w:b/>
          <w:bCs/>
          <w:color w:val="auto"/>
          <w:lang w:val="en-US" w:eastAsia="zh-CN"/>
        </w:rPr>
        <w:t>三</w:t>
      </w:r>
      <w:r>
        <w:rPr>
          <w:rFonts w:hint="eastAsia"/>
          <w:b/>
          <w:bCs/>
          <w:color w:val="auto"/>
          <w:lang w:val="en-US"/>
        </w:rPr>
        <w:t>、</w:t>
      </w:r>
      <w:r>
        <w:rPr>
          <w:rFonts w:hint="eastAsia"/>
          <w:b/>
          <w:bCs/>
          <w:color w:val="auto"/>
          <w:lang w:val="en-US" w:eastAsia="zh-CN"/>
        </w:rPr>
        <w:t>履约方式：</w:t>
      </w:r>
      <w:r>
        <w:rPr>
          <w:rFonts w:hint="eastAsia"/>
          <w:b w:val="0"/>
          <w:bCs w:val="0"/>
          <w:color w:val="auto"/>
          <w:u w:val="single"/>
          <w:lang w:val="en-US" w:eastAsia="zh-CN"/>
        </w:rPr>
        <w:t>按需供货，按实结算，供应商</w:t>
      </w:r>
      <w:r>
        <w:rPr>
          <w:rFonts w:hint="eastAsia" w:cs="仿宋" w:asciiTheme="minorEastAsia" w:hAnsiTheme="minorEastAsia"/>
          <w:color w:val="auto"/>
          <w:sz w:val="24"/>
          <w:u w:val="single"/>
          <w:lang w:val="en-US" w:eastAsia="zh-CN"/>
        </w:rPr>
        <w:t>在采购人的</w:t>
      </w:r>
      <w:r>
        <w:rPr>
          <w:rFonts w:hint="eastAsia" w:cs="仿宋" w:asciiTheme="minorEastAsia" w:hAnsiTheme="minorEastAsia"/>
          <w:color w:val="auto"/>
          <w:sz w:val="24"/>
          <w:u w:val="single"/>
        </w:rPr>
        <w:t>订单下达后30日内</w:t>
      </w:r>
      <w:r>
        <w:rPr>
          <w:rFonts w:hint="eastAsia" w:cs="仿宋" w:asciiTheme="minorEastAsia" w:hAnsiTheme="minorEastAsia"/>
          <w:color w:val="auto"/>
          <w:sz w:val="24"/>
          <w:u w:val="single"/>
          <w:lang w:val="en-US" w:eastAsia="zh-CN"/>
        </w:rPr>
        <w:t>完成供货，若因进口问题或定制问题需要延长供货，双方另行协商，但不得超过90天</w:t>
      </w:r>
      <w:r>
        <w:rPr>
          <w:rFonts w:hint="eastAsia"/>
          <w:color w:val="auto"/>
          <w:highlight w:val="none"/>
          <w:lang w:val="en-US" w:eastAsia="zh-CN"/>
        </w:rPr>
        <w:t>。</w:t>
      </w:r>
    </w:p>
    <w:p>
      <w:pPr>
        <w:pStyle w:val="8"/>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eastAsia="zh-CN"/>
        </w:rPr>
        <w:t>四</w:t>
      </w:r>
      <w:r>
        <w:rPr>
          <w:rFonts w:hint="eastAsia"/>
          <w:b/>
          <w:bCs/>
          <w:color w:val="auto"/>
          <w:lang w:val="en-US"/>
        </w:rPr>
        <w:t>、技术、质量要求</w:t>
      </w:r>
    </w:p>
    <w:p>
      <w:pPr>
        <w:pStyle w:val="8"/>
        <w:numPr>
          <w:ilvl w:val="0"/>
          <w:numId w:val="0"/>
        </w:numPr>
        <w:ind w:firstLine="480" w:firstLineChars="200"/>
        <w:rPr>
          <w:rFonts w:hint="eastAsia"/>
          <w:color w:val="auto"/>
          <w:highlight w:val="none"/>
          <w:lang w:eastAsia="zh-CN"/>
        </w:rPr>
      </w:pPr>
      <w:r>
        <w:rPr>
          <w:rFonts w:hint="eastAsia"/>
          <w:color w:val="auto"/>
          <w:highlight w:val="none"/>
          <w:lang w:val="en-US" w:eastAsia="zh-CN"/>
        </w:rPr>
        <w:t>1.品牌和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p>
    <w:p>
      <w:pPr>
        <w:pStyle w:val="8"/>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采购人没有推荐品牌的，供应商</w:t>
      </w:r>
      <w:r>
        <w:rPr>
          <w:rFonts w:hint="eastAsia" w:ascii="宋体"/>
          <w:color w:val="auto"/>
          <w:highlight w:val="none"/>
          <w:lang w:val="en-US" w:eastAsia="zh-CN"/>
        </w:rPr>
        <w:t>自行选择品牌，但所报产品须符合国家标准</w:t>
      </w:r>
      <w:r>
        <w:rPr>
          <w:rFonts w:hint="eastAsia"/>
          <w:color w:val="auto"/>
          <w:highlight w:val="none"/>
          <w:lang w:val="en-US" w:eastAsia="zh-CN"/>
        </w:rPr>
        <w:t>，不得为假冒伪劣或翻新的产品；</w:t>
      </w:r>
    </w:p>
    <w:p>
      <w:pPr>
        <w:pStyle w:val="8"/>
        <w:ind w:firstLine="480" w:firstLineChars="200"/>
        <w:rPr>
          <w:rFonts w:hint="eastAsia"/>
          <w:color w:val="auto"/>
          <w:highlight w:val="none"/>
          <w:lang w:val="en-US" w:eastAsia="zh-CN"/>
        </w:rPr>
      </w:pPr>
      <w:r>
        <w:rPr>
          <w:rFonts w:hint="eastAsia"/>
          <w:color w:val="auto"/>
          <w:highlight w:val="none"/>
          <w:lang w:val="en-US" w:eastAsia="zh-CN"/>
        </w:rPr>
        <w:t>3.采购人</w:t>
      </w:r>
      <w:r>
        <w:rPr>
          <w:rFonts w:hint="eastAsia" w:ascii="宋体" w:hAnsi="宋体" w:cs="宋体"/>
          <w:snapToGrid w:val="0"/>
          <w:color w:val="auto"/>
          <w:kern w:val="0"/>
          <w:szCs w:val="21"/>
        </w:rPr>
        <w:t>对</w:t>
      </w:r>
      <w:r>
        <w:rPr>
          <w:rFonts w:hint="eastAsia" w:ascii="宋体" w:hAnsi="宋体" w:cs="宋体"/>
          <w:snapToGrid w:val="0"/>
          <w:color w:val="auto"/>
          <w:kern w:val="0"/>
          <w:szCs w:val="21"/>
          <w:lang w:val="en-US" w:eastAsia="zh-CN"/>
        </w:rPr>
        <w:t>每批次</w:t>
      </w:r>
      <w:r>
        <w:rPr>
          <w:rFonts w:hint="eastAsia" w:hAnsi="宋体" w:cs="宋体"/>
          <w:snapToGrid w:val="0"/>
          <w:color w:val="auto"/>
          <w:kern w:val="0"/>
          <w:szCs w:val="21"/>
          <w:lang w:val="en-US" w:eastAsia="zh-CN"/>
        </w:rPr>
        <w:t>备件</w:t>
      </w:r>
      <w:r>
        <w:rPr>
          <w:rFonts w:hint="eastAsia" w:ascii="宋体" w:hAnsi="宋体" w:cs="宋体"/>
          <w:snapToGrid w:val="0"/>
          <w:color w:val="auto"/>
          <w:kern w:val="0"/>
          <w:szCs w:val="21"/>
          <w:lang w:val="en-US" w:eastAsia="zh-CN"/>
        </w:rPr>
        <w:t>进行</w:t>
      </w:r>
      <w:r>
        <w:rPr>
          <w:rFonts w:hint="eastAsia" w:ascii="宋体" w:hAnsi="宋体" w:cs="宋体"/>
          <w:snapToGrid w:val="0"/>
          <w:color w:val="auto"/>
          <w:kern w:val="0"/>
          <w:szCs w:val="21"/>
        </w:rPr>
        <w:t>验收，对不符合要求的产品，</w:t>
      </w:r>
      <w:r>
        <w:rPr>
          <w:rFonts w:hint="eastAsia" w:ascii="宋体" w:hAnsi="宋体" w:cs="宋体"/>
          <w:snapToGrid w:val="0"/>
          <w:color w:val="auto"/>
          <w:kern w:val="0"/>
          <w:szCs w:val="21"/>
          <w:lang w:val="en-US" w:eastAsia="zh-CN"/>
        </w:rPr>
        <w:t>采购人</w:t>
      </w:r>
      <w:r>
        <w:rPr>
          <w:rFonts w:hint="eastAsia" w:ascii="宋体" w:hAnsi="宋体" w:cs="宋体"/>
          <w:snapToGrid w:val="0"/>
          <w:color w:val="auto"/>
          <w:kern w:val="0"/>
          <w:szCs w:val="21"/>
        </w:rPr>
        <w:t>有权利拒收或退货或要求</w:t>
      </w:r>
      <w:r>
        <w:rPr>
          <w:rFonts w:hint="eastAsia" w:ascii="宋体" w:hAnsi="宋体" w:cs="宋体"/>
          <w:snapToGrid w:val="0"/>
          <w:color w:val="auto"/>
          <w:kern w:val="0"/>
          <w:szCs w:val="21"/>
          <w:lang w:val="en-US" w:eastAsia="zh-CN"/>
        </w:rPr>
        <w:t>供应商</w:t>
      </w:r>
      <w:r>
        <w:rPr>
          <w:rFonts w:hint="eastAsia" w:ascii="宋体" w:hAnsi="宋体" w:cs="宋体"/>
          <w:snapToGrid w:val="0"/>
          <w:color w:val="auto"/>
          <w:kern w:val="0"/>
          <w:szCs w:val="21"/>
        </w:rPr>
        <w:t>调换，由此产生的一切责任和后果由</w:t>
      </w:r>
      <w:r>
        <w:rPr>
          <w:rFonts w:hint="eastAsia" w:ascii="宋体" w:hAnsi="宋体" w:cs="宋体"/>
          <w:snapToGrid w:val="0"/>
          <w:color w:val="auto"/>
          <w:kern w:val="0"/>
          <w:szCs w:val="21"/>
          <w:lang w:val="en-US" w:eastAsia="zh-CN"/>
        </w:rPr>
        <w:t>供应商</w:t>
      </w:r>
      <w:r>
        <w:rPr>
          <w:rFonts w:hint="eastAsia" w:ascii="宋体" w:hAnsi="宋体" w:cs="宋体"/>
          <w:snapToGrid w:val="0"/>
          <w:color w:val="auto"/>
          <w:kern w:val="0"/>
          <w:szCs w:val="21"/>
        </w:rPr>
        <w:t>承担</w:t>
      </w:r>
      <w:r>
        <w:rPr>
          <w:rFonts w:hint="eastAsia" w:ascii="宋体" w:hAnsi="宋体" w:cs="宋体"/>
          <w:snapToGrid w:val="0"/>
          <w:color w:val="auto"/>
          <w:kern w:val="0"/>
          <w:szCs w:val="21"/>
          <w:lang w:eastAsia="zh-CN"/>
        </w:rPr>
        <w:t>。</w:t>
      </w:r>
    </w:p>
    <w:p>
      <w:pPr>
        <w:pStyle w:val="8"/>
        <w:ind w:firstLine="480" w:firstLineChars="200"/>
        <w:rPr>
          <w:rFonts w:hint="default"/>
          <w:color w:val="auto"/>
          <w:highlight w:val="none"/>
          <w:lang w:val="en-US" w:eastAsia="zh-CN"/>
        </w:rPr>
      </w:pPr>
      <w:r>
        <w:rPr>
          <w:rFonts w:hint="eastAsia"/>
          <w:b w:val="0"/>
          <w:bCs w:val="0"/>
          <w:color w:val="auto"/>
          <w:highlight w:val="none"/>
          <w:lang w:val="en-US" w:eastAsia="zh-CN"/>
        </w:rPr>
        <w:t>4.蓄能器、油缸</w:t>
      </w:r>
      <w:r>
        <w:rPr>
          <w:rFonts w:hint="eastAsia"/>
          <w:color w:val="auto"/>
          <w:highlight w:val="none"/>
          <w:lang w:val="en-US" w:eastAsia="zh-CN"/>
        </w:rPr>
        <w:t>质保期限自验收合格后12个月，若质保期内出现质量问题（非质量问题除外），由供应商负责更换或维修，质保期重新计算，产生的费用全部由供应商承担。</w:t>
      </w:r>
    </w:p>
    <w:p>
      <w:pPr>
        <w:pStyle w:val="8"/>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8"/>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包括但不限于合格证、检测报告（制造厂家或者第三方机构等证明材料</w:t>
      </w:r>
      <w:r>
        <w:rPr>
          <w:rFonts w:hint="eastAsia" w:ascii="宋体" w:hAnsi="宋体" w:eastAsia="宋体" w:cs="宋体"/>
          <w:sz w:val="24"/>
          <w:highlight w:val="none"/>
          <w:lang w:eastAsia="zh-CN"/>
        </w:rPr>
        <w:t>。</w:t>
      </w:r>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pPr>
        <w:pStyle w:val="9"/>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pPr>
        <w:pStyle w:val="8"/>
        <w:numPr>
          <w:ilvl w:val="0"/>
          <w:numId w:val="0"/>
        </w:numPr>
        <w:ind w:firstLine="480" w:firstLineChars="200"/>
        <w:rPr>
          <w:highlight w:val="none"/>
          <w:lang w:val="en-US"/>
        </w:rPr>
      </w:pPr>
      <w:r>
        <w:rPr>
          <w:rFonts w:hint="eastAsia" w:cs="Arial"/>
          <w:snapToGrid w:val="0"/>
          <w:kern w:val="2"/>
          <w:sz w:val="24"/>
          <w:szCs w:val="21"/>
          <w:highlight w:val="none"/>
          <w:lang w:val="en-US" w:eastAsia="zh-CN" w:bidi="ar-SA"/>
        </w:rPr>
        <w:t>6</w:t>
      </w:r>
      <w:r>
        <w:rPr>
          <w:rFonts w:ascii="宋体" w:hAnsi="Arial" w:cs="Arial" w:eastAsiaTheme="minorEastAsia"/>
          <w:snapToGrid w:val="0"/>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pPr>
        <w:pStyle w:val="8"/>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w:t>
      </w:r>
      <w:r>
        <w:rPr>
          <w:rFonts w:hint="eastAsia"/>
          <w:lang w:val="en-US" w:eastAsia="zh-CN"/>
        </w:rPr>
        <w:t>供应商在采购人的</w:t>
      </w:r>
      <w:r>
        <w:rPr>
          <w:rFonts w:hint="eastAsia"/>
          <w:lang w:val="en-US"/>
        </w:rPr>
        <w:t>订单下达后30日内</w:t>
      </w:r>
      <w:r>
        <w:rPr>
          <w:rFonts w:hint="eastAsia"/>
          <w:lang w:val="en-US" w:eastAsia="zh-CN"/>
        </w:rPr>
        <w:t>完成供货，若因进口问题或定制问题需要延长供货，双方另行协商，但不得超过90天</w:t>
      </w:r>
      <w:r>
        <w:rPr>
          <w:rFonts w:hint="eastAsia"/>
          <w:lang w:val="en-US"/>
        </w:rPr>
        <w:t>。</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9"/>
        <w:ind w:firstLine="480" w:firstLineChars="200"/>
        <w:rPr>
          <w:lang w:val="en-US"/>
        </w:rPr>
      </w:pPr>
      <w:r>
        <w:rPr>
          <w:rFonts w:hint="eastAsia"/>
          <w:lang w:val="en-US"/>
        </w:rPr>
        <w:t>以本询价采购文件中的合同条款为准。</w:t>
      </w:r>
    </w:p>
    <w:p>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pPr>
        <w:pStyle w:val="8"/>
        <w:ind w:firstLine="480" w:firstLineChars="200"/>
        <w:rPr>
          <w:rFonts w:hint="eastAsia" w:ascii="宋体"/>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8"/>
        <w:ind w:firstLine="480" w:firstLineChars="200"/>
        <w:rPr>
          <w:rFonts w:hint="eastAsia"/>
          <w:b/>
          <w:bCs/>
          <w:color w:val="auto"/>
          <w:lang w:val="en-US" w:eastAsia="zh-CN"/>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pPr>
        <w:pStyle w:val="8"/>
        <w:numPr>
          <w:ilvl w:val="0"/>
          <w:numId w:val="0"/>
        </w:numPr>
        <w:ind w:firstLine="482" w:firstLineChars="200"/>
        <w:rPr>
          <w:rFonts w:cs="仿宋" w:asciiTheme="minorEastAsia" w:hAnsiTheme="minorEastAsia"/>
          <w:b/>
          <w:sz w:val="36"/>
          <w:szCs w:val="36"/>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pPr>
        <w:spacing w:line="460" w:lineRule="exact"/>
        <w:jc w:val="both"/>
        <w:rPr>
          <w:rFonts w:hint="eastAsia" w:cs="仿宋" w:asciiTheme="minorEastAsia" w:hAnsiTheme="minorEastAsia"/>
          <w:b/>
          <w:sz w:val="36"/>
          <w:szCs w:val="36"/>
        </w:rPr>
      </w:pPr>
    </w:p>
    <w:p>
      <w:pPr>
        <w:pStyle w:val="2"/>
        <w:rPr>
          <w:rFonts w:hint="eastAsia"/>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75"/>
      <w:bookmarkEnd w:id="19"/>
      <w:bookmarkStart w:id="20" w:name="_Toc184310327"/>
      <w:bookmarkEnd w:id="20"/>
      <w:bookmarkStart w:id="21" w:name="_Toc184308103"/>
      <w:bookmarkEnd w:id="21"/>
      <w:bookmarkStart w:id="22" w:name="_Toc184312081"/>
      <w:bookmarkEnd w:id="22"/>
      <w:bookmarkStart w:id="23" w:name="_Toc184308036"/>
      <w:bookmarkEnd w:id="23"/>
      <w:bookmarkStart w:id="24" w:name="_Toc184308060"/>
      <w:bookmarkEnd w:id="24"/>
      <w:bookmarkStart w:id="25" w:name="_Toc184310328"/>
      <w:bookmarkEnd w:id="25"/>
      <w:bookmarkStart w:id="26" w:name="_Toc184312068"/>
      <w:bookmarkEnd w:id="26"/>
      <w:bookmarkStart w:id="27" w:name="_Toc184312125"/>
      <w:bookmarkEnd w:id="27"/>
      <w:bookmarkStart w:id="28" w:name="_Toc184308042"/>
      <w:bookmarkEnd w:id="28"/>
      <w:bookmarkStart w:id="29" w:name="_Toc184310290"/>
      <w:bookmarkEnd w:id="29"/>
      <w:bookmarkStart w:id="30" w:name="_Toc184313240"/>
      <w:bookmarkEnd w:id="30"/>
      <w:bookmarkStart w:id="31" w:name="_Toc184308101"/>
      <w:bookmarkEnd w:id="31"/>
      <w:bookmarkStart w:id="32" w:name="_Toc184310323"/>
      <w:bookmarkEnd w:id="32"/>
      <w:bookmarkStart w:id="33" w:name="_Toc184314434"/>
      <w:bookmarkEnd w:id="33"/>
      <w:bookmarkStart w:id="34" w:name="_Toc184313310"/>
      <w:bookmarkEnd w:id="34"/>
      <w:bookmarkStart w:id="35" w:name="_Toc184308082"/>
      <w:bookmarkEnd w:id="35"/>
      <w:bookmarkStart w:id="36" w:name="_Toc184308090"/>
      <w:bookmarkEnd w:id="36"/>
      <w:bookmarkStart w:id="37" w:name="_Toc184314426"/>
      <w:bookmarkEnd w:id="37"/>
      <w:bookmarkStart w:id="38" w:name="_Toc184312078"/>
      <w:bookmarkEnd w:id="38"/>
      <w:bookmarkStart w:id="39" w:name="_Toc184313263"/>
      <w:bookmarkEnd w:id="39"/>
      <w:bookmarkStart w:id="40" w:name="_Toc184313294"/>
      <w:bookmarkEnd w:id="40"/>
      <w:bookmarkStart w:id="41" w:name="_Toc184313300"/>
      <w:bookmarkEnd w:id="41"/>
      <w:bookmarkStart w:id="42" w:name="_Toc184314482"/>
      <w:bookmarkEnd w:id="42"/>
      <w:bookmarkStart w:id="43" w:name="_Toc184308100"/>
      <w:bookmarkEnd w:id="43"/>
      <w:bookmarkStart w:id="44" w:name="_Toc184312111"/>
      <w:bookmarkEnd w:id="44"/>
      <w:bookmarkStart w:id="45" w:name="_Toc184314422"/>
      <w:bookmarkEnd w:id="45"/>
      <w:bookmarkStart w:id="46" w:name="_Toc184313303"/>
      <w:bookmarkEnd w:id="46"/>
      <w:bookmarkStart w:id="47" w:name="_Toc184314428"/>
      <w:bookmarkEnd w:id="47"/>
      <w:bookmarkStart w:id="48" w:name="_Toc184310326"/>
      <w:bookmarkEnd w:id="48"/>
      <w:bookmarkStart w:id="49" w:name="_Toc184310275"/>
      <w:bookmarkEnd w:id="49"/>
      <w:bookmarkStart w:id="50" w:name="_Toc184314479"/>
      <w:bookmarkEnd w:id="50"/>
      <w:bookmarkStart w:id="51" w:name="_Toc184308106"/>
      <w:bookmarkEnd w:id="51"/>
      <w:bookmarkStart w:id="52" w:name="_Toc184312088"/>
      <w:bookmarkEnd w:id="52"/>
      <w:bookmarkStart w:id="53" w:name="_Toc184314446"/>
      <w:bookmarkEnd w:id="53"/>
      <w:bookmarkStart w:id="54" w:name="_Toc184314424"/>
      <w:bookmarkEnd w:id="54"/>
      <w:bookmarkStart w:id="55" w:name="_Toc184314468"/>
      <w:bookmarkEnd w:id="55"/>
      <w:bookmarkStart w:id="56" w:name="_Toc184312114"/>
      <w:bookmarkEnd w:id="56"/>
      <w:bookmarkStart w:id="57" w:name="_Toc184313286"/>
      <w:bookmarkEnd w:id="57"/>
      <w:bookmarkStart w:id="58" w:name="_Toc184310340"/>
      <w:bookmarkEnd w:id="58"/>
      <w:bookmarkStart w:id="59" w:name="_Toc184312076"/>
      <w:bookmarkEnd w:id="59"/>
      <w:bookmarkStart w:id="60" w:name="_Toc184308108"/>
      <w:bookmarkEnd w:id="60"/>
      <w:bookmarkStart w:id="61" w:name="_Toc184313260"/>
      <w:bookmarkEnd w:id="61"/>
      <w:bookmarkStart w:id="62" w:name="_Toc184313290"/>
      <w:bookmarkEnd w:id="62"/>
      <w:bookmarkStart w:id="63" w:name="_Toc184308078"/>
      <w:bookmarkEnd w:id="63"/>
      <w:bookmarkStart w:id="64" w:name="_Toc184313301"/>
      <w:bookmarkEnd w:id="64"/>
      <w:bookmarkStart w:id="65" w:name="_Toc184308038"/>
      <w:bookmarkEnd w:id="65"/>
      <w:bookmarkStart w:id="66" w:name="_Toc184312123"/>
      <w:bookmarkEnd w:id="66"/>
      <w:bookmarkStart w:id="67" w:name="_Toc184312120"/>
      <w:bookmarkEnd w:id="67"/>
      <w:bookmarkStart w:id="68" w:name="_Toc184310324"/>
      <w:bookmarkEnd w:id="68"/>
      <w:bookmarkStart w:id="69" w:name="_Toc184312067"/>
      <w:bookmarkEnd w:id="69"/>
      <w:bookmarkStart w:id="70" w:name="_Toc184310343"/>
      <w:bookmarkEnd w:id="70"/>
      <w:bookmarkStart w:id="71" w:name="_Toc184308039"/>
      <w:bookmarkEnd w:id="71"/>
      <w:bookmarkStart w:id="72" w:name="_Toc184308094"/>
      <w:bookmarkEnd w:id="72"/>
      <w:bookmarkStart w:id="73" w:name="_Toc184313242"/>
      <w:bookmarkEnd w:id="73"/>
      <w:bookmarkStart w:id="74" w:name="_Toc184308067"/>
      <w:bookmarkEnd w:id="74"/>
      <w:bookmarkStart w:id="75" w:name="_Toc184314472"/>
      <w:bookmarkEnd w:id="75"/>
      <w:bookmarkStart w:id="76" w:name="_Toc184313267"/>
      <w:bookmarkEnd w:id="76"/>
      <w:bookmarkStart w:id="77" w:name="_Toc184314415"/>
      <w:bookmarkEnd w:id="77"/>
      <w:bookmarkStart w:id="78" w:name="_Toc184312069"/>
      <w:bookmarkEnd w:id="78"/>
      <w:bookmarkStart w:id="79" w:name="_Toc184308070"/>
      <w:bookmarkEnd w:id="79"/>
      <w:bookmarkStart w:id="80" w:name="_Toc184313277"/>
      <w:bookmarkEnd w:id="80"/>
      <w:bookmarkStart w:id="81" w:name="_Toc184310330"/>
      <w:bookmarkEnd w:id="81"/>
      <w:bookmarkStart w:id="82" w:name="_Toc184313279"/>
      <w:bookmarkEnd w:id="82"/>
      <w:bookmarkStart w:id="83" w:name="_Toc184310274"/>
      <w:bookmarkEnd w:id="83"/>
      <w:bookmarkStart w:id="84" w:name="_Toc184314473"/>
      <w:bookmarkEnd w:id="84"/>
      <w:bookmarkStart w:id="85" w:name="_Toc184310331"/>
      <w:bookmarkEnd w:id="85"/>
      <w:bookmarkStart w:id="86" w:name="_Toc184310341"/>
      <w:bookmarkEnd w:id="86"/>
      <w:bookmarkStart w:id="87" w:name="_Toc184313284"/>
      <w:bookmarkEnd w:id="87"/>
      <w:bookmarkStart w:id="88" w:name="_Toc184314459"/>
      <w:bookmarkEnd w:id="88"/>
      <w:bookmarkStart w:id="89" w:name="_Toc184312128"/>
      <w:bookmarkEnd w:id="89"/>
      <w:bookmarkStart w:id="90" w:name="_Toc184308088"/>
      <w:bookmarkEnd w:id="90"/>
      <w:bookmarkStart w:id="91" w:name="_Toc184312103"/>
      <w:bookmarkEnd w:id="91"/>
      <w:bookmarkStart w:id="92" w:name="_Toc184310299"/>
      <w:bookmarkEnd w:id="92"/>
      <w:bookmarkStart w:id="93" w:name="_Toc184313283"/>
      <w:bookmarkEnd w:id="93"/>
      <w:bookmarkStart w:id="94" w:name="_Toc184313257"/>
      <w:bookmarkEnd w:id="94"/>
      <w:bookmarkStart w:id="95" w:name="_Toc184312117"/>
      <w:bookmarkEnd w:id="95"/>
      <w:bookmarkStart w:id="96" w:name="_Toc184308040"/>
      <w:bookmarkEnd w:id="96"/>
      <w:bookmarkStart w:id="97" w:name="_Toc184308091"/>
      <w:bookmarkEnd w:id="97"/>
      <w:bookmarkStart w:id="98" w:name="_Toc184313293"/>
      <w:bookmarkEnd w:id="98"/>
      <w:bookmarkStart w:id="99" w:name="_Toc184308096"/>
      <w:bookmarkEnd w:id="99"/>
      <w:bookmarkStart w:id="100" w:name="_Toc184312118"/>
      <w:bookmarkEnd w:id="100"/>
      <w:bookmarkStart w:id="101" w:name="_Toc184313264"/>
      <w:bookmarkEnd w:id="101"/>
      <w:bookmarkStart w:id="102" w:name="_Toc184314464"/>
      <w:bookmarkEnd w:id="102"/>
      <w:bookmarkStart w:id="103" w:name="_Toc184308044"/>
      <w:bookmarkEnd w:id="103"/>
      <w:bookmarkStart w:id="104" w:name="_Toc184312072"/>
      <w:bookmarkEnd w:id="104"/>
      <w:bookmarkStart w:id="105" w:name="_Toc184310272"/>
      <w:bookmarkEnd w:id="105"/>
      <w:bookmarkStart w:id="106" w:name="_Toc184314414"/>
      <w:bookmarkEnd w:id="106"/>
      <w:bookmarkStart w:id="107" w:name="_Toc184310344"/>
      <w:bookmarkEnd w:id="107"/>
      <w:bookmarkStart w:id="108" w:name="_Toc184312116"/>
      <w:bookmarkEnd w:id="108"/>
      <w:bookmarkStart w:id="109" w:name="_Toc184310280"/>
      <w:bookmarkEnd w:id="109"/>
      <w:bookmarkStart w:id="110" w:name="_Toc184313249"/>
      <w:bookmarkEnd w:id="110"/>
      <w:bookmarkStart w:id="111" w:name="_Toc184312074"/>
      <w:bookmarkEnd w:id="111"/>
      <w:bookmarkStart w:id="112" w:name="_Toc184314427"/>
      <w:bookmarkEnd w:id="112"/>
      <w:bookmarkStart w:id="113" w:name="_Toc184310306"/>
      <w:bookmarkEnd w:id="113"/>
      <w:bookmarkStart w:id="114" w:name="_Toc184314454"/>
      <w:bookmarkEnd w:id="114"/>
      <w:bookmarkStart w:id="115" w:name="_Toc184308051"/>
      <w:bookmarkEnd w:id="115"/>
      <w:bookmarkStart w:id="116" w:name="_Toc184312087"/>
      <w:bookmarkEnd w:id="116"/>
      <w:bookmarkStart w:id="117" w:name="_Toc184313273"/>
      <w:bookmarkEnd w:id="117"/>
      <w:bookmarkStart w:id="118" w:name="_Toc184314436"/>
      <w:bookmarkEnd w:id="118"/>
      <w:bookmarkStart w:id="119" w:name="_Toc184313307"/>
      <w:bookmarkEnd w:id="119"/>
      <w:bookmarkStart w:id="120" w:name="_Toc184314441"/>
      <w:bookmarkEnd w:id="120"/>
      <w:bookmarkStart w:id="121" w:name="_Toc184312104"/>
      <w:bookmarkEnd w:id="121"/>
      <w:bookmarkStart w:id="122" w:name="_Toc184310298"/>
      <w:bookmarkEnd w:id="122"/>
      <w:bookmarkStart w:id="123" w:name="_Toc184310313"/>
      <w:bookmarkEnd w:id="123"/>
      <w:bookmarkStart w:id="124" w:name="_Toc184308102"/>
      <w:bookmarkEnd w:id="124"/>
      <w:bookmarkStart w:id="125" w:name="_Toc184312080"/>
      <w:bookmarkEnd w:id="125"/>
      <w:bookmarkStart w:id="126" w:name="_Toc184313285"/>
      <w:bookmarkEnd w:id="126"/>
      <w:bookmarkStart w:id="127" w:name="_Toc184308059"/>
      <w:bookmarkEnd w:id="127"/>
      <w:bookmarkStart w:id="128" w:name="_Toc184310329"/>
      <w:bookmarkEnd w:id="128"/>
      <w:bookmarkStart w:id="129" w:name="_Toc184310291"/>
      <w:bookmarkEnd w:id="129"/>
      <w:bookmarkStart w:id="130" w:name="_Toc184308057"/>
      <w:bookmarkEnd w:id="130"/>
      <w:bookmarkStart w:id="131" w:name="_Toc184313275"/>
      <w:bookmarkEnd w:id="131"/>
      <w:bookmarkStart w:id="132" w:name="_Toc184310314"/>
      <w:bookmarkEnd w:id="132"/>
      <w:bookmarkStart w:id="133" w:name="_Toc184312139"/>
      <w:bookmarkEnd w:id="133"/>
      <w:bookmarkStart w:id="134" w:name="_Toc184312122"/>
      <w:bookmarkEnd w:id="134"/>
      <w:bookmarkStart w:id="135" w:name="_Toc184313287"/>
      <w:bookmarkEnd w:id="135"/>
      <w:bookmarkStart w:id="136" w:name="_Toc184314411"/>
      <w:bookmarkEnd w:id="136"/>
      <w:bookmarkStart w:id="137" w:name="_Toc184314481"/>
      <w:bookmarkEnd w:id="137"/>
      <w:bookmarkStart w:id="138" w:name="_Toc184310322"/>
      <w:bookmarkEnd w:id="138"/>
      <w:bookmarkStart w:id="139" w:name="_Toc184313251"/>
      <w:bookmarkEnd w:id="139"/>
      <w:bookmarkStart w:id="140" w:name="_Toc184313253"/>
      <w:bookmarkEnd w:id="140"/>
      <w:bookmarkStart w:id="141" w:name="_Toc184310320"/>
      <w:bookmarkEnd w:id="141"/>
      <w:bookmarkStart w:id="142" w:name="_Toc184314447"/>
      <w:bookmarkEnd w:id="142"/>
      <w:bookmarkStart w:id="143" w:name="_Toc184314457"/>
      <w:bookmarkEnd w:id="143"/>
      <w:bookmarkStart w:id="144" w:name="_Toc184308043"/>
      <w:bookmarkEnd w:id="144"/>
      <w:bookmarkStart w:id="145" w:name="_Toc184308104"/>
      <w:bookmarkEnd w:id="145"/>
      <w:bookmarkStart w:id="146" w:name="_Toc184313268"/>
      <w:bookmarkEnd w:id="146"/>
      <w:bookmarkStart w:id="147" w:name="_Toc184310296"/>
      <w:bookmarkEnd w:id="147"/>
      <w:bookmarkStart w:id="148" w:name="_Toc184314448"/>
      <w:bookmarkEnd w:id="148"/>
      <w:bookmarkStart w:id="149" w:name="_Toc184310338"/>
      <w:bookmarkEnd w:id="149"/>
      <w:bookmarkStart w:id="150" w:name="_Toc184314474"/>
      <w:bookmarkEnd w:id="150"/>
      <w:bookmarkStart w:id="151" w:name="_Toc184308076"/>
      <w:bookmarkEnd w:id="151"/>
      <w:bookmarkStart w:id="152" w:name="_Toc184310316"/>
      <w:bookmarkEnd w:id="152"/>
      <w:bookmarkStart w:id="153" w:name="_Toc184313271"/>
      <w:bookmarkEnd w:id="153"/>
      <w:bookmarkStart w:id="154" w:name="_Toc184312100"/>
      <w:bookmarkEnd w:id="154"/>
      <w:bookmarkStart w:id="155" w:name="_Toc184313252"/>
      <w:bookmarkEnd w:id="155"/>
      <w:bookmarkStart w:id="156" w:name="_Toc184310335"/>
      <w:bookmarkEnd w:id="156"/>
      <w:bookmarkStart w:id="157" w:name="_Toc184308066"/>
      <w:bookmarkEnd w:id="157"/>
      <w:bookmarkStart w:id="158" w:name="_Toc184313292"/>
      <w:bookmarkEnd w:id="158"/>
      <w:bookmarkStart w:id="159" w:name="_Toc184313262"/>
      <w:bookmarkEnd w:id="159"/>
      <w:bookmarkStart w:id="160" w:name="_Toc184308079"/>
      <w:bookmarkEnd w:id="160"/>
      <w:bookmarkStart w:id="161" w:name="_Toc184312071"/>
      <w:bookmarkEnd w:id="161"/>
      <w:bookmarkStart w:id="162" w:name="_Toc184310319"/>
      <w:bookmarkEnd w:id="162"/>
      <w:bookmarkStart w:id="163" w:name="_Toc184310292"/>
      <w:bookmarkEnd w:id="163"/>
      <w:bookmarkStart w:id="164" w:name="_Toc184313254"/>
      <w:bookmarkEnd w:id="164"/>
      <w:bookmarkStart w:id="165" w:name="_Toc184310304"/>
      <w:bookmarkEnd w:id="165"/>
      <w:bookmarkStart w:id="166" w:name="_Toc184313302"/>
      <w:bookmarkEnd w:id="166"/>
      <w:bookmarkStart w:id="167" w:name="_Toc184312108"/>
      <w:bookmarkEnd w:id="167"/>
      <w:bookmarkStart w:id="168" w:name="_Toc184308061"/>
      <w:bookmarkEnd w:id="168"/>
      <w:bookmarkStart w:id="169" w:name="_Toc184314421"/>
      <w:bookmarkEnd w:id="169"/>
      <w:bookmarkStart w:id="170" w:name="_Toc184313248"/>
      <w:bookmarkEnd w:id="170"/>
      <w:bookmarkStart w:id="171" w:name="_Toc184314465"/>
      <w:bookmarkEnd w:id="171"/>
      <w:bookmarkStart w:id="172" w:name="_Toc184312137"/>
      <w:bookmarkEnd w:id="172"/>
      <w:bookmarkStart w:id="173" w:name="_Toc184308052"/>
      <w:bookmarkEnd w:id="173"/>
      <w:bookmarkStart w:id="174" w:name="_Toc184312075"/>
      <w:bookmarkEnd w:id="174"/>
      <w:bookmarkStart w:id="175" w:name="_Toc184310334"/>
      <w:bookmarkEnd w:id="175"/>
      <w:bookmarkStart w:id="176" w:name="_Toc184310305"/>
      <w:bookmarkEnd w:id="176"/>
      <w:bookmarkStart w:id="177" w:name="_Toc184312099"/>
      <w:bookmarkEnd w:id="177"/>
      <w:bookmarkStart w:id="178" w:name="_Toc184314458"/>
      <w:bookmarkEnd w:id="178"/>
      <w:bookmarkStart w:id="179" w:name="_Toc184313255"/>
      <w:bookmarkEnd w:id="179"/>
      <w:bookmarkStart w:id="180" w:name="_Toc184310302"/>
      <w:bookmarkEnd w:id="180"/>
      <w:bookmarkStart w:id="181" w:name="_Toc184313258"/>
      <w:bookmarkEnd w:id="181"/>
      <w:bookmarkStart w:id="182" w:name="_Toc184314429"/>
      <w:bookmarkEnd w:id="182"/>
      <w:bookmarkStart w:id="183" w:name="_Toc184313266"/>
      <w:bookmarkEnd w:id="183"/>
      <w:bookmarkStart w:id="184" w:name="_Toc184308068"/>
      <w:bookmarkEnd w:id="184"/>
      <w:bookmarkStart w:id="185" w:name="_Toc184312132"/>
      <w:bookmarkEnd w:id="185"/>
      <w:bookmarkStart w:id="186" w:name="_Toc184313306"/>
      <w:bookmarkEnd w:id="186"/>
      <w:bookmarkStart w:id="187" w:name="_Toc184312133"/>
      <w:bookmarkEnd w:id="187"/>
      <w:bookmarkStart w:id="188" w:name="_Toc184308084"/>
      <w:bookmarkEnd w:id="188"/>
      <w:bookmarkStart w:id="189" w:name="_Toc184308062"/>
      <w:bookmarkEnd w:id="189"/>
      <w:bookmarkStart w:id="190" w:name="_Toc184310286"/>
      <w:bookmarkEnd w:id="190"/>
      <w:bookmarkStart w:id="191" w:name="_Toc184312138"/>
      <w:bookmarkEnd w:id="191"/>
      <w:bookmarkStart w:id="192" w:name="_Toc184313265"/>
      <w:bookmarkEnd w:id="192"/>
      <w:bookmarkStart w:id="193" w:name="_Toc184313298"/>
      <w:bookmarkEnd w:id="193"/>
      <w:bookmarkStart w:id="194" w:name="_Toc184313247"/>
      <w:bookmarkEnd w:id="194"/>
      <w:bookmarkStart w:id="195" w:name="_Toc184312135"/>
      <w:bookmarkEnd w:id="195"/>
      <w:bookmarkStart w:id="196" w:name="_Toc184310315"/>
      <w:bookmarkEnd w:id="196"/>
      <w:bookmarkStart w:id="197" w:name="_Toc184312073"/>
      <w:bookmarkEnd w:id="197"/>
      <w:bookmarkStart w:id="198" w:name="_Toc184313250"/>
      <w:bookmarkEnd w:id="198"/>
      <w:bookmarkStart w:id="199" w:name="_Toc184312129"/>
      <w:bookmarkEnd w:id="199"/>
      <w:bookmarkStart w:id="200" w:name="_Toc184314413"/>
      <w:bookmarkEnd w:id="200"/>
      <w:bookmarkStart w:id="201" w:name="_Toc184312090"/>
      <w:bookmarkEnd w:id="201"/>
      <w:bookmarkStart w:id="202" w:name="_Toc184314453"/>
      <w:bookmarkEnd w:id="202"/>
      <w:bookmarkStart w:id="203" w:name="_Toc184310288"/>
      <w:bookmarkEnd w:id="203"/>
      <w:bookmarkStart w:id="204" w:name="_Toc184310293"/>
      <w:bookmarkEnd w:id="204"/>
      <w:bookmarkStart w:id="205" w:name="_Toc184308097"/>
      <w:bookmarkEnd w:id="205"/>
      <w:bookmarkStart w:id="206" w:name="_Toc184314462"/>
      <w:bookmarkEnd w:id="206"/>
      <w:bookmarkStart w:id="207" w:name="_Toc184314433"/>
      <w:bookmarkEnd w:id="207"/>
      <w:bookmarkStart w:id="208" w:name="_Toc184312085"/>
      <w:bookmarkEnd w:id="208"/>
      <w:bookmarkStart w:id="209" w:name="_Toc184310311"/>
      <w:bookmarkEnd w:id="209"/>
      <w:bookmarkStart w:id="210" w:name="_Toc184314469"/>
      <w:bookmarkEnd w:id="210"/>
      <w:bookmarkStart w:id="211" w:name="_Toc184312121"/>
      <w:bookmarkEnd w:id="211"/>
      <w:bookmarkStart w:id="212" w:name="_Toc184308071"/>
      <w:bookmarkEnd w:id="212"/>
      <w:bookmarkStart w:id="213" w:name="_Toc184314456"/>
      <w:bookmarkEnd w:id="213"/>
      <w:bookmarkStart w:id="214" w:name="_Toc184314451"/>
      <w:bookmarkEnd w:id="214"/>
      <w:bookmarkStart w:id="215" w:name="_Toc184313276"/>
      <w:bookmarkEnd w:id="215"/>
      <w:bookmarkStart w:id="216" w:name="_Toc184312126"/>
      <w:bookmarkEnd w:id="216"/>
      <w:bookmarkStart w:id="217" w:name="_Toc184313244"/>
      <w:bookmarkEnd w:id="217"/>
      <w:bookmarkStart w:id="218" w:name="_Toc184308095"/>
      <w:bookmarkEnd w:id="218"/>
      <w:bookmarkStart w:id="219" w:name="_Toc184314471"/>
      <w:bookmarkEnd w:id="219"/>
      <w:bookmarkStart w:id="220" w:name="_Toc184310285"/>
      <w:bookmarkEnd w:id="220"/>
      <w:bookmarkStart w:id="221" w:name="_Toc184308077"/>
      <w:bookmarkEnd w:id="221"/>
      <w:bookmarkStart w:id="222" w:name="_Toc184308086"/>
      <w:bookmarkEnd w:id="222"/>
      <w:bookmarkStart w:id="223" w:name="_Toc184312101"/>
      <w:bookmarkEnd w:id="223"/>
      <w:bookmarkStart w:id="224" w:name="_Toc184310297"/>
      <w:bookmarkEnd w:id="224"/>
      <w:bookmarkStart w:id="225" w:name="_Toc184314455"/>
      <w:bookmarkEnd w:id="225"/>
      <w:bookmarkStart w:id="226" w:name="_Toc184313259"/>
      <w:bookmarkEnd w:id="226"/>
      <w:bookmarkStart w:id="227" w:name="_Toc184308072"/>
      <w:bookmarkEnd w:id="227"/>
      <w:bookmarkStart w:id="228" w:name="_Toc184314445"/>
      <w:bookmarkEnd w:id="228"/>
      <w:bookmarkStart w:id="229" w:name="_Toc184308047"/>
      <w:bookmarkEnd w:id="229"/>
      <w:bookmarkStart w:id="230" w:name="_Toc184310283"/>
      <w:bookmarkEnd w:id="230"/>
      <w:bookmarkStart w:id="231" w:name="_Toc184313256"/>
      <w:bookmarkEnd w:id="231"/>
      <w:bookmarkStart w:id="232" w:name="_Toc184314470"/>
      <w:bookmarkEnd w:id="232"/>
      <w:bookmarkStart w:id="233" w:name="_Toc184308048"/>
      <w:bookmarkEnd w:id="233"/>
      <w:bookmarkStart w:id="234" w:name="_Toc184313291"/>
      <w:bookmarkEnd w:id="234"/>
      <w:bookmarkStart w:id="235" w:name="_Toc184313246"/>
      <w:bookmarkEnd w:id="235"/>
      <w:bookmarkStart w:id="236" w:name="_Toc184308053"/>
      <w:bookmarkEnd w:id="236"/>
      <w:bookmarkStart w:id="237" w:name="_Toc184314460"/>
      <w:bookmarkEnd w:id="237"/>
      <w:bookmarkStart w:id="238" w:name="_Toc184312093"/>
      <w:bookmarkEnd w:id="238"/>
      <w:bookmarkStart w:id="239" w:name="_Toc184313295"/>
      <w:bookmarkEnd w:id="239"/>
      <w:bookmarkStart w:id="240" w:name="_Toc184313296"/>
      <w:bookmarkEnd w:id="240"/>
      <w:bookmarkStart w:id="241" w:name="_Toc184313238"/>
      <w:bookmarkEnd w:id="241"/>
      <w:bookmarkStart w:id="242" w:name="_Toc184310307"/>
      <w:bookmarkEnd w:id="242"/>
      <w:bookmarkStart w:id="243" w:name="_Toc184314461"/>
      <w:bookmarkEnd w:id="243"/>
      <w:bookmarkStart w:id="244" w:name="_Toc184310336"/>
      <w:bookmarkEnd w:id="244"/>
      <w:bookmarkStart w:id="245" w:name="_Toc184312091"/>
      <w:bookmarkEnd w:id="245"/>
      <w:bookmarkStart w:id="246" w:name="_Toc184310281"/>
      <w:bookmarkEnd w:id="246"/>
      <w:bookmarkStart w:id="247" w:name="_Toc184312096"/>
      <w:bookmarkEnd w:id="247"/>
      <w:bookmarkStart w:id="248" w:name="_Toc184314416"/>
      <w:bookmarkEnd w:id="248"/>
      <w:bookmarkStart w:id="249" w:name="_Toc184308099"/>
      <w:bookmarkEnd w:id="249"/>
      <w:bookmarkStart w:id="250" w:name="_Toc184313299"/>
      <w:bookmarkEnd w:id="250"/>
      <w:bookmarkStart w:id="251" w:name="_Toc184312136"/>
      <w:bookmarkEnd w:id="251"/>
      <w:bookmarkStart w:id="252" w:name="_Toc184314410"/>
      <w:bookmarkEnd w:id="252"/>
      <w:bookmarkStart w:id="253" w:name="_Toc184314412"/>
      <w:bookmarkEnd w:id="253"/>
      <w:bookmarkStart w:id="254" w:name="_Toc184310294"/>
      <w:bookmarkEnd w:id="254"/>
      <w:bookmarkStart w:id="255" w:name="_Toc184310287"/>
      <w:bookmarkEnd w:id="255"/>
      <w:bookmarkStart w:id="256" w:name="_Toc184312079"/>
      <w:bookmarkEnd w:id="256"/>
      <w:bookmarkStart w:id="257" w:name="_Toc184308093"/>
      <w:bookmarkEnd w:id="257"/>
      <w:bookmarkStart w:id="258" w:name="_Toc184308098"/>
      <w:bookmarkEnd w:id="258"/>
      <w:bookmarkStart w:id="259" w:name="_Toc184308085"/>
      <w:bookmarkEnd w:id="259"/>
      <w:bookmarkStart w:id="260" w:name="_Toc184313304"/>
      <w:bookmarkEnd w:id="260"/>
      <w:bookmarkStart w:id="261" w:name="_Toc184314442"/>
      <w:bookmarkEnd w:id="261"/>
      <w:bookmarkStart w:id="262" w:name="_Toc184310279"/>
      <w:bookmarkEnd w:id="262"/>
      <w:bookmarkStart w:id="263" w:name="_Toc184308073"/>
      <w:bookmarkEnd w:id="263"/>
      <w:bookmarkStart w:id="264" w:name="_Toc184314478"/>
      <w:bookmarkEnd w:id="264"/>
      <w:bookmarkStart w:id="265" w:name="_Toc184308049"/>
      <w:bookmarkEnd w:id="265"/>
      <w:bookmarkStart w:id="266" w:name="_Toc184314466"/>
      <w:bookmarkEnd w:id="266"/>
      <w:bookmarkStart w:id="267" w:name="_Toc184314420"/>
      <w:bookmarkEnd w:id="267"/>
      <w:bookmarkStart w:id="268" w:name="_Toc184310276"/>
      <w:bookmarkEnd w:id="268"/>
      <w:bookmarkStart w:id="269" w:name="_Toc184308074"/>
      <w:bookmarkEnd w:id="269"/>
      <w:bookmarkStart w:id="270" w:name="_Toc184314467"/>
      <w:bookmarkEnd w:id="270"/>
      <w:bookmarkStart w:id="271" w:name="_Toc184312107"/>
      <w:bookmarkEnd w:id="271"/>
      <w:bookmarkStart w:id="272" w:name="_Toc184308055"/>
      <w:bookmarkEnd w:id="272"/>
      <w:bookmarkStart w:id="273" w:name="_Toc184312105"/>
      <w:bookmarkEnd w:id="273"/>
      <w:bookmarkStart w:id="274" w:name="_Toc184313305"/>
      <w:bookmarkEnd w:id="274"/>
      <w:bookmarkStart w:id="275" w:name="_Toc184312083"/>
      <w:bookmarkEnd w:id="275"/>
      <w:bookmarkStart w:id="276" w:name="_Toc184312084"/>
      <w:bookmarkEnd w:id="276"/>
      <w:bookmarkStart w:id="277" w:name="_Toc184310325"/>
      <w:bookmarkEnd w:id="277"/>
      <w:bookmarkStart w:id="278" w:name="_Toc184312095"/>
      <w:bookmarkEnd w:id="278"/>
      <w:bookmarkStart w:id="279" w:name="_Toc184308064"/>
      <w:bookmarkEnd w:id="279"/>
      <w:bookmarkStart w:id="280" w:name="_Toc184308105"/>
      <w:bookmarkEnd w:id="280"/>
      <w:bookmarkStart w:id="281" w:name="_Toc184313270"/>
      <w:bookmarkEnd w:id="281"/>
      <w:bookmarkStart w:id="282" w:name="_Toc184308041"/>
      <w:bookmarkEnd w:id="282"/>
      <w:bookmarkStart w:id="283" w:name="_Toc184314439"/>
      <w:bookmarkEnd w:id="283"/>
      <w:bookmarkStart w:id="284" w:name="_Toc184312094"/>
      <w:bookmarkEnd w:id="284"/>
      <w:bookmarkStart w:id="285" w:name="_Toc184308083"/>
      <w:bookmarkEnd w:id="285"/>
      <w:bookmarkStart w:id="286" w:name="_Toc184310308"/>
      <w:bookmarkEnd w:id="286"/>
      <w:bookmarkStart w:id="287" w:name="_Toc184314476"/>
      <w:bookmarkEnd w:id="287"/>
      <w:bookmarkStart w:id="288" w:name="_Toc184310321"/>
      <w:bookmarkEnd w:id="288"/>
      <w:bookmarkStart w:id="289" w:name="_Toc184314430"/>
      <w:bookmarkEnd w:id="289"/>
      <w:bookmarkStart w:id="290" w:name="_Toc184312077"/>
      <w:bookmarkEnd w:id="290"/>
      <w:bookmarkStart w:id="291" w:name="_Toc184308054"/>
      <w:bookmarkEnd w:id="291"/>
      <w:bookmarkStart w:id="292" w:name="_Toc184308046"/>
      <w:bookmarkEnd w:id="292"/>
      <w:bookmarkStart w:id="293" w:name="_Toc184312102"/>
      <w:bookmarkEnd w:id="293"/>
      <w:bookmarkStart w:id="294" w:name="_Toc184308058"/>
      <w:bookmarkEnd w:id="294"/>
      <w:bookmarkStart w:id="295" w:name="_Toc184308065"/>
      <w:bookmarkEnd w:id="295"/>
      <w:bookmarkStart w:id="296" w:name="_Toc184314417"/>
      <w:bookmarkEnd w:id="296"/>
      <w:bookmarkStart w:id="297" w:name="_Toc184313280"/>
      <w:bookmarkEnd w:id="297"/>
      <w:bookmarkStart w:id="298" w:name="_Toc184312115"/>
      <w:bookmarkEnd w:id="298"/>
      <w:bookmarkStart w:id="299" w:name="_Toc184312106"/>
      <w:bookmarkEnd w:id="299"/>
      <w:bookmarkStart w:id="300" w:name="_Toc184312109"/>
      <w:bookmarkEnd w:id="300"/>
      <w:bookmarkStart w:id="301" w:name="_Toc184312070"/>
      <w:bookmarkEnd w:id="301"/>
      <w:bookmarkStart w:id="302" w:name="_Toc184312092"/>
      <w:bookmarkEnd w:id="302"/>
      <w:bookmarkStart w:id="303" w:name="_Toc184313272"/>
      <w:bookmarkEnd w:id="303"/>
      <w:bookmarkStart w:id="304" w:name="_Toc184313245"/>
      <w:bookmarkEnd w:id="304"/>
      <w:bookmarkStart w:id="305" w:name="_Toc184308080"/>
      <w:bookmarkEnd w:id="305"/>
      <w:bookmarkStart w:id="306" w:name="_Toc184314431"/>
      <w:bookmarkEnd w:id="306"/>
      <w:bookmarkStart w:id="307" w:name="_Toc184313261"/>
      <w:bookmarkEnd w:id="307"/>
      <w:bookmarkStart w:id="308" w:name="_Toc184312082"/>
      <w:bookmarkEnd w:id="308"/>
      <w:bookmarkStart w:id="309" w:name="_Toc184314463"/>
      <w:bookmarkEnd w:id="309"/>
      <w:bookmarkStart w:id="310" w:name="_Toc184310300"/>
      <w:bookmarkEnd w:id="310"/>
      <w:bookmarkStart w:id="311" w:name="_Toc184314450"/>
      <w:bookmarkEnd w:id="311"/>
      <w:bookmarkStart w:id="312" w:name="_Toc184310295"/>
      <w:bookmarkEnd w:id="312"/>
      <w:bookmarkStart w:id="313" w:name="_Toc184312098"/>
      <w:bookmarkEnd w:id="313"/>
      <w:bookmarkStart w:id="314" w:name="_Toc184310342"/>
      <w:bookmarkEnd w:id="314"/>
      <w:bookmarkStart w:id="315" w:name="_Toc184312127"/>
      <w:bookmarkEnd w:id="315"/>
      <w:bookmarkStart w:id="316" w:name="_Toc184312124"/>
      <w:bookmarkEnd w:id="316"/>
      <w:bookmarkStart w:id="317" w:name="_Toc184314423"/>
      <w:bookmarkEnd w:id="317"/>
      <w:bookmarkStart w:id="318" w:name="_Toc184308045"/>
      <w:bookmarkEnd w:id="318"/>
      <w:bookmarkStart w:id="319" w:name="_Toc184308037"/>
      <w:bookmarkEnd w:id="319"/>
      <w:bookmarkStart w:id="320" w:name="_Toc184314425"/>
      <w:bookmarkEnd w:id="320"/>
      <w:bookmarkStart w:id="321" w:name="_Toc184312113"/>
      <w:bookmarkEnd w:id="321"/>
      <w:bookmarkStart w:id="322" w:name="_Toc184314443"/>
      <w:bookmarkEnd w:id="322"/>
      <w:bookmarkStart w:id="323" w:name="_Toc184310312"/>
      <w:bookmarkEnd w:id="323"/>
      <w:bookmarkStart w:id="324" w:name="_Toc184313289"/>
      <w:bookmarkEnd w:id="324"/>
      <w:bookmarkStart w:id="325" w:name="_Toc184310301"/>
      <w:bookmarkEnd w:id="325"/>
      <w:bookmarkStart w:id="326" w:name="_Toc184310303"/>
      <w:bookmarkEnd w:id="326"/>
      <w:bookmarkStart w:id="327" w:name="_Toc184312119"/>
      <w:bookmarkEnd w:id="327"/>
      <w:bookmarkStart w:id="328" w:name="_Toc184310332"/>
      <w:bookmarkEnd w:id="328"/>
      <w:bookmarkStart w:id="329" w:name="_Toc184313282"/>
      <w:bookmarkEnd w:id="329"/>
      <w:bookmarkStart w:id="330" w:name="_Toc184314449"/>
      <w:bookmarkEnd w:id="330"/>
      <w:bookmarkStart w:id="331" w:name="_Toc184313269"/>
      <w:bookmarkEnd w:id="331"/>
      <w:bookmarkStart w:id="332" w:name="_Toc184308107"/>
      <w:bookmarkEnd w:id="332"/>
      <w:bookmarkStart w:id="333" w:name="_Toc184314437"/>
      <w:bookmarkEnd w:id="333"/>
      <w:bookmarkStart w:id="334" w:name="_Toc184308063"/>
      <w:bookmarkEnd w:id="334"/>
      <w:bookmarkStart w:id="335" w:name="_Toc184313278"/>
      <w:bookmarkEnd w:id="335"/>
      <w:bookmarkStart w:id="336" w:name="_Toc184313281"/>
      <w:bookmarkEnd w:id="336"/>
      <w:bookmarkStart w:id="337" w:name="_Toc184308069"/>
      <w:bookmarkEnd w:id="337"/>
      <w:bookmarkStart w:id="338" w:name="_Toc184308092"/>
      <w:bookmarkEnd w:id="338"/>
      <w:bookmarkStart w:id="339" w:name="_Toc184310277"/>
      <w:bookmarkEnd w:id="339"/>
      <w:bookmarkStart w:id="340" w:name="_Toc184308081"/>
      <w:bookmarkEnd w:id="340"/>
      <w:bookmarkStart w:id="341" w:name="_Toc184314435"/>
      <w:bookmarkEnd w:id="341"/>
      <w:bookmarkStart w:id="342" w:name="_Toc184310318"/>
      <w:bookmarkEnd w:id="342"/>
      <w:bookmarkStart w:id="343" w:name="_Toc184312110"/>
      <w:bookmarkEnd w:id="343"/>
      <w:bookmarkStart w:id="344" w:name="_Toc184310289"/>
      <w:bookmarkEnd w:id="344"/>
      <w:bookmarkStart w:id="345" w:name="_Toc184312131"/>
      <w:bookmarkEnd w:id="345"/>
      <w:bookmarkStart w:id="346" w:name="_Toc184313309"/>
      <w:bookmarkEnd w:id="346"/>
      <w:bookmarkStart w:id="347" w:name="_Toc184313288"/>
      <w:bookmarkEnd w:id="347"/>
      <w:bookmarkStart w:id="348" w:name="_Toc184308089"/>
      <w:bookmarkEnd w:id="348"/>
      <w:bookmarkStart w:id="349" w:name="_Toc184314418"/>
      <w:bookmarkEnd w:id="349"/>
      <w:bookmarkStart w:id="350" w:name="_Toc184314444"/>
      <w:bookmarkEnd w:id="350"/>
      <w:bookmarkStart w:id="351" w:name="_Toc184308056"/>
      <w:bookmarkEnd w:id="351"/>
      <w:bookmarkStart w:id="352" w:name="_Toc184313239"/>
      <w:bookmarkEnd w:id="352"/>
      <w:bookmarkStart w:id="353" w:name="_Toc184312134"/>
      <w:bookmarkEnd w:id="353"/>
      <w:bookmarkStart w:id="354" w:name="_Toc184314432"/>
      <w:bookmarkEnd w:id="354"/>
      <w:bookmarkStart w:id="355" w:name="_Toc184310337"/>
      <w:bookmarkEnd w:id="355"/>
      <w:bookmarkStart w:id="356" w:name="_Toc184312089"/>
      <w:bookmarkEnd w:id="356"/>
      <w:bookmarkStart w:id="357" w:name="_Toc184310339"/>
      <w:bookmarkEnd w:id="357"/>
      <w:bookmarkStart w:id="358" w:name="_Toc184313308"/>
      <w:bookmarkEnd w:id="358"/>
      <w:bookmarkStart w:id="359" w:name="_Toc184314438"/>
      <w:bookmarkEnd w:id="359"/>
      <w:bookmarkStart w:id="360" w:name="_Toc184312086"/>
      <w:bookmarkEnd w:id="360"/>
      <w:bookmarkStart w:id="361" w:name="_Toc184314475"/>
      <w:bookmarkEnd w:id="361"/>
      <w:bookmarkStart w:id="362" w:name="_Toc184313274"/>
      <w:bookmarkEnd w:id="362"/>
      <w:bookmarkStart w:id="363" w:name="_Toc184312097"/>
      <w:bookmarkEnd w:id="363"/>
      <w:bookmarkStart w:id="364" w:name="_Toc184310273"/>
      <w:bookmarkEnd w:id="364"/>
      <w:bookmarkStart w:id="365" w:name="_Toc184314477"/>
      <w:bookmarkEnd w:id="365"/>
      <w:bookmarkStart w:id="366" w:name="_Toc184310309"/>
      <w:bookmarkEnd w:id="366"/>
      <w:bookmarkStart w:id="367" w:name="_Toc184310310"/>
      <w:bookmarkEnd w:id="367"/>
      <w:bookmarkStart w:id="368" w:name="_Toc184313241"/>
      <w:bookmarkEnd w:id="368"/>
      <w:bookmarkStart w:id="369" w:name="_Toc184310317"/>
      <w:bookmarkEnd w:id="369"/>
      <w:bookmarkStart w:id="370" w:name="_Toc184310333"/>
      <w:bookmarkEnd w:id="370"/>
      <w:bookmarkStart w:id="371" w:name="_Toc184310284"/>
      <w:bookmarkEnd w:id="371"/>
      <w:bookmarkStart w:id="372" w:name="_Toc184308087"/>
      <w:bookmarkEnd w:id="372"/>
      <w:bookmarkStart w:id="373" w:name="_Toc184314440"/>
      <w:bookmarkEnd w:id="373"/>
      <w:bookmarkStart w:id="374" w:name="_Toc184314452"/>
      <w:bookmarkEnd w:id="374"/>
      <w:bookmarkStart w:id="375" w:name="_Toc184308050"/>
      <w:bookmarkEnd w:id="375"/>
      <w:bookmarkStart w:id="376" w:name="_Toc184314419"/>
      <w:bookmarkEnd w:id="376"/>
      <w:bookmarkStart w:id="377" w:name="_Toc184313297"/>
      <w:bookmarkEnd w:id="377"/>
      <w:bookmarkStart w:id="378" w:name="_Toc184312130"/>
      <w:bookmarkEnd w:id="378"/>
      <w:bookmarkStart w:id="379" w:name="_Toc184314480"/>
      <w:bookmarkEnd w:id="379"/>
      <w:bookmarkStart w:id="380" w:name="_Toc184312112"/>
      <w:bookmarkEnd w:id="380"/>
      <w:bookmarkStart w:id="381" w:name="_Toc184313243"/>
      <w:bookmarkEnd w:id="381"/>
      <w:bookmarkStart w:id="382" w:name="_Toc184310278"/>
      <w:bookmarkEnd w:id="382"/>
      <w:bookmarkStart w:id="383" w:name="_Toc184310282"/>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pPr>
        <w:pStyle w:val="8"/>
        <w:ind w:firstLine="480" w:firstLineChars="200"/>
        <w:rPr>
          <w:highlight w:val="none"/>
        </w:rPr>
      </w:pPr>
      <w:r>
        <w:rPr>
          <w:highlight w:val="none"/>
          <w:lang w:val="en-US"/>
        </w:rPr>
        <w:t>1.1</w:t>
      </w:r>
      <w:r>
        <w:rPr>
          <w:rFonts w:hint="eastAsia"/>
          <w:highlight w:val="none"/>
        </w:rPr>
        <w:t>若出现税率不一致的情况，以除税总金额相对比。</w:t>
      </w:r>
    </w:p>
    <w:p>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6"/>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2025-2026年蓄能器等液压备件采购项目（第二次）</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26"/>
        <w:ind w:left="0" w:leftChars="0" w:firstLine="0" w:firstLineChars="0"/>
        <w:rPr>
          <w:rFonts w:ascii="宋体" w:hAnsi="宋体" w:cs="宋体"/>
          <w:b/>
          <w:szCs w:val="24"/>
        </w:rPr>
      </w:pPr>
    </w:p>
    <w:p>
      <w:pPr>
        <w:pStyle w:val="9"/>
        <w:jc w:val="center"/>
        <w:rPr>
          <w:rFonts w:eastAsia="宋体"/>
          <w:b/>
          <w:bCs/>
        </w:rPr>
      </w:pPr>
      <w:r>
        <w:rPr>
          <w:rFonts w:hint="eastAsia"/>
          <w:b/>
          <w:bCs/>
        </w:rPr>
        <w:t>目录</w:t>
      </w:r>
    </w:p>
    <w:p>
      <w:pPr>
        <w:pStyle w:val="10"/>
        <w:spacing w:line="360" w:lineRule="auto"/>
        <w:ind w:firstLine="240" w:firstLineChars="100"/>
      </w:pPr>
      <w:r>
        <w:rPr>
          <w:rFonts w:hint="eastAsia"/>
        </w:rPr>
        <w:t>第一章 合同书  ……………………………………………………………（页码）</w:t>
      </w:r>
    </w:p>
    <w:p>
      <w:pPr>
        <w:pStyle w:val="10"/>
        <w:spacing w:line="360" w:lineRule="auto"/>
        <w:ind w:firstLine="240" w:firstLineChars="100"/>
      </w:pPr>
      <w:r>
        <w:rPr>
          <w:rFonts w:hint="eastAsia"/>
        </w:rPr>
        <w:t>第二章 合同一般条款………………………………………………………（页码）</w:t>
      </w:r>
    </w:p>
    <w:p>
      <w:pPr>
        <w:pStyle w:val="10"/>
        <w:spacing w:line="360" w:lineRule="auto"/>
        <w:ind w:firstLine="240" w:firstLineChars="100"/>
      </w:pPr>
      <w:r>
        <w:rPr>
          <w:rFonts w:hint="eastAsia"/>
        </w:rPr>
        <w:t>第三章 廉洁协议……………………………………………………………（页码）</w:t>
      </w:r>
    </w:p>
    <w:p>
      <w:pPr>
        <w:pStyle w:val="10"/>
        <w:spacing w:line="360" w:lineRule="auto"/>
        <w:ind w:firstLine="240" w:firstLineChars="100"/>
        <w:rPr>
          <w:rFonts w:hint="eastAsia"/>
        </w:rPr>
      </w:pPr>
    </w:p>
    <w:p>
      <w:pPr>
        <w:pStyle w:val="26"/>
        <w:rPr>
          <w:rFonts w:ascii="宋体" w:hAnsi="宋体" w:cs="宋体"/>
          <w:szCs w:val="24"/>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26"/>
        <w:ind w:left="0" w:leftChars="0" w:firstLine="0" w:firstLineChars="0"/>
        <w:jc w:val="both"/>
        <w:rPr>
          <w:rFonts w:ascii="宋体" w:hAnsi="宋体" w:cs="宋体"/>
          <w:b/>
          <w:szCs w:val="24"/>
        </w:rPr>
      </w:pPr>
    </w:p>
    <w:p>
      <w:pPr>
        <w:pStyle w:val="26"/>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2025-2026年蓄能器等液压备件采购项目（第二次）</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232"/>
      <w:bookmarkStart w:id="386" w:name="_Toc2405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1295"/>
      <w:bookmarkStart w:id="388" w:name="_Toc27126"/>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7"/>
        <w:spacing w:before="0" w:beforeAutospacing="0" w:after="0" w:afterAutospacing="0" w:line="360" w:lineRule="auto"/>
        <w:ind w:firstLine="480"/>
        <w:rPr>
          <w:color w:val="auto"/>
        </w:rPr>
      </w:pPr>
      <w:r>
        <w:rPr>
          <w:rFonts w:hint="eastAsia"/>
          <w:bCs/>
          <w:color w:val="auto"/>
        </w:rPr>
        <w:t>2</w:t>
      </w:r>
      <w:r>
        <w:rPr>
          <w:bCs/>
          <w:color w:val="auto"/>
        </w:rPr>
        <w:t>.</w:t>
      </w:r>
      <w:r>
        <w:rPr>
          <w:rFonts w:hint="eastAsia"/>
          <w:bCs/>
          <w:color w:val="auto"/>
        </w:rPr>
        <w:t xml:space="preserve">本合同 </w:t>
      </w:r>
      <w:r>
        <w:rPr>
          <w:rFonts w:hint="eastAsia"/>
          <w:bCs/>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Cs/>
          <w:color w:val="auto"/>
        </w:rPr>
        <w:t>需要乙方安装。</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89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3"/>
        <w:gridCol w:w="1316"/>
        <w:gridCol w:w="658"/>
        <w:gridCol w:w="3622"/>
        <w:gridCol w:w="655"/>
        <w:gridCol w:w="600"/>
        <w:gridCol w:w="676"/>
        <w:gridCol w:w="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物资名称</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推荐品牌</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规格型号</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暂定数量</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单价（元）</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31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卸料门油缸</w:t>
            </w:r>
          </w:p>
        </w:tc>
        <w:tc>
          <w:tcPr>
            <w:tcW w:w="65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型号：D63/d40/S420 缸径63mm，活塞杆外径40mm，全行程420mm，双作用双杆拉杆缸，密封圈材质氟橡胶；工作压力100bar，最高压力210bar，工作温度-10℃-100℃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4"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31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出渣机油缸</w:t>
            </w:r>
          </w:p>
        </w:tc>
        <w:tc>
          <w:tcPr>
            <w:tcW w:w="65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HZ2TC200B140B600-CATKJN-X缸径200mm，杆径112mm，全行程600m，双作用双杆拉杆缸，密封圈材质氟橡胶；工作压力140bar，最高压力210bar，工作温度-10℃-100℃，含油缸接头、出渣机液压缸保护套、液压缸导轨及行程开关等（原厂家派克汉尼汾）</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3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出渣机油缸油管</w:t>
            </w:r>
          </w:p>
        </w:tc>
        <w:tc>
          <w:tcPr>
            <w:tcW w:w="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型号：接头1分接头螺纹，胶管长度1.5米，压力32MPA，不锈钢金属防护网，双层扣押；含对应接头RC螺纹接头(原型号：G1/C-L1500)；工作温度-20℃~100℃（原厂家派克汉尼汾）</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3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料斗油缸油管</w:t>
            </w:r>
          </w:p>
        </w:tc>
        <w:tc>
          <w:tcPr>
            <w:tcW w:w="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型号：RC3/4 D-1500，胶管长度1.5米，压力32MPA，不锈钢金属防护网，双层扣押；含对应RC螺纹接头：RC3/4 ，工作温度-20℃~100℃（原厂家派克汉尼汾）</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3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出渣机活塞杆吊耳铜套</w:t>
            </w:r>
          </w:p>
        </w:tc>
        <w:tc>
          <w:tcPr>
            <w:tcW w:w="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型号：200TAP  石墨铜套外径120mm，内径100.3mm（用于外径100mm的销轴），高度140mm，含注油槽（原厂家派克汉尼汾）</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3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出渣机活塞杆吊耳销轴</w:t>
            </w:r>
          </w:p>
        </w:tc>
        <w:tc>
          <w:tcPr>
            <w:tcW w:w="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型号：200 TT；销轴长度350mm，外径100mm，含止推槽；材质#45钢（原厂家派克汉尼汾）</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3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油缸双侧耳轴铜套</w:t>
            </w:r>
          </w:p>
        </w:tc>
        <w:tc>
          <w:tcPr>
            <w:tcW w:w="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型号：DHZ200TT；石墨铜套内径90.2mm，外径110mm，高度90mm</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3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料斗挡板门防尘罩</w:t>
            </w:r>
          </w:p>
        </w:tc>
        <w:tc>
          <w:tcPr>
            <w:tcW w:w="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伸缩长度1.4米，双头碳钢法兰外径770mm，内径640mm；防尘罩本体采用2层布料，外层使用耐温材质需达1000℃以上（朝外），内层使用双面布料需达200℃以上</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3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90°弯头</w:t>
            </w:r>
          </w:p>
        </w:tc>
        <w:tc>
          <w:tcPr>
            <w:tcW w:w="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304承插焊弯头，耐压210KG；304 RC3/4 6分 DN20 承插孔28mm</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3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304无缝钢管</w:t>
            </w:r>
          </w:p>
        </w:tc>
        <w:tc>
          <w:tcPr>
            <w:tcW w:w="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规格：φ28*4；材质304</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3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304无缝钢管</w:t>
            </w:r>
          </w:p>
        </w:tc>
        <w:tc>
          <w:tcPr>
            <w:tcW w:w="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规格：φ42*4；材质304</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3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囊式蓄能器</w:t>
            </w:r>
          </w:p>
        </w:tc>
        <w:tc>
          <w:tcPr>
            <w:tcW w:w="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型号：NXQ-10/31.5-L-ZD  主体材料：35CrMo，公称容积10L，工作压力：31.5MPa，介质：石油基液压油、氮气，试验压力40MPa，出厂氮气压力：9.1MPa</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3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囊式蓄能器</w:t>
            </w:r>
          </w:p>
        </w:tc>
        <w:tc>
          <w:tcPr>
            <w:tcW w:w="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规格型号：NXQ-25/31.5-L-ZD  主体材料：35CrMo， 公称容积25L，工作压力：31.5MPa，介质：石油基液压油、氮气，试验压力40MPa，出厂氮气压力：9.2MPa</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62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合计</w:t>
            </w:r>
          </w:p>
        </w:tc>
        <w:tc>
          <w:tcPr>
            <w:tcW w:w="275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bl>
    <w:p>
      <w:pPr>
        <w:spacing w:line="360" w:lineRule="auto"/>
        <w:rPr>
          <w:rFonts w:hint="eastAsia" w:ascii="宋体" w:hAnsi="宋体" w:cs="宋体"/>
          <w:color w:val="auto"/>
          <w:sz w:val="24"/>
        </w:rPr>
      </w:pP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color w:val="auto"/>
          <w:sz w:val="24"/>
        </w:rPr>
        <w:t>4.货物数量</w:t>
      </w:r>
      <w:r>
        <w:rPr>
          <w:rFonts w:hint="eastAsia" w:ascii="宋体" w:hAnsi="宋体" w:cs="宋体"/>
          <w:color w:val="auto"/>
          <w:sz w:val="24"/>
          <w:u w:val="single"/>
        </w:rPr>
        <w:t>：</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r>
        <w:rPr>
          <w:rFonts w:hint="eastAsia" w:ascii="宋体" w:hAnsi="宋体" w:cs="宋体"/>
          <w:color w:val="auto"/>
          <w:sz w:val="24"/>
          <w:u w:val="single"/>
          <w:lang w:val="en-US" w:eastAsia="zh-CN"/>
        </w:rPr>
        <w:t>。</w:t>
      </w:r>
    </w:p>
    <w:p>
      <w:pPr>
        <w:pStyle w:val="27"/>
        <w:spacing w:before="0" w:beforeAutospacing="0" w:after="0" w:afterAutospacing="0" w:line="360" w:lineRule="auto"/>
        <w:ind w:firstLine="480"/>
        <w:rPr>
          <w:b/>
        </w:rPr>
      </w:pPr>
      <w:bookmarkStart w:id="390" w:name="_Toc10340"/>
      <w:bookmarkStart w:id="391" w:name="_Toc1814"/>
      <w:bookmarkStart w:id="392" w:name="_Toc22618"/>
      <w:r>
        <w:rPr>
          <w:rFonts w:hint="eastAsia"/>
          <w:b/>
        </w:rPr>
        <w:t>三、合同期限、货物交付期限、地点和联系方式、交付方式</w:t>
      </w:r>
    </w:p>
    <w:p>
      <w:pPr>
        <w:spacing w:line="360" w:lineRule="auto"/>
        <w:ind w:firstLine="480" w:firstLineChars="200"/>
        <w:rPr>
          <w:rFonts w:hint="eastAsia" w:ascii="宋体" w:hAnsi="宋体" w:cs="宋体"/>
          <w:sz w:val="24"/>
        </w:rPr>
      </w:pPr>
      <w:r>
        <w:rPr>
          <w:rFonts w:hint="eastAsia" w:ascii="宋体" w:hAnsi="宋体" w:cs="宋体"/>
          <w:sz w:val="24"/>
        </w:rPr>
        <w:t>1.合同期限：</w:t>
      </w:r>
    </w:p>
    <w:p>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r>
        <w:rPr>
          <w:rFonts w:hint="eastAsia" w:ascii="宋体" w:hAnsi="宋体" w:eastAsia="宋体" w:cs="宋体"/>
          <w:color w:val="0000FF"/>
          <w:sz w:val="24"/>
          <w:u w:val="single"/>
          <w:lang w:val="en-US" w:eastAsia="zh-CN"/>
        </w:rPr>
        <w:t>（以采购订单下达时间为准）</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自采购订单下达后30天内完成供货</w:t>
      </w:r>
      <w:r>
        <w:rPr>
          <w:rFonts w:hint="eastAsia" w:ascii="宋体" w:hAnsi="宋体" w:cs="宋体"/>
          <w:sz w:val="24"/>
          <w:u w:val="non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7"/>
        <w:spacing w:before="0" w:beforeAutospacing="0" w:after="0" w:afterAutospacing="0" w:line="360" w:lineRule="auto"/>
        <w:ind w:firstLine="480"/>
        <w:rPr>
          <w:b/>
        </w:rPr>
      </w:pPr>
      <w:r>
        <w:rPr>
          <w:rFonts w:hint="eastAsia"/>
          <w:b/>
        </w:rPr>
        <w:t>四、技术和质量要求</w:t>
      </w:r>
    </w:p>
    <w:p>
      <w:pPr>
        <w:pStyle w:val="8"/>
        <w:ind w:firstLine="480" w:firstLineChars="200"/>
        <w:rPr>
          <w:rFonts w:hint="eastAsia"/>
          <w:color w:val="auto"/>
          <w:highlight w:val="none"/>
          <w:lang w:val="en-US" w:eastAsia="zh-CN"/>
        </w:rPr>
      </w:pPr>
      <w:bookmarkStart w:id="393" w:name="_Toc1125"/>
      <w:bookmarkStart w:id="394" w:name="_Toc6596"/>
      <w:bookmarkStart w:id="395" w:name="_Toc14563"/>
      <w:r>
        <w:rPr>
          <w:rFonts w:hint="eastAsia"/>
          <w:color w:val="auto"/>
          <w:highlight w:val="none"/>
          <w:lang w:val="en-US" w:eastAsia="zh-CN"/>
        </w:rPr>
        <w:t>1.品牌和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r>
        <w:rPr>
          <w:rFonts w:hint="eastAsia"/>
          <w:color w:val="auto"/>
          <w:highlight w:val="none"/>
        </w:rPr>
        <w:t xml:space="preserve"> </w:t>
      </w:r>
    </w:p>
    <w:p>
      <w:pPr>
        <w:pStyle w:val="8"/>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乙方所供的备件不得为假冒伪劣或翻新的产品；</w:t>
      </w:r>
    </w:p>
    <w:p>
      <w:pPr>
        <w:pStyle w:val="8"/>
        <w:ind w:firstLine="480" w:firstLineChars="200"/>
        <w:rPr>
          <w:rFonts w:hint="eastAsia"/>
          <w:color w:val="auto"/>
          <w:highlight w:val="none"/>
          <w:lang w:val="en-US" w:eastAsia="zh-CN"/>
        </w:rPr>
      </w:pPr>
      <w:r>
        <w:rPr>
          <w:rFonts w:hint="eastAsia"/>
          <w:color w:val="auto"/>
          <w:highlight w:val="none"/>
          <w:lang w:val="en-US" w:eastAsia="zh-CN"/>
        </w:rPr>
        <w:t>3.甲方</w:t>
      </w:r>
      <w:r>
        <w:rPr>
          <w:rFonts w:hint="eastAsia" w:ascii="宋体" w:hAnsi="宋体" w:cs="宋体"/>
          <w:snapToGrid w:val="0"/>
          <w:color w:val="000000"/>
          <w:kern w:val="0"/>
          <w:szCs w:val="21"/>
        </w:rPr>
        <w:t>对</w:t>
      </w:r>
      <w:r>
        <w:rPr>
          <w:rFonts w:hint="eastAsia" w:ascii="宋体" w:hAnsi="宋体" w:cs="宋体"/>
          <w:snapToGrid w:val="0"/>
          <w:color w:val="000000"/>
          <w:kern w:val="0"/>
          <w:szCs w:val="21"/>
          <w:lang w:val="en-US" w:eastAsia="zh-CN"/>
        </w:rPr>
        <w:t>每批次</w:t>
      </w:r>
      <w:r>
        <w:rPr>
          <w:rFonts w:hint="eastAsia" w:hAnsi="宋体" w:cs="宋体"/>
          <w:snapToGrid w:val="0"/>
          <w:color w:val="000000"/>
          <w:kern w:val="0"/>
          <w:szCs w:val="21"/>
          <w:lang w:val="en-US" w:eastAsia="zh-CN"/>
        </w:rPr>
        <w:t>备件</w:t>
      </w:r>
      <w:r>
        <w:rPr>
          <w:rFonts w:hint="eastAsia" w:ascii="宋体" w:hAnsi="宋体" w:cs="宋体"/>
          <w:snapToGrid w:val="0"/>
          <w:color w:val="000000"/>
          <w:kern w:val="0"/>
          <w:szCs w:val="21"/>
          <w:lang w:val="en-US" w:eastAsia="zh-CN"/>
        </w:rPr>
        <w:t>进行</w:t>
      </w:r>
      <w:r>
        <w:rPr>
          <w:rFonts w:hint="eastAsia" w:ascii="宋体" w:hAnsi="宋体" w:cs="宋体"/>
          <w:snapToGrid w:val="0"/>
          <w:color w:val="000000"/>
          <w:kern w:val="0"/>
          <w:szCs w:val="21"/>
        </w:rPr>
        <w:t>验收，对不符合要求的产品，</w:t>
      </w:r>
      <w:r>
        <w:rPr>
          <w:rFonts w:hint="eastAsia" w:ascii="宋体" w:hAnsi="宋体" w:cs="宋体"/>
          <w:snapToGrid w:val="0"/>
          <w:color w:val="000000"/>
          <w:kern w:val="0"/>
          <w:szCs w:val="21"/>
          <w:lang w:val="en-US" w:eastAsia="zh-CN"/>
        </w:rPr>
        <w:t>甲方</w:t>
      </w:r>
      <w:r>
        <w:rPr>
          <w:rFonts w:hint="eastAsia" w:ascii="宋体" w:hAnsi="宋体" w:cs="宋体"/>
          <w:snapToGrid w:val="0"/>
          <w:color w:val="000000"/>
          <w:kern w:val="0"/>
          <w:szCs w:val="21"/>
        </w:rPr>
        <w:t>有权利拒收或退货或要求</w:t>
      </w:r>
      <w:r>
        <w:rPr>
          <w:rFonts w:hint="eastAsia" w:ascii="宋体" w:hAnsi="宋体" w:cs="宋体"/>
          <w:snapToGrid w:val="0"/>
          <w:color w:val="000000"/>
          <w:kern w:val="0"/>
          <w:szCs w:val="21"/>
          <w:lang w:val="en-US" w:eastAsia="zh-CN"/>
        </w:rPr>
        <w:t>乙方</w:t>
      </w:r>
      <w:r>
        <w:rPr>
          <w:rFonts w:hint="eastAsia" w:ascii="宋体" w:hAnsi="宋体" w:cs="宋体"/>
          <w:snapToGrid w:val="0"/>
          <w:color w:val="000000"/>
          <w:kern w:val="0"/>
          <w:szCs w:val="21"/>
        </w:rPr>
        <w:t>调换，由此产生的一切责任和后果由</w:t>
      </w:r>
      <w:r>
        <w:rPr>
          <w:rFonts w:hint="eastAsia" w:ascii="宋体" w:hAnsi="宋体" w:cs="宋体"/>
          <w:snapToGrid w:val="0"/>
          <w:color w:val="000000"/>
          <w:kern w:val="0"/>
          <w:szCs w:val="21"/>
          <w:lang w:val="en-US" w:eastAsia="zh-CN"/>
        </w:rPr>
        <w:t>乙方</w:t>
      </w:r>
      <w:r>
        <w:rPr>
          <w:rFonts w:hint="eastAsia" w:ascii="宋体" w:hAnsi="宋体" w:cs="宋体"/>
          <w:snapToGrid w:val="0"/>
          <w:color w:val="000000"/>
          <w:kern w:val="0"/>
          <w:szCs w:val="21"/>
        </w:rPr>
        <w:t>承担</w:t>
      </w:r>
      <w:r>
        <w:rPr>
          <w:rFonts w:hint="eastAsia" w:ascii="宋体" w:hAnsi="宋体" w:cs="宋体"/>
          <w:snapToGrid w:val="0"/>
          <w:color w:val="000000"/>
          <w:kern w:val="0"/>
          <w:szCs w:val="21"/>
          <w:lang w:eastAsia="zh-CN"/>
        </w:rPr>
        <w:t>。</w:t>
      </w:r>
    </w:p>
    <w:p>
      <w:pPr>
        <w:pStyle w:val="8"/>
        <w:ind w:firstLine="480" w:firstLineChars="200"/>
        <w:rPr>
          <w:rFonts w:hint="default"/>
          <w:highlight w:val="none"/>
          <w:lang w:val="en-US" w:eastAsia="zh-CN"/>
        </w:rPr>
      </w:pPr>
      <w:r>
        <w:rPr>
          <w:rFonts w:hint="eastAsia"/>
          <w:b w:val="0"/>
          <w:bCs w:val="0"/>
          <w:color w:val="auto"/>
          <w:highlight w:val="none"/>
          <w:lang w:val="en-US" w:eastAsia="zh-CN"/>
        </w:rPr>
        <w:t>4.蓄能器、油缸</w:t>
      </w:r>
      <w:r>
        <w:rPr>
          <w:rFonts w:hint="eastAsia"/>
          <w:highlight w:val="none"/>
          <w:lang w:val="en-US" w:eastAsia="zh-CN"/>
        </w:rPr>
        <w:t>质保期限自验收合格后12个月，若质保期内出现质量问题（非质量问题除外），由乙方负责更换或维修，质保期重新计算，产生的费用全部由乙方承担。</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8"/>
        <w:ind w:firstLine="480" w:firstLineChars="200"/>
        <w:rPr>
          <w:rFonts w:hint="eastAsia" w:ascii="宋体" w:hAnsi="宋体" w:cs="宋体"/>
          <w:sz w:val="24"/>
          <w:u w:val="none"/>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p>
    <w:p>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pPr>
        <w:pStyle w:val="8"/>
        <w:ind w:firstLine="480" w:firstLineChars="200"/>
        <w:rPr>
          <w:rFonts w:hint="eastAsia" w:ascii="宋体"/>
          <w:highlight w:val="none"/>
          <w:lang w:val="en-US"/>
        </w:rPr>
      </w:pPr>
      <w:r>
        <w:rPr>
          <w:rFonts w:hint="eastAsia"/>
          <w:highlight w:val="none"/>
          <w:lang w:val="en-US" w:eastAsia="zh-CN"/>
        </w:rPr>
        <w:t>3</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highlight w:val="none"/>
          <w:lang w:val="en-US"/>
        </w:rPr>
        <w:t>须在接到</w:t>
      </w:r>
      <w:r>
        <w:rPr>
          <w:rFonts w:hint="eastAsia" w:ascii="宋体"/>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甲方</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pPr>
        <w:pStyle w:val="8"/>
        <w:ind w:firstLine="480" w:firstLineChars="200"/>
        <w:rPr>
          <w:lang w:val="en-US"/>
        </w:rPr>
      </w:pPr>
      <w:r>
        <w:rPr>
          <w:rFonts w:hint="eastAsia"/>
          <w:lang w:val="en-US" w:eastAsia="zh-CN"/>
        </w:rPr>
        <w:t>4</w:t>
      </w:r>
      <w:r>
        <w:rPr>
          <w:rFonts w:hint="eastAsia"/>
          <w:lang w:val="en-US"/>
        </w:rPr>
        <w:t>.甲方不再对任何售后服务进行付费。</w:t>
      </w:r>
      <w:r>
        <w:rPr>
          <w:rFonts w:hint="eastAsia"/>
          <w:lang w:val="en-US" w:eastAsia="zh-CN"/>
        </w:rPr>
        <w:t>乙方</w:t>
      </w:r>
      <w:r>
        <w:rPr>
          <w:rFonts w:hint="eastAsia"/>
          <w:lang w:val="en-US"/>
        </w:rPr>
        <w:t>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hint="eastAsia" w:ascii="宋体" w:hAnsi="宋体" w:eastAsia="宋体" w:cs="宋体"/>
          <w:sz w:val="24"/>
          <w:lang w:eastAsia="zh-CN"/>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r>
        <w:rPr>
          <w:rFonts w:hint="eastAsia" w:ascii="宋体" w:hAnsi="宋体" w:eastAsia="宋体" w:cs="宋体"/>
          <w:sz w:val="24"/>
          <w:lang w:eastAsia="zh-CN"/>
        </w:rPr>
        <w:t>。</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w:t>
      </w:r>
      <w:r>
        <w:rPr>
          <w:rFonts w:hint="eastAsia" w:ascii="宋体" w:hAnsi="宋体" w:cs="宋体"/>
          <w:sz w:val="24"/>
          <w:lang w:eastAsia="zh-CN"/>
        </w:rPr>
        <w:t>质的</w:t>
      </w:r>
      <w:r>
        <w:rPr>
          <w:rFonts w:hint="eastAsia" w:ascii="宋体" w:hAnsi="宋体" w:cs="宋体"/>
          <w:sz w:val="24"/>
        </w:rPr>
        <w:t>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pPr>
        <w:pStyle w:val="8"/>
        <w:ind w:firstLine="482" w:firstLineChars="200"/>
        <w:rPr>
          <w:rFonts w:eastAsia="宋体"/>
          <w:b/>
        </w:rPr>
      </w:pPr>
      <w:r>
        <w:rPr>
          <w:rFonts w:hint="eastAsia" w:hAnsi="宋体"/>
          <w:b/>
          <w:lang w:val="en-US"/>
        </w:rPr>
        <w:t>八、</w:t>
      </w:r>
      <w:r>
        <w:rPr>
          <w:rFonts w:hint="eastAsia"/>
          <w:b/>
        </w:rPr>
        <w:t>履约保证金</w:t>
      </w:r>
    </w:p>
    <w:p>
      <w:pPr>
        <w:pStyle w:val="27"/>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color w:val="auto"/>
          <w:kern w:val="0"/>
          <w:sz w:val="24"/>
          <w:u w:val="none"/>
          <w:lang w:val="en-US" w:eastAsia="zh-CN"/>
        </w:rPr>
        <w:t>5.</w:t>
      </w:r>
      <w:r>
        <w:rPr>
          <w:rFonts w:hint="eastAsia" w:ascii="宋体" w:hAnsi="宋体" w:cs="宋体"/>
          <w:color w:val="auto"/>
          <w:kern w:val="0"/>
          <w:sz w:val="24"/>
          <w:u w:val="none"/>
        </w:rPr>
        <w:t>甲方在</w:t>
      </w:r>
      <w:r>
        <w:rPr>
          <w:rFonts w:hint="eastAsia" w:ascii="宋体" w:hAnsi="宋体" w:cs="宋体"/>
          <w:color w:val="auto"/>
          <w:kern w:val="0"/>
          <w:sz w:val="24"/>
          <w:u w:val="none"/>
          <w:lang w:val="en-US" w:eastAsia="zh-CN"/>
        </w:rPr>
        <w:t>本合同最后一批</w:t>
      </w:r>
      <w:r>
        <w:rPr>
          <w:rFonts w:hint="eastAsia" w:ascii="宋体" w:hAnsi="宋体" w:cs="宋体"/>
          <w:color w:val="auto"/>
          <w:kern w:val="0"/>
          <w:sz w:val="24"/>
          <w:highlight w:val="none"/>
          <w:u w:val="single"/>
          <w:lang w:val="en-US" w:eastAsia="zh-CN"/>
        </w:rPr>
        <w:t>货物质保期结束</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s="宋体"/>
          <w:color w:val="auto"/>
          <w:kern w:val="0"/>
          <w:sz w:val="24"/>
          <w:highlight w:val="none"/>
          <w:u w:val="none"/>
        </w:rPr>
        <w:t xml:space="preserve"> 30个工作</w:t>
      </w:r>
      <w:r>
        <w:rPr>
          <w:rFonts w:hint="eastAsia" w:ascii="宋体" w:hAnsi="宋体" w:cs="宋体"/>
          <w:color w:val="auto"/>
          <w:kern w:val="0"/>
          <w:sz w:val="24"/>
          <w:u w:val="none"/>
        </w:rPr>
        <w:t>日内将履约保证金</w:t>
      </w:r>
      <w:r>
        <w:rPr>
          <w:rFonts w:hint="eastAsia" w:ascii="宋体" w:hAnsi="宋体" w:cs="宋体"/>
          <w:color w:val="auto"/>
          <w:kern w:val="0"/>
          <w:sz w:val="24"/>
          <w:u w:val="none"/>
          <w:lang w:val="en-US" w:eastAsia="zh-CN"/>
        </w:rPr>
        <w:t>余额</w:t>
      </w:r>
      <w:r>
        <w:rPr>
          <w:rFonts w:hint="eastAsia" w:ascii="宋体" w:hAnsi="宋体" w:cs="宋体"/>
          <w:color w:val="auto"/>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7"/>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7"/>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7"/>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7"/>
        <w:spacing w:before="0" w:beforeAutospacing="0" w:after="0" w:afterAutospacing="0" w:line="360" w:lineRule="auto"/>
        <w:ind w:firstLine="480"/>
        <w:rPr>
          <w:b/>
          <w:bCs/>
        </w:rPr>
      </w:pPr>
      <w:r>
        <w:rPr>
          <w:rFonts w:hint="eastAsia"/>
          <w:b/>
          <w:bCs/>
        </w:rPr>
        <w:t>十、资金支付</w:t>
      </w:r>
    </w:p>
    <w:p>
      <w:pPr>
        <w:pStyle w:val="27"/>
        <w:spacing w:before="0" w:beforeAutospacing="0" w:after="0" w:afterAutospacing="0" w:line="360" w:lineRule="auto"/>
        <w:ind w:firstLine="480"/>
        <w:rPr>
          <w:color w:val="auto"/>
        </w:rPr>
      </w:pPr>
      <w:bookmarkStart w:id="396" w:name="_Toc32071"/>
      <w:bookmarkStart w:id="397" w:name="_Toc19304"/>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w:t>
      </w:r>
      <w:r>
        <w:rPr>
          <w:rFonts w:hint="eastAsia"/>
          <w:color w:val="auto"/>
        </w:rPr>
        <w:t>提供的发票存在问题，甲方有权延迟付款且不承担任何责任。</w:t>
      </w:r>
    </w:p>
    <w:p>
      <w:pPr>
        <w:pStyle w:val="27"/>
        <w:spacing w:before="0" w:beforeAutospacing="0" w:after="0" w:afterAutospacing="0" w:line="360" w:lineRule="auto"/>
        <w:ind w:firstLine="480"/>
        <w:rPr>
          <w:color w:val="auto"/>
        </w:rPr>
      </w:pPr>
      <w:r>
        <w:rPr>
          <w:rFonts w:hint="eastAsia"/>
          <w:color w:val="auto"/>
        </w:rPr>
        <w:t>2.本合同</w:t>
      </w:r>
      <w:r>
        <w:rPr>
          <w:rFonts w:hint="eastAsia"/>
          <w:color w:val="auto"/>
          <w:lang w:val="en-US" w:eastAsia="zh-CN"/>
        </w:rPr>
        <w:t>中</w:t>
      </w:r>
      <w:r>
        <w:rPr>
          <w:rFonts w:hint="eastAsia"/>
          <w:b w:val="0"/>
          <w:bCs w:val="0"/>
          <w:color w:val="auto"/>
          <w:highlight w:val="none"/>
          <w:lang w:val="en-US" w:eastAsia="zh-CN"/>
        </w:rPr>
        <w:t>蓄能器、油缸</w:t>
      </w:r>
      <w:r>
        <w:rPr>
          <w:rFonts w:hint="eastAsia"/>
          <w:color w:val="auto"/>
          <w:lang w:val="en-US" w:eastAsia="zh-CN"/>
        </w:rPr>
        <w:t>质保期限至验收合格后</w:t>
      </w:r>
      <w:r>
        <w:rPr>
          <w:rFonts w:hint="eastAsia"/>
          <w:color w:val="auto"/>
          <w:u w:val="single"/>
          <w:lang w:val="en-US" w:eastAsia="zh-CN"/>
        </w:rPr>
        <w:t xml:space="preserve"> 12个月</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pPr>
        <w:pStyle w:val="27"/>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）质保金的比例为合同金额的</w:t>
      </w:r>
      <w:r>
        <w:rPr>
          <w:rFonts w:hint="eastAsia"/>
          <w:color w:val="auto"/>
          <w:u w:val="single"/>
        </w:rPr>
        <w:t xml:space="preserve">  </w:t>
      </w:r>
      <w:r>
        <w:rPr>
          <w:rFonts w:hint="eastAsia"/>
          <w:b/>
          <w:bCs/>
          <w:i/>
          <w:iCs/>
          <w:color w:val="auto"/>
          <w:u w:val="single"/>
          <w:lang w:val="en-US" w:eastAsia="zh-CN"/>
        </w:rPr>
        <w:t xml:space="preserve"> / </w:t>
      </w:r>
      <w:r>
        <w:rPr>
          <w:rFonts w:hint="eastAsia"/>
          <w:color w:val="auto"/>
          <w:u w:val="single"/>
        </w:rPr>
        <w:t xml:space="preserve"> </w:t>
      </w:r>
      <w:r>
        <w:rPr>
          <w:rFonts w:hint="eastAsia"/>
          <w:color w:val="auto"/>
        </w:rPr>
        <w:t>%；</w:t>
      </w:r>
    </w:p>
    <w:p>
      <w:pPr>
        <w:pStyle w:val="27"/>
        <w:spacing w:before="0" w:beforeAutospacing="0" w:after="0" w:afterAutospacing="0" w:line="360" w:lineRule="auto"/>
        <w:ind w:firstLine="480"/>
        <w:rPr>
          <w:color w:val="auto"/>
          <w:u w:val="none"/>
        </w:rPr>
      </w:pPr>
      <w:r>
        <w:rPr>
          <w:rFonts w:hint="eastAsia"/>
          <w:color w:val="auto"/>
        </w:rPr>
        <w:t>（</w:t>
      </w:r>
      <w:r>
        <w:rPr>
          <w:rFonts w:hint="eastAsia"/>
          <w:color w:val="auto"/>
          <w:lang w:val="en-US" w:eastAsia="zh-CN"/>
        </w:rPr>
        <w:t>2</w:t>
      </w:r>
      <w:r>
        <w:rPr>
          <w:rFonts w:hint="eastAsia"/>
          <w:color w:val="auto"/>
        </w:rPr>
        <w:t>）质保金支付条件：</w:t>
      </w:r>
      <w:r>
        <w:rPr>
          <w:rFonts w:hint="eastAsia"/>
          <w:color w:val="auto"/>
          <w:u w:val="none"/>
        </w:rPr>
        <w:t>质保期内无任何质量问题，双方无任何遗留问题 ，质保期结束</w:t>
      </w:r>
      <w:r>
        <w:rPr>
          <w:rFonts w:hint="eastAsia"/>
          <w:color w:val="auto"/>
          <w:u w:val="none"/>
          <w:lang w:val="en-US" w:eastAsia="zh-CN"/>
        </w:rPr>
        <w:t>且甲方收到乙方开具的相应额度增值税专用发票（如有）</w:t>
      </w:r>
      <w:r>
        <w:rPr>
          <w:rFonts w:hint="eastAsia"/>
          <w:color w:val="auto"/>
          <w:u w:val="none"/>
        </w:rPr>
        <w:t>后30天内甲方无息支付。</w:t>
      </w:r>
    </w:p>
    <w:p>
      <w:pPr>
        <w:pStyle w:val="27"/>
        <w:spacing w:before="0" w:beforeAutospacing="0" w:after="0" w:afterAutospacing="0" w:line="360" w:lineRule="auto"/>
        <w:ind w:firstLine="480"/>
        <w:rPr>
          <w:color w:val="auto"/>
        </w:rPr>
      </w:pPr>
      <w:r>
        <w:rPr>
          <w:rFonts w:hint="eastAsia"/>
          <w:color w:val="auto"/>
        </w:rPr>
        <w:t>3.本项目资金支付的方式、时间和条件采用以下第</w:t>
      </w:r>
      <w:r>
        <w:rPr>
          <w:rFonts w:hint="eastAsia"/>
          <w:color w:val="auto"/>
          <w:u w:val="single"/>
          <w:lang w:val="en-US" w:eastAsia="zh-CN"/>
        </w:rPr>
        <w:t>（1）</w:t>
      </w:r>
      <w:r>
        <w:rPr>
          <w:rFonts w:hint="eastAsia"/>
          <w:color w:val="auto"/>
        </w:rPr>
        <w:t>条款规定：</w:t>
      </w:r>
    </w:p>
    <w:bookmarkEnd w:id="396"/>
    <w:bookmarkEnd w:id="397"/>
    <w:bookmarkEnd w:id="398"/>
    <w:p>
      <w:pPr>
        <w:spacing w:line="360" w:lineRule="auto"/>
        <w:ind w:firstLine="480" w:firstLineChars="200"/>
        <w:outlineLvl w:val="0"/>
        <w:rPr>
          <w:rFonts w:hint="eastAsia"/>
          <w:color w:val="auto"/>
          <w:sz w:val="24"/>
          <w:szCs w:val="24"/>
          <w:u w:val="single"/>
          <w:lang w:eastAsia="zh-CN"/>
        </w:rPr>
      </w:pPr>
      <w:bookmarkStart w:id="399" w:name="_Toc19554"/>
      <w:bookmarkStart w:id="400" w:name="_Toc21423"/>
      <w:bookmarkStart w:id="401" w:name="_Toc27250"/>
      <w:r>
        <w:rPr>
          <w:rFonts w:hint="eastAsia"/>
          <w:color w:val="auto"/>
          <w:sz w:val="24"/>
          <w:szCs w:val="24"/>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sz w:val="24"/>
          <w:szCs w:val="24"/>
          <w:u w:val="single"/>
          <w:lang w:eastAsia="zh-CN"/>
        </w:rPr>
        <w:t>（</w:t>
      </w:r>
      <w:r>
        <w:rPr>
          <w:rFonts w:hint="eastAsia"/>
          <w:color w:val="auto"/>
          <w:sz w:val="24"/>
          <w:szCs w:val="24"/>
          <w:u w:val="single"/>
          <w:lang w:val="en-US" w:eastAsia="zh-CN"/>
        </w:rPr>
        <w:t>但扣留的质保金除外）</w:t>
      </w:r>
      <w:r>
        <w:rPr>
          <w:rFonts w:hint="eastAsia"/>
          <w:color w:val="auto"/>
          <w:sz w:val="24"/>
          <w:szCs w:val="24"/>
          <w:u w:val="single"/>
        </w:rPr>
        <w:t>；经检验、验收不合格的，按本合同约定处理</w:t>
      </w:r>
      <w:r>
        <w:rPr>
          <w:rFonts w:hint="eastAsia"/>
          <w:color w:val="auto"/>
          <w:sz w:val="24"/>
          <w:szCs w:val="24"/>
          <w:u w:val="single"/>
          <w:lang w:eastAsia="zh-CN"/>
        </w:rPr>
        <w:t>。</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为免争议，乙方确认其已明确知晓本合同下货物系用于</w:t>
      </w:r>
      <w:r>
        <w:rPr>
          <w:rFonts w:hint="eastAsia" w:ascii="宋体" w:hAnsi="宋体" w:cs="宋体"/>
          <w:sz w:val="24"/>
          <w:u w:val="single"/>
          <w:lang w:val="en-US" w:eastAsia="zh-CN"/>
        </w:rPr>
        <w:t xml:space="preserve">液压系统维修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pStyle w:val="8"/>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pPr>
        <w:pStyle w:val="8"/>
        <w:ind w:firstLine="480" w:firstLineChars="200"/>
        <w:rPr>
          <w:rFonts w:hint="eastAsia" w:ascii="宋体" w:hAnsi="宋体" w:cs="宋体" w:eastAsiaTheme="minorEastAsia"/>
          <w:snapToGrid/>
          <w:kern w:val="2"/>
          <w:sz w:val="24"/>
          <w:szCs w:val="24"/>
          <w:lang w:val="en-US" w:eastAsia="zh-CN" w:bidi="ar-SA"/>
        </w:rPr>
      </w:pPr>
      <w:bookmarkStart w:id="402" w:name="_Toc28375"/>
      <w:bookmarkStart w:id="403" w:name="_Toc15583"/>
      <w:bookmarkStart w:id="404"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9"/>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1173"/>
      <w:bookmarkStart w:id="406" w:name="_Toc15322"/>
      <w:bookmarkStart w:id="407" w:name="_Toc7245"/>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6"/>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6"/>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26"/>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28763"/>
      <w:bookmarkStart w:id="409" w:name="_Ref467379101"/>
      <w:bookmarkStart w:id="410" w:name="_Ref467378404"/>
      <w:bookmarkStart w:id="411" w:name="_Ref467379094"/>
      <w:bookmarkStart w:id="412" w:name="_Ref467379109"/>
      <w:bookmarkStart w:id="413" w:name="_Toc19614"/>
      <w:bookmarkStart w:id="414" w:name="_Ref467378499"/>
      <w:bookmarkStart w:id="415" w:name="_Toc279701240"/>
      <w:bookmarkStart w:id="416" w:name="_Ref467379205"/>
      <w:bookmarkStart w:id="417" w:name="_Toc259093669"/>
      <w:bookmarkStart w:id="418" w:name="_Toc487900349"/>
      <w:bookmarkStart w:id="419" w:name="_Ref467379225"/>
      <w:bookmarkStart w:id="420" w:name="_Ref467378463"/>
      <w:bookmarkStart w:id="421" w:name="_Ref467379214"/>
      <w:bookmarkStart w:id="422" w:name="_Ref467379195"/>
      <w:bookmarkStart w:id="423" w:name="_Toc16917"/>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7" w:name="_Toc279701241"/>
      <w:bookmarkStart w:id="428" w:name="_Toc259093670"/>
      <w:bookmarkStart w:id="429" w:name="_Toc13336"/>
      <w:bookmarkStart w:id="430" w:name="_Toc32504"/>
      <w:bookmarkStart w:id="431" w:name="_Toc27635"/>
      <w:bookmarkStart w:id="432" w:name="_Toc48790035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31634"/>
      <w:bookmarkStart w:id="434" w:name="_Toc259093671"/>
      <w:bookmarkStart w:id="435" w:name="_Toc9829"/>
      <w:bookmarkStart w:id="436" w:name="_Toc279701242"/>
      <w:bookmarkStart w:id="437" w:name="_Toc27853"/>
      <w:bookmarkStart w:id="438" w:name="_Toc487900351"/>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4194"/>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30272"/>
      <w:bookmarkStart w:id="443" w:name="_Toc19074"/>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793"/>
      <w:bookmarkStart w:id="447" w:name="_Toc279701247"/>
      <w:bookmarkStart w:id="448" w:name="_Toc259093676"/>
      <w:bookmarkStart w:id="449" w:name="_Ref467379807"/>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923"/>
      <w:bookmarkStart w:id="453" w:name="_Toc279701248"/>
      <w:bookmarkStart w:id="454" w:name="_Ref467379863"/>
      <w:bookmarkStart w:id="455" w:name="_Toc259093677"/>
      <w:bookmarkStart w:id="456" w:name="_Ref467379852"/>
      <w:bookmarkStart w:id="457" w:name="_Toc487900358"/>
      <w:bookmarkStart w:id="458" w:name="_Toc3225"/>
      <w:bookmarkStart w:id="459" w:name="_Toc774"/>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79701252"/>
      <w:bookmarkStart w:id="464" w:name="_Toc259093681"/>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pP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Toc487900364"/>
      <w:bookmarkStart w:id="470" w:name="_Ref467378121"/>
      <w:bookmarkStart w:id="471" w:name="_Toc27970125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487900369"/>
      <w:bookmarkStart w:id="474" w:name="_Toc279701259"/>
      <w:bookmarkStart w:id="475" w:name="_Toc22955"/>
      <w:bookmarkStart w:id="476" w:name="_Toc10366"/>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6508"/>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30676"/>
      <w:bookmarkStart w:id="482" w:name="_Toc279701255"/>
      <w:bookmarkStart w:id="483" w:name="_Toc6969"/>
      <w:bookmarkStart w:id="484" w:name="_Toc487900365"/>
      <w:bookmarkStart w:id="485" w:name="_Toc689"/>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8298"/>
      <w:bookmarkStart w:id="488" w:name="_Toc487900368"/>
      <w:bookmarkStart w:id="489" w:name="_Toc259093687"/>
      <w:bookmarkStart w:id="490" w:name="_Toc279701258"/>
      <w:bookmarkStart w:id="491" w:name="_Toc16959"/>
      <w:bookmarkStart w:id="492" w:name="_Toc7102"/>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29333"/>
      <w:bookmarkStart w:id="494" w:name="_Toc6134"/>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59093690"/>
      <w:bookmarkStart w:id="498" w:name="_Toc279701261"/>
      <w:bookmarkStart w:id="499" w:name="_Toc19604"/>
      <w:bookmarkStart w:id="500" w:name="_Toc25182"/>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4355"/>
      <w:bookmarkStart w:id="505" w:name="_Toc487900372"/>
      <w:bookmarkStart w:id="506" w:name="_Toc30599"/>
      <w:bookmarkStart w:id="507" w:name="_Toc18540"/>
      <w:bookmarkStart w:id="508" w:name="_Toc279701262"/>
      <w:bookmarkStart w:id="509" w:name="_Toc25909369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259093692"/>
      <w:bookmarkStart w:id="511" w:name="_Toc279701263"/>
      <w:bookmarkStart w:id="512" w:name="_Toc10330"/>
      <w:bookmarkStart w:id="513" w:name="_Toc487900373"/>
      <w:bookmarkStart w:id="514" w:name="_Toc18567"/>
      <w:bookmarkStart w:id="515" w:name="_Toc1277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both"/>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pStyle w:val="10"/>
        <w:ind w:left="0" w:leftChars="0" w:firstLine="0" w:firstLineChars="0"/>
        <w:rPr>
          <w:rFonts w:hint="eastAsia"/>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both"/>
        <w:rPr>
          <w:rFonts w:hint="eastAsia" w:ascii="宋体" w:hAnsi="宋体"/>
          <w:b/>
          <w:color w:val="auto"/>
          <w:szCs w:val="24"/>
        </w:rPr>
      </w:pPr>
    </w:p>
    <w:p>
      <w:pPr>
        <w:pStyle w:val="26"/>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cs="Times New Roman"/>
          <w:b/>
          <w:szCs w:val="24"/>
        </w:rPr>
        <w:t xml:space="preserve"> </w:t>
      </w:r>
      <w:r>
        <w:rPr>
          <w:rFonts w:hint="eastAsia" w:ascii="宋体" w:hAnsi="宋体"/>
          <w:b/>
          <w:szCs w:val="24"/>
        </w:rPr>
        <w:t>廉洁协议</w:t>
      </w:r>
    </w:p>
    <w:p>
      <w:pPr>
        <w:pStyle w:val="10"/>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2025-2026年蓄能器等液压备件采购项目（第二次）</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202509034</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pPr>
        <w:snapToGrid w:val="0"/>
        <w:spacing w:line="360" w:lineRule="auto"/>
        <w:rPr>
          <w:rFonts w:hint="eastAsia" w:cs="仿宋" w:asciiTheme="minorEastAsia" w:hAnsiTheme="minorEastAsia"/>
          <w:sz w:val="24"/>
        </w:rPr>
      </w:pPr>
    </w:p>
    <w:p>
      <w:pPr>
        <w:pStyle w:val="8"/>
      </w:pPr>
    </w:p>
    <w:p>
      <w:pPr>
        <w:pStyle w:val="9"/>
      </w:pPr>
    </w:p>
    <w:p/>
    <w:p>
      <w:pPr>
        <w:pStyle w:val="8"/>
      </w:pPr>
    </w:p>
    <w:p>
      <w:pPr>
        <w:pStyle w:val="9"/>
      </w:pPr>
    </w:p>
    <w:p/>
    <w:p>
      <w:pPr>
        <w:pStyle w:val="8"/>
      </w:pPr>
    </w:p>
    <w:p>
      <w:pPr>
        <w:pStyle w:val="9"/>
      </w:pPr>
    </w:p>
    <w:p/>
    <w:p>
      <w:pPr>
        <w:pStyle w:val="8"/>
      </w:pPr>
    </w:p>
    <w:p>
      <w:pPr>
        <w:pStyle w:val="9"/>
      </w:pPr>
    </w:p>
    <w:p>
      <w:pPr>
        <w:pStyle w:val="15"/>
      </w:pPr>
    </w:p>
    <w:p/>
    <w:p>
      <w:pPr>
        <w:pStyle w:val="2"/>
      </w:pPr>
    </w:p>
    <w:p/>
    <w:p>
      <w:pPr>
        <w:pStyle w:val="2"/>
      </w:pPr>
    </w:p>
    <w:p/>
    <w:p/>
    <w:p/>
    <w:p/>
    <w:p/>
    <w:p>
      <w:pPr>
        <w:pStyle w:val="8"/>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2025-2026年蓄能器等液压备件采购项目（第二次）</w:t>
      </w:r>
      <w:r>
        <w:rPr>
          <w:rFonts w:hint="eastAsia" w:cs="仿宋" w:asciiTheme="minorEastAsia" w:hAnsiTheme="minorEastAsia"/>
          <w:sz w:val="24"/>
        </w:rPr>
        <w:t>【项目编号：</w:t>
      </w:r>
      <w:r>
        <w:rPr>
          <w:rFonts w:hint="eastAsia" w:cs="仿宋" w:asciiTheme="minorEastAsia" w:hAnsiTheme="minorEastAsia"/>
          <w:sz w:val="24"/>
          <w:u w:val="single"/>
          <w:lang w:eastAsia="zh-CN"/>
        </w:rPr>
        <w:t>202509034</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8"/>
      </w:pPr>
    </w:p>
    <w:p>
      <w:pPr>
        <w:pStyle w:val="9"/>
      </w:pPr>
    </w:p>
    <w:p/>
    <w:p>
      <w:pPr>
        <w:pStyle w:val="8"/>
      </w:pPr>
    </w:p>
    <w:p>
      <w:pPr>
        <w:pStyle w:val="9"/>
      </w:pPr>
    </w:p>
    <w:p/>
    <w:p>
      <w:pPr>
        <w:snapToGrid w:val="0"/>
        <w:spacing w:line="360" w:lineRule="auto"/>
        <w:ind w:right="480"/>
        <w:jc w:val="center"/>
        <w:rPr>
          <w:rFonts w:hint="eastAsia" w:cs="仿宋" w:asciiTheme="minorEastAsia" w:hAnsiTheme="minorEastAsia"/>
          <w:b/>
          <w:color w:val="auto"/>
          <w:kern w:val="0"/>
          <w:sz w:val="32"/>
          <w:szCs w:val="32"/>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二、营业执照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8"/>
              <w:numPr>
                <w:ilvl w:val="0"/>
                <w:numId w:val="0"/>
              </w:numPr>
              <w:ind w:leftChars="0"/>
              <w:jc w:val="center"/>
              <w:rPr>
                <w:rFonts w:hint="default"/>
                <w:color w:val="auto"/>
                <w:lang w:val="en-US" w:eastAsia="zh-CN"/>
              </w:rPr>
            </w:pPr>
            <w:r>
              <w:rPr>
                <w:rFonts w:hint="eastAsia"/>
                <w:color w:val="auto"/>
                <w:lang w:val="en-US" w:eastAsia="zh-CN"/>
              </w:rPr>
              <w:t>（有效期内的营业执照）</w:t>
            </w:r>
          </w:p>
          <w:p>
            <w:pPr>
              <w:pStyle w:val="29"/>
              <w:adjustRightInd w:val="0"/>
              <w:spacing w:line="360" w:lineRule="auto"/>
              <w:rPr>
                <w:rFonts w:cs="仿宋" w:asciiTheme="minorEastAsia" w:hAnsiTheme="minorEastAsia" w:eastAsiaTheme="minorEastAsia"/>
                <w:bCs/>
                <w:color w:val="auto"/>
                <w:sz w:val="24"/>
              </w:rPr>
            </w:pPr>
          </w:p>
        </w:tc>
      </w:tr>
    </w:tbl>
    <w:p>
      <w:pPr>
        <w:pStyle w:val="8"/>
        <w:rPr>
          <w:color w:val="auto"/>
          <w:lang w:val="en-US"/>
        </w:rPr>
      </w:pPr>
    </w:p>
    <w:p>
      <w:pPr>
        <w:spacing w:line="360" w:lineRule="auto"/>
        <w:ind w:firstLine="643" w:firstLineChars="200"/>
        <w:rPr>
          <w:rFonts w:cs="仿宋" w:asciiTheme="minorEastAsia" w:hAnsiTheme="minorEastAsia"/>
          <w:b/>
          <w:color w:val="auto"/>
          <w:kern w:val="0"/>
          <w:sz w:val="32"/>
          <w:szCs w:val="32"/>
        </w:rPr>
      </w:pPr>
    </w:p>
    <w:p>
      <w:pPr>
        <w:pStyle w:val="2"/>
        <w:rPr>
          <w:rFonts w:cs="仿宋" w:asciiTheme="minorEastAsia" w:hAnsiTheme="minorEastAsia"/>
          <w:b/>
          <w:color w:val="auto"/>
          <w:kern w:val="0"/>
          <w:sz w:val="32"/>
          <w:szCs w:val="32"/>
        </w:rPr>
      </w:pPr>
    </w:p>
    <w:p>
      <w:pPr>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bidi="ar-SA"/>
        </w:rPr>
      </w:pPr>
    </w:p>
    <w:p>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29"/>
              <w:adjustRightInd w:val="0"/>
              <w:spacing w:line="360" w:lineRule="auto"/>
              <w:rPr>
                <w:rFonts w:hint="eastAsia" w:cs="仿宋" w:asciiTheme="minorEastAsia" w:hAnsiTheme="minorEastAsia"/>
                <w:bCs/>
                <w:color w:val="auto"/>
                <w:sz w:val="24"/>
                <w:highlight w:val="none"/>
                <w:u w:val="single"/>
              </w:rPr>
            </w:pPr>
          </w:p>
          <w:p>
            <w:pPr>
              <w:pStyle w:val="29"/>
              <w:adjustRightInd w:val="0"/>
              <w:spacing w:line="360" w:lineRule="auto"/>
              <w:rPr>
                <w:rFonts w:hint="eastAsia" w:cs="仿宋" w:asciiTheme="minorEastAsia" w:hAnsiTheme="minorEastAsia"/>
                <w:bCs/>
                <w:color w:val="auto"/>
                <w:sz w:val="24"/>
                <w:highlight w:val="none"/>
                <w:u w:val="single"/>
              </w:rPr>
            </w:pPr>
          </w:p>
          <w:p>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ind w:firstLine="720" w:firstLineChars="300"/>
              <w:rPr>
                <w:rFonts w:cs="仿宋" w:asciiTheme="minorEastAsia" w:hAnsiTheme="minorEastAsia" w:eastAsiaTheme="minorEastAsia"/>
                <w:bCs/>
                <w:color w:val="auto"/>
                <w:sz w:val="24"/>
              </w:rPr>
            </w:pPr>
          </w:p>
        </w:tc>
      </w:tr>
    </w:tbl>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rPr>
          <w:color w:val="auto"/>
        </w:rPr>
      </w:pPr>
    </w:p>
    <w:p>
      <w:pPr>
        <w:pStyle w:val="8"/>
        <w:rPr>
          <w:color w:val="auto"/>
        </w:rPr>
      </w:pPr>
    </w:p>
    <w:p>
      <w:pPr>
        <w:pStyle w:val="9"/>
        <w:rPr>
          <w:color w:val="auto"/>
        </w:rPr>
      </w:pPr>
    </w:p>
    <w:p>
      <w:pPr>
        <w:rPr>
          <w:color w:val="auto"/>
        </w:rPr>
      </w:pPr>
    </w:p>
    <w:p>
      <w:pPr>
        <w:pStyle w:val="8"/>
        <w:rPr>
          <w:color w:val="auto"/>
        </w:rPr>
      </w:pPr>
    </w:p>
    <w:p>
      <w:pPr>
        <w:pStyle w:val="8"/>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pStyle w:val="9"/>
        <w:rPr>
          <w:color w:val="auto"/>
        </w:rPr>
      </w:pPr>
    </w:p>
    <w:p>
      <w:pPr>
        <w:rPr>
          <w:color w:val="auto"/>
        </w:rPr>
      </w:pPr>
    </w:p>
    <w:p/>
    <w:p>
      <w:pPr>
        <w:pStyle w:val="8"/>
      </w:pPr>
    </w:p>
    <w:p>
      <w:pPr>
        <w:pStyle w:val="9"/>
      </w:pPr>
    </w:p>
    <w:p/>
    <w:p>
      <w:pPr>
        <w:pStyle w:val="8"/>
      </w:pPr>
    </w:p>
    <w:p>
      <w:pPr>
        <w:pStyle w:val="8"/>
      </w:pPr>
    </w:p>
    <w:p>
      <w:pPr>
        <w:pStyle w:val="9"/>
      </w:pPr>
    </w:p>
    <w:p>
      <w:pPr>
        <w:pStyle w:val="8"/>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2025-2026年蓄能器等液压备件采购项目（第二次）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202509034</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spacing w:line="360" w:lineRule="auto"/>
        <w:ind w:firstLine="3600" w:firstLineChars="1500"/>
        <w:jc w:val="right"/>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right"/>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2025-2026年蓄能器等液压备件采购项目（第二次）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202509034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9"/>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9"/>
      </w:pPr>
    </w:p>
    <w:p/>
    <w:p>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9"/>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9"/>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8"/>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4"/>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4"/>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2025-2026年蓄能器等液压备件采购项目（第二次）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202509034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sz w:val="24"/>
        </w:rPr>
        <w:t>，则我公司愿意承担相关违约责任。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2025-2026年蓄能器等液压备件采购项目（第二次）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202509034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31"/>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31"/>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8"/>
        <w:ind w:firstLine="480" w:firstLineChars="200"/>
        <w:jc w:val="left"/>
        <w:rPr>
          <w:rFonts w:hAnsi="宋体" w:cs="宋体"/>
        </w:rPr>
      </w:pPr>
    </w:p>
    <w:p>
      <w:pPr>
        <w:pStyle w:val="8"/>
        <w:ind w:firstLine="480" w:firstLineChars="200"/>
        <w:jc w:val="left"/>
        <w:rPr>
          <w:rFonts w:hAnsi="宋体" w:cs="宋体"/>
        </w:rPr>
      </w:pPr>
    </w:p>
    <w:p>
      <w:pPr>
        <w:pStyle w:val="8"/>
        <w:jc w:val="left"/>
        <w:rPr>
          <w:rFonts w:hAnsi="宋体" w:cs="宋体"/>
        </w:rPr>
      </w:pPr>
      <w:r>
        <w:rPr>
          <w:rFonts w:hint="eastAsia" w:hAnsi="宋体" w:cs="宋体"/>
        </w:rPr>
        <w:t>供应商名称：（盖单位公章）</w:t>
      </w:r>
    </w:p>
    <w:p>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8"/>
        <w:tabs>
          <w:tab w:val="left" w:pos="4101"/>
        </w:tabs>
        <w:jc w:val="left"/>
        <w:rPr>
          <w:rFonts w:hAnsi="宋体" w:cs="宋体"/>
        </w:rPr>
      </w:pPr>
      <w:r>
        <w:rPr>
          <w:rFonts w:hint="eastAsia" w:hAnsi="宋体" w:cs="宋体"/>
        </w:rPr>
        <w:t>地址：</w:t>
      </w:r>
    </w:p>
    <w:p>
      <w:pPr>
        <w:pStyle w:val="8"/>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32"/>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hint="eastAsia"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2025-2026年蓄能器等液压备件采购项目（第二次）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202509034</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keepNext w:val="0"/>
        <w:keepLines w:val="0"/>
        <w:widowControl/>
        <w:suppressLineNumbers w:val="0"/>
        <w:jc w:val="center"/>
        <w:textAlignment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36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8"/>
        <w:gridCol w:w="1309"/>
        <w:gridCol w:w="900"/>
        <w:gridCol w:w="6546"/>
        <w:gridCol w:w="900"/>
        <w:gridCol w:w="1050"/>
        <w:gridCol w:w="1064"/>
        <w:gridCol w:w="11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物资名称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推荐品牌</w:t>
            </w:r>
          </w:p>
        </w:tc>
        <w:tc>
          <w:tcPr>
            <w:tcW w:w="6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规格型号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暂定数量</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单价（元）</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309"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卸料门油缸</w:t>
            </w:r>
          </w:p>
        </w:tc>
        <w:tc>
          <w:tcPr>
            <w:tcW w:w="90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型号：D63/d40/S420 缸径63mm，活塞杆外径40mm，全行程420mm，双作用双杆拉杆缸，密封圈材质氟橡胶；工作压力100bar，最高压力210bar，工作温度-10℃-100℃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309"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出渣机油缸</w:t>
            </w:r>
          </w:p>
        </w:tc>
        <w:tc>
          <w:tcPr>
            <w:tcW w:w="90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HZ2TC200B140B600-CATKJN-X缸径200mm，杆径112mm，全行程600m，双作用双杆拉杆缸，密封圈材质氟橡胶；工作压力140bar，最高压力210bar，工作温度-10℃-100℃，含油缸接头、出渣机液压缸保护套、液压缸导轨及行程开关等（原厂家派克汉尼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30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出渣机油缸油管</w:t>
            </w:r>
          </w:p>
        </w:tc>
        <w:tc>
          <w:tcPr>
            <w:tcW w:w="9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型号：接头1分接头螺纹，胶管长度1.5米，压力32MPA，不锈钢金属防护网，双层扣押；含对应接头RC螺纹接头(原型号：G1/C-L1500)；工作温度-20℃~100℃（原厂家派克汉尼汾）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30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料斗油缸油管</w:t>
            </w:r>
          </w:p>
        </w:tc>
        <w:tc>
          <w:tcPr>
            <w:tcW w:w="9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型号：RC3/4 D-1500，胶管长度1.5米，压力32MPA，不锈钢金属防护网，双层扣押；含对应RC螺纹接头：RC3/4 ，工作温度-20℃~100℃（原厂家派克汉尼汾）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30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出渣机活塞杆吊耳铜套</w:t>
            </w:r>
          </w:p>
        </w:tc>
        <w:tc>
          <w:tcPr>
            <w:tcW w:w="9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型号：200TAP  石墨铜套外径120mm，内径100.3mm（用于外径100mm的销轴），高度140mm，含注油槽（原厂家派克汉尼汾）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30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出渣机活塞杆吊耳销轴</w:t>
            </w:r>
          </w:p>
        </w:tc>
        <w:tc>
          <w:tcPr>
            <w:tcW w:w="9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型号：200 TT；销轴长度350mm，外径100mm，含止推槽；材质#45钢（原厂家派克汉尼汾）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30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油缸双侧耳轴铜套</w:t>
            </w:r>
          </w:p>
        </w:tc>
        <w:tc>
          <w:tcPr>
            <w:tcW w:w="9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型号：DHZ200TT；石墨铜套内径90.2mm，外径110mm，高度90mm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30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料斗挡板门防尘罩</w:t>
            </w:r>
          </w:p>
        </w:tc>
        <w:tc>
          <w:tcPr>
            <w:tcW w:w="9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伸缩长度1.4米，双头碳钢法兰外径770mm，内径640mm；防尘罩本体采用2层布料，外层使用耐温材质需达1000℃以上（朝外），内层使用双面布料需达200℃以上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30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90°弯头</w:t>
            </w:r>
          </w:p>
        </w:tc>
        <w:tc>
          <w:tcPr>
            <w:tcW w:w="9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304承插焊弯头，耐压210KG；304 RC3/4 6分 DN20 承插孔28mm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30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304无缝钢管</w:t>
            </w:r>
          </w:p>
        </w:tc>
        <w:tc>
          <w:tcPr>
            <w:tcW w:w="9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规格：φ28*4；材质304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30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304无缝钢管</w:t>
            </w:r>
          </w:p>
        </w:tc>
        <w:tc>
          <w:tcPr>
            <w:tcW w:w="9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规格：φ42*4；材质304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30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囊式蓄能器</w:t>
            </w:r>
          </w:p>
        </w:tc>
        <w:tc>
          <w:tcPr>
            <w:tcW w:w="9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型号：NXQ-10/31.5-L-ZD  主体材料：35CrMo，公称容积10L，工作压力：31.5MPa，介质：石油基液压油、氮气，试验压力40MPa，出厂氮气压力：9.1MPa</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2"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30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囊式蓄能器</w:t>
            </w:r>
          </w:p>
        </w:tc>
        <w:tc>
          <w:tcPr>
            <w:tcW w:w="9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规格型号：NXQ-25/31.5-L-ZD  主体材料：35CrMo， 公称容积25L，工作压力：31.5MPa，介质：石油基液压油、氮气，试验压力40MPa，出厂氮气压力：9.2MPa</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94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合计金额大写</w:t>
            </w:r>
          </w:p>
        </w:tc>
        <w:tc>
          <w:tcPr>
            <w:tcW w:w="420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94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合计金额小写</w:t>
            </w:r>
          </w:p>
        </w:tc>
        <w:tc>
          <w:tcPr>
            <w:tcW w:w="420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94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税率</w:t>
            </w:r>
          </w:p>
        </w:tc>
        <w:tc>
          <w:tcPr>
            <w:tcW w:w="420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sz w:val="22"/>
                <w:szCs w:val="22"/>
                <w:u w:val="single"/>
                <w:lang w:val="en-US" w:eastAsia="zh-CN"/>
              </w:rPr>
              <w:t xml:space="preserve">    %</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pStyle w:val="8"/>
      </w:pPr>
    </w:p>
    <w:p>
      <w:pPr>
        <w:pStyle w:val="9"/>
      </w:pP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left"/>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ascii="宋体" w:hAnsi="宋体" w:cs="宋体"/>
          <w:b/>
          <w:spacing w:val="6"/>
          <w:sz w:val="32"/>
          <w:szCs w:val="32"/>
          <w:lang w:val="en-US" w:eastAsia="zh-CN"/>
        </w:rPr>
        <w:t xml:space="preserve">   </w:t>
      </w: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4"/>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pStyle w:val="2"/>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078CF"/>
    <w:rsid w:val="00C3645A"/>
    <w:rsid w:val="00D00625"/>
    <w:rsid w:val="00DF3633"/>
    <w:rsid w:val="00E81C9E"/>
    <w:rsid w:val="013853AC"/>
    <w:rsid w:val="01603505"/>
    <w:rsid w:val="01F16209"/>
    <w:rsid w:val="023E1286"/>
    <w:rsid w:val="029C7664"/>
    <w:rsid w:val="029E4C42"/>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9270C9"/>
    <w:rsid w:val="07A67451"/>
    <w:rsid w:val="07C24B12"/>
    <w:rsid w:val="07D15ABF"/>
    <w:rsid w:val="087E795F"/>
    <w:rsid w:val="08F11886"/>
    <w:rsid w:val="09104908"/>
    <w:rsid w:val="09EC7123"/>
    <w:rsid w:val="09ED56C9"/>
    <w:rsid w:val="0A773E45"/>
    <w:rsid w:val="0B4954E7"/>
    <w:rsid w:val="0B530D41"/>
    <w:rsid w:val="0B652758"/>
    <w:rsid w:val="0B9D71A5"/>
    <w:rsid w:val="0BF7590B"/>
    <w:rsid w:val="0BFE313E"/>
    <w:rsid w:val="0C177D5B"/>
    <w:rsid w:val="0C2A044F"/>
    <w:rsid w:val="0C492847"/>
    <w:rsid w:val="0C8716C6"/>
    <w:rsid w:val="0CB126E6"/>
    <w:rsid w:val="0CF31D21"/>
    <w:rsid w:val="0D89320B"/>
    <w:rsid w:val="0D8B0B2E"/>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CB2DA0"/>
    <w:rsid w:val="16101D7E"/>
    <w:rsid w:val="16135A37"/>
    <w:rsid w:val="166F3635"/>
    <w:rsid w:val="16806E74"/>
    <w:rsid w:val="17796C41"/>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C03541C"/>
    <w:rsid w:val="1C3C0F60"/>
    <w:rsid w:val="1C947A8E"/>
    <w:rsid w:val="1CAD56E9"/>
    <w:rsid w:val="1CC472E1"/>
    <w:rsid w:val="1D61352C"/>
    <w:rsid w:val="1D882867"/>
    <w:rsid w:val="1DC64ADE"/>
    <w:rsid w:val="1DCF6B00"/>
    <w:rsid w:val="1DFA0457"/>
    <w:rsid w:val="1E5F5CBE"/>
    <w:rsid w:val="1E8307F5"/>
    <w:rsid w:val="1F395423"/>
    <w:rsid w:val="1F457921"/>
    <w:rsid w:val="1FAD5F5A"/>
    <w:rsid w:val="20457135"/>
    <w:rsid w:val="2075762A"/>
    <w:rsid w:val="2091148E"/>
    <w:rsid w:val="20B13F02"/>
    <w:rsid w:val="20D12777"/>
    <w:rsid w:val="20FB672E"/>
    <w:rsid w:val="213339C4"/>
    <w:rsid w:val="215A75E6"/>
    <w:rsid w:val="21677697"/>
    <w:rsid w:val="219409C9"/>
    <w:rsid w:val="21C81DCC"/>
    <w:rsid w:val="226D415C"/>
    <w:rsid w:val="228D26CE"/>
    <w:rsid w:val="22916FA5"/>
    <w:rsid w:val="22B37270"/>
    <w:rsid w:val="230E1A60"/>
    <w:rsid w:val="23922209"/>
    <w:rsid w:val="23C64579"/>
    <w:rsid w:val="23EC5AE3"/>
    <w:rsid w:val="247C6E9E"/>
    <w:rsid w:val="24A51F50"/>
    <w:rsid w:val="25650E5F"/>
    <w:rsid w:val="25674FDE"/>
    <w:rsid w:val="25C26B32"/>
    <w:rsid w:val="26010880"/>
    <w:rsid w:val="26F15921"/>
    <w:rsid w:val="27B05B28"/>
    <w:rsid w:val="27E50C16"/>
    <w:rsid w:val="28515521"/>
    <w:rsid w:val="28D92620"/>
    <w:rsid w:val="294E0F60"/>
    <w:rsid w:val="29760BDE"/>
    <w:rsid w:val="2987716A"/>
    <w:rsid w:val="29AE18A7"/>
    <w:rsid w:val="2A1C39EA"/>
    <w:rsid w:val="2A6366FF"/>
    <w:rsid w:val="2A6459F1"/>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BE0C08"/>
    <w:rsid w:val="32C410E7"/>
    <w:rsid w:val="32EC2577"/>
    <w:rsid w:val="334341C1"/>
    <w:rsid w:val="33922A31"/>
    <w:rsid w:val="33C71D29"/>
    <w:rsid w:val="33F2545E"/>
    <w:rsid w:val="34155E66"/>
    <w:rsid w:val="34454474"/>
    <w:rsid w:val="34AF40BC"/>
    <w:rsid w:val="36043E6C"/>
    <w:rsid w:val="36162BCB"/>
    <w:rsid w:val="364530C9"/>
    <w:rsid w:val="36A71B58"/>
    <w:rsid w:val="37103BA1"/>
    <w:rsid w:val="37214FDA"/>
    <w:rsid w:val="375043BB"/>
    <w:rsid w:val="37514AF4"/>
    <w:rsid w:val="377C0298"/>
    <w:rsid w:val="37B04D36"/>
    <w:rsid w:val="37C65D75"/>
    <w:rsid w:val="37D2523E"/>
    <w:rsid w:val="396927CE"/>
    <w:rsid w:val="39C31C6C"/>
    <w:rsid w:val="3A0E5FD4"/>
    <w:rsid w:val="3A12693C"/>
    <w:rsid w:val="3A207904"/>
    <w:rsid w:val="3A314864"/>
    <w:rsid w:val="3A6303AE"/>
    <w:rsid w:val="3A836438"/>
    <w:rsid w:val="3A8C351C"/>
    <w:rsid w:val="3A993EAE"/>
    <w:rsid w:val="3AB61186"/>
    <w:rsid w:val="3AF15A98"/>
    <w:rsid w:val="3B484207"/>
    <w:rsid w:val="3C283344"/>
    <w:rsid w:val="3C485F9D"/>
    <w:rsid w:val="3C7C70D7"/>
    <w:rsid w:val="3C940DD1"/>
    <w:rsid w:val="3D03540D"/>
    <w:rsid w:val="3D7804A8"/>
    <w:rsid w:val="3DEC44C8"/>
    <w:rsid w:val="3E0C6463"/>
    <w:rsid w:val="3E32264F"/>
    <w:rsid w:val="3E336756"/>
    <w:rsid w:val="3EE43BF5"/>
    <w:rsid w:val="403E57B7"/>
    <w:rsid w:val="405363C6"/>
    <w:rsid w:val="411A0F39"/>
    <w:rsid w:val="41313092"/>
    <w:rsid w:val="415A5C88"/>
    <w:rsid w:val="41CE08E1"/>
    <w:rsid w:val="41F755AE"/>
    <w:rsid w:val="42112513"/>
    <w:rsid w:val="42181B5C"/>
    <w:rsid w:val="42235DCF"/>
    <w:rsid w:val="433C7ACC"/>
    <w:rsid w:val="435518AD"/>
    <w:rsid w:val="43C04259"/>
    <w:rsid w:val="43C354C4"/>
    <w:rsid w:val="448C616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BDC66D4"/>
    <w:rsid w:val="4C192E4D"/>
    <w:rsid w:val="4C2E53BC"/>
    <w:rsid w:val="4C883C6A"/>
    <w:rsid w:val="4CAE18D6"/>
    <w:rsid w:val="4CD52BD1"/>
    <w:rsid w:val="4CEA2347"/>
    <w:rsid w:val="4D19039B"/>
    <w:rsid w:val="4D243428"/>
    <w:rsid w:val="4D2D7FC0"/>
    <w:rsid w:val="4D713DE6"/>
    <w:rsid w:val="4E1E04FA"/>
    <w:rsid w:val="4E50230A"/>
    <w:rsid w:val="4E604FB7"/>
    <w:rsid w:val="4E6C3413"/>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A655A6"/>
    <w:rsid w:val="53FA1DF3"/>
    <w:rsid w:val="541A7921"/>
    <w:rsid w:val="541D55E2"/>
    <w:rsid w:val="54AB2D04"/>
    <w:rsid w:val="551D71B4"/>
    <w:rsid w:val="557B35BC"/>
    <w:rsid w:val="565C1CF5"/>
    <w:rsid w:val="56E235EF"/>
    <w:rsid w:val="571F3A0C"/>
    <w:rsid w:val="574E47D2"/>
    <w:rsid w:val="57730CE2"/>
    <w:rsid w:val="57DC32D5"/>
    <w:rsid w:val="57F2034A"/>
    <w:rsid w:val="58207565"/>
    <w:rsid w:val="58235318"/>
    <w:rsid w:val="5889510A"/>
    <w:rsid w:val="59121C77"/>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F0279C4"/>
    <w:rsid w:val="5F944466"/>
    <w:rsid w:val="5FBE7D8F"/>
    <w:rsid w:val="60470EFE"/>
    <w:rsid w:val="60844C26"/>
    <w:rsid w:val="60A9029A"/>
    <w:rsid w:val="60DA29A7"/>
    <w:rsid w:val="60FA16F8"/>
    <w:rsid w:val="6139287F"/>
    <w:rsid w:val="616D4934"/>
    <w:rsid w:val="61CA0C65"/>
    <w:rsid w:val="62C642C8"/>
    <w:rsid w:val="631B2246"/>
    <w:rsid w:val="6320666B"/>
    <w:rsid w:val="63CF15A0"/>
    <w:rsid w:val="64055963"/>
    <w:rsid w:val="653F3C18"/>
    <w:rsid w:val="65A92947"/>
    <w:rsid w:val="661A50B7"/>
    <w:rsid w:val="665B123D"/>
    <w:rsid w:val="6688790E"/>
    <w:rsid w:val="66976C44"/>
    <w:rsid w:val="66F30BCE"/>
    <w:rsid w:val="673C0170"/>
    <w:rsid w:val="673E5F91"/>
    <w:rsid w:val="677A6041"/>
    <w:rsid w:val="6796410E"/>
    <w:rsid w:val="67BC07C3"/>
    <w:rsid w:val="67D6317A"/>
    <w:rsid w:val="67D649B5"/>
    <w:rsid w:val="68C401D4"/>
    <w:rsid w:val="68ED6365"/>
    <w:rsid w:val="6A4E3ABD"/>
    <w:rsid w:val="6AE63D7E"/>
    <w:rsid w:val="6B1FB0C7"/>
    <w:rsid w:val="6B462C2B"/>
    <w:rsid w:val="6B5E54B0"/>
    <w:rsid w:val="6B8359E9"/>
    <w:rsid w:val="6B8C5108"/>
    <w:rsid w:val="6BD277B9"/>
    <w:rsid w:val="6C321620"/>
    <w:rsid w:val="6C5C4BB7"/>
    <w:rsid w:val="6CE30E35"/>
    <w:rsid w:val="6DA02882"/>
    <w:rsid w:val="6DA12E69"/>
    <w:rsid w:val="6DBB3B60"/>
    <w:rsid w:val="6E0B0B68"/>
    <w:rsid w:val="6E2C6F5B"/>
    <w:rsid w:val="6F0B4673"/>
    <w:rsid w:val="6F4831D1"/>
    <w:rsid w:val="6F5E4346"/>
    <w:rsid w:val="700E4F44"/>
    <w:rsid w:val="70124E0E"/>
    <w:rsid w:val="70173239"/>
    <w:rsid w:val="70D95DDC"/>
    <w:rsid w:val="711D3FA5"/>
    <w:rsid w:val="71C9107F"/>
    <w:rsid w:val="7210509E"/>
    <w:rsid w:val="721A5B23"/>
    <w:rsid w:val="722A3062"/>
    <w:rsid w:val="72B931C1"/>
    <w:rsid w:val="72CB03A1"/>
    <w:rsid w:val="730100E0"/>
    <w:rsid w:val="734A515C"/>
    <w:rsid w:val="738D03F5"/>
    <w:rsid w:val="73987BB2"/>
    <w:rsid w:val="73E442FB"/>
    <w:rsid w:val="73EF1E6D"/>
    <w:rsid w:val="74005664"/>
    <w:rsid w:val="74173DA2"/>
    <w:rsid w:val="75465FCB"/>
    <w:rsid w:val="76471CF3"/>
    <w:rsid w:val="76723FC6"/>
    <w:rsid w:val="767E5B01"/>
    <w:rsid w:val="76930879"/>
    <w:rsid w:val="76AE4262"/>
    <w:rsid w:val="778F44F9"/>
    <w:rsid w:val="77A732F9"/>
    <w:rsid w:val="77C17FC5"/>
    <w:rsid w:val="77F2017E"/>
    <w:rsid w:val="78A551F0"/>
    <w:rsid w:val="78D36201"/>
    <w:rsid w:val="78F771D6"/>
    <w:rsid w:val="79017606"/>
    <w:rsid w:val="79055EA2"/>
    <w:rsid w:val="79D7762B"/>
    <w:rsid w:val="79EB254B"/>
    <w:rsid w:val="7BA82ABD"/>
    <w:rsid w:val="7BFC3F85"/>
    <w:rsid w:val="7C757EAB"/>
    <w:rsid w:val="7D0A41BC"/>
    <w:rsid w:val="7D0A4B32"/>
    <w:rsid w:val="7D797C2B"/>
    <w:rsid w:val="7D823D52"/>
    <w:rsid w:val="7DAC6A56"/>
    <w:rsid w:val="7DAF6342"/>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
    <w:autoRedefine/>
    <w:qFormat/>
    <w:uiPriority w:val="0"/>
    <w:pPr>
      <w:ind w:firstLine="420"/>
    </w:pPr>
    <w:rPr>
      <w:rFonts w:hAnsi="Times New Roman" w:cs="Times New Roman"/>
      <w:snapToGrid/>
      <w:szCs w:val="20"/>
    </w:r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oc 6"/>
    <w:basedOn w:val="1"/>
    <w:next w:val="1"/>
    <w:autoRedefine/>
    <w:qFormat/>
    <w:uiPriority w:val="0"/>
    <w:pPr>
      <w:ind w:left="2100" w:leftChars="1000"/>
    </w:pPr>
  </w:style>
  <w:style w:type="paragraph" w:styleId="16">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Hyperlink"/>
    <w:basedOn w:val="19"/>
    <w:autoRedefine/>
    <w:qFormat/>
    <w:uiPriority w:val="0"/>
    <w:rPr>
      <w:color w:val="0000FF"/>
      <w:u w:val="single"/>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3"/>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 w:type="character" w:customStyle="1" w:styleId="37">
    <w:name w:val="font31"/>
    <w:basedOn w:val="19"/>
    <w:autoRedefine/>
    <w:qFormat/>
    <w:uiPriority w:val="0"/>
    <w:rPr>
      <w:rFonts w:ascii="宋体" w:hAnsi="宋体" w:eastAsia="宋体" w:cs="宋体"/>
      <w:color w:val="000000"/>
      <w:sz w:val="22"/>
      <w:szCs w:val="22"/>
      <w:u w:val="none"/>
    </w:rPr>
  </w:style>
  <w:style w:type="character" w:customStyle="1" w:styleId="38">
    <w:name w:val="font11"/>
    <w:basedOn w:val="19"/>
    <w:autoRedefine/>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119</Pages>
  <Words>41142</Words>
  <Characters>53460</Characters>
  <Lines>224</Lines>
  <Paragraphs>63</Paragraphs>
  <TotalTime>61</TotalTime>
  <ScaleCrop>false</ScaleCrop>
  <LinksUpToDate>false</LinksUpToDate>
  <CharactersWithSpaces>54224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2025-10-11T01:44:36Z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ADF0276D5544451E8D97B545A902714B_13</vt:lpwstr>
  </property>
  <property fmtid="{D5CDD505-2E9C-101B-9397-08002B2CF9AE}" pid="4" name="KSOTemplateDocerSaveRecord">
    <vt:lpwstr>eyJoZGlkIjoiNWEyMzZkZjM2MDJhYjY1OWNjZDE1ZDE1YjY1MWQ5MjAiLCJ1c2VySWQiOiIyNTA2MTQ5NTQifQ==</vt:lpwstr>
  </property>
</Properties>
</file>