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2025年临江公司污泥（泥浆水）处置服务采购项目（第四次）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202509007-4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2025年临江公司污泥（泥浆水）处置服务采购项目（第四次）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202509007-4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2025年临江公司污泥（泥浆水）处置服务采购项目（第四次）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29.83万元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bCs/>
          <w:color w:val="auto"/>
          <w:sz w:val="24"/>
          <w:highlight w:val="none"/>
          <w:lang w:eastAsia="zh-CN"/>
        </w:rPr>
        <w:t>负责</w:t>
      </w:r>
      <w:r>
        <w:rPr>
          <w:rFonts w:hint="eastAsia" w:cs="仿宋" w:asciiTheme="minorEastAsia" w:hAnsiTheme="minorEastAsia"/>
          <w:bCs/>
          <w:color w:val="auto"/>
          <w:sz w:val="24"/>
          <w:highlight w:val="none"/>
          <w:lang w:val="en-US" w:eastAsia="zh-CN"/>
        </w:rPr>
        <w:t>处置采购人的生活垃圾渗滤液污泥（废物代码SW07，含水率约98%），暂定数量为1900吨，不含运输</w:t>
      </w:r>
      <w:r>
        <w:rPr>
          <w:rFonts w:hint="eastAsia" w:hAnsi="宋体" w:cs="宋体"/>
          <w:bCs/>
          <w:color w:val="auto"/>
          <w:sz w:val="24"/>
          <w:highlight w:val="none"/>
          <w:lang w:eastAsia="zh-CN"/>
        </w:rPr>
        <w:t>。</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自合同签订起完成1900吨处置量后合同自动终止。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供应商须具有SW07污泥处置相应资格，</w:t>
      </w:r>
      <w:r>
        <w:rPr>
          <w:rFonts w:hint="eastAsia" w:cs="仿宋" w:asciiTheme="minorEastAsia" w:hAnsiTheme="minorEastAsia"/>
          <w:bCs/>
          <w:i w:val="0"/>
          <w:iCs w:val="0"/>
          <w:color w:val="auto"/>
          <w:sz w:val="24"/>
          <w:highlight w:val="none"/>
          <w:u w:val="single"/>
          <w:lang w:val="en-US" w:eastAsia="zh-CN"/>
        </w:rPr>
        <w:t>能够在浙江省固体废物监管信息系统办理废物转移联单手续</w:t>
      </w:r>
      <w:r>
        <w:rPr>
          <w:rFonts w:hint="eastAsia" w:cs="仿宋" w:asciiTheme="minorEastAsia" w:hAnsiTheme="minorEastAsia"/>
          <w:b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10月20</w:t>
      </w:r>
      <w:bookmarkStart w:id="469" w:name="_GoBack"/>
      <w:bookmarkEnd w:id="46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47C0AFE2">
      <w:pPr>
        <w:rPr>
          <w:rFonts w:hint="eastAsia" w:cs="仿宋" w:asciiTheme="minorEastAsia" w:hAnsiTheme="minorEastAsia"/>
          <w:b/>
          <w:color w:val="auto"/>
          <w:sz w:val="32"/>
          <w:szCs w:val="20"/>
        </w:rPr>
      </w:pPr>
    </w:p>
    <w:p w14:paraId="1619A9B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供应商负责处置采购人生活垃圾渗滤液污泥（废物代码SW07，含水率约98%），暂定数量1900吨。</w:t>
      </w:r>
    </w:p>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：完成处置1900吨污泥后合同自动终止。</w:t>
      </w:r>
    </w:p>
    <w:p w14:paraId="6CBB2579">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▲三、验收方式</w:t>
      </w:r>
    </w:p>
    <w:p w14:paraId="08B6753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以本询价采购文件中的合同条款为准。</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61713CA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1.本项目根据采购人实际需要，分批次处置。供应商接到采购人电话通知后，采购人安排人员和车辆将污泥送至供应商指定地点。</w:t>
      </w:r>
    </w:p>
    <w:p w14:paraId="3B3BDC74">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2.供应商应向采购人提供本协议约定污泥的处置服务，不得无故拒收。</w:t>
      </w:r>
    </w:p>
    <w:p w14:paraId="0EBB53FE">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3.供应商应按照环境保护有关法律法规、标准规范的规定对污泥最终安全、合法处置，并承担相应法律责任。</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84"/>
      <w:bookmarkEnd w:id="19"/>
      <w:bookmarkStart w:id="20" w:name="_Toc184310330"/>
      <w:bookmarkEnd w:id="20"/>
      <w:bookmarkStart w:id="21" w:name="_Toc184312090"/>
      <w:bookmarkEnd w:id="21"/>
      <w:bookmarkStart w:id="22" w:name="_Toc184314414"/>
      <w:bookmarkEnd w:id="22"/>
      <w:bookmarkStart w:id="23" w:name="_Toc184308050"/>
      <w:bookmarkEnd w:id="23"/>
      <w:bookmarkStart w:id="24" w:name="_Toc184313291"/>
      <w:bookmarkEnd w:id="24"/>
      <w:bookmarkStart w:id="25" w:name="_Toc184314472"/>
      <w:bookmarkEnd w:id="25"/>
      <w:bookmarkStart w:id="26" w:name="_Toc184312092"/>
      <w:bookmarkEnd w:id="26"/>
      <w:bookmarkStart w:id="27" w:name="_Toc184308046"/>
      <w:bookmarkEnd w:id="27"/>
      <w:bookmarkStart w:id="28" w:name="_Toc184313292"/>
      <w:bookmarkEnd w:id="28"/>
      <w:bookmarkStart w:id="29" w:name="_Toc184308066"/>
      <w:bookmarkEnd w:id="29"/>
      <w:bookmarkStart w:id="30" w:name="_Toc184312112"/>
      <w:bookmarkEnd w:id="30"/>
      <w:bookmarkStart w:id="31" w:name="_Toc184312132"/>
      <w:bookmarkEnd w:id="31"/>
      <w:bookmarkStart w:id="32" w:name="_Toc184308070"/>
      <w:bookmarkEnd w:id="32"/>
      <w:bookmarkStart w:id="33" w:name="_Toc184313247"/>
      <w:bookmarkEnd w:id="33"/>
      <w:bookmarkStart w:id="34" w:name="_Toc184314441"/>
      <w:bookmarkEnd w:id="34"/>
      <w:bookmarkStart w:id="35" w:name="_Toc184310341"/>
      <w:bookmarkEnd w:id="35"/>
      <w:bookmarkStart w:id="36" w:name="_Toc184313284"/>
      <w:bookmarkEnd w:id="36"/>
      <w:bookmarkStart w:id="37" w:name="_Toc184314455"/>
      <w:bookmarkEnd w:id="37"/>
      <w:bookmarkStart w:id="38" w:name="_Toc184312074"/>
      <w:bookmarkEnd w:id="38"/>
      <w:bookmarkStart w:id="39" w:name="_Toc184312107"/>
      <w:bookmarkEnd w:id="39"/>
      <w:bookmarkStart w:id="40" w:name="_Toc184312086"/>
      <w:bookmarkEnd w:id="40"/>
      <w:bookmarkStart w:id="41" w:name="_Toc184313250"/>
      <w:bookmarkEnd w:id="41"/>
      <w:bookmarkStart w:id="42" w:name="_Toc184312106"/>
      <w:bookmarkEnd w:id="42"/>
      <w:bookmarkStart w:id="43" w:name="_Toc184310290"/>
      <w:bookmarkEnd w:id="43"/>
      <w:bookmarkStart w:id="44" w:name="_Toc184312111"/>
      <w:bookmarkEnd w:id="44"/>
      <w:bookmarkStart w:id="45" w:name="_Toc184312081"/>
      <w:bookmarkEnd w:id="45"/>
      <w:bookmarkStart w:id="46" w:name="_Toc184312089"/>
      <w:bookmarkEnd w:id="46"/>
      <w:bookmarkStart w:id="47" w:name="_Toc184314458"/>
      <w:bookmarkEnd w:id="47"/>
      <w:bookmarkStart w:id="48" w:name="_Toc184313272"/>
      <w:bookmarkEnd w:id="48"/>
      <w:bookmarkStart w:id="49" w:name="_Toc184314418"/>
      <w:bookmarkEnd w:id="49"/>
      <w:bookmarkStart w:id="50" w:name="_Toc184310319"/>
      <w:bookmarkEnd w:id="50"/>
      <w:bookmarkStart w:id="51" w:name="_Toc184314428"/>
      <w:bookmarkEnd w:id="51"/>
      <w:bookmarkStart w:id="52" w:name="_Toc184314443"/>
      <w:bookmarkEnd w:id="52"/>
      <w:bookmarkStart w:id="53" w:name="_Toc184310281"/>
      <w:bookmarkEnd w:id="53"/>
      <w:bookmarkStart w:id="54" w:name="_Toc184310331"/>
      <w:bookmarkEnd w:id="54"/>
      <w:bookmarkStart w:id="55" w:name="_Toc184314466"/>
      <w:bookmarkEnd w:id="55"/>
      <w:bookmarkStart w:id="56" w:name="_Toc184314463"/>
      <w:bookmarkEnd w:id="56"/>
      <w:bookmarkStart w:id="57" w:name="_Toc184310293"/>
      <w:bookmarkEnd w:id="57"/>
      <w:bookmarkStart w:id="58" w:name="_Toc184308065"/>
      <w:bookmarkEnd w:id="58"/>
      <w:bookmarkStart w:id="59" w:name="_Toc184314426"/>
      <w:bookmarkEnd w:id="59"/>
      <w:bookmarkStart w:id="60" w:name="_Toc184308053"/>
      <w:bookmarkEnd w:id="60"/>
      <w:bookmarkStart w:id="61" w:name="_Toc184310334"/>
      <w:bookmarkEnd w:id="61"/>
      <w:bookmarkStart w:id="62" w:name="_Toc184310296"/>
      <w:bookmarkEnd w:id="62"/>
      <w:bookmarkStart w:id="63" w:name="_Toc184308043"/>
      <w:bookmarkEnd w:id="63"/>
      <w:bookmarkStart w:id="64" w:name="_Toc184312138"/>
      <w:bookmarkEnd w:id="64"/>
      <w:bookmarkStart w:id="65" w:name="_Toc184310272"/>
      <w:bookmarkEnd w:id="65"/>
      <w:bookmarkStart w:id="66" w:name="_Toc184314411"/>
      <w:bookmarkEnd w:id="66"/>
      <w:bookmarkStart w:id="67" w:name="_Toc184314450"/>
      <w:bookmarkEnd w:id="67"/>
      <w:bookmarkStart w:id="68" w:name="_Toc184312136"/>
      <w:bookmarkEnd w:id="68"/>
      <w:bookmarkStart w:id="69" w:name="_Toc184314457"/>
      <w:bookmarkEnd w:id="69"/>
      <w:bookmarkStart w:id="70" w:name="_Toc184310282"/>
      <w:bookmarkEnd w:id="70"/>
      <w:bookmarkStart w:id="71" w:name="_Toc184308040"/>
      <w:bookmarkEnd w:id="71"/>
      <w:bookmarkStart w:id="72" w:name="_Toc184313259"/>
      <w:bookmarkEnd w:id="72"/>
      <w:bookmarkStart w:id="73" w:name="_Toc184312067"/>
      <w:bookmarkEnd w:id="73"/>
      <w:bookmarkStart w:id="74" w:name="_Toc184308083"/>
      <w:bookmarkEnd w:id="74"/>
      <w:bookmarkStart w:id="75" w:name="_Toc184308059"/>
      <w:bookmarkEnd w:id="75"/>
      <w:bookmarkStart w:id="76" w:name="_Toc184308084"/>
      <w:bookmarkEnd w:id="76"/>
      <w:bookmarkStart w:id="77" w:name="_Toc184313267"/>
      <w:bookmarkEnd w:id="77"/>
      <w:bookmarkStart w:id="78" w:name="_Toc184312124"/>
      <w:bookmarkEnd w:id="78"/>
      <w:bookmarkStart w:id="79" w:name="_Toc184310323"/>
      <w:bookmarkEnd w:id="79"/>
      <w:bookmarkStart w:id="80" w:name="_Toc184308090"/>
      <w:bookmarkEnd w:id="80"/>
      <w:bookmarkStart w:id="81" w:name="_Toc184313269"/>
      <w:bookmarkEnd w:id="81"/>
      <w:bookmarkStart w:id="82" w:name="_Toc184308048"/>
      <w:bookmarkEnd w:id="82"/>
      <w:bookmarkStart w:id="83" w:name="_Toc184314415"/>
      <w:bookmarkEnd w:id="83"/>
      <w:bookmarkStart w:id="84" w:name="_Toc184310332"/>
      <w:bookmarkEnd w:id="84"/>
      <w:bookmarkStart w:id="85" w:name="_Toc184308082"/>
      <w:bookmarkEnd w:id="85"/>
      <w:bookmarkStart w:id="86" w:name="_Toc184308036"/>
      <w:bookmarkEnd w:id="86"/>
      <w:bookmarkStart w:id="87" w:name="_Toc184310339"/>
      <w:bookmarkEnd w:id="87"/>
      <w:bookmarkStart w:id="88" w:name="_Toc184313245"/>
      <w:bookmarkEnd w:id="88"/>
      <w:bookmarkStart w:id="89" w:name="_Toc184313271"/>
      <w:bookmarkEnd w:id="89"/>
      <w:bookmarkStart w:id="90" w:name="_Toc184313240"/>
      <w:bookmarkEnd w:id="90"/>
      <w:bookmarkStart w:id="91" w:name="_Toc184314475"/>
      <w:bookmarkEnd w:id="91"/>
      <w:bookmarkStart w:id="92" w:name="_Toc184308072"/>
      <w:bookmarkEnd w:id="92"/>
      <w:bookmarkStart w:id="93" w:name="_Toc184313277"/>
      <w:bookmarkEnd w:id="93"/>
      <w:bookmarkStart w:id="94" w:name="_Toc184314416"/>
      <w:bookmarkEnd w:id="94"/>
      <w:bookmarkStart w:id="95" w:name="_Toc184312096"/>
      <w:bookmarkEnd w:id="95"/>
      <w:bookmarkStart w:id="96" w:name="_Toc184308094"/>
      <w:bookmarkEnd w:id="96"/>
      <w:bookmarkStart w:id="97" w:name="_Toc184313268"/>
      <w:bookmarkEnd w:id="97"/>
      <w:bookmarkStart w:id="98" w:name="_Toc184314438"/>
      <w:bookmarkEnd w:id="98"/>
      <w:bookmarkStart w:id="99" w:name="_Toc184313241"/>
      <w:bookmarkEnd w:id="99"/>
      <w:bookmarkStart w:id="100" w:name="_Toc184308068"/>
      <w:bookmarkEnd w:id="100"/>
      <w:bookmarkStart w:id="101" w:name="_Toc184313286"/>
      <w:bookmarkEnd w:id="101"/>
      <w:bookmarkStart w:id="102" w:name="_Toc184310342"/>
      <w:bookmarkEnd w:id="102"/>
      <w:bookmarkStart w:id="103" w:name="_Toc184308087"/>
      <w:bookmarkEnd w:id="103"/>
      <w:bookmarkStart w:id="104" w:name="_Toc184310275"/>
      <w:bookmarkEnd w:id="104"/>
      <w:bookmarkStart w:id="105" w:name="_Toc184308060"/>
      <w:bookmarkEnd w:id="105"/>
      <w:bookmarkStart w:id="106" w:name="_Toc184308108"/>
      <w:bookmarkEnd w:id="106"/>
      <w:bookmarkStart w:id="107" w:name="_Toc184310315"/>
      <w:bookmarkEnd w:id="107"/>
      <w:bookmarkStart w:id="108" w:name="_Toc184312076"/>
      <w:bookmarkEnd w:id="108"/>
      <w:bookmarkStart w:id="109" w:name="_Toc184312069"/>
      <w:bookmarkEnd w:id="109"/>
      <w:bookmarkStart w:id="110" w:name="_Toc184308085"/>
      <w:bookmarkEnd w:id="110"/>
      <w:bookmarkStart w:id="111" w:name="_Toc184314462"/>
      <w:bookmarkEnd w:id="111"/>
      <w:bookmarkStart w:id="112" w:name="_Toc184312129"/>
      <w:bookmarkEnd w:id="112"/>
      <w:bookmarkStart w:id="113" w:name="_Toc184313249"/>
      <w:bookmarkEnd w:id="113"/>
      <w:bookmarkStart w:id="114" w:name="_Toc184312078"/>
      <w:bookmarkEnd w:id="114"/>
      <w:bookmarkStart w:id="115" w:name="_Toc184308074"/>
      <w:bookmarkEnd w:id="115"/>
      <w:bookmarkStart w:id="116" w:name="_Toc184308062"/>
      <w:bookmarkEnd w:id="116"/>
      <w:bookmarkStart w:id="117" w:name="_Toc184310318"/>
      <w:bookmarkEnd w:id="117"/>
      <w:bookmarkStart w:id="118" w:name="_Toc184310333"/>
      <w:bookmarkEnd w:id="118"/>
      <w:bookmarkStart w:id="119" w:name="_Toc184310344"/>
      <w:bookmarkEnd w:id="119"/>
      <w:bookmarkStart w:id="120" w:name="_Toc184310304"/>
      <w:bookmarkEnd w:id="120"/>
      <w:bookmarkStart w:id="121" w:name="_Toc184310286"/>
      <w:bookmarkEnd w:id="121"/>
      <w:bookmarkStart w:id="122" w:name="_Toc184314444"/>
      <w:bookmarkEnd w:id="122"/>
      <w:bookmarkStart w:id="123" w:name="_Toc184308071"/>
      <w:bookmarkEnd w:id="123"/>
      <w:bookmarkStart w:id="124" w:name="_Toc184313273"/>
      <w:bookmarkEnd w:id="124"/>
      <w:bookmarkStart w:id="125" w:name="_Toc184310316"/>
      <w:bookmarkEnd w:id="125"/>
      <w:bookmarkStart w:id="126" w:name="_Toc184314460"/>
      <w:bookmarkEnd w:id="126"/>
      <w:bookmarkStart w:id="127" w:name="_Toc184308101"/>
      <w:bookmarkEnd w:id="127"/>
      <w:bookmarkStart w:id="128" w:name="_Toc184314477"/>
      <w:bookmarkEnd w:id="128"/>
      <w:bookmarkStart w:id="129" w:name="_Toc184308099"/>
      <w:bookmarkEnd w:id="129"/>
      <w:bookmarkStart w:id="130" w:name="_Toc184314476"/>
      <w:bookmarkEnd w:id="130"/>
      <w:bookmarkStart w:id="131" w:name="_Toc184314431"/>
      <w:bookmarkEnd w:id="131"/>
      <w:bookmarkStart w:id="132" w:name="_Toc184308042"/>
      <w:bookmarkEnd w:id="132"/>
      <w:bookmarkStart w:id="133" w:name="_Toc184310283"/>
      <w:bookmarkEnd w:id="133"/>
      <w:bookmarkStart w:id="134" w:name="_Toc184308064"/>
      <w:bookmarkEnd w:id="134"/>
      <w:bookmarkStart w:id="135" w:name="_Toc184313283"/>
      <w:bookmarkEnd w:id="135"/>
      <w:bookmarkStart w:id="136" w:name="_Toc184314481"/>
      <w:bookmarkEnd w:id="136"/>
      <w:bookmarkStart w:id="137" w:name="_Toc184308057"/>
      <w:bookmarkEnd w:id="137"/>
      <w:bookmarkStart w:id="138" w:name="_Toc184312095"/>
      <w:bookmarkEnd w:id="138"/>
      <w:bookmarkStart w:id="139" w:name="_Toc184313263"/>
      <w:bookmarkEnd w:id="139"/>
      <w:bookmarkStart w:id="140" w:name="_Toc184310303"/>
      <w:bookmarkEnd w:id="140"/>
      <w:bookmarkStart w:id="141" w:name="_Toc184310311"/>
      <w:bookmarkEnd w:id="141"/>
      <w:bookmarkStart w:id="142" w:name="_Toc184312128"/>
      <w:bookmarkEnd w:id="142"/>
      <w:bookmarkStart w:id="143" w:name="_Toc184312118"/>
      <w:bookmarkEnd w:id="143"/>
      <w:bookmarkStart w:id="144" w:name="_Toc184312080"/>
      <w:bookmarkEnd w:id="144"/>
      <w:bookmarkStart w:id="145" w:name="_Toc184313248"/>
      <w:bookmarkEnd w:id="145"/>
      <w:bookmarkStart w:id="146" w:name="_Toc184313285"/>
      <w:bookmarkEnd w:id="146"/>
      <w:bookmarkStart w:id="147" w:name="_Toc184313242"/>
      <w:bookmarkEnd w:id="147"/>
      <w:bookmarkStart w:id="148" w:name="_Toc184313307"/>
      <w:bookmarkEnd w:id="148"/>
      <w:bookmarkStart w:id="149" w:name="_Toc184310277"/>
      <w:bookmarkEnd w:id="149"/>
      <w:bookmarkStart w:id="150" w:name="_Toc184313256"/>
      <w:bookmarkEnd w:id="150"/>
      <w:bookmarkStart w:id="151" w:name="_Toc184312088"/>
      <w:bookmarkEnd w:id="151"/>
      <w:bookmarkStart w:id="152" w:name="_Toc184312071"/>
      <w:bookmarkEnd w:id="152"/>
      <w:bookmarkStart w:id="153" w:name="_Toc184314420"/>
      <w:bookmarkEnd w:id="153"/>
      <w:bookmarkStart w:id="154" w:name="_Toc184313287"/>
      <w:bookmarkEnd w:id="154"/>
      <w:bookmarkStart w:id="155" w:name="_Toc184312091"/>
      <w:bookmarkEnd w:id="155"/>
      <w:bookmarkStart w:id="156" w:name="_Toc184312114"/>
      <w:bookmarkEnd w:id="156"/>
      <w:bookmarkStart w:id="157" w:name="_Toc184313296"/>
      <w:bookmarkEnd w:id="157"/>
      <w:bookmarkStart w:id="158" w:name="_Toc184312068"/>
      <w:bookmarkEnd w:id="158"/>
      <w:bookmarkStart w:id="159" w:name="_Toc184312103"/>
      <w:bookmarkEnd w:id="159"/>
      <w:bookmarkStart w:id="160" w:name="_Toc184312085"/>
      <w:bookmarkEnd w:id="160"/>
      <w:bookmarkStart w:id="161" w:name="_Toc184310276"/>
      <w:bookmarkEnd w:id="161"/>
      <w:bookmarkStart w:id="162" w:name="_Toc184313276"/>
      <w:bookmarkEnd w:id="162"/>
      <w:bookmarkStart w:id="163" w:name="_Toc184308089"/>
      <w:bookmarkEnd w:id="163"/>
      <w:bookmarkStart w:id="164" w:name="_Toc184312139"/>
      <w:bookmarkEnd w:id="164"/>
      <w:bookmarkStart w:id="165" w:name="_Toc184313261"/>
      <w:bookmarkEnd w:id="165"/>
      <w:bookmarkStart w:id="166" w:name="_Toc184310337"/>
      <w:bookmarkEnd w:id="166"/>
      <w:bookmarkStart w:id="167" w:name="_Toc184310294"/>
      <w:bookmarkEnd w:id="167"/>
      <w:bookmarkStart w:id="168" w:name="_Toc184313289"/>
      <w:bookmarkEnd w:id="168"/>
      <w:bookmarkStart w:id="169" w:name="_Toc184308092"/>
      <w:bookmarkEnd w:id="169"/>
      <w:bookmarkStart w:id="170" w:name="_Toc184313290"/>
      <w:bookmarkEnd w:id="170"/>
      <w:bookmarkStart w:id="171" w:name="_Toc184312083"/>
      <w:bookmarkEnd w:id="171"/>
      <w:bookmarkStart w:id="172" w:name="_Toc184310327"/>
      <w:bookmarkEnd w:id="172"/>
      <w:bookmarkStart w:id="173" w:name="_Toc184314471"/>
      <w:bookmarkEnd w:id="173"/>
      <w:bookmarkStart w:id="174" w:name="_Toc184313279"/>
      <w:bookmarkEnd w:id="174"/>
      <w:bookmarkStart w:id="175" w:name="_Toc184312109"/>
      <w:bookmarkEnd w:id="175"/>
      <w:bookmarkStart w:id="176" w:name="_Toc184310302"/>
      <w:bookmarkEnd w:id="176"/>
      <w:bookmarkStart w:id="177" w:name="_Toc184313310"/>
      <w:bookmarkEnd w:id="177"/>
      <w:bookmarkStart w:id="178" w:name="_Toc184314469"/>
      <w:bookmarkEnd w:id="178"/>
      <w:bookmarkStart w:id="179" w:name="_Toc184308058"/>
      <w:bookmarkEnd w:id="179"/>
      <w:bookmarkStart w:id="180" w:name="_Toc184310284"/>
      <w:bookmarkEnd w:id="180"/>
      <w:bookmarkStart w:id="181" w:name="_Toc184313308"/>
      <w:bookmarkEnd w:id="181"/>
      <w:bookmarkStart w:id="182" w:name="_Toc184310289"/>
      <w:bookmarkEnd w:id="182"/>
      <w:bookmarkStart w:id="183" w:name="_Toc184314433"/>
      <w:bookmarkEnd w:id="183"/>
      <w:bookmarkStart w:id="184" w:name="_Toc184310338"/>
      <w:bookmarkEnd w:id="184"/>
      <w:bookmarkStart w:id="185" w:name="_Toc184308073"/>
      <w:bookmarkEnd w:id="185"/>
      <w:bookmarkStart w:id="186" w:name="_Toc184310279"/>
      <w:bookmarkEnd w:id="186"/>
      <w:bookmarkStart w:id="187" w:name="_Toc184314427"/>
      <w:bookmarkEnd w:id="187"/>
      <w:bookmarkStart w:id="188" w:name="_Toc184314434"/>
      <w:bookmarkEnd w:id="188"/>
      <w:bookmarkStart w:id="189" w:name="_Toc184308100"/>
      <w:bookmarkEnd w:id="189"/>
      <w:bookmarkStart w:id="190" w:name="_Toc184310291"/>
      <w:bookmarkEnd w:id="190"/>
      <w:bookmarkStart w:id="191" w:name="_Toc184313278"/>
      <w:bookmarkEnd w:id="191"/>
      <w:bookmarkStart w:id="192" w:name="_Toc184310295"/>
      <w:bookmarkEnd w:id="192"/>
      <w:bookmarkStart w:id="193" w:name="_Toc184312122"/>
      <w:bookmarkEnd w:id="193"/>
      <w:bookmarkStart w:id="194" w:name="_Toc184312093"/>
      <w:bookmarkEnd w:id="194"/>
      <w:bookmarkStart w:id="195" w:name="_Toc184310297"/>
      <w:bookmarkEnd w:id="195"/>
      <w:bookmarkStart w:id="196" w:name="_Toc184313246"/>
      <w:bookmarkEnd w:id="196"/>
      <w:bookmarkStart w:id="197" w:name="_Toc184312079"/>
      <w:bookmarkEnd w:id="197"/>
      <w:bookmarkStart w:id="198" w:name="_Toc184310305"/>
      <w:bookmarkEnd w:id="198"/>
      <w:bookmarkStart w:id="199" w:name="_Toc184312105"/>
      <w:bookmarkEnd w:id="199"/>
      <w:bookmarkStart w:id="200" w:name="_Toc184313306"/>
      <w:bookmarkEnd w:id="200"/>
      <w:bookmarkStart w:id="201" w:name="_Toc184310313"/>
      <w:bookmarkEnd w:id="201"/>
      <w:bookmarkStart w:id="202" w:name="_Toc184308047"/>
      <w:bookmarkEnd w:id="202"/>
      <w:bookmarkStart w:id="203" w:name="_Toc184314454"/>
      <w:bookmarkEnd w:id="203"/>
      <w:bookmarkStart w:id="204" w:name="_Toc184314413"/>
      <w:bookmarkEnd w:id="204"/>
      <w:bookmarkStart w:id="205" w:name="_Toc184308096"/>
      <w:bookmarkEnd w:id="205"/>
      <w:bookmarkStart w:id="206" w:name="_Toc184313299"/>
      <w:bookmarkEnd w:id="206"/>
      <w:bookmarkStart w:id="207" w:name="_Toc184313282"/>
      <w:bookmarkEnd w:id="207"/>
      <w:bookmarkStart w:id="208" w:name="_Toc184314440"/>
      <w:bookmarkEnd w:id="208"/>
      <w:bookmarkStart w:id="209" w:name="_Toc184308061"/>
      <w:bookmarkEnd w:id="209"/>
      <w:bookmarkStart w:id="210" w:name="_Toc184313294"/>
      <w:bookmarkEnd w:id="210"/>
      <w:bookmarkStart w:id="211" w:name="_Toc184308078"/>
      <w:bookmarkEnd w:id="211"/>
      <w:bookmarkStart w:id="212" w:name="_Toc184314424"/>
      <w:bookmarkEnd w:id="212"/>
      <w:bookmarkStart w:id="213" w:name="_Toc184308038"/>
      <w:bookmarkEnd w:id="213"/>
      <w:bookmarkStart w:id="214" w:name="_Toc184313255"/>
      <w:bookmarkEnd w:id="214"/>
      <w:bookmarkStart w:id="215" w:name="_Toc184314467"/>
      <w:bookmarkEnd w:id="215"/>
      <w:bookmarkStart w:id="216" w:name="_Toc184310288"/>
      <w:bookmarkEnd w:id="216"/>
      <w:bookmarkStart w:id="217" w:name="_Toc184308045"/>
      <w:bookmarkEnd w:id="217"/>
      <w:bookmarkStart w:id="218" w:name="_Toc184314447"/>
      <w:bookmarkEnd w:id="218"/>
      <w:bookmarkStart w:id="219" w:name="_Toc184313275"/>
      <w:bookmarkEnd w:id="219"/>
      <w:bookmarkStart w:id="220" w:name="_Toc184313304"/>
      <w:bookmarkEnd w:id="220"/>
      <w:bookmarkStart w:id="221" w:name="_Toc184313254"/>
      <w:bookmarkEnd w:id="221"/>
      <w:bookmarkStart w:id="222" w:name="_Toc184314482"/>
      <w:bookmarkEnd w:id="222"/>
      <w:bookmarkStart w:id="223" w:name="_Toc184310314"/>
      <w:bookmarkEnd w:id="223"/>
      <w:bookmarkStart w:id="224" w:name="_Toc184312101"/>
      <w:bookmarkEnd w:id="224"/>
      <w:bookmarkStart w:id="225" w:name="_Toc184308049"/>
      <w:bookmarkEnd w:id="225"/>
      <w:bookmarkStart w:id="226" w:name="_Toc184314437"/>
      <w:bookmarkEnd w:id="226"/>
      <w:bookmarkStart w:id="227" w:name="_Toc184312077"/>
      <w:bookmarkEnd w:id="227"/>
      <w:bookmarkStart w:id="228" w:name="_Toc184314423"/>
      <w:bookmarkEnd w:id="228"/>
      <w:bookmarkStart w:id="229" w:name="_Toc184314432"/>
      <w:bookmarkEnd w:id="229"/>
      <w:bookmarkStart w:id="230" w:name="_Toc184314445"/>
      <w:bookmarkEnd w:id="230"/>
      <w:bookmarkStart w:id="231" w:name="_Toc184312102"/>
      <w:bookmarkEnd w:id="231"/>
      <w:bookmarkStart w:id="232" w:name="_Toc184313266"/>
      <w:bookmarkEnd w:id="232"/>
      <w:bookmarkStart w:id="233" w:name="_Toc184313264"/>
      <w:bookmarkEnd w:id="233"/>
      <w:bookmarkStart w:id="234" w:name="_Toc184313262"/>
      <w:bookmarkEnd w:id="234"/>
      <w:bookmarkStart w:id="235" w:name="_Toc184308086"/>
      <w:bookmarkEnd w:id="235"/>
      <w:bookmarkStart w:id="236" w:name="_Toc184312100"/>
      <w:bookmarkEnd w:id="236"/>
      <w:bookmarkStart w:id="237" w:name="_Toc184313293"/>
      <w:bookmarkEnd w:id="237"/>
      <w:bookmarkStart w:id="238" w:name="_Toc184314412"/>
      <w:bookmarkEnd w:id="238"/>
      <w:bookmarkStart w:id="239" w:name="_Toc184308069"/>
      <w:bookmarkEnd w:id="239"/>
      <w:bookmarkStart w:id="240" w:name="_Toc184308041"/>
      <w:bookmarkEnd w:id="240"/>
      <w:bookmarkStart w:id="241" w:name="_Toc184312094"/>
      <w:bookmarkEnd w:id="241"/>
      <w:bookmarkStart w:id="242" w:name="_Toc184312073"/>
      <w:bookmarkEnd w:id="242"/>
      <w:bookmarkStart w:id="243" w:name="_Toc184312082"/>
      <w:bookmarkEnd w:id="243"/>
      <w:bookmarkStart w:id="244" w:name="_Toc184312135"/>
      <w:bookmarkEnd w:id="244"/>
      <w:bookmarkStart w:id="245" w:name="_Toc184314422"/>
      <w:bookmarkEnd w:id="245"/>
      <w:bookmarkStart w:id="246" w:name="_Toc184313281"/>
      <w:bookmarkEnd w:id="246"/>
      <w:bookmarkStart w:id="247" w:name="_Toc184312130"/>
      <w:bookmarkEnd w:id="247"/>
      <w:bookmarkStart w:id="248" w:name="_Toc184308079"/>
      <w:bookmarkEnd w:id="248"/>
      <w:bookmarkStart w:id="249" w:name="_Toc184310328"/>
      <w:bookmarkEnd w:id="249"/>
      <w:bookmarkStart w:id="250" w:name="_Toc184314430"/>
      <w:bookmarkEnd w:id="250"/>
      <w:bookmarkStart w:id="251" w:name="_Toc184314435"/>
      <w:bookmarkEnd w:id="251"/>
      <w:bookmarkStart w:id="252" w:name="_Toc184314442"/>
      <w:bookmarkEnd w:id="252"/>
      <w:bookmarkStart w:id="253" w:name="_Toc184308077"/>
      <w:bookmarkEnd w:id="253"/>
      <w:bookmarkStart w:id="254" w:name="_Toc184310322"/>
      <w:bookmarkEnd w:id="254"/>
      <w:bookmarkStart w:id="255" w:name="_Toc184313300"/>
      <w:bookmarkEnd w:id="255"/>
      <w:bookmarkStart w:id="256" w:name="_Toc184312115"/>
      <w:bookmarkEnd w:id="256"/>
      <w:bookmarkStart w:id="257" w:name="_Toc184314429"/>
      <w:bookmarkEnd w:id="257"/>
      <w:bookmarkStart w:id="258" w:name="_Toc184314459"/>
      <w:bookmarkEnd w:id="258"/>
      <w:bookmarkStart w:id="259" w:name="_Toc184314421"/>
      <w:bookmarkEnd w:id="259"/>
      <w:bookmarkStart w:id="260" w:name="_Toc184310309"/>
      <w:bookmarkEnd w:id="260"/>
      <w:bookmarkStart w:id="261" w:name="_Toc184310273"/>
      <w:bookmarkEnd w:id="261"/>
      <w:bookmarkStart w:id="262" w:name="_Toc184310340"/>
      <w:bookmarkEnd w:id="262"/>
      <w:bookmarkStart w:id="263" w:name="_Toc184308051"/>
      <w:bookmarkEnd w:id="263"/>
      <w:bookmarkStart w:id="264" w:name="_Toc184308080"/>
      <w:bookmarkEnd w:id="264"/>
      <w:bookmarkStart w:id="265" w:name="_Toc184310285"/>
      <w:bookmarkEnd w:id="265"/>
      <w:bookmarkStart w:id="266" w:name="_Toc184313288"/>
      <w:bookmarkEnd w:id="266"/>
      <w:bookmarkStart w:id="267" w:name="_Toc184308081"/>
      <w:bookmarkEnd w:id="267"/>
      <w:bookmarkStart w:id="268" w:name="_Toc184313305"/>
      <w:bookmarkEnd w:id="268"/>
      <w:bookmarkStart w:id="269" w:name="_Toc184312113"/>
      <w:bookmarkEnd w:id="269"/>
      <w:bookmarkStart w:id="270" w:name="_Toc184313274"/>
      <w:bookmarkEnd w:id="270"/>
      <w:bookmarkStart w:id="271" w:name="_Toc184313298"/>
      <w:bookmarkEnd w:id="271"/>
      <w:bookmarkStart w:id="272" w:name="_Toc184312134"/>
      <w:bookmarkEnd w:id="272"/>
      <w:bookmarkStart w:id="273" w:name="_Toc184312119"/>
      <w:bookmarkEnd w:id="273"/>
      <w:bookmarkStart w:id="274" w:name="_Toc184314410"/>
      <w:bookmarkEnd w:id="274"/>
      <w:bookmarkStart w:id="275" w:name="_Toc184308052"/>
      <w:bookmarkEnd w:id="275"/>
      <w:bookmarkStart w:id="276" w:name="_Toc184310299"/>
      <w:bookmarkEnd w:id="276"/>
      <w:bookmarkStart w:id="277" w:name="_Toc184310278"/>
      <w:bookmarkEnd w:id="277"/>
      <w:bookmarkStart w:id="278" w:name="_Toc184308037"/>
      <w:bookmarkEnd w:id="278"/>
      <w:bookmarkStart w:id="279" w:name="_Toc184308067"/>
      <w:bookmarkEnd w:id="279"/>
      <w:bookmarkStart w:id="280" w:name="_Toc184312121"/>
      <w:bookmarkEnd w:id="280"/>
      <w:bookmarkStart w:id="281" w:name="_Toc184312137"/>
      <w:bookmarkEnd w:id="281"/>
      <w:bookmarkStart w:id="282" w:name="_Toc184313303"/>
      <w:bookmarkEnd w:id="282"/>
      <w:bookmarkStart w:id="283" w:name="_Toc184310306"/>
      <w:bookmarkEnd w:id="283"/>
      <w:bookmarkStart w:id="284" w:name="_Toc184313252"/>
      <w:bookmarkEnd w:id="284"/>
      <w:bookmarkStart w:id="285" w:name="_Toc184313265"/>
      <w:bookmarkEnd w:id="285"/>
      <w:bookmarkStart w:id="286" w:name="_Toc184312133"/>
      <w:bookmarkEnd w:id="286"/>
      <w:bookmarkStart w:id="287" w:name="_Toc184313302"/>
      <w:bookmarkEnd w:id="287"/>
      <w:bookmarkStart w:id="288" w:name="_Toc184310292"/>
      <w:bookmarkEnd w:id="288"/>
      <w:bookmarkStart w:id="289" w:name="_Toc184310320"/>
      <w:bookmarkEnd w:id="289"/>
      <w:bookmarkStart w:id="290" w:name="_Toc184308088"/>
      <w:bookmarkEnd w:id="290"/>
      <w:bookmarkStart w:id="291" w:name="_Toc184308107"/>
      <w:bookmarkEnd w:id="291"/>
      <w:bookmarkStart w:id="292" w:name="_Toc184310325"/>
      <w:bookmarkEnd w:id="292"/>
      <w:bookmarkStart w:id="293" w:name="_Toc184314474"/>
      <w:bookmarkEnd w:id="293"/>
      <w:bookmarkStart w:id="294" w:name="_Toc184314446"/>
      <w:bookmarkEnd w:id="294"/>
      <w:bookmarkStart w:id="295" w:name="_Toc184313251"/>
      <w:bookmarkEnd w:id="295"/>
      <w:bookmarkStart w:id="296" w:name="_Toc184310280"/>
      <w:bookmarkEnd w:id="296"/>
      <w:bookmarkStart w:id="297" w:name="_Toc184310300"/>
      <w:bookmarkEnd w:id="297"/>
      <w:bookmarkStart w:id="298" w:name="_Toc184314439"/>
      <w:bookmarkEnd w:id="298"/>
      <w:bookmarkStart w:id="299" w:name="_Toc184308054"/>
      <w:bookmarkEnd w:id="299"/>
      <w:bookmarkStart w:id="300" w:name="_Toc184313297"/>
      <w:bookmarkEnd w:id="300"/>
      <w:bookmarkStart w:id="301" w:name="_Toc184310343"/>
      <w:bookmarkEnd w:id="301"/>
      <w:bookmarkStart w:id="302" w:name="_Toc184308103"/>
      <w:bookmarkEnd w:id="302"/>
      <w:bookmarkStart w:id="303" w:name="_Toc184314449"/>
      <w:bookmarkEnd w:id="303"/>
      <w:bookmarkStart w:id="304" w:name="_Toc184312072"/>
      <w:bookmarkEnd w:id="304"/>
      <w:bookmarkStart w:id="305" w:name="_Toc184313244"/>
      <w:bookmarkEnd w:id="305"/>
      <w:bookmarkStart w:id="306" w:name="_Toc184312116"/>
      <w:bookmarkEnd w:id="306"/>
      <w:bookmarkStart w:id="307" w:name="_Toc184312131"/>
      <w:bookmarkEnd w:id="307"/>
      <w:bookmarkStart w:id="308" w:name="_Toc184313239"/>
      <w:bookmarkEnd w:id="308"/>
      <w:bookmarkStart w:id="309" w:name="_Toc184314436"/>
      <w:bookmarkEnd w:id="309"/>
      <w:bookmarkStart w:id="310" w:name="_Toc184312099"/>
      <w:bookmarkEnd w:id="310"/>
      <w:bookmarkStart w:id="311" w:name="_Toc184314452"/>
      <w:bookmarkEnd w:id="311"/>
      <w:bookmarkStart w:id="312" w:name="_Toc184310287"/>
      <w:bookmarkEnd w:id="312"/>
      <w:bookmarkStart w:id="313" w:name="_Toc184314468"/>
      <w:bookmarkEnd w:id="313"/>
      <w:bookmarkStart w:id="314" w:name="_Toc184310310"/>
      <w:bookmarkEnd w:id="314"/>
      <w:bookmarkStart w:id="315" w:name="_Toc184308097"/>
      <w:bookmarkEnd w:id="315"/>
      <w:bookmarkStart w:id="316" w:name="_Toc184314461"/>
      <w:bookmarkEnd w:id="316"/>
      <w:bookmarkStart w:id="317" w:name="_Toc184310274"/>
      <w:bookmarkEnd w:id="317"/>
      <w:bookmarkStart w:id="318" w:name="_Toc184314419"/>
      <w:bookmarkEnd w:id="318"/>
      <w:bookmarkStart w:id="319" w:name="_Toc184312075"/>
      <w:bookmarkEnd w:id="319"/>
      <w:bookmarkStart w:id="320" w:name="_Toc184313257"/>
      <w:bookmarkEnd w:id="320"/>
      <w:bookmarkStart w:id="321" w:name="_Toc184313260"/>
      <w:bookmarkEnd w:id="321"/>
      <w:bookmarkStart w:id="322" w:name="_Toc184312108"/>
      <w:bookmarkEnd w:id="322"/>
      <w:bookmarkStart w:id="323" w:name="_Toc184308093"/>
      <w:bookmarkEnd w:id="323"/>
      <w:bookmarkStart w:id="324" w:name="_Toc184313253"/>
      <w:bookmarkEnd w:id="324"/>
      <w:bookmarkStart w:id="325" w:name="_Toc184313258"/>
      <w:bookmarkEnd w:id="325"/>
      <w:bookmarkStart w:id="326" w:name="_Toc184310335"/>
      <w:bookmarkEnd w:id="326"/>
      <w:bookmarkStart w:id="327" w:name="_Toc184314448"/>
      <w:bookmarkEnd w:id="327"/>
      <w:bookmarkStart w:id="328" w:name="_Toc184308102"/>
      <w:bookmarkEnd w:id="328"/>
      <w:bookmarkStart w:id="329" w:name="_Toc184308076"/>
      <w:bookmarkEnd w:id="329"/>
      <w:bookmarkStart w:id="330" w:name="_Toc184314425"/>
      <w:bookmarkEnd w:id="330"/>
      <w:bookmarkStart w:id="331" w:name="_Toc184310324"/>
      <w:bookmarkEnd w:id="331"/>
      <w:bookmarkStart w:id="332" w:name="_Toc184312097"/>
      <w:bookmarkEnd w:id="332"/>
      <w:bookmarkStart w:id="333" w:name="_Toc184312117"/>
      <w:bookmarkEnd w:id="333"/>
      <w:bookmarkStart w:id="334" w:name="_Toc184314451"/>
      <w:bookmarkEnd w:id="334"/>
      <w:bookmarkStart w:id="335" w:name="_Toc184308044"/>
      <w:bookmarkEnd w:id="335"/>
      <w:bookmarkStart w:id="336" w:name="_Toc184312125"/>
      <w:bookmarkEnd w:id="336"/>
      <w:bookmarkStart w:id="337" w:name="_Toc184310307"/>
      <w:bookmarkEnd w:id="337"/>
      <w:bookmarkStart w:id="338" w:name="_Toc184308039"/>
      <w:bookmarkEnd w:id="338"/>
      <w:bookmarkStart w:id="339" w:name="_Toc184308106"/>
      <w:bookmarkEnd w:id="339"/>
      <w:bookmarkStart w:id="340" w:name="_Toc184314453"/>
      <w:bookmarkEnd w:id="340"/>
      <w:bookmarkStart w:id="341" w:name="_Toc184308091"/>
      <w:bookmarkEnd w:id="341"/>
      <w:bookmarkStart w:id="342" w:name="_Toc184312087"/>
      <w:bookmarkEnd w:id="342"/>
      <w:bookmarkStart w:id="343" w:name="_Toc184310298"/>
      <w:bookmarkEnd w:id="343"/>
      <w:bookmarkStart w:id="344" w:name="_Toc184312110"/>
      <w:bookmarkEnd w:id="344"/>
      <w:bookmarkStart w:id="345" w:name="_Toc184308105"/>
      <w:bookmarkEnd w:id="345"/>
      <w:bookmarkStart w:id="346" w:name="_Toc184308055"/>
      <w:bookmarkEnd w:id="346"/>
      <w:bookmarkStart w:id="347" w:name="_Toc184312070"/>
      <w:bookmarkEnd w:id="347"/>
      <w:bookmarkStart w:id="348" w:name="_Toc184308098"/>
      <w:bookmarkEnd w:id="348"/>
      <w:bookmarkStart w:id="349" w:name="_Toc184308095"/>
      <w:bookmarkEnd w:id="349"/>
      <w:bookmarkStart w:id="350" w:name="_Toc184313301"/>
      <w:bookmarkEnd w:id="350"/>
      <w:bookmarkStart w:id="351" w:name="_Toc184313280"/>
      <w:bookmarkEnd w:id="351"/>
      <w:bookmarkStart w:id="352" w:name="_Toc184312123"/>
      <w:bookmarkEnd w:id="352"/>
      <w:bookmarkStart w:id="353" w:name="_Toc184313309"/>
      <w:bookmarkEnd w:id="353"/>
      <w:bookmarkStart w:id="354" w:name="_Toc184310317"/>
      <w:bookmarkEnd w:id="354"/>
      <w:bookmarkStart w:id="355" w:name="_Toc184313243"/>
      <w:bookmarkEnd w:id="355"/>
      <w:bookmarkStart w:id="356" w:name="_Toc184314465"/>
      <w:bookmarkEnd w:id="356"/>
      <w:bookmarkStart w:id="357" w:name="_Toc184310329"/>
      <w:bookmarkEnd w:id="357"/>
      <w:bookmarkStart w:id="358" w:name="_Toc184308075"/>
      <w:bookmarkEnd w:id="358"/>
      <w:bookmarkStart w:id="359" w:name="_Toc184310321"/>
      <w:bookmarkEnd w:id="359"/>
      <w:bookmarkStart w:id="360" w:name="_Toc184314456"/>
      <w:bookmarkEnd w:id="360"/>
      <w:bookmarkStart w:id="361" w:name="_Toc184314478"/>
      <w:bookmarkEnd w:id="361"/>
      <w:bookmarkStart w:id="362" w:name="_Toc184314479"/>
      <w:bookmarkEnd w:id="362"/>
      <w:bookmarkStart w:id="363" w:name="_Toc184312104"/>
      <w:bookmarkEnd w:id="363"/>
      <w:bookmarkStart w:id="364" w:name="_Toc184312098"/>
      <w:bookmarkEnd w:id="364"/>
      <w:bookmarkStart w:id="365" w:name="_Toc184314417"/>
      <w:bookmarkEnd w:id="365"/>
      <w:bookmarkStart w:id="366" w:name="_Toc184310336"/>
      <w:bookmarkEnd w:id="366"/>
      <w:bookmarkStart w:id="367" w:name="_Toc184313270"/>
      <w:bookmarkEnd w:id="367"/>
      <w:bookmarkStart w:id="368" w:name="_Toc184313238"/>
      <w:bookmarkEnd w:id="368"/>
      <w:bookmarkStart w:id="369" w:name="_Toc184308063"/>
      <w:bookmarkEnd w:id="369"/>
      <w:bookmarkStart w:id="370" w:name="_Toc184312120"/>
      <w:bookmarkEnd w:id="370"/>
      <w:bookmarkStart w:id="371" w:name="_Toc184310301"/>
      <w:bookmarkEnd w:id="371"/>
      <w:bookmarkStart w:id="372" w:name="_Toc184314464"/>
      <w:bookmarkEnd w:id="372"/>
      <w:bookmarkStart w:id="373" w:name="_Toc184310308"/>
      <w:bookmarkEnd w:id="373"/>
      <w:bookmarkStart w:id="374" w:name="_Toc184313295"/>
      <w:bookmarkEnd w:id="374"/>
      <w:bookmarkStart w:id="375" w:name="_Toc184314480"/>
      <w:bookmarkEnd w:id="375"/>
      <w:bookmarkStart w:id="376" w:name="_Toc184312127"/>
      <w:bookmarkEnd w:id="376"/>
      <w:bookmarkStart w:id="377" w:name="_Toc184314470"/>
      <w:bookmarkEnd w:id="377"/>
      <w:bookmarkStart w:id="378" w:name="_Toc184310312"/>
      <w:bookmarkEnd w:id="378"/>
      <w:bookmarkStart w:id="379" w:name="_Toc184314473"/>
      <w:bookmarkEnd w:id="379"/>
      <w:bookmarkStart w:id="380" w:name="_Toc184308056"/>
      <w:bookmarkEnd w:id="380"/>
      <w:bookmarkStart w:id="381" w:name="_Toc184308104"/>
      <w:bookmarkEnd w:id="381"/>
      <w:bookmarkStart w:id="382" w:name="_Toc184312126"/>
      <w:bookmarkEnd w:id="382"/>
      <w:bookmarkStart w:id="383" w:name="_Toc18431032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2025年临江公司污泥（泥浆水）处置服务采购项目（第四次）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2025年临江公司污泥（泥浆水）处置服务采购项目（第四次）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差旅、食宿、工具、人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1"/>
        <w:gridCol w:w="1311"/>
        <w:gridCol w:w="1720"/>
        <w:gridCol w:w="1198"/>
        <w:gridCol w:w="1170"/>
        <w:gridCol w:w="1076"/>
        <w:gridCol w:w="1076"/>
      </w:tblGrid>
      <w:tr w14:paraId="16A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E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5B5E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3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2025年临江公司污泥（泥浆水）处置服务采购项目（第四次）</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0B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生活垃圾渗滤液污泥处置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CDA">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废物代码SW07，含水率约98%</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F63">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891">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1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5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bookmarkStart w:id="384" w:name="_Toc1814"/>
      <w:bookmarkStart w:id="385" w:name="_Toc10340"/>
      <w:bookmarkStart w:id="386" w:name="_Toc22618"/>
      <w:bookmarkStart w:id="387" w:name="_Toc8772"/>
      <w:bookmarkStart w:id="388" w:name="_Toc31421"/>
      <w:bookmarkStart w:id="389" w:name="_Toc11108"/>
      <w:bookmarkStart w:id="390" w:name="_Toc4760"/>
      <w:bookmarkStart w:id="39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自合同签订后处置完成1900吨自动终止；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highlight w:val="none"/>
          <w:u w:val="single"/>
          <w:lang w:val="en-US" w:eastAsia="zh-CN"/>
        </w:rPr>
        <w:t>甲方将污泥送至乙方指定地点</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sz w:val="24"/>
          <w:highlight w:val="none"/>
          <w:u w:val="single"/>
          <w:lang w:val="en-US" w:eastAsia="zh-CN"/>
        </w:rPr>
        <w:t>乙方将污泥安全、合法处置</w:t>
      </w:r>
      <w:r>
        <w:rPr>
          <w:rFonts w:hint="eastAsia" w:ascii="宋体" w:hAnsi="宋体"/>
          <w:b/>
          <w:iCs/>
          <w:color w:val="auto"/>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2FB7EDA">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3.乙方根据甲方实际需要，分批次处置。乙方接到甲方电话通知后，甲方安排人员和车辆将污泥送至乙方指定地点。</w:t>
      </w:r>
    </w:p>
    <w:p w14:paraId="1F39DEAD">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4.乙方应向甲方提供本协议约定污泥的处置服务，不得无故拒收。</w:t>
      </w:r>
    </w:p>
    <w:p w14:paraId="76F702D1">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5.乙方应按照环境保护有关法律法规、标准规范的规定对污泥最终安全、合法处置，并承担相应法律责任。</w:t>
      </w:r>
    </w:p>
    <w:p w14:paraId="1A58DA00">
      <w:pPr>
        <w:pStyle w:val="6"/>
        <w:ind w:firstLine="480" w:firstLineChars="200"/>
        <w:rPr>
          <w:rFonts w:hint="eastAsia" w:ascii="宋体"/>
          <w:lang w:val="en-US"/>
        </w:rPr>
      </w:pPr>
      <w:r>
        <w:rPr>
          <w:rFonts w:hint="eastAsia"/>
          <w:highlight w:val="none"/>
          <w:lang w:val="en-US" w:eastAsia="zh-CN"/>
        </w:rPr>
        <w:t>6</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若乙方提供的服务在</w:t>
      </w:r>
      <w:r>
        <w:rPr>
          <w:rFonts w:hint="eastAsia"/>
          <w:highlight w:val="none"/>
          <w:lang w:val="en-US"/>
        </w:rPr>
        <w:t>使用过程发生问题</w:t>
      </w:r>
      <w:r>
        <w:rPr>
          <w:rFonts w:hint="eastAsia"/>
          <w:highlight w:val="none"/>
          <w:lang w:val="en-US" w:eastAsia="zh-CN"/>
        </w:rPr>
        <w:t>，乙方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6E6D3C47">
      <w:pPr>
        <w:pStyle w:val="7"/>
        <w:numPr>
          <w:ilvl w:val="0"/>
          <w:numId w:val="0"/>
        </w:numPr>
        <w:ind w:firstLine="482" w:firstLineChars="200"/>
        <w:rPr>
          <w:rFonts w:hint="eastAsia"/>
          <w:b/>
          <w:bCs/>
          <w:color w:val="auto"/>
          <w:highlight w:val="none"/>
          <w:lang w:val="en-US" w:eastAsia="zh-CN"/>
        </w:rPr>
      </w:pPr>
      <w:bookmarkStart w:id="392" w:name="_Toc1125"/>
      <w:bookmarkStart w:id="393" w:name="_Toc14563"/>
      <w:bookmarkStart w:id="394" w:name="_Toc6596"/>
      <w:r>
        <w:rPr>
          <w:rFonts w:hint="eastAsia"/>
          <w:b/>
          <w:bCs/>
          <w:color w:val="auto"/>
          <w:highlight w:val="none"/>
          <w:lang w:val="en-US" w:eastAsia="zh-CN"/>
        </w:rPr>
        <w:t>五、甲方责任</w:t>
      </w:r>
    </w:p>
    <w:p w14:paraId="0BADE83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甲方应当按照相关法律法规规定对生产经营中产生的污泥进行规范装车、运输至乙方指定地点后交由乙方处置，甲方全权负责其环保安全，防止污染环境，否则乙方有权拒绝处置，对此产生的责任均由甲方承担。</w:t>
      </w:r>
    </w:p>
    <w:p w14:paraId="2513F5B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2.甲方应当在每次处置前三日通知乙方，以便乙方安排生产、做好入库准备。</w:t>
      </w:r>
    </w:p>
    <w:p w14:paraId="1D4B1BD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3.合同签订后，转移前甲方在浙江省固体废物监管信息系统进行年度管理计划审批。管理计划审批完成后，每批次甲方按照环保部门要求在浙江省固体废物监管信息系统办理转移联单手续。</w:t>
      </w:r>
    </w:p>
    <w:p w14:paraId="29D851BE">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六、乙方责任</w:t>
      </w:r>
    </w:p>
    <w:p w14:paraId="054C10C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 .乙方须在浙江省固体废物监管信息系统备案通过。</w:t>
      </w:r>
    </w:p>
    <w:p w14:paraId="7F57FE0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2.乙方接收后，污泥的法律风险由乙方承担。</w:t>
      </w:r>
    </w:p>
    <w:p w14:paraId="15B010E0">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3.乙方应按照有关法律法规、标准规范的规定对污泥安全处置。</w:t>
      </w:r>
    </w:p>
    <w:p w14:paraId="60E344E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4.乙方拒绝按本合同约定处置污泥的，甲方有权解除合同，没收乙方的履约保证金。</w:t>
      </w:r>
    </w:p>
    <w:p w14:paraId="0FB1F5C5">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七、污泥计量</w:t>
      </w:r>
    </w:p>
    <w:p w14:paraId="08A37B7C">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污泥以甲方现场称重计量为准。若双方磅差超过千分之三，双方另行协商处理。每车过磅，最终汇总结算。</w:t>
      </w:r>
    </w:p>
    <w:p w14:paraId="23943A9C">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hAnsi="宋体" w:cs="Arial"/>
          <w:b/>
          <w:snapToGrid w:val="0"/>
          <w:sz w:val="24"/>
          <w:szCs w:val="21"/>
          <w:lang w:val="en-US" w:eastAsia="zh-CN"/>
        </w:rPr>
        <w:t>九</w:t>
      </w:r>
      <w:r>
        <w:rPr>
          <w:rFonts w:hint="eastAsia" w:ascii="宋体" w:hAnsi="宋体" w:cs="Arial"/>
          <w:b/>
          <w:snapToGrid w:val="0"/>
          <w:sz w:val="24"/>
          <w:szCs w:val="21"/>
        </w:rPr>
        <w:t>、</w:t>
      </w:r>
      <w:r>
        <w:rPr>
          <w:rFonts w:hint="eastAsia" w:ascii="宋体" w:hAnsi="宋体"/>
          <w:b/>
          <w:sz w:val="24"/>
        </w:rPr>
        <w:t>验收特别约定条款</w:t>
      </w:r>
    </w:p>
    <w:p w14:paraId="0CC76998">
      <w:pPr>
        <w:tabs>
          <w:tab w:val="left" w:pos="360"/>
          <w:tab w:val="left" w:pos="540"/>
          <w:tab w:val="left" w:pos="1080"/>
        </w:tabs>
        <w:spacing w:line="360" w:lineRule="auto"/>
        <w:ind w:firstLine="482" w:firstLineChars="200"/>
        <w:rPr>
          <w:rFonts w:hint="eastAsia" w:ascii="宋体" w:hAnsi="宋体" w:cs="宋体"/>
          <w:sz w:val="24"/>
          <w:u w:val="single"/>
        </w:rPr>
      </w:pPr>
      <w:r>
        <w:rPr>
          <w:rFonts w:hint="eastAsia" w:ascii="宋体" w:hAnsi="宋体"/>
          <w:b/>
          <w:iCs/>
          <w:color w:val="auto"/>
          <w:sz w:val="24"/>
          <w:u w:val="single"/>
          <w:lang w:val="en-US" w:eastAsia="zh-CN"/>
        </w:rPr>
        <w:t>/</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lang w:val="en-US" w:eastAsia="zh-CN"/>
        </w:rPr>
        <w:t>十</w:t>
      </w:r>
      <w:r>
        <w:rPr>
          <w:rFonts w:hint="eastAsia"/>
          <w:b/>
        </w:rPr>
        <w:t>、履约保证金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十一</w:t>
      </w:r>
      <w:r>
        <w:rPr>
          <w:rFonts w:hint="eastAsia" w:ascii="宋体" w:hAnsi="宋体" w:cs="宋体"/>
          <w:b/>
          <w:sz w:val="24"/>
        </w:rPr>
        <w:t>、预付款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lang w:val="en-US" w:eastAsia="zh-CN"/>
        </w:rPr>
        <w:t>十二</w:t>
      </w:r>
      <w:r>
        <w:rPr>
          <w:rFonts w:hint="eastAsia"/>
          <w:b/>
          <w:bCs/>
        </w:rPr>
        <w:t>、资金支付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bookmarkStart w:id="395" w:name="_Toc5698"/>
      <w:bookmarkStart w:id="396" w:name="_Toc2375"/>
      <w:bookmarkStart w:id="397" w:name="_Toc24662"/>
      <w:bookmarkStart w:id="398" w:name="_Toc8586"/>
      <w:bookmarkStart w:id="399" w:name="_Toc3079"/>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30329"/>
      <w:bookmarkStart w:id="401" w:name="_Toc32454"/>
      <w:bookmarkStart w:id="402" w:name="_Toc18683"/>
      <w:bookmarkStart w:id="403" w:name="_Toc26807"/>
      <w:bookmarkStart w:id="40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四</w:t>
      </w:r>
      <w:r>
        <w:rPr>
          <w:rFonts w:hint="eastAsia" w:ascii="宋体" w:hAnsi="宋体" w:cs="宋体"/>
          <w:b/>
          <w:sz w:val="24"/>
        </w:rPr>
        <w:t>、合同争议的解决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五</w:t>
      </w:r>
      <w:r>
        <w:rPr>
          <w:rFonts w:hint="eastAsia" w:ascii="宋体" w:hAnsi="宋体" w:cs="宋体"/>
          <w:b/>
          <w:sz w:val="24"/>
        </w:rPr>
        <w:t>、合同生效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5228"/>
      <w:bookmarkStart w:id="406" w:name="_Toc31297"/>
      <w:bookmarkStart w:id="407" w:name="_Toc25079"/>
      <w:bookmarkStart w:id="408" w:name="_Toc19680"/>
      <w:bookmarkStart w:id="409" w:name="_Toc14021"/>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23289"/>
      <w:bookmarkStart w:id="411" w:name="_Toc31402"/>
      <w:bookmarkStart w:id="412" w:name="_Toc19539"/>
      <w:bookmarkStart w:id="413" w:name="_Toc3769"/>
      <w:bookmarkStart w:id="41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27945"/>
      <w:bookmarkStart w:id="416" w:name="_Toc12412"/>
      <w:bookmarkStart w:id="417" w:name="_Toc4133"/>
      <w:bookmarkStart w:id="418" w:name="_Toc13673"/>
      <w:bookmarkStart w:id="419" w:name="_Toc9161"/>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31233"/>
      <w:bookmarkStart w:id="421" w:name="_Toc32670"/>
      <w:bookmarkStart w:id="422" w:name="_Toc22011"/>
      <w:bookmarkStart w:id="423" w:name="_Toc26555"/>
      <w:bookmarkStart w:id="424" w:name="_Toc15447"/>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6163"/>
      <w:bookmarkStart w:id="426" w:name="_Toc18990"/>
      <w:bookmarkStart w:id="427" w:name="_Toc13467"/>
      <w:bookmarkStart w:id="428" w:name="_Toc30507"/>
      <w:bookmarkStart w:id="42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21830"/>
      <w:bookmarkStart w:id="434" w:name="_Toc10663"/>
      <w:bookmarkStart w:id="435" w:name="_Toc42"/>
      <w:bookmarkStart w:id="436" w:name="_Toc26689"/>
      <w:bookmarkStart w:id="43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26633"/>
      <w:bookmarkStart w:id="439" w:name="_Toc4720"/>
      <w:bookmarkStart w:id="440" w:name="_Toc25571"/>
      <w:bookmarkStart w:id="441" w:name="_Toc32494"/>
      <w:bookmarkStart w:id="442" w:name="_Toc14371"/>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3638"/>
      <w:bookmarkStart w:id="444" w:name="_Toc14115"/>
      <w:bookmarkStart w:id="445" w:name="_Toc23854"/>
      <w:bookmarkStart w:id="446" w:name="_Toc25783"/>
      <w:bookmarkStart w:id="447" w:name="_Toc24465"/>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7315"/>
      <w:bookmarkStart w:id="449" w:name="_Toc25525"/>
      <w:bookmarkStart w:id="450" w:name="_Toc30105"/>
      <w:bookmarkStart w:id="451" w:name="_Toc26883"/>
      <w:bookmarkStart w:id="452" w:name="_Toc14814"/>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1123"/>
      <w:bookmarkStart w:id="454" w:name="_Toc23323"/>
      <w:bookmarkStart w:id="455" w:name="_Toc2016"/>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969"/>
      <w:bookmarkStart w:id="457" w:name="_Toc14525"/>
      <w:bookmarkStart w:id="45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2308"/>
      <w:bookmarkStart w:id="460" w:name="_Toc31892"/>
      <w:bookmarkStart w:id="461" w:name="_Toc25198"/>
      <w:bookmarkStart w:id="462" w:name="_Toc9808"/>
      <w:bookmarkStart w:id="463" w:name="_Toc12666"/>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28906"/>
      <w:bookmarkStart w:id="465" w:name="_Toc27644"/>
      <w:bookmarkStart w:id="466" w:name="_Toc20808"/>
      <w:bookmarkStart w:id="467" w:name="_Toc5063"/>
      <w:bookmarkStart w:id="46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14B6370F">
      <w:pPr>
        <w:rPr>
          <w:rFonts w:hint="eastAsia"/>
        </w:rPr>
      </w:pPr>
    </w:p>
    <w:p w14:paraId="5030E26C">
      <w:pPr>
        <w:rPr>
          <w:rFonts w:hint="eastAsia"/>
        </w:rPr>
      </w:pPr>
    </w:p>
    <w:p w14:paraId="486FBA17">
      <w:pPr>
        <w:rPr>
          <w:rFonts w:hint="eastAsia"/>
        </w:rPr>
      </w:pPr>
    </w:p>
    <w:p w14:paraId="0EB475C7">
      <w:pPr>
        <w:rPr>
          <w:rFonts w:hint="eastAsia"/>
        </w:rPr>
      </w:pPr>
    </w:p>
    <w:p w14:paraId="5044B49A">
      <w:pPr>
        <w:rPr>
          <w:rFonts w:hint="eastAsia"/>
        </w:rPr>
      </w:pPr>
    </w:p>
    <w:p w14:paraId="2B5DE88A">
      <w:pPr>
        <w:rPr>
          <w:rFonts w:hint="eastAsia"/>
        </w:rPr>
      </w:pPr>
    </w:p>
    <w:p w14:paraId="41533510">
      <w:pPr>
        <w:rPr>
          <w:rFonts w:hint="eastAsia"/>
        </w:rPr>
      </w:pPr>
    </w:p>
    <w:p w14:paraId="076ED18D">
      <w:pPr>
        <w:rPr>
          <w:rFonts w:hint="eastAsia"/>
        </w:rPr>
      </w:pPr>
    </w:p>
    <w:p w14:paraId="2F455EBC">
      <w:pPr>
        <w:rPr>
          <w:rFonts w:hint="eastAsia"/>
        </w:rPr>
      </w:pPr>
    </w:p>
    <w:p w14:paraId="59BB7023">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2025年临江公司污泥（泥浆水）处置服务采购项目（第四次）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2025年临江公司污泥（泥浆水）处置服务采购项目（第四次）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2025年临江公司污泥（泥浆水）处置服务采购项目（第四次）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202509007-4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2025年临江公司污泥（泥浆水）处置服务采购项目（第四次）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202509007-4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818"/>
        <w:gridCol w:w="3304"/>
        <w:gridCol w:w="3529"/>
        <w:gridCol w:w="725"/>
        <w:gridCol w:w="750"/>
        <w:gridCol w:w="824"/>
        <w:gridCol w:w="1008"/>
        <w:gridCol w:w="922"/>
      </w:tblGrid>
      <w:tr w14:paraId="5038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B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FF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2025年临江公司污泥（泥浆水）处置服务采购项目（第四次）</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生活垃圾渗滤液污泥处置</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废物代码SW07，含水率约98%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sz w:val="20"/>
                <w:szCs w:val="20"/>
                <w:highlight w:val="none"/>
                <w:lang w:val="en-US" w:eastAsia="zh-CN"/>
              </w:rPr>
              <w:t>1900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B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96F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2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77C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5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E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BBDB">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91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DAF1EA1"/>
    <w:rsid w:val="0F095788"/>
    <w:rsid w:val="0F29227F"/>
    <w:rsid w:val="0F5E496A"/>
    <w:rsid w:val="0F81598B"/>
    <w:rsid w:val="10947BCD"/>
    <w:rsid w:val="10BE08E9"/>
    <w:rsid w:val="1157552B"/>
    <w:rsid w:val="11EC0AD6"/>
    <w:rsid w:val="122801BA"/>
    <w:rsid w:val="13064D3F"/>
    <w:rsid w:val="1399374C"/>
    <w:rsid w:val="13BF1AD6"/>
    <w:rsid w:val="13FF5068"/>
    <w:rsid w:val="14521AA0"/>
    <w:rsid w:val="146C41CB"/>
    <w:rsid w:val="15003014"/>
    <w:rsid w:val="15BE749A"/>
    <w:rsid w:val="15E02F18"/>
    <w:rsid w:val="166F3635"/>
    <w:rsid w:val="17C378A3"/>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4F5ABA"/>
    <w:rsid w:val="215F709E"/>
    <w:rsid w:val="21677697"/>
    <w:rsid w:val="222E69EE"/>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502D23"/>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4C78B6"/>
    <w:rsid w:val="388A1C74"/>
    <w:rsid w:val="394A64EB"/>
    <w:rsid w:val="39C31C6C"/>
    <w:rsid w:val="3A797A04"/>
    <w:rsid w:val="3BEC260B"/>
    <w:rsid w:val="3C273BBC"/>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CC2020F"/>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466C29"/>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4D5E34"/>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7B23BCF"/>
    <w:rsid w:val="78160310"/>
    <w:rsid w:val="785A54C0"/>
    <w:rsid w:val="78D32916"/>
    <w:rsid w:val="78FD6DDA"/>
    <w:rsid w:val="79674595"/>
    <w:rsid w:val="79AA36CA"/>
    <w:rsid w:val="79DF4732"/>
    <w:rsid w:val="79EB254B"/>
    <w:rsid w:val="79F044D8"/>
    <w:rsid w:val="7AF4716D"/>
    <w:rsid w:val="7AF75924"/>
    <w:rsid w:val="7B2031F9"/>
    <w:rsid w:val="7BA82ABD"/>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10279</Words>
  <Characters>10997</Characters>
  <Lines>0</Lines>
  <Paragraphs>0</Paragraphs>
  <TotalTime>20</TotalTime>
  <ScaleCrop>false</ScaleCrop>
  <LinksUpToDate>false</LinksUpToDate>
  <CharactersWithSpaces>11289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2025-10-20T03:00:09Z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