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2025年-2026年含汞废旧荧光灯委外处置服务采购项目（第二次）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202510001-1</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5年10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20</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2025年-2026年含汞废旧荧光灯委外处置服务采购项目（第二次）</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202510001-1</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2025年-2026年含汞废旧荧光灯委外处置服务采购项目（第二次）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18万元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委托</w:t>
      </w:r>
      <w:r>
        <w:rPr>
          <w:rFonts w:hint="eastAsia" w:hAnsi="宋体" w:cs="宋体"/>
          <w:bCs/>
          <w:color w:val="auto"/>
          <w:sz w:val="24"/>
          <w:highlight w:val="none"/>
          <w:lang w:val="en-US" w:eastAsia="zh-CN"/>
        </w:rPr>
        <w:t>浙江省范围内</w:t>
      </w:r>
      <w:r>
        <w:rPr>
          <w:rFonts w:hint="eastAsia" w:hAnsi="宋体" w:cs="宋体"/>
          <w:bCs/>
          <w:color w:val="auto"/>
          <w:sz w:val="24"/>
          <w:highlight w:val="none"/>
        </w:rPr>
        <w:t>有资质单位合法、规范处置危废代码为900-023-29的含汞废旧灯管。具体要求以询价通知书第三部分采购需求为准</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w:t>
      </w:r>
      <w:r>
        <w:rPr>
          <w:rFonts w:hint="eastAsia" w:cs="仿宋" w:asciiTheme="minorEastAsia" w:hAnsiTheme="minorEastAsia"/>
          <w:color w:val="auto"/>
          <w:sz w:val="24"/>
        </w:rPr>
        <w:t>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35393791"/>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623"/>
      <w:bookmarkStart w:id="12" w:name="_Toc35393792"/>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i w:val="0"/>
          <w:iCs w:val="0"/>
          <w:color w:val="auto"/>
          <w:sz w:val="24"/>
          <w:u w:val="single"/>
          <w:lang w:val="en-US" w:eastAsia="zh-CN"/>
        </w:rPr>
        <w:t>供应商须为浙江省范围内企业，具有处理900-023-29的相应资质，必须持有生态环境部门颁发的《危险废物经营许可证》且能够在浙江省固体废物监管信息系统办理危险废物转移联单手续</w:t>
      </w:r>
      <w:r>
        <w:rPr>
          <w:rFonts w:hint="eastAsia" w:cs="仿宋" w:asciiTheme="minorEastAsia" w:hAnsiTheme="minorEastAsia"/>
          <w:bCs/>
          <w:i/>
          <w:i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highlight w:val="none"/>
          <w:lang w:val="en-US" w:eastAsia="zh-CN"/>
        </w:rPr>
        <w:t>胡工15700099079</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bookmarkStart w:id="503" w:name="_GoBack"/>
      <w:bookmarkEnd w:id="503"/>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10月20</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0D16F8B3">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5"/>
        <w:tblW w:w="89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3"/>
        <w:gridCol w:w="1905"/>
        <w:gridCol w:w="1778"/>
        <w:gridCol w:w="1163"/>
        <w:gridCol w:w="1754"/>
        <w:gridCol w:w="1500"/>
      </w:tblGrid>
      <w:tr w14:paraId="34E3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823" w:type="dxa"/>
            <w:shd w:val="clear" w:color="auto" w:fill="auto"/>
            <w:noWrap/>
            <w:vAlign w:val="center"/>
          </w:tcPr>
          <w:p w14:paraId="7AE68F2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序号</w:t>
            </w:r>
          </w:p>
        </w:tc>
        <w:tc>
          <w:tcPr>
            <w:tcW w:w="1905" w:type="dxa"/>
            <w:shd w:val="clear" w:color="auto" w:fill="auto"/>
            <w:vAlign w:val="center"/>
          </w:tcPr>
          <w:p w14:paraId="1984B92E">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服务名称</w:t>
            </w:r>
          </w:p>
        </w:tc>
        <w:tc>
          <w:tcPr>
            <w:tcW w:w="1778" w:type="dxa"/>
            <w:shd w:val="clear" w:color="auto" w:fill="auto"/>
            <w:vAlign w:val="center"/>
          </w:tcPr>
          <w:p w14:paraId="65126EFF">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危废代码</w:t>
            </w:r>
          </w:p>
        </w:tc>
        <w:tc>
          <w:tcPr>
            <w:tcW w:w="1163" w:type="dxa"/>
            <w:shd w:val="clear" w:color="auto" w:fill="auto"/>
            <w:noWrap/>
            <w:vAlign w:val="center"/>
          </w:tcPr>
          <w:p w14:paraId="6EF4A8D7">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单位</w:t>
            </w:r>
          </w:p>
        </w:tc>
        <w:tc>
          <w:tcPr>
            <w:tcW w:w="1754" w:type="dxa"/>
            <w:shd w:val="clear" w:color="auto" w:fill="auto"/>
            <w:noWrap/>
            <w:vAlign w:val="center"/>
          </w:tcPr>
          <w:p w14:paraId="1A7AD93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年度预估数量</w:t>
            </w:r>
          </w:p>
        </w:tc>
        <w:tc>
          <w:tcPr>
            <w:tcW w:w="1500" w:type="dxa"/>
            <w:shd w:val="clear" w:color="auto" w:fill="auto"/>
            <w:noWrap/>
            <w:vAlign w:val="center"/>
          </w:tcPr>
          <w:p w14:paraId="67D50A5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备注</w:t>
            </w:r>
          </w:p>
        </w:tc>
      </w:tr>
      <w:tr w14:paraId="5219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23" w:type="dxa"/>
            <w:shd w:val="clear" w:color="auto" w:fill="auto"/>
            <w:noWrap/>
            <w:vAlign w:val="center"/>
          </w:tcPr>
          <w:p w14:paraId="477B15C1">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w:t>
            </w:r>
          </w:p>
        </w:tc>
        <w:tc>
          <w:tcPr>
            <w:tcW w:w="1905" w:type="dxa"/>
            <w:shd w:val="clear" w:color="auto" w:fill="FFFFFF"/>
            <w:vAlign w:val="center"/>
          </w:tcPr>
          <w:p w14:paraId="6DDAB864">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 xml:space="preserve"> 含汞废旧荧光灯管处置服务</w:t>
            </w:r>
          </w:p>
        </w:tc>
        <w:tc>
          <w:tcPr>
            <w:tcW w:w="1778" w:type="dxa"/>
            <w:shd w:val="clear" w:color="auto" w:fill="auto"/>
            <w:vAlign w:val="center"/>
          </w:tcPr>
          <w:p w14:paraId="71476D8D">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900-023-29</w:t>
            </w:r>
          </w:p>
        </w:tc>
        <w:tc>
          <w:tcPr>
            <w:tcW w:w="1163" w:type="dxa"/>
            <w:shd w:val="clear" w:color="auto" w:fill="FFFFFF"/>
            <w:vAlign w:val="center"/>
          </w:tcPr>
          <w:p w14:paraId="79CF4BCC">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吨</w:t>
            </w:r>
          </w:p>
        </w:tc>
        <w:tc>
          <w:tcPr>
            <w:tcW w:w="1754" w:type="dxa"/>
            <w:shd w:val="clear" w:color="auto" w:fill="FFFFFF"/>
            <w:vAlign w:val="center"/>
          </w:tcPr>
          <w:p w14:paraId="7E4D1DB3">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25</w:t>
            </w:r>
          </w:p>
        </w:tc>
        <w:tc>
          <w:tcPr>
            <w:tcW w:w="1500" w:type="dxa"/>
            <w:shd w:val="clear" w:color="auto" w:fill="FFFFFF"/>
            <w:vAlign w:val="center"/>
          </w:tcPr>
          <w:p w14:paraId="201DA3AF">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1DD54863">
      <w:pPr>
        <w:pStyle w:val="6"/>
        <w:numPr>
          <w:ilvl w:val="0"/>
          <w:numId w:val="0"/>
        </w:numPr>
        <w:ind w:firstLine="480" w:firstLineChars="200"/>
        <w:rPr>
          <w:rFonts w:hint="eastAsia"/>
          <w:color w:val="auto"/>
          <w:lang w:val="en-US" w:eastAsia="zh-CN"/>
        </w:rPr>
      </w:pPr>
      <w:r>
        <w:rPr>
          <w:rFonts w:hint="eastAsia"/>
          <w:color w:val="auto"/>
          <w:lang w:val="en-US" w:eastAsia="zh-CN"/>
        </w:rPr>
        <w:t>以本询价采购文件中的合同条款为准。</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5C6AFF16">
      <w:pPr>
        <w:pStyle w:val="7"/>
        <w:numPr>
          <w:ilvl w:val="0"/>
          <w:numId w:val="0"/>
        </w:numPr>
        <w:ind w:firstLine="480" w:firstLineChars="200"/>
        <w:rPr>
          <w:rFonts w:hint="eastAsia"/>
          <w:color w:val="auto"/>
          <w:lang w:val="en-US" w:eastAsia="zh-CN"/>
        </w:rPr>
      </w:pPr>
      <w:r>
        <w:rPr>
          <w:rFonts w:hint="eastAsia"/>
          <w:color w:val="auto"/>
          <w:lang w:val="en-US" w:eastAsia="zh-CN"/>
        </w:rPr>
        <w:t>1.本项目根据采购人实际需要，分批次处置。供应商接到采购人电话通知后，7日内将安排人员和车辆到达现场装车，供应商负责装车、车辆运输，采购人免费提供叉车协助。</w:t>
      </w:r>
    </w:p>
    <w:p w14:paraId="0E93A68F">
      <w:pPr>
        <w:pStyle w:val="7"/>
        <w:numPr>
          <w:ilvl w:val="0"/>
          <w:numId w:val="0"/>
        </w:numPr>
        <w:ind w:firstLine="480" w:firstLineChars="200"/>
        <w:rPr>
          <w:rFonts w:hint="eastAsia"/>
          <w:color w:val="auto"/>
          <w:lang w:val="en-US" w:eastAsia="zh-CN"/>
        </w:rPr>
      </w:pPr>
      <w:r>
        <w:rPr>
          <w:rFonts w:hint="eastAsia"/>
          <w:color w:val="auto"/>
          <w:lang w:val="en-US" w:eastAsia="zh-CN"/>
        </w:rPr>
        <w:t>2.供应商应向采购人提供本协议约定含汞废旧荧光灯管的处置服务，不得无故拒收。</w:t>
      </w:r>
    </w:p>
    <w:p w14:paraId="477B6E3C">
      <w:pPr>
        <w:pStyle w:val="7"/>
        <w:numPr>
          <w:ilvl w:val="0"/>
          <w:numId w:val="0"/>
        </w:numPr>
        <w:ind w:firstLine="480" w:firstLineChars="200"/>
        <w:rPr>
          <w:rFonts w:hint="default"/>
          <w:color w:val="auto"/>
          <w:lang w:val="en-US" w:eastAsia="zh-CN"/>
        </w:rPr>
      </w:pPr>
      <w:r>
        <w:rPr>
          <w:rFonts w:hint="eastAsia"/>
          <w:color w:val="auto"/>
          <w:lang w:val="en-US" w:eastAsia="zh-CN"/>
        </w:rPr>
        <w:t>3.供应商应按照环境保护有关法律法规、标准规范的规定对含汞废旧荧光灯管最终安全、合法处置，并承担相应法律责任。</w:t>
      </w:r>
    </w:p>
    <w:p w14:paraId="0D585BF8">
      <w:pPr>
        <w:pStyle w:val="6"/>
        <w:numPr>
          <w:ilvl w:val="0"/>
          <w:numId w:val="0"/>
        </w:numPr>
        <w:ind w:firstLine="480" w:firstLineChars="200"/>
        <w:rPr>
          <w:rFonts w:hint="eastAsia"/>
          <w:color w:val="auto"/>
          <w:lang w:val="en-US" w:eastAsia="zh-CN"/>
        </w:rPr>
      </w:pPr>
      <w:r>
        <w:rPr>
          <w:rFonts w:hint="eastAsia" w:cs="仿宋" w:asciiTheme="minorEastAsia" w:hAnsiTheme="minorEastAsia"/>
          <w:kern w:val="0"/>
          <w:lang w:val="en-US" w:eastAsia="zh-CN"/>
        </w:rPr>
        <w:t>4.含汞废旧荧光灯管</w:t>
      </w:r>
      <w:r>
        <w:rPr>
          <w:rFonts w:hint="eastAsia"/>
          <w:color w:val="auto"/>
          <w:lang w:val="en-US" w:eastAsia="zh-CN"/>
        </w:rPr>
        <w:t>转移前采购人在浙江省固体废物监管信息系统进行危险废物年度管理计划审批。管理计划审批完成后，每批次采购人按照环保部门要求在浙江省固体废物监管信息系统办理危险废物转移联单手续。</w:t>
      </w:r>
    </w:p>
    <w:p w14:paraId="28917E4A">
      <w:pPr>
        <w:pStyle w:val="7"/>
        <w:rPr>
          <w:rFonts w:hint="default"/>
          <w:lang w:val="en-US" w:eastAsia="zh-CN"/>
        </w:rPr>
      </w:pPr>
      <w:r>
        <w:rPr>
          <w:rFonts w:hint="eastAsia"/>
          <w:color w:val="auto"/>
          <w:lang w:val="en-US" w:eastAsia="zh-CN"/>
        </w:rPr>
        <w:t>5.供应商及供应商委托的运输单位须在浙江省固体废物监管信息系统备案通过。</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83"/>
      <w:bookmarkEnd w:id="19"/>
      <w:bookmarkStart w:id="20" w:name="_Toc184312112"/>
      <w:bookmarkEnd w:id="20"/>
      <w:bookmarkStart w:id="21" w:name="_Toc184310329"/>
      <w:bookmarkEnd w:id="21"/>
      <w:bookmarkStart w:id="22" w:name="_Toc184313266"/>
      <w:bookmarkEnd w:id="22"/>
      <w:bookmarkStart w:id="23" w:name="_Toc184314433"/>
      <w:bookmarkEnd w:id="23"/>
      <w:bookmarkStart w:id="24" w:name="_Toc184308102"/>
      <w:bookmarkEnd w:id="24"/>
      <w:bookmarkStart w:id="25" w:name="_Toc184308078"/>
      <w:bookmarkEnd w:id="25"/>
      <w:bookmarkStart w:id="26" w:name="_Toc184314410"/>
      <w:bookmarkEnd w:id="26"/>
      <w:bookmarkStart w:id="27" w:name="_Toc184314423"/>
      <w:bookmarkEnd w:id="27"/>
      <w:bookmarkStart w:id="28" w:name="_Toc184308057"/>
      <w:bookmarkEnd w:id="28"/>
      <w:bookmarkStart w:id="29" w:name="_Toc184313289"/>
      <w:bookmarkEnd w:id="29"/>
      <w:bookmarkStart w:id="30" w:name="_Toc184313280"/>
      <w:bookmarkEnd w:id="30"/>
      <w:bookmarkStart w:id="31" w:name="_Toc184313275"/>
      <w:bookmarkEnd w:id="31"/>
      <w:bookmarkStart w:id="32" w:name="_Toc184310296"/>
      <w:bookmarkEnd w:id="32"/>
      <w:bookmarkStart w:id="33" w:name="_Toc184310280"/>
      <w:bookmarkEnd w:id="33"/>
      <w:bookmarkStart w:id="34" w:name="_Toc184308089"/>
      <w:bookmarkEnd w:id="34"/>
      <w:bookmarkStart w:id="35" w:name="_Toc184314413"/>
      <w:bookmarkEnd w:id="35"/>
      <w:bookmarkStart w:id="36" w:name="_Toc184308046"/>
      <w:bookmarkEnd w:id="36"/>
      <w:bookmarkStart w:id="37" w:name="_Toc184313304"/>
      <w:bookmarkEnd w:id="37"/>
      <w:bookmarkStart w:id="38" w:name="_Toc184314468"/>
      <w:bookmarkEnd w:id="38"/>
      <w:bookmarkStart w:id="39" w:name="_Toc184308059"/>
      <w:bookmarkEnd w:id="39"/>
      <w:bookmarkStart w:id="40" w:name="_Toc184310320"/>
      <w:bookmarkEnd w:id="40"/>
      <w:bookmarkStart w:id="41" w:name="_Toc184310343"/>
      <w:bookmarkEnd w:id="41"/>
      <w:bookmarkStart w:id="42" w:name="_Toc184310273"/>
      <w:bookmarkEnd w:id="42"/>
      <w:bookmarkStart w:id="43" w:name="_Toc184313300"/>
      <w:bookmarkEnd w:id="43"/>
      <w:bookmarkStart w:id="44" w:name="_Toc184308044"/>
      <w:bookmarkEnd w:id="44"/>
      <w:bookmarkStart w:id="45" w:name="_Toc184312125"/>
      <w:bookmarkEnd w:id="45"/>
      <w:bookmarkStart w:id="46" w:name="_Toc184312124"/>
      <w:bookmarkEnd w:id="46"/>
      <w:bookmarkStart w:id="47" w:name="_Toc184308081"/>
      <w:bookmarkEnd w:id="47"/>
      <w:bookmarkStart w:id="48" w:name="_Toc184314429"/>
      <w:bookmarkEnd w:id="48"/>
      <w:bookmarkStart w:id="49" w:name="_Toc184314472"/>
      <w:bookmarkEnd w:id="49"/>
      <w:bookmarkStart w:id="50" w:name="_Toc184314419"/>
      <w:bookmarkEnd w:id="50"/>
      <w:bookmarkStart w:id="51" w:name="_Toc184313292"/>
      <w:bookmarkEnd w:id="51"/>
      <w:bookmarkStart w:id="52" w:name="_Toc184308080"/>
      <w:bookmarkEnd w:id="52"/>
      <w:bookmarkStart w:id="53" w:name="_Toc184308077"/>
      <w:bookmarkEnd w:id="53"/>
      <w:bookmarkStart w:id="54" w:name="_Toc184308066"/>
      <w:bookmarkEnd w:id="54"/>
      <w:bookmarkStart w:id="55" w:name="_Toc184308093"/>
      <w:bookmarkEnd w:id="55"/>
      <w:bookmarkStart w:id="56" w:name="_Toc184314426"/>
      <w:bookmarkEnd w:id="56"/>
      <w:bookmarkStart w:id="57" w:name="_Toc184312095"/>
      <w:bookmarkEnd w:id="57"/>
      <w:bookmarkStart w:id="58" w:name="_Toc184313309"/>
      <w:bookmarkEnd w:id="58"/>
      <w:bookmarkStart w:id="59" w:name="_Toc184313240"/>
      <w:bookmarkEnd w:id="59"/>
      <w:bookmarkStart w:id="60" w:name="_Toc184312076"/>
      <w:bookmarkEnd w:id="60"/>
      <w:bookmarkStart w:id="61" w:name="_Toc184310327"/>
      <w:bookmarkEnd w:id="61"/>
      <w:bookmarkStart w:id="62" w:name="_Toc184313288"/>
      <w:bookmarkEnd w:id="62"/>
      <w:bookmarkStart w:id="63" w:name="_Toc184312091"/>
      <w:bookmarkEnd w:id="63"/>
      <w:bookmarkStart w:id="64" w:name="_Toc184310313"/>
      <w:bookmarkEnd w:id="64"/>
      <w:bookmarkStart w:id="65" w:name="_Toc184313305"/>
      <w:bookmarkEnd w:id="65"/>
      <w:bookmarkStart w:id="66" w:name="_Toc184314421"/>
      <w:bookmarkEnd w:id="66"/>
      <w:bookmarkStart w:id="67" w:name="_Toc184310316"/>
      <w:bookmarkEnd w:id="67"/>
      <w:bookmarkStart w:id="68" w:name="_Toc184312136"/>
      <w:bookmarkEnd w:id="68"/>
      <w:bookmarkStart w:id="69" w:name="_Toc184313278"/>
      <w:bookmarkEnd w:id="69"/>
      <w:bookmarkStart w:id="70" w:name="_Toc184313268"/>
      <w:bookmarkEnd w:id="70"/>
      <w:bookmarkStart w:id="71" w:name="_Toc184308072"/>
      <w:bookmarkEnd w:id="71"/>
      <w:bookmarkStart w:id="72" w:name="_Toc184313294"/>
      <w:bookmarkEnd w:id="72"/>
      <w:bookmarkStart w:id="73" w:name="_Toc184310324"/>
      <w:bookmarkEnd w:id="73"/>
      <w:bookmarkStart w:id="74" w:name="_Toc184308097"/>
      <w:bookmarkEnd w:id="74"/>
      <w:bookmarkStart w:id="75" w:name="_Toc184310328"/>
      <w:bookmarkEnd w:id="75"/>
      <w:bookmarkStart w:id="76" w:name="_Toc184308107"/>
      <w:bookmarkEnd w:id="76"/>
      <w:bookmarkStart w:id="77" w:name="_Toc184310282"/>
      <w:bookmarkEnd w:id="77"/>
      <w:bookmarkStart w:id="78" w:name="_Toc184314450"/>
      <w:bookmarkEnd w:id="78"/>
      <w:bookmarkStart w:id="79" w:name="_Toc184308055"/>
      <w:bookmarkEnd w:id="79"/>
      <w:bookmarkStart w:id="80" w:name="_Toc184312070"/>
      <w:bookmarkEnd w:id="80"/>
      <w:bookmarkStart w:id="81" w:name="_Toc184308095"/>
      <w:bookmarkEnd w:id="81"/>
      <w:bookmarkStart w:id="82" w:name="_Toc184308063"/>
      <w:bookmarkEnd w:id="82"/>
      <w:bookmarkStart w:id="83" w:name="_Toc184313283"/>
      <w:bookmarkEnd w:id="83"/>
      <w:bookmarkStart w:id="84" w:name="_Toc184314464"/>
      <w:bookmarkEnd w:id="84"/>
      <w:bookmarkStart w:id="85" w:name="_Toc184308061"/>
      <w:bookmarkEnd w:id="85"/>
      <w:bookmarkStart w:id="86" w:name="_Toc184314461"/>
      <w:bookmarkEnd w:id="86"/>
      <w:bookmarkStart w:id="87" w:name="_Toc184313238"/>
      <w:bookmarkEnd w:id="87"/>
      <w:bookmarkStart w:id="88" w:name="_Toc184310301"/>
      <w:bookmarkEnd w:id="88"/>
      <w:bookmarkStart w:id="89" w:name="_Toc184313259"/>
      <w:bookmarkEnd w:id="89"/>
      <w:bookmarkStart w:id="90" w:name="_Toc184312130"/>
      <w:bookmarkEnd w:id="90"/>
      <w:bookmarkStart w:id="91" w:name="_Toc184308085"/>
      <w:bookmarkEnd w:id="91"/>
      <w:bookmarkStart w:id="92" w:name="_Toc184308039"/>
      <w:bookmarkEnd w:id="92"/>
      <w:bookmarkStart w:id="93" w:name="_Toc184313241"/>
      <w:bookmarkEnd w:id="93"/>
      <w:bookmarkStart w:id="94" w:name="_Toc184310338"/>
      <w:bookmarkEnd w:id="94"/>
      <w:bookmarkStart w:id="95" w:name="_Toc184313254"/>
      <w:bookmarkEnd w:id="95"/>
      <w:bookmarkStart w:id="96" w:name="_Toc184314455"/>
      <w:bookmarkEnd w:id="96"/>
      <w:bookmarkStart w:id="97" w:name="_Toc184310323"/>
      <w:bookmarkEnd w:id="97"/>
      <w:bookmarkStart w:id="98" w:name="_Toc184308108"/>
      <w:bookmarkEnd w:id="98"/>
      <w:bookmarkStart w:id="99" w:name="_Toc184312094"/>
      <w:bookmarkEnd w:id="99"/>
      <w:bookmarkStart w:id="100" w:name="_Toc184308096"/>
      <w:bookmarkEnd w:id="100"/>
      <w:bookmarkStart w:id="101" w:name="_Toc184312097"/>
      <w:bookmarkEnd w:id="101"/>
      <w:bookmarkStart w:id="102" w:name="_Toc184313249"/>
      <w:bookmarkEnd w:id="102"/>
      <w:bookmarkStart w:id="103" w:name="_Toc184314416"/>
      <w:bookmarkEnd w:id="103"/>
      <w:bookmarkStart w:id="104" w:name="_Toc184308084"/>
      <w:bookmarkEnd w:id="104"/>
      <w:bookmarkStart w:id="105" w:name="_Toc184314475"/>
      <w:bookmarkEnd w:id="105"/>
      <w:bookmarkStart w:id="106" w:name="_Toc184308053"/>
      <w:bookmarkEnd w:id="106"/>
      <w:bookmarkStart w:id="107" w:name="_Toc184312113"/>
      <w:bookmarkEnd w:id="107"/>
      <w:bookmarkStart w:id="108" w:name="_Toc184308088"/>
      <w:bookmarkEnd w:id="108"/>
      <w:bookmarkStart w:id="109" w:name="_Toc184308052"/>
      <w:bookmarkEnd w:id="109"/>
      <w:bookmarkStart w:id="110" w:name="_Toc184314451"/>
      <w:bookmarkEnd w:id="110"/>
      <w:bookmarkStart w:id="111" w:name="_Toc184314437"/>
      <w:bookmarkEnd w:id="111"/>
      <w:bookmarkStart w:id="112" w:name="_Toc184308100"/>
      <w:bookmarkEnd w:id="112"/>
      <w:bookmarkStart w:id="113" w:name="_Toc184312082"/>
      <w:bookmarkEnd w:id="113"/>
      <w:bookmarkStart w:id="114" w:name="_Toc184312134"/>
      <w:bookmarkEnd w:id="114"/>
      <w:bookmarkStart w:id="115" w:name="_Toc184310288"/>
      <w:bookmarkEnd w:id="115"/>
      <w:bookmarkStart w:id="116" w:name="_Toc184313271"/>
      <w:bookmarkEnd w:id="116"/>
      <w:bookmarkStart w:id="117" w:name="_Toc184308042"/>
      <w:bookmarkEnd w:id="117"/>
      <w:bookmarkStart w:id="118" w:name="_Toc184312068"/>
      <w:bookmarkEnd w:id="118"/>
      <w:bookmarkStart w:id="119" w:name="_Toc184310284"/>
      <w:bookmarkEnd w:id="119"/>
      <w:bookmarkStart w:id="120" w:name="_Toc184310337"/>
      <w:bookmarkEnd w:id="120"/>
      <w:bookmarkStart w:id="121" w:name="_Toc184312071"/>
      <w:bookmarkEnd w:id="121"/>
      <w:bookmarkStart w:id="122" w:name="_Toc184312104"/>
      <w:bookmarkEnd w:id="122"/>
      <w:bookmarkStart w:id="123" w:name="_Toc184312107"/>
      <w:bookmarkEnd w:id="123"/>
      <w:bookmarkStart w:id="124" w:name="_Toc184314480"/>
      <w:bookmarkEnd w:id="124"/>
      <w:bookmarkStart w:id="125" w:name="_Toc184312102"/>
      <w:bookmarkEnd w:id="125"/>
      <w:bookmarkStart w:id="126" w:name="_Toc184312078"/>
      <w:bookmarkEnd w:id="126"/>
      <w:bookmarkStart w:id="127" w:name="_Toc184314462"/>
      <w:bookmarkEnd w:id="127"/>
      <w:bookmarkStart w:id="128" w:name="_Toc184312081"/>
      <w:bookmarkEnd w:id="128"/>
      <w:bookmarkStart w:id="129" w:name="_Toc184313299"/>
      <w:bookmarkEnd w:id="129"/>
      <w:bookmarkStart w:id="130" w:name="_Toc184312137"/>
      <w:bookmarkEnd w:id="130"/>
      <w:bookmarkStart w:id="131" w:name="_Toc184312084"/>
      <w:bookmarkEnd w:id="131"/>
      <w:bookmarkStart w:id="132" w:name="_Toc184308070"/>
      <w:bookmarkEnd w:id="132"/>
      <w:bookmarkStart w:id="133" w:name="_Toc184313251"/>
      <w:bookmarkEnd w:id="133"/>
      <w:bookmarkStart w:id="134" w:name="_Toc184308056"/>
      <w:bookmarkEnd w:id="134"/>
      <w:bookmarkStart w:id="135" w:name="_Toc184308103"/>
      <w:bookmarkEnd w:id="135"/>
      <w:bookmarkStart w:id="136" w:name="_Toc184313273"/>
      <w:bookmarkEnd w:id="136"/>
      <w:bookmarkStart w:id="137" w:name="_Toc184313272"/>
      <w:bookmarkEnd w:id="137"/>
      <w:bookmarkStart w:id="138" w:name="_Toc184312077"/>
      <w:bookmarkEnd w:id="138"/>
      <w:bookmarkStart w:id="139" w:name="_Toc184313260"/>
      <w:bookmarkEnd w:id="139"/>
      <w:bookmarkStart w:id="140" w:name="_Toc184308104"/>
      <w:bookmarkEnd w:id="140"/>
      <w:bookmarkStart w:id="141" w:name="_Toc184313262"/>
      <w:bookmarkEnd w:id="141"/>
      <w:bookmarkStart w:id="142" w:name="_Toc184313267"/>
      <w:bookmarkEnd w:id="142"/>
      <w:bookmarkStart w:id="143" w:name="_Toc184314438"/>
      <w:bookmarkEnd w:id="143"/>
      <w:bookmarkStart w:id="144" w:name="_Toc184312131"/>
      <w:bookmarkEnd w:id="144"/>
      <w:bookmarkStart w:id="145" w:name="_Toc184313298"/>
      <w:bookmarkEnd w:id="145"/>
      <w:bookmarkStart w:id="146" w:name="_Toc184308040"/>
      <w:bookmarkEnd w:id="146"/>
      <w:bookmarkStart w:id="147" w:name="_Toc184312103"/>
      <w:bookmarkEnd w:id="147"/>
      <w:bookmarkStart w:id="148" w:name="_Toc184310315"/>
      <w:bookmarkEnd w:id="148"/>
      <w:bookmarkStart w:id="149" w:name="_Toc184308086"/>
      <w:bookmarkEnd w:id="149"/>
      <w:bookmarkStart w:id="150" w:name="_Toc184314415"/>
      <w:bookmarkEnd w:id="150"/>
      <w:bookmarkStart w:id="151" w:name="_Toc184308075"/>
      <w:bookmarkEnd w:id="151"/>
      <w:bookmarkStart w:id="152" w:name="_Toc184313270"/>
      <w:bookmarkEnd w:id="152"/>
      <w:bookmarkStart w:id="153" w:name="_Toc184314466"/>
      <w:bookmarkEnd w:id="153"/>
      <w:bookmarkStart w:id="154" w:name="_Toc184310293"/>
      <w:bookmarkEnd w:id="154"/>
      <w:bookmarkStart w:id="155" w:name="_Toc184310286"/>
      <w:bookmarkEnd w:id="155"/>
      <w:bookmarkStart w:id="156" w:name="_Toc184314418"/>
      <w:bookmarkEnd w:id="156"/>
      <w:bookmarkStart w:id="157" w:name="_Toc184314476"/>
      <w:bookmarkEnd w:id="157"/>
      <w:bookmarkStart w:id="158" w:name="_Toc184314445"/>
      <w:bookmarkEnd w:id="158"/>
      <w:bookmarkStart w:id="159" w:name="_Toc184312100"/>
      <w:bookmarkEnd w:id="159"/>
      <w:bookmarkStart w:id="160" w:name="_Toc184314432"/>
      <w:bookmarkEnd w:id="160"/>
      <w:bookmarkStart w:id="161" w:name="_Toc184308079"/>
      <w:bookmarkEnd w:id="161"/>
      <w:bookmarkStart w:id="162" w:name="_Toc184310312"/>
      <w:bookmarkEnd w:id="162"/>
      <w:bookmarkStart w:id="163" w:name="_Toc184313284"/>
      <w:bookmarkEnd w:id="163"/>
      <w:bookmarkStart w:id="164" w:name="_Toc184313253"/>
      <w:bookmarkEnd w:id="164"/>
      <w:bookmarkStart w:id="165" w:name="_Toc184314428"/>
      <w:bookmarkEnd w:id="165"/>
      <w:bookmarkStart w:id="166" w:name="_Toc184310292"/>
      <w:bookmarkEnd w:id="166"/>
      <w:bookmarkStart w:id="167" w:name="_Toc184314474"/>
      <w:bookmarkEnd w:id="167"/>
      <w:bookmarkStart w:id="168" w:name="_Toc184312075"/>
      <w:bookmarkEnd w:id="168"/>
      <w:bookmarkStart w:id="169" w:name="_Toc184308069"/>
      <w:bookmarkEnd w:id="169"/>
      <w:bookmarkStart w:id="170" w:name="_Toc184314442"/>
      <w:bookmarkEnd w:id="170"/>
      <w:bookmarkStart w:id="171" w:name="_Toc184314424"/>
      <w:bookmarkEnd w:id="171"/>
      <w:bookmarkStart w:id="172" w:name="_Toc184313239"/>
      <w:bookmarkEnd w:id="172"/>
      <w:bookmarkStart w:id="173" w:name="_Toc184310304"/>
      <w:bookmarkEnd w:id="173"/>
      <w:bookmarkStart w:id="174" w:name="_Toc184312096"/>
      <w:bookmarkEnd w:id="174"/>
      <w:bookmarkStart w:id="175" w:name="_Toc184313252"/>
      <w:bookmarkEnd w:id="175"/>
      <w:bookmarkStart w:id="176" w:name="_Toc184314443"/>
      <w:bookmarkEnd w:id="176"/>
      <w:bookmarkStart w:id="177" w:name="_Toc184314412"/>
      <w:bookmarkEnd w:id="177"/>
      <w:bookmarkStart w:id="178" w:name="_Toc184310287"/>
      <w:bookmarkEnd w:id="178"/>
      <w:bookmarkStart w:id="179" w:name="_Toc184312126"/>
      <w:bookmarkEnd w:id="179"/>
      <w:bookmarkStart w:id="180" w:name="_Toc184312117"/>
      <w:bookmarkEnd w:id="180"/>
      <w:bookmarkStart w:id="181" w:name="_Toc184310319"/>
      <w:bookmarkEnd w:id="181"/>
      <w:bookmarkStart w:id="182" w:name="_Toc184313282"/>
      <w:bookmarkEnd w:id="182"/>
      <w:bookmarkStart w:id="183" w:name="_Toc184314456"/>
      <w:bookmarkEnd w:id="183"/>
      <w:bookmarkStart w:id="184" w:name="_Toc184313308"/>
      <w:bookmarkEnd w:id="184"/>
      <w:bookmarkStart w:id="185" w:name="_Toc184313242"/>
      <w:bookmarkEnd w:id="185"/>
      <w:bookmarkStart w:id="186" w:name="_Toc184308098"/>
      <w:bookmarkEnd w:id="186"/>
      <w:bookmarkStart w:id="187" w:name="_Toc184310309"/>
      <w:bookmarkEnd w:id="187"/>
      <w:bookmarkStart w:id="188" w:name="_Toc184308065"/>
      <w:bookmarkEnd w:id="188"/>
      <w:bookmarkStart w:id="189" w:name="_Toc184312108"/>
      <w:bookmarkEnd w:id="189"/>
      <w:bookmarkStart w:id="190" w:name="_Toc184312093"/>
      <w:bookmarkEnd w:id="190"/>
      <w:bookmarkStart w:id="191" w:name="_Toc184310275"/>
      <w:bookmarkEnd w:id="191"/>
      <w:bookmarkStart w:id="192" w:name="_Toc184312080"/>
      <w:bookmarkEnd w:id="192"/>
      <w:bookmarkStart w:id="193" w:name="_Toc184310305"/>
      <w:bookmarkEnd w:id="193"/>
      <w:bookmarkStart w:id="194" w:name="_Toc184312116"/>
      <w:bookmarkEnd w:id="194"/>
      <w:bookmarkStart w:id="195" w:name="_Toc184313302"/>
      <w:bookmarkEnd w:id="195"/>
      <w:bookmarkStart w:id="196" w:name="_Toc184310281"/>
      <w:bookmarkEnd w:id="196"/>
      <w:bookmarkStart w:id="197" w:name="_Toc184314414"/>
      <w:bookmarkEnd w:id="197"/>
      <w:bookmarkStart w:id="198" w:name="_Toc184314452"/>
      <w:bookmarkEnd w:id="198"/>
      <w:bookmarkStart w:id="199" w:name="_Toc184314436"/>
      <w:bookmarkEnd w:id="199"/>
      <w:bookmarkStart w:id="200" w:name="_Toc184314417"/>
      <w:bookmarkEnd w:id="200"/>
      <w:bookmarkStart w:id="201" w:name="_Toc184312090"/>
      <w:bookmarkEnd w:id="201"/>
      <w:bookmarkStart w:id="202" w:name="_Toc184314481"/>
      <w:bookmarkEnd w:id="202"/>
      <w:bookmarkStart w:id="203" w:name="_Toc184313247"/>
      <w:bookmarkEnd w:id="203"/>
      <w:bookmarkStart w:id="204" w:name="_Toc184308090"/>
      <w:bookmarkEnd w:id="204"/>
      <w:bookmarkStart w:id="205" w:name="_Toc184308087"/>
      <w:bookmarkEnd w:id="205"/>
      <w:bookmarkStart w:id="206" w:name="_Toc184308064"/>
      <w:bookmarkEnd w:id="206"/>
      <w:bookmarkStart w:id="207" w:name="_Toc184313295"/>
      <w:bookmarkEnd w:id="207"/>
      <w:bookmarkStart w:id="208" w:name="_Toc184312092"/>
      <w:bookmarkEnd w:id="208"/>
      <w:bookmarkStart w:id="209" w:name="_Toc184312085"/>
      <w:bookmarkEnd w:id="209"/>
      <w:bookmarkStart w:id="210" w:name="_Toc184308058"/>
      <w:bookmarkEnd w:id="210"/>
      <w:bookmarkStart w:id="211" w:name="_Toc184310289"/>
      <w:bookmarkEnd w:id="211"/>
      <w:bookmarkStart w:id="212" w:name="_Toc184312089"/>
      <w:bookmarkEnd w:id="212"/>
      <w:bookmarkStart w:id="213" w:name="_Toc184314420"/>
      <w:bookmarkEnd w:id="213"/>
      <w:bookmarkStart w:id="214" w:name="_Toc184310339"/>
      <w:bookmarkEnd w:id="214"/>
      <w:bookmarkStart w:id="215" w:name="_Toc184308106"/>
      <w:bookmarkEnd w:id="215"/>
      <w:bookmarkStart w:id="216" w:name="_Toc184310306"/>
      <w:bookmarkEnd w:id="216"/>
      <w:bookmarkStart w:id="217" w:name="_Toc184312074"/>
      <w:bookmarkEnd w:id="217"/>
      <w:bookmarkStart w:id="218" w:name="_Toc184310279"/>
      <w:bookmarkEnd w:id="218"/>
      <w:bookmarkStart w:id="219" w:name="_Toc184312079"/>
      <w:bookmarkEnd w:id="219"/>
      <w:bookmarkStart w:id="220" w:name="_Toc184312120"/>
      <w:bookmarkEnd w:id="220"/>
      <w:bookmarkStart w:id="221" w:name="_Toc184310333"/>
      <w:bookmarkEnd w:id="221"/>
      <w:bookmarkStart w:id="222" w:name="_Toc184314435"/>
      <w:bookmarkEnd w:id="222"/>
      <w:bookmarkStart w:id="223" w:name="_Toc184312121"/>
      <w:bookmarkEnd w:id="223"/>
      <w:bookmarkStart w:id="224" w:name="_Toc184308062"/>
      <w:bookmarkEnd w:id="224"/>
      <w:bookmarkStart w:id="225" w:name="_Toc184313303"/>
      <w:bookmarkEnd w:id="225"/>
      <w:bookmarkStart w:id="226" w:name="_Toc184314453"/>
      <w:bookmarkEnd w:id="226"/>
      <w:bookmarkStart w:id="227" w:name="_Toc184308049"/>
      <w:bookmarkEnd w:id="227"/>
      <w:bookmarkStart w:id="228" w:name="_Toc184312083"/>
      <w:bookmarkEnd w:id="228"/>
      <w:bookmarkStart w:id="229" w:name="_Toc184312138"/>
      <w:bookmarkEnd w:id="229"/>
      <w:bookmarkStart w:id="230" w:name="_Toc184310311"/>
      <w:bookmarkEnd w:id="230"/>
      <w:bookmarkStart w:id="231" w:name="_Toc184312067"/>
      <w:bookmarkEnd w:id="231"/>
      <w:bookmarkStart w:id="232" w:name="_Toc184310294"/>
      <w:bookmarkEnd w:id="232"/>
      <w:bookmarkStart w:id="233" w:name="_Toc184314465"/>
      <w:bookmarkEnd w:id="233"/>
      <w:bookmarkStart w:id="234" w:name="_Toc184308047"/>
      <w:bookmarkEnd w:id="234"/>
      <w:bookmarkStart w:id="235" w:name="_Toc184313286"/>
      <w:bookmarkEnd w:id="235"/>
      <w:bookmarkStart w:id="236" w:name="_Toc184312122"/>
      <w:bookmarkEnd w:id="236"/>
      <w:bookmarkStart w:id="237" w:name="_Toc184310274"/>
      <w:bookmarkEnd w:id="237"/>
      <w:bookmarkStart w:id="238" w:name="_Toc184314440"/>
      <w:bookmarkEnd w:id="238"/>
      <w:bookmarkStart w:id="239" w:name="_Toc184312128"/>
      <w:bookmarkEnd w:id="239"/>
      <w:bookmarkStart w:id="240" w:name="_Toc184310334"/>
      <w:bookmarkEnd w:id="240"/>
      <w:bookmarkStart w:id="241" w:name="_Toc184312073"/>
      <w:bookmarkEnd w:id="241"/>
      <w:bookmarkStart w:id="242" w:name="_Toc184308060"/>
      <w:bookmarkEnd w:id="242"/>
      <w:bookmarkStart w:id="243" w:name="_Toc184308099"/>
      <w:bookmarkEnd w:id="243"/>
      <w:bookmarkStart w:id="244" w:name="_Toc184314439"/>
      <w:bookmarkEnd w:id="244"/>
      <w:bookmarkStart w:id="245" w:name="_Toc184314467"/>
      <w:bookmarkEnd w:id="245"/>
      <w:bookmarkStart w:id="246" w:name="_Toc184313310"/>
      <w:bookmarkEnd w:id="246"/>
      <w:bookmarkStart w:id="247" w:name="_Toc184310325"/>
      <w:bookmarkEnd w:id="247"/>
      <w:bookmarkStart w:id="248" w:name="_Toc184312101"/>
      <w:bookmarkEnd w:id="248"/>
      <w:bookmarkStart w:id="249" w:name="_Toc184310332"/>
      <w:bookmarkEnd w:id="249"/>
      <w:bookmarkStart w:id="250" w:name="_Toc184312110"/>
      <w:bookmarkEnd w:id="250"/>
      <w:bookmarkStart w:id="251" w:name="_Toc184310335"/>
      <w:bookmarkEnd w:id="251"/>
      <w:bookmarkStart w:id="252" w:name="_Toc184312072"/>
      <w:bookmarkEnd w:id="252"/>
      <w:bookmarkStart w:id="253" w:name="_Toc184313279"/>
      <w:bookmarkEnd w:id="253"/>
      <w:bookmarkStart w:id="254" w:name="_Toc184314448"/>
      <w:bookmarkEnd w:id="254"/>
      <w:bookmarkStart w:id="255" w:name="_Toc184313301"/>
      <w:bookmarkEnd w:id="255"/>
      <w:bookmarkStart w:id="256" w:name="_Toc184312087"/>
      <w:bookmarkEnd w:id="256"/>
      <w:bookmarkStart w:id="257" w:name="_Toc184308050"/>
      <w:bookmarkEnd w:id="257"/>
      <w:bookmarkStart w:id="258" w:name="_Toc184314457"/>
      <w:bookmarkEnd w:id="258"/>
      <w:bookmarkStart w:id="259" w:name="_Toc184310291"/>
      <w:bookmarkEnd w:id="259"/>
      <w:bookmarkStart w:id="260" w:name="_Toc184313265"/>
      <w:bookmarkEnd w:id="260"/>
      <w:bookmarkStart w:id="261" w:name="_Toc184310322"/>
      <w:bookmarkEnd w:id="261"/>
      <w:bookmarkStart w:id="262" w:name="_Toc184312088"/>
      <w:bookmarkEnd w:id="262"/>
      <w:bookmarkStart w:id="263" w:name="_Toc184313277"/>
      <w:bookmarkEnd w:id="263"/>
      <w:bookmarkStart w:id="264" w:name="_Toc184310317"/>
      <w:bookmarkEnd w:id="264"/>
      <w:bookmarkStart w:id="265" w:name="_Toc184313264"/>
      <w:bookmarkEnd w:id="265"/>
      <w:bookmarkStart w:id="266" w:name="_Toc184313261"/>
      <w:bookmarkEnd w:id="266"/>
      <w:bookmarkStart w:id="267" w:name="_Toc184313245"/>
      <w:bookmarkEnd w:id="267"/>
      <w:bookmarkStart w:id="268" w:name="_Toc184314425"/>
      <w:bookmarkEnd w:id="268"/>
      <w:bookmarkStart w:id="269" w:name="_Toc184308068"/>
      <w:bookmarkEnd w:id="269"/>
      <w:bookmarkStart w:id="270" w:name="_Toc184310314"/>
      <w:bookmarkEnd w:id="270"/>
      <w:bookmarkStart w:id="271" w:name="_Toc184313306"/>
      <w:bookmarkEnd w:id="271"/>
      <w:bookmarkStart w:id="272" w:name="_Toc184313274"/>
      <w:bookmarkEnd w:id="272"/>
      <w:bookmarkStart w:id="273" w:name="_Toc184310326"/>
      <w:bookmarkEnd w:id="273"/>
      <w:bookmarkStart w:id="274" w:name="_Toc184314463"/>
      <w:bookmarkEnd w:id="274"/>
      <w:bookmarkStart w:id="275" w:name="_Toc184313263"/>
      <w:bookmarkEnd w:id="275"/>
      <w:bookmarkStart w:id="276" w:name="_Toc184312099"/>
      <w:bookmarkEnd w:id="276"/>
      <w:bookmarkStart w:id="277" w:name="_Toc184313281"/>
      <w:bookmarkEnd w:id="277"/>
      <w:bookmarkStart w:id="278" w:name="_Toc184310307"/>
      <w:bookmarkEnd w:id="278"/>
      <w:bookmarkStart w:id="279" w:name="_Toc184310298"/>
      <w:bookmarkEnd w:id="279"/>
      <w:bookmarkStart w:id="280" w:name="_Toc184308082"/>
      <w:bookmarkEnd w:id="280"/>
      <w:bookmarkStart w:id="281" w:name="_Toc184313248"/>
      <w:bookmarkEnd w:id="281"/>
      <w:bookmarkStart w:id="282" w:name="_Toc184314482"/>
      <w:bookmarkEnd w:id="282"/>
      <w:bookmarkStart w:id="283" w:name="_Toc184312069"/>
      <w:bookmarkEnd w:id="283"/>
      <w:bookmarkStart w:id="284" w:name="_Toc184312109"/>
      <w:bookmarkEnd w:id="284"/>
      <w:bookmarkStart w:id="285" w:name="_Toc184312127"/>
      <w:bookmarkEnd w:id="285"/>
      <w:bookmarkStart w:id="286" w:name="_Toc184310310"/>
      <w:bookmarkEnd w:id="286"/>
      <w:bookmarkStart w:id="287" w:name="_Toc184313307"/>
      <w:bookmarkEnd w:id="287"/>
      <w:bookmarkStart w:id="288" w:name="_Toc184314454"/>
      <w:bookmarkEnd w:id="288"/>
      <w:bookmarkStart w:id="289" w:name="_Toc184313290"/>
      <w:bookmarkEnd w:id="289"/>
      <w:bookmarkStart w:id="290" w:name="_Toc184310283"/>
      <w:bookmarkEnd w:id="290"/>
      <w:bookmarkStart w:id="291" w:name="_Toc184308037"/>
      <w:bookmarkEnd w:id="291"/>
      <w:bookmarkStart w:id="292" w:name="_Toc184308038"/>
      <w:bookmarkEnd w:id="292"/>
      <w:bookmarkStart w:id="293" w:name="_Toc184310278"/>
      <w:bookmarkEnd w:id="293"/>
      <w:bookmarkStart w:id="294" w:name="_Toc184314458"/>
      <w:bookmarkEnd w:id="294"/>
      <w:bookmarkStart w:id="295" w:name="_Toc184310290"/>
      <w:bookmarkEnd w:id="295"/>
      <w:bookmarkStart w:id="296" w:name="_Toc184313243"/>
      <w:bookmarkEnd w:id="296"/>
      <w:bookmarkStart w:id="297" w:name="_Toc184310344"/>
      <w:bookmarkEnd w:id="297"/>
      <w:bookmarkStart w:id="298" w:name="_Toc184310300"/>
      <w:bookmarkEnd w:id="298"/>
      <w:bookmarkStart w:id="299" w:name="_Toc184308092"/>
      <w:bookmarkEnd w:id="299"/>
      <w:bookmarkStart w:id="300" w:name="_Toc184310330"/>
      <w:bookmarkEnd w:id="300"/>
      <w:bookmarkStart w:id="301" w:name="_Toc184308043"/>
      <w:bookmarkEnd w:id="301"/>
      <w:bookmarkStart w:id="302" w:name="_Toc184314470"/>
      <w:bookmarkEnd w:id="302"/>
      <w:bookmarkStart w:id="303" w:name="_Toc184312129"/>
      <w:bookmarkEnd w:id="303"/>
      <w:bookmarkStart w:id="304" w:name="_Toc184314411"/>
      <w:bookmarkEnd w:id="304"/>
      <w:bookmarkStart w:id="305" w:name="_Toc184314477"/>
      <w:bookmarkEnd w:id="305"/>
      <w:bookmarkStart w:id="306" w:name="_Toc184313287"/>
      <w:bookmarkEnd w:id="306"/>
      <w:bookmarkStart w:id="307" w:name="_Toc184312114"/>
      <w:bookmarkEnd w:id="307"/>
      <w:bookmarkStart w:id="308" w:name="_Toc184308105"/>
      <w:bookmarkEnd w:id="308"/>
      <w:bookmarkStart w:id="309" w:name="_Toc184310340"/>
      <w:bookmarkEnd w:id="309"/>
      <w:bookmarkStart w:id="310" w:name="_Toc184312086"/>
      <w:bookmarkEnd w:id="310"/>
      <w:bookmarkStart w:id="311" w:name="_Toc184313250"/>
      <w:bookmarkEnd w:id="311"/>
      <w:bookmarkStart w:id="312" w:name="_Toc184313256"/>
      <w:bookmarkEnd w:id="312"/>
      <w:bookmarkStart w:id="313" w:name="_Toc184312115"/>
      <w:bookmarkEnd w:id="313"/>
      <w:bookmarkStart w:id="314" w:name="_Toc184312098"/>
      <w:bookmarkEnd w:id="314"/>
      <w:bookmarkStart w:id="315" w:name="_Toc184314449"/>
      <w:bookmarkEnd w:id="315"/>
      <w:bookmarkStart w:id="316" w:name="_Toc184308048"/>
      <w:bookmarkEnd w:id="316"/>
      <w:bookmarkStart w:id="317" w:name="_Toc184308051"/>
      <w:bookmarkEnd w:id="317"/>
      <w:bookmarkStart w:id="318" w:name="_Toc184314430"/>
      <w:bookmarkEnd w:id="318"/>
      <w:bookmarkStart w:id="319" w:name="_Toc184312118"/>
      <w:bookmarkEnd w:id="319"/>
      <w:bookmarkStart w:id="320" w:name="_Toc184314479"/>
      <w:bookmarkEnd w:id="320"/>
      <w:bookmarkStart w:id="321" w:name="_Toc184314478"/>
      <w:bookmarkEnd w:id="321"/>
      <w:bookmarkStart w:id="322" w:name="_Toc184313276"/>
      <w:bookmarkEnd w:id="322"/>
      <w:bookmarkStart w:id="323" w:name="_Toc184308036"/>
      <w:bookmarkEnd w:id="323"/>
      <w:bookmarkStart w:id="324" w:name="_Toc184314431"/>
      <w:bookmarkEnd w:id="324"/>
      <w:bookmarkStart w:id="325" w:name="_Toc184312105"/>
      <w:bookmarkEnd w:id="325"/>
      <w:bookmarkStart w:id="326" w:name="_Toc184313296"/>
      <w:bookmarkEnd w:id="326"/>
      <w:bookmarkStart w:id="327" w:name="_Toc184312106"/>
      <w:bookmarkEnd w:id="327"/>
      <w:bookmarkStart w:id="328" w:name="_Toc184313291"/>
      <w:bookmarkEnd w:id="328"/>
      <w:bookmarkStart w:id="329" w:name="_Toc184310331"/>
      <w:bookmarkEnd w:id="329"/>
      <w:bookmarkStart w:id="330" w:name="_Toc184310276"/>
      <w:bookmarkEnd w:id="330"/>
      <w:bookmarkStart w:id="331" w:name="_Toc184312135"/>
      <w:bookmarkEnd w:id="331"/>
      <w:bookmarkStart w:id="332" w:name="_Toc184313246"/>
      <w:bookmarkEnd w:id="332"/>
      <w:bookmarkStart w:id="333" w:name="_Toc184308071"/>
      <w:bookmarkEnd w:id="333"/>
      <w:bookmarkStart w:id="334" w:name="_Toc184314441"/>
      <w:bookmarkEnd w:id="334"/>
      <w:bookmarkStart w:id="335" w:name="_Toc184310285"/>
      <w:bookmarkEnd w:id="335"/>
      <w:bookmarkStart w:id="336" w:name="_Toc184308074"/>
      <w:bookmarkEnd w:id="336"/>
      <w:bookmarkStart w:id="337" w:name="_Toc184310341"/>
      <w:bookmarkEnd w:id="337"/>
      <w:bookmarkStart w:id="338" w:name="_Toc184310297"/>
      <w:bookmarkEnd w:id="338"/>
      <w:bookmarkStart w:id="339" w:name="_Toc184312119"/>
      <w:bookmarkEnd w:id="339"/>
      <w:bookmarkStart w:id="340" w:name="_Toc184308073"/>
      <w:bookmarkEnd w:id="340"/>
      <w:bookmarkStart w:id="341" w:name="_Toc184313285"/>
      <w:bookmarkEnd w:id="341"/>
      <w:bookmarkStart w:id="342" w:name="_Toc184310303"/>
      <w:bookmarkEnd w:id="342"/>
      <w:bookmarkStart w:id="343" w:name="_Toc184308091"/>
      <w:bookmarkEnd w:id="343"/>
      <w:bookmarkStart w:id="344" w:name="_Toc184313297"/>
      <w:bookmarkEnd w:id="344"/>
      <w:bookmarkStart w:id="345" w:name="_Toc184314434"/>
      <w:bookmarkEnd w:id="345"/>
      <w:bookmarkStart w:id="346" w:name="_Toc184310336"/>
      <w:bookmarkEnd w:id="346"/>
      <w:bookmarkStart w:id="347" w:name="_Toc184314444"/>
      <w:bookmarkEnd w:id="347"/>
      <w:bookmarkStart w:id="348" w:name="_Toc184314469"/>
      <w:bookmarkEnd w:id="348"/>
      <w:bookmarkStart w:id="349" w:name="_Toc184310277"/>
      <w:bookmarkEnd w:id="349"/>
      <w:bookmarkStart w:id="350" w:name="_Toc184314473"/>
      <w:bookmarkEnd w:id="350"/>
      <w:bookmarkStart w:id="351" w:name="_Toc184314427"/>
      <w:bookmarkEnd w:id="351"/>
      <w:bookmarkStart w:id="352" w:name="_Toc184314422"/>
      <w:bookmarkEnd w:id="352"/>
      <w:bookmarkStart w:id="353" w:name="_Toc184308054"/>
      <w:bookmarkEnd w:id="353"/>
      <w:bookmarkStart w:id="354" w:name="_Toc184312139"/>
      <w:bookmarkEnd w:id="354"/>
      <w:bookmarkStart w:id="355" w:name="_Toc184313257"/>
      <w:bookmarkEnd w:id="355"/>
      <w:bookmarkStart w:id="356" w:name="_Toc184314471"/>
      <w:bookmarkEnd w:id="356"/>
      <w:bookmarkStart w:id="357" w:name="_Toc184310295"/>
      <w:bookmarkEnd w:id="357"/>
      <w:bookmarkStart w:id="358" w:name="_Toc184312123"/>
      <w:bookmarkEnd w:id="358"/>
      <w:bookmarkStart w:id="359" w:name="_Toc184310321"/>
      <w:bookmarkEnd w:id="359"/>
      <w:bookmarkStart w:id="360" w:name="_Toc184310302"/>
      <w:bookmarkEnd w:id="360"/>
      <w:bookmarkStart w:id="361" w:name="_Toc184312132"/>
      <w:bookmarkEnd w:id="361"/>
      <w:bookmarkStart w:id="362" w:name="_Toc184308094"/>
      <w:bookmarkEnd w:id="362"/>
      <w:bookmarkStart w:id="363" w:name="_Toc184313244"/>
      <w:bookmarkEnd w:id="363"/>
      <w:bookmarkStart w:id="364" w:name="_Toc184314447"/>
      <w:bookmarkEnd w:id="364"/>
      <w:bookmarkStart w:id="365" w:name="_Toc184312111"/>
      <w:bookmarkEnd w:id="365"/>
      <w:bookmarkStart w:id="366" w:name="_Toc184310308"/>
      <w:bookmarkEnd w:id="366"/>
      <w:bookmarkStart w:id="367" w:name="_Toc184308076"/>
      <w:bookmarkEnd w:id="367"/>
      <w:bookmarkStart w:id="368" w:name="_Toc184314460"/>
      <w:bookmarkEnd w:id="368"/>
      <w:bookmarkStart w:id="369" w:name="_Toc184313293"/>
      <w:bookmarkEnd w:id="369"/>
      <w:bookmarkStart w:id="370" w:name="_Toc184308067"/>
      <w:bookmarkEnd w:id="370"/>
      <w:bookmarkStart w:id="371" w:name="_Toc184314446"/>
      <w:bookmarkEnd w:id="371"/>
      <w:bookmarkStart w:id="372" w:name="_Toc184313255"/>
      <w:bookmarkEnd w:id="372"/>
      <w:bookmarkStart w:id="373" w:name="_Toc184310342"/>
      <w:bookmarkEnd w:id="373"/>
      <w:bookmarkStart w:id="374" w:name="_Toc184313269"/>
      <w:bookmarkEnd w:id="374"/>
      <w:bookmarkStart w:id="375" w:name="_Toc184313258"/>
      <w:bookmarkEnd w:id="375"/>
      <w:bookmarkStart w:id="376" w:name="_Toc184308041"/>
      <w:bookmarkEnd w:id="376"/>
      <w:bookmarkStart w:id="377" w:name="_Toc184314459"/>
      <w:bookmarkEnd w:id="377"/>
      <w:bookmarkStart w:id="378" w:name="_Toc184310299"/>
      <w:bookmarkEnd w:id="378"/>
      <w:bookmarkStart w:id="379" w:name="_Toc184308045"/>
      <w:bookmarkEnd w:id="379"/>
      <w:bookmarkStart w:id="380" w:name="_Toc184312133"/>
      <w:bookmarkEnd w:id="380"/>
      <w:bookmarkStart w:id="381" w:name="_Toc184310272"/>
      <w:bookmarkEnd w:id="381"/>
      <w:bookmarkStart w:id="382" w:name="_Toc184308101"/>
      <w:bookmarkEnd w:id="382"/>
      <w:bookmarkStart w:id="383" w:name="_Toc184310318"/>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7D07912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5CCD607D">
      <w:pPr>
        <w:pStyle w:val="13"/>
        <w:rPr>
          <w:rFonts w:cs="仿宋" w:asciiTheme="minorEastAsia" w:hAnsiTheme="minorEastAsia"/>
          <w:color w:val="auto"/>
        </w:rPr>
      </w:pPr>
    </w:p>
    <w:p w14:paraId="660D7592">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14:paraId="3CD2E11A">
      <w:pPr>
        <w:spacing w:line="480" w:lineRule="auto"/>
        <w:jc w:val="center"/>
        <w:rPr>
          <w:rFonts w:ascii="宋体" w:hAnsi="宋体" w:cs="宋体"/>
          <w:b/>
          <w:sz w:val="28"/>
          <w:szCs w:val="28"/>
        </w:rPr>
      </w:pPr>
    </w:p>
    <w:p w14:paraId="1E01425F">
      <w:pPr>
        <w:spacing w:line="480" w:lineRule="auto"/>
        <w:jc w:val="center"/>
        <w:rPr>
          <w:rFonts w:ascii="宋体" w:hAnsi="宋体" w:cs="宋体"/>
          <w:b/>
          <w:sz w:val="24"/>
        </w:rPr>
      </w:pPr>
    </w:p>
    <w:p w14:paraId="5881A1D2">
      <w:pPr>
        <w:spacing w:line="480" w:lineRule="auto"/>
        <w:jc w:val="center"/>
        <w:rPr>
          <w:rFonts w:ascii="宋体" w:hAnsi="宋体" w:cs="宋体"/>
          <w:b/>
          <w:sz w:val="24"/>
        </w:rPr>
      </w:pPr>
    </w:p>
    <w:p w14:paraId="6C01F35C">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C308950">
      <w:pPr>
        <w:spacing w:before="120" w:line="22" w:lineRule="atLeast"/>
        <w:rPr>
          <w:rFonts w:ascii="宋体" w:hAnsi="宋体" w:cs="宋体"/>
          <w:sz w:val="24"/>
        </w:rPr>
      </w:pPr>
    </w:p>
    <w:p w14:paraId="5433A2C2">
      <w:pPr>
        <w:pStyle w:val="3"/>
        <w:tabs>
          <w:tab w:val="left" w:pos="432"/>
        </w:tabs>
      </w:pPr>
    </w:p>
    <w:p w14:paraId="7867FD8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2025年-2026年含汞废旧荧光灯委外处置服务采购项目（第二次）</w:t>
      </w:r>
      <w:r>
        <w:rPr>
          <w:rFonts w:hint="eastAsia" w:ascii="宋体" w:hAnsi="宋体" w:cs="宋体"/>
          <w:sz w:val="24"/>
          <w:u w:val="single"/>
        </w:rPr>
        <w:t xml:space="preserve">    </w:t>
      </w:r>
    </w:p>
    <w:p w14:paraId="2B621857">
      <w:pPr>
        <w:rPr>
          <w:rFonts w:ascii="宋体" w:hAnsi="宋体" w:cs="宋体"/>
          <w:sz w:val="24"/>
        </w:rPr>
      </w:pPr>
    </w:p>
    <w:p w14:paraId="451757E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060DE8F8">
      <w:pPr>
        <w:spacing w:before="120" w:line="22" w:lineRule="atLeast"/>
        <w:rPr>
          <w:rFonts w:ascii="宋体" w:hAnsi="宋体" w:cs="宋体"/>
          <w:sz w:val="24"/>
        </w:rPr>
      </w:pPr>
    </w:p>
    <w:p w14:paraId="4DD43C67">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**公司</w:t>
      </w:r>
      <w:r>
        <w:rPr>
          <w:rFonts w:hint="eastAsia" w:ascii="宋体" w:hAnsi="宋体" w:cs="宋体"/>
          <w:sz w:val="24"/>
          <w:u w:val="single"/>
        </w:rPr>
        <w:t xml:space="preserve">         </w:t>
      </w:r>
    </w:p>
    <w:p w14:paraId="35F076AA">
      <w:pPr>
        <w:spacing w:before="120" w:line="22" w:lineRule="atLeast"/>
        <w:rPr>
          <w:rFonts w:ascii="宋体" w:hAnsi="宋体" w:cs="宋体"/>
          <w:sz w:val="24"/>
        </w:rPr>
      </w:pPr>
    </w:p>
    <w:p w14:paraId="332D31A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22D106CB">
      <w:pPr>
        <w:spacing w:before="120" w:line="22" w:lineRule="atLeast"/>
        <w:rPr>
          <w:rFonts w:ascii="宋体" w:hAnsi="宋体" w:cs="宋体"/>
          <w:sz w:val="24"/>
        </w:rPr>
      </w:pPr>
    </w:p>
    <w:p w14:paraId="358EA27D">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8C775A">
      <w:pPr>
        <w:pStyle w:val="7"/>
        <w:ind w:firstLine="214"/>
        <w:jc w:val="center"/>
        <w:rPr>
          <w:rFonts w:hint="eastAsia"/>
          <w:b/>
          <w:bCs/>
        </w:rPr>
      </w:pPr>
      <w:r>
        <w:rPr>
          <w:rFonts w:hint="eastAsia"/>
          <w:b/>
          <w:bCs/>
        </w:rPr>
        <w:t>目录</w:t>
      </w:r>
    </w:p>
    <w:p w14:paraId="5B9B45EC">
      <w:pPr>
        <w:pStyle w:val="8"/>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rPr>
      </w:pPr>
      <w:r>
        <w:rPr>
          <w:rFonts w:hint="eastAsia"/>
        </w:rPr>
        <w:t>合同书  …………………………………………………………（页码）</w:t>
      </w:r>
    </w:p>
    <w:p w14:paraId="48EE2A5E">
      <w:pPr>
        <w:pStyle w:val="8"/>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合同一般条款</w:t>
      </w:r>
      <w:r>
        <w:rPr>
          <w:rFonts w:hint="eastAsia"/>
        </w:rPr>
        <w:t>……………………………………………………（页码）</w:t>
      </w:r>
    </w:p>
    <w:p w14:paraId="38BE4B55">
      <w:pPr>
        <w:pStyle w:val="23"/>
        <w:keepNext w:val="0"/>
        <w:keepLines w:val="0"/>
        <w:pageBreakBefore w:val="0"/>
        <w:widowControl w:val="0"/>
        <w:kinsoku/>
        <w:wordWrap/>
        <w:overflowPunct/>
        <w:topLinePunct w:val="0"/>
        <w:bidi w:val="0"/>
        <w:ind w:left="0" w:leftChars="0" w:firstLine="240" w:firstLineChars="100"/>
        <w:jc w:val="both"/>
        <w:textAlignment w:val="auto"/>
      </w:pPr>
      <w:r>
        <w:rPr>
          <w:rFonts w:hint="eastAsia"/>
        </w:rPr>
        <w:t>第</w:t>
      </w:r>
      <w:r>
        <w:rPr>
          <w:rFonts w:hint="eastAsia"/>
          <w:lang w:val="en-US" w:eastAsia="zh-CN"/>
        </w:rPr>
        <w:t>三</w:t>
      </w:r>
      <w:r>
        <w:rPr>
          <w:rFonts w:hint="eastAsia"/>
        </w:rPr>
        <w:t>章 廉洁协议…………………………………………………………（页码）</w:t>
      </w:r>
    </w:p>
    <w:p w14:paraId="2025DEEC">
      <w:pPr>
        <w:spacing w:line="360" w:lineRule="auto"/>
        <w:ind w:firstLine="480" w:firstLineChars="200"/>
        <w:rPr>
          <w:rFonts w:ascii="宋体" w:hAnsi="宋体"/>
          <w:sz w:val="24"/>
          <w:u w:val="single"/>
          <w:lang w:val="zh-CN"/>
        </w:rPr>
      </w:pPr>
    </w:p>
    <w:p w14:paraId="2EB3740C">
      <w:pPr>
        <w:spacing w:line="360" w:lineRule="auto"/>
        <w:ind w:firstLine="480" w:firstLineChars="200"/>
        <w:rPr>
          <w:rFonts w:ascii="宋体" w:hAnsi="宋体"/>
          <w:sz w:val="24"/>
          <w:u w:val="single"/>
          <w:lang w:val="zh-CN"/>
        </w:rPr>
      </w:pPr>
    </w:p>
    <w:p w14:paraId="0F4C38B2">
      <w:pPr>
        <w:spacing w:line="360" w:lineRule="auto"/>
        <w:ind w:firstLine="480" w:firstLineChars="200"/>
        <w:rPr>
          <w:rFonts w:ascii="宋体" w:hAnsi="宋体"/>
          <w:sz w:val="24"/>
          <w:u w:val="single"/>
          <w:lang w:val="zh-CN"/>
        </w:rPr>
      </w:pPr>
    </w:p>
    <w:p w14:paraId="4DD09139">
      <w:pPr>
        <w:spacing w:line="360" w:lineRule="auto"/>
        <w:ind w:firstLine="480" w:firstLineChars="200"/>
        <w:rPr>
          <w:rFonts w:ascii="宋体" w:hAnsi="宋体"/>
          <w:sz w:val="24"/>
          <w:u w:val="single"/>
          <w:lang w:val="zh-CN"/>
        </w:rPr>
      </w:pPr>
    </w:p>
    <w:p w14:paraId="33D0822D">
      <w:pPr>
        <w:spacing w:line="360" w:lineRule="auto"/>
        <w:ind w:firstLine="480" w:firstLineChars="200"/>
        <w:rPr>
          <w:rFonts w:ascii="宋体" w:hAnsi="宋体"/>
          <w:sz w:val="24"/>
          <w:u w:val="single"/>
          <w:lang w:val="zh-CN"/>
        </w:rPr>
      </w:pPr>
    </w:p>
    <w:p w14:paraId="23F4DD67">
      <w:pPr>
        <w:spacing w:line="360" w:lineRule="auto"/>
        <w:ind w:firstLine="480" w:firstLineChars="200"/>
        <w:rPr>
          <w:rFonts w:ascii="宋体" w:hAnsi="宋体"/>
          <w:sz w:val="24"/>
          <w:u w:val="single"/>
          <w:lang w:val="zh-CN"/>
        </w:rPr>
      </w:pPr>
    </w:p>
    <w:p w14:paraId="0BC118B9">
      <w:pPr>
        <w:spacing w:line="360" w:lineRule="auto"/>
        <w:ind w:firstLine="480" w:firstLineChars="200"/>
        <w:rPr>
          <w:rFonts w:ascii="宋体" w:hAnsi="宋体"/>
          <w:sz w:val="24"/>
          <w:u w:val="single"/>
          <w:lang w:val="zh-CN"/>
        </w:rPr>
      </w:pPr>
    </w:p>
    <w:p w14:paraId="0D7F7F2A">
      <w:pPr>
        <w:spacing w:line="360" w:lineRule="auto"/>
        <w:ind w:firstLine="480" w:firstLineChars="200"/>
        <w:rPr>
          <w:rFonts w:ascii="宋体" w:hAnsi="宋体"/>
          <w:sz w:val="24"/>
          <w:u w:val="single"/>
          <w:lang w:val="zh-CN"/>
        </w:rPr>
      </w:pPr>
    </w:p>
    <w:p w14:paraId="61A605BE">
      <w:pPr>
        <w:spacing w:line="360" w:lineRule="auto"/>
        <w:ind w:firstLine="480" w:firstLineChars="200"/>
        <w:rPr>
          <w:rFonts w:ascii="宋体" w:hAnsi="宋体"/>
          <w:sz w:val="24"/>
          <w:u w:val="single"/>
          <w:lang w:val="zh-CN"/>
        </w:rPr>
      </w:pPr>
    </w:p>
    <w:p w14:paraId="547D7CE8">
      <w:pPr>
        <w:spacing w:line="360" w:lineRule="auto"/>
        <w:ind w:firstLine="480" w:firstLineChars="200"/>
        <w:rPr>
          <w:rFonts w:ascii="宋体" w:hAnsi="宋体"/>
          <w:sz w:val="24"/>
          <w:u w:val="single"/>
          <w:lang w:val="zh-CN"/>
        </w:rPr>
      </w:pPr>
    </w:p>
    <w:p w14:paraId="751054F2">
      <w:pPr>
        <w:spacing w:line="360" w:lineRule="auto"/>
        <w:ind w:firstLine="480" w:firstLineChars="200"/>
        <w:rPr>
          <w:rFonts w:ascii="宋体" w:hAnsi="宋体"/>
          <w:sz w:val="24"/>
          <w:u w:val="single"/>
          <w:lang w:val="zh-CN"/>
        </w:rPr>
      </w:pPr>
    </w:p>
    <w:p w14:paraId="719E8C49">
      <w:pPr>
        <w:spacing w:line="360" w:lineRule="auto"/>
        <w:ind w:firstLine="480" w:firstLineChars="200"/>
        <w:rPr>
          <w:rFonts w:ascii="宋体" w:hAnsi="宋体"/>
          <w:sz w:val="24"/>
          <w:u w:val="single"/>
          <w:lang w:val="zh-CN"/>
        </w:rPr>
      </w:pPr>
    </w:p>
    <w:p w14:paraId="529750BD">
      <w:pPr>
        <w:spacing w:line="360" w:lineRule="auto"/>
        <w:ind w:firstLine="480" w:firstLineChars="200"/>
        <w:rPr>
          <w:rFonts w:ascii="宋体" w:hAnsi="宋体"/>
          <w:sz w:val="24"/>
          <w:u w:val="single"/>
          <w:lang w:val="zh-CN"/>
        </w:rPr>
      </w:pPr>
    </w:p>
    <w:p w14:paraId="70B9E862">
      <w:pPr>
        <w:spacing w:line="360" w:lineRule="auto"/>
        <w:ind w:firstLine="480" w:firstLineChars="200"/>
        <w:rPr>
          <w:rFonts w:ascii="宋体" w:hAnsi="宋体"/>
          <w:sz w:val="24"/>
          <w:u w:val="single"/>
          <w:lang w:val="zh-CN"/>
        </w:rPr>
      </w:pPr>
    </w:p>
    <w:p w14:paraId="2110EBFD">
      <w:pPr>
        <w:spacing w:line="360" w:lineRule="auto"/>
        <w:ind w:firstLine="480" w:firstLineChars="200"/>
        <w:rPr>
          <w:rFonts w:ascii="宋体" w:hAnsi="宋体"/>
          <w:sz w:val="24"/>
          <w:u w:val="single"/>
          <w:lang w:val="zh-CN"/>
        </w:rPr>
      </w:pPr>
    </w:p>
    <w:p w14:paraId="0FD99BDF">
      <w:pPr>
        <w:spacing w:line="360" w:lineRule="auto"/>
        <w:ind w:firstLine="480" w:firstLineChars="200"/>
        <w:rPr>
          <w:rFonts w:ascii="宋体" w:hAnsi="宋体"/>
          <w:sz w:val="24"/>
          <w:u w:val="single"/>
          <w:lang w:val="zh-CN"/>
        </w:rPr>
      </w:pPr>
    </w:p>
    <w:p w14:paraId="6314468C">
      <w:pPr>
        <w:spacing w:line="360" w:lineRule="auto"/>
        <w:ind w:firstLine="480" w:firstLineChars="200"/>
        <w:rPr>
          <w:rFonts w:ascii="宋体" w:hAnsi="宋体"/>
          <w:sz w:val="24"/>
          <w:u w:val="single"/>
          <w:lang w:val="zh-CN"/>
        </w:rPr>
      </w:pPr>
    </w:p>
    <w:p w14:paraId="7428E769">
      <w:pPr>
        <w:spacing w:line="360" w:lineRule="auto"/>
        <w:ind w:firstLine="480" w:firstLineChars="200"/>
        <w:rPr>
          <w:rFonts w:ascii="宋体" w:hAnsi="宋体"/>
          <w:sz w:val="24"/>
          <w:u w:val="single"/>
          <w:lang w:val="zh-CN"/>
        </w:rPr>
      </w:pPr>
    </w:p>
    <w:p w14:paraId="327D2350">
      <w:pPr>
        <w:spacing w:line="360" w:lineRule="auto"/>
        <w:ind w:firstLine="480" w:firstLineChars="200"/>
        <w:rPr>
          <w:rFonts w:ascii="宋体" w:hAnsi="宋体"/>
          <w:sz w:val="24"/>
          <w:u w:val="single"/>
          <w:lang w:val="zh-CN"/>
        </w:rPr>
      </w:pPr>
    </w:p>
    <w:p w14:paraId="7AAA01A0">
      <w:pPr>
        <w:spacing w:line="360" w:lineRule="auto"/>
        <w:ind w:firstLine="480" w:firstLineChars="200"/>
        <w:rPr>
          <w:rFonts w:ascii="宋体" w:hAnsi="宋体"/>
          <w:sz w:val="24"/>
          <w:u w:val="single"/>
          <w:lang w:val="zh-CN"/>
        </w:rPr>
      </w:pPr>
    </w:p>
    <w:p w14:paraId="25B452EE">
      <w:pPr>
        <w:spacing w:line="360" w:lineRule="auto"/>
        <w:ind w:firstLine="480" w:firstLineChars="200"/>
        <w:rPr>
          <w:rFonts w:ascii="宋体" w:hAnsi="宋体"/>
          <w:sz w:val="24"/>
          <w:u w:val="single"/>
          <w:lang w:val="zh-CN"/>
        </w:rPr>
      </w:pPr>
    </w:p>
    <w:p w14:paraId="3ACE4F92">
      <w:pPr>
        <w:spacing w:line="360" w:lineRule="auto"/>
        <w:ind w:firstLine="480" w:firstLineChars="200"/>
        <w:rPr>
          <w:rFonts w:ascii="宋体" w:hAnsi="宋体"/>
          <w:sz w:val="24"/>
          <w:u w:val="single"/>
          <w:lang w:val="zh-CN"/>
        </w:rPr>
      </w:pPr>
    </w:p>
    <w:p w14:paraId="2D3A575C">
      <w:pPr>
        <w:pStyle w:val="6"/>
        <w:rPr>
          <w:lang w:val="zh-CN"/>
        </w:rPr>
      </w:pPr>
    </w:p>
    <w:p w14:paraId="21BAB6F3">
      <w:pPr>
        <w:spacing w:line="360" w:lineRule="auto"/>
        <w:ind w:firstLine="480" w:firstLineChars="200"/>
        <w:rPr>
          <w:rFonts w:ascii="宋体" w:hAnsi="宋体"/>
          <w:sz w:val="24"/>
          <w:u w:val="single"/>
          <w:lang w:val="zh-CN"/>
        </w:rPr>
      </w:pPr>
    </w:p>
    <w:p w14:paraId="039D1AD4">
      <w:pPr>
        <w:spacing w:line="360" w:lineRule="auto"/>
        <w:ind w:firstLine="480" w:firstLineChars="200"/>
        <w:rPr>
          <w:rFonts w:ascii="宋体" w:hAnsi="宋体"/>
          <w:sz w:val="24"/>
          <w:u w:val="single"/>
          <w:lang w:val="zh-CN"/>
        </w:rPr>
      </w:pPr>
    </w:p>
    <w:p w14:paraId="65D7ED2C">
      <w:pPr>
        <w:pStyle w:val="14"/>
        <w:jc w:val="both"/>
        <w:rPr>
          <w:lang w:val="zh-CN"/>
        </w:rPr>
      </w:pPr>
    </w:p>
    <w:p w14:paraId="636E54DF">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0081EDAB">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2025年-2026年含汞废旧荧光灯委外处置服务采购项目（第二次）</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14:paraId="201D30DB">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2734A37">
      <w:pPr>
        <w:spacing w:line="360" w:lineRule="auto"/>
        <w:ind w:firstLine="482" w:firstLineChars="200"/>
        <w:rPr>
          <w:rFonts w:hint="eastAsia" w:ascii="宋体" w:hAnsi="宋体"/>
          <w:b/>
          <w:bCs/>
          <w:sz w:val="24"/>
        </w:rPr>
      </w:pPr>
      <w:bookmarkStart w:id="384" w:name="_Toc15367"/>
      <w:bookmarkStart w:id="385" w:name="_Toc28855"/>
      <w:bookmarkStart w:id="386" w:name="_Toc19273"/>
      <w:bookmarkStart w:id="387" w:name="_Toc22967"/>
      <w:bookmarkStart w:id="388" w:name="_Toc20421"/>
      <w:r>
        <w:rPr>
          <w:rFonts w:hint="eastAsia" w:ascii="宋体" w:hAnsi="宋体"/>
          <w:b/>
          <w:bCs/>
          <w:sz w:val="24"/>
        </w:rPr>
        <w:t>一、 合同组成部分</w:t>
      </w:r>
      <w:bookmarkEnd w:id="384"/>
      <w:bookmarkEnd w:id="385"/>
      <w:bookmarkEnd w:id="386"/>
      <w:bookmarkEnd w:id="387"/>
      <w:bookmarkEnd w:id="388"/>
    </w:p>
    <w:p w14:paraId="1C91D19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28BC5F24">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6A2DBAA5">
      <w:pPr>
        <w:spacing w:line="360" w:lineRule="auto"/>
        <w:ind w:firstLine="480" w:firstLineChars="200"/>
        <w:rPr>
          <w:rFonts w:ascii="宋体" w:hAnsi="宋体"/>
          <w:sz w:val="24"/>
        </w:rPr>
      </w:pPr>
      <w:r>
        <w:rPr>
          <w:rFonts w:hint="eastAsia" w:ascii="宋体" w:hAnsi="宋体"/>
          <w:sz w:val="24"/>
        </w:rPr>
        <w:t>2.中标或者成交通知书；</w:t>
      </w:r>
    </w:p>
    <w:p w14:paraId="049DB81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00B28D6">
      <w:pPr>
        <w:spacing w:line="360" w:lineRule="auto"/>
        <w:ind w:firstLine="480" w:firstLineChars="200"/>
        <w:rPr>
          <w:rFonts w:ascii="宋体" w:hAnsi="宋体"/>
          <w:sz w:val="24"/>
        </w:rPr>
      </w:pPr>
      <w:r>
        <w:rPr>
          <w:rFonts w:hint="eastAsia" w:ascii="宋体" w:hAnsi="宋体"/>
          <w:sz w:val="24"/>
        </w:rPr>
        <w:t>4.采购文件（含澄清或者修改文件）；</w:t>
      </w:r>
    </w:p>
    <w:p w14:paraId="52E2BCBA">
      <w:pPr>
        <w:spacing w:line="360" w:lineRule="auto"/>
        <w:ind w:firstLine="480" w:firstLineChars="200"/>
        <w:rPr>
          <w:rFonts w:ascii="宋体" w:hAnsi="宋体"/>
          <w:sz w:val="24"/>
        </w:rPr>
      </w:pPr>
      <w:r>
        <w:rPr>
          <w:rFonts w:hint="eastAsia" w:ascii="宋体" w:hAnsi="宋体"/>
          <w:sz w:val="24"/>
        </w:rPr>
        <w:t>5.其他相关采购文件。</w:t>
      </w:r>
    </w:p>
    <w:p w14:paraId="40636420">
      <w:pPr>
        <w:spacing w:line="360" w:lineRule="auto"/>
        <w:ind w:firstLine="482" w:firstLineChars="200"/>
        <w:outlineLvl w:val="0"/>
        <w:rPr>
          <w:rFonts w:hint="eastAsia" w:ascii="宋体" w:hAnsi="宋体"/>
          <w:b/>
          <w:sz w:val="24"/>
        </w:rPr>
      </w:pPr>
      <w:bookmarkStart w:id="389" w:name="_Toc18585"/>
      <w:bookmarkStart w:id="390" w:name="_Toc22185"/>
      <w:bookmarkStart w:id="391" w:name="_Toc6773"/>
      <w:bookmarkStart w:id="392" w:name="_Toc2918"/>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1BAA7DF7">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sz w:val="24"/>
        </w:rPr>
        <w:t xml:space="preserve"> %。</w:t>
      </w:r>
    </w:p>
    <w:p w14:paraId="6B426767">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14:paraId="73E96789">
      <w:pPr>
        <w:spacing w:line="360" w:lineRule="auto"/>
        <w:ind w:firstLine="480" w:firstLineChars="200"/>
        <w:rPr>
          <w:rFonts w:hint="eastAsia" w:ascii="宋体" w:hAnsi="宋体" w:eastAsia="宋体" w:cs="宋体"/>
          <w:sz w:val="24"/>
          <w:szCs w:val="24"/>
          <w:lang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的分项视为优惠,本合同履行中，甲方不再另行支付任何费用。</w:t>
      </w:r>
    </w:p>
    <w:tbl>
      <w:tblPr>
        <w:tblStyle w:val="15"/>
        <w:tblW w:w="9211" w:type="dxa"/>
        <w:tblInd w:w="-89" w:type="dxa"/>
        <w:shd w:val="clear" w:color="auto" w:fill="auto"/>
        <w:tblLayout w:type="fixed"/>
        <w:tblCellMar>
          <w:top w:w="0" w:type="dxa"/>
          <w:left w:w="108" w:type="dxa"/>
          <w:bottom w:w="0" w:type="dxa"/>
          <w:right w:w="108" w:type="dxa"/>
        </w:tblCellMar>
      </w:tblPr>
      <w:tblGrid>
        <w:gridCol w:w="854"/>
        <w:gridCol w:w="1261"/>
        <w:gridCol w:w="1500"/>
        <w:gridCol w:w="900"/>
        <w:gridCol w:w="1245"/>
        <w:gridCol w:w="1680"/>
        <w:gridCol w:w="1771"/>
      </w:tblGrid>
      <w:tr w14:paraId="7368EFAF">
        <w:tblPrEx>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BA01">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2B3F">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4D1C">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危废代码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76C1">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9AE8">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年度预估数量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5343">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委托处置单价（元/吨）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EB05">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金额（元）</w:t>
            </w:r>
          </w:p>
        </w:tc>
      </w:tr>
      <w:tr w14:paraId="191501E8">
        <w:tblPrEx>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0804">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98188">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含汞废旧荧光灯管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7BC6">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900-023-29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50EAC">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C39CF">
            <w:pPr>
              <w:spacing w:line="56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3A302">
            <w:pPr>
              <w:spacing w:line="560" w:lineRule="exact"/>
              <w:ind w:firstLine="480" w:firstLineChars="200"/>
              <w:jc w:val="center"/>
              <w:rPr>
                <w:rFonts w:hint="eastAsia" w:ascii="宋体" w:hAnsi="宋体" w:eastAsia="宋体" w:cs="宋体"/>
                <w:b w:val="0"/>
                <w:bCs w:val="0"/>
                <w:color w:val="auto"/>
                <w:sz w:val="24"/>
                <w:szCs w:val="24"/>
                <w:lang w:val="en-US" w:eastAsia="zh-CN"/>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E416">
            <w:pPr>
              <w:spacing w:line="560" w:lineRule="exact"/>
              <w:ind w:firstLine="480" w:firstLineChars="200"/>
              <w:jc w:val="center"/>
              <w:rPr>
                <w:rFonts w:hint="eastAsia" w:ascii="宋体" w:hAnsi="宋体" w:eastAsia="宋体" w:cs="宋体"/>
                <w:b w:val="0"/>
                <w:bCs w:val="0"/>
                <w:color w:val="auto"/>
                <w:sz w:val="24"/>
                <w:szCs w:val="24"/>
                <w:lang w:val="en-US" w:eastAsia="zh-CN"/>
              </w:rPr>
            </w:pPr>
          </w:p>
        </w:tc>
      </w:tr>
    </w:tbl>
    <w:p w14:paraId="6E1BEA4E">
      <w:pPr>
        <w:pStyle w:val="12"/>
        <w:rPr>
          <w:rFonts w:hint="eastAsia" w:ascii="宋体" w:hAnsi="宋体" w:eastAsia="宋体" w:cs="宋体"/>
          <w:sz w:val="24"/>
          <w:szCs w:val="24"/>
        </w:rPr>
      </w:pPr>
    </w:p>
    <w:p w14:paraId="158F2A84">
      <w:pPr>
        <w:spacing w:line="360" w:lineRule="auto"/>
        <w:ind w:firstLine="482" w:firstLineChars="200"/>
        <w:outlineLvl w:val="0"/>
        <w:rPr>
          <w:rFonts w:ascii="宋体" w:hAnsi="宋体"/>
          <w:b/>
          <w:sz w:val="24"/>
        </w:rPr>
      </w:pPr>
      <w:r>
        <w:rPr>
          <w:rFonts w:hint="eastAsia" w:ascii="宋体" w:hAnsi="宋体"/>
          <w:b/>
          <w:sz w:val="24"/>
          <w:lang w:val="en-US" w:eastAsia="zh-CN"/>
        </w:rPr>
        <w:t>三、</w:t>
      </w:r>
      <w:r>
        <w:rPr>
          <w:rFonts w:ascii="宋体" w:hAnsi="宋体"/>
          <w:b/>
          <w:sz w:val="24"/>
        </w:rPr>
        <w:t>履行期限</w:t>
      </w:r>
      <w:r>
        <w:rPr>
          <w:rFonts w:hint="eastAsia" w:ascii="宋体" w:hAnsi="宋体"/>
          <w:b/>
          <w:sz w:val="24"/>
        </w:rPr>
        <w:t>、地点、联系方式</w:t>
      </w:r>
    </w:p>
    <w:p w14:paraId="4D7A3489">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b/>
          <w:bCs/>
          <w:sz w:val="24"/>
          <w:u w:val="single"/>
          <w:lang w:val="en-US" w:eastAsia="zh-CN"/>
        </w:rPr>
        <w:t>自动终止</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14:paraId="7C74675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D1DAF41">
      <w:pPr>
        <w:spacing w:line="360" w:lineRule="auto"/>
        <w:ind w:firstLine="480" w:firstLineChars="200"/>
        <w:outlineLvl w:val="0"/>
        <w:rPr>
          <w:rFonts w:hint="eastAsia" w:ascii="宋体" w:hAnsi="宋体" w:cs="宋体"/>
          <w:sz w:val="24"/>
          <w:u w:val="single"/>
        </w:rPr>
      </w:pPr>
      <w:r>
        <w:rPr>
          <w:rFonts w:hint="eastAsia" w:ascii="宋体" w:hAnsi="宋体"/>
          <w:bCs/>
          <w:sz w:val="24"/>
          <w:lang w:val="en-US" w:eastAsia="zh-CN"/>
        </w:rPr>
        <w:t>3</w:t>
      </w:r>
      <w:r>
        <w:rPr>
          <w:rFonts w:hint="eastAsia" w:ascii="宋体" w:hAnsi="宋体"/>
          <w:bCs/>
          <w:sz w:val="24"/>
        </w:rPr>
        <w:t>.</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9A6BF54">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cs="宋体"/>
          <w:sz w:val="24"/>
          <w:lang w:val="en-US" w:eastAsia="zh-CN"/>
        </w:rPr>
        <w:t>4</w:t>
      </w:r>
      <w:r>
        <w:rPr>
          <w:rFonts w:hint="eastAsia" w:ascii="宋体" w:hAnsi="宋体" w:cs="宋体"/>
          <w:sz w:val="24"/>
        </w:rPr>
        <w:t>.乙方联系人及联系方式：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96A6667">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四、服务要求</w:t>
      </w:r>
    </w:p>
    <w:p w14:paraId="0FDFDF66">
      <w:pPr>
        <w:pStyle w:val="7"/>
        <w:numPr>
          <w:ilvl w:val="0"/>
          <w:numId w:val="0"/>
        </w:numPr>
        <w:ind w:firstLine="480" w:firstLineChars="200"/>
        <w:rPr>
          <w:rFonts w:hint="eastAsia"/>
          <w:color w:val="auto"/>
          <w:lang w:val="en-US" w:eastAsia="zh-CN"/>
        </w:rPr>
      </w:pPr>
      <w:r>
        <w:rPr>
          <w:rFonts w:hint="eastAsia"/>
          <w:color w:val="auto"/>
          <w:lang w:val="en-US" w:eastAsia="zh-CN"/>
        </w:rPr>
        <w:t>1.本项目根据甲方实际需要，分批次处置。乙方接到甲方电话通知后，7日内将安排人员和车辆到达现场装车，乙方负责装车、车辆运输，甲方免费提供叉车协助。</w:t>
      </w:r>
    </w:p>
    <w:p w14:paraId="5F542F52">
      <w:pPr>
        <w:pStyle w:val="7"/>
        <w:numPr>
          <w:ilvl w:val="0"/>
          <w:numId w:val="0"/>
        </w:numPr>
        <w:ind w:firstLine="480" w:firstLineChars="200"/>
        <w:rPr>
          <w:rFonts w:hint="eastAsia"/>
          <w:color w:val="auto"/>
          <w:lang w:val="en-US" w:eastAsia="zh-CN"/>
        </w:rPr>
      </w:pPr>
      <w:r>
        <w:rPr>
          <w:rFonts w:hint="eastAsia"/>
          <w:color w:val="auto"/>
          <w:lang w:val="en-US" w:eastAsia="zh-CN"/>
        </w:rPr>
        <w:t>2.乙方应向甲方提供本协议约定含汞废旧荧光灯管的处置服务，不得无故拒收。</w:t>
      </w:r>
    </w:p>
    <w:p w14:paraId="500E32C1">
      <w:pPr>
        <w:pStyle w:val="7"/>
        <w:numPr>
          <w:ilvl w:val="0"/>
          <w:numId w:val="0"/>
        </w:numPr>
        <w:ind w:firstLine="480" w:firstLineChars="200"/>
        <w:rPr>
          <w:rFonts w:hint="eastAsia"/>
          <w:color w:val="auto"/>
          <w:lang w:val="en-US" w:eastAsia="zh-CN"/>
        </w:rPr>
      </w:pPr>
      <w:r>
        <w:rPr>
          <w:rFonts w:hint="eastAsia"/>
          <w:color w:val="auto"/>
          <w:lang w:val="en-US" w:eastAsia="zh-CN"/>
        </w:rPr>
        <w:t>3.乙方应按照环境保护有关法律法规、标准规范的规定对含汞废旧荧光灯管最终安全、合法处置，并承担相应法律责任。</w:t>
      </w:r>
    </w:p>
    <w:p w14:paraId="096A138B">
      <w:pPr>
        <w:pStyle w:val="7"/>
        <w:numPr>
          <w:ilvl w:val="0"/>
          <w:numId w:val="0"/>
        </w:numPr>
        <w:ind w:firstLine="482" w:firstLineChars="200"/>
        <w:rPr>
          <w:rFonts w:hint="eastAsia"/>
          <w:b/>
          <w:bCs/>
          <w:color w:val="auto"/>
          <w:lang w:val="en-US" w:eastAsia="zh-CN"/>
        </w:rPr>
      </w:pPr>
      <w:r>
        <w:rPr>
          <w:rFonts w:hint="eastAsia"/>
          <w:b/>
          <w:bCs/>
          <w:color w:val="auto"/>
          <w:lang w:val="en-US" w:eastAsia="zh-CN"/>
        </w:rPr>
        <w:t>五、甲方责任</w:t>
      </w:r>
    </w:p>
    <w:p w14:paraId="08BF5FCB">
      <w:pPr>
        <w:pStyle w:val="7"/>
        <w:numPr>
          <w:ilvl w:val="0"/>
          <w:numId w:val="0"/>
        </w:numPr>
        <w:ind w:firstLine="480" w:firstLineChars="200"/>
        <w:rPr>
          <w:rFonts w:hint="eastAsia"/>
          <w:color w:val="auto"/>
          <w:lang w:val="en-US" w:eastAsia="zh-CN"/>
        </w:rPr>
      </w:pPr>
      <w:r>
        <w:rPr>
          <w:rFonts w:hint="eastAsia"/>
          <w:color w:val="auto"/>
          <w:lang w:val="en-US" w:eastAsia="zh-CN"/>
        </w:rPr>
        <w:t>1.甲方应当按照相关法律法规规定对生产经营中产生的含汞废旧荧光灯管进行规范收集后全部交由乙方回收利用，甲方免费提供叉车上车服务。对于在甲方场地收集暂存的含汞废旧荧光灯管，甲方全权负责其环保安全，防止污染环境，否则乙方有权拒绝回收利用，对此产生的责任均由甲方承担。</w:t>
      </w:r>
    </w:p>
    <w:p w14:paraId="18FAF764">
      <w:pPr>
        <w:pStyle w:val="7"/>
        <w:numPr>
          <w:ilvl w:val="0"/>
          <w:numId w:val="0"/>
        </w:numPr>
        <w:ind w:firstLine="480" w:firstLineChars="200"/>
        <w:rPr>
          <w:rFonts w:hint="eastAsia"/>
          <w:color w:val="auto"/>
          <w:lang w:val="en-US" w:eastAsia="zh-CN"/>
        </w:rPr>
      </w:pPr>
      <w:r>
        <w:rPr>
          <w:rFonts w:hint="eastAsia"/>
          <w:color w:val="auto"/>
          <w:lang w:val="en-US" w:eastAsia="zh-CN"/>
        </w:rPr>
        <w:t>2.甲方委托回收利用的含汞废旧荧光灯管中严禁混入易燃易爆物质和放射性物质等其他垃圾杂质成分。</w:t>
      </w:r>
    </w:p>
    <w:p w14:paraId="548DD072">
      <w:pPr>
        <w:pStyle w:val="7"/>
        <w:numPr>
          <w:ilvl w:val="0"/>
          <w:numId w:val="0"/>
        </w:numPr>
        <w:ind w:firstLine="480" w:firstLineChars="200"/>
        <w:rPr>
          <w:rFonts w:hint="eastAsia"/>
          <w:color w:val="auto"/>
          <w:lang w:val="en-US" w:eastAsia="zh-CN"/>
        </w:rPr>
      </w:pPr>
      <w:r>
        <w:rPr>
          <w:rFonts w:hint="eastAsia"/>
          <w:color w:val="auto"/>
          <w:lang w:val="en-US" w:eastAsia="zh-CN"/>
        </w:rPr>
        <w:t>3.含汞废旧荧光灯管分批交付。甲方应当在每次交付前七个工作日通知乙方，以便乙方安排生产、做好入库准备。</w:t>
      </w:r>
    </w:p>
    <w:p w14:paraId="4F1B7D19">
      <w:pPr>
        <w:pStyle w:val="7"/>
        <w:numPr>
          <w:ilvl w:val="0"/>
          <w:numId w:val="0"/>
        </w:numPr>
        <w:ind w:firstLine="480" w:firstLineChars="200"/>
        <w:rPr>
          <w:rFonts w:hint="eastAsia"/>
          <w:color w:val="auto"/>
          <w:lang w:val="en-US" w:eastAsia="zh-CN"/>
        </w:rPr>
      </w:pPr>
      <w:r>
        <w:rPr>
          <w:rFonts w:hint="eastAsia"/>
          <w:color w:val="auto"/>
          <w:lang w:val="en-US" w:eastAsia="zh-CN"/>
        </w:rPr>
        <w:t>4.合同签订后，转移前甲方在浙江省固体废物监管信息系统进行危险废物年度管理计划审批。管理计划审批完成后，每批次甲方按照环保部门要求在浙江省固体废物监管信息系统办理危险废物转移联单手续。</w:t>
      </w:r>
    </w:p>
    <w:p w14:paraId="384DAE5D">
      <w:pPr>
        <w:pStyle w:val="7"/>
        <w:numPr>
          <w:ilvl w:val="0"/>
          <w:numId w:val="0"/>
        </w:numPr>
        <w:ind w:firstLine="482" w:firstLineChars="200"/>
        <w:rPr>
          <w:rFonts w:hint="eastAsia"/>
          <w:b/>
          <w:bCs/>
          <w:color w:val="auto"/>
          <w:lang w:val="en-US" w:eastAsia="zh-CN"/>
        </w:rPr>
      </w:pPr>
      <w:r>
        <w:rPr>
          <w:rFonts w:hint="eastAsia"/>
          <w:b/>
          <w:bCs/>
          <w:color w:val="auto"/>
          <w:lang w:val="en-US" w:eastAsia="zh-CN"/>
        </w:rPr>
        <w:t>六、乙方责任</w:t>
      </w:r>
    </w:p>
    <w:p w14:paraId="1A59B59F">
      <w:pPr>
        <w:pStyle w:val="7"/>
        <w:numPr>
          <w:ilvl w:val="0"/>
          <w:numId w:val="0"/>
        </w:numPr>
        <w:ind w:firstLine="480" w:firstLineChars="200"/>
        <w:rPr>
          <w:rFonts w:hint="eastAsia"/>
          <w:color w:val="auto"/>
          <w:lang w:val="en-US" w:eastAsia="zh-CN"/>
        </w:rPr>
      </w:pPr>
      <w:r>
        <w:rPr>
          <w:rFonts w:hint="eastAsia"/>
          <w:color w:val="auto"/>
          <w:lang w:val="en-US" w:eastAsia="zh-CN"/>
        </w:rPr>
        <w:t>1 .乙方及乙方委托的运输单位须在浙江省固体废物监管信息系统备案通过。</w:t>
      </w:r>
    </w:p>
    <w:p w14:paraId="72552393">
      <w:pPr>
        <w:pStyle w:val="7"/>
        <w:numPr>
          <w:ilvl w:val="0"/>
          <w:numId w:val="0"/>
        </w:numPr>
        <w:ind w:firstLine="480" w:firstLineChars="200"/>
        <w:rPr>
          <w:rFonts w:hint="eastAsia"/>
          <w:color w:val="auto"/>
          <w:lang w:val="en-US" w:eastAsia="zh-CN"/>
        </w:rPr>
      </w:pPr>
      <w:r>
        <w:rPr>
          <w:rFonts w:hint="eastAsia"/>
          <w:color w:val="auto"/>
          <w:lang w:val="en-US" w:eastAsia="zh-CN"/>
        </w:rPr>
        <w:t>2.乙方负责含汞废旧荧光灯管的运输，自行组织人员和有此类货物运输资质的车辆到甲方所在地装车、提货。离开甲方大门后，含汞废旧荧光灯管的法律风险由乙方承担。</w:t>
      </w:r>
    </w:p>
    <w:p w14:paraId="40D423C8">
      <w:pPr>
        <w:pStyle w:val="7"/>
        <w:numPr>
          <w:ilvl w:val="0"/>
          <w:numId w:val="0"/>
        </w:numPr>
        <w:ind w:firstLine="480" w:firstLineChars="200"/>
        <w:rPr>
          <w:rFonts w:hint="eastAsia"/>
          <w:color w:val="auto"/>
          <w:lang w:val="en-US" w:eastAsia="zh-CN"/>
        </w:rPr>
      </w:pPr>
      <w:r>
        <w:rPr>
          <w:rFonts w:hint="eastAsia"/>
          <w:color w:val="auto"/>
          <w:lang w:val="en-US" w:eastAsia="zh-CN"/>
        </w:rPr>
        <w:t>3.乙方应按照有关法律法规、标准规范的规定对含汞废旧荧光灯管进行运输、储存、最终安全处置。</w:t>
      </w:r>
    </w:p>
    <w:p w14:paraId="789AE9F9">
      <w:pPr>
        <w:pStyle w:val="7"/>
        <w:numPr>
          <w:ilvl w:val="0"/>
          <w:numId w:val="0"/>
        </w:numPr>
        <w:ind w:firstLine="480" w:firstLineChars="200"/>
        <w:rPr>
          <w:rFonts w:hint="eastAsia"/>
          <w:color w:val="auto"/>
          <w:lang w:val="en-US" w:eastAsia="zh-CN"/>
        </w:rPr>
      </w:pPr>
      <w:r>
        <w:rPr>
          <w:rFonts w:hint="eastAsia"/>
          <w:color w:val="auto"/>
          <w:lang w:val="en-US" w:eastAsia="zh-CN"/>
        </w:rPr>
        <w:t>4.乙方人员和运输车辆进入甲方生产区域，必须遵守甲方安全生产管理制度及相关规定，并服从甲方人员的指挥。</w:t>
      </w:r>
    </w:p>
    <w:p w14:paraId="3EF605E5">
      <w:pPr>
        <w:pStyle w:val="7"/>
        <w:numPr>
          <w:ilvl w:val="0"/>
          <w:numId w:val="0"/>
        </w:numPr>
        <w:ind w:firstLine="480" w:firstLineChars="200"/>
        <w:rPr>
          <w:rFonts w:hint="eastAsia"/>
          <w:color w:val="auto"/>
          <w:lang w:val="en-US" w:eastAsia="zh-CN"/>
        </w:rPr>
      </w:pPr>
      <w:r>
        <w:rPr>
          <w:rFonts w:hint="eastAsia"/>
          <w:color w:val="auto"/>
          <w:lang w:val="en-US" w:eastAsia="zh-CN"/>
        </w:rPr>
        <w:t>5.乙方拒绝按本合同约定回收含汞废旧荧光灯管的，甲方有权解除合同，没收乙方的履约保证金。</w:t>
      </w:r>
    </w:p>
    <w:p w14:paraId="2F9A048F">
      <w:pPr>
        <w:pStyle w:val="7"/>
        <w:numPr>
          <w:ilvl w:val="0"/>
          <w:numId w:val="0"/>
        </w:numPr>
        <w:ind w:firstLine="482" w:firstLineChars="200"/>
        <w:rPr>
          <w:rFonts w:hint="eastAsia"/>
          <w:b/>
          <w:bCs/>
          <w:color w:val="auto"/>
          <w:lang w:val="en-US" w:eastAsia="zh-CN"/>
        </w:rPr>
      </w:pPr>
      <w:r>
        <w:rPr>
          <w:rFonts w:hint="eastAsia"/>
          <w:b/>
          <w:bCs/>
          <w:color w:val="auto"/>
          <w:lang w:val="en-US" w:eastAsia="zh-CN"/>
        </w:rPr>
        <w:t>七、含汞废旧荧光灯管计量</w:t>
      </w:r>
    </w:p>
    <w:p w14:paraId="7C62C8DD">
      <w:pPr>
        <w:pStyle w:val="7"/>
        <w:numPr>
          <w:ilvl w:val="0"/>
          <w:numId w:val="0"/>
        </w:numPr>
        <w:ind w:firstLine="480" w:firstLineChars="200"/>
        <w:rPr>
          <w:rFonts w:hint="eastAsia"/>
          <w:color w:val="auto"/>
          <w:lang w:val="en-US" w:eastAsia="zh-CN"/>
        </w:rPr>
      </w:pPr>
      <w:r>
        <w:rPr>
          <w:rFonts w:hint="eastAsia"/>
          <w:color w:val="auto"/>
          <w:lang w:val="en-US" w:eastAsia="zh-CN"/>
        </w:rPr>
        <w:t>含汞废旧荧光灯管以甲方现场称重计量为准。若双方磅差超过千分之三，双方另行协商处理。每车过磅，每月汇总结算。</w:t>
      </w:r>
    </w:p>
    <w:p w14:paraId="374D066A">
      <w:pPr>
        <w:pStyle w:val="24"/>
        <w:spacing w:before="0" w:beforeAutospacing="0" w:after="0" w:afterAutospacing="0" w:line="360" w:lineRule="auto"/>
        <w:ind w:firstLine="480"/>
        <w:rPr>
          <w:b/>
        </w:rPr>
      </w:pPr>
      <w:r>
        <w:rPr>
          <w:rFonts w:hint="eastAsia"/>
          <w:b/>
          <w:bCs/>
          <w:color w:val="auto"/>
          <w:lang w:val="en-US" w:eastAsia="zh-CN"/>
        </w:rPr>
        <w:t>八、</w:t>
      </w:r>
      <w:r>
        <w:rPr>
          <w:rFonts w:hint="eastAsia"/>
          <w:b/>
        </w:rPr>
        <w:t>履约保证金</w:t>
      </w:r>
    </w:p>
    <w:p w14:paraId="5356ECBE">
      <w:pPr>
        <w:pStyle w:val="24"/>
        <w:spacing w:before="0" w:beforeAutospacing="0" w:after="0" w:afterAutospacing="0" w:line="360" w:lineRule="auto"/>
        <w:ind w:firstLine="480" w:firstLineChars="20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172FEA1">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49F08EF9">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14:paraId="0F18F2DF">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3.履约保证金支付方式： 电汇/转账 ；账户信息如下：</w:t>
      </w:r>
    </w:p>
    <w:p w14:paraId="5A9A6075">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 xml:space="preserve">名称：杭州临江环境能源有限公司   </w:t>
      </w:r>
    </w:p>
    <w:p w14:paraId="163E5392">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税号：91330100MA2B02NX2L</w:t>
      </w:r>
    </w:p>
    <w:p w14:paraId="516E3BA3">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地址电话：浙江省杭州市钱塘区临江街道红十五路10388-123号 0571-81997919</w:t>
      </w:r>
    </w:p>
    <w:p w14:paraId="75AC9CE4">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开户行及账号：杭州银行大江东支行 3301040160008775754</w:t>
      </w:r>
    </w:p>
    <w:p w14:paraId="73DF85B8">
      <w:pPr>
        <w:pStyle w:val="7"/>
        <w:numPr>
          <w:ilvl w:val="0"/>
          <w:numId w:val="0"/>
        </w:numPr>
        <w:ind w:firstLine="480" w:firstLineChars="200"/>
        <w:rPr>
          <w:rFonts w:hint="eastAsia"/>
          <w:color w:val="auto"/>
          <w:lang w:val="en-US" w:eastAsia="zh-CN"/>
        </w:rPr>
      </w:pPr>
      <w:r>
        <w:rPr>
          <w:rFonts w:hint="eastAsia"/>
          <w:color w:val="auto"/>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6C51F80">
      <w:pPr>
        <w:pStyle w:val="7"/>
        <w:numPr>
          <w:ilvl w:val="0"/>
          <w:numId w:val="0"/>
        </w:numPr>
        <w:ind w:firstLine="480" w:firstLineChars="200"/>
        <w:rPr>
          <w:rFonts w:hint="eastAsia"/>
          <w:color w:val="auto"/>
          <w:lang w:val="en-US" w:eastAsia="zh-CN"/>
        </w:rPr>
      </w:pPr>
      <w:r>
        <w:rPr>
          <w:rFonts w:hint="eastAsia"/>
          <w:color w:val="auto"/>
          <w:lang w:val="en-US" w:eastAsia="zh-CN"/>
        </w:rPr>
        <w:t>5.甲方在合同结束后及时退还履约保证金。甲方在收到乙方退还申请后30个工作日内将履约保证金无息退还乙方。</w:t>
      </w:r>
    </w:p>
    <w:p w14:paraId="75AE0D5C">
      <w:pPr>
        <w:pStyle w:val="7"/>
        <w:numPr>
          <w:ilvl w:val="0"/>
          <w:numId w:val="0"/>
        </w:numPr>
        <w:ind w:firstLine="480" w:firstLineChars="200"/>
        <w:rPr>
          <w:rFonts w:hint="eastAsia"/>
          <w:color w:val="auto"/>
          <w:lang w:val="en-US" w:eastAsia="zh-CN"/>
        </w:rPr>
      </w:pPr>
      <w:r>
        <w:rPr>
          <w:rFonts w:hint="eastAsia"/>
          <w:color w:val="auto"/>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3B178BCF">
      <w:pPr>
        <w:pStyle w:val="7"/>
        <w:numPr>
          <w:ilvl w:val="0"/>
          <w:numId w:val="0"/>
        </w:numPr>
        <w:ind w:firstLine="482" w:firstLineChars="200"/>
        <w:rPr>
          <w:rFonts w:hint="eastAsia"/>
          <w:b/>
          <w:bCs/>
          <w:color w:val="auto"/>
          <w:lang w:val="en-US" w:eastAsia="zh-CN"/>
        </w:rPr>
      </w:pPr>
      <w:r>
        <w:rPr>
          <w:rFonts w:hint="eastAsia"/>
          <w:b/>
          <w:bCs/>
          <w:color w:val="auto"/>
          <w:lang w:val="en-US" w:eastAsia="zh-CN"/>
        </w:rPr>
        <w:t>九、付款方式</w:t>
      </w:r>
    </w:p>
    <w:p w14:paraId="2EF8F145">
      <w:pPr>
        <w:pStyle w:val="24"/>
        <w:spacing w:before="0" w:beforeAutospacing="0" w:after="0" w:afterAutospacing="0" w:line="360" w:lineRule="auto"/>
        <w:ind w:firstLine="480"/>
        <w:rPr>
          <w:rFonts w:hint="eastAsia"/>
          <w:color w:val="auto"/>
          <w:lang w:val="en-US" w:eastAsia="zh-CN"/>
        </w:rPr>
      </w:pPr>
      <w:r>
        <w:rPr>
          <w:rFonts w:hint="eastAsia"/>
        </w:rPr>
        <w:t>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14:paraId="65E9F502">
      <w:pPr>
        <w:pStyle w:val="7"/>
        <w:numPr>
          <w:ilvl w:val="0"/>
          <w:numId w:val="0"/>
        </w:numPr>
        <w:ind w:firstLine="480" w:firstLineChars="200"/>
        <w:rPr>
          <w:rFonts w:hint="eastAsia"/>
          <w:color w:val="auto"/>
          <w:lang w:val="en-US" w:eastAsia="zh-CN"/>
        </w:rPr>
      </w:pPr>
      <w:r>
        <w:rPr>
          <w:rFonts w:hint="eastAsia"/>
          <w:color w:val="auto"/>
          <w:lang w:val="en-US" w:eastAsia="zh-CN"/>
        </w:rPr>
        <w:t>处置费按月支付，甲方每月对乙方上月服务质量进行考核，经考核合格的，甲方收到乙方提供的增值税专用发票后，甲方在本合同约定时间内完成支付 ；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p w14:paraId="3B722032">
      <w:pPr>
        <w:spacing w:line="360" w:lineRule="auto"/>
        <w:ind w:firstLine="482" w:firstLineChars="200"/>
        <w:rPr>
          <w:rFonts w:ascii="宋体" w:hAnsi="宋体"/>
          <w:sz w:val="24"/>
          <w:u w:val="single"/>
        </w:rPr>
      </w:pPr>
      <w:r>
        <w:rPr>
          <w:rFonts w:hint="eastAsia" w:ascii="宋体" w:hAnsi="宋体"/>
          <w:b/>
          <w:sz w:val="24"/>
        </w:rPr>
        <w:t>十、</w:t>
      </w:r>
      <w:bookmarkStart w:id="394" w:name="_Toc24662"/>
      <w:bookmarkStart w:id="395" w:name="_Toc5698"/>
      <w:bookmarkStart w:id="396" w:name="_Toc2375"/>
      <w:bookmarkStart w:id="397" w:name="_Toc3079"/>
      <w:bookmarkStart w:id="398" w:name="_Toc8586"/>
      <w:r>
        <w:rPr>
          <w:rFonts w:hint="eastAsia" w:ascii="宋体" w:hAnsi="宋体"/>
          <w:b/>
          <w:sz w:val="24"/>
        </w:rPr>
        <w:t>违约责任</w:t>
      </w:r>
      <w:bookmarkEnd w:id="394"/>
      <w:bookmarkEnd w:id="395"/>
      <w:bookmarkEnd w:id="396"/>
      <w:bookmarkEnd w:id="397"/>
      <w:bookmarkEnd w:id="398"/>
    </w:p>
    <w:p w14:paraId="7009DFFA">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14:paraId="60A5121D">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14:paraId="2BB7BAE8">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14F5F156">
      <w:pPr>
        <w:spacing w:line="360" w:lineRule="auto"/>
        <w:ind w:firstLine="480" w:firstLineChars="200"/>
        <w:rPr>
          <w:rFonts w:ascii="宋体" w:hAnsi="宋体" w:cs="宋体"/>
          <w:sz w:val="24"/>
        </w:rPr>
      </w:pPr>
      <w:bookmarkStart w:id="399" w:name="_Toc18683"/>
      <w:bookmarkStart w:id="400" w:name="_Toc32454"/>
      <w:bookmarkStart w:id="401" w:name="_Toc26807"/>
      <w:bookmarkStart w:id="402" w:name="_Toc9497"/>
      <w:bookmarkStart w:id="403" w:name="_Toc30329"/>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533B7A">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AD6A7DF">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4439588">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14:paraId="1126AC9B">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14:paraId="7645E9C3">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25A1F9A6">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bookmarkEnd w:id="399"/>
    <w:bookmarkEnd w:id="400"/>
    <w:bookmarkEnd w:id="401"/>
    <w:bookmarkEnd w:id="402"/>
    <w:bookmarkEnd w:id="403"/>
    <w:p w14:paraId="10AAC5FB">
      <w:pPr>
        <w:spacing w:line="360" w:lineRule="auto"/>
        <w:ind w:firstLine="482" w:firstLineChars="200"/>
        <w:outlineLvl w:val="0"/>
        <w:rPr>
          <w:rFonts w:hint="eastAsia" w:ascii="宋体" w:hAnsi="宋体" w:cs="宋体"/>
          <w:b/>
          <w:sz w:val="24"/>
        </w:rPr>
      </w:pPr>
      <w:bookmarkStart w:id="404" w:name="_Toc28375"/>
      <w:bookmarkStart w:id="405" w:name="_Toc15583"/>
      <w:bookmarkStart w:id="406" w:name="_Toc16021"/>
      <w:r>
        <w:rPr>
          <w:rFonts w:hint="eastAsia" w:ascii="宋体" w:hAnsi="宋体" w:cs="宋体"/>
          <w:b/>
          <w:sz w:val="24"/>
        </w:rPr>
        <w:t>十一、合同争议的解决</w:t>
      </w:r>
      <w:bookmarkEnd w:id="404"/>
      <w:bookmarkEnd w:id="405"/>
      <w:bookmarkEnd w:id="406"/>
      <w:bookmarkStart w:id="407" w:name="_Toc11173"/>
      <w:bookmarkStart w:id="408" w:name="_Toc7245"/>
      <w:bookmarkStart w:id="409" w:name="_Toc15322"/>
    </w:p>
    <w:p w14:paraId="202395C8">
      <w:pPr>
        <w:spacing w:line="360" w:lineRule="auto"/>
        <w:ind w:firstLine="480" w:firstLineChars="200"/>
        <w:outlineLvl w:val="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43FF0249">
      <w:pPr>
        <w:spacing w:line="360" w:lineRule="auto"/>
        <w:ind w:firstLine="482" w:firstLineChars="200"/>
        <w:outlineLvl w:val="0"/>
        <w:rPr>
          <w:rFonts w:ascii="宋体" w:hAnsi="宋体" w:cs="宋体"/>
          <w:b/>
          <w:sz w:val="24"/>
        </w:rPr>
      </w:pPr>
      <w:r>
        <w:rPr>
          <w:rFonts w:hint="eastAsia" w:ascii="宋体" w:hAnsi="宋体" w:cs="宋体"/>
          <w:b/>
          <w:sz w:val="24"/>
        </w:rPr>
        <w:t>十二、合同生效</w:t>
      </w:r>
      <w:bookmarkEnd w:id="407"/>
      <w:bookmarkEnd w:id="408"/>
      <w:bookmarkEnd w:id="409"/>
    </w:p>
    <w:p w14:paraId="0AB3DA2E">
      <w:pPr>
        <w:pStyle w:val="23"/>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，第二章合同一般条款第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6813FB94">
      <w:pPr>
        <w:pStyle w:val="23"/>
        <w:ind w:left="0" w:leftChars="0" w:firstLine="0" w:firstLineChars="0"/>
        <w:rPr>
          <w:rFonts w:ascii="宋体" w:hAnsi="宋体" w:cs="宋体"/>
          <w:b/>
          <w:color w:val="auto"/>
          <w:szCs w:val="24"/>
        </w:rPr>
      </w:pPr>
    </w:p>
    <w:p w14:paraId="0F1D0C23">
      <w:pPr>
        <w:pStyle w:val="23"/>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23DE0206">
      <w:pPr>
        <w:spacing w:line="360" w:lineRule="auto"/>
        <w:ind w:firstLine="482" w:firstLineChars="200"/>
        <w:outlineLvl w:val="0"/>
        <w:rPr>
          <w:rFonts w:ascii="宋体" w:hAnsi="宋体" w:cs="宋体"/>
          <w:b/>
          <w:color w:val="auto"/>
          <w:sz w:val="24"/>
        </w:rPr>
      </w:pPr>
      <w:bookmarkStart w:id="410" w:name="_Ref467379225"/>
      <w:bookmarkStart w:id="411" w:name="_Toc259093669"/>
      <w:bookmarkStart w:id="412" w:name="_Ref467379205"/>
      <w:bookmarkStart w:id="413" w:name="_Ref467379214"/>
      <w:bookmarkStart w:id="414" w:name="_Ref467379101"/>
      <w:bookmarkStart w:id="415" w:name="_Ref467378404"/>
      <w:bookmarkStart w:id="416" w:name="_Toc487900349"/>
      <w:bookmarkStart w:id="417" w:name="_Toc28763"/>
      <w:bookmarkStart w:id="418" w:name="_Ref467379109"/>
      <w:bookmarkStart w:id="419" w:name="_Ref467378463"/>
      <w:bookmarkStart w:id="420" w:name="_Toc19614"/>
      <w:bookmarkStart w:id="421" w:name="_Ref467379195"/>
      <w:bookmarkStart w:id="422" w:name="_Toc279701240"/>
      <w:bookmarkStart w:id="423" w:name="_Toc16917"/>
      <w:bookmarkStart w:id="424" w:name="_Ref467378499"/>
      <w:bookmarkStart w:id="425" w:name="_Ref467379094"/>
      <w:r>
        <w:rPr>
          <w:rFonts w:hint="eastAsia" w:ascii="宋体" w:hAnsi="宋体" w:cs="宋体"/>
          <w:b/>
          <w:color w:val="auto"/>
          <w:sz w:val="24"/>
        </w:rPr>
        <w:t>一、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6E258598">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0BCDE2FB">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3AD7BAC0">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14:paraId="1A3F6A5F">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14:paraId="3AE90393">
      <w:pPr>
        <w:spacing w:line="360" w:lineRule="auto"/>
        <w:ind w:firstLine="480" w:firstLineChars="200"/>
        <w:rPr>
          <w:rFonts w:ascii="宋体" w:hAnsi="宋体" w:cs="宋体"/>
          <w:color w:val="auto"/>
          <w:sz w:val="24"/>
        </w:rPr>
      </w:pPr>
      <w:bookmarkStart w:id="426" w:name="_Ref467378840"/>
      <w:r>
        <w:rPr>
          <w:rFonts w:hint="eastAsia" w:ascii="宋体" w:hAnsi="宋体" w:cs="宋体"/>
          <w:color w:val="auto"/>
          <w:sz w:val="24"/>
        </w:rPr>
        <w:t>4. “甲方”系指与中标或成交供应商签署合同的采购人</w:t>
      </w:r>
      <w:bookmarkEnd w:id="426"/>
      <w:r>
        <w:rPr>
          <w:rFonts w:hint="eastAsia" w:ascii="宋体" w:hAnsi="宋体" w:cs="宋体"/>
          <w:color w:val="auto"/>
          <w:sz w:val="24"/>
        </w:rPr>
        <w:t>；采购人委托采购代理机构代表其与乙方签订合同的，采购人的授权委托书作为合同附件。</w:t>
      </w:r>
    </w:p>
    <w:p w14:paraId="1ACEA8B9">
      <w:pPr>
        <w:spacing w:line="360" w:lineRule="auto"/>
        <w:ind w:firstLine="480" w:firstLineChars="200"/>
        <w:rPr>
          <w:rFonts w:ascii="宋体" w:hAnsi="宋体" w:cs="宋体"/>
          <w:color w:val="auto"/>
          <w:sz w:val="24"/>
        </w:rPr>
      </w:pPr>
      <w:bookmarkStart w:id="427" w:name="_Ref467379400"/>
      <w:r>
        <w:rPr>
          <w:rFonts w:hint="eastAsia" w:ascii="宋体" w:hAnsi="宋体" w:cs="宋体"/>
          <w:color w:val="auto"/>
          <w:sz w:val="24"/>
        </w:rPr>
        <w:t>5.“乙方”系指根据合同约定交付货物的中标或成交供应商</w:t>
      </w:r>
      <w:bookmarkEnd w:id="427"/>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316CD7">
      <w:pPr>
        <w:spacing w:line="360" w:lineRule="auto"/>
        <w:ind w:firstLine="480" w:firstLineChars="200"/>
        <w:rPr>
          <w:rFonts w:ascii="宋体" w:hAnsi="宋体" w:cs="宋体"/>
          <w:color w:val="auto"/>
          <w:sz w:val="24"/>
        </w:rPr>
      </w:pPr>
      <w:bookmarkStart w:id="428" w:name="_Ref467379436"/>
      <w:r>
        <w:rPr>
          <w:rFonts w:hint="eastAsia" w:ascii="宋体" w:hAnsi="宋体" w:cs="宋体"/>
          <w:color w:val="auto"/>
          <w:sz w:val="24"/>
        </w:rPr>
        <w:t>6.“现场”系指合同约定货物将要运至或者安装的地点。</w:t>
      </w:r>
      <w:bookmarkEnd w:id="428"/>
    </w:p>
    <w:p w14:paraId="53FD2041">
      <w:pPr>
        <w:spacing w:line="360" w:lineRule="auto"/>
        <w:ind w:firstLine="480" w:firstLineChars="200"/>
        <w:rPr>
          <w:rFonts w:hint="eastAsia" w:ascii="宋体" w:hAnsi="宋体" w:cs="宋体"/>
          <w:b/>
          <w:color w:val="auto"/>
          <w:sz w:val="24"/>
        </w:rPr>
      </w:pPr>
      <w:bookmarkStart w:id="429" w:name="_Toc279701241"/>
      <w:bookmarkStart w:id="430" w:name="_Toc13336"/>
      <w:bookmarkStart w:id="431" w:name="_Toc32504"/>
      <w:bookmarkStart w:id="432" w:name="_Toc27635"/>
      <w:bookmarkStart w:id="433" w:name="_Toc487900350"/>
      <w:bookmarkStart w:id="434" w:name="_Toc259093670"/>
      <w:r>
        <w:rPr>
          <w:rFonts w:hint="eastAsia" w:ascii="宋体" w:hAnsi="宋体" w:cs="宋体"/>
          <w:sz w:val="24"/>
          <w:lang w:val="en-US" w:eastAsia="zh-CN"/>
        </w:rPr>
        <w:t>7. 除特别约定为工作日之外，本合同所有提及的“天”“日”均为日历天。</w:t>
      </w:r>
    </w:p>
    <w:p w14:paraId="0236F254">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二、技术规范</w:t>
      </w:r>
      <w:bookmarkEnd w:id="429"/>
      <w:bookmarkEnd w:id="430"/>
      <w:bookmarkEnd w:id="431"/>
      <w:bookmarkEnd w:id="432"/>
      <w:bookmarkEnd w:id="433"/>
      <w:bookmarkEnd w:id="434"/>
    </w:p>
    <w:p w14:paraId="77A43F9A">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591DD31">
      <w:pPr>
        <w:spacing w:line="360" w:lineRule="auto"/>
        <w:ind w:firstLine="482" w:firstLineChars="200"/>
        <w:outlineLvl w:val="0"/>
        <w:rPr>
          <w:rFonts w:ascii="宋体" w:hAnsi="宋体" w:cs="宋体"/>
          <w:b/>
          <w:color w:val="auto"/>
          <w:sz w:val="24"/>
        </w:rPr>
      </w:pPr>
      <w:bookmarkStart w:id="435" w:name="_Toc26182"/>
      <w:bookmarkStart w:id="436" w:name="_Toc19074"/>
      <w:bookmarkStart w:id="437" w:name="_Toc30272"/>
      <w:r>
        <w:rPr>
          <w:rFonts w:hint="eastAsia" w:ascii="宋体" w:hAnsi="宋体" w:cs="宋体"/>
          <w:b/>
          <w:color w:val="auto"/>
          <w:sz w:val="24"/>
          <w:lang w:val="en-US" w:eastAsia="zh-CN"/>
        </w:rPr>
        <w:t>三</w:t>
      </w:r>
      <w:r>
        <w:rPr>
          <w:rFonts w:hint="eastAsia" w:ascii="宋体" w:hAnsi="宋体" w:cs="宋体"/>
          <w:b/>
          <w:color w:val="auto"/>
          <w:sz w:val="24"/>
        </w:rPr>
        <w:t>、 履约检查和问题反馈</w:t>
      </w:r>
      <w:bookmarkEnd w:id="435"/>
      <w:bookmarkEnd w:id="436"/>
      <w:bookmarkEnd w:id="437"/>
    </w:p>
    <w:p w14:paraId="693CE576">
      <w:pPr>
        <w:spacing w:line="360" w:lineRule="auto"/>
        <w:ind w:firstLine="480" w:firstLineChars="200"/>
        <w:rPr>
          <w:rFonts w:ascii="宋体" w:hAnsi="宋体" w:cs="宋体"/>
          <w:color w:val="auto"/>
          <w:sz w:val="24"/>
        </w:rPr>
      </w:pPr>
      <w:bookmarkStart w:id="438" w:name="_Toc186431854"/>
      <w:bookmarkStart w:id="439" w:name="_Toc487900357"/>
      <w:bookmarkStart w:id="440" w:name="_Ref467379807"/>
      <w:bookmarkStart w:id="441" w:name="_Toc279701247"/>
      <w:bookmarkStart w:id="442" w:name="_Ref467379793"/>
      <w:bookmarkStart w:id="443" w:name="_Toc259093676"/>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FB3E09C">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38"/>
      <w:bookmarkStart w:id="444" w:name="_Toc186431855"/>
      <w:r>
        <w:rPr>
          <w:rFonts w:hint="eastAsia" w:ascii="宋体" w:hAnsi="宋体" w:cs="宋体"/>
          <w:color w:val="auto"/>
          <w:sz w:val="24"/>
        </w:rPr>
        <w:t>。</w:t>
      </w:r>
    </w:p>
    <w:bookmarkEnd w:id="439"/>
    <w:bookmarkEnd w:id="440"/>
    <w:bookmarkEnd w:id="441"/>
    <w:bookmarkEnd w:id="442"/>
    <w:bookmarkEnd w:id="443"/>
    <w:bookmarkEnd w:id="444"/>
    <w:p w14:paraId="7406E467">
      <w:pPr>
        <w:spacing w:line="360" w:lineRule="auto"/>
        <w:ind w:firstLine="482" w:firstLineChars="200"/>
        <w:outlineLvl w:val="0"/>
        <w:rPr>
          <w:rFonts w:ascii="宋体" w:hAnsi="宋体" w:cs="宋体"/>
          <w:b/>
          <w:color w:val="auto"/>
          <w:sz w:val="24"/>
        </w:rPr>
      </w:pPr>
      <w:bookmarkStart w:id="445" w:name="_Toc279701248"/>
      <w:bookmarkStart w:id="446" w:name="_Toc259093677"/>
      <w:bookmarkStart w:id="447" w:name="_Toc487900358"/>
      <w:bookmarkStart w:id="448" w:name="_Ref467379852"/>
      <w:bookmarkStart w:id="449" w:name="_Ref467379863"/>
      <w:bookmarkStart w:id="450" w:name="_Ref467379923"/>
      <w:bookmarkStart w:id="451" w:name="_Toc774"/>
      <w:bookmarkStart w:id="452" w:name="_Toc16110"/>
      <w:bookmarkStart w:id="453" w:name="_Toc3225"/>
      <w:r>
        <w:rPr>
          <w:rFonts w:hint="eastAsia" w:ascii="宋体" w:hAnsi="宋体" w:cs="宋体"/>
          <w:b/>
          <w:color w:val="auto"/>
          <w:sz w:val="24"/>
          <w:lang w:val="en-US" w:eastAsia="zh-CN"/>
        </w:rPr>
        <w:t>四</w:t>
      </w:r>
      <w:r>
        <w:rPr>
          <w:rFonts w:hint="eastAsia" w:ascii="宋体" w:hAnsi="宋体" w:cs="宋体"/>
          <w:b/>
          <w:color w:val="auto"/>
          <w:sz w:val="24"/>
        </w:rPr>
        <w:t>、技术资料</w:t>
      </w:r>
      <w:bookmarkEnd w:id="445"/>
      <w:bookmarkEnd w:id="446"/>
      <w:bookmarkEnd w:id="447"/>
      <w:bookmarkEnd w:id="448"/>
      <w:bookmarkEnd w:id="449"/>
      <w:bookmarkEnd w:id="450"/>
      <w:r>
        <w:rPr>
          <w:rFonts w:hint="eastAsia" w:ascii="宋体" w:hAnsi="宋体" w:cs="宋体"/>
          <w:b/>
          <w:color w:val="auto"/>
          <w:sz w:val="24"/>
        </w:rPr>
        <w:t>和保密义务</w:t>
      </w:r>
      <w:bookmarkEnd w:id="451"/>
      <w:bookmarkEnd w:id="452"/>
      <w:bookmarkEnd w:id="453"/>
    </w:p>
    <w:p w14:paraId="401202E8">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2ACF32F4">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001F5C9F">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6E63630">
      <w:pPr>
        <w:spacing w:line="360" w:lineRule="auto"/>
        <w:ind w:firstLine="482" w:firstLineChars="200"/>
        <w:outlineLvl w:val="0"/>
        <w:rPr>
          <w:rFonts w:ascii="宋体" w:hAnsi="宋体" w:cs="宋体"/>
          <w:b/>
          <w:color w:val="auto"/>
          <w:sz w:val="24"/>
        </w:rPr>
      </w:pPr>
      <w:bookmarkStart w:id="454" w:name="_Toc7502"/>
      <w:bookmarkStart w:id="455" w:name="_Toc279701254"/>
      <w:bookmarkStart w:id="456" w:name="_Toc259093683"/>
      <w:bookmarkStart w:id="457" w:name="_Ref467378121"/>
      <w:bookmarkStart w:id="458" w:name="_Toc487900364"/>
      <w:r>
        <w:rPr>
          <w:rFonts w:hint="eastAsia" w:ascii="宋体" w:hAnsi="宋体" w:cs="宋体"/>
          <w:b/>
          <w:color w:val="auto"/>
          <w:sz w:val="24"/>
          <w:lang w:val="en-US" w:eastAsia="zh-CN"/>
        </w:rPr>
        <w:t>五</w:t>
      </w:r>
      <w:r>
        <w:rPr>
          <w:rFonts w:hint="eastAsia" w:ascii="宋体" w:hAnsi="宋体" w:cs="宋体"/>
          <w:b/>
          <w:color w:val="auto"/>
          <w:sz w:val="24"/>
        </w:rPr>
        <w:t>、合同变更</w:t>
      </w:r>
      <w:bookmarkEnd w:id="454"/>
      <w:r>
        <w:rPr>
          <w:rFonts w:hint="eastAsia" w:ascii="宋体" w:hAnsi="宋体" w:cs="宋体"/>
          <w:b/>
          <w:color w:val="auto"/>
          <w:sz w:val="24"/>
        </w:rPr>
        <w:t>或补充</w:t>
      </w:r>
    </w:p>
    <w:p w14:paraId="51EB47C0">
      <w:pPr>
        <w:spacing w:line="360" w:lineRule="auto"/>
        <w:ind w:firstLine="480" w:firstLineChars="200"/>
        <w:rPr>
          <w:rFonts w:ascii="宋体" w:hAnsi="宋体"/>
          <w:color w:val="auto"/>
          <w:sz w:val="24"/>
        </w:rPr>
      </w:pPr>
      <w:bookmarkStart w:id="459" w:name="_Toc279701259"/>
      <w:bookmarkStart w:id="460" w:name="_Toc487900369"/>
      <w:bookmarkStart w:id="461" w:name="_Toc259093688"/>
      <w:bookmarkStart w:id="462" w:name="_Toc15237"/>
      <w:bookmarkStart w:id="463" w:name="_Toc10366"/>
      <w:bookmarkStart w:id="464" w:name="_Toc22955"/>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3DE8B83F">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34F7C70D">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5DD15B4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六</w:t>
      </w:r>
      <w:r>
        <w:rPr>
          <w:rFonts w:hint="eastAsia" w:ascii="宋体" w:hAnsi="宋体" w:cs="宋体"/>
          <w:b/>
          <w:color w:val="auto"/>
          <w:sz w:val="24"/>
        </w:rPr>
        <w:t>、 合同转让</w:t>
      </w:r>
      <w:bookmarkEnd w:id="459"/>
      <w:bookmarkEnd w:id="460"/>
      <w:bookmarkEnd w:id="461"/>
      <w:r>
        <w:rPr>
          <w:rFonts w:hint="eastAsia" w:ascii="宋体" w:hAnsi="宋体" w:cs="宋体"/>
          <w:b/>
          <w:color w:val="auto"/>
          <w:sz w:val="24"/>
        </w:rPr>
        <w:t>和分包</w:t>
      </w:r>
      <w:bookmarkEnd w:id="462"/>
      <w:bookmarkEnd w:id="463"/>
      <w:bookmarkEnd w:id="464"/>
    </w:p>
    <w:p w14:paraId="727B59E1">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11BD906">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14:paraId="28015A3D">
      <w:pPr>
        <w:spacing w:line="360" w:lineRule="auto"/>
        <w:ind w:firstLine="482" w:firstLineChars="200"/>
        <w:outlineLvl w:val="0"/>
        <w:rPr>
          <w:rFonts w:ascii="宋体" w:hAnsi="宋体" w:cs="宋体"/>
          <w:b/>
          <w:color w:val="auto"/>
          <w:sz w:val="24"/>
        </w:rPr>
      </w:pPr>
      <w:bookmarkStart w:id="465" w:name="_Toc16508"/>
      <w:bookmarkStart w:id="466" w:name="_Toc13566"/>
      <w:bookmarkStart w:id="467" w:name="_Toc14066"/>
      <w:r>
        <w:rPr>
          <w:rFonts w:hint="eastAsia" w:ascii="宋体" w:hAnsi="宋体" w:cs="宋体"/>
          <w:b/>
          <w:color w:val="auto"/>
          <w:sz w:val="24"/>
          <w:lang w:val="en-US" w:eastAsia="zh-CN"/>
        </w:rPr>
        <w:t>七</w:t>
      </w:r>
      <w:r>
        <w:rPr>
          <w:rFonts w:hint="eastAsia" w:ascii="宋体" w:hAnsi="宋体" w:cs="宋体"/>
          <w:b/>
          <w:color w:val="auto"/>
          <w:sz w:val="24"/>
        </w:rPr>
        <w:t>、不可抗力</w:t>
      </w:r>
      <w:bookmarkEnd w:id="465"/>
      <w:bookmarkEnd w:id="466"/>
      <w:bookmarkEnd w:id="467"/>
    </w:p>
    <w:p w14:paraId="3159EBD4">
      <w:pPr>
        <w:spacing w:line="360" w:lineRule="auto"/>
        <w:ind w:firstLine="480" w:firstLineChars="200"/>
        <w:rPr>
          <w:rFonts w:ascii="宋体" w:hAnsi="宋体"/>
          <w:color w:val="auto"/>
          <w:sz w:val="24"/>
        </w:rPr>
      </w:pPr>
      <w:bookmarkStart w:id="468" w:name="_Toc279701255"/>
      <w:bookmarkStart w:id="469" w:name="_Toc487900365"/>
      <w:bookmarkStart w:id="470" w:name="_Toc689"/>
      <w:bookmarkStart w:id="471" w:name="_Toc30676"/>
      <w:bookmarkStart w:id="472" w:name="_Toc6969"/>
      <w:bookmarkStart w:id="473" w:name="_Toc259093684"/>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1285760E">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14:paraId="280B484F">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59F070A2">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4C96A669">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八</w:t>
      </w:r>
      <w:r>
        <w:rPr>
          <w:rFonts w:hint="eastAsia" w:ascii="宋体" w:hAnsi="宋体" w:cs="宋体"/>
          <w:b/>
          <w:color w:val="auto"/>
          <w:sz w:val="24"/>
        </w:rPr>
        <w:t>、 税费</w:t>
      </w:r>
      <w:bookmarkEnd w:id="468"/>
      <w:bookmarkEnd w:id="469"/>
      <w:bookmarkEnd w:id="470"/>
      <w:bookmarkEnd w:id="471"/>
      <w:bookmarkEnd w:id="472"/>
      <w:bookmarkEnd w:id="473"/>
    </w:p>
    <w:p w14:paraId="594BFE71">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493A96B7">
      <w:pPr>
        <w:spacing w:line="360" w:lineRule="auto"/>
        <w:ind w:firstLine="482" w:firstLineChars="200"/>
        <w:outlineLvl w:val="0"/>
        <w:rPr>
          <w:rFonts w:ascii="宋体" w:hAnsi="宋体" w:cs="宋体"/>
          <w:b/>
          <w:color w:val="auto"/>
          <w:sz w:val="24"/>
        </w:rPr>
      </w:pPr>
      <w:bookmarkStart w:id="474" w:name="_Toc7102"/>
      <w:bookmarkStart w:id="475" w:name="_Toc279701258"/>
      <w:bookmarkStart w:id="476" w:name="_Toc16959"/>
      <w:bookmarkStart w:id="477" w:name="_Toc487900368"/>
      <w:bookmarkStart w:id="478" w:name="_Toc259093687"/>
      <w:bookmarkStart w:id="479" w:name="_Toc8298"/>
      <w:r>
        <w:rPr>
          <w:rFonts w:hint="eastAsia" w:ascii="宋体" w:hAnsi="宋体" w:cs="宋体"/>
          <w:b/>
          <w:color w:val="auto"/>
          <w:sz w:val="24"/>
          <w:lang w:val="en-US" w:eastAsia="zh-CN"/>
        </w:rPr>
        <w:t>九</w:t>
      </w:r>
      <w:r>
        <w:rPr>
          <w:rFonts w:hint="eastAsia" w:ascii="宋体" w:hAnsi="宋体" w:cs="宋体"/>
          <w:b/>
          <w:color w:val="auto"/>
          <w:sz w:val="24"/>
        </w:rPr>
        <w:t>、乙方破产</w:t>
      </w:r>
      <w:bookmarkEnd w:id="474"/>
      <w:bookmarkEnd w:id="475"/>
      <w:bookmarkEnd w:id="476"/>
      <w:bookmarkEnd w:id="477"/>
      <w:bookmarkEnd w:id="478"/>
      <w:bookmarkEnd w:id="479"/>
    </w:p>
    <w:p w14:paraId="13AB59C9">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97F70B">
      <w:pPr>
        <w:spacing w:line="360" w:lineRule="auto"/>
        <w:ind w:firstLine="482" w:firstLineChars="200"/>
        <w:outlineLvl w:val="0"/>
        <w:rPr>
          <w:rFonts w:ascii="宋体" w:hAnsi="宋体" w:cs="宋体"/>
          <w:b/>
          <w:color w:val="auto"/>
          <w:sz w:val="24"/>
        </w:rPr>
      </w:pPr>
      <w:bookmarkStart w:id="480" w:name="_Toc6134"/>
      <w:bookmarkStart w:id="481" w:name="_Toc29333"/>
      <w:bookmarkStart w:id="482" w:name="_Toc15387"/>
      <w:r>
        <w:rPr>
          <w:rFonts w:hint="eastAsia" w:ascii="宋体" w:hAnsi="宋体" w:cs="宋体"/>
          <w:b/>
          <w:color w:val="auto"/>
          <w:sz w:val="24"/>
        </w:rPr>
        <w:t>十、合同中止、终止</w:t>
      </w:r>
      <w:bookmarkEnd w:id="480"/>
      <w:bookmarkEnd w:id="481"/>
      <w:bookmarkEnd w:id="482"/>
    </w:p>
    <w:p w14:paraId="32D22B5C">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24733D2E">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2DD06A09">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14:paraId="1B137D07">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14:paraId="2CEFDB42">
      <w:pPr>
        <w:spacing w:line="360" w:lineRule="auto"/>
        <w:ind w:firstLine="480" w:firstLineChars="200"/>
        <w:rPr>
          <w:color w:val="auto"/>
        </w:rPr>
      </w:pPr>
      <w:r>
        <w:rPr>
          <w:rFonts w:hint="eastAsia" w:ascii="宋体" w:hAnsi="宋体" w:cs="宋体"/>
          <w:color w:val="auto"/>
          <w:sz w:val="24"/>
        </w:rPr>
        <w:t>5.出现违约行为的，甲方有权中止或解除合同。</w:t>
      </w:r>
    </w:p>
    <w:bookmarkEnd w:id="455"/>
    <w:bookmarkEnd w:id="456"/>
    <w:bookmarkEnd w:id="457"/>
    <w:bookmarkEnd w:id="458"/>
    <w:p w14:paraId="4F465C71">
      <w:pPr>
        <w:spacing w:line="360" w:lineRule="auto"/>
        <w:ind w:firstLine="482" w:firstLineChars="200"/>
        <w:outlineLvl w:val="0"/>
        <w:rPr>
          <w:rFonts w:ascii="宋体" w:hAnsi="宋体" w:cs="宋体"/>
          <w:b/>
          <w:color w:val="auto"/>
          <w:sz w:val="24"/>
        </w:rPr>
      </w:pPr>
      <w:bookmarkStart w:id="483" w:name="_Toc279701261"/>
      <w:bookmarkStart w:id="484" w:name="_Toc487900371"/>
      <w:bookmarkStart w:id="485" w:name="_Toc259093690"/>
      <w:bookmarkStart w:id="486" w:name="_Toc11284"/>
      <w:bookmarkStart w:id="487" w:name="_Toc25182"/>
      <w:bookmarkStart w:id="488" w:name="_Toc19604"/>
      <w:r>
        <w:rPr>
          <w:rFonts w:hint="eastAsia" w:ascii="宋体" w:hAnsi="宋体" w:cs="宋体"/>
          <w:b/>
          <w:color w:val="auto"/>
          <w:sz w:val="24"/>
        </w:rPr>
        <w:t>十</w:t>
      </w:r>
      <w:r>
        <w:rPr>
          <w:rFonts w:hint="eastAsia" w:ascii="宋体" w:hAnsi="宋体" w:cs="宋体"/>
          <w:b/>
          <w:color w:val="auto"/>
          <w:sz w:val="24"/>
          <w:lang w:val="en-US" w:eastAsia="zh-CN"/>
        </w:rPr>
        <w:t>一</w:t>
      </w:r>
      <w:r>
        <w:rPr>
          <w:rFonts w:hint="eastAsia" w:ascii="宋体" w:hAnsi="宋体" w:cs="宋体"/>
          <w:b/>
          <w:color w:val="auto"/>
          <w:sz w:val="24"/>
        </w:rPr>
        <w:t>、 通知</w:t>
      </w:r>
      <w:bookmarkEnd w:id="483"/>
      <w:bookmarkEnd w:id="484"/>
      <w:bookmarkEnd w:id="485"/>
      <w:r>
        <w:rPr>
          <w:rFonts w:hint="eastAsia" w:ascii="宋体" w:hAnsi="宋体" w:cs="宋体"/>
          <w:b/>
          <w:color w:val="auto"/>
          <w:sz w:val="24"/>
        </w:rPr>
        <w:t>和送达</w:t>
      </w:r>
      <w:bookmarkEnd w:id="486"/>
      <w:bookmarkEnd w:id="487"/>
      <w:bookmarkEnd w:id="488"/>
    </w:p>
    <w:p w14:paraId="71A37E34">
      <w:pPr>
        <w:spacing w:line="360" w:lineRule="auto"/>
        <w:ind w:firstLine="480" w:firstLineChars="200"/>
        <w:rPr>
          <w:rFonts w:ascii="宋体" w:hAnsi="宋体"/>
          <w:color w:val="auto"/>
          <w:sz w:val="24"/>
        </w:rPr>
      </w:pPr>
      <w:bookmarkStart w:id="489" w:name="_Toc18401"/>
      <w:bookmarkStart w:id="490" w:name="_Toc27674"/>
      <w:bookmarkStart w:id="491" w:name="_Toc30599"/>
      <w:bookmarkStart w:id="492" w:name="_Toc259093691"/>
      <w:bookmarkStart w:id="493" w:name="_Toc18540"/>
      <w:bookmarkStart w:id="494" w:name="_Toc4355"/>
      <w:bookmarkStart w:id="495" w:name="_Toc487900372"/>
      <w:bookmarkStart w:id="496" w:name="_Toc279701262"/>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6784C3AF">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9"/>
      <w:bookmarkEnd w:id="490"/>
    </w:p>
    <w:p w14:paraId="1B6DFAC0">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w:t>
      </w:r>
      <w:r>
        <w:rPr>
          <w:rFonts w:hint="eastAsia" w:ascii="宋体" w:hAnsi="宋体" w:cs="宋体"/>
          <w:b/>
          <w:color w:val="auto"/>
          <w:sz w:val="24"/>
          <w:lang w:val="en-US" w:eastAsia="zh-CN"/>
        </w:rPr>
        <w:t>二</w:t>
      </w:r>
      <w:r>
        <w:rPr>
          <w:rFonts w:hint="eastAsia" w:ascii="宋体" w:hAnsi="宋体" w:cs="宋体"/>
          <w:b/>
          <w:color w:val="auto"/>
          <w:sz w:val="24"/>
        </w:rPr>
        <w:t>、 计量单位</w:t>
      </w:r>
      <w:bookmarkEnd w:id="491"/>
      <w:bookmarkEnd w:id="492"/>
      <w:bookmarkEnd w:id="493"/>
      <w:bookmarkEnd w:id="494"/>
      <w:bookmarkEnd w:id="495"/>
      <w:bookmarkEnd w:id="496"/>
    </w:p>
    <w:p w14:paraId="7A8807A9">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2B69D5B8">
      <w:pPr>
        <w:spacing w:line="360" w:lineRule="auto"/>
        <w:ind w:firstLine="482" w:firstLineChars="200"/>
        <w:outlineLvl w:val="0"/>
        <w:rPr>
          <w:rFonts w:ascii="宋体" w:hAnsi="宋体" w:cs="宋体"/>
          <w:b/>
          <w:color w:val="auto"/>
          <w:sz w:val="24"/>
        </w:rPr>
      </w:pPr>
      <w:bookmarkStart w:id="497" w:name="_Toc259093692"/>
      <w:bookmarkStart w:id="498" w:name="_Toc10330"/>
      <w:bookmarkStart w:id="499" w:name="_Toc487900373"/>
      <w:bookmarkStart w:id="500" w:name="_Toc279701263"/>
      <w:bookmarkStart w:id="501" w:name="_Toc18567"/>
      <w:bookmarkStart w:id="502" w:name="_Toc12773"/>
      <w:r>
        <w:rPr>
          <w:rFonts w:hint="eastAsia" w:ascii="宋体" w:hAnsi="宋体" w:cs="宋体"/>
          <w:b/>
          <w:color w:val="auto"/>
          <w:sz w:val="24"/>
        </w:rPr>
        <w:t>十</w:t>
      </w:r>
      <w:r>
        <w:rPr>
          <w:rFonts w:hint="eastAsia" w:ascii="宋体" w:hAnsi="宋体" w:cs="宋体"/>
          <w:b/>
          <w:color w:val="auto"/>
          <w:sz w:val="24"/>
          <w:lang w:val="en-US" w:eastAsia="zh-CN"/>
        </w:rPr>
        <w:t>三</w:t>
      </w:r>
      <w:r>
        <w:rPr>
          <w:rFonts w:hint="eastAsia" w:ascii="宋体" w:hAnsi="宋体" w:cs="宋体"/>
          <w:b/>
          <w:color w:val="auto"/>
          <w:sz w:val="24"/>
        </w:rPr>
        <w:t>、合同使用的文字和适用的法律</w:t>
      </w:r>
      <w:bookmarkEnd w:id="497"/>
      <w:bookmarkEnd w:id="498"/>
      <w:bookmarkEnd w:id="499"/>
      <w:bookmarkEnd w:id="500"/>
      <w:bookmarkEnd w:id="501"/>
      <w:bookmarkEnd w:id="502"/>
    </w:p>
    <w:p w14:paraId="6F945D4E">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14:paraId="147982E6">
      <w:pPr>
        <w:spacing w:line="360" w:lineRule="auto"/>
        <w:ind w:firstLine="480" w:firstLineChars="200"/>
        <w:rPr>
          <w:rFonts w:ascii="宋体" w:hAnsi="宋体"/>
          <w:b/>
          <w:color w:val="auto"/>
        </w:rPr>
      </w:pPr>
      <w:r>
        <w:rPr>
          <w:rFonts w:hint="eastAsia" w:ascii="宋体" w:hAnsi="宋体" w:cs="宋体"/>
          <w:color w:val="auto"/>
          <w:sz w:val="24"/>
        </w:rPr>
        <w:t>2.合同适用中华人民共和国法律。</w:t>
      </w:r>
    </w:p>
    <w:p w14:paraId="52D5710D">
      <w:pPr>
        <w:spacing w:line="360" w:lineRule="auto"/>
        <w:ind w:firstLine="482" w:firstLineChars="200"/>
        <w:outlineLvl w:val="0"/>
        <w:rPr>
          <w:rFonts w:ascii="宋体" w:hAnsi="宋体"/>
          <w:b/>
          <w:color w:val="auto"/>
          <w:sz w:val="24"/>
        </w:rPr>
      </w:pPr>
      <w:r>
        <w:rPr>
          <w:rFonts w:hint="eastAsia" w:ascii="宋体" w:hAnsi="宋体"/>
          <w:b/>
          <w:color w:val="auto"/>
          <w:sz w:val="24"/>
        </w:rPr>
        <w:t>十</w:t>
      </w:r>
      <w:r>
        <w:rPr>
          <w:rFonts w:hint="eastAsia" w:ascii="宋体" w:hAnsi="宋体"/>
          <w:b/>
          <w:color w:val="auto"/>
          <w:sz w:val="24"/>
          <w:lang w:val="en-US" w:eastAsia="zh-CN"/>
        </w:rPr>
        <w:t>四</w:t>
      </w:r>
      <w:r>
        <w:rPr>
          <w:rFonts w:hint="eastAsia" w:ascii="宋体" w:hAnsi="宋体"/>
          <w:b/>
          <w:color w:val="auto"/>
          <w:sz w:val="24"/>
        </w:rPr>
        <w:t>、特别提示</w:t>
      </w:r>
    </w:p>
    <w:p w14:paraId="64EC76EA">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85676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72EF5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92D838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19FD7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94A970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38EE1F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159A5E7">
            <w:pPr>
              <w:spacing w:line="360" w:lineRule="auto"/>
              <w:rPr>
                <w:rFonts w:hint="eastAsia" w:ascii="宋体" w:hAnsi="宋体" w:eastAsia="宋体" w:cs="Times New Roman"/>
                <w:sz w:val="24"/>
                <w:lang w:val="zh-CN"/>
              </w:rPr>
            </w:pPr>
          </w:p>
        </w:tc>
      </w:tr>
      <w:tr w14:paraId="45676F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D1842A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514DA9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D4A1E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2BF0E1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cs="仿宋"/>
                <w:color w:val="auto"/>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5292D7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50380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E1BA0B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12FCC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037E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865451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6FB6F9A">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975DD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6E88E0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D07A2F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1C279721">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218FFE28">
      <w:pPr>
        <w:pStyle w:val="8"/>
        <w:ind w:firstLine="0" w:firstLineChars="0"/>
        <w:rPr>
          <w:rFonts w:hint="eastAsia"/>
        </w:rPr>
      </w:pPr>
    </w:p>
    <w:p w14:paraId="482C7C47">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391FA7FC">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**公司</w:t>
      </w:r>
    </w:p>
    <w:p w14:paraId="2BC5FB32">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200B0AB">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2AB243DE">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1.甲、乙双方应共同严格遵守国家和省市以及招标人主管部门关于市场准入、项目招标投标、市场经济活动等有关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F79881D">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8A0E72F">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0C6E67F">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118DC9C">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36310582">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6E04F91">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86B55E0">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61AE3541">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8A793CB">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D19ACC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0DA9ECF5">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35E840ED">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26A326EE">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1C30DEC">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13636F97">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0A15722">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188491E">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0D312E03">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78EBBD28">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73FB4735">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8433BF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C817ABB">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B9491F3">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06179380">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0E957C53">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6169195">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3565A648">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1E17A06">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E6970FA">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80752A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17C614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17AFA8F3">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7797CB86">
      <w:pPr>
        <w:pStyle w:val="14"/>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2025年-2026年含汞废旧荧光灯委外处置服务采购项目（第二次）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202510001-1</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2025年-2026年含汞废旧荧光灯委外处置服务采购项目（第二次）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202510001-1</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（处理900-023-29的相应资质、生态环境部门颁发的《危险废物经营许可证》且能够在浙江省固体废物监管信息系统办理危险废物转移联单手续等证明材料）</w:t>
      </w:r>
    </w:p>
    <w:p w14:paraId="6CAD4292">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5E00599">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（8）合法合规处置的承诺函</w:t>
      </w:r>
      <w:r>
        <w:rPr>
          <w:rFonts w:hint="eastAsia" w:cs="仿宋" w:asciiTheme="minorEastAsia" w:hAnsiTheme="minorEastAsia"/>
          <w:color w:val="auto"/>
          <w:sz w:val="24"/>
        </w:rPr>
        <w:t>……………………………………………………（页码）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13"/>
        <w:rPr>
          <w:color w:val="auto"/>
        </w:rPr>
      </w:pPr>
    </w:p>
    <w:p w14:paraId="12E7506A">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2025年-2026年含汞废旧荧光灯委外处置服务采购项目（第二次）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2025年-2026年含汞废旧荧光灯委外处置服务采购项目（第二次）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2025年-2026年含汞废旧荧光灯委外处置服务采购项目（第二次）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5D5D1B29">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en-US" w:eastAsia="zh-CN"/>
        </w:rPr>
        <w:t>合法合规处置的</w:t>
      </w:r>
      <w:r>
        <w:rPr>
          <w:rFonts w:hint="eastAsia" w:cs="仿宋" w:asciiTheme="minorEastAsia" w:hAnsiTheme="minorEastAsia"/>
          <w:b/>
          <w:color w:val="auto"/>
          <w:kern w:val="0"/>
          <w:sz w:val="32"/>
          <w:szCs w:val="32"/>
          <w:lang w:val="zh-CN"/>
        </w:rPr>
        <w:t>承诺函</w:t>
      </w:r>
    </w:p>
    <w:p w14:paraId="7BCA82B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F1CCD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0618D7A1">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2025年-2026年含汞废旧荧光灯委外处置服务采购项目（第二次）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232CA1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w:t>
      </w:r>
      <w:r>
        <w:rPr>
          <w:rFonts w:hint="eastAsia" w:ascii="宋体" w:hAnsi="宋体" w:eastAsia="宋体" w:cs="宋体"/>
          <w:color w:val="auto"/>
          <w:sz w:val="24"/>
          <w:szCs w:val="24"/>
          <w:lang w:val="en-US" w:eastAsia="zh-CN"/>
        </w:rPr>
        <w:t>具有合法处置该类危废的资质，具有完善的管理制度和体系</w:t>
      </w:r>
      <w:r>
        <w:rPr>
          <w:rFonts w:hint="eastAsia" w:ascii="宋体" w:hAnsi="宋体" w:eastAsia="宋体" w:cs="宋体"/>
          <w:color w:val="auto"/>
          <w:sz w:val="24"/>
          <w:szCs w:val="24"/>
        </w:rPr>
        <w:t>。</w:t>
      </w:r>
    </w:p>
    <w:p w14:paraId="1A96FB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我公司不得无故拒收</w:t>
      </w:r>
      <w:r>
        <w:rPr>
          <w:rFonts w:hint="eastAsia" w:ascii="宋体" w:hAnsi="宋体" w:eastAsia="宋体" w:cs="宋体"/>
          <w:color w:val="auto"/>
          <w:sz w:val="24"/>
          <w:szCs w:val="24"/>
          <w:lang w:eastAsia="zh-CN"/>
        </w:rPr>
        <w:t>含汞废旧荧光灯管</w:t>
      </w:r>
      <w:r>
        <w:rPr>
          <w:rFonts w:hint="eastAsia" w:ascii="宋体" w:hAnsi="宋体" w:eastAsia="宋体" w:cs="宋体"/>
          <w:color w:val="auto"/>
          <w:sz w:val="24"/>
          <w:szCs w:val="24"/>
        </w:rPr>
        <w:t>的处置服务。</w:t>
      </w:r>
    </w:p>
    <w:p w14:paraId="10E313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我公司按照环境保护有关法律法规、标准规范的规定对</w:t>
      </w:r>
      <w:r>
        <w:rPr>
          <w:rFonts w:hint="eastAsia" w:ascii="宋体" w:hAnsi="宋体" w:eastAsia="宋体" w:cs="宋体"/>
          <w:color w:val="auto"/>
          <w:sz w:val="24"/>
          <w:szCs w:val="24"/>
          <w:lang w:eastAsia="zh-CN"/>
        </w:rPr>
        <w:t>含汞废旧荧光灯管</w:t>
      </w:r>
      <w:r>
        <w:rPr>
          <w:rFonts w:hint="eastAsia" w:ascii="宋体" w:hAnsi="宋体" w:eastAsia="宋体" w:cs="宋体"/>
          <w:color w:val="auto"/>
          <w:sz w:val="24"/>
          <w:szCs w:val="24"/>
        </w:rPr>
        <w:t>最终安全、合法处置。</w:t>
      </w:r>
    </w:p>
    <w:p w14:paraId="462AF6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4.若我公司的原因导致含汞废旧灯管出现法律责任，我公司愿意承担全部责任</w:t>
      </w:r>
      <w:r>
        <w:rPr>
          <w:rFonts w:hint="eastAsia" w:ascii="宋体" w:hAnsi="宋体" w:eastAsia="宋体" w:cs="宋体"/>
          <w:color w:val="auto"/>
          <w:sz w:val="24"/>
          <w:szCs w:val="24"/>
        </w:rPr>
        <w:t>。</w:t>
      </w:r>
    </w:p>
    <w:p w14:paraId="260F0D5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E793F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1BC4DD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56BFB33">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006304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2025年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768500D0">
      <w:pPr>
        <w:spacing w:line="360" w:lineRule="auto"/>
        <w:jc w:val="center"/>
        <w:outlineLvl w:val="0"/>
        <w:rPr>
          <w:rFonts w:hint="eastAsia" w:cs="仿宋" w:asciiTheme="minorEastAsia" w:hAnsiTheme="minorEastAsia"/>
          <w:b/>
          <w:color w:val="auto"/>
          <w:kern w:val="0"/>
          <w:sz w:val="36"/>
          <w:szCs w:val="36"/>
        </w:rPr>
      </w:pPr>
    </w:p>
    <w:p w14:paraId="0EEF0DA2">
      <w:pPr>
        <w:spacing w:line="360" w:lineRule="auto"/>
        <w:jc w:val="center"/>
        <w:outlineLvl w:val="0"/>
        <w:rPr>
          <w:rFonts w:hint="eastAsia" w:cs="仿宋" w:asciiTheme="minorEastAsia" w:hAnsiTheme="minorEastAsia"/>
          <w:b/>
          <w:color w:val="auto"/>
          <w:kern w:val="0"/>
          <w:sz w:val="36"/>
          <w:szCs w:val="36"/>
        </w:rPr>
      </w:pPr>
    </w:p>
    <w:p w14:paraId="22B5FC6E">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F904CD3">
      <w:pPr>
        <w:spacing w:line="360" w:lineRule="auto"/>
        <w:jc w:val="center"/>
        <w:outlineLvl w:val="0"/>
        <w:rPr>
          <w:rFonts w:hint="eastAsia" w:cs="仿宋" w:asciiTheme="minorEastAsia" w:hAnsiTheme="minorEastAsia"/>
          <w:b/>
          <w:color w:val="auto"/>
          <w:kern w:val="0"/>
          <w:sz w:val="36"/>
          <w:szCs w:val="36"/>
        </w:rPr>
      </w:pPr>
    </w:p>
    <w:p w14:paraId="10EE90D5">
      <w:pPr>
        <w:spacing w:line="360" w:lineRule="auto"/>
        <w:jc w:val="center"/>
        <w:outlineLvl w:val="0"/>
        <w:rPr>
          <w:rFonts w:hint="eastAsia" w:cs="仿宋" w:asciiTheme="minorEastAsia" w:hAnsiTheme="minorEastAsia"/>
          <w:b/>
          <w:color w:val="auto"/>
          <w:kern w:val="0"/>
          <w:sz w:val="36"/>
          <w:szCs w:val="36"/>
        </w:rPr>
      </w:pPr>
    </w:p>
    <w:p w14:paraId="2A6C7B50">
      <w:pPr>
        <w:spacing w:line="360" w:lineRule="auto"/>
        <w:jc w:val="center"/>
        <w:outlineLvl w:val="0"/>
        <w:rPr>
          <w:rFonts w:hint="eastAsia" w:cs="仿宋" w:asciiTheme="minorEastAsia" w:hAnsiTheme="minorEastAsia"/>
          <w:b/>
          <w:color w:val="auto"/>
          <w:kern w:val="0"/>
          <w:sz w:val="36"/>
          <w:szCs w:val="36"/>
        </w:rPr>
      </w:pPr>
    </w:p>
    <w:p w14:paraId="39CFDA04">
      <w:pPr>
        <w:spacing w:line="360" w:lineRule="auto"/>
        <w:jc w:val="center"/>
        <w:outlineLvl w:val="0"/>
        <w:rPr>
          <w:rFonts w:hint="eastAsia" w:cs="仿宋" w:asciiTheme="minorEastAsia" w:hAnsiTheme="minorEastAsia"/>
          <w:b/>
          <w:color w:val="auto"/>
          <w:kern w:val="0"/>
          <w:sz w:val="36"/>
          <w:szCs w:val="36"/>
        </w:rPr>
      </w:pPr>
    </w:p>
    <w:p w14:paraId="7898741C">
      <w:pPr>
        <w:spacing w:line="360" w:lineRule="auto"/>
        <w:jc w:val="center"/>
        <w:outlineLvl w:val="0"/>
        <w:rPr>
          <w:rFonts w:hint="eastAsia" w:cs="仿宋" w:asciiTheme="minorEastAsia" w:hAnsiTheme="minorEastAsia"/>
          <w:b/>
          <w:color w:val="auto"/>
          <w:kern w:val="0"/>
          <w:sz w:val="36"/>
          <w:szCs w:val="36"/>
        </w:rPr>
      </w:pPr>
    </w:p>
    <w:p w14:paraId="43EEA3D0">
      <w:pPr>
        <w:spacing w:line="360" w:lineRule="auto"/>
        <w:jc w:val="both"/>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2025年-2026年含汞废旧荧光灯委外处置服务采购项目（第二次）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2025年-2026年含汞废旧荧光灯委外处置服务采购项目（第二次）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1857"/>
        <w:gridCol w:w="1530"/>
        <w:gridCol w:w="1230"/>
        <w:gridCol w:w="1080"/>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1857"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530"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暂定</w:t>
            </w: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49D66C3">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14:paraId="2D43313D">
            <w:pPr>
              <w:snapToGrid w:val="0"/>
              <w:spacing w:line="360" w:lineRule="auto"/>
              <w:jc w:val="center"/>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u w:val="none"/>
                <w:lang w:val="en-US" w:eastAsia="zh-CN"/>
              </w:rPr>
              <w:t>含汞废旧荧光灯管委外处置服务</w:t>
            </w:r>
          </w:p>
        </w:tc>
        <w:tc>
          <w:tcPr>
            <w:tcW w:w="2238" w:type="dxa"/>
            <w:vAlign w:val="center"/>
          </w:tcPr>
          <w:p w14:paraId="3A5555FC">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1857" w:type="dxa"/>
            <w:vAlign w:val="center"/>
          </w:tcPr>
          <w:p w14:paraId="3B2AAFCB">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吨</w:t>
            </w:r>
          </w:p>
        </w:tc>
        <w:tc>
          <w:tcPr>
            <w:tcW w:w="1530" w:type="dxa"/>
            <w:vAlign w:val="center"/>
          </w:tcPr>
          <w:p w14:paraId="5F5AFF5E">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25</w:t>
            </w:r>
          </w:p>
        </w:tc>
        <w:tc>
          <w:tcPr>
            <w:tcW w:w="1230" w:type="dxa"/>
            <w:vAlign w:val="center"/>
          </w:tcPr>
          <w:p w14:paraId="617C1419">
            <w:pPr>
              <w:spacing w:line="360" w:lineRule="auto"/>
              <w:jc w:val="center"/>
              <w:rPr>
                <w:rFonts w:cs="仿宋" w:asciiTheme="minorEastAsia" w:hAnsiTheme="minorEastAsia"/>
                <w:color w:val="auto"/>
                <w:sz w:val="24"/>
              </w:rPr>
            </w:pPr>
          </w:p>
        </w:tc>
        <w:tc>
          <w:tcPr>
            <w:tcW w:w="1080" w:type="dxa"/>
            <w:vAlign w:val="center"/>
          </w:tcPr>
          <w:p w14:paraId="7DBD9E08">
            <w:pPr>
              <w:spacing w:line="360" w:lineRule="auto"/>
              <w:jc w:val="center"/>
              <w:rPr>
                <w:rFonts w:cs="仿宋" w:asciiTheme="minorEastAsia" w:hAnsiTheme="minorEastAsia"/>
                <w:color w:val="auto"/>
                <w:sz w:val="24"/>
              </w:rPr>
            </w:pPr>
          </w:p>
        </w:tc>
        <w:tc>
          <w:tcPr>
            <w:tcW w:w="1515" w:type="dxa"/>
            <w:vAlign w:val="center"/>
          </w:tcPr>
          <w:p w14:paraId="270198FB">
            <w:pPr>
              <w:spacing w:line="360" w:lineRule="auto"/>
              <w:jc w:val="center"/>
              <w:rPr>
                <w:rFonts w:cs="仿宋" w:asciiTheme="minorEastAsia" w:hAnsiTheme="minorEastAsia"/>
                <w:color w:val="auto"/>
                <w:sz w:val="24"/>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14:paraId="4D0D78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212" w:type="dxa"/>
            <w:gridSpan w:val="5"/>
            <w:vAlign w:val="center"/>
          </w:tcPr>
          <w:p w14:paraId="54F0AB74">
            <w:pPr>
              <w:spacing w:line="360" w:lineRule="auto"/>
              <w:jc w:val="center"/>
              <w:rPr>
                <w:rFonts w:cs="仿宋" w:asciiTheme="minorEastAsia" w:hAnsiTheme="minorEastAsia"/>
                <w:color w:val="auto"/>
                <w:sz w:val="24"/>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2574765E">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212" w:type="dxa"/>
            <w:gridSpan w:val="5"/>
            <w:vAlign w:val="center"/>
          </w:tcPr>
          <w:p w14:paraId="6D6CC8C5">
            <w:pPr>
              <w:spacing w:line="360" w:lineRule="auto"/>
              <w:jc w:val="center"/>
              <w:rPr>
                <w:rFonts w:cs="仿宋" w:asciiTheme="minorEastAsia" w:hAnsiTheme="minorEastAsia"/>
                <w:color w:val="auto"/>
                <w:sz w:val="24"/>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0088B222">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212" w:type="dxa"/>
            <w:gridSpan w:val="5"/>
            <w:vAlign w:val="center"/>
          </w:tcPr>
          <w:p w14:paraId="5C2EF2C8">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7"/>
        <w:rPr>
          <w:color w:val="auto"/>
        </w:rPr>
      </w:pPr>
    </w:p>
    <w:p w14:paraId="4EA0DE57">
      <w:pPr>
        <w:rPr>
          <w:color w:val="auto"/>
        </w:rPr>
      </w:pPr>
    </w:p>
    <w:p w14:paraId="5A955980">
      <w:pPr>
        <w:pStyle w:val="6"/>
        <w:rPr>
          <w:color w:val="auto"/>
        </w:rPr>
      </w:pPr>
    </w:p>
    <w:p w14:paraId="51D19BFC">
      <w:pPr>
        <w:pStyle w:val="7"/>
        <w:rPr>
          <w:color w:val="auto"/>
        </w:rPr>
      </w:pPr>
    </w:p>
    <w:p w14:paraId="4C768EA5">
      <w:pPr>
        <w:rPr>
          <w:color w:val="auto"/>
        </w:rPr>
      </w:pPr>
    </w:p>
    <w:p w14:paraId="027572C0">
      <w:pPr>
        <w:pStyle w:val="6"/>
        <w:rPr>
          <w:color w:val="auto"/>
        </w:rPr>
      </w:pPr>
    </w:p>
    <w:p w14:paraId="7548D6A0">
      <w:pPr>
        <w:pStyle w:val="7"/>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317D9"/>
    <w:multiLevelType w:val="singleLevel"/>
    <w:tmpl w:val="33F317D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BFF2A12"/>
    <w:rsid w:val="0C492847"/>
    <w:rsid w:val="0C554576"/>
    <w:rsid w:val="0F095788"/>
    <w:rsid w:val="0F5E496A"/>
    <w:rsid w:val="0F81598B"/>
    <w:rsid w:val="10947BCD"/>
    <w:rsid w:val="10BE08E9"/>
    <w:rsid w:val="111440FF"/>
    <w:rsid w:val="1157552B"/>
    <w:rsid w:val="11EC0AD6"/>
    <w:rsid w:val="13064D3F"/>
    <w:rsid w:val="1399374C"/>
    <w:rsid w:val="13FF5068"/>
    <w:rsid w:val="14521AA0"/>
    <w:rsid w:val="146C41CB"/>
    <w:rsid w:val="15BE749A"/>
    <w:rsid w:val="15E02F18"/>
    <w:rsid w:val="166F3635"/>
    <w:rsid w:val="17C22ED7"/>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1F943CFD"/>
    <w:rsid w:val="20284B0B"/>
    <w:rsid w:val="20F27815"/>
    <w:rsid w:val="21677697"/>
    <w:rsid w:val="229536BA"/>
    <w:rsid w:val="22A244DC"/>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682F2F"/>
    <w:rsid w:val="2DF70428"/>
    <w:rsid w:val="2EA152A3"/>
    <w:rsid w:val="2F1F33A8"/>
    <w:rsid w:val="2F5836E9"/>
    <w:rsid w:val="2F7610B9"/>
    <w:rsid w:val="2F7A10AB"/>
    <w:rsid w:val="30123142"/>
    <w:rsid w:val="302169BE"/>
    <w:rsid w:val="304A7E50"/>
    <w:rsid w:val="314B6E80"/>
    <w:rsid w:val="31BF0628"/>
    <w:rsid w:val="32843E96"/>
    <w:rsid w:val="32D33460"/>
    <w:rsid w:val="346671FA"/>
    <w:rsid w:val="351F7AFD"/>
    <w:rsid w:val="352F03C1"/>
    <w:rsid w:val="36162BCB"/>
    <w:rsid w:val="361749EF"/>
    <w:rsid w:val="363646DC"/>
    <w:rsid w:val="36412810"/>
    <w:rsid w:val="36A32180"/>
    <w:rsid w:val="36BD312A"/>
    <w:rsid w:val="36C96732"/>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72E3564"/>
    <w:rsid w:val="49105C83"/>
    <w:rsid w:val="4992263D"/>
    <w:rsid w:val="499917D4"/>
    <w:rsid w:val="49A53D97"/>
    <w:rsid w:val="4A035B02"/>
    <w:rsid w:val="4AE27CAC"/>
    <w:rsid w:val="4BAC48C9"/>
    <w:rsid w:val="4CAA0A32"/>
    <w:rsid w:val="4E191EC4"/>
    <w:rsid w:val="4EA9254B"/>
    <w:rsid w:val="4F251D5C"/>
    <w:rsid w:val="4FD65994"/>
    <w:rsid w:val="4FEB08B0"/>
    <w:rsid w:val="50105955"/>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D7F5F"/>
    <w:rsid w:val="5EA617F0"/>
    <w:rsid w:val="5EFD2476"/>
    <w:rsid w:val="5F0279C4"/>
    <w:rsid w:val="5F944466"/>
    <w:rsid w:val="6139287F"/>
    <w:rsid w:val="61C61218"/>
    <w:rsid w:val="61F56B7E"/>
    <w:rsid w:val="62121B84"/>
    <w:rsid w:val="62D45877"/>
    <w:rsid w:val="63CF15A0"/>
    <w:rsid w:val="64CD2ABF"/>
    <w:rsid w:val="64EF09EB"/>
    <w:rsid w:val="657B7ADB"/>
    <w:rsid w:val="660E4A3F"/>
    <w:rsid w:val="673E5F91"/>
    <w:rsid w:val="679754A0"/>
    <w:rsid w:val="67D649B5"/>
    <w:rsid w:val="689618A9"/>
    <w:rsid w:val="68C66552"/>
    <w:rsid w:val="69345B52"/>
    <w:rsid w:val="6A4E3ABD"/>
    <w:rsid w:val="6A8976A5"/>
    <w:rsid w:val="6A9D6924"/>
    <w:rsid w:val="6ABD4230"/>
    <w:rsid w:val="6AE63D7E"/>
    <w:rsid w:val="6B462C2B"/>
    <w:rsid w:val="6BD746DF"/>
    <w:rsid w:val="6BDC6E7B"/>
    <w:rsid w:val="6C69477C"/>
    <w:rsid w:val="6CEB080D"/>
    <w:rsid w:val="6D893D5F"/>
    <w:rsid w:val="6DA6506A"/>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946793"/>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11190</Words>
  <Characters>11963</Characters>
  <Lines>0</Lines>
  <Paragraphs>0</Paragraphs>
  <TotalTime>12</TotalTime>
  <ScaleCrop>false</ScaleCrop>
  <LinksUpToDate>false</LinksUpToDate>
  <CharactersWithSpaces>12313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2025-10-20T07:41:12Z</cp:lastPrinted>
  <dcterms:modified xsi:type="dcterms:W3CDTF">2025-10-20T07:42:33Z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